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0.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2.xml" ContentType="application/vnd.openxmlformats-officedocument.drawingml.chart+xml"/>
  <Override PartName="/word/charts/style26.xml" ContentType="application/vnd.ms-office.chartstyle+xml"/>
  <Override PartName="/word/charts/colors26.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drawings/drawing4.xml" ContentType="application/vnd.openxmlformats-officedocument.drawingml.chartshapes+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67.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68.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69.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70.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71.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72.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A49B7" w14:textId="5BCE490D" w:rsidR="00F1264F" w:rsidRPr="00CE357F" w:rsidRDefault="008B0103" w:rsidP="00D15D03">
      <w:pPr>
        <w:spacing w:line="276" w:lineRule="auto"/>
        <w:rPr>
          <w:rFonts w:ascii="Arial Narrow" w:hAnsi="Arial Narrow" w:cs="Arial"/>
          <w:b/>
          <w:bCs/>
          <w:highlight w:val="yellow"/>
          <w:u w:val="single"/>
        </w:rPr>
      </w:pPr>
      <w:bookmarkStart w:id="0" w:name="_Hlk135994895"/>
      <w:bookmarkStart w:id="1" w:name="_Hlk92192743"/>
      <w:bookmarkEnd w:id="0"/>
      <w:r w:rsidRPr="00CE357F">
        <w:rPr>
          <w:rFonts w:ascii="Arial Narrow" w:hAnsi="Arial Narrow" w:cs="Arial"/>
          <w:b/>
          <w:color w:val="C00000"/>
        </w:rPr>
        <w:br/>
      </w:r>
      <w:r w:rsidRPr="00CE357F">
        <w:rPr>
          <w:rFonts w:ascii="Arial Narrow" w:hAnsi="Arial Narrow" w:cs="Arial"/>
          <w:b/>
          <w:color w:val="C00000"/>
        </w:rPr>
        <w:br/>
      </w:r>
      <w:r w:rsidRPr="00CE357F">
        <w:rPr>
          <w:rFonts w:ascii="Arial Narrow" w:hAnsi="Arial Narrow" w:cs="Arial"/>
          <w:b/>
          <w:color w:val="C00000"/>
        </w:rPr>
        <w:br/>
      </w:r>
      <w:r w:rsidRPr="00CE357F">
        <w:rPr>
          <w:rFonts w:ascii="Arial Narrow" w:hAnsi="Arial Narrow" w:cs="Arial"/>
          <w:b/>
          <w:color w:val="C00000"/>
        </w:rPr>
        <w:br/>
      </w:r>
      <w:r w:rsidRPr="00CE357F">
        <w:rPr>
          <w:rFonts w:ascii="Arial Narrow" w:hAnsi="Arial Narrow" w:cs="Arial"/>
          <w:b/>
          <w:color w:val="C00000"/>
        </w:rPr>
        <w:br/>
      </w:r>
      <w:r w:rsidRPr="00CE357F">
        <w:rPr>
          <w:rFonts w:ascii="Arial Narrow" w:hAnsi="Arial Narrow" w:cs="Arial"/>
          <w:b/>
          <w:color w:val="C00000"/>
        </w:rPr>
        <w:br/>
      </w:r>
      <w:r w:rsidRPr="00CE357F">
        <w:rPr>
          <w:rFonts w:ascii="Arial Narrow" w:hAnsi="Arial Narrow" w:cs="Arial"/>
          <w:b/>
          <w:color w:val="C00000"/>
        </w:rPr>
        <w:br/>
      </w:r>
      <w:r w:rsidRPr="00CE357F">
        <w:rPr>
          <w:rFonts w:ascii="Arial Narrow" w:hAnsi="Arial Narrow" w:cs="Arial"/>
          <w:b/>
          <w:color w:val="C00000"/>
        </w:rPr>
        <w:br/>
      </w:r>
      <w:r w:rsidRPr="00CE357F">
        <w:rPr>
          <w:rFonts w:ascii="Arial Narrow" w:hAnsi="Arial Narrow" w:cs="Arial"/>
          <w:b/>
          <w:color w:val="C00000"/>
        </w:rPr>
        <w:br/>
      </w:r>
      <w:r w:rsidR="00F1264F" w:rsidRPr="00CE357F">
        <w:rPr>
          <w:rFonts w:ascii="Arial Narrow" w:hAnsi="Arial Narrow" w:cs="Arial"/>
          <w:b/>
          <w:color w:val="C00000"/>
        </w:rPr>
        <w:br/>
      </w:r>
    </w:p>
    <w:p w14:paraId="107AD297" w14:textId="77777777" w:rsidR="00F1264F" w:rsidRPr="00CE357F" w:rsidRDefault="00F1264F" w:rsidP="00F1264F">
      <w:pPr>
        <w:spacing w:line="276" w:lineRule="auto"/>
        <w:jc w:val="center"/>
        <w:rPr>
          <w:rFonts w:ascii="Arial Narrow" w:hAnsi="Arial Narrow" w:cs="Arial"/>
          <w:b/>
          <w:bCs/>
          <w:noProof/>
          <w:sz w:val="44"/>
          <w:szCs w:val="44"/>
          <w:lang w:val="sk-SK"/>
        </w:rPr>
      </w:pPr>
      <w:r w:rsidRPr="00CE357F">
        <w:rPr>
          <w:rFonts w:ascii="Arial Narrow" w:hAnsi="Arial Narrow" w:cs="Arial"/>
          <w:b/>
          <w:noProof/>
          <w:color w:val="C00000"/>
          <w:sz w:val="44"/>
          <w:szCs w:val="44"/>
          <w:lang w:val="sk-SK"/>
        </w:rPr>
        <w:t>Analýza potřeb klíčových aktérů v oblasti zaměstnávání cizinců v Jihomoravském kraji</w:t>
      </w:r>
    </w:p>
    <w:p w14:paraId="52EDADEA" w14:textId="77777777" w:rsidR="00F1264F" w:rsidRPr="00CE357F" w:rsidRDefault="00F1264F" w:rsidP="00F1264F">
      <w:pPr>
        <w:spacing w:line="276" w:lineRule="auto"/>
        <w:jc w:val="center"/>
        <w:rPr>
          <w:rFonts w:ascii="Arial Narrow" w:hAnsi="Arial Narrow" w:cs="Arial"/>
          <w:b/>
          <w:bCs/>
          <w:noProof/>
          <w:lang w:val="sk-SK"/>
        </w:rPr>
      </w:pPr>
    </w:p>
    <w:p w14:paraId="0335D9A8" w14:textId="47759420" w:rsidR="00F1264F" w:rsidRPr="00CE357F" w:rsidRDefault="00DC5ED7" w:rsidP="00DC5ED7">
      <w:pPr>
        <w:spacing w:line="276" w:lineRule="auto"/>
        <w:jc w:val="center"/>
        <w:rPr>
          <w:rFonts w:ascii="Arial Narrow" w:hAnsi="Arial Narrow"/>
          <w:i/>
          <w:iCs/>
          <w:noProof/>
          <w:lang w:val="sk-SK"/>
        </w:rPr>
      </w:pPr>
      <w:r w:rsidRPr="00CE357F">
        <w:rPr>
          <w:rFonts w:ascii="Arial Narrow" w:hAnsi="Arial Narrow"/>
          <w:i/>
          <w:iCs/>
          <w:noProof/>
          <w:lang w:val="sk-SK"/>
        </w:rPr>
        <w:t>Projekt „SKILL Centrum pro cizince v JMK“</w:t>
      </w:r>
      <w:r w:rsidR="00ED1498" w:rsidRPr="00CE357F">
        <w:rPr>
          <w:rFonts w:ascii="Arial Narrow" w:hAnsi="Arial Narrow"/>
          <w:i/>
          <w:iCs/>
          <w:noProof/>
          <w:lang w:val="sk-SK"/>
        </w:rPr>
        <w:t>,</w:t>
      </w:r>
      <w:r w:rsidRPr="00CE357F">
        <w:rPr>
          <w:rFonts w:ascii="Arial Narrow" w:hAnsi="Arial Narrow"/>
          <w:i/>
          <w:iCs/>
          <w:noProof/>
          <w:lang w:val="sk-SK"/>
        </w:rPr>
        <w:t xml:space="preserve"> financován</w:t>
      </w:r>
      <w:r w:rsidR="00ED1498" w:rsidRPr="00CE357F">
        <w:rPr>
          <w:rFonts w:ascii="Arial Narrow" w:hAnsi="Arial Narrow"/>
          <w:i/>
          <w:iCs/>
          <w:noProof/>
          <w:lang w:val="sk-SK"/>
        </w:rPr>
        <w:t>o</w:t>
      </w:r>
      <w:r w:rsidRPr="00CE357F">
        <w:rPr>
          <w:rFonts w:ascii="Arial Narrow" w:hAnsi="Arial Narrow"/>
          <w:i/>
          <w:iCs/>
          <w:noProof/>
          <w:lang w:val="sk-SK"/>
        </w:rPr>
        <w:t xml:space="preserve"> z Operačního programu Zaměstnanost (OPZ),  </w:t>
      </w:r>
      <w:r w:rsidRPr="00CE357F">
        <w:rPr>
          <w:rFonts w:ascii="Arial Narrow" w:hAnsi="Arial Narrow"/>
          <w:i/>
          <w:iCs/>
          <w:noProof/>
          <w:lang w:val="sk-SK"/>
        </w:rPr>
        <w:br/>
        <w:t>reg. číslo projektu CZ.03.3.X/0.0/0.0/15_018/001512</w:t>
      </w:r>
    </w:p>
    <w:p w14:paraId="43EBA7DF" w14:textId="77777777" w:rsidR="00F1264F" w:rsidRPr="00CE357F" w:rsidRDefault="00F1264F" w:rsidP="00F1264F">
      <w:pPr>
        <w:spacing w:line="276" w:lineRule="auto"/>
        <w:rPr>
          <w:rFonts w:ascii="Arial Narrow" w:hAnsi="Arial Narrow"/>
          <w:noProof/>
          <w:lang w:val="sk-SK"/>
        </w:rPr>
      </w:pPr>
    </w:p>
    <w:p w14:paraId="4293E570" w14:textId="5E6E07A8" w:rsidR="00F1264F" w:rsidRPr="00CE357F" w:rsidRDefault="00F1264F" w:rsidP="00F1264F">
      <w:pPr>
        <w:spacing w:line="276" w:lineRule="auto"/>
        <w:rPr>
          <w:rFonts w:ascii="Arial Narrow" w:hAnsi="Arial Narrow"/>
          <w:noProof/>
          <w:lang w:val="sk-SK"/>
        </w:rPr>
      </w:pPr>
    </w:p>
    <w:p w14:paraId="3E28A307" w14:textId="38032C12" w:rsidR="00DC5ED7" w:rsidRPr="00CE357F" w:rsidRDefault="00DC5ED7" w:rsidP="00F1264F">
      <w:pPr>
        <w:spacing w:line="276" w:lineRule="auto"/>
        <w:rPr>
          <w:rFonts w:ascii="Arial Narrow" w:hAnsi="Arial Narrow"/>
          <w:noProof/>
          <w:lang w:val="sk-SK"/>
        </w:rPr>
      </w:pPr>
    </w:p>
    <w:p w14:paraId="6CBE70EC" w14:textId="60FF0B63" w:rsidR="00DC5ED7" w:rsidRPr="00CE357F" w:rsidRDefault="00DC5ED7" w:rsidP="00F1264F">
      <w:pPr>
        <w:spacing w:line="276" w:lineRule="auto"/>
        <w:rPr>
          <w:rFonts w:ascii="Arial Narrow" w:hAnsi="Arial Narrow"/>
          <w:noProof/>
          <w:lang w:val="sk-SK"/>
        </w:rPr>
      </w:pPr>
    </w:p>
    <w:p w14:paraId="3364C655" w14:textId="2E832D03" w:rsidR="00DC5ED7" w:rsidRPr="00CE357F" w:rsidRDefault="0017560A" w:rsidP="00D15D03">
      <w:pPr>
        <w:spacing w:line="276" w:lineRule="auto"/>
        <w:jc w:val="center"/>
        <w:rPr>
          <w:rFonts w:ascii="Arial Narrow" w:hAnsi="Arial Narrow"/>
          <w:noProof/>
          <w:lang w:val="sk-SK"/>
        </w:rPr>
      </w:pPr>
      <w:r>
        <w:rPr>
          <w:rFonts w:ascii="Arial Narrow" w:hAnsi="Arial Narrow" w:cs="Arial"/>
          <w:b/>
          <w:bCs/>
          <w:sz w:val="44"/>
          <w:szCs w:val="44"/>
          <w:u w:val="single"/>
        </w:rPr>
        <w:t>Druhá</w:t>
      </w:r>
      <w:r w:rsidR="00D15D03" w:rsidRPr="00CE357F">
        <w:rPr>
          <w:rFonts w:ascii="Arial Narrow" w:hAnsi="Arial Narrow" w:cs="Arial"/>
          <w:b/>
          <w:bCs/>
          <w:sz w:val="44"/>
          <w:szCs w:val="44"/>
          <w:u w:val="single"/>
        </w:rPr>
        <w:t xml:space="preserve"> dílčí analýza</w:t>
      </w:r>
      <w:r w:rsidR="001B1B8B">
        <w:rPr>
          <w:rFonts w:ascii="Arial Narrow" w:hAnsi="Arial Narrow" w:cs="Arial"/>
          <w:b/>
          <w:bCs/>
          <w:sz w:val="44"/>
          <w:szCs w:val="44"/>
          <w:u w:val="single"/>
        </w:rPr>
        <w:t xml:space="preserve"> – část A</w:t>
      </w:r>
    </w:p>
    <w:p w14:paraId="3447350C" w14:textId="2B641CD2" w:rsidR="0017560A" w:rsidRPr="00CD59FB" w:rsidRDefault="0017560A" w:rsidP="0017560A">
      <w:pPr>
        <w:spacing w:line="276" w:lineRule="auto"/>
        <w:jc w:val="center"/>
        <w:rPr>
          <w:rFonts w:ascii="Arial Narrow" w:hAnsi="Arial Narrow"/>
          <w:noProof/>
          <w:lang w:val="sk-SK"/>
        </w:rPr>
      </w:pPr>
      <w:r>
        <w:rPr>
          <w:rFonts w:ascii="Arial Narrow" w:hAnsi="Arial Narrow"/>
          <w:b/>
          <w:bCs/>
          <w:noProof/>
          <w:sz w:val="28"/>
          <w:szCs w:val="28"/>
          <w:lang w:val="sk-SK"/>
        </w:rPr>
        <w:br/>
        <w:t>A</w:t>
      </w:r>
      <w:r w:rsidRPr="00B13994">
        <w:rPr>
          <w:rFonts w:ascii="Arial Narrow" w:hAnsi="Arial Narrow"/>
          <w:b/>
          <w:bCs/>
          <w:noProof/>
          <w:sz w:val="28"/>
          <w:szCs w:val="28"/>
          <w:lang w:val="sk-SK"/>
        </w:rPr>
        <w:t>ktualizace výsledků a dílčí</w:t>
      </w:r>
      <w:r w:rsidR="001B1B8B">
        <w:rPr>
          <w:rFonts w:ascii="Arial Narrow" w:hAnsi="Arial Narrow"/>
          <w:b/>
          <w:bCs/>
          <w:noProof/>
          <w:sz w:val="28"/>
          <w:szCs w:val="28"/>
          <w:lang w:val="sk-SK"/>
        </w:rPr>
        <w:t>ch</w:t>
      </w:r>
      <w:r w:rsidRPr="00B13994">
        <w:rPr>
          <w:rFonts w:ascii="Arial Narrow" w:hAnsi="Arial Narrow"/>
          <w:b/>
          <w:bCs/>
          <w:noProof/>
          <w:sz w:val="28"/>
          <w:szCs w:val="28"/>
          <w:lang w:val="sk-SK"/>
        </w:rPr>
        <w:t xml:space="preserve"> </w:t>
      </w:r>
      <w:r w:rsidRPr="000343A7">
        <w:rPr>
          <w:rFonts w:ascii="Arial Narrow" w:hAnsi="Arial Narrow"/>
          <w:b/>
          <w:bCs/>
          <w:noProof/>
          <w:sz w:val="28"/>
          <w:szCs w:val="28"/>
          <w:lang w:val="sk-SK"/>
        </w:rPr>
        <w:t>závěr</w:t>
      </w:r>
      <w:r w:rsidR="001B1B8B">
        <w:rPr>
          <w:rFonts w:ascii="Arial Narrow" w:hAnsi="Arial Narrow"/>
          <w:b/>
          <w:bCs/>
          <w:noProof/>
          <w:sz w:val="28"/>
          <w:szCs w:val="28"/>
          <w:lang w:val="sk-SK"/>
        </w:rPr>
        <w:t>ů</w:t>
      </w:r>
      <w:r w:rsidRPr="000343A7">
        <w:rPr>
          <w:rFonts w:ascii="Arial Narrow" w:hAnsi="Arial Narrow"/>
          <w:b/>
          <w:bCs/>
          <w:noProof/>
          <w:sz w:val="28"/>
          <w:szCs w:val="28"/>
          <w:lang w:val="sk-SK"/>
        </w:rPr>
        <w:t xml:space="preserve"> a doporučení pro projekt a veřejnou politiku </w:t>
      </w:r>
      <w:r w:rsidRPr="000343A7">
        <w:rPr>
          <w:rFonts w:ascii="Arial Narrow" w:hAnsi="Arial Narrow"/>
          <w:b/>
          <w:bCs/>
          <w:noProof/>
          <w:sz w:val="28"/>
          <w:szCs w:val="28"/>
          <w:lang w:val="sk-SK"/>
        </w:rPr>
        <w:br/>
        <w:t>k tematickému okruhu a)</w:t>
      </w:r>
    </w:p>
    <w:p w14:paraId="534071FA" w14:textId="6A6166CC" w:rsidR="00804551" w:rsidRPr="00CE357F" w:rsidRDefault="00804551" w:rsidP="00F1264F">
      <w:pPr>
        <w:spacing w:line="276" w:lineRule="auto"/>
        <w:rPr>
          <w:rFonts w:ascii="Arial Narrow" w:hAnsi="Arial Narrow"/>
          <w:noProof/>
          <w:lang w:val="sk-SK"/>
        </w:rPr>
      </w:pPr>
    </w:p>
    <w:p w14:paraId="38FFC449" w14:textId="4719F54B" w:rsidR="00DC5ED7" w:rsidRPr="00CE357F" w:rsidRDefault="00DC5ED7" w:rsidP="00F1264F">
      <w:pPr>
        <w:spacing w:line="276" w:lineRule="auto"/>
        <w:rPr>
          <w:rFonts w:ascii="Arial Narrow" w:hAnsi="Arial Narrow"/>
          <w:noProof/>
          <w:lang w:val="sk-SK"/>
        </w:rPr>
      </w:pPr>
    </w:p>
    <w:p w14:paraId="49E410BE" w14:textId="5E86362B" w:rsidR="00DC5ED7" w:rsidRPr="00CE357F" w:rsidRDefault="00DC5ED7" w:rsidP="00F1264F">
      <w:pPr>
        <w:spacing w:line="276" w:lineRule="auto"/>
        <w:rPr>
          <w:rFonts w:ascii="Arial Narrow" w:hAnsi="Arial Narrow"/>
          <w:noProof/>
          <w:lang w:val="sk-SK"/>
        </w:rPr>
      </w:pPr>
    </w:p>
    <w:p w14:paraId="5DD90316" w14:textId="6958394F" w:rsidR="00D15D03" w:rsidRPr="00CE357F" w:rsidRDefault="00D15D03" w:rsidP="00F1264F">
      <w:pPr>
        <w:spacing w:line="276" w:lineRule="auto"/>
        <w:rPr>
          <w:rFonts w:ascii="Arial Narrow" w:hAnsi="Arial Narrow"/>
          <w:noProof/>
          <w:lang w:val="sk-SK"/>
        </w:rPr>
      </w:pPr>
    </w:p>
    <w:p w14:paraId="6F292ADC" w14:textId="0E1B3DCE" w:rsidR="00DC5ED7" w:rsidRPr="00CE357F" w:rsidRDefault="00DC5ED7" w:rsidP="00F1264F">
      <w:pPr>
        <w:spacing w:line="276" w:lineRule="auto"/>
        <w:rPr>
          <w:rFonts w:ascii="Arial Narrow" w:hAnsi="Arial Narrow"/>
          <w:noProof/>
          <w:lang w:val="sk-SK"/>
        </w:rPr>
      </w:pPr>
    </w:p>
    <w:p w14:paraId="4D6A60A6" w14:textId="5F074D9D" w:rsidR="00DC5ED7" w:rsidRPr="00CE357F" w:rsidRDefault="00804551" w:rsidP="00F1264F">
      <w:pPr>
        <w:spacing w:line="276" w:lineRule="auto"/>
        <w:rPr>
          <w:rFonts w:ascii="Arial Narrow" w:hAnsi="Arial Narrow"/>
          <w:noProof/>
          <w:lang w:val="sk-SK"/>
        </w:rPr>
      </w:pPr>
      <w:r w:rsidRPr="00CE357F">
        <w:rPr>
          <w:rFonts w:ascii="Arial Narrow" w:hAnsi="Arial Narrow"/>
          <w:noProof/>
          <w:lang w:eastAsia="cs-CZ"/>
        </w:rPr>
        <w:drawing>
          <wp:anchor distT="0" distB="0" distL="114300" distR="114300" simplePos="0" relativeHeight="251647488" behindDoc="1" locked="0" layoutInCell="1" allowOverlap="1" wp14:anchorId="495D7908" wp14:editId="46A425FD">
            <wp:simplePos x="0" y="0"/>
            <wp:positionH relativeFrom="column">
              <wp:posOffset>1542204</wp:posOffset>
            </wp:positionH>
            <wp:positionV relativeFrom="paragraph">
              <wp:posOffset>48260</wp:posOffset>
            </wp:positionV>
            <wp:extent cx="2486025" cy="1367155"/>
            <wp:effectExtent l="0" t="0" r="0" b="0"/>
            <wp:wrapTight wrapText="bothSides">
              <wp:wrapPolygon edited="0">
                <wp:start x="4634" y="6320"/>
                <wp:lineTo x="3807" y="7524"/>
                <wp:lineTo x="3310" y="9631"/>
                <wp:lineTo x="3476" y="12942"/>
                <wp:lineTo x="10428" y="14447"/>
                <wp:lineTo x="14897" y="15049"/>
                <wp:lineTo x="15724" y="15049"/>
                <wp:lineTo x="15890" y="14447"/>
                <wp:lineTo x="18207" y="11738"/>
                <wp:lineTo x="18538" y="8728"/>
                <wp:lineTo x="16221" y="7825"/>
                <wp:lineTo x="5628" y="6320"/>
                <wp:lineTo x="4634" y="6320"/>
              </wp:wrapPolygon>
            </wp:wrapTight>
            <wp:docPr id="17" name="Obrázek 9">
              <a:extLst xmlns:a="http://schemas.openxmlformats.org/drawingml/2006/main">
                <a:ext uri="{FF2B5EF4-FFF2-40B4-BE49-F238E27FC236}">
                  <a16:creationId xmlns:a16="http://schemas.microsoft.com/office/drawing/2014/main" id="{EC6D66A5-CE54-4CF7-B6D3-F9F17D487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a:extLst>
                        <a:ext uri="{FF2B5EF4-FFF2-40B4-BE49-F238E27FC236}">
                          <a16:creationId xmlns:a16="http://schemas.microsoft.com/office/drawing/2014/main" id="{EC6D66A5-CE54-4CF7-B6D3-F9F17D4870A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025" cy="1367155"/>
                    </a:xfrm>
                    <a:prstGeom prst="rect">
                      <a:avLst/>
                    </a:prstGeom>
                  </pic:spPr>
                </pic:pic>
              </a:graphicData>
            </a:graphic>
            <wp14:sizeRelH relativeFrom="page">
              <wp14:pctWidth>0</wp14:pctWidth>
            </wp14:sizeRelH>
            <wp14:sizeRelV relativeFrom="page">
              <wp14:pctHeight>0</wp14:pctHeight>
            </wp14:sizeRelV>
          </wp:anchor>
        </w:drawing>
      </w:r>
    </w:p>
    <w:p w14:paraId="3ED5D8D9" w14:textId="5F3FDA24" w:rsidR="00F1264F" w:rsidRPr="00CE357F" w:rsidRDefault="00F1264F" w:rsidP="00F1264F">
      <w:pPr>
        <w:spacing w:line="276" w:lineRule="auto"/>
        <w:rPr>
          <w:rFonts w:ascii="Arial Narrow" w:hAnsi="Arial Narrow"/>
          <w:noProof/>
          <w:lang w:val="sk-SK"/>
        </w:rPr>
      </w:pPr>
    </w:p>
    <w:p w14:paraId="2CECCA89" w14:textId="2F63DD40" w:rsidR="00F1264F" w:rsidRPr="00CE357F" w:rsidRDefault="00F1264F" w:rsidP="00F1264F">
      <w:pPr>
        <w:spacing w:line="276" w:lineRule="auto"/>
        <w:rPr>
          <w:rFonts w:ascii="Arial Narrow" w:hAnsi="Arial Narrow"/>
          <w:noProof/>
          <w:lang w:val="sk-SK"/>
        </w:rPr>
      </w:pPr>
    </w:p>
    <w:p w14:paraId="1322AB1C" w14:textId="6FD27A54" w:rsidR="00F1264F" w:rsidRPr="00CE357F" w:rsidRDefault="00F1264F" w:rsidP="00F1264F">
      <w:pPr>
        <w:spacing w:line="276" w:lineRule="auto"/>
        <w:rPr>
          <w:rFonts w:ascii="Arial Narrow" w:hAnsi="Arial Narrow"/>
          <w:noProof/>
          <w:lang w:val="sk-SK"/>
        </w:rPr>
      </w:pPr>
    </w:p>
    <w:p w14:paraId="340B13A2" w14:textId="0F0C49DA" w:rsidR="00F1264F" w:rsidRPr="00CE357F" w:rsidRDefault="00F1264F" w:rsidP="00F1264F">
      <w:pPr>
        <w:spacing w:line="276" w:lineRule="auto"/>
        <w:rPr>
          <w:rFonts w:ascii="Arial Narrow" w:hAnsi="Arial Narrow"/>
          <w:noProof/>
          <w:lang w:val="sk-SK"/>
        </w:rPr>
      </w:pPr>
    </w:p>
    <w:p w14:paraId="27FD0C1D" w14:textId="5D42997E" w:rsidR="00F1264F" w:rsidRPr="00CE357F" w:rsidRDefault="00F1264F" w:rsidP="00F1264F">
      <w:pPr>
        <w:spacing w:line="276" w:lineRule="auto"/>
        <w:rPr>
          <w:rFonts w:ascii="Arial Narrow" w:hAnsi="Arial Narrow"/>
          <w:noProof/>
          <w:lang w:val="sk-SK"/>
        </w:rPr>
      </w:pPr>
    </w:p>
    <w:p w14:paraId="31C67B58" w14:textId="77777777" w:rsidR="00F1264F" w:rsidRPr="00CE357F" w:rsidRDefault="00F1264F" w:rsidP="00F1264F">
      <w:pPr>
        <w:spacing w:line="276" w:lineRule="auto"/>
        <w:rPr>
          <w:rFonts w:ascii="Arial Narrow" w:hAnsi="Arial Narrow"/>
          <w:noProof/>
          <w:lang w:val="sk-SK"/>
        </w:rPr>
      </w:pPr>
    </w:p>
    <w:p w14:paraId="2676AB66" w14:textId="77777777" w:rsidR="00F1264F" w:rsidRPr="00CE357F" w:rsidRDefault="00F1264F" w:rsidP="00F1264F">
      <w:pPr>
        <w:spacing w:line="276" w:lineRule="auto"/>
        <w:jc w:val="center"/>
        <w:rPr>
          <w:rFonts w:ascii="Arial Narrow" w:hAnsi="Arial Narrow"/>
          <w:noProof/>
          <w:lang w:val="sk-SK"/>
        </w:rPr>
      </w:pPr>
      <w:r w:rsidRPr="00CE357F">
        <w:rPr>
          <w:rFonts w:ascii="Arial Narrow" w:hAnsi="Arial Narrow"/>
          <w:noProof/>
          <w:lang w:val="sk-SK"/>
        </w:rPr>
        <w:t>Pro Jihomoravský kraj vypracovala společnost AUGUR Consulting s.r.o.</w:t>
      </w:r>
    </w:p>
    <w:p w14:paraId="319A2606" w14:textId="5D4A1730" w:rsidR="00F1264F" w:rsidRPr="00CE357F" w:rsidRDefault="00F1264F" w:rsidP="00F1264F">
      <w:pPr>
        <w:spacing w:line="276" w:lineRule="auto"/>
        <w:rPr>
          <w:rFonts w:ascii="Arial Narrow" w:hAnsi="Arial Narrow"/>
          <w:noProof/>
          <w:lang w:val="sk-SK"/>
        </w:rPr>
      </w:pPr>
    </w:p>
    <w:p w14:paraId="33CFE7CE" w14:textId="050A8C49" w:rsidR="00F1264F" w:rsidRPr="00CE357F" w:rsidRDefault="00F1264F" w:rsidP="00F1264F">
      <w:pPr>
        <w:spacing w:line="276" w:lineRule="auto"/>
        <w:rPr>
          <w:rFonts w:ascii="Arial Narrow" w:hAnsi="Arial Narrow"/>
          <w:noProof/>
          <w:lang w:val="sk-SK"/>
        </w:rPr>
      </w:pPr>
    </w:p>
    <w:p w14:paraId="00B4870B" w14:textId="7E03203F" w:rsidR="00DC5ED7" w:rsidRPr="00CE357F" w:rsidRDefault="00DC5ED7" w:rsidP="00F1264F">
      <w:pPr>
        <w:spacing w:line="276" w:lineRule="auto"/>
        <w:rPr>
          <w:rFonts w:ascii="Arial Narrow" w:hAnsi="Arial Narrow"/>
          <w:noProof/>
          <w:lang w:val="sk-SK"/>
        </w:rPr>
      </w:pPr>
    </w:p>
    <w:p w14:paraId="58F91A61" w14:textId="77777777" w:rsidR="00D15D03" w:rsidRPr="00CE357F" w:rsidRDefault="00D15D03" w:rsidP="00F1264F">
      <w:pPr>
        <w:spacing w:line="276" w:lineRule="auto"/>
        <w:rPr>
          <w:rFonts w:ascii="Arial Narrow" w:hAnsi="Arial Narrow"/>
          <w:noProof/>
          <w:lang w:val="sk-SK"/>
        </w:rPr>
      </w:pPr>
    </w:p>
    <w:p w14:paraId="3D051B54" w14:textId="77777777" w:rsidR="00F1264F" w:rsidRPr="00CE357F" w:rsidRDefault="00F1264F" w:rsidP="00F1264F">
      <w:pPr>
        <w:spacing w:line="276" w:lineRule="auto"/>
        <w:rPr>
          <w:rFonts w:ascii="Arial Narrow" w:hAnsi="Arial Narrow"/>
          <w:noProof/>
          <w:lang w:val="sk-SK"/>
        </w:rPr>
      </w:pPr>
    </w:p>
    <w:p w14:paraId="07F64487" w14:textId="77777777" w:rsidR="00F1264F" w:rsidRPr="00CE357F" w:rsidRDefault="00F1264F" w:rsidP="00F1264F">
      <w:pPr>
        <w:spacing w:line="276" w:lineRule="auto"/>
        <w:rPr>
          <w:rFonts w:ascii="Arial Narrow" w:hAnsi="Arial Narrow"/>
          <w:noProof/>
          <w:lang w:val="sk-SK"/>
        </w:rPr>
      </w:pPr>
    </w:p>
    <w:p w14:paraId="0DAFAECF" w14:textId="6A986C83" w:rsidR="00F1264F" w:rsidRPr="00CE357F" w:rsidRDefault="009F5024" w:rsidP="00F1264F">
      <w:pPr>
        <w:spacing w:line="276" w:lineRule="auto"/>
        <w:jc w:val="right"/>
        <w:rPr>
          <w:rFonts w:ascii="Arial Narrow" w:hAnsi="Arial Narrow"/>
          <w:noProof/>
          <w:lang w:val="sk-SK"/>
        </w:rPr>
      </w:pPr>
      <w:r>
        <w:rPr>
          <w:rFonts w:ascii="Arial Narrow" w:hAnsi="Arial Narrow"/>
          <w:noProof/>
          <w:lang w:val="sk-SK"/>
        </w:rPr>
        <w:t>březen</w:t>
      </w:r>
      <w:r w:rsidR="00F1264F" w:rsidRPr="00CE357F">
        <w:rPr>
          <w:rFonts w:ascii="Arial Narrow" w:hAnsi="Arial Narrow"/>
          <w:noProof/>
          <w:lang w:val="sk-SK"/>
        </w:rPr>
        <w:t xml:space="preserve"> 202</w:t>
      </w:r>
      <w:r w:rsidR="0017560A">
        <w:rPr>
          <w:rFonts w:ascii="Arial Narrow" w:hAnsi="Arial Narrow"/>
          <w:noProof/>
          <w:lang w:val="sk-SK"/>
        </w:rPr>
        <w:t>3</w:t>
      </w:r>
    </w:p>
    <w:p w14:paraId="6D6589B6" w14:textId="6A1489C0" w:rsidR="008B0103" w:rsidRPr="001B1B8B" w:rsidRDefault="0062043E" w:rsidP="001B1B8B">
      <w:pPr>
        <w:pStyle w:val="Nadpis1"/>
        <w:numPr>
          <w:ilvl w:val="0"/>
          <w:numId w:val="0"/>
        </w:numPr>
        <w:ind w:left="426" w:hanging="360"/>
        <w:jc w:val="left"/>
        <w:rPr>
          <w:rFonts w:ascii="Arial Narrow" w:hAnsi="Arial Narrow"/>
          <w:color w:val="002060"/>
          <w:sz w:val="36"/>
          <w:szCs w:val="36"/>
        </w:rPr>
      </w:pPr>
      <w:bookmarkStart w:id="2" w:name="_Toc95386925"/>
      <w:bookmarkStart w:id="3" w:name="_Toc95986671"/>
      <w:bookmarkStart w:id="4" w:name="_Toc132629108"/>
      <w:bookmarkStart w:id="5" w:name="_Toc136876062"/>
      <w:r w:rsidRPr="00CE357F">
        <w:rPr>
          <w:rFonts w:ascii="Arial Narrow" w:hAnsi="Arial Narrow"/>
          <w:color w:val="002060"/>
          <w:sz w:val="36"/>
          <w:szCs w:val="36"/>
        </w:rPr>
        <w:lastRenderedPageBreak/>
        <w:t>OBSAH</w:t>
      </w:r>
      <w:bookmarkEnd w:id="2"/>
      <w:bookmarkEnd w:id="3"/>
      <w:bookmarkEnd w:id="4"/>
      <w:bookmarkEnd w:id="5"/>
    </w:p>
    <w:sdt>
      <w:sdtPr>
        <w:rPr>
          <w:rFonts w:ascii="Calibri" w:eastAsiaTheme="minorHAnsi" w:hAnsi="Calibri" w:cs="Calibri"/>
          <w:b w:val="0"/>
          <w:bCs w:val="0"/>
          <w:smallCaps/>
          <w:noProof w:val="0"/>
          <w:sz w:val="22"/>
          <w:szCs w:val="22"/>
          <w:lang w:eastAsia="en-US"/>
        </w:rPr>
        <w:id w:val="1023979644"/>
        <w:docPartObj>
          <w:docPartGallery w:val="Table of Contents"/>
          <w:docPartUnique/>
        </w:docPartObj>
      </w:sdtPr>
      <w:sdtEndPr>
        <w:rPr>
          <w:rFonts w:ascii="Arial Narrow" w:hAnsi="Arial Narrow"/>
          <w:smallCaps w:val="0"/>
          <w:sz w:val="20"/>
          <w:szCs w:val="20"/>
        </w:rPr>
      </w:sdtEndPr>
      <w:sdtContent>
        <w:p w14:paraId="09FEB596" w14:textId="49BEFC32" w:rsidR="00B32B4F" w:rsidRPr="00B32B4F" w:rsidRDefault="00F1264F" w:rsidP="00B32B4F">
          <w:pPr>
            <w:pStyle w:val="Obsah1"/>
            <w:rPr>
              <w:kern w:val="2"/>
              <w14:ligatures w14:val="standardContextual"/>
            </w:rPr>
          </w:pPr>
          <w:r w:rsidRPr="00B32B4F">
            <w:rPr>
              <w:rFonts w:cs="Arial"/>
              <w:smallCaps/>
            </w:rPr>
            <w:fldChar w:fldCharType="begin"/>
          </w:r>
          <w:r w:rsidRPr="00B32B4F">
            <w:rPr>
              <w:rFonts w:cs="Arial"/>
            </w:rPr>
            <w:instrText xml:space="preserve"> TOC \o "1-3" \h \z \u </w:instrText>
          </w:r>
          <w:r w:rsidRPr="00B32B4F">
            <w:rPr>
              <w:rFonts w:cs="Arial"/>
              <w:smallCaps/>
            </w:rPr>
            <w:fldChar w:fldCharType="separate"/>
          </w:r>
        </w:p>
        <w:p w14:paraId="0B89048D" w14:textId="77B1363F" w:rsidR="00B32B4F" w:rsidRPr="00B32B4F" w:rsidRDefault="00F71F72" w:rsidP="00B32B4F">
          <w:pPr>
            <w:pStyle w:val="Obsah1"/>
            <w:rPr>
              <w:kern w:val="2"/>
              <w14:ligatures w14:val="standardContextual"/>
            </w:rPr>
          </w:pPr>
          <w:hyperlink w:anchor="_Toc136876063" w:history="1">
            <w:r w:rsidR="00B32B4F" w:rsidRPr="00B32B4F">
              <w:rPr>
                <w:rStyle w:val="Hypertextovodkaz"/>
              </w:rPr>
              <w:t>I.</w:t>
            </w:r>
            <w:r w:rsidR="00B32B4F" w:rsidRPr="00B32B4F">
              <w:rPr>
                <w:kern w:val="2"/>
                <w14:ligatures w14:val="standardContextual"/>
              </w:rPr>
              <w:tab/>
            </w:r>
            <w:r w:rsidR="00B32B4F" w:rsidRPr="00B32B4F">
              <w:rPr>
                <w:rStyle w:val="Hypertextovodkaz"/>
              </w:rPr>
              <w:t>ÚVOD A KONTEXTUÁLNÍ VYMEZENÍ PROBLEMATIKY</w:t>
            </w:r>
            <w:r w:rsidR="00B32B4F" w:rsidRPr="00B32B4F">
              <w:rPr>
                <w:webHidden/>
              </w:rPr>
              <w:tab/>
            </w:r>
            <w:r w:rsidR="00B32B4F" w:rsidRPr="00B32B4F">
              <w:rPr>
                <w:webHidden/>
              </w:rPr>
              <w:fldChar w:fldCharType="begin"/>
            </w:r>
            <w:r w:rsidR="00B32B4F" w:rsidRPr="00B32B4F">
              <w:rPr>
                <w:webHidden/>
              </w:rPr>
              <w:instrText xml:space="preserve"> PAGEREF _Toc136876063 \h </w:instrText>
            </w:r>
            <w:r w:rsidR="00B32B4F" w:rsidRPr="00B32B4F">
              <w:rPr>
                <w:webHidden/>
              </w:rPr>
            </w:r>
            <w:r w:rsidR="00B32B4F" w:rsidRPr="00B32B4F">
              <w:rPr>
                <w:webHidden/>
              </w:rPr>
              <w:fldChar w:fldCharType="separate"/>
            </w:r>
            <w:r w:rsidR="00F74619">
              <w:rPr>
                <w:webHidden/>
              </w:rPr>
              <w:t>5</w:t>
            </w:r>
            <w:r w:rsidR="00B32B4F" w:rsidRPr="00B32B4F">
              <w:rPr>
                <w:webHidden/>
              </w:rPr>
              <w:fldChar w:fldCharType="end"/>
            </w:r>
          </w:hyperlink>
        </w:p>
        <w:p w14:paraId="22804C86" w14:textId="06458DFD" w:rsidR="00B32B4F" w:rsidRPr="00B32B4F" w:rsidRDefault="00F71F72" w:rsidP="00B32B4F">
          <w:pPr>
            <w:pStyle w:val="Obsah1"/>
            <w:rPr>
              <w:kern w:val="2"/>
              <w14:ligatures w14:val="standardContextual"/>
            </w:rPr>
          </w:pPr>
          <w:hyperlink w:anchor="_Toc136876064" w:history="1">
            <w:r w:rsidR="00B32B4F" w:rsidRPr="00B32B4F">
              <w:rPr>
                <w:rStyle w:val="Hypertextovodkaz"/>
              </w:rPr>
              <w:t>II.</w:t>
            </w:r>
            <w:r w:rsidR="00B32B4F" w:rsidRPr="00B32B4F">
              <w:rPr>
                <w:kern w:val="2"/>
                <w14:ligatures w14:val="standardContextual"/>
              </w:rPr>
              <w:tab/>
            </w:r>
            <w:r w:rsidR="00B32B4F" w:rsidRPr="00B32B4F">
              <w:rPr>
                <w:rStyle w:val="Hypertextovodkaz"/>
              </w:rPr>
              <w:t>METODOLOGICKÁ ČÁST</w:t>
            </w:r>
            <w:r w:rsidR="00B32B4F" w:rsidRPr="00B32B4F">
              <w:rPr>
                <w:webHidden/>
              </w:rPr>
              <w:tab/>
            </w:r>
            <w:r w:rsidR="00B32B4F" w:rsidRPr="00B32B4F">
              <w:rPr>
                <w:webHidden/>
              </w:rPr>
              <w:fldChar w:fldCharType="begin"/>
            </w:r>
            <w:r w:rsidR="00B32B4F" w:rsidRPr="00B32B4F">
              <w:rPr>
                <w:webHidden/>
              </w:rPr>
              <w:instrText xml:space="preserve"> PAGEREF _Toc136876064 \h </w:instrText>
            </w:r>
            <w:r w:rsidR="00B32B4F" w:rsidRPr="00B32B4F">
              <w:rPr>
                <w:webHidden/>
              </w:rPr>
            </w:r>
            <w:r w:rsidR="00B32B4F" w:rsidRPr="00B32B4F">
              <w:rPr>
                <w:webHidden/>
              </w:rPr>
              <w:fldChar w:fldCharType="separate"/>
            </w:r>
            <w:r w:rsidR="00F74619">
              <w:rPr>
                <w:webHidden/>
              </w:rPr>
              <w:t>6</w:t>
            </w:r>
            <w:r w:rsidR="00B32B4F" w:rsidRPr="00B32B4F">
              <w:rPr>
                <w:webHidden/>
              </w:rPr>
              <w:fldChar w:fldCharType="end"/>
            </w:r>
          </w:hyperlink>
        </w:p>
        <w:p w14:paraId="2F04661B" w14:textId="66047AA6"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065"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II.1.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Popis metodologie zpracování tematického okruhu a)</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_Toc136876065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6</w:t>
            </w:r>
            <w:r w:rsidR="00B32B4F" w:rsidRPr="00B32B4F">
              <w:rPr>
                <w:rFonts w:ascii="Arial Narrow" w:hAnsi="Arial Narrow"/>
                <w:noProof/>
                <w:webHidden/>
                <w:sz w:val="18"/>
                <w:szCs w:val="18"/>
              </w:rPr>
              <w:fldChar w:fldCharType="end"/>
            </w:r>
          </w:hyperlink>
        </w:p>
        <w:p w14:paraId="56CDE0D7" w14:textId="3220B56E"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066"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II.2.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Metodologické limity tematického okruhu a)</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_Toc136876066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7</w:t>
            </w:r>
            <w:r w:rsidR="00B32B4F" w:rsidRPr="00B32B4F">
              <w:rPr>
                <w:rFonts w:ascii="Arial Narrow" w:hAnsi="Arial Narrow"/>
                <w:noProof/>
                <w:webHidden/>
                <w:sz w:val="18"/>
                <w:szCs w:val="18"/>
              </w:rPr>
              <w:fldChar w:fldCharType="end"/>
            </w:r>
          </w:hyperlink>
        </w:p>
        <w:p w14:paraId="33377970" w14:textId="3923C3CC" w:rsidR="00B32B4F" w:rsidRPr="00B32B4F" w:rsidRDefault="00F71F72" w:rsidP="00B32B4F">
          <w:pPr>
            <w:pStyle w:val="Obsah1"/>
            <w:rPr>
              <w:kern w:val="2"/>
              <w14:ligatures w14:val="standardContextual"/>
            </w:rPr>
          </w:pPr>
          <w:hyperlink w:anchor="_Toc136876067" w:history="1">
            <w:r w:rsidR="00B32B4F" w:rsidRPr="00B32B4F">
              <w:rPr>
                <w:rStyle w:val="Hypertextovodkaz"/>
              </w:rPr>
              <w:t>III.</w:t>
            </w:r>
            <w:r w:rsidR="00B32B4F" w:rsidRPr="00B32B4F">
              <w:rPr>
                <w:kern w:val="2"/>
                <w14:ligatures w14:val="standardContextual"/>
              </w:rPr>
              <w:tab/>
            </w:r>
            <w:r w:rsidR="00B32B4F" w:rsidRPr="00B32B4F">
              <w:rPr>
                <w:rStyle w:val="Hypertextovodkaz"/>
              </w:rPr>
              <w:t>ANALYTICKÁ ČÁST – OSOBY S JINOU NEŽ ČESKOU STÁTNÍ PŘÍSLUŠNOSTÍ V ČESKÉ REPUBLICE  A JIHOMORAVSKÉM KRAJI</w:t>
            </w:r>
            <w:r w:rsidR="00B32B4F" w:rsidRPr="00B32B4F">
              <w:rPr>
                <w:webHidden/>
              </w:rPr>
              <w:tab/>
            </w:r>
            <w:r w:rsidR="00B32B4F" w:rsidRPr="00B32B4F">
              <w:rPr>
                <w:webHidden/>
              </w:rPr>
              <w:fldChar w:fldCharType="begin"/>
            </w:r>
            <w:r w:rsidR="00B32B4F" w:rsidRPr="00B32B4F">
              <w:rPr>
                <w:webHidden/>
              </w:rPr>
              <w:instrText xml:space="preserve"> PAGEREF _Toc136876067 \h </w:instrText>
            </w:r>
            <w:r w:rsidR="00B32B4F" w:rsidRPr="00B32B4F">
              <w:rPr>
                <w:webHidden/>
              </w:rPr>
            </w:r>
            <w:r w:rsidR="00B32B4F" w:rsidRPr="00B32B4F">
              <w:rPr>
                <w:webHidden/>
              </w:rPr>
              <w:fldChar w:fldCharType="separate"/>
            </w:r>
            <w:r w:rsidR="00F74619">
              <w:rPr>
                <w:webHidden/>
              </w:rPr>
              <w:t>8</w:t>
            </w:r>
            <w:r w:rsidR="00B32B4F" w:rsidRPr="00B32B4F">
              <w:rPr>
                <w:webHidden/>
              </w:rPr>
              <w:fldChar w:fldCharType="end"/>
            </w:r>
          </w:hyperlink>
        </w:p>
        <w:p w14:paraId="723A95A7" w14:textId="6EE597D6"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068"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III.1.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Významná socio-demografická a socio-ekonomická data pro oblast osob s jinou než českou státní příslušností v České republice a Jihomoravském kraji</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_Toc136876068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8</w:t>
            </w:r>
            <w:r w:rsidR="00B32B4F" w:rsidRPr="00B32B4F">
              <w:rPr>
                <w:rFonts w:ascii="Arial Narrow" w:hAnsi="Arial Narrow"/>
                <w:noProof/>
                <w:webHidden/>
                <w:sz w:val="18"/>
                <w:szCs w:val="18"/>
              </w:rPr>
              <w:fldChar w:fldCharType="end"/>
            </w:r>
          </w:hyperlink>
        </w:p>
        <w:p w14:paraId="4C8C0AF3" w14:textId="4FB52C5B"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69" w:history="1">
            <w:r w:rsidR="00B32B4F" w:rsidRPr="00B32B4F">
              <w:rPr>
                <w:rStyle w:val="Hypertextovodkaz"/>
                <w:rFonts w:ascii="Arial Narrow" w:hAnsi="Arial Narrow"/>
                <w:noProof/>
                <w:sz w:val="18"/>
                <w:szCs w:val="18"/>
              </w:rPr>
              <w:t>III.1.1.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Celkový kontext a trendy v oblasti migrace osob s jinou než českou státní příslušností v České republice</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_Toc136876069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8</w:t>
            </w:r>
            <w:r w:rsidR="00B32B4F" w:rsidRPr="00B32B4F">
              <w:rPr>
                <w:rFonts w:ascii="Arial Narrow" w:hAnsi="Arial Narrow"/>
                <w:noProof/>
                <w:webHidden/>
                <w:sz w:val="18"/>
                <w:szCs w:val="18"/>
              </w:rPr>
              <w:fldChar w:fldCharType="end"/>
            </w:r>
          </w:hyperlink>
        </w:p>
        <w:p w14:paraId="338CD9AE" w14:textId="5D82E202"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71" w:history="1">
            <w:r w:rsidR="00B32B4F" w:rsidRPr="00B32B4F">
              <w:rPr>
                <w:rStyle w:val="Hypertextovodkaz"/>
                <w:rFonts w:ascii="Arial Narrow" w:eastAsia="Calibri" w:hAnsi="Arial Narrow"/>
                <w:noProof/>
                <w:sz w:val="18"/>
                <w:szCs w:val="18"/>
              </w:rPr>
              <w:t>III.1.2.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eastAsia="Calibri" w:hAnsi="Arial Narrow"/>
                <w:noProof/>
                <w:sz w:val="18"/>
                <w:szCs w:val="18"/>
              </w:rPr>
              <w:t>Osoby s jinou než českou státní příslušností podle územního srovnání</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_Toc136876071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12</w:t>
            </w:r>
            <w:r w:rsidR="00B32B4F" w:rsidRPr="00B32B4F">
              <w:rPr>
                <w:rFonts w:ascii="Arial Narrow" w:hAnsi="Arial Narrow"/>
                <w:noProof/>
                <w:webHidden/>
                <w:sz w:val="18"/>
                <w:szCs w:val="18"/>
              </w:rPr>
              <w:fldChar w:fldCharType="end"/>
            </w:r>
          </w:hyperlink>
        </w:p>
        <w:p w14:paraId="3D87B40A" w14:textId="06E1DA16"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72" w:history="1">
            <w:r w:rsidR="00B32B4F" w:rsidRPr="00B32B4F">
              <w:rPr>
                <w:rStyle w:val="Hypertextovodkaz"/>
                <w:rFonts w:ascii="Arial Narrow" w:hAnsi="Arial Narrow"/>
                <w:noProof/>
                <w:sz w:val="18"/>
                <w:szCs w:val="18"/>
              </w:rPr>
              <w:t>III.1.3.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podle kategorie země původu</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_Toc136876072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15</w:t>
            </w:r>
            <w:r w:rsidR="00B32B4F" w:rsidRPr="00B32B4F">
              <w:rPr>
                <w:rFonts w:ascii="Arial Narrow" w:hAnsi="Arial Narrow"/>
                <w:noProof/>
                <w:webHidden/>
                <w:sz w:val="18"/>
                <w:szCs w:val="18"/>
              </w:rPr>
              <w:fldChar w:fldCharType="end"/>
            </w:r>
          </w:hyperlink>
        </w:p>
        <w:p w14:paraId="1A12B695" w14:textId="79FC1A36"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73" w:history="1">
            <w:r w:rsidR="00B32B4F" w:rsidRPr="00B32B4F">
              <w:rPr>
                <w:rStyle w:val="Hypertextovodkaz"/>
                <w:rFonts w:ascii="Arial Narrow" w:eastAsia="Calibri" w:hAnsi="Arial Narrow"/>
                <w:noProof/>
                <w:sz w:val="18"/>
                <w:szCs w:val="18"/>
              </w:rPr>
              <w:t>III.1.4.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eastAsia="Calibri" w:hAnsi="Arial Narrow"/>
                <w:noProof/>
                <w:sz w:val="18"/>
                <w:szCs w:val="18"/>
              </w:rPr>
              <w:t>Osoby s jinou než českou státní příslušností podle státní příslušnosti</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_Toc136876073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18</w:t>
            </w:r>
            <w:r w:rsidR="00B32B4F" w:rsidRPr="00B32B4F">
              <w:rPr>
                <w:rFonts w:ascii="Arial Narrow" w:hAnsi="Arial Narrow"/>
                <w:noProof/>
                <w:webHidden/>
                <w:sz w:val="18"/>
                <w:szCs w:val="18"/>
              </w:rPr>
              <w:fldChar w:fldCharType="end"/>
            </w:r>
          </w:hyperlink>
        </w:p>
        <w:p w14:paraId="5AF32887" w14:textId="58ECA8EE"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74" w:history="1">
            <w:r w:rsidR="00B32B4F" w:rsidRPr="00B32B4F">
              <w:rPr>
                <w:rStyle w:val="Hypertextovodkaz"/>
                <w:rFonts w:ascii="Arial Narrow" w:hAnsi="Arial Narrow"/>
                <w:noProof/>
                <w:sz w:val="18"/>
                <w:szCs w:val="18"/>
              </w:rPr>
              <w:t>III.1.5.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podle pohlaví</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_Toc136876074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30</w:t>
            </w:r>
            <w:r w:rsidR="00B32B4F" w:rsidRPr="00B32B4F">
              <w:rPr>
                <w:rFonts w:ascii="Arial Narrow" w:hAnsi="Arial Narrow"/>
                <w:noProof/>
                <w:webHidden/>
                <w:sz w:val="18"/>
                <w:szCs w:val="18"/>
              </w:rPr>
              <w:fldChar w:fldCharType="end"/>
            </w:r>
          </w:hyperlink>
        </w:p>
        <w:p w14:paraId="3D6697F0" w14:textId="7F162D3F"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75" w:history="1">
            <w:r w:rsidR="00B32B4F" w:rsidRPr="00B32B4F">
              <w:rPr>
                <w:rStyle w:val="Hypertextovodkaz"/>
                <w:rFonts w:ascii="Arial Narrow" w:eastAsia="Calibri" w:hAnsi="Arial Narrow"/>
                <w:noProof/>
                <w:sz w:val="18"/>
                <w:szCs w:val="18"/>
              </w:rPr>
              <w:t>III.1.6.</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eastAsia="Calibri" w:hAnsi="Arial Narrow"/>
                <w:noProof/>
                <w:sz w:val="18"/>
                <w:szCs w:val="18"/>
              </w:rPr>
              <w:t>Osoby s jinou než českou státní příslušností podle věku</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_Toc136876075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32</w:t>
            </w:r>
            <w:r w:rsidR="00B32B4F" w:rsidRPr="00B32B4F">
              <w:rPr>
                <w:rFonts w:ascii="Arial Narrow" w:hAnsi="Arial Narrow"/>
                <w:noProof/>
                <w:webHidden/>
                <w:sz w:val="18"/>
                <w:szCs w:val="18"/>
              </w:rPr>
              <w:fldChar w:fldCharType="end"/>
            </w:r>
          </w:hyperlink>
        </w:p>
        <w:p w14:paraId="23DFA450" w14:textId="79AA9D2E"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76" w:history="1">
            <w:r w:rsidR="00B32B4F" w:rsidRPr="00B32B4F">
              <w:rPr>
                <w:rStyle w:val="Hypertextovodkaz"/>
                <w:rFonts w:ascii="Arial Narrow" w:hAnsi="Arial Narrow"/>
                <w:noProof/>
                <w:sz w:val="18"/>
                <w:szCs w:val="18"/>
              </w:rPr>
              <w:t>III.1.7.</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podle kategorie pobytu</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_Toc136876076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38</w:t>
            </w:r>
            <w:r w:rsidR="00B32B4F" w:rsidRPr="00B32B4F">
              <w:rPr>
                <w:rFonts w:ascii="Arial Narrow" w:hAnsi="Arial Narrow"/>
                <w:noProof/>
                <w:webHidden/>
                <w:sz w:val="18"/>
                <w:szCs w:val="18"/>
              </w:rPr>
              <w:fldChar w:fldCharType="end"/>
            </w:r>
          </w:hyperlink>
        </w:p>
        <w:p w14:paraId="55AF4789" w14:textId="18E93874"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77" w:history="1">
            <w:r w:rsidR="00B32B4F" w:rsidRPr="00B32B4F">
              <w:rPr>
                <w:rStyle w:val="Hypertextovodkaz"/>
                <w:rFonts w:ascii="Arial Narrow" w:hAnsi="Arial Narrow"/>
                <w:noProof/>
                <w:sz w:val="18"/>
                <w:szCs w:val="18"/>
              </w:rPr>
              <w:t>III.1.8.</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w:t>
            </w:r>
            <w:r w:rsidR="00B32B4F" w:rsidRPr="00B32B4F">
              <w:rPr>
                <w:rStyle w:val="Hypertextovodkaz"/>
                <w:rFonts w:ascii="Arial Narrow" w:eastAsia="Calibri" w:hAnsi="Arial Narrow"/>
                <w:noProof/>
                <w:sz w:val="18"/>
                <w:szCs w:val="18"/>
              </w:rPr>
              <w:t xml:space="preserve"> </w:t>
            </w:r>
            <w:r w:rsidR="00B32B4F" w:rsidRPr="00B32B4F">
              <w:rPr>
                <w:rStyle w:val="Hypertextovodkaz"/>
                <w:rFonts w:ascii="Arial Narrow" w:hAnsi="Arial Narrow"/>
                <w:noProof/>
                <w:sz w:val="18"/>
                <w:szCs w:val="18"/>
              </w:rPr>
              <w:t>v českém vzdělávacím systému</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_Toc136876077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45</w:t>
            </w:r>
            <w:r w:rsidR="00B32B4F" w:rsidRPr="00B32B4F">
              <w:rPr>
                <w:rFonts w:ascii="Arial Narrow" w:hAnsi="Arial Narrow"/>
                <w:noProof/>
                <w:webHidden/>
                <w:sz w:val="18"/>
                <w:szCs w:val="18"/>
              </w:rPr>
              <w:fldChar w:fldCharType="end"/>
            </w:r>
          </w:hyperlink>
        </w:p>
        <w:p w14:paraId="40582EA2" w14:textId="1758DC0F"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86" w:history="1">
            <w:r w:rsidR="00B32B4F" w:rsidRPr="00B32B4F">
              <w:rPr>
                <w:rStyle w:val="Hypertextovodkaz"/>
                <w:rFonts w:ascii="Arial Narrow" w:hAnsi="Arial Narrow"/>
                <w:noProof/>
                <w:sz w:val="18"/>
                <w:szCs w:val="18"/>
              </w:rPr>
              <w:t>III.1.9.</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Dílčí shrnutí kapitoly III. 1.</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_Toc136876086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61</w:t>
            </w:r>
            <w:r w:rsidR="00B32B4F" w:rsidRPr="00B32B4F">
              <w:rPr>
                <w:rFonts w:ascii="Arial Narrow" w:hAnsi="Arial Narrow"/>
                <w:noProof/>
                <w:webHidden/>
                <w:sz w:val="18"/>
                <w:szCs w:val="18"/>
              </w:rPr>
              <w:fldChar w:fldCharType="end"/>
            </w:r>
          </w:hyperlink>
        </w:p>
        <w:p w14:paraId="1201CADB" w14:textId="05713A45"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087"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III.2.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Vývoj struktury všech uchazečů o zaměstnání s důrazem na osoby s jinou než českou státní příslušností v jednotlivých letech od r. 2008 do současnosti</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_Toc136876087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66</w:t>
            </w:r>
            <w:r w:rsidR="00B32B4F" w:rsidRPr="00B32B4F">
              <w:rPr>
                <w:rFonts w:ascii="Arial Narrow" w:hAnsi="Arial Narrow"/>
                <w:noProof/>
                <w:webHidden/>
                <w:sz w:val="18"/>
                <w:szCs w:val="18"/>
              </w:rPr>
              <w:fldChar w:fldCharType="end"/>
            </w:r>
          </w:hyperlink>
        </w:p>
        <w:p w14:paraId="69CFEA67" w14:textId="3319E804"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88" w:history="1">
            <w:r w:rsidR="00B32B4F" w:rsidRPr="00B32B4F">
              <w:rPr>
                <w:rStyle w:val="Hypertextovodkaz"/>
                <w:rFonts w:ascii="Arial Narrow" w:hAnsi="Arial Narrow"/>
                <w:noProof/>
                <w:sz w:val="18"/>
                <w:szCs w:val="18"/>
              </w:rPr>
              <w:t>III.2.1.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Struktura uchazečů o zaměstnání s českou státní příslušností</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_Toc136876088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66</w:t>
            </w:r>
            <w:r w:rsidR="00B32B4F" w:rsidRPr="00B32B4F">
              <w:rPr>
                <w:rFonts w:ascii="Arial Narrow" w:hAnsi="Arial Narrow"/>
                <w:noProof/>
                <w:webHidden/>
                <w:sz w:val="18"/>
                <w:szCs w:val="18"/>
              </w:rPr>
              <w:fldChar w:fldCharType="end"/>
            </w:r>
          </w:hyperlink>
        </w:p>
        <w:p w14:paraId="6860701F" w14:textId="2ACBDED5"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89" w:history="1">
            <w:r w:rsidR="00B32B4F" w:rsidRPr="00B32B4F">
              <w:rPr>
                <w:rStyle w:val="Hypertextovodkaz"/>
                <w:rFonts w:ascii="Arial Narrow" w:hAnsi="Arial Narrow"/>
                <w:noProof/>
                <w:sz w:val="18"/>
                <w:szCs w:val="18"/>
              </w:rPr>
              <w:t>III.2.2.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Struktura uchazečů o zaměstnání s jinou než českou státní příslušností</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_Toc136876089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69</w:t>
            </w:r>
            <w:r w:rsidR="00B32B4F" w:rsidRPr="00B32B4F">
              <w:rPr>
                <w:rFonts w:ascii="Arial Narrow" w:hAnsi="Arial Narrow"/>
                <w:noProof/>
                <w:webHidden/>
                <w:sz w:val="18"/>
                <w:szCs w:val="18"/>
              </w:rPr>
              <w:fldChar w:fldCharType="end"/>
            </w:r>
          </w:hyperlink>
        </w:p>
        <w:p w14:paraId="56BA3505" w14:textId="7BABB0C7"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90" w:history="1">
            <w:r w:rsidR="00B32B4F" w:rsidRPr="00B32B4F">
              <w:rPr>
                <w:rStyle w:val="Hypertextovodkaz"/>
                <w:rFonts w:ascii="Arial Narrow" w:hAnsi="Arial Narrow"/>
                <w:noProof/>
                <w:sz w:val="18"/>
                <w:szCs w:val="18"/>
              </w:rPr>
              <w:t>III.2.3.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Specifikace oborů v rámci Jihomoravského kraje s deficitem zaměstnanců</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_Toc136876090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78</w:t>
            </w:r>
            <w:r w:rsidR="00B32B4F" w:rsidRPr="00B32B4F">
              <w:rPr>
                <w:rFonts w:ascii="Arial Narrow" w:hAnsi="Arial Narrow"/>
                <w:noProof/>
                <w:webHidden/>
                <w:sz w:val="18"/>
                <w:szCs w:val="18"/>
              </w:rPr>
              <w:fldChar w:fldCharType="end"/>
            </w:r>
          </w:hyperlink>
        </w:p>
        <w:p w14:paraId="4090DFE7" w14:textId="4110C244"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91" w:history="1">
            <w:r w:rsidR="00B32B4F" w:rsidRPr="00B32B4F">
              <w:rPr>
                <w:rStyle w:val="Hypertextovodkaz"/>
                <w:rFonts w:ascii="Arial Narrow" w:hAnsi="Arial Narrow"/>
                <w:noProof/>
                <w:sz w:val="18"/>
                <w:szCs w:val="18"/>
              </w:rPr>
              <w:t>III.2.4.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Výdělečná činnost osob s jinou než českou státní příslušností žijících v České republice</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_Toc136876091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78</w:t>
            </w:r>
            <w:r w:rsidR="00B32B4F" w:rsidRPr="00B32B4F">
              <w:rPr>
                <w:rFonts w:ascii="Arial Narrow" w:hAnsi="Arial Narrow"/>
                <w:noProof/>
                <w:webHidden/>
                <w:sz w:val="18"/>
                <w:szCs w:val="18"/>
              </w:rPr>
              <w:fldChar w:fldCharType="end"/>
            </w:r>
          </w:hyperlink>
        </w:p>
        <w:p w14:paraId="10EA67A7" w14:textId="0C2367E7"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92" w:history="1">
            <w:r w:rsidR="00B32B4F" w:rsidRPr="00B32B4F">
              <w:rPr>
                <w:rStyle w:val="Hypertextovodkaz"/>
                <w:rFonts w:ascii="Arial Narrow" w:hAnsi="Arial Narrow"/>
                <w:noProof/>
                <w:sz w:val="18"/>
                <w:szCs w:val="18"/>
              </w:rPr>
              <w:t>III.2.5.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Zaměstnávání osob s jinou než českou státní příslušností</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_Toc136876092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85</w:t>
            </w:r>
            <w:r w:rsidR="00B32B4F" w:rsidRPr="00B32B4F">
              <w:rPr>
                <w:rFonts w:ascii="Arial Narrow" w:hAnsi="Arial Narrow"/>
                <w:noProof/>
                <w:webHidden/>
                <w:sz w:val="18"/>
                <w:szCs w:val="18"/>
              </w:rPr>
              <w:fldChar w:fldCharType="end"/>
            </w:r>
          </w:hyperlink>
        </w:p>
        <w:p w14:paraId="0B973721" w14:textId="5DE933A8"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98" w:history="1">
            <w:r w:rsidR="00B32B4F" w:rsidRPr="00B32B4F">
              <w:rPr>
                <w:rStyle w:val="Hypertextovodkaz"/>
                <w:rFonts w:ascii="Arial Narrow" w:hAnsi="Arial Narrow"/>
                <w:noProof/>
                <w:sz w:val="18"/>
                <w:szCs w:val="18"/>
              </w:rPr>
              <w:t>III.2.6.</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Struktura zaměstnanců s jinou než českou státní příslušností dle platných povolení k zaměstnání, informace o občanech EU/EHP a Švýcarska, informace o osobách s jinou než českou státní příslušností, které nepotřebují povolení k zaměstnání, a zelených a modrých a zaměstnaneckých kartách v letech 2008–2022</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_Toc136876098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95</w:t>
            </w:r>
            <w:r w:rsidR="00B32B4F" w:rsidRPr="00B32B4F">
              <w:rPr>
                <w:rFonts w:ascii="Arial Narrow" w:hAnsi="Arial Narrow"/>
                <w:noProof/>
                <w:webHidden/>
                <w:sz w:val="18"/>
                <w:szCs w:val="18"/>
              </w:rPr>
              <w:fldChar w:fldCharType="end"/>
            </w:r>
          </w:hyperlink>
        </w:p>
        <w:p w14:paraId="432AAF13" w14:textId="32D0EDF8"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099" w:history="1">
            <w:r w:rsidR="00B32B4F" w:rsidRPr="00B32B4F">
              <w:rPr>
                <w:rStyle w:val="Hypertextovodkaz"/>
                <w:rFonts w:ascii="Arial Narrow" w:hAnsi="Arial Narrow"/>
                <w:noProof/>
                <w:sz w:val="18"/>
                <w:szCs w:val="18"/>
              </w:rPr>
              <w:t>III.2.7.</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samostatně výdělečně činné na základě platného živnostenského oprávnění</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_Toc136876099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114</w:t>
            </w:r>
            <w:r w:rsidR="00B32B4F" w:rsidRPr="00B32B4F">
              <w:rPr>
                <w:rFonts w:ascii="Arial Narrow" w:hAnsi="Arial Narrow"/>
                <w:noProof/>
                <w:webHidden/>
                <w:sz w:val="18"/>
                <w:szCs w:val="18"/>
              </w:rPr>
              <w:fldChar w:fldCharType="end"/>
            </w:r>
          </w:hyperlink>
        </w:p>
        <w:p w14:paraId="578B4DAF" w14:textId="6B7C49F1"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00" w:history="1">
            <w:r w:rsidR="00B32B4F" w:rsidRPr="00B32B4F">
              <w:rPr>
                <w:rStyle w:val="Hypertextovodkaz"/>
                <w:rFonts w:ascii="Arial Narrow" w:hAnsi="Arial Narrow"/>
                <w:noProof/>
                <w:sz w:val="18"/>
                <w:szCs w:val="18"/>
              </w:rPr>
              <w:t>III.2.8.</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Dílčí shrnutí kapitoly III. 2.</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_Toc136876100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118</w:t>
            </w:r>
            <w:r w:rsidR="00B32B4F" w:rsidRPr="00B32B4F">
              <w:rPr>
                <w:rFonts w:ascii="Arial Narrow" w:hAnsi="Arial Narrow"/>
                <w:noProof/>
                <w:webHidden/>
                <w:sz w:val="18"/>
                <w:szCs w:val="18"/>
              </w:rPr>
              <w:fldChar w:fldCharType="end"/>
            </w:r>
          </w:hyperlink>
        </w:p>
        <w:p w14:paraId="16300DFD" w14:textId="091BA1C1" w:rsidR="00B32B4F" w:rsidRPr="00B32B4F" w:rsidRDefault="00F71F72" w:rsidP="00B32B4F">
          <w:pPr>
            <w:pStyle w:val="Obsah1"/>
            <w:rPr>
              <w:kern w:val="2"/>
              <w14:ligatures w14:val="standardContextual"/>
            </w:rPr>
          </w:pPr>
          <w:hyperlink w:anchor="_Toc136876101" w:history="1">
            <w:r w:rsidR="00B32B4F" w:rsidRPr="00B32B4F">
              <w:rPr>
                <w:rStyle w:val="Hypertextovodkaz"/>
              </w:rPr>
              <w:t>IV.</w:t>
            </w:r>
            <w:r w:rsidR="00B32B4F" w:rsidRPr="00B32B4F">
              <w:rPr>
                <w:kern w:val="2"/>
                <w14:ligatures w14:val="standardContextual"/>
              </w:rPr>
              <w:tab/>
            </w:r>
            <w:r w:rsidR="00B32B4F" w:rsidRPr="00B32B4F">
              <w:rPr>
                <w:rStyle w:val="Hypertextovodkaz"/>
              </w:rPr>
              <w:t>ANALYTICKÁ ČÁST – OSOBY S JINOU NEŽ ČESKOU STÁTNÍ PŘÍSLUŠNOSTÍ VE VYBRANÝCH ORP  V JIHOMORAVSKÉM KRAJI</w:t>
            </w:r>
            <w:r w:rsidR="00B32B4F" w:rsidRPr="00B32B4F">
              <w:rPr>
                <w:webHidden/>
              </w:rPr>
              <w:tab/>
            </w:r>
            <w:r w:rsidR="00B32B4F" w:rsidRPr="00B32B4F">
              <w:rPr>
                <w:webHidden/>
              </w:rPr>
              <w:fldChar w:fldCharType="begin"/>
            </w:r>
            <w:r w:rsidR="00B32B4F" w:rsidRPr="00B32B4F">
              <w:rPr>
                <w:webHidden/>
              </w:rPr>
              <w:instrText xml:space="preserve"> PAGEREF _Toc136876101 \h </w:instrText>
            </w:r>
            <w:r w:rsidR="00B32B4F" w:rsidRPr="00B32B4F">
              <w:rPr>
                <w:webHidden/>
              </w:rPr>
            </w:r>
            <w:r w:rsidR="00B32B4F" w:rsidRPr="00B32B4F">
              <w:rPr>
                <w:webHidden/>
              </w:rPr>
              <w:fldChar w:fldCharType="separate"/>
            </w:r>
            <w:r w:rsidR="00F74619">
              <w:rPr>
                <w:webHidden/>
              </w:rPr>
              <w:t>124</w:t>
            </w:r>
            <w:r w:rsidR="00B32B4F" w:rsidRPr="00B32B4F">
              <w:rPr>
                <w:webHidden/>
              </w:rPr>
              <w:fldChar w:fldCharType="end"/>
            </w:r>
          </w:hyperlink>
        </w:p>
        <w:p w14:paraId="4C956D77" w14:textId="3B7273EF"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102"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IV.1.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V ORP BLANSKO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_Toc136876102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124</w:t>
            </w:r>
            <w:r w:rsidR="00B32B4F" w:rsidRPr="00B32B4F">
              <w:rPr>
                <w:rFonts w:ascii="Arial Narrow" w:hAnsi="Arial Narrow"/>
                <w:noProof/>
                <w:webHidden/>
                <w:sz w:val="18"/>
                <w:szCs w:val="18"/>
              </w:rPr>
              <w:fldChar w:fldCharType="end"/>
            </w:r>
          </w:hyperlink>
        </w:p>
        <w:p w14:paraId="1B953DCF" w14:textId="24131F68"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03" w:history="1">
            <w:r w:rsidR="00B32B4F" w:rsidRPr="00B32B4F">
              <w:rPr>
                <w:rStyle w:val="Hypertextovodkaz"/>
                <w:rFonts w:ascii="Arial Narrow" w:hAnsi="Arial Narrow"/>
                <w:noProof/>
                <w:sz w:val="18"/>
                <w:szCs w:val="18"/>
              </w:rPr>
              <w:t>IV.1.1.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Základní demografické údaje o ORP Blansko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_Toc136876103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124</w:t>
            </w:r>
            <w:r w:rsidR="00B32B4F" w:rsidRPr="00B32B4F">
              <w:rPr>
                <w:rFonts w:ascii="Arial Narrow" w:hAnsi="Arial Narrow"/>
                <w:noProof/>
                <w:webHidden/>
                <w:sz w:val="18"/>
                <w:szCs w:val="18"/>
              </w:rPr>
              <w:fldChar w:fldCharType="end"/>
            </w:r>
          </w:hyperlink>
        </w:p>
        <w:p w14:paraId="4770DDEE" w14:textId="26BF0345"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04" w:history="1">
            <w:r w:rsidR="00B32B4F" w:rsidRPr="00B32B4F">
              <w:rPr>
                <w:rStyle w:val="Hypertextovodkaz"/>
                <w:rFonts w:ascii="Arial Narrow" w:hAnsi="Arial Narrow"/>
                <w:noProof/>
                <w:sz w:val="18"/>
                <w:szCs w:val="18"/>
              </w:rPr>
              <w:t>IV.1.2.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Počet osob s jinou než českou státní příslušností v ORP Blansko v letech 2006–2023</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_Toc136876104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125</w:t>
            </w:r>
            <w:r w:rsidR="00B32B4F" w:rsidRPr="00B32B4F">
              <w:rPr>
                <w:rFonts w:ascii="Arial Narrow" w:hAnsi="Arial Narrow"/>
                <w:noProof/>
                <w:webHidden/>
                <w:sz w:val="18"/>
                <w:szCs w:val="18"/>
              </w:rPr>
              <w:fldChar w:fldCharType="end"/>
            </w:r>
          </w:hyperlink>
        </w:p>
        <w:p w14:paraId="4FFEC1FC" w14:textId="61D839BF"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05" w:history="1">
            <w:r w:rsidR="00B32B4F" w:rsidRPr="00B32B4F">
              <w:rPr>
                <w:rStyle w:val="Hypertextovodkaz"/>
                <w:rFonts w:ascii="Arial Narrow" w:hAnsi="Arial Narrow"/>
                <w:noProof/>
                <w:sz w:val="18"/>
                <w:szCs w:val="18"/>
              </w:rPr>
              <w:t>IV.1.3.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Zaměstnanost v ORP Blansko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_Toc136876105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133</w:t>
            </w:r>
            <w:r w:rsidR="00B32B4F" w:rsidRPr="00B32B4F">
              <w:rPr>
                <w:rFonts w:ascii="Arial Narrow" w:hAnsi="Arial Narrow"/>
                <w:noProof/>
                <w:webHidden/>
                <w:sz w:val="18"/>
                <w:szCs w:val="18"/>
              </w:rPr>
              <w:fldChar w:fldCharType="end"/>
            </w:r>
          </w:hyperlink>
        </w:p>
        <w:p w14:paraId="7B64C82B" w14:textId="70438232"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06" w:history="1">
            <w:r w:rsidR="00B32B4F" w:rsidRPr="00B32B4F">
              <w:rPr>
                <w:rStyle w:val="Hypertextovodkaz"/>
                <w:rFonts w:ascii="Arial Narrow" w:hAnsi="Arial Narrow"/>
                <w:noProof/>
                <w:sz w:val="18"/>
                <w:szCs w:val="18"/>
              </w:rPr>
              <w:t>IV.1.4.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zaměstnané v roce 2020 ve firmách na území ORP Blansko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_Toc136876106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134</w:t>
            </w:r>
            <w:r w:rsidR="00B32B4F" w:rsidRPr="00B32B4F">
              <w:rPr>
                <w:rFonts w:ascii="Arial Narrow" w:hAnsi="Arial Narrow"/>
                <w:noProof/>
                <w:webHidden/>
                <w:sz w:val="18"/>
                <w:szCs w:val="18"/>
              </w:rPr>
              <w:fldChar w:fldCharType="end"/>
            </w:r>
          </w:hyperlink>
        </w:p>
        <w:p w14:paraId="646021D7" w14:textId="2E59FE42"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11" w:history="1">
            <w:r w:rsidR="00B32B4F" w:rsidRPr="00B32B4F">
              <w:rPr>
                <w:rStyle w:val="Hypertextovodkaz"/>
                <w:rFonts w:ascii="Arial Narrow" w:hAnsi="Arial Narrow"/>
                <w:noProof/>
                <w:sz w:val="18"/>
                <w:szCs w:val="18"/>
              </w:rPr>
              <w:t>IV.1.5.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Shrnutí poznatků ORP Blansko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_Toc136876111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136</w:t>
            </w:r>
            <w:r w:rsidR="00B32B4F" w:rsidRPr="00B32B4F">
              <w:rPr>
                <w:rFonts w:ascii="Arial Narrow" w:hAnsi="Arial Narrow"/>
                <w:noProof/>
                <w:webHidden/>
                <w:sz w:val="18"/>
                <w:szCs w:val="18"/>
              </w:rPr>
              <w:fldChar w:fldCharType="end"/>
            </w:r>
          </w:hyperlink>
        </w:p>
        <w:p w14:paraId="56FF17A3" w14:textId="7E6AC406"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112"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IV.2.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V ORP BRNO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_Toc136876112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138</w:t>
            </w:r>
            <w:r w:rsidR="00B32B4F" w:rsidRPr="00B32B4F">
              <w:rPr>
                <w:rFonts w:ascii="Arial Narrow" w:hAnsi="Arial Narrow"/>
                <w:noProof/>
                <w:webHidden/>
                <w:sz w:val="18"/>
                <w:szCs w:val="18"/>
              </w:rPr>
              <w:fldChar w:fldCharType="end"/>
            </w:r>
          </w:hyperlink>
        </w:p>
        <w:p w14:paraId="133A9C96" w14:textId="506E4184"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13" w:history="1">
            <w:r w:rsidR="00B32B4F" w:rsidRPr="00B32B4F">
              <w:rPr>
                <w:rStyle w:val="Hypertextovodkaz"/>
                <w:rFonts w:ascii="Arial Narrow" w:hAnsi="Arial Narrow"/>
                <w:noProof/>
                <w:sz w:val="18"/>
                <w:szCs w:val="18"/>
              </w:rPr>
              <w:t>IV.2.1.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Základní demografické údaje o ORP Brno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_Toc136876113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138</w:t>
            </w:r>
            <w:r w:rsidR="00B32B4F" w:rsidRPr="00B32B4F">
              <w:rPr>
                <w:rFonts w:ascii="Arial Narrow" w:hAnsi="Arial Narrow"/>
                <w:noProof/>
                <w:webHidden/>
                <w:sz w:val="18"/>
                <w:szCs w:val="18"/>
              </w:rPr>
              <w:fldChar w:fldCharType="end"/>
            </w:r>
          </w:hyperlink>
        </w:p>
        <w:p w14:paraId="4A95EE33" w14:textId="2F395A86"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14" w:history="1">
            <w:r w:rsidR="00B32B4F" w:rsidRPr="00B32B4F">
              <w:rPr>
                <w:rStyle w:val="Hypertextovodkaz"/>
                <w:rFonts w:ascii="Arial Narrow" w:hAnsi="Arial Narrow"/>
                <w:noProof/>
                <w:sz w:val="18"/>
                <w:szCs w:val="18"/>
              </w:rPr>
              <w:t>IV.2.2.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Počet osob s jinou než českou státní příslušností v ORP Brno v letech 2006–2023</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_Toc136876114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138</w:t>
            </w:r>
            <w:r w:rsidR="00B32B4F" w:rsidRPr="00B32B4F">
              <w:rPr>
                <w:rFonts w:ascii="Arial Narrow" w:hAnsi="Arial Narrow"/>
                <w:noProof/>
                <w:webHidden/>
                <w:sz w:val="18"/>
                <w:szCs w:val="18"/>
              </w:rPr>
              <w:fldChar w:fldCharType="end"/>
            </w:r>
          </w:hyperlink>
        </w:p>
        <w:p w14:paraId="74DFEDD8" w14:textId="5D4ED75C"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15" w:history="1">
            <w:r w:rsidR="00B32B4F" w:rsidRPr="00B32B4F">
              <w:rPr>
                <w:rStyle w:val="Hypertextovodkaz"/>
                <w:rFonts w:ascii="Arial Narrow" w:hAnsi="Arial Narrow"/>
                <w:noProof/>
                <w:sz w:val="18"/>
                <w:szCs w:val="18"/>
              </w:rPr>
              <w:t>IV.2.3.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Zaměstnanost v ORP Brno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_Toc136876115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148</w:t>
            </w:r>
            <w:r w:rsidR="00B32B4F" w:rsidRPr="00B32B4F">
              <w:rPr>
                <w:rFonts w:ascii="Arial Narrow" w:hAnsi="Arial Narrow"/>
                <w:noProof/>
                <w:webHidden/>
                <w:sz w:val="18"/>
                <w:szCs w:val="18"/>
              </w:rPr>
              <w:fldChar w:fldCharType="end"/>
            </w:r>
          </w:hyperlink>
        </w:p>
        <w:p w14:paraId="4DB47712" w14:textId="325072AC"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16" w:history="1">
            <w:r w:rsidR="00B32B4F" w:rsidRPr="00B32B4F">
              <w:rPr>
                <w:rStyle w:val="Hypertextovodkaz"/>
                <w:rFonts w:ascii="Arial Narrow" w:hAnsi="Arial Narrow"/>
                <w:noProof/>
                <w:sz w:val="18"/>
                <w:szCs w:val="18"/>
              </w:rPr>
              <w:t>IV.2.4.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zaměstnané v roce 2020 ve firmách na území ORP</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_Toc136876116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149</w:t>
            </w:r>
            <w:r w:rsidR="00B32B4F" w:rsidRPr="00B32B4F">
              <w:rPr>
                <w:rFonts w:ascii="Arial Narrow" w:hAnsi="Arial Narrow"/>
                <w:noProof/>
                <w:webHidden/>
                <w:sz w:val="18"/>
                <w:szCs w:val="18"/>
              </w:rPr>
              <w:fldChar w:fldCharType="end"/>
            </w:r>
          </w:hyperlink>
        </w:p>
        <w:p w14:paraId="1F48D445" w14:textId="402187F5"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21" w:history="1">
            <w:r w:rsidR="00B32B4F" w:rsidRPr="00B32B4F">
              <w:rPr>
                <w:rStyle w:val="Hypertextovodkaz"/>
                <w:rFonts w:ascii="Arial Narrow" w:hAnsi="Arial Narrow"/>
                <w:noProof/>
                <w:sz w:val="18"/>
                <w:szCs w:val="18"/>
              </w:rPr>
              <w:t>IV.2.5.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Shrnutí poznatků ORP Brno</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_Toc136876121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152</w:t>
            </w:r>
            <w:r w:rsidR="00B32B4F" w:rsidRPr="00B32B4F">
              <w:rPr>
                <w:rFonts w:ascii="Arial Narrow" w:hAnsi="Arial Narrow"/>
                <w:noProof/>
                <w:webHidden/>
                <w:sz w:val="18"/>
                <w:szCs w:val="18"/>
              </w:rPr>
              <w:fldChar w:fldCharType="end"/>
            </w:r>
          </w:hyperlink>
        </w:p>
        <w:p w14:paraId="48040FAA" w14:textId="1FC1E335"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122"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IV.3.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V ORP BŘECLAV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_Toc136876122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154</w:t>
            </w:r>
            <w:r w:rsidR="00B32B4F" w:rsidRPr="00B32B4F">
              <w:rPr>
                <w:rFonts w:ascii="Arial Narrow" w:hAnsi="Arial Narrow"/>
                <w:noProof/>
                <w:webHidden/>
                <w:sz w:val="18"/>
                <w:szCs w:val="18"/>
              </w:rPr>
              <w:fldChar w:fldCharType="end"/>
            </w:r>
          </w:hyperlink>
        </w:p>
        <w:p w14:paraId="5ED9DA3A" w14:textId="7F49EF2C"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23" w:history="1">
            <w:r w:rsidR="00B32B4F" w:rsidRPr="00B32B4F">
              <w:rPr>
                <w:rStyle w:val="Hypertextovodkaz"/>
                <w:rFonts w:ascii="Arial Narrow" w:hAnsi="Arial Narrow"/>
                <w:noProof/>
                <w:sz w:val="18"/>
                <w:szCs w:val="18"/>
              </w:rPr>
              <w:t>IV.3.1.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Základní demografické údaje o ORP Břeclav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_Toc136876123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154</w:t>
            </w:r>
            <w:r w:rsidR="00B32B4F" w:rsidRPr="00B32B4F">
              <w:rPr>
                <w:rFonts w:ascii="Arial Narrow" w:hAnsi="Arial Narrow"/>
                <w:noProof/>
                <w:webHidden/>
                <w:sz w:val="18"/>
                <w:szCs w:val="18"/>
              </w:rPr>
              <w:fldChar w:fldCharType="end"/>
            </w:r>
          </w:hyperlink>
        </w:p>
        <w:p w14:paraId="6695CB5E" w14:textId="79E78AF2"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24" w:history="1">
            <w:r w:rsidR="00B32B4F" w:rsidRPr="00B32B4F">
              <w:rPr>
                <w:rStyle w:val="Hypertextovodkaz"/>
                <w:rFonts w:ascii="Arial Narrow" w:hAnsi="Arial Narrow"/>
                <w:noProof/>
                <w:sz w:val="18"/>
                <w:szCs w:val="18"/>
              </w:rPr>
              <w:t>IV.3.2.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Počet osob s jinou než českou státní příslušností v ORP Břeclav v letech 2006–2023</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_Toc136876124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154</w:t>
            </w:r>
            <w:r w:rsidR="00B32B4F" w:rsidRPr="00B32B4F">
              <w:rPr>
                <w:rFonts w:ascii="Arial Narrow" w:hAnsi="Arial Narrow"/>
                <w:noProof/>
                <w:webHidden/>
                <w:sz w:val="18"/>
                <w:szCs w:val="18"/>
              </w:rPr>
              <w:fldChar w:fldCharType="end"/>
            </w:r>
          </w:hyperlink>
        </w:p>
        <w:p w14:paraId="1BA7CF5C" w14:textId="5672C781"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25" w:history="1">
            <w:r w:rsidR="00B32B4F" w:rsidRPr="00B32B4F">
              <w:rPr>
                <w:rStyle w:val="Hypertextovodkaz"/>
                <w:rFonts w:ascii="Arial Narrow" w:hAnsi="Arial Narrow"/>
                <w:noProof/>
                <w:sz w:val="18"/>
                <w:szCs w:val="18"/>
              </w:rPr>
              <w:t>IV.3.3.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Zaměstnanost v ORP Břeclav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_Toc136876125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162</w:t>
            </w:r>
            <w:r w:rsidR="00B32B4F" w:rsidRPr="00B32B4F">
              <w:rPr>
                <w:rFonts w:ascii="Arial Narrow" w:hAnsi="Arial Narrow"/>
                <w:noProof/>
                <w:webHidden/>
                <w:sz w:val="18"/>
                <w:szCs w:val="18"/>
              </w:rPr>
              <w:fldChar w:fldCharType="end"/>
            </w:r>
          </w:hyperlink>
        </w:p>
        <w:p w14:paraId="0FCAB9B7" w14:textId="046F8ABD"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26" w:history="1">
            <w:r w:rsidR="00B32B4F" w:rsidRPr="00B32B4F">
              <w:rPr>
                <w:rStyle w:val="Hypertextovodkaz"/>
                <w:rFonts w:ascii="Arial Narrow" w:hAnsi="Arial Narrow"/>
                <w:noProof/>
                <w:sz w:val="18"/>
                <w:szCs w:val="18"/>
              </w:rPr>
              <w:t>IV.3.4.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zaměstnané v roce 2020 ve firmách na území ORP</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_Toc136876126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163</w:t>
            </w:r>
            <w:r w:rsidR="00B32B4F" w:rsidRPr="00B32B4F">
              <w:rPr>
                <w:rFonts w:ascii="Arial Narrow" w:hAnsi="Arial Narrow"/>
                <w:noProof/>
                <w:webHidden/>
                <w:sz w:val="18"/>
                <w:szCs w:val="18"/>
              </w:rPr>
              <w:fldChar w:fldCharType="end"/>
            </w:r>
          </w:hyperlink>
        </w:p>
        <w:p w14:paraId="6F436B48" w14:textId="5B53B48F"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31" w:history="1">
            <w:r w:rsidR="00B32B4F" w:rsidRPr="00B32B4F">
              <w:rPr>
                <w:rStyle w:val="Hypertextovodkaz"/>
                <w:rFonts w:ascii="Arial Narrow" w:hAnsi="Arial Narrow"/>
                <w:noProof/>
                <w:sz w:val="18"/>
                <w:szCs w:val="18"/>
              </w:rPr>
              <w:t>IV.3.5.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Shrnutí poznatků ORP Břeclav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_Toc136876131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165</w:t>
            </w:r>
            <w:r w:rsidR="00B32B4F" w:rsidRPr="00B32B4F">
              <w:rPr>
                <w:rFonts w:ascii="Arial Narrow" w:hAnsi="Arial Narrow"/>
                <w:noProof/>
                <w:webHidden/>
                <w:sz w:val="18"/>
                <w:szCs w:val="18"/>
              </w:rPr>
              <w:fldChar w:fldCharType="end"/>
            </w:r>
          </w:hyperlink>
        </w:p>
        <w:p w14:paraId="0877A624" w14:textId="7C1E3D45"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132"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IV.4.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V ORP KUŘIM</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_Toc136876132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167</w:t>
            </w:r>
            <w:r w:rsidR="00B32B4F" w:rsidRPr="00B32B4F">
              <w:rPr>
                <w:rFonts w:ascii="Arial Narrow" w:hAnsi="Arial Narrow"/>
                <w:noProof/>
                <w:webHidden/>
                <w:sz w:val="18"/>
                <w:szCs w:val="18"/>
              </w:rPr>
              <w:fldChar w:fldCharType="end"/>
            </w:r>
          </w:hyperlink>
        </w:p>
        <w:p w14:paraId="712D65A7" w14:textId="67AA7311"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33" w:history="1">
            <w:r w:rsidR="00B32B4F" w:rsidRPr="00B32B4F">
              <w:rPr>
                <w:rStyle w:val="Hypertextovodkaz"/>
                <w:rFonts w:ascii="Arial Narrow" w:hAnsi="Arial Narrow"/>
                <w:noProof/>
                <w:sz w:val="18"/>
                <w:szCs w:val="18"/>
              </w:rPr>
              <w:t>IV.4.1.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Základní demografické údaje o ORP Kuřim</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_Toc136876133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167</w:t>
            </w:r>
            <w:r w:rsidR="00B32B4F" w:rsidRPr="00B32B4F">
              <w:rPr>
                <w:rFonts w:ascii="Arial Narrow" w:hAnsi="Arial Narrow"/>
                <w:noProof/>
                <w:webHidden/>
                <w:sz w:val="18"/>
                <w:szCs w:val="18"/>
              </w:rPr>
              <w:fldChar w:fldCharType="end"/>
            </w:r>
          </w:hyperlink>
        </w:p>
        <w:p w14:paraId="75A1A8CF" w14:textId="280DF174"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34" w:history="1">
            <w:r w:rsidR="00B32B4F" w:rsidRPr="00B32B4F">
              <w:rPr>
                <w:rStyle w:val="Hypertextovodkaz"/>
                <w:rFonts w:ascii="Arial Narrow" w:hAnsi="Arial Narrow"/>
                <w:noProof/>
                <w:sz w:val="18"/>
                <w:szCs w:val="18"/>
              </w:rPr>
              <w:t>IV.4.2.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Počet osob s jinou než českou státní příslušností v ORP Kuřim v letech 2006–2023</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_Toc136876134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167</w:t>
            </w:r>
            <w:r w:rsidR="00B32B4F" w:rsidRPr="00B32B4F">
              <w:rPr>
                <w:rFonts w:ascii="Arial Narrow" w:hAnsi="Arial Narrow"/>
                <w:noProof/>
                <w:webHidden/>
                <w:sz w:val="18"/>
                <w:szCs w:val="18"/>
              </w:rPr>
              <w:fldChar w:fldCharType="end"/>
            </w:r>
          </w:hyperlink>
        </w:p>
        <w:p w14:paraId="55D5F1D4" w14:textId="3057D1AB"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35" w:history="1">
            <w:r w:rsidR="00B32B4F" w:rsidRPr="00B32B4F">
              <w:rPr>
                <w:rStyle w:val="Hypertextovodkaz"/>
                <w:rFonts w:ascii="Arial Narrow" w:hAnsi="Arial Narrow"/>
                <w:noProof/>
                <w:sz w:val="18"/>
                <w:szCs w:val="18"/>
              </w:rPr>
              <w:t>IV.4.3.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Zaměstnanost v ORP Kuřim</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_Toc136876135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174</w:t>
            </w:r>
            <w:r w:rsidR="00B32B4F" w:rsidRPr="00B32B4F">
              <w:rPr>
                <w:rFonts w:ascii="Arial Narrow" w:hAnsi="Arial Narrow"/>
                <w:noProof/>
                <w:webHidden/>
                <w:sz w:val="18"/>
                <w:szCs w:val="18"/>
              </w:rPr>
              <w:fldChar w:fldCharType="end"/>
            </w:r>
          </w:hyperlink>
        </w:p>
        <w:p w14:paraId="0BAB29C3" w14:textId="5A1A2E59"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36" w:history="1">
            <w:r w:rsidR="00B32B4F" w:rsidRPr="00B32B4F">
              <w:rPr>
                <w:rStyle w:val="Hypertextovodkaz"/>
                <w:rFonts w:ascii="Arial Narrow" w:hAnsi="Arial Narrow"/>
                <w:noProof/>
                <w:sz w:val="18"/>
                <w:szCs w:val="18"/>
              </w:rPr>
              <w:t>IV.4.4.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zaměstnaní v roce 2020 ve firmách na území ORP Kuřim</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_Toc136876136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175</w:t>
            </w:r>
            <w:r w:rsidR="00B32B4F" w:rsidRPr="00B32B4F">
              <w:rPr>
                <w:rFonts w:ascii="Arial Narrow" w:hAnsi="Arial Narrow"/>
                <w:noProof/>
                <w:webHidden/>
                <w:sz w:val="18"/>
                <w:szCs w:val="18"/>
              </w:rPr>
              <w:fldChar w:fldCharType="end"/>
            </w:r>
          </w:hyperlink>
        </w:p>
        <w:p w14:paraId="406DC5DA" w14:textId="7FCA72CE"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41" w:history="1">
            <w:r w:rsidR="00B32B4F" w:rsidRPr="00B32B4F">
              <w:rPr>
                <w:rStyle w:val="Hypertextovodkaz"/>
                <w:rFonts w:ascii="Arial Narrow" w:hAnsi="Arial Narrow"/>
                <w:noProof/>
                <w:sz w:val="18"/>
                <w:szCs w:val="18"/>
              </w:rPr>
              <w:t>IV.4.5.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Shrnutí poznatků ORP Kuřim</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_Toc136876141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177</w:t>
            </w:r>
            <w:r w:rsidR="00B32B4F" w:rsidRPr="00B32B4F">
              <w:rPr>
                <w:rFonts w:ascii="Arial Narrow" w:hAnsi="Arial Narrow"/>
                <w:noProof/>
                <w:webHidden/>
                <w:sz w:val="18"/>
                <w:szCs w:val="18"/>
              </w:rPr>
              <w:fldChar w:fldCharType="end"/>
            </w:r>
          </w:hyperlink>
        </w:p>
        <w:p w14:paraId="4E4C15E2" w14:textId="3EF6E27F"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142"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IV.5.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V ORP TIŠNOV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_Toc136876142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179</w:t>
            </w:r>
            <w:r w:rsidR="00B32B4F" w:rsidRPr="00B32B4F">
              <w:rPr>
                <w:rFonts w:ascii="Arial Narrow" w:hAnsi="Arial Narrow"/>
                <w:noProof/>
                <w:webHidden/>
                <w:sz w:val="18"/>
                <w:szCs w:val="18"/>
              </w:rPr>
              <w:fldChar w:fldCharType="end"/>
            </w:r>
          </w:hyperlink>
        </w:p>
        <w:p w14:paraId="57F06933" w14:textId="587C1228"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43" w:history="1">
            <w:r w:rsidR="00B32B4F" w:rsidRPr="00B32B4F">
              <w:rPr>
                <w:rStyle w:val="Hypertextovodkaz"/>
                <w:rFonts w:ascii="Arial Narrow" w:hAnsi="Arial Narrow"/>
                <w:noProof/>
                <w:sz w:val="18"/>
                <w:szCs w:val="18"/>
              </w:rPr>
              <w:t>IV.5.1.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Základní demografické údaje o ORP Tišnov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_Toc136876143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179</w:t>
            </w:r>
            <w:r w:rsidR="00B32B4F" w:rsidRPr="00B32B4F">
              <w:rPr>
                <w:rFonts w:ascii="Arial Narrow" w:hAnsi="Arial Narrow"/>
                <w:noProof/>
                <w:webHidden/>
                <w:sz w:val="18"/>
                <w:szCs w:val="18"/>
              </w:rPr>
              <w:fldChar w:fldCharType="end"/>
            </w:r>
          </w:hyperlink>
        </w:p>
        <w:p w14:paraId="3D00AB29" w14:textId="46BF4729"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44" w:history="1">
            <w:r w:rsidR="00B32B4F" w:rsidRPr="00B32B4F">
              <w:rPr>
                <w:rStyle w:val="Hypertextovodkaz"/>
                <w:rFonts w:ascii="Arial Narrow" w:hAnsi="Arial Narrow"/>
                <w:noProof/>
                <w:sz w:val="18"/>
                <w:szCs w:val="18"/>
              </w:rPr>
              <w:t>IV.5.2.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Počet osob s jinou než českou státní příslušností v ORP Tišnov v letech 2007–2023</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_Toc136876144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179</w:t>
            </w:r>
            <w:r w:rsidR="00B32B4F" w:rsidRPr="00B32B4F">
              <w:rPr>
                <w:rFonts w:ascii="Arial Narrow" w:hAnsi="Arial Narrow"/>
                <w:noProof/>
                <w:webHidden/>
                <w:sz w:val="18"/>
                <w:szCs w:val="18"/>
              </w:rPr>
              <w:fldChar w:fldCharType="end"/>
            </w:r>
          </w:hyperlink>
        </w:p>
        <w:p w14:paraId="5DB3115E" w14:textId="054C3B48"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45" w:history="1">
            <w:r w:rsidR="00B32B4F" w:rsidRPr="00B32B4F">
              <w:rPr>
                <w:rStyle w:val="Hypertextovodkaz"/>
                <w:rFonts w:ascii="Arial Narrow" w:hAnsi="Arial Narrow"/>
                <w:noProof/>
                <w:sz w:val="18"/>
                <w:szCs w:val="18"/>
              </w:rPr>
              <w:t>IV.5.3.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Zaměstnanost v ORP Tišnov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_Toc136876145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186</w:t>
            </w:r>
            <w:r w:rsidR="00B32B4F" w:rsidRPr="00B32B4F">
              <w:rPr>
                <w:rFonts w:ascii="Arial Narrow" w:hAnsi="Arial Narrow"/>
                <w:noProof/>
                <w:webHidden/>
                <w:sz w:val="18"/>
                <w:szCs w:val="18"/>
              </w:rPr>
              <w:fldChar w:fldCharType="end"/>
            </w:r>
          </w:hyperlink>
        </w:p>
        <w:p w14:paraId="39AE3C4F" w14:textId="054084FD"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46" w:history="1">
            <w:r w:rsidR="00B32B4F" w:rsidRPr="00B32B4F">
              <w:rPr>
                <w:rStyle w:val="Hypertextovodkaz"/>
                <w:rFonts w:ascii="Arial Narrow" w:hAnsi="Arial Narrow"/>
                <w:noProof/>
                <w:sz w:val="18"/>
                <w:szCs w:val="18"/>
              </w:rPr>
              <w:t>IV.5.4.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zaměstnaní v roce 2020 ve firmách na území ORP</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_Toc136876146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187</w:t>
            </w:r>
            <w:r w:rsidR="00B32B4F" w:rsidRPr="00B32B4F">
              <w:rPr>
                <w:rFonts w:ascii="Arial Narrow" w:hAnsi="Arial Narrow"/>
                <w:noProof/>
                <w:webHidden/>
                <w:sz w:val="18"/>
                <w:szCs w:val="18"/>
              </w:rPr>
              <w:fldChar w:fldCharType="end"/>
            </w:r>
          </w:hyperlink>
        </w:p>
        <w:p w14:paraId="6C4C7185" w14:textId="5F6D87BB"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51" w:history="1">
            <w:r w:rsidR="00B32B4F" w:rsidRPr="00B32B4F">
              <w:rPr>
                <w:rStyle w:val="Hypertextovodkaz"/>
                <w:rFonts w:ascii="Arial Narrow" w:hAnsi="Arial Narrow"/>
                <w:noProof/>
                <w:sz w:val="18"/>
                <w:szCs w:val="18"/>
              </w:rPr>
              <w:t>IV.5.5.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Shrnutí poznatků ORP Tišnov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_Toc136876151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189</w:t>
            </w:r>
            <w:r w:rsidR="00B32B4F" w:rsidRPr="00B32B4F">
              <w:rPr>
                <w:rFonts w:ascii="Arial Narrow" w:hAnsi="Arial Narrow"/>
                <w:noProof/>
                <w:webHidden/>
                <w:sz w:val="18"/>
                <w:szCs w:val="18"/>
              </w:rPr>
              <w:fldChar w:fldCharType="end"/>
            </w:r>
          </w:hyperlink>
        </w:p>
        <w:p w14:paraId="4BABFED1" w14:textId="19ECEC75"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152"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IV.6.</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V ORP VYŠKOV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_Toc136876152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191</w:t>
            </w:r>
            <w:r w:rsidR="00B32B4F" w:rsidRPr="00B32B4F">
              <w:rPr>
                <w:rFonts w:ascii="Arial Narrow" w:hAnsi="Arial Narrow"/>
                <w:noProof/>
                <w:webHidden/>
                <w:sz w:val="18"/>
                <w:szCs w:val="18"/>
              </w:rPr>
              <w:fldChar w:fldCharType="end"/>
            </w:r>
          </w:hyperlink>
        </w:p>
        <w:p w14:paraId="205B6960" w14:textId="501DBD58"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53" w:history="1">
            <w:r w:rsidR="00B32B4F" w:rsidRPr="00B32B4F">
              <w:rPr>
                <w:rStyle w:val="Hypertextovodkaz"/>
                <w:rFonts w:ascii="Arial Narrow" w:hAnsi="Arial Narrow"/>
                <w:noProof/>
                <w:sz w:val="18"/>
                <w:szCs w:val="18"/>
              </w:rPr>
              <w:t>IV.6.1.</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Základní demografické údaje o ORP Vyškov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_Toc136876153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191</w:t>
            </w:r>
            <w:r w:rsidR="00B32B4F" w:rsidRPr="00B32B4F">
              <w:rPr>
                <w:rFonts w:ascii="Arial Narrow" w:hAnsi="Arial Narrow"/>
                <w:noProof/>
                <w:webHidden/>
                <w:sz w:val="18"/>
                <w:szCs w:val="18"/>
              </w:rPr>
              <w:fldChar w:fldCharType="end"/>
            </w:r>
          </w:hyperlink>
        </w:p>
        <w:p w14:paraId="6DE64C5B" w14:textId="26F16B3B"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54" w:history="1">
            <w:r w:rsidR="00B32B4F" w:rsidRPr="00B32B4F">
              <w:rPr>
                <w:rStyle w:val="Hypertextovodkaz"/>
                <w:rFonts w:ascii="Arial Narrow" w:hAnsi="Arial Narrow"/>
                <w:noProof/>
                <w:sz w:val="18"/>
                <w:szCs w:val="18"/>
              </w:rPr>
              <w:t>IV.6.2.</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Počet osob s jinou než českou státní příslušností v ORP Vyškov v letech 2006–2023</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_Toc136876154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191</w:t>
            </w:r>
            <w:r w:rsidR="00B32B4F" w:rsidRPr="00B32B4F">
              <w:rPr>
                <w:rFonts w:ascii="Arial Narrow" w:hAnsi="Arial Narrow"/>
                <w:noProof/>
                <w:webHidden/>
                <w:sz w:val="18"/>
                <w:szCs w:val="18"/>
              </w:rPr>
              <w:fldChar w:fldCharType="end"/>
            </w:r>
          </w:hyperlink>
        </w:p>
        <w:p w14:paraId="370C4003" w14:textId="1F298F8D"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55" w:history="1">
            <w:r w:rsidR="00B32B4F" w:rsidRPr="00B32B4F">
              <w:rPr>
                <w:rStyle w:val="Hypertextovodkaz"/>
                <w:rFonts w:ascii="Arial Narrow" w:hAnsi="Arial Narrow"/>
                <w:noProof/>
                <w:sz w:val="18"/>
                <w:szCs w:val="18"/>
              </w:rPr>
              <w:t>IV.6.3.</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Zaměstnanost v ORP Vyškov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_Toc136876155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199</w:t>
            </w:r>
            <w:r w:rsidR="00B32B4F" w:rsidRPr="00B32B4F">
              <w:rPr>
                <w:rFonts w:ascii="Arial Narrow" w:hAnsi="Arial Narrow"/>
                <w:noProof/>
                <w:webHidden/>
                <w:sz w:val="18"/>
                <w:szCs w:val="18"/>
              </w:rPr>
              <w:fldChar w:fldCharType="end"/>
            </w:r>
          </w:hyperlink>
        </w:p>
        <w:p w14:paraId="6C007DCA" w14:textId="52D14E5F"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56" w:history="1">
            <w:r w:rsidR="00B32B4F" w:rsidRPr="00B32B4F">
              <w:rPr>
                <w:rStyle w:val="Hypertextovodkaz"/>
                <w:rFonts w:ascii="Arial Narrow" w:hAnsi="Arial Narrow"/>
                <w:noProof/>
                <w:sz w:val="18"/>
                <w:szCs w:val="18"/>
              </w:rPr>
              <w:t>IV.6.4.</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Osoby s jinou než českou státní příslušností zaměstnané v roce 2020 ve firmách na území ORP</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_Toc136876156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200</w:t>
            </w:r>
            <w:r w:rsidR="00B32B4F" w:rsidRPr="00B32B4F">
              <w:rPr>
                <w:rFonts w:ascii="Arial Narrow" w:hAnsi="Arial Narrow"/>
                <w:noProof/>
                <w:webHidden/>
                <w:sz w:val="18"/>
                <w:szCs w:val="18"/>
              </w:rPr>
              <w:fldChar w:fldCharType="end"/>
            </w:r>
          </w:hyperlink>
        </w:p>
        <w:p w14:paraId="69E6B241" w14:textId="3BC45866" w:rsidR="00B32B4F" w:rsidRPr="00B32B4F" w:rsidRDefault="00F71F72" w:rsidP="00B32B4F">
          <w:pPr>
            <w:pStyle w:val="Obsah3"/>
            <w:tabs>
              <w:tab w:val="left" w:pos="1320"/>
              <w:tab w:val="right" w:pos="9062"/>
            </w:tabs>
            <w:spacing w:line="240" w:lineRule="auto"/>
            <w:rPr>
              <w:rFonts w:ascii="Arial Narrow" w:hAnsi="Arial Narrow"/>
              <w:noProof/>
              <w:kern w:val="2"/>
              <w:sz w:val="18"/>
              <w:szCs w:val="18"/>
              <w14:ligatures w14:val="standardContextual"/>
            </w:rPr>
          </w:pPr>
          <w:hyperlink w:anchor="_Toc136876161" w:history="1">
            <w:r w:rsidR="00B32B4F" w:rsidRPr="00B32B4F">
              <w:rPr>
                <w:rStyle w:val="Hypertextovodkaz"/>
                <w:rFonts w:ascii="Arial Narrow" w:hAnsi="Arial Narrow"/>
                <w:noProof/>
                <w:sz w:val="18"/>
                <w:szCs w:val="18"/>
              </w:rPr>
              <w:t>IV.6.5.</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Shrnutí poznatků ORP Vyškov</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_Toc136876161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202</w:t>
            </w:r>
            <w:r w:rsidR="00B32B4F" w:rsidRPr="00B32B4F">
              <w:rPr>
                <w:rFonts w:ascii="Arial Narrow" w:hAnsi="Arial Narrow"/>
                <w:noProof/>
                <w:webHidden/>
                <w:sz w:val="18"/>
                <w:szCs w:val="18"/>
              </w:rPr>
              <w:fldChar w:fldCharType="end"/>
            </w:r>
          </w:hyperlink>
        </w:p>
        <w:p w14:paraId="68BCE317" w14:textId="59BB4CB0" w:rsidR="00B32B4F" w:rsidRPr="00B32B4F" w:rsidRDefault="00F71F72" w:rsidP="00B32B4F">
          <w:pPr>
            <w:pStyle w:val="Obsah2"/>
            <w:spacing w:line="240" w:lineRule="auto"/>
            <w:rPr>
              <w:rFonts w:ascii="Arial Narrow" w:hAnsi="Arial Narrow"/>
              <w:noProof/>
              <w:kern w:val="2"/>
              <w:sz w:val="18"/>
              <w:szCs w:val="18"/>
              <w14:ligatures w14:val="standardContextual"/>
            </w:rPr>
          </w:pPr>
          <w:hyperlink w:anchor="_Toc136876168" w:history="1">
            <w:r w:rsidR="00B32B4F" w:rsidRPr="00B32B4F">
              <w:rPr>
                <w:rStyle w:val="Hypertextovodkaz"/>
                <w:rFonts w:ascii="Arial Narrow" w:hAnsi="Arial Narrow"/>
                <w:noProof/>
                <w:sz w:val="18"/>
                <w:szCs w:val="18"/>
                <w14:scene3d>
                  <w14:camera w14:prst="orthographicFront"/>
                  <w14:lightRig w14:rig="threePt" w14:dir="t">
                    <w14:rot w14:lat="0" w14:lon="0" w14:rev="0"/>
                  </w14:lightRig>
                </w14:scene3d>
              </w:rPr>
              <w:t>IV.7.</w:t>
            </w:r>
            <w:r w:rsidR="00B32B4F" w:rsidRPr="00B32B4F">
              <w:rPr>
                <w:rFonts w:ascii="Arial Narrow" w:hAnsi="Arial Narrow"/>
                <w:noProof/>
                <w:kern w:val="2"/>
                <w:sz w:val="18"/>
                <w:szCs w:val="18"/>
                <w14:ligatures w14:val="standardContextual"/>
              </w:rPr>
              <w:tab/>
            </w:r>
            <w:r w:rsidR="00B32B4F" w:rsidRPr="00B32B4F">
              <w:rPr>
                <w:rStyle w:val="Hypertextovodkaz"/>
                <w:rFonts w:ascii="Arial Narrow" w:hAnsi="Arial Narrow"/>
                <w:noProof/>
                <w:sz w:val="18"/>
                <w:szCs w:val="18"/>
              </w:rPr>
              <w:t>SROVNÁNÍ VYBRANÝCH ORP – VÝVOJ PODÍLU OSOB S JINOU NEŽ ČESKOU STÁTNÍ PŘÍSLUŠNOSTÍ NA CELKOVÉM POČTU OBYVATEL ORP</w:t>
            </w:r>
            <w:r w:rsidR="00B32B4F" w:rsidRPr="00B32B4F">
              <w:rPr>
                <w:rFonts w:ascii="Arial Narrow" w:hAnsi="Arial Narrow"/>
                <w:noProof/>
                <w:webHidden/>
                <w:sz w:val="18"/>
                <w:szCs w:val="18"/>
              </w:rPr>
              <w:tab/>
            </w:r>
            <w:r w:rsidR="00B32B4F" w:rsidRPr="00B32B4F">
              <w:rPr>
                <w:rFonts w:ascii="Arial Narrow" w:hAnsi="Arial Narrow"/>
                <w:noProof/>
                <w:webHidden/>
                <w:sz w:val="18"/>
                <w:szCs w:val="18"/>
              </w:rPr>
              <w:fldChar w:fldCharType="begin"/>
            </w:r>
            <w:r w:rsidR="00B32B4F" w:rsidRPr="00B32B4F">
              <w:rPr>
                <w:rFonts w:ascii="Arial Narrow" w:hAnsi="Arial Narrow"/>
                <w:noProof/>
                <w:webHidden/>
                <w:sz w:val="18"/>
                <w:szCs w:val="18"/>
              </w:rPr>
              <w:instrText xml:space="preserve"> PAGEREF _Toc136876168 \h </w:instrText>
            </w:r>
            <w:r w:rsidR="00B32B4F" w:rsidRPr="00B32B4F">
              <w:rPr>
                <w:rFonts w:ascii="Arial Narrow" w:hAnsi="Arial Narrow"/>
                <w:noProof/>
                <w:webHidden/>
                <w:sz w:val="18"/>
                <w:szCs w:val="18"/>
              </w:rPr>
            </w:r>
            <w:r w:rsidR="00B32B4F" w:rsidRPr="00B32B4F">
              <w:rPr>
                <w:rFonts w:ascii="Arial Narrow" w:hAnsi="Arial Narrow"/>
                <w:noProof/>
                <w:webHidden/>
                <w:sz w:val="18"/>
                <w:szCs w:val="18"/>
              </w:rPr>
              <w:fldChar w:fldCharType="separate"/>
            </w:r>
            <w:r w:rsidR="00F74619">
              <w:rPr>
                <w:rFonts w:ascii="Arial Narrow" w:hAnsi="Arial Narrow"/>
                <w:noProof/>
                <w:webHidden/>
                <w:sz w:val="18"/>
                <w:szCs w:val="18"/>
              </w:rPr>
              <w:t>204</w:t>
            </w:r>
            <w:r w:rsidR="00B32B4F" w:rsidRPr="00B32B4F">
              <w:rPr>
                <w:rFonts w:ascii="Arial Narrow" w:hAnsi="Arial Narrow"/>
                <w:noProof/>
                <w:webHidden/>
                <w:sz w:val="18"/>
                <w:szCs w:val="18"/>
              </w:rPr>
              <w:fldChar w:fldCharType="end"/>
            </w:r>
          </w:hyperlink>
        </w:p>
        <w:p w14:paraId="3160DC99" w14:textId="3993CD3E" w:rsidR="00B32B4F" w:rsidRPr="00B32B4F" w:rsidRDefault="00F71F72" w:rsidP="00B32B4F">
          <w:pPr>
            <w:pStyle w:val="Obsah1"/>
            <w:rPr>
              <w:kern w:val="2"/>
              <w14:ligatures w14:val="standardContextual"/>
            </w:rPr>
          </w:pPr>
          <w:hyperlink w:anchor="_Toc136876169" w:history="1">
            <w:r w:rsidR="00B32B4F" w:rsidRPr="00B32B4F">
              <w:rPr>
                <w:rStyle w:val="Hypertextovodkaz"/>
              </w:rPr>
              <w:t>V.</w:t>
            </w:r>
            <w:r w:rsidR="00B32B4F" w:rsidRPr="00B32B4F">
              <w:rPr>
                <w:kern w:val="2"/>
                <w14:ligatures w14:val="standardContextual"/>
              </w:rPr>
              <w:tab/>
            </w:r>
            <w:r w:rsidR="00B32B4F" w:rsidRPr="00B32B4F">
              <w:rPr>
                <w:rStyle w:val="Hypertextovodkaz"/>
              </w:rPr>
              <w:t>DÍLČÍ ZÁVĚRY A PRAKTICKÁ DOPORUČENÍ PRO PROJEKT A VEŘEJNOU POLITIKU K TEMATICKÉMU OKRUHU A)</w:t>
            </w:r>
            <w:r w:rsidR="00B32B4F" w:rsidRPr="00B32B4F">
              <w:rPr>
                <w:webHidden/>
              </w:rPr>
              <w:tab/>
            </w:r>
            <w:r w:rsidR="00B32B4F" w:rsidRPr="00B32B4F">
              <w:rPr>
                <w:webHidden/>
              </w:rPr>
              <w:fldChar w:fldCharType="begin"/>
            </w:r>
            <w:r w:rsidR="00B32B4F" w:rsidRPr="00B32B4F">
              <w:rPr>
                <w:webHidden/>
              </w:rPr>
              <w:instrText xml:space="preserve"> PAGEREF _Toc136876169 \h </w:instrText>
            </w:r>
            <w:r w:rsidR="00B32B4F" w:rsidRPr="00B32B4F">
              <w:rPr>
                <w:webHidden/>
              </w:rPr>
            </w:r>
            <w:r w:rsidR="00B32B4F" w:rsidRPr="00B32B4F">
              <w:rPr>
                <w:webHidden/>
              </w:rPr>
              <w:fldChar w:fldCharType="separate"/>
            </w:r>
            <w:r w:rsidR="00F74619">
              <w:rPr>
                <w:webHidden/>
              </w:rPr>
              <w:t>206</w:t>
            </w:r>
            <w:r w:rsidR="00B32B4F" w:rsidRPr="00B32B4F">
              <w:rPr>
                <w:webHidden/>
              </w:rPr>
              <w:fldChar w:fldCharType="end"/>
            </w:r>
          </w:hyperlink>
        </w:p>
        <w:p w14:paraId="6BFB9AFE" w14:textId="3442384C" w:rsidR="00B32B4F" w:rsidRPr="00B32B4F" w:rsidRDefault="00F71F72" w:rsidP="00B32B4F">
          <w:pPr>
            <w:pStyle w:val="Obsah1"/>
            <w:rPr>
              <w:kern w:val="2"/>
              <w14:ligatures w14:val="standardContextual"/>
            </w:rPr>
          </w:pPr>
          <w:hyperlink w:anchor="_Toc136876170" w:history="1">
            <w:r w:rsidR="00B32B4F" w:rsidRPr="00B32B4F">
              <w:rPr>
                <w:rStyle w:val="Hypertextovodkaz"/>
              </w:rPr>
              <w:t>VI.</w:t>
            </w:r>
            <w:r w:rsidR="00B32B4F" w:rsidRPr="00B32B4F">
              <w:rPr>
                <w:kern w:val="2"/>
                <w14:ligatures w14:val="standardContextual"/>
              </w:rPr>
              <w:tab/>
            </w:r>
            <w:r w:rsidR="00B32B4F" w:rsidRPr="00B32B4F">
              <w:rPr>
                <w:rStyle w:val="Hypertextovodkaz"/>
              </w:rPr>
              <w:t>SEZNAM ZDROJŮ</w:t>
            </w:r>
            <w:r w:rsidR="00B32B4F" w:rsidRPr="00B32B4F">
              <w:rPr>
                <w:webHidden/>
              </w:rPr>
              <w:tab/>
            </w:r>
            <w:r w:rsidR="00B32B4F" w:rsidRPr="00B32B4F">
              <w:rPr>
                <w:webHidden/>
              </w:rPr>
              <w:fldChar w:fldCharType="begin"/>
            </w:r>
            <w:r w:rsidR="00B32B4F" w:rsidRPr="00B32B4F">
              <w:rPr>
                <w:webHidden/>
              </w:rPr>
              <w:instrText xml:space="preserve"> PAGEREF _Toc136876170 \h </w:instrText>
            </w:r>
            <w:r w:rsidR="00B32B4F" w:rsidRPr="00B32B4F">
              <w:rPr>
                <w:webHidden/>
              </w:rPr>
            </w:r>
            <w:r w:rsidR="00B32B4F" w:rsidRPr="00B32B4F">
              <w:rPr>
                <w:webHidden/>
              </w:rPr>
              <w:fldChar w:fldCharType="separate"/>
            </w:r>
            <w:r w:rsidR="00F74619">
              <w:rPr>
                <w:webHidden/>
              </w:rPr>
              <w:t>210</w:t>
            </w:r>
            <w:r w:rsidR="00B32B4F" w:rsidRPr="00B32B4F">
              <w:rPr>
                <w:webHidden/>
              </w:rPr>
              <w:fldChar w:fldCharType="end"/>
            </w:r>
          </w:hyperlink>
        </w:p>
        <w:p w14:paraId="2E75F211" w14:textId="31313F24" w:rsidR="00B32B4F" w:rsidRPr="00B32B4F" w:rsidRDefault="00F71F72" w:rsidP="00B32B4F">
          <w:pPr>
            <w:pStyle w:val="Obsah1"/>
            <w:rPr>
              <w:kern w:val="2"/>
              <w14:ligatures w14:val="standardContextual"/>
            </w:rPr>
          </w:pPr>
          <w:hyperlink w:anchor="_Toc136876171" w:history="1">
            <w:r w:rsidR="00B32B4F" w:rsidRPr="00B32B4F">
              <w:rPr>
                <w:rStyle w:val="Hypertextovodkaz"/>
              </w:rPr>
              <w:t>VII.</w:t>
            </w:r>
            <w:r w:rsidR="00B32B4F" w:rsidRPr="00B32B4F">
              <w:rPr>
                <w:kern w:val="2"/>
                <w14:ligatures w14:val="standardContextual"/>
              </w:rPr>
              <w:tab/>
            </w:r>
            <w:r w:rsidR="00B32B4F" w:rsidRPr="00B32B4F">
              <w:rPr>
                <w:rStyle w:val="Hypertextovodkaz"/>
              </w:rPr>
              <w:t>SEZNAM GRAFŮ</w:t>
            </w:r>
            <w:r w:rsidR="00B32B4F" w:rsidRPr="00B32B4F">
              <w:rPr>
                <w:webHidden/>
              </w:rPr>
              <w:tab/>
            </w:r>
            <w:r w:rsidR="00B32B4F" w:rsidRPr="00B32B4F">
              <w:rPr>
                <w:webHidden/>
              </w:rPr>
              <w:fldChar w:fldCharType="begin"/>
            </w:r>
            <w:r w:rsidR="00B32B4F" w:rsidRPr="00B32B4F">
              <w:rPr>
                <w:webHidden/>
              </w:rPr>
              <w:instrText xml:space="preserve"> PAGEREF _Toc136876171 \h </w:instrText>
            </w:r>
            <w:r w:rsidR="00B32B4F" w:rsidRPr="00B32B4F">
              <w:rPr>
                <w:webHidden/>
              </w:rPr>
            </w:r>
            <w:r w:rsidR="00B32B4F" w:rsidRPr="00B32B4F">
              <w:rPr>
                <w:webHidden/>
              </w:rPr>
              <w:fldChar w:fldCharType="separate"/>
            </w:r>
            <w:r w:rsidR="00F74619">
              <w:rPr>
                <w:webHidden/>
              </w:rPr>
              <w:t>213</w:t>
            </w:r>
            <w:r w:rsidR="00B32B4F" w:rsidRPr="00B32B4F">
              <w:rPr>
                <w:webHidden/>
              </w:rPr>
              <w:fldChar w:fldCharType="end"/>
            </w:r>
          </w:hyperlink>
        </w:p>
        <w:p w14:paraId="7DD45050" w14:textId="6FA4E684" w:rsidR="00B32B4F" w:rsidRPr="00B32B4F" w:rsidRDefault="00F71F72" w:rsidP="00B32B4F">
          <w:pPr>
            <w:pStyle w:val="Obsah1"/>
            <w:rPr>
              <w:kern w:val="2"/>
              <w14:ligatures w14:val="standardContextual"/>
            </w:rPr>
          </w:pPr>
          <w:hyperlink w:anchor="_Toc136876172" w:history="1">
            <w:r w:rsidR="00B32B4F" w:rsidRPr="00B32B4F">
              <w:rPr>
                <w:rStyle w:val="Hypertextovodkaz"/>
              </w:rPr>
              <w:t>VIII.</w:t>
            </w:r>
            <w:r w:rsidR="00B32B4F" w:rsidRPr="00B32B4F">
              <w:rPr>
                <w:kern w:val="2"/>
                <w14:ligatures w14:val="standardContextual"/>
              </w:rPr>
              <w:tab/>
            </w:r>
            <w:r w:rsidR="00B32B4F" w:rsidRPr="00B32B4F">
              <w:rPr>
                <w:rStyle w:val="Hypertextovodkaz"/>
              </w:rPr>
              <w:t>SEZNAM TABULEK</w:t>
            </w:r>
            <w:r w:rsidR="00B32B4F" w:rsidRPr="00B32B4F">
              <w:rPr>
                <w:webHidden/>
              </w:rPr>
              <w:tab/>
            </w:r>
            <w:r w:rsidR="00B32B4F" w:rsidRPr="00B32B4F">
              <w:rPr>
                <w:webHidden/>
              </w:rPr>
              <w:fldChar w:fldCharType="begin"/>
            </w:r>
            <w:r w:rsidR="00B32B4F" w:rsidRPr="00B32B4F">
              <w:rPr>
                <w:webHidden/>
              </w:rPr>
              <w:instrText xml:space="preserve"> PAGEREF _Toc136876172 \h </w:instrText>
            </w:r>
            <w:r w:rsidR="00B32B4F" w:rsidRPr="00B32B4F">
              <w:rPr>
                <w:webHidden/>
              </w:rPr>
            </w:r>
            <w:r w:rsidR="00B32B4F" w:rsidRPr="00B32B4F">
              <w:rPr>
                <w:webHidden/>
              </w:rPr>
              <w:fldChar w:fldCharType="separate"/>
            </w:r>
            <w:r w:rsidR="00F74619">
              <w:rPr>
                <w:webHidden/>
              </w:rPr>
              <w:t>217</w:t>
            </w:r>
            <w:r w:rsidR="00B32B4F" w:rsidRPr="00B32B4F">
              <w:rPr>
                <w:webHidden/>
              </w:rPr>
              <w:fldChar w:fldCharType="end"/>
            </w:r>
          </w:hyperlink>
        </w:p>
        <w:p w14:paraId="5519FA9B" w14:textId="1B91F70A" w:rsidR="00B32B4F" w:rsidRPr="00B32B4F" w:rsidRDefault="00F71F72" w:rsidP="00B32B4F">
          <w:pPr>
            <w:pStyle w:val="Obsah1"/>
            <w:rPr>
              <w:kern w:val="2"/>
              <w14:ligatures w14:val="standardContextual"/>
            </w:rPr>
          </w:pPr>
          <w:hyperlink w:anchor="_Toc136876173" w:history="1">
            <w:r w:rsidR="00B32B4F" w:rsidRPr="00B32B4F">
              <w:rPr>
                <w:rStyle w:val="Hypertextovodkaz"/>
                <w:rFonts w:cs="Arial"/>
              </w:rPr>
              <w:t>IX.</w:t>
            </w:r>
            <w:r w:rsidR="00B32B4F" w:rsidRPr="00B32B4F">
              <w:rPr>
                <w:kern w:val="2"/>
                <w14:ligatures w14:val="standardContextual"/>
              </w:rPr>
              <w:tab/>
            </w:r>
            <w:r w:rsidR="00B32B4F" w:rsidRPr="00B32B4F">
              <w:rPr>
                <w:rStyle w:val="Hypertextovodkaz"/>
              </w:rPr>
              <w:t>SEZNAM OBRÁZKŮ</w:t>
            </w:r>
            <w:r w:rsidR="00B32B4F" w:rsidRPr="00B32B4F">
              <w:rPr>
                <w:webHidden/>
              </w:rPr>
              <w:tab/>
            </w:r>
            <w:r w:rsidR="00B32B4F" w:rsidRPr="00B32B4F">
              <w:rPr>
                <w:webHidden/>
              </w:rPr>
              <w:fldChar w:fldCharType="begin"/>
            </w:r>
            <w:r w:rsidR="00B32B4F" w:rsidRPr="00B32B4F">
              <w:rPr>
                <w:webHidden/>
              </w:rPr>
              <w:instrText xml:space="preserve"> PAGEREF _Toc136876173 \h </w:instrText>
            </w:r>
            <w:r w:rsidR="00B32B4F" w:rsidRPr="00B32B4F">
              <w:rPr>
                <w:webHidden/>
              </w:rPr>
            </w:r>
            <w:r w:rsidR="00B32B4F" w:rsidRPr="00B32B4F">
              <w:rPr>
                <w:webHidden/>
              </w:rPr>
              <w:fldChar w:fldCharType="separate"/>
            </w:r>
            <w:r w:rsidR="00F74619">
              <w:rPr>
                <w:webHidden/>
              </w:rPr>
              <w:t>219</w:t>
            </w:r>
            <w:r w:rsidR="00B32B4F" w:rsidRPr="00B32B4F">
              <w:rPr>
                <w:webHidden/>
              </w:rPr>
              <w:fldChar w:fldCharType="end"/>
            </w:r>
          </w:hyperlink>
        </w:p>
        <w:p w14:paraId="453A5A97" w14:textId="60AFFBBA" w:rsidR="00447244" w:rsidRPr="00940C24" w:rsidRDefault="00F1264F" w:rsidP="00B32B4F">
          <w:pPr>
            <w:tabs>
              <w:tab w:val="right" w:pos="9072"/>
            </w:tabs>
            <w:rPr>
              <w:rFonts w:ascii="Arial Narrow" w:hAnsi="Arial Narrow" w:cs="Arial"/>
              <w:b/>
              <w:bCs/>
              <w:sz w:val="20"/>
              <w:szCs w:val="20"/>
            </w:rPr>
          </w:pPr>
          <w:r w:rsidRPr="00B32B4F">
            <w:rPr>
              <w:rFonts w:ascii="Arial Narrow" w:hAnsi="Arial Narrow" w:cs="Arial"/>
              <w:b/>
              <w:bCs/>
              <w:sz w:val="18"/>
              <w:szCs w:val="18"/>
            </w:rPr>
            <w:fldChar w:fldCharType="end"/>
          </w:r>
        </w:p>
      </w:sdtContent>
    </w:sdt>
    <w:bookmarkStart w:id="6" w:name="_Toc77152967" w:displacedByCustomXml="prev"/>
    <w:bookmarkStart w:id="7" w:name="_Toc39142044" w:displacedByCustomXml="prev"/>
    <w:p w14:paraId="5BD0EAE1" w14:textId="0F50773B" w:rsidR="008B0103" w:rsidRDefault="008B0103" w:rsidP="008B0103">
      <w:pPr>
        <w:rPr>
          <w:rFonts w:ascii="Arial Narrow" w:hAnsi="Arial Narrow"/>
          <w:lang w:eastAsia="cs-CZ"/>
        </w:rPr>
      </w:pPr>
      <w:r w:rsidRPr="00847F4B">
        <w:rPr>
          <w:rFonts w:ascii="Arial Narrow" w:hAnsi="Arial Narrow"/>
          <w:sz w:val="20"/>
          <w:szCs w:val="20"/>
          <w:lang w:eastAsia="cs-CZ"/>
        </w:rPr>
        <w:br/>
      </w:r>
    </w:p>
    <w:p w14:paraId="1CFAD965" w14:textId="5E72ABB1" w:rsidR="00B8720E" w:rsidRDefault="00B8720E" w:rsidP="008B0103">
      <w:pPr>
        <w:rPr>
          <w:rFonts w:ascii="Arial Narrow" w:hAnsi="Arial Narrow"/>
          <w:lang w:eastAsia="cs-CZ"/>
        </w:rPr>
      </w:pPr>
    </w:p>
    <w:p w14:paraId="70318163" w14:textId="10163D64" w:rsidR="00B8720E" w:rsidRDefault="00B8720E" w:rsidP="008B0103">
      <w:pPr>
        <w:rPr>
          <w:rFonts w:ascii="Arial Narrow" w:hAnsi="Arial Narrow"/>
          <w:lang w:eastAsia="cs-CZ"/>
        </w:rPr>
      </w:pPr>
    </w:p>
    <w:p w14:paraId="403DD44F" w14:textId="7CAA9B74" w:rsidR="00B8720E" w:rsidRDefault="00B8720E" w:rsidP="008B0103">
      <w:pPr>
        <w:rPr>
          <w:rFonts w:ascii="Arial Narrow" w:hAnsi="Arial Narrow"/>
          <w:lang w:eastAsia="cs-CZ"/>
        </w:rPr>
      </w:pPr>
    </w:p>
    <w:p w14:paraId="381AB6BD" w14:textId="70846AF5" w:rsidR="00B8720E" w:rsidRDefault="00B8720E" w:rsidP="008B0103">
      <w:pPr>
        <w:rPr>
          <w:rFonts w:ascii="Arial Narrow" w:hAnsi="Arial Narrow"/>
          <w:lang w:eastAsia="cs-CZ"/>
        </w:rPr>
      </w:pPr>
    </w:p>
    <w:p w14:paraId="75E972D7" w14:textId="77777777" w:rsidR="003C1C4A" w:rsidRDefault="003C1C4A" w:rsidP="008B0103">
      <w:pPr>
        <w:rPr>
          <w:rFonts w:ascii="Arial Narrow" w:hAnsi="Arial Narrow"/>
          <w:lang w:eastAsia="cs-CZ"/>
        </w:rPr>
      </w:pPr>
    </w:p>
    <w:p w14:paraId="758DB49B" w14:textId="77777777" w:rsidR="003C1C4A" w:rsidRDefault="003C1C4A" w:rsidP="008B0103">
      <w:pPr>
        <w:rPr>
          <w:rFonts w:ascii="Arial Narrow" w:hAnsi="Arial Narrow"/>
          <w:lang w:eastAsia="cs-CZ"/>
        </w:rPr>
      </w:pPr>
    </w:p>
    <w:p w14:paraId="0B1D9B2B" w14:textId="77777777" w:rsidR="003C1C4A" w:rsidRDefault="003C1C4A" w:rsidP="008B0103">
      <w:pPr>
        <w:rPr>
          <w:rFonts w:ascii="Arial Narrow" w:hAnsi="Arial Narrow"/>
          <w:lang w:eastAsia="cs-CZ"/>
        </w:rPr>
      </w:pPr>
    </w:p>
    <w:p w14:paraId="3BBB66E8" w14:textId="77777777" w:rsidR="00B32B4F" w:rsidRDefault="00B32B4F" w:rsidP="008B0103">
      <w:pPr>
        <w:rPr>
          <w:rFonts w:ascii="Arial Narrow" w:hAnsi="Arial Narrow"/>
          <w:lang w:eastAsia="cs-CZ"/>
        </w:rPr>
      </w:pPr>
    </w:p>
    <w:p w14:paraId="66AD79A8" w14:textId="77777777" w:rsidR="00B32B4F" w:rsidRDefault="00B32B4F" w:rsidP="008B0103">
      <w:pPr>
        <w:rPr>
          <w:rFonts w:ascii="Arial Narrow" w:hAnsi="Arial Narrow"/>
          <w:lang w:eastAsia="cs-CZ"/>
        </w:rPr>
      </w:pPr>
    </w:p>
    <w:p w14:paraId="17B885AA" w14:textId="77777777" w:rsidR="00B32B4F" w:rsidRDefault="00B32B4F" w:rsidP="008B0103">
      <w:pPr>
        <w:rPr>
          <w:rFonts w:ascii="Arial Narrow" w:hAnsi="Arial Narrow"/>
          <w:lang w:eastAsia="cs-CZ"/>
        </w:rPr>
      </w:pPr>
    </w:p>
    <w:p w14:paraId="7EFE606F" w14:textId="77777777" w:rsidR="003C1C4A" w:rsidRDefault="003C1C4A" w:rsidP="008B0103">
      <w:pPr>
        <w:rPr>
          <w:rFonts w:ascii="Arial Narrow" w:hAnsi="Arial Narrow"/>
          <w:lang w:eastAsia="cs-CZ"/>
        </w:rPr>
      </w:pPr>
    </w:p>
    <w:p w14:paraId="58F92822" w14:textId="77777777" w:rsidR="008544D0" w:rsidRPr="00173E7B" w:rsidRDefault="008544D0" w:rsidP="008544D0">
      <w:pPr>
        <w:rPr>
          <w:rFonts w:ascii="Arial Narrow" w:hAnsi="Arial Narrow"/>
          <w:b/>
          <w:bCs/>
          <w:lang w:eastAsia="cs-CZ"/>
        </w:rPr>
      </w:pPr>
      <w:bookmarkStart w:id="8" w:name="_Hlk136351956"/>
      <w:r w:rsidRPr="00173E7B">
        <w:rPr>
          <w:rFonts w:ascii="Arial Narrow" w:hAnsi="Arial Narrow"/>
          <w:b/>
          <w:bCs/>
          <w:lang w:eastAsia="cs-CZ"/>
        </w:rPr>
        <w:lastRenderedPageBreak/>
        <w:t>Zkratky používané ve zprávě</w:t>
      </w:r>
    </w:p>
    <w:p w14:paraId="698590D1" w14:textId="77777777" w:rsidR="008544D0" w:rsidRPr="00173E7B" w:rsidRDefault="008544D0" w:rsidP="008544D0">
      <w:pPr>
        <w:rPr>
          <w:rFonts w:ascii="Arial Narrow" w:hAnsi="Arial Narrow"/>
          <w:lang w:eastAsia="cs-CZ"/>
        </w:rPr>
      </w:pPr>
      <w:r w:rsidRPr="00173E7B">
        <w:rPr>
          <w:rFonts w:ascii="Arial Narrow" w:hAnsi="Arial Narrow"/>
          <w:lang w:eastAsia="cs-CZ"/>
        </w:rPr>
        <w:t xml:space="preserve"> </w:t>
      </w:r>
    </w:p>
    <w:p w14:paraId="4411946B" w14:textId="77777777" w:rsidR="008544D0" w:rsidRPr="00173E7B" w:rsidRDefault="008544D0" w:rsidP="008544D0">
      <w:pPr>
        <w:rPr>
          <w:rFonts w:ascii="Arial Narrow" w:hAnsi="Arial Narrow"/>
          <w:lang w:eastAsia="cs-CZ"/>
        </w:rPr>
      </w:pPr>
      <w:r w:rsidRPr="00173E7B">
        <w:rPr>
          <w:rFonts w:ascii="Arial Narrow" w:hAnsi="Arial Narrow"/>
          <w:lang w:eastAsia="cs-CZ"/>
        </w:rPr>
        <w:t>APZ – Aktivní politika zaměstnanosti</w:t>
      </w:r>
    </w:p>
    <w:p w14:paraId="71779553" w14:textId="77777777" w:rsidR="008544D0" w:rsidRPr="00173E7B" w:rsidRDefault="008544D0" w:rsidP="008544D0">
      <w:pPr>
        <w:rPr>
          <w:rFonts w:ascii="Arial Narrow" w:hAnsi="Arial Narrow"/>
          <w:lang w:eastAsia="cs-CZ"/>
        </w:rPr>
      </w:pPr>
      <w:r w:rsidRPr="00173E7B">
        <w:rPr>
          <w:rFonts w:ascii="Arial Narrow" w:hAnsi="Arial Narrow"/>
          <w:lang w:eastAsia="cs-CZ"/>
        </w:rPr>
        <w:t>CZ-ISCO – národní verze stratifikačního schématu klasifikace zaměstnání</w:t>
      </w:r>
    </w:p>
    <w:p w14:paraId="13A883CC" w14:textId="77777777" w:rsidR="008544D0" w:rsidRPr="00173E7B" w:rsidRDefault="008544D0" w:rsidP="008544D0">
      <w:pPr>
        <w:rPr>
          <w:rFonts w:ascii="Arial Narrow" w:hAnsi="Arial Narrow"/>
          <w:lang w:eastAsia="cs-CZ"/>
        </w:rPr>
      </w:pPr>
      <w:r w:rsidRPr="00173E7B">
        <w:rPr>
          <w:rFonts w:ascii="Arial Narrow" w:hAnsi="Arial Narrow"/>
          <w:lang w:eastAsia="cs-CZ"/>
        </w:rPr>
        <w:t>CZ-NACE – národní verze standardní klasifikace ekonomických činností Evropské unie</w:t>
      </w:r>
    </w:p>
    <w:p w14:paraId="42D4D94A" w14:textId="77777777" w:rsidR="008544D0" w:rsidRPr="00173E7B" w:rsidRDefault="008544D0" w:rsidP="008544D0">
      <w:pPr>
        <w:rPr>
          <w:rFonts w:ascii="Arial Narrow" w:hAnsi="Arial Narrow"/>
          <w:lang w:eastAsia="cs-CZ"/>
        </w:rPr>
      </w:pPr>
      <w:r w:rsidRPr="00173E7B">
        <w:rPr>
          <w:rFonts w:ascii="Arial Narrow" w:hAnsi="Arial Narrow"/>
          <w:lang w:eastAsia="cs-CZ"/>
        </w:rPr>
        <w:t>ČR – Česká republika</w:t>
      </w:r>
    </w:p>
    <w:p w14:paraId="7AA0BDDA" w14:textId="77777777" w:rsidR="008544D0" w:rsidRPr="00173E7B" w:rsidRDefault="008544D0" w:rsidP="008544D0">
      <w:pPr>
        <w:rPr>
          <w:rFonts w:ascii="Arial Narrow" w:hAnsi="Arial Narrow"/>
        </w:rPr>
      </w:pPr>
      <w:r w:rsidRPr="00173E7B">
        <w:rPr>
          <w:rFonts w:ascii="Arial Narrow" w:hAnsi="Arial Narrow"/>
        </w:rPr>
        <w:t>EHP – Evropský hospodářský prostor</w:t>
      </w:r>
    </w:p>
    <w:p w14:paraId="03A04976" w14:textId="77777777" w:rsidR="008544D0" w:rsidRPr="00173E7B" w:rsidRDefault="008544D0" w:rsidP="008544D0">
      <w:pPr>
        <w:rPr>
          <w:rFonts w:ascii="Arial Narrow" w:hAnsi="Arial Narrow"/>
          <w:lang w:eastAsia="cs-CZ"/>
        </w:rPr>
      </w:pPr>
      <w:r w:rsidRPr="00173E7B">
        <w:rPr>
          <w:rFonts w:ascii="Arial Narrow" w:hAnsi="Arial Narrow"/>
          <w:lang w:eastAsia="cs-CZ"/>
        </w:rPr>
        <w:t>EU – Evropská unie</w:t>
      </w:r>
    </w:p>
    <w:p w14:paraId="372EF1AF" w14:textId="77777777" w:rsidR="008544D0" w:rsidRPr="00173E7B" w:rsidRDefault="008544D0" w:rsidP="008544D0">
      <w:pPr>
        <w:rPr>
          <w:rFonts w:ascii="Arial Narrow" w:hAnsi="Arial Narrow"/>
          <w:lang w:eastAsia="cs-CZ"/>
        </w:rPr>
      </w:pPr>
      <w:r w:rsidRPr="00173E7B">
        <w:rPr>
          <w:rFonts w:ascii="Arial Narrow" w:hAnsi="Arial Narrow"/>
          <w:lang w:eastAsia="cs-CZ"/>
        </w:rPr>
        <w:t>EU 27 – 27 členských států Evropské unie</w:t>
      </w:r>
    </w:p>
    <w:p w14:paraId="1EFA9ACC" w14:textId="77777777" w:rsidR="008544D0" w:rsidRPr="00173E7B" w:rsidRDefault="008544D0" w:rsidP="008544D0">
      <w:pPr>
        <w:rPr>
          <w:rFonts w:ascii="Arial Narrow" w:hAnsi="Arial Narrow"/>
          <w:lang w:eastAsia="cs-CZ"/>
        </w:rPr>
      </w:pPr>
      <w:r w:rsidRPr="00173E7B">
        <w:rPr>
          <w:rFonts w:ascii="Arial Narrow" w:hAnsi="Arial Narrow"/>
          <w:lang w:eastAsia="cs-CZ"/>
        </w:rPr>
        <w:t>EU+ – členské státy Evropské unie společně s Islandem, Lichtenštejnskem, Norskem a Švýcarskem</w:t>
      </w:r>
    </w:p>
    <w:p w14:paraId="0F113DE2" w14:textId="77777777" w:rsidR="008544D0" w:rsidRPr="00173E7B" w:rsidRDefault="008544D0" w:rsidP="008544D0">
      <w:pPr>
        <w:rPr>
          <w:rFonts w:ascii="Arial Narrow" w:hAnsi="Arial Narrow"/>
          <w:lang w:eastAsia="cs-CZ"/>
        </w:rPr>
      </w:pPr>
      <w:r w:rsidRPr="00173E7B">
        <w:rPr>
          <w:rFonts w:ascii="Arial Narrow" w:hAnsi="Arial Narrow"/>
          <w:lang w:eastAsia="cs-CZ"/>
        </w:rPr>
        <w:t>JMK – Jihomoravský kraj</w:t>
      </w:r>
    </w:p>
    <w:p w14:paraId="237FBC4D" w14:textId="77777777" w:rsidR="008544D0" w:rsidRPr="00173E7B" w:rsidRDefault="008544D0" w:rsidP="008544D0">
      <w:pPr>
        <w:rPr>
          <w:rFonts w:ascii="Arial Narrow" w:hAnsi="Arial Narrow"/>
          <w:lang w:eastAsia="cs-CZ"/>
        </w:rPr>
      </w:pPr>
      <w:r w:rsidRPr="00173E7B">
        <w:rPr>
          <w:rFonts w:ascii="Arial Narrow" w:hAnsi="Arial Narrow"/>
          <w:lang w:eastAsia="cs-CZ"/>
        </w:rPr>
        <w:t>MČ – městská část</w:t>
      </w:r>
    </w:p>
    <w:p w14:paraId="7667AE76" w14:textId="77777777" w:rsidR="008544D0" w:rsidRPr="00173E7B" w:rsidRDefault="008544D0" w:rsidP="008544D0">
      <w:pPr>
        <w:rPr>
          <w:rFonts w:ascii="Arial Narrow" w:hAnsi="Arial Narrow"/>
          <w:lang w:eastAsia="cs-CZ"/>
        </w:rPr>
      </w:pPr>
      <w:r w:rsidRPr="00173E7B">
        <w:rPr>
          <w:rFonts w:ascii="Arial Narrow" w:hAnsi="Arial Narrow"/>
          <w:lang w:eastAsia="cs-CZ"/>
        </w:rPr>
        <w:t>MPSV – Ministerstvo práce a sociálních věcí</w:t>
      </w:r>
    </w:p>
    <w:p w14:paraId="029CD291" w14:textId="77777777" w:rsidR="008544D0" w:rsidRPr="00173E7B" w:rsidRDefault="008544D0" w:rsidP="008544D0">
      <w:pPr>
        <w:rPr>
          <w:rFonts w:ascii="Arial Narrow" w:hAnsi="Arial Narrow"/>
          <w:lang w:eastAsia="cs-CZ"/>
        </w:rPr>
      </w:pPr>
      <w:r w:rsidRPr="00173E7B">
        <w:rPr>
          <w:rFonts w:ascii="Arial Narrow" w:hAnsi="Arial Narrow"/>
          <w:lang w:eastAsia="cs-CZ"/>
        </w:rPr>
        <w:t>MV ČR – Ministerstvo vnitra České republiky</w:t>
      </w:r>
    </w:p>
    <w:p w14:paraId="5546B527" w14:textId="77777777" w:rsidR="008544D0" w:rsidRPr="00173E7B" w:rsidRDefault="008544D0" w:rsidP="008544D0">
      <w:pPr>
        <w:rPr>
          <w:rFonts w:ascii="Arial Narrow" w:hAnsi="Arial Narrow"/>
          <w:lang w:eastAsia="cs-CZ"/>
        </w:rPr>
      </w:pPr>
      <w:r w:rsidRPr="00173E7B">
        <w:rPr>
          <w:rFonts w:ascii="Arial Narrow" w:hAnsi="Arial Narrow"/>
          <w:lang w:eastAsia="cs-CZ"/>
        </w:rPr>
        <w:t>NUTS 2 – územní členění, region soudržnosti</w:t>
      </w:r>
    </w:p>
    <w:p w14:paraId="14A08705" w14:textId="77777777" w:rsidR="008544D0" w:rsidRPr="00173E7B" w:rsidRDefault="008544D0" w:rsidP="008544D0">
      <w:pPr>
        <w:rPr>
          <w:rFonts w:ascii="Arial Narrow" w:hAnsi="Arial Narrow"/>
          <w:lang w:eastAsia="cs-CZ"/>
        </w:rPr>
      </w:pPr>
      <w:r w:rsidRPr="00173E7B">
        <w:rPr>
          <w:rFonts w:ascii="Arial Narrow" w:hAnsi="Arial Narrow"/>
          <w:lang w:eastAsia="cs-CZ"/>
        </w:rPr>
        <w:t>NUTS 3 – územní členění, kraj</w:t>
      </w:r>
    </w:p>
    <w:p w14:paraId="6D6879DE" w14:textId="77777777" w:rsidR="008544D0" w:rsidRPr="00173E7B" w:rsidRDefault="008544D0" w:rsidP="008544D0">
      <w:pPr>
        <w:rPr>
          <w:rFonts w:ascii="Arial Narrow" w:hAnsi="Arial Narrow"/>
          <w:lang w:eastAsia="cs-CZ"/>
        </w:rPr>
      </w:pPr>
      <w:r w:rsidRPr="00173E7B">
        <w:rPr>
          <w:rFonts w:ascii="Arial Narrow" w:hAnsi="Arial Narrow"/>
          <w:lang w:eastAsia="cs-CZ"/>
        </w:rPr>
        <w:t>Občané 3. zemí – Občanem třetí země je občan státu, který není členem Evropské unie a zároveň není občanem Islandu, Lichtenštejnska, Norska a Švýcarska.</w:t>
      </w:r>
    </w:p>
    <w:p w14:paraId="5C183C8C" w14:textId="77777777" w:rsidR="008544D0" w:rsidRPr="00173E7B" w:rsidRDefault="008544D0" w:rsidP="008544D0">
      <w:pPr>
        <w:rPr>
          <w:rFonts w:ascii="Arial Narrow" w:hAnsi="Arial Narrow"/>
          <w:lang w:eastAsia="cs-CZ"/>
        </w:rPr>
      </w:pPr>
      <w:r w:rsidRPr="00173E7B">
        <w:rPr>
          <w:rFonts w:ascii="Arial Narrow" w:hAnsi="Arial Narrow"/>
          <w:lang w:eastAsia="cs-CZ"/>
        </w:rPr>
        <w:t>Občané EU – Občané Evropské unie</w:t>
      </w:r>
    </w:p>
    <w:p w14:paraId="28D7AD4A" w14:textId="77777777" w:rsidR="008544D0" w:rsidRPr="00173E7B" w:rsidRDefault="008544D0" w:rsidP="008544D0">
      <w:pPr>
        <w:rPr>
          <w:rFonts w:ascii="Arial Narrow" w:hAnsi="Arial Narrow"/>
          <w:lang w:eastAsia="cs-CZ"/>
        </w:rPr>
      </w:pPr>
      <w:r w:rsidRPr="00173E7B">
        <w:rPr>
          <w:rFonts w:ascii="Arial Narrow" w:hAnsi="Arial Narrow"/>
          <w:lang w:eastAsia="cs-CZ"/>
        </w:rPr>
        <w:t>OPZ – Operační program Zaměstnanost</w:t>
      </w:r>
    </w:p>
    <w:p w14:paraId="751FAEF8" w14:textId="77777777" w:rsidR="008544D0" w:rsidRPr="00173E7B" w:rsidRDefault="008544D0" w:rsidP="008544D0">
      <w:pPr>
        <w:rPr>
          <w:rFonts w:ascii="Arial Narrow" w:hAnsi="Arial Narrow"/>
          <w:lang w:eastAsia="cs-CZ"/>
        </w:rPr>
      </w:pPr>
      <w:r w:rsidRPr="00173E7B">
        <w:rPr>
          <w:rFonts w:ascii="Arial Narrow" w:hAnsi="Arial Narrow"/>
          <w:lang w:eastAsia="cs-CZ"/>
        </w:rPr>
        <w:t>ORP – obec s rozšířenou působností</w:t>
      </w:r>
    </w:p>
    <w:p w14:paraId="198CD93D" w14:textId="77777777" w:rsidR="008544D0" w:rsidRPr="00173E7B" w:rsidRDefault="008544D0" w:rsidP="008544D0">
      <w:pPr>
        <w:rPr>
          <w:rFonts w:ascii="Arial Narrow" w:hAnsi="Arial Narrow"/>
          <w:lang w:eastAsia="cs-CZ"/>
        </w:rPr>
      </w:pPr>
      <w:r w:rsidRPr="00173E7B">
        <w:rPr>
          <w:rFonts w:ascii="Arial Narrow" w:hAnsi="Arial Narrow"/>
          <w:lang w:eastAsia="cs-CZ"/>
        </w:rPr>
        <w:t>SLBD – sčítání lidu, bytů a domů</w:t>
      </w:r>
    </w:p>
    <w:p w14:paraId="4B76BBB2" w14:textId="77777777" w:rsidR="008544D0" w:rsidRPr="00173E7B" w:rsidRDefault="008544D0" w:rsidP="008544D0">
      <w:pPr>
        <w:rPr>
          <w:rFonts w:ascii="Arial Narrow" w:hAnsi="Arial Narrow"/>
          <w:lang w:eastAsia="cs-CZ"/>
        </w:rPr>
      </w:pPr>
      <w:r w:rsidRPr="00173E7B">
        <w:rPr>
          <w:rFonts w:ascii="Arial Narrow" w:hAnsi="Arial Narrow"/>
          <w:lang w:eastAsia="cs-CZ"/>
        </w:rPr>
        <w:t>SO ORP – správní obvod obce s rozšířenou působností</w:t>
      </w:r>
    </w:p>
    <w:p w14:paraId="250B80E5" w14:textId="77777777" w:rsidR="008544D0" w:rsidRPr="00173E7B" w:rsidRDefault="008544D0" w:rsidP="008544D0">
      <w:pPr>
        <w:rPr>
          <w:rFonts w:ascii="Arial Narrow" w:hAnsi="Arial Narrow"/>
          <w:lang w:eastAsia="cs-CZ"/>
        </w:rPr>
      </w:pPr>
      <w:r w:rsidRPr="00173E7B">
        <w:rPr>
          <w:rFonts w:ascii="Arial Narrow" w:hAnsi="Arial Narrow"/>
          <w:lang w:eastAsia="cs-CZ"/>
        </w:rPr>
        <w:t>SŠ – střední škola</w:t>
      </w:r>
    </w:p>
    <w:p w14:paraId="455C93E1" w14:textId="77777777" w:rsidR="008544D0" w:rsidRPr="00173E7B" w:rsidRDefault="008544D0" w:rsidP="008544D0">
      <w:pPr>
        <w:rPr>
          <w:rFonts w:ascii="Arial Narrow" w:hAnsi="Arial Narrow"/>
          <w:lang w:eastAsia="cs-CZ"/>
        </w:rPr>
      </w:pPr>
      <w:r w:rsidRPr="00173E7B">
        <w:rPr>
          <w:rFonts w:ascii="Arial Narrow" w:hAnsi="Arial Narrow"/>
          <w:lang w:eastAsia="cs-CZ"/>
        </w:rPr>
        <w:t>UNHCR – Úřad Vysokého komisaře OSN pro uprchlíky</w:t>
      </w:r>
    </w:p>
    <w:p w14:paraId="0BA1EB8B" w14:textId="77777777" w:rsidR="008544D0" w:rsidRPr="00173E7B" w:rsidRDefault="008544D0" w:rsidP="008544D0">
      <w:pPr>
        <w:rPr>
          <w:rFonts w:ascii="Arial Narrow" w:hAnsi="Arial Narrow"/>
          <w:lang w:eastAsia="cs-CZ"/>
        </w:rPr>
      </w:pPr>
      <w:r w:rsidRPr="00173E7B">
        <w:rPr>
          <w:rFonts w:ascii="Arial Narrow" w:hAnsi="Arial Narrow"/>
          <w:lang w:eastAsia="cs-CZ"/>
        </w:rPr>
        <w:t>ÚP – úřad práce</w:t>
      </w:r>
    </w:p>
    <w:p w14:paraId="5DD5EDF0" w14:textId="77777777" w:rsidR="008544D0" w:rsidRPr="00173E7B" w:rsidRDefault="008544D0" w:rsidP="008544D0">
      <w:pPr>
        <w:rPr>
          <w:rFonts w:ascii="Arial Narrow" w:hAnsi="Arial Narrow"/>
        </w:rPr>
      </w:pPr>
      <w:r w:rsidRPr="00173E7B">
        <w:rPr>
          <w:rFonts w:ascii="Arial Narrow" w:hAnsi="Arial Narrow"/>
        </w:rPr>
        <w:t>USA – Spojené státy americké</w:t>
      </w:r>
    </w:p>
    <w:p w14:paraId="73160419" w14:textId="77777777" w:rsidR="008544D0" w:rsidRPr="00173E7B" w:rsidRDefault="008544D0" w:rsidP="008544D0">
      <w:pPr>
        <w:rPr>
          <w:rFonts w:ascii="Arial Narrow" w:hAnsi="Arial Narrow"/>
          <w:lang w:eastAsia="cs-CZ"/>
        </w:rPr>
      </w:pPr>
      <w:r w:rsidRPr="00173E7B">
        <w:rPr>
          <w:rFonts w:ascii="Arial Narrow" w:hAnsi="Arial Narrow"/>
          <w:lang w:eastAsia="cs-CZ"/>
        </w:rPr>
        <w:t>ÚSO – úplné střední odborné vzdělání</w:t>
      </w:r>
    </w:p>
    <w:p w14:paraId="2EA83336" w14:textId="77777777" w:rsidR="008544D0" w:rsidRPr="00173E7B" w:rsidRDefault="008544D0" w:rsidP="008544D0">
      <w:pPr>
        <w:rPr>
          <w:rFonts w:ascii="Arial Narrow" w:hAnsi="Arial Narrow"/>
          <w:lang w:eastAsia="cs-CZ"/>
        </w:rPr>
      </w:pPr>
      <w:r w:rsidRPr="00173E7B">
        <w:rPr>
          <w:rFonts w:ascii="Arial Narrow" w:hAnsi="Arial Narrow"/>
          <w:lang w:eastAsia="cs-CZ"/>
        </w:rPr>
        <w:t>ÚSV – úplné střední vzdělání</w:t>
      </w:r>
    </w:p>
    <w:p w14:paraId="05C16979" w14:textId="77777777" w:rsidR="008544D0" w:rsidRPr="00173E7B" w:rsidRDefault="008544D0" w:rsidP="008544D0">
      <w:pPr>
        <w:rPr>
          <w:rFonts w:ascii="Arial Narrow" w:hAnsi="Arial Narrow"/>
          <w:lang w:eastAsia="cs-CZ"/>
        </w:rPr>
      </w:pPr>
      <w:r w:rsidRPr="00173E7B">
        <w:rPr>
          <w:rFonts w:ascii="Arial Narrow" w:hAnsi="Arial Narrow"/>
          <w:lang w:eastAsia="cs-CZ"/>
        </w:rPr>
        <w:t>VOŠ – vyšší odborná škola</w:t>
      </w:r>
    </w:p>
    <w:p w14:paraId="67F80C0A" w14:textId="77777777" w:rsidR="008544D0" w:rsidRPr="00173E7B" w:rsidRDefault="008544D0" w:rsidP="008544D0">
      <w:pPr>
        <w:rPr>
          <w:rFonts w:ascii="Arial Narrow" w:hAnsi="Arial Narrow"/>
          <w:lang w:eastAsia="cs-CZ"/>
        </w:rPr>
      </w:pPr>
      <w:r w:rsidRPr="00173E7B">
        <w:rPr>
          <w:rFonts w:ascii="Arial Narrow" w:hAnsi="Arial Narrow"/>
          <w:lang w:eastAsia="cs-CZ"/>
        </w:rPr>
        <w:t>VŠ – vysoká škola</w:t>
      </w:r>
    </w:p>
    <w:p w14:paraId="31F2C79B" w14:textId="77777777" w:rsidR="008544D0" w:rsidRDefault="008544D0" w:rsidP="008544D0">
      <w:pPr>
        <w:rPr>
          <w:rFonts w:ascii="Arial Narrow" w:hAnsi="Arial Narrow"/>
          <w:lang w:eastAsia="cs-CZ"/>
        </w:rPr>
      </w:pPr>
      <w:r w:rsidRPr="00173E7B">
        <w:rPr>
          <w:rFonts w:ascii="Arial Narrow" w:hAnsi="Arial Narrow"/>
          <w:lang w:eastAsia="cs-CZ"/>
        </w:rPr>
        <w:t>ZŠ – základní škola</w:t>
      </w:r>
    </w:p>
    <w:bookmarkEnd w:id="8"/>
    <w:p w14:paraId="2A188F95" w14:textId="4ED76E87" w:rsidR="00B8720E" w:rsidRDefault="008544D0" w:rsidP="008544D0">
      <w:pPr>
        <w:spacing w:after="160" w:line="256" w:lineRule="auto"/>
        <w:rPr>
          <w:rFonts w:ascii="Arial Narrow" w:hAnsi="Arial Narrow"/>
          <w:lang w:eastAsia="cs-CZ"/>
        </w:rPr>
      </w:pPr>
      <w:r>
        <w:rPr>
          <w:rFonts w:ascii="Arial Narrow" w:hAnsi="Arial Narrow"/>
          <w:lang w:eastAsia="cs-CZ"/>
        </w:rPr>
        <w:br w:type="page"/>
      </w:r>
    </w:p>
    <w:p w14:paraId="600EABDF" w14:textId="37FF7BC4" w:rsidR="00502B34" w:rsidRPr="00CE357F" w:rsidRDefault="00730BE8" w:rsidP="00730BE8">
      <w:pPr>
        <w:pStyle w:val="Nadpis1"/>
        <w:ind w:left="426"/>
        <w:rPr>
          <w:rFonts w:ascii="Arial Narrow" w:hAnsi="Arial Narrow"/>
          <w:color w:val="002060"/>
          <w:sz w:val="36"/>
          <w:szCs w:val="36"/>
        </w:rPr>
      </w:pPr>
      <w:bookmarkStart w:id="9" w:name="_Toc136876063"/>
      <w:r w:rsidRPr="00CE357F">
        <w:rPr>
          <w:rFonts w:ascii="Arial Narrow" w:hAnsi="Arial Narrow"/>
          <w:color w:val="002060"/>
          <w:sz w:val="36"/>
          <w:szCs w:val="36"/>
        </w:rPr>
        <w:lastRenderedPageBreak/>
        <w:t>ÚVOD A KONTEXTUÁLNÍ VYMEZENÍ PROBLEMATIKY</w:t>
      </w:r>
      <w:bookmarkEnd w:id="9"/>
    </w:p>
    <w:bookmarkEnd w:id="7"/>
    <w:bookmarkEnd w:id="6"/>
    <w:p w14:paraId="267F5E52" w14:textId="77777777" w:rsidR="00F1264F" w:rsidRPr="00CE357F" w:rsidRDefault="00F1264F" w:rsidP="00F1264F">
      <w:pPr>
        <w:spacing w:line="276" w:lineRule="auto"/>
        <w:jc w:val="both"/>
        <w:rPr>
          <w:rFonts w:ascii="Arial Narrow" w:hAnsi="Arial Narrow" w:cs="Arial"/>
        </w:rPr>
      </w:pPr>
    </w:p>
    <w:p w14:paraId="44490723" w14:textId="4555A563" w:rsidR="0017560A" w:rsidRPr="00CD59FB" w:rsidRDefault="0017560A" w:rsidP="7CC7BF57">
      <w:pPr>
        <w:suppressAutoHyphens/>
        <w:spacing w:after="120" w:line="276" w:lineRule="auto"/>
        <w:jc w:val="both"/>
        <w:rPr>
          <w:rFonts w:ascii="Arial Narrow" w:hAnsi="Arial Narrow" w:cstheme="minorBidi"/>
        </w:rPr>
      </w:pPr>
      <w:bookmarkStart w:id="10" w:name="_Toc522103747"/>
      <w:bookmarkStart w:id="11" w:name="_Toc532563173"/>
      <w:bookmarkStart w:id="12" w:name="_Toc532563249"/>
      <w:bookmarkStart w:id="13" w:name="_Toc536604707"/>
      <w:r w:rsidRPr="7CC7BF57">
        <w:rPr>
          <w:rFonts w:ascii="Arial Narrow" w:hAnsi="Arial Narrow" w:cs="Arial"/>
        </w:rPr>
        <w:t xml:space="preserve">Společnost AUGUR </w:t>
      </w:r>
      <w:proofErr w:type="spellStart"/>
      <w:r w:rsidRPr="7CC7BF57">
        <w:rPr>
          <w:rFonts w:ascii="Arial Narrow" w:hAnsi="Arial Narrow" w:cs="Arial"/>
        </w:rPr>
        <w:t>Consulting</w:t>
      </w:r>
      <w:proofErr w:type="spellEnd"/>
      <w:r w:rsidRPr="7CC7BF57">
        <w:rPr>
          <w:rFonts w:ascii="Arial Narrow" w:hAnsi="Arial Narrow" w:cs="Arial"/>
        </w:rPr>
        <w:t xml:space="preserve"> s.r.o. předkládá část druhého dílčího výstupu projektu „Analýza potřeb klíčových aktérů v oblasti zaměstnávání cizinců v JMK“.</w:t>
      </w:r>
      <w:r w:rsidRPr="7CC7BF57">
        <w:rPr>
          <w:rFonts w:ascii="Arial Narrow" w:hAnsi="Arial Narrow" w:cstheme="minorBidi"/>
        </w:rPr>
        <w:t xml:space="preserve"> </w:t>
      </w:r>
      <w:r w:rsidRPr="7CC7BF57">
        <w:rPr>
          <w:rFonts w:ascii="Arial Narrow" w:hAnsi="Arial Narrow"/>
        </w:rPr>
        <w:t xml:space="preserve">Realizace analýzy je předpokladem k průběžnému nastavování klíčových aktivit projektu „SKILL Centrum pro cizince v JMK“, </w:t>
      </w:r>
      <w:proofErr w:type="spellStart"/>
      <w:r w:rsidRPr="7CC7BF57">
        <w:rPr>
          <w:rFonts w:ascii="Arial Narrow" w:hAnsi="Arial Narrow"/>
        </w:rPr>
        <w:t>reg</w:t>
      </w:r>
      <w:proofErr w:type="spellEnd"/>
      <w:r w:rsidRPr="7CC7BF57">
        <w:rPr>
          <w:rFonts w:ascii="Arial Narrow" w:hAnsi="Arial Narrow"/>
        </w:rPr>
        <w:t>. číslo projektu CZ.03.3.X/0.0/0.0/15_018/001512</w:t>
      </w:r>
      <w:r w:rsidR="003C1C4A">
        <w:rPr>
          <w:rFonts w:ascii="Arial Narrow" w:hAnsi="Arial Narrow"/>
        </w:rPr>
        <w:t>7</w:t>
      </w:r>
      <w:r w:rsidRPr="7CC7BF57">
        <w:rPr>
          <w:rFonts w:ascii="Arial Narrow" w:hAnsi="Arial Narrow"/>
        </w:rPr>
        <w:t>, financovaného z Operačního programu Zaměstnanost, potažmo k nastavení komplexního přístupu k tvorbě veřejné politiky v dané oblasti.</w:t>
      </w:r>
    </w:p>
    <w:p w14:paraId="40A3B576" w14:textId="7EBF3799" w:rsidR="0017560A" w:rsidRPr="00CD59FB" w:rsidRDefault="0017560A" w:rsidP="0017560A">
      <w:pPr>
        <w:autoSpaceDE w:val="0"/>
        <w:autoSpaceDN w:val="0"/>
        <w:adjustRightInd w:val="0"/>
        <w:spacing w:after="120" w:line="276" w:lineRule="auto"/>
        <w:jc w:val="both"/>
        <w:rPr>
          <w:rFonts w:ascii="Arial Narrow" w:hAnsi="Arial Narrow"/>
        </w:rPr>
      </w:pPr>
      <w:r w:rsidRPr="00CD59FB">
        <w:rPr>
          <w:rFonts w:ascii="Arial Narrow" w:hAnsi="Arial Narrow"/>
        </w:rPr>
        <w:t xml:space="preserve">Účelem analýzy je zpracování analýzy potřeb klíčových aktérů v oblasti zaměstnávání cizinců v JMK, která přinese ucelené informace o situaci a potřebách všech klíčových aktérů (cizinců, zaměstnavatelů, obcí a dalších klíčových institucí) a o vývoji na trhu práce v JMK ve vztahu k cizincům. </w:t>
      </w:r>
      <w:r w:rsidRPr="00CD59FB">
        <w:rPr>
          <w:rFonts w:ascii="Arial Narrow" w:hAnsi="Arial Narrow" w:cs="Arial"/>
          <w:lang w:eastAsia="cs-CZ"/>
        </w:rPr>
        <w:t xml:space="preserve">Hlavním cílem analýzy je na základě kvalitativních i kvantitativních přístupů a vhodných metodologických postupů zajistit získání, zpracování a prezentaci kvantitativních a kvalitativních dat z následujících tematických okruhů: </w:t>
      </w:r>
    </w:p>
    <w:p w14:paraId="63755159" w14:textId="77777777" w:rsidR="0017560A" w:rsidRPr="00CD59FB" w:rsidRDefault="0017560A" w:rsidP="0017560A">
      <w:pPr>
        <w:spacing w:after="120" w:line="276" w:lineRule="auto"/>
        <w:ind w:left="708" w:hanging="708"/>
        <w:jc w:val="both"/>
        <w:rPr>
          <w:rFonts w:ascii="Arial Narrow" w:hAnsi="Arial Narrow" w:cs="Arial"/>
          <w:lang w:eastAsia="cs-CZ"/>
        </w:rPr>
      </w:pPr>
      <w:r w:rsidRPr="00CD59FB">
        <w:rPr>
          <w:rFonts w:ascii="Arial Narrow" w:hAnsi="Arial Narrow" w:cs="Arial"/>
          <w:lang w:eastAsia="cs-CZ"/>
        </w:rPr>
        <w:t xml:space="preserve">a) </w:t>
      </w:r>
      <w:r w:rsidRPr="00CD59FB">
        <w:rPr>
          <w:rFonts w:ascii="Arial Narrow" w:hAnsi="Arial Narrow" w:cs="Arial"/>
          <w:lang w:eastAsia="cs-CZ"/>
        </w:rPr>
        <w:tab/>
        <w:t xml:space="preserve">Sběr, analýza a vyhodnocení základních dat o počtech cizinců v Jihomoravském kraji a   o jejich zaměstnanosti, nezaměstnanosti a zaměstnávání, a to v rámci základních statistických jednotek obcí Jihomoravského kraje typu II. a III. a obcí typu I. s významným počtem či podílem registrovaných cizinců; </w:t>
      </w:r>
    </w:p>
    <w:p w14:paraId="26BEA93D" w14:textId="77777777" w:rsidR="0017560A" w:rsidRPr="00CD59FB" w:rsidRDefault="0017560A" w:rsidP="0017560A">
      <w:pPr>
        <w:spacing w:after="120" w:line="276" w:lineRule="auto"/>
        <w:jc w:val="both"/>
        <w:rPr>
          <w:rFonts w:ascii="Arial Narrow" w:hAnsi="Arial Narrow" w:cs="Arial"/>
          <w:lang w:eastAsia="cs-CZ"/>
        </w:rPr>
      </w:pPr>
      <w:r w:rsidRPr="00CD59FB">
        <w:rPr>
          <w:rFonts w:ascii="Arial Narrow" w:hAnsi="Arial Narrow" w:cs="Arial"/>
          <w:lang w:eastAsia="cs-CZ"/>
        </w:rPr>
        <w:t xml:space="preserve">b) </w:t>
      </w:r>
      <w:r w:rsidRPr="00CD59FB">
        <w:rPr>
          <w:rFonts w:ascii="Arial Narrow" w:hAnsi="Arial Narrow" w:cs="Arial"/>
          <w:lang w:eastAsia="cs-CZ"/>
        </w:rPr>
        <w:tab/>
        <w:t>Sběr dat a analýza potřeb zaměstnavatelů v JMK s důrazem na zaměstnávání cizinců;</w:t>
      </w:r>
    </w:p>
    <w:p w14:paraId="7B6F3DD5" w14:textId="77777777" w:rsidR="0017560A" w:rsidRPr="00CD59FB" w:rsidRDefault="0017560A" w:rsidP="0017560A">
      <w:pPr>
        <w:spacing w:after="120" w:line="276" w:lineRule="auto"/>
        <w:ind w:left="708" w:hanging="708"/>
        <w:jc w:val="both"/>
        <w:rPr>
          <w:rFonts w:ascii="Arial Narrow" w:hAnsi="Arial Narrow" w:cs="Arial"/>
          <w:lang w:eastAsia="cs-CZ"/>
        </w:rPr>
      </w:pPr>
      <w:r w:rsidRPr="00CD59FB">
        <w:rPr>
          <w:rFonts w:ascii="Arial Narrow" w:hAnsi="Arial Narrow" w:cs="Arial"/>
          <w:lang w:eastAsia="cs-CZ"/>
        </w:rPr>
        <w:t xml:space="preserve">c) </w:t>
      </w:r>
      <w:r w:rsidRPr="00CD59FB">
        <w:rPr>
          <w:rFonts w:ascii="Arial Narrow" w:hAnsi="Arial Narrow" w:cs="Arial"/>
          <w:lang w:eastAsia="cs-CZ"/>
        </w:rPr>
        <w:tab/>
        <w:t>Sběr dat a analýza potřeb trhu práce z pohledu veřejné správy, veřejných institucí a dalších organizací aktivních v oblasti zaměstnanosti, se zvláštním důrazem na zaměstnávání cizinců;</w:t>
      </w:r>
    </w:p>
    <w:p w14:paraId="75A408D1" w14:textId="77777777" w:rsidR="0017560A" w:rsidRPr="00CD59FB" w:rsidRDefault="0017560A" w:rsidP="0017560A">
      <w:pPr>
        <w:spacing w:after="120" w:line="276" w:lineRule="auto"/>
        <w:jc w:val="both"/>
        <w:rPr>
          <w:rFonts w:ascii="Arial Narrow" w:hAnsi="Arial Narrow" w:cs="Arial"/>
          <w:lang w:eastAsia="cs-CZ"/>
        </w:rPr>
      </w:pPr>
      <w:r w:rsidRPr="00CD59FB">
        <w:rPr>
          <w:rFonts w:ascii="Arial Narrow" w:hAnsi="Arial Narrow" w:cs="Arial"/>
          <w:lang w:eastAsia="cs-CZ"/>
        </w:rPr>
        <w:t xml:space="preserve">d) </w:t>
      </w:r>
      <w:r w:rsidRPr="00CD59FB">
        <w:rPr>
          <w:rFonts w:ascii="Arial Narrow" w:hAnsi="Arial Narrow" w:cs="Arial"/>
          <w:lang w:eastAsia="cs-CZ"/>
        </w:rPr>
        <w:tab/>
        <w:t>Sběr dat a analýza potřeb cizinců v JMK ve vztahu k trhu práce.</w:t>
      </w:r>
    </w:p>
    <w:p w14:paraId="30F31E42" w14:textId="02079E16" w:rsidR="0017560A" w:rsidRPr="00CD59FB" w:rsidRDefault="0017560A" w:rsidP="2460258F">
      <w:pPr>
        <w:spacing w:after="120" w:line="276" w:lineRule="auto"/>
        <w:jc w:val="both"/>
        <w:rPr>
          <w:rFonts w:ascii="Arial Narrow" w:hAnsi="Arial Narrow" w:cstheme="minorBidi"/>
          <w:b/>
          <w:bCs/>
        </w:rPr>
      </w:pPr>
      <w:r>
        <w:br/>
      </w:r>
      <w:r w:rsidR="03795AF3" w:rsidRPr="2645E051">
        <w:rPr>
          <w:rFonts w:ascii="Arial Narrow" w:hAnsi="Arial Narrow" w:cstheme="minorBidi"/>
        </w:rPr>
        <w:t xml:space="preserve">Projekt je rozdělen do tří etap. </w:t>
      </w:r>
      <w:r w:rsidR="4D68DF53" w:rsidRPr="2645E051">
        <w:rPr>
          <w:rFonts w:ascii="Arial Narrow" w:hAnsi="Arial Narrow" w:cstheme="minorBidi"/>
        </w:rPr>
        <w:t xml:space="preserve">První dílčí analýza, zaměřená na tematický okruh a), byla odevzdána zadavateli v lednu 2022. </w:t>
      </w:r>
      <w:r w:rsidR="073BB7FA" w:rsidRPr="2645E051">
        <w:rPr>
          <w:rFonts w:ascii="Arial Narrow" w:hAnsi="Arial Narrow" w:cs="Arial"/>
          <w:lang w:eastAsia="cs-CZ"/>
        </w:rPr>
        <w:t>Druhá dílčí analýza prezentuje výsledky tematického okruhu b), c) a d), tedy výsledky sběrů dat a analýz potřeb klíčových aktérů v oblasti zaměstnávání cizinců v Jihomoravském kraji.</w:t>
      </w:r>
      <w:r w:rsidR="073BB7FA" w:rsidRPr="2645E051">
        <w:rPr>
          <w:rFonts w:ascii="Arial Narrow" w:hAnsi="Arial Narrow" w:cs="Arial"/>
          <w:b/>
          <w:bCs/>
          <w:lang w:eastAsia="cs-CZ"/>
        </w:rPr>
        <w:t xml:space="preserve"> </w:t>
      </w:r>
      <w:r w:rsidR="073BB7FA" w:rsidRPr="2645E051">
        <w:rPr>
          <w:rFonts w:ascii="Arial Narrow" w:hAnsi="Arial Narrow" w:cstheme="minorBidi"/>
          <w:b/>
          <w:bCs/>
        </w:rPr>
        <w:t>Součástí druhé dílčí analýzy je také aktualizace výsledků a dílčí</w:t>
      </w:r>
      <w:r w:rsidR="4D68DF53" w:rsidRPr="2645E051">
        <w:rPr>
          <w:rFonts w:ascii="Arial Narrow" w:hAnsi="Arial Narrow" w:cstheme="minorBidi"/>
          <w:b/>
          <w:bCs/>
        </w:rPr>
        <w:t>ch</w:t>
      </w:r>
      <w:r w:rsidR="073BB7FA" w:rsidRPr="2645E051">
        <w:rPr>
          <w:rFonts w:ascii="Arial Narrow" w:hAnsi="Arial Narrow" w:cstheme="minorBidi"/>
          <w:b/>
          <w:bCs/>
        </w:rPr>
        <w:t xml:space="preserve"> závěr</w:t>
      </w:r>
      <w:r w:rsidR="4D68DF53" w:rsidRPr="2645E051">
        <w:rPr>
          <w:rFonts w:ascii="Arial Narrow" w:hAnsi="Arial Narrow" w:cstheme="minorBidi"/>
          <w:b/>
          <w:bCs/>
        </w:rPr>
        <w:t>ů</w:t>
      </w:r>
      <w:r w:rsidR="073BB7FA" w:rsidRPr="2645E051">
        <w:rPr>
          <w:rFonts w:ascii="Arial Narrow" w:hAnsi="Arial Narrow" w:cstheme="minorBidi"/>
          <w:b/>
          <w:bCs/>
        </w:rPr>
        <w:t xml:space="preserve"> a doporučení pro projekt a veřejnou politiku k tematickému okruhu a)</w:t>
      </w:r>
      <w:r w:rsidR="4D68DF53" w:rsidRPr="2645E051">
        <w:rPr>
          <w:rFonts w:ascii="Arial Narrow" w:hAnsi="Arial Narrow" w:cstheme="minorBidi"/>
          <w:b/>
          <w:bCs/>
        </w:rPr>
        <w:t>, prezentovaných v první dílčí analýze</w:t>
      </w:r>
      <w:r w:rsidR="073BB7FA" w:rsidRPr="2645E051">
        <w:rPr>
          <w:rFonts w:ascii="Arial Narrow" w:hAnsi="Arial Narrow" w:cstheme="minorBidi"/>
          <w:b/>
          <w:bCs/>
        </w:rPr>
        <w:t>.</w:t>
      </w:r>
      <w:r w:rsidR="4D68DF53" w:rsidRPr="2645E051">
        <w:rPr>
          <w:rFonts w:ascii="Arial Narrow" w:hAnsi="Arial Narrow" w:cstheme="minorBidi"/>
          <w:b/>
          <w:bCs/>
        </w:rPr>
        <w:t xml:space="preserve"> Aktualizovaná data první dílčí analýzy jsou součástí této závěrečné zprávy. </w:t>
      </w:r>
      <w:r w:rsidR="03795AF3" w:rsidRPr="2645E051">
        <w:rPr>
          <w:rFonts w:ascii="Arial Narrow" w:hAnsi="Arial Narrow" w:cstheme="minorBidi"/>
        </w:rPr>
        <w:t>Třetí etapou bude následná syntéza všech poznatků a doporučení.</w:t>
      </w:r>
    </w:p>
    <w:p w14:paraId="4FD9C2AD" w14:textId="48E31D68" w:rsidR="00F1264F" w:rsidRDefault="0017560A" w:rsidP="00682025">
      <w:pPr>
        <w:suppressAutoHyphens/>
        <w:spacing w:after="120" w:line="276" w:lineRule="auto"/>
        <w:jc w:val="both"/>
        <w:rPr>
          <w:rFonts w:ascii="Arial Narrow" w:hAnsi="Arial Narrow"/>
          <w:color w:val="FF0000"/>
        </w:rPr>
      </w:pPr>
      <w:bookmarkStart w:id="14" w:name="_Hlk125632507"/>
      <w:r w:rsidRPr="00CD59FB">
        <w:rPr>
          <w:rFonts w:ascii="Arial Narrow" w:hAnsi="Arial Narrow"/>
        </w:rPr>
        <w:t xml:space="preserve">Data zprostředkovaná v této závěrečné zprávě považujeme za důležitá i pro další aktivity a etapy nastavení komplexního přístupu k tvorbě veřejné politiky v dané oblasti. </w:t>
      </w:r>
      <w:r w:rsidR="00F1264F" w:rsidRPr="00CE357F">
        <w:rPr>
          <w:rFonts w:ascii="Arial Narrow" w:hAnsi="Arial Narrow"/>
        </w:rPr>
        <w:t>Data je možné v čase doplňovat o další roky, porovnávat nárůsty, případně pok</w:t>
      </w:r>
      <w:r w:rsidR="00F1264F" w:rsidRPr="0017560A">
        <w:rPr>
          <w:rFonts w:ascii="Arial Narrow" w:hAnsi="Arial Narrow"/>
        </w:rPr>
        <w:t xml:space="preserve">les jednotlivých nákladů a lépe tak řídit </w:t>
      </w:r>
      <w:r w:rsidR="00682025" w:rsidRPr="0017560A">
        <w:rPr>
          <w:rFonts w:ascii="Arial Narrow" w:hAnsi="Arial Narrow"/>
        </w:rPr>
        <w:t xml:space="preserve">tvorbu veřejné politiky v dané oblasti </w:t>
      </w:r>
      <w:r w:rsidR="00F1264F" w:rsidRPr="0017560A">
        <w:rPr>
          <w:rFonts w:ascii="Arial Narrow" w:hAnsi="Arial Narrow"/>
        </w:rPr>
        <w:t>i v </w:t>
      </w:r>
      <w:r w:rsidR="00682025" w:rsidRPr="0017560A">
        <w:rPr>
          <w:rFonts w:ascii="Arial Narrow" w:hAnsi="Arial Narrow"/>
        </w:rPr>
        <w:t>jejím</w:t>
      </w:r>
      <w:r w:rsidR="00F1264F" w:rsidRPr="0017560A">
        <w:rPr>
          <w:rFonts w:ascii="Arial Narrow" w:hAnsi="Arial Narrow"/>
        </w:rPr>
        <w:t xml:space="preserve"> průběhu.</w:t>
      </w:r>
    </w:p>
    <w:p w14:paraId="4BEBFE04" w14:textId="359ED413" w:rsidR="0017560A" w:rsidRDefault="0017560A" w:rsidP="00682025">
      <w:pPr>
        <w:suppressAutoHyphens/>
        <w:spacing w:after="120" w:line="276" w:lineRule="auto"/>
        <w:jc w:val="both"/>
        <w:rPr>
          <w:rFonts w:ascii="Arial Narrow" w:hAnsi="Arial Narrow"/>
          <w:color w:val="FF0000"/>
        </w:rPr>
      </w:pPr>
    </w:p>
    <w:p w14:paraId="293AB58B" w14:textId="54EC3A11" w:rsidR="0017560A" w:rsidRDefault="0017560A" w:rsidP="00682025">
      <w:pPr>
        <w:suppressAutoHyphens/>
        <w:spacing w:after="120" w:line="276" w:lineRule="auto"/>
        <w:jc w:val="both"/>
        <w:rPr>
          <w:rFonts w:ascii="Arial Narrow" w:hAnsi="Arial Narrow"/>
          <w:color w:val="FF0000"/>
        </w:rPr>
      </w:pPr>
    </w:p>
    <w:p w14:paraId="057C7BEA" w14:textId="762AFE38" w:rsidR="0017560A" w:rsidRDefault="0017560A" w:rsidP="00682025">
      <w:pPr>
        <w:suppressAutoHyphens/>
        <w:spacing w:after="120" w:line="276" w:lineRule="auto"/>
        <w:jc w:val="both"/>
        <w:rPr>
          <w:rFonts w:ascii="Arial Narrow" w:hAnsi="Arial Narrow"/>
          <w:color w:val="FF0000"/>
        </w:rPr>
      </w:pPr>
    </w:p>
    <w:p w14:paraId="6A67A526" w14:textId="09A4CBA1" w:rsidR="0017560A" w:rsidRDefault="0017560A" w:rsidP="00682025">
      <w:pPr>
        <w:suppressAutoHyphens/>
        <w:spacing w:after="120" w:line="276" w:lineRule="auto"/>
        <w:jc w:val="both"/>
        <w:rPr>
          <w:rFonts w:ascii="Arial Narrow" w:hAnsi="Arial Narrow"/>
          <w:color w:val="FF0000"/>
        </w:rPr>
      </w:pPr>
    </w:p>
    <w:p w14:paraId="12249CA2" w14:textId="22BE7C95" w:rsidR="0017560A" w:rsidRDefault="0017560A" w:rsidP="00682025">
      <w:pPr>
        <w:suppressAutoHyphens/>
        <w:spacing w:after="120" w:line="276" w:lineRule="auto"/>
        <w:jc w:val="both"/>
        <w:rPr>
          <w:rFonts w:ascii="Arial Narrow" w:hAnsi="Arial Narrow"/>
          <w:color w:val="FF0000"/>
        </w:rPr>
      </w:pPr>
    </w:p>
    <w:p w14:paraId="00BE31F4" w14:textId="7DB0A33F" w:rsidR="0017560A" w:rsidRDefault="0017560A" w:rsidP="00682025">
      <w:pPr>
        <w:suppressAutoHyphens/>
        <w:spacing w:after="120" w:line="276" w:lineRule="auto"/>
        <w:jc w:val="both"/>
        <w:rPr>
          <w:rFonts w:ascii="Arial Narrow" w:hAnsi="Arial Narrow"/>
          <w:color w:val="FF0000"/>
        </w:rPr>
      </w:pPr>
    </w:p>
    <w:p w14:paraId="7C73A1DE" w14:textId="2CFB5B2B" w:rsidR="0017560A" w:rsidRDefault="0017560A" w:rsidP="00682025">
      <w:pPr>
        <w:suppressAutoHyphens/>
        <w:spacing w:after="120" w:line="276" w:lineRule="auto"/>
        <w:jc w:val="both"/>
        <w:rPr>
          <w:rFonts w:ascii="Arial Narrow" w:hAnsi="Arial Narrow"/>
          <w:color w:val="FF0000"/>
        </w:rPr>
      </w:pPr>
    </w:p>
    <w:p w14:paraId="41E5409C" w14:textId="77777777" w:rsidR="0017560A" w:rsidRPr="00CE357F" w:rsidRDefault="0017560A" w:rsidP="00682025">
      <w:pPr>
        <w:suppressAutoHyphens/>
        <w:spacing w:after="120" w:line="276" w:lineRule="auto"/>
        <w:jc w:val="both"/>
        <w:rPr>
          <w:rFonts w:ascii="Arial Narrow" w:hAnsi="Arial Narrow" w:cstheme="minorHAnsi"/>
        </w:rPr>
      </w:pPr>
    </w:p>
    <w:p w14:paraId="068E9617" w14:textId="77777777" w:rsidR="00F1264F" w:rsidRPr="00CE357F" w:rsidRDefault="00F1264F" w:rsidP="00502B34">
      <w:pPr>
        <w:pStyle w:val="Nadpis1"/>
        <w:ind w:left="426"/>
        <w:rPr>
          <w:rFonts w:ascii="Arial Narrow" w:hAnsi="Arial Narrow"/>
          <w:color w:val="002060"/>
          <w:sz w:val="36"/>
          <w:szCs w:val="36"/>
        </w:rPr>
      </w:pPr>
      <w:bookmarkStart w:id="15" w:name="_Toc136876064"/>
      <w:bookmarkEnd w:id="10"/>
      <w:bookmarkEnd w:id="11"/>
      <w:bookmarkEnd w:id="12"/>
      <w:bookmarkEnd w:id="13"/>
      <w:bookmarkEnd w:id="14"/>
      <w:r w:rsidRPr="00CE357F">
        <w:rPr>
          <w:rFonts w:ascii="Arial Narrow" w:hAnsi="Arial Narrow"/>
          <w:color w:val="002060"/>
          <w:sz w:val="36"/>
          <w:szCs w:val="36"/>
        </w:rPr>
        <w:lastRenderedPageBreak/>
        <w:t>METODOLOGICKÁ ČÁST</w:t>
      </w:r>
      <w:bookmarkEnd w:id="15"/>
    </w:p>
    <w:p w14:paraId="2720954C" w14:textId="77777777" w:rsidR="00F1264F" w:rsidRPr="00CE357F" w:rsidRDefault="00F1264F" w:rsidP="00F1264F">
      <w:pPr>
        <w:spacing w:after="120" w:line="276" w:lineRule="auto"/>
        <w:jc w:val="both"/>
        <w:rPr>
          <w:rFonts w:ascii="Arial Narrow" w:hAnsi="Arial Narrow"/>
          <w:lang w:eastAsia="cs-CZ"/>
        </w:rPr>
      </w:pPr>
    </w:p>
    <w:p w14:paraId="280C4D24" w14:textId="5E2AF92E" w:rsidR="00F1264F" w:rsidRPr="00CE357F" w:rsidRDefault="00F1264F" w:rsidP="00F1264F">
      <w:pPr>
        <w:pStyle w:val="Nadpis2"/>
        <w:ind w:left="426"/>
        <w:rPr>
          <w:rFonts w:ascii="Arial Narrow" w:hAnsi="Arial Narrow"/>
          <w:sz w:val="30"/>
          <w:szCs w:val="30"/>
        </w:rPr>
      </w:pPr>
      <w:bookmarkStart w:id="16" w:name="_Toc136876065"/>
      <w:r w:rsidRPr="00CE357F">
        <w:rPr>
          <w:rFonts w:ascii="Arial Narrow" w:hAnsi="Arial Narrow"/>
          <w:sz w:val="30"/>
          <w:szCs w:val="30"/>
        </w:rPr>
        <w:t>Popis metodologie zpracování tematick</w:t>
      </w:r>
      <w:r w:rsidR="00076F0C">
        <w:rPr>
          <w:rFonts w:ascii="Arial Narrow" w:hAnsi="Arial Narrow"/>
          <w:sz w:val="30"/>
          <w:szCs w:val="30"/>
        </w:rPr>
        <w:t xml:space="preserve">ého </w:t>
      </w:r>
      <w:r w:rsidRPr="00CE357F">
        <w:rPr>
          <w:rFonts w:ascii="Arial Narrow" w:hAnsi="Arial Narrow"/>
          <w:sz w:val="30"/>
          <w:szCs w:val="30"/>
        </w:rPr>
        <w:t>okruh</w:t>
      </w:r>
      <w:r w:rsidR="00076F0C">
        <w:rPr>
          <w:rFonts w:ascii="Arial Narrow" w:hAnsi="Arial Narrow"/>
          <w:sz w:val="30"/>
          <w:szCs w:val="30"/>
        </w:rPr>
        <w:t>u</w:t>
      </w:r>
      <w:r w:rsidRPr="00CE357F">
        <w:rPr>
          <w:rFonts w:ascii="Arial Narrow" w:hAnsi="Arial Narrow"/>
          <w:sz w:val="30"/>
          <w:szCs w:val="30"/>
        </w:rPr>
        <w:t xml:space="preserve"> </w:t>
      </w:r>
      <w:r w:rsidR="00832906" w:rsidRPr="00CE357F">
        <w:rPr>
          <w:rFonts w:ascii="Arial Narrow" w:hAnsi="Arial Narrow"/>
          <w:sz w:val="30"/>
          <w:szCs w:val="30"/>
        </w:rPr>
        <w:t>a</w:t>
      </w:r>
      <w:r w:rsidRPr="00CE357F">
        <w:rPr>
          <w:rFonts w:ascii="Arial Narrow" w:hAnsi="Arial Narrow"/>
          <w:sz w:val="30"/>
          <w:szCs w:val="30"/>
        </w:rPr>
        <w:t>)</w:t>
      </w:r>
      <w:bookmarkEnd w:id="16"/>
      <w:r w:rsidR="00832906" w:rsidRPr="00CE357F">
        <w:rPr>
          <w:rFonts w:ascii="Arial Narrow" w:hAnsi="Arial Narrow"/>
          <w:sz w:val="30"/>
          <w:szCs w:val="30"/>
        </w:rPr>
        <w:t xml:space="preserve"> </w:t>
      </w:r>
    </w:p>
    <w:p w14:paraId="7AF83152" w14:textId="77777777" w:rsidR="00F1264F" w:rsidRPr="00CE357F" w:rsidRDefault="00F1264F" w:rsidP="00F1264F">
      <w:pPr>
        <w:spacing w:line="276" w:lineRule="auto"/>
        <w:rPr>
          <w:rFonts w:ascii="Arial Narrow" w:hAnsi="Arial Narrow"/>
        </w:rPr>
      </w:pPr>
    </w:p>
    <w:p w14:paraId="739C4DDC" w14:textId="77777777" w:rsidR="00F1264F" w:rsidRPr="00CE357F" w:rsidRDefault="00F1264F" w:rsidP="00F1264F">
      <w:pPr>
        <w:spacing w:line="276" w:lineRule="auto"/>
        <w:rPr>
          <w:rFonts w:ascii="Arial Narrow" w:hAnsi="Arial Narrow"/>
        </w:rPr>
      </w:pPr>
    </w:p>
    <w:p w14:paraId="6AB60F57" w14:textId="22FA67DB" w:rsidR="00F1264F" w:rsidRPr="00CE357F" w:rsidRDefault="00F1264F" w:rsidP="00682025">
      <w:pPr>
        <w:shd w:val="clear" w:color="auto" w:fill="D9E2F3" w:themeFill="accent1" w:themeFillTint="33"/>
        <w:autoSpaceDE w:val="0"/>
        <w:autoSpaceDN w:val="0"/>
        <w:adjustRightInd w:val="0"/>
        <w:spacing w:line="276" w:lineRule="auto"/>
        <w:jc w:val="both"/>
        <w:rPr>
          <w:rFonts w:ascii="Arial Narrow" w:hAnsi="Arial Narrow"/>
        </w:rPr>
      </w:pPr>
      <w:r w:rsidRPr="00CE357F">
        <w:rPr>
          <w:rFonts w:ascii="Arial Narrow" w:hAnsi="Arial Narrow"/>
          <w:b/>
          <w:bCs/>
        </w:rPr>
        <w:t>Sběr, analýza a vyhodnocení základních dat o počtech cizinců v Jihomoravském kraji a o jejich zaměstnanosti, nezaměstnanosti a zaměstnávání, a to v rámci základních statistických územních jednotek obcí Jihomoravského kraje typu II. a III. a obcí s významným počtem či podílem registrovaných cizinců</w:t>
      </w:r>
      <w:r w:rsidR="003D5578" w:rsidRPr="00CE357F">
        <w:rPr>
          <w:rFonts w:ascii="Arial Narrow" w:hAnsi="Arial Narrow"/>
          <w:b/>
          <w:bCs/>
        </w:rPr>
        <w:t>.</w:t>
      </w:r>
    </w:p>
    <w:p w14:paraId="65775D43" w14:textId="77777777" w:rsidR="00F1264F" w:rsidRPr="00CE357F" w:rsidRDefault="00F1264F" w:rsidP="00F1264F">
      <w:pPr>
        <w:spacing w:line="276" w:lineRule="auto"/>
        <w:rPr>
          <w:rFonts w:ascii="Arial Narrow" w:hAnsi="Arial Narrow"/>
        </w:rPr>
      </w:pPr>
    </w:p>
    <w:p w14:paraId="2F41B952" w14:textId="77777777" w:rsidR="00F1264F" w:rsidRPr="00CE357F" w:rsidRDefault="00F1264F" w:rsidP="00F1264F">
      <w:pPr>
        <w:autoSpaceDE w:val="0"/>
        <w:autoSpaceDN w:val="0"/>
        <w:adjustRightInd w:val="0"/>
        <w:spacing w:after="120" w:line="276" w:lineRule="auto"/>
        <w:jc w:val="both"/>
        <w:rPr>
          <w:rFonts w:ascii="Arial Narrow" w:hAnsi="Arial Narrow"/>
          <w:b/>
          <w:bCs/>
        </w:rPr>
      </w:pPr>
      <w:r w:rsidRPr="00CE357F">
        <w:rPr>
          <w:rFonts w:ascii="Arial Narrow" w:hAnsi="Arial Narrow"/>
          <w:b/>
          <w:bCs/>
        </w:rPr>
        <w:t>Typ a struktura sbíraných dat</w:t>
      </w:r>
    </w:p>
    <w:p w14:paraId="076F3A70" w14:textId="7A06D51D" w:rsidR="00F1264F" w:rsidRPr="00CE357F" w:rsidRDefault="00F1264F" w:rsidP="00F1264F">
      <w:pPr>
        <w:widowControl w:val="0"/>
        <w:autoSpaceDE w:val="0"/>
        <w:autoSpaceDN w:val="0"/>
        <w:adjustRightInd w:val="0"/>
        <w:spacing w:after="120" w:line="276" w:lineRule="auto"/>
        <w:jc w:val="both"/>
        <w:rPr>
          <w:rFonts w:ascii="Arial Narrow" w:hAnsi="Arial Narrow"/>
        </w:rPr>
      </w:pPr>
      <w:r w:rsidRPr="00CE357F">
        <w:rPr>
          <w:rFonts w:ascii="Arial Narrow" w:hAnsi="Arial Narrow"/>
        </w:rPr>
        <w:t xml:space="preserve">Metodou sběru dat </w:t>
      </w:r>
      <w:r w:rsidR="00682025" w:rsidRPr="00CE357F">
        <w:rPr>
          <w:rFonts w:ascii="Arial Narrow" w:hAnsi="Arial Narrow"/>
        </w:rPr>
        <w:t>byla</w:t>
      </w:r>
      <w:r w:rsidRPr="00CE357F">
        <w:rPr>
          <w:rFonts w:ascii="Arial Narrow" w:hAnsi="Arial Narrow"/>
        </w:rPr>
        <w:t xml:space="preserve"> tzv. metoda </w:t>
      </w:r>
      <w:proofErr w:type="spellStart"/>
      <w:r w:rsidRPr="00CE357F">
        <w:rPr>
          <w:rFonts w:ascii="Arial Narrow" w:hAnsi="Arial Narrow"/>
        </w:rPr>
        <w:t>desk</w:t>
      </w:r>
      <w:proofErr w:type="spellEnd"/>
      <w:r w:rsidRPr="00CE357F">
        <w:rPr>
          <w:rFonts w:ascii="Arial Narrow" w:hAnsi="Arial Narrow"/>
        </w:rPr>
        <w:t xml:space="preserve"> </w:t>
      </w:r>
      <w:proofErr w:type="spellStart"/>
      <w:r w:rsidRPr="00CE357F">
        <w:rPr>
          <w:rFonts w:ascii="Arial Narrow" w:hAnsi="Arial Narrow"/>
        </w:rPr>
        <w:t>research</w:t>
      </w:r>
      <w:proofErr w:type="spellEnd"/>
      <w:r w:rsidRPr="00CE357F">
        <w:rPr>
          <w:rFonts w:ascii="Arial Narrow" w:hAnsi="Arial Narrow"/>
        </w:rPr>
        <w:t>. Jedná se o shromáždění a syntézu všech dostupných aktuálních informací, časových řad a údajů, jejich strukturaci a deskripci. Tento postup umožn</w:t>
      </w:r>
      <w:r w:rsidR="006E7CBE" w:rsidRPr="00CE357F">
        <w:rPr>
          <w:rFonts w:ascii="Arial Narrow" w:hAnsi="Arial Narrow"/>
        </w:rPr>
        <w:t>il</w:t>
      </w:r>
      <w:r w:rsidRPr="00CE357F">
        <w:rPr>
          <w:rFonts w:ascii="Arial Narrow" w:hAnsi="Arial Narrow"/>
        </w:rPr>
        <w:t xml:space="preserve"> ve spolupráci s</w:t>
      </w:r>
      <w:r w:rsidR="006E7CBE" w:rsidRPr="00CE357F">
        <w:rPr>
          <w:rFonts w:ascii="Arial Narrow" w:hAnsi="Arial Narrow"/>
        </w:rPr>
        <w:t>e</w:t>
      </w:r>
      <w:r w:rsidRPr="00CE357F">
        <w:rPr>
          <w:rFonts w:ascii="Arial Narrow" w:hAnsi="Arial Narrow"/>
        </w:rPr>
        <w:t xml:space="preserve"> </w:t>
      </w:r>
      <w:r w:rsidR="006E7CBE" w:rsidRPr="00CE357F">
        <w:rPr>
          <w:rFonts w:ascii="Arial Narrow" w:hAnsi="Arial Narrow"/>
        </w:rPr>
        <w:t>zadavatelem</w:t>
      </w:r>
      <w:r w:rsidRPr="00CE357F">
        <w:rPr>
          <w:rFonts w:ascii="Arial Narrow" w:hAnsi="Arial Narrow"/>
        </w:rPr>
        <w:t xml:space="preserve"> a subjekty státní správy, krajské a obecní samosprávy, neziskovými organizacemi, spolky, zaměstnavateli a dalšími subjekty pracovat s aktuálními relevantními informacemi a daty. </w:t>
      </w:r>
      <w:r w:rsidR="006E7CBE" w:rsidRPr="00CE357F">
        <w:rPr>
          <w:rFonts w:ascii="Arial Narrow" w:hAnsi="Arial Narrow"/>
        </w:rPr>
        <w:t>Šlo</w:t>
      </w:r>
      <w:r w:rsidRPr="00CE357F">
        <w:rPr>
          <w:rFonts w:ascii="Arial Narrow" w:hAnsi="Arial Narrow"/>
        </w:rPr>
        <w:t xml:space="preserve"> například o:</w:t>
      </w:r>
    </w:p>
    <w:p w14:paraId="51217E47" w14:textId="6748B1DA" w:rsidR="00F1264F" w:rsidRPr="00CE357F" w:rsidRDefault="00F1264F" w:rsidP="008B3D36">
      <w:pPr>
        <w:pStyle w:val="Odstavecseseznamem"/>
        <w:numPr>
          <w:ilvl w:val="0"/>
          <w:numId w:val="2"/>
        </w:numPr>
        <w:autoSpaceDE w:val="0"/>
        <w:autoSpaceDN w:val="0"/>
        <w:adjustRightInd w:val="0"/>
        <w:spacing w:line="276" w:lineRule="auto"/>
        <w:jc w:val="both"/>
        <w:rPr>
          <w:rFonts w:ascii="Arial Narrow" w:hAnsi="Arial Narrow"/>
        </w:rPr>
      </w:pPr>
      <w:r w:rsidRPr="00CE357F">
        <w:rPr>
          <w:rFonts w:ascii="Arial Narrow" w:hAnsi="Arial Narrow"/>
        </w:rPr>
        <w:t>Trendy v oblasti migrace v</w:t>
      </w:r>
      <w:r w:rsidR="006E7CBE" w:rsidRPr="00CE357F">
        <w:rPr>
          <w:rFonts w:ascii="Arial Narrow" w:hAnsi="Arial Narrow"/>
        </w:rPr>
        <w:t> Jihomoravském kraji (</w:t>
      </w:r>
      <w:r w:rsidRPr="00CE357F">
        <w:rPr>
          <w:rFonts w:ascii="Arial Narrow" w:hAnsi="Arial Narrow"/>
        </w:rPr>
        <w:t>JMK</w:t>
      </w:r>
      <w:r w:rsidR="006E7CBE" w:rsidRPr="00CE357F">
        <w:rPr>
          <w:rFonts w:ascii="Arial Narrow" w:hAnsi="Arial Narrow"/>
        </w:rPr>
        <w:t>)</w:t>
      </w:r>
      <w:r w:rsidRPr="00CE357F">
        <w:rPr>
          <w:rFonts w:ascii="Arial Narrow" w:hAnsi="Arial Narrow"/>
        </w:rPr>
        <w:t xml:space="preserve"> ve srovnání se situací v jiných regionech </w:t>
      </w:r>
      <w:r w:rsidR="006E7CBE" w:rsidRPr="00CE357F">
        <w:rPr>
          <w:rFonts w:ascii="Arial Narrow" w:hAnsi="Arial Narrow"/>
        </w:rPr>
        <w:t>České republiky (</w:t>
      </w:r>
      <w:r w:rsidRPr="00CE357F">
        <w:rPr>
          <w:rFonts w:ascii="Arial Narrow" w:hAnsi="Arial Narrow"/>
        </w:rPr>
        <w:t>ČR</w:t>
      </w:r>
      <w:r w:rsidR="006E7CBE" w:rsidRPr="00CE357F">
        <w:rPr>
          <w:rFonts w:ascii="Arial Narrow" w:hAnsi="Arial Narrow"/>
        </w:rPr>
        <w:t>)</w:t>
      </w:r>
      <w:r w:rsidRPr="00CE357F">
        <w:rPr>
          <w:rFonts w:ascii="Arial Narrow" w:hAnsi="Arial Narrow"/>
        </w:rPr>
        <w:t xml:space="preserve"> a v rámci členských států</w:t>
      </w:r>
      <w:r w:rsidR="006E7CBE" w:rsidRPr="00CE357F">
        <w:rPr>
          <w:rFonts w:ascii="Arial Narrow" w:hAnsi="Arial Narrow"/>
        </w:rPr>
        <w:t xml:space="preserve"> Evropské unie</w:t>
      </w:r>
      <w:r w:rsidRPr="00CE357F">
        <w:rPr>
          <w:rFonts w:ascii="Arial Narrow" w:hAnsi="Arial Narrow"/>
        </w:rPr>
        <w:t xml:space="preserve"> </w:t>
      </w:r>
      <w:r w:rsidR="006E7CBE" w:rsidRPr="00CE357F">
        <w:rPr>
          <w:rFonts w:ascii="Arial Narrow" w:hAnsi="Arial Narrow"/>
        </w:rPr>
        <w:t>(</w:t>
      </w:r>
      <w:r w:rsidRPr="00CE357F">
        <w:rPr>
          <w:rFonts w:ascii="Arial Narrow" w:hAnsi="Arial Narrow"/>
        </w:rPr>
        <w:t>EU</w:t>
      </w:r>
      <w:r w:rsidR="006E7CBE" w:rsidRPr="00CE357F">
        <w:rPr>
          <w:rFonts w:ascii="Arial Narrow" w:hAnsi="Arial Narrow"/>
        </w:rPr>
        <w:t>)</w:t>
      </w:r>
      <w:r w:rsidRPr="00CE357F">
        <w:rPr>
          <w:rFonts w:ascii="Arial Narrow" w:hAnsi="Arial Narrow"/>
        </w:rPr>
        <w:t>,</w:t>
      </w:r>
    </w:p>
    <w:p w14:paraId="0CF64E5A" w14:textId="6C9D8293" w:rsidR="00F1264F" w:rsidRPr="00CE357F" w:rsidRDefault="00F1264F" w:rsidP="008B3D36">
      <w:pPr>
        <w:pStyle w:val="Odstavecseseznamem"/>
        <w:numPr>
          <w:ilvl w:val="0"/>
          <w:numId w:val="2"/>
        </w:numPr>
        <w:autoSpaceDE w:val="0"/>
        <w:autoSpaceDN w:val="0"/>
        <w:adjustRightInd w:val="0"/>
        <w:spacing w:line="276" w:lineRule="auto"/>
        <w:jc w:val="both"/>
        <w:rPr>
          <w:rFonts w:ascii="Arial Narrow" w:hAnsi="Arial Narrow"/>
        </w:rPr>
      </w:pPr>
      <w:r w:rsidRPr="00CE357F">
        <w:rPr>
          <w:rFonts w:ascii="Arial Narrow" w:hAnsi="Arial Narrow"/>
        </w:rPr>
        <w:t>Přehled významných socio-demografických a socio-ekonomických dat o cizincích v</w:t>
      </w:r>
      <w:r w:rsidR="006E7CBE" w:rsidRPr="00CE357F">
        <w:rPr>
          <w:rFonts w:ascii="Arial Narrow" w:hAnsi="Arial Narrow"/>
        </w:rPr>
        <w:t xml:space="preserve"> </w:t>
      </w:r>
      <w:r w:rsidRPr="00CE357F">
        <w:rPr>
          <w:rFonts w:ascii="Arial Narrow" w:hAnsi="Arial Narrow"/>
        </w:rPr>
        <w:t>JMK, ČR, potažmo EU,</w:t>
      </w:r>
    </w:p>
    <w:p w14:paraId="60287D07" w14:textId="77777777" w:rsidR="00F1264F" w:rsidRPr="00CE357F" w:rsidRDefault="00F1264F" w:rsidP="008B3D36">
      <w:pPr>
        <w:pStyle w:val="Odstavecseseznamem"/>
        <w:numPr>
          <w:ilvl w:val="0"/>
          <w:numId w:val="2"/>
        </w:numPr>
        <w:autoSpaceDE w:val="0"/>
        <w:autoSpaceDN w:val="0"/>
        <w:adjustRightInd w:val="0"/>
        <w:spacing w:line="276" w:lineRule="auto"/>
        <w:jc w:val="both"/>
        <w:rPr>
          <w:rFonts w:ascii="Arial Narrow" w:hAnsi="Arial Narrow"/>
        </w:rPr>
      </w:pPr>
      <w:r w:rsidRPr="00CE357F">
        <w:rPr>
          <w:rFonts w:ascii="Arial Narrow" w:hAnsi="Arial Narrow"/>
        </w:rPr>
        <w:t>Vývoj struktury všech uchazečů o zaměstnání s důrazem na cizince od roku 2005 (příp. od r. 2000) do současnosti.</w:t>
      </w:r>
    </w:p>
    <w:p w14:paraId="73B001B8" w14:textId="77777777" w:rsidR="00F1264F" w:rsidRPr="00CE357F" w:rsidRDefault="00F1264F" w:rsidP="00F1264F">
      <w:pPr>
        <w:autoSpaceDE w:val="0"/>
        <w:autoSpaceDN w:val="0"/>
        <w:adjustRightInd w:val="0"/>
        <w:spacing w:line="276" w:lineRule="auto"/>
        <w:jc w:val="both"/>
        <w:rPr>
          <w:rFonts w:ascii="Arial Narrow" w:hAnsi="Arial Narrow"/>
        </w:rPr>
      </w:pPr>
    </w:p>
    <w:p w14:paraId="423EE99A" w14:textId="77777777" w:rsidR="00F1264F" w:rsidRPr="00CE357F" w:rsidRDefault="00F1264F" w:rsidP="00F1264F">
      <w:pPr>
        <w:autoSpaceDE w:val="0"/>
        <w:autoSpaceDN w:val="0"/>
        <w:adjustRightInd w:val="0"/>
        <w:spacing w:after="120" w:line="276" w:lineRule="auto"/>
        <w:jc w:val="both"/>
        <w:rPr>
          <w:rFonts w:ascii="Arial Narrow" w:hAnsi="Arial Narrow"/>
          <w:b/>
          <w:bCs/>
        </w:rPr>
      </w:pPr>
      <w:r w:rsidRPr="00CE357F">
        <w:rPr>
          <w:rFonts w:ascii="Arial Narrow" w:hAnsi="Arial Narrow"/>
          <w:b/>
          <w:bCs/>
        </w:rPr>
        <w:t>Zdroje dat</w:t>
      </w:r>
    </w:p>
    <w:p w14:paraId="0294993B" w14:textId="7B61751C" w:rsidR="00F1264F" w:rsidRPr="00CE357F" w:rsidRDefault="00F1264F" w:rsidP="00F1264F">
      <w:pPr>
        <w:autoSpaceDE w:val="0"/>
        <w:autoSpaceDN w:val="0"/>
        <w:adjustRightInd w:val="0"/>
        <w:spacing w:after="120" w:line="276" w:lineRule="auto"/>
        <w:jc w:val="both"/>
        <w:rPr>
          <w:rFonts w:ascii="Arial Narrow" w:hAnsi="Arial Narrow"/>
        </w:rPr>
      </w:pPr>
      <w:r w:rsidRPr="00CE357F">
        <w:rPr>
          <w:rFonts w:ascii="Arial Narrow" w:hAnsi="Arial Narrow"/>
        </w:rPr>
        <w:t xml:space="preserve">Analýza se </w:t>
      </w:r>
      <w:r w:rsidR="0056150B" w:rsidRPr="00CE357F">
        <w:rPr>
          <w:rFonts w:ascii="Arial Narrow" w:hAnsi="Arial Narrow"/>
        </w:rPr>
        <w:t>zaměřila</w:t>
      </w:r>
      <w:r w:rsidRPr="00CE357F">
        <w:rPr>
          <w:rFonts w:ascii="Arial Narrow" w:hAnsi="Arial Narrow"/>
        </w:rPr>
        <w:t xml:space="preserve"> na data od roku 2005, případně od roku 2000, </w:t>
      </w:r>
      <w:r w:rsidR="0056150B" w:rsidRPr="00CE357F">
        <w:rPr>
          <w:rFonts w:ascii="Arial Narrow" w:hAnsi="Arial Narrow"/>
        </w:rPr>
        <w:t>v případě, že</w:t>
      </w:r>
      <w:r w:rsidRPr="00CE357F">
        <w:rPr>
          <w:rFonts w:ascii="Arial Narrow" w:hAnsi="Arial Narrow"/>
        </w:rPr>
        <w:t xml:space="preserve"> </w:t>
      </w:r>
      <w:r w:rsidR="0056150B" w:rsidRPr="00CE357F">
        <w:rPr>
          <w:rFonts w:ascii="Arial Narrow" w:hAnsi="Arial Narrow"/>
        </w:rPr>
        <w:t>byly</w:t>
      </w:r>
      <w:r w:rsidRPr="00CE357F">
        <w:rPr>
          <w:rFonts w:ascii="Arial Narrow" w:hAnsi="Arial Narrow"/>
        </w:rPr>
        <w:t xml:space="preserve"> k dispozici. Podstatnými vstupy </w:t>
      </w:r>
      <w:r w:rsidR="0056150B" w:rsidRPr="00CE357F">
        <w:rPr>
          <w:rFonts w:ascii="Arial Narrow" w:hAnsi="Arial Narrow"/>
        </w:rPr>
        <w:t>byly</w:t>
      </w:r>
      <w:r w:rsidRPr="00CE357F">
        <w:rPr>
          <w:rFonts w:ascii="Arial Narrow" w:hAnsi="Arial Narrow"/>
        </w:rPr>
        <w:t xml:space="preserve"> roční statistické přehledy a odborné články z relevantních zdrojů, tj. Úřadu práce, Českého statistického úřadu včetně </w:t>
      </w:r>
      <w:proofErr w:type="spellStart"/>
      <w:r w:rsidRPr="00CE357F">
        <w:rPr>
          <w:rFonts w:ascii="Arial Narrow" w:hAnsi="Arial Narrow"/>
        </w:rPr>
        <w:t>Eurostatu</w:t>
      </w:r>
      <w:proofErr w:type="spellEnd"/>
      <w:r w:rsidRPr="00CE357F">
        <w:rPr>
          <w:rFonts w:ascii="Arial Narrow" w:hAnsi="Arial Narrow"/>
        </w:rPr>
        <w:t xml:space="preserve">, Ministerstva práce a sociálních věcí, Ministerstva průmyslu a obchodu, Policie ČR – Cizinecké policie a Ministerstva vnitra – Odboru azylové a migrační politiky, Ministerstva školství, mládeže a tělovýchovy, a dalších sekundárních zdrojů. </w:t>
      </w:r>
      <w:r w:rsidR="0056150B" w:rsidRPr="00CE357F">
        <w:rPr>
          <w:rFonts w:ascii="Arial Narrow" w:hAnsi="Arial Narrow"/>
        </w:rPr>
        <w:t>Bylo pracováno</w:t>
      </w:r>
      <w:r w:rsidRPr="00CE357F">
        <w:rPr>
          <w:rFonts w:ascii="Arial Narrow" w:hAnsi="Arial Narrow"/>
        </w:rPr>
        <w:t xml:space="preserve"> také s analýzami a průzkumy, které byly uskutečněny v Jihomoravském kraji a Statutárním městě Brně. </w:t>
      </w:r>
    </w:p>
    <w:p w14:paraId="76DA9DE8" w14:textId="77777777" w:rsidR="0056150B" w:rsidRPr="00CE357F" w:rsidRDefault="0056150B" w:rsidP="00F1264F">
      <w:pPr>
        <w:autoSpaceDE w:val="0"/>
        <w:autoSpaceDN w:val="0"/>
        <w:adjustRightInd w:val="0"/>
        <w:spacing w:after="120" w:line="276" w:lineRule="auto"/>
        <w:jc w:val="both"/>
        <w:rPr>
          <w:rFonts w:ascii="Arial Narrow" w:hAnsi="Arial Narrow"/>
        </w:rPr>
      </w:pPr>
    </w:p>
    <w:p w14:paraId="5FB21310" w14:textId="77777777" w:rsidR="003A351B" w:rsidRPr="00CE357F" w:rsidRDefault="00F1264F" w:rsidP="003A351B">
      <w:pPr>
        <w:autoSpaceDE w:val="0"/>
        <w:autoSpaceDN w:val="0"/>
        <w:adjustRightInd w:val="0"/>
        <w:spacing w:after="120" w:line="276" w:lineRule="auto"/>
        <w:jc w:val="both"/>
        <w:rPr>
          <w:rFonts w:ascii="Arial Narrow" w:hAnsi="Arial Narrow"/>
          <w:b/>
        </w:rPr>
      </w:pPr>
      <w:r w:rsidRPr="00CE357F">
        <w:rPr>
          <w:rFonts w:ascii="Arial Narrow" w:hAnsi="Arial Narrow"/>
          <w:b/>
        </w:rPr>
        <w:t>Zpracování dat</w:t>
      </w:r>
    </w:p>
    <w:p w14:paraId="0978C44B" w14:textId="4CA59F8E" w:rsidR="00F1264F" w:rsidRPr="00CE357F" w:rsidRDefault="00F1264F" w:rsidP="003A351B">
      <w:pPr>
        <w:autoSpaceDE w:val="0"/>
        <w:autoSpaceDN w:val="0"/>
        <w:adjustRightInd w:val="0"/>
        <w:spacing w:after="120" w:line="276" w:lineRule="auto"/>
        <w:jc w:val="both"/>
        <w:rPr>
          <w:rFonts w:ascii="Arial Narrow" w:hAnsi="Arial Narrow"/>
        </w:rPr>
      </w:pPr>
      <w:r w:rsidRPr="00CE357F">
        <w:rPr>
          <w:rFonts w:ascii="Arial Narrow" w:hAnsi="Arial Narrow"/>
        </w:rPr>
        <w:t xml:space="preserve">Data </w:t>
      </w:r>
      <w:r w:rsidR="0056150B" w:rsidRPr="00CE357F">
        <w:rPr>
          <w:rFonts w:ascii="Arial Narrow" w:hAnsi="Arial Narrow"/>
        </w:rPr>
        <w:t>byla</w:t>
      </w:r>
      <w:r w:rsidRPr="00CE357F">
        <w:rPr>
          <w:rFonts w:ascii="Arial Narrow" w:hAnsi="Arial Narrow"/>
        </w:rPr>
        <w:t xml:space="preserve"> patřičně interpretována</w:t>
      </w:r>
      <w:r w:rsidR="003A351B" w:rsidRPr="00CE357F">
        <w:rPr>
          <w:rFonts w:ascii="Arial Narrow" w:hAnsi="Arial Narrow"/>
        </w:rPr>
        <w:t xml:space="preserve"> a </w:t>
      </w:r>
      <w:r w:rsidRPr="00CE357F">
        <w:rPr>
          <w:rFonts w:ascii="Arial Narrow" w:hAnsi="Arial Narrow"/>
        </w:rPr>
        <w:t xml:space="preserve">vyjádřena pomocí přehledových tabulek, grafů, kartodiagramů s doplňujícím textem na úrovni </w:t>
      </w:r>
      <w:r w:rsidR="0056150B" w:rsidRPr="00CE357F">
        <w:rPr>
          <w:rFonts w:ascii="Arial Narrow" w:hAnsi="Arial Narrow"/>
        </w:rPr>
        <w:t>České republiky, Jihomoravského kraje a obcí s rozšířenou působností (ORP)</w:t>
      </w:r>
      <w:r w:rsidRPr="00CE357F">
        <w:rPr>
          <w:rFonts w:ascii="Arial Narrow" w:hAnsi="Arial Narrow"/>
        </w:rPr>
        <w:t xml:space="preserve">. </w:t>
      </w:r>
      <w:r w:rsidR="0056150B" w:rsidRPr="00CE357F">
        <w:rPr>
          <w:rFonts w:ascii="Arial Narrow" w:hAnsi="Arial Narrow"/>
        </w:rPr>
        <w:t>Z interpretací se</w:t>
      </w:r>
      <w:r w:rsidRPr="00CE357F">
        <w:rPr>
          <w:rFonts w:ascii="Arial Narrow" w:hAnsi="Arial Narrow"/>
        </w:rPr>
        <w:t xml:space="preserve"> da</w:t>
      </w:r>
      <w:r w:rsidR="0056150B" w:rsidRPr="00CE357F">
        <w:rPr>
          <w:rFonts w:ascii="Arial Narrow" w:hAnsi="Arial Narrow"/>
        </w:rPr>
        <w:t>jí</w:t>
      </w:r>
      <w:r w:rsidRPr="00CE357F">
        <w:rPr>
          <w:rFonts w:ascii="Arial Narrow" w:hAnsi="Arial Narrow"/>
        </w:rPr>
        <w:t xml:space="preserve"> vyvodit doporučení a využití pro praxi, příp. nastavení realizace projektu.</w:t>
      </w:r>
    </w:p>
    <w:p w14:paraId="597281D7" w14:textId="14A34213" w:rsidR="00497265" w:rsidRPr="00CE357F" w:rsidRDefault="00497265" w:rsidP="00497265">
      <w:pPr>
        <w:autoSpaceDE w:val="0"/>
        <w:autoSpaceDN w:val="0"/>
        <w:adjustRightInd w:val="0"/>
        <w:spacing w:line="276" w:lineRule="auto"/>
        <w:jc w:val="both"/>
        <w:rPr>
          <w:rFonts w:ascii="Arial Narrow" w:hAnsi="Arial Narrow"/>
        </w:rPr>
      </w:pPr>
      <w:r w:rsidRPr="00CE357F">
        <w:rPr>
          <w:rFonts w:ascii="Arial Narrow" w:hAnsi="Arial Narrow"/>
        </w:rPr>
        <w:t xml:space="preserve">Data byla zpracována v rámci celého kontextu a trendů v oblasti migrace v JMK ve srovnání se situací v jiných regionech, potažmo členských státech EU. Byly zahrnuty přehledy významných socio-demografických a socio-ekonomických dat v oblasti cizinců v JMK a regionech ČR, vývoj ekonomické aktivity cizinců a míra zaměstnanosti. Zvláštní pozornost byla věnována </w:t>
      </w:r>
      <w:r w:rsidRPr="004918F1">
        <w:rPr>
          <w:rFonts w:ascii="Arial Narrow" w:hAnsi="Arial Narrow"/>
        </w:rPr>
        <w:t>následkům</w:t>
      </w:r>
      <w:r w:rsidR="002C0A2F" w:rsidRPr="004918F1">
        <w:rPr>
          <w:rFonts w:ascii="Arial Narrow" w:hAnsi="Arial Narrow"/>
        </w:rPr>
        <w:t xml:space="preserve"> ozbrojeného konfliktu na území Ukrajiny vyvolaného invazí vojsk Ruské federace dne 24. února 2022, následkům</w:t>
      </w:r>
      <w:r w:rsidRPr="00CE357F">
        <w:rPr>
          <w:rFonts w:ascii="Arial Narrow" w:hAnsi="Arial Narrow"/>
        </w:rPr>
        <w:t xml:space="preserve"> šíření viru SARS-CoV_2 a komparaci současného vývoje s ekonomickou krizí v letech 2008-2012. </w:t>
      </w:r>
    </w:p>
    <w:p w14:paraId="600C31B7" w14:textId="4EDC1D5C" w:rsidR="003A351B" w:rsidRPr="00CE357F" w:rsidRDefault="003A351B" w:rsidP="003A351B">
      <w:pPr>
        <w:jc w:val="both"/>
        <w:rPr>
          <w:rFonts w:ascii="Arial Narrow" w:hAnsi="Arial Narrow" w:cstheme="minorHAnsi"/>
        </w:rPr>
      </w:pPr>
    </w:p>
    <w:p w14:paraId="3B9A0FA6" w14:textId="0052C4B4" w:rsidR="003A351B" w:rsidRPr="00CE357F" w:rsidRDefault="6A926EC6" w:rsidP="003A351B">
      <w:pPr>
        <w:autoSpaceDE w:val="0"/>
        <w:autoSpaceDN w:val="0"/>
        <w:adjustRightInd w:val="0"/>
        <w:spacing w:after="240" w:line="276" w:lineRule="auto"/>
        <w:jc w:val="both"/>
        <w:rPr>
          <w:rFonts w:ascii="Arial Narrow" w:hAnsi="Arial Narrow"/>
        </w:rPr>
      </w:pPr>
      <w:r w:rsidRPr="2645E051">
        <w:rPr>
          <w:rFonts w:ascii="Arial Narrow" w:hAnsi="Arial Narrow"/>
        </w:rPr>
        <w:lastRenderedPageBreak/>
        <w:t xml:space="preserve">Sběr, analýza a vyhodnocení základních dat o počtech cizinců v Jihomoravském kraji a o jejich zaměstnanosti, nezaměstnanosti a zaměstnávání byly nejprve realizovány ve vztahu k České republice s přesahem do EU a dále ve vztahu k Jihomoravskému kraji. </w:t>
      </w:r>
      <w:r w:rsidR="008F7DB0" w:rsidRPr="00173E7B">
        <w:rPr>
          <w:rFonts w:ascii="Arial Narrow" w:hAnsi="Arial Narrow"/>
        </w:rPr>
        <w:t xml:space="preserve">Tyto aktivity byly dále realizovány ve vztahu k vybraným správním obvodům ORP Jihomoravského kraje, které byly vybrány na základě úzkosti spolupráce s Centrem pro cizince JMK a projektem </w:t>
      </w:r>
      <w:proofErr w:type="spellStart"/>
      <w:r w:rsidR="008F7DB0" w:rsidRPr="00173E7B">
        <w:rPr>
          <w:rFonts w:ascii="Arial Narrow" w:hAnsi="Arial Narrow"/>
        </w:rPr>
        <w:t>Skill</w:t>
      </w:r>
      <w:proofErr w:type="spellEnd"/>
      <w:r w:rsidR="008F7DB0" w:rsidRPr="00173E7B">
        <w:rPr>
          <w:rFonts w:ascii="Arial Narrow" w:hAnsi="Arial Narrow"/>
        </w:rPr>
        <w:t xml:space="preserve"> Centrum, v rámci něhož byla analýza realizována. Zjištěná data budou zadavatelem využita k lepší spolupráci s jednotlivými ORP. Vybrané správní obvody ORP v abecedním pořadí.</w:t>
      </w:r>
    </w:p>
    <w:p w14:paraId="205735EA" w14:textId="19C04FFD" w:rsidR="003A351B" w:rsidRPr="00CE357F" w:rsidRDefault="003A351B" w:rsidP="008B3D36">
      <w:pPr>
        <w:pStyle w:val="Odstavecseseznamem"/>
        <w:numPr>
          <w:ilvl w:val="0"/>
          <w:numId w:val="3"/>
        </w:numPr>
        <w:autoSpaceDE w:val="0"/>
        <w:autoSpaceDN w:val="0"/>
        <w:adjustRightInd w:val="0"/>
        <w:spacing w:line="276" w:lineRule="auto"/>
        <w:jc w:val="both"/>
        <w:rPr>
          <w:rFonts w:ascii="Arial Narrow" w:hAnsi="Arial Narrow"/>
        </w:rPr>
      </w:pPr>
      <w:bookmarkStart w:id="17" w:name="_Hlk91678906"/>
      <w:r w:rsidRPr="00CE357F">
        <w:rPr>
          <w:rFonts w:ascii="Arial Narrow" w:hAnsi="Arial Narrow"/>
        </w:rPr>
        <w:t>Správní obvod ORP Blansko</w:t>
      </w:r>
      <w:r w:rsidR="00497265" w:rsidRPr="00CE357F">
        <w:rPr>
          <w:rFonts w:ascii="Arial Narrow" w:hAnsi="Arial Narrow"/>
        </w:rPr>
        <w:t>;</w:t>
      </w:r>
    </w:p>
    <w:p w14:paraId="4CBC1272" w14:textId="4748F7B9" w:rsidR="003A351B" w:rsidRPr="00CE357F" w:rsidRDefault="003A351B" w:rsidP="008B3D36">
      <w:pPr>
        <w:pStyle w:val="Odstavecseseznamem"/>
        <w:numPr>
          <w:ilvl w:val="0"/>
          <w:numId w:val="3"/>
        </w:numPr>
        <w:autoSpaceDE w:val="0"/>
        <w:autoSpaceDN w:val="0"/>
        <w:adjustRightInd w:val="0"/>
        <w:spacing w:line="276" w:lineRule="auto"/>
        <w:jc w:val="both"/>
        <w:rPr>
          <w:rFonts w:ascii="Arial Narrow" w:hAnsi="Arial Narrow"/>
        </w:rPr>
      </w:pPr>
      <w:r w:rsidRPr="00CE357F">
        <w:rPr>
          <w:rFonts w:ascii="Arial Narrow" w:hAnsi="Arial Narrow"/>
        </w:rPr>
        <w:t>Správní obvod ORP Brno</w:t>
      </w:r>
      <w:r w:rsidR="002C0A2F">
        <w:rPr>
          <w:rFonts w:ascii="Arial Narrow" w:hAnsi="Arial Narrow"/>
        </w:rPr>
        <w:t>-město</w:t>
      </w:r>
      <w:r w:rsidR="00497265" w:rsidRPr="00CE357F">
        <w:rPr>
          <w:rFonts w:ascii="Arial Narrow" w:hAnsi="Arial Narrow"/>
        </w:rPr>
        <w:t>;</w:t>
      </w:r>
    </w:p>
    <w:p w14:paraId="661C8158" w14:textId="22855E7E" w:rsidR="003A351B" w:rsidRPr="00CE357F" w:rsidRDefault="003A351B" w:rsidP="008B3D36">
      <w:pPr>
        <w:pStyle w:val="Odstavecseseznamem"/>
        <w:numPr>
          <w:ilvl w:val="0"/>
          <w:numId w:val="3"/>
        </w:numPr>
        <w:autoSpaceDE w:val="0"/>
        <w:autoSpaceDN w:val="0"/>
        <w:adjustRightInd w:val="0"/>
        <w:spacing w:line="276" w:lineRule="auto"/>
        <w:jc w:val="both"/>
        <w:rPr>
          <w:rFonts w:ascii="Arial Narrow" w:hAnsi="Arial Narrow"/>
        </w:rPr>
      </w:pPr>
      <w:r w:rsidRPr="00CE357F">
        <w:rPr>
          <w:rFonts w:ascii="Arial Narrow" w:hAnsi="Arial Narrow"/>
        </w:rPr>
        <w:t>Správní obvod ORP Břeclav</w:t>
      </w:r>
      <w:r w:rsidR="00497265" w:rsidRPr="00CE357F">
        <w:rPr>
          <w:rFonts w:ascii="Arial Narrow" w:hAnsi="Arial Narrow"/>
        </w:rPr>
        <w:t>;</w:t>
      </w:r>
    </w:p>
    <w:p w14:paraId="6E9AF651" w14:textId="7186D566" w:rsidR="003A351B" w:rsidRPr="00CE357F" w:rsidRDefault="003A351B" w:rsidP="008B3D36">
      <w:pPr>
        <w:pStyle w:val="Odstavecseseznamem"/>
        <w:numPr>
          <w:ilvl w:val="0"/>
          <w:numId w:val="3"/>
        </w:numPr>
        <w:autoSpaceDE w:val="0"/>
        <w:autoSpaceDN w:val="0"/>
        <w:adjustRightInd w:val="0"/>
        <w:spacing w:line="276" w:lineRule="auto"/>
        <w:jc w:val="both"/>
        <w:rPr>
          <w:rFonts w:ascii="Arial Narrow" w:hAnsi="Arial Narrow"/>
        </w:rPr>
      </w:pPr>
      <w:r w:rsidRPr="00CE357F">
        <w:rPr>
          <w:rFonts w:ascii="Arial Narrow" w:hAnsi="Arial Narrow"/>
        </w:rPr>
        <w:t>Správní obvod ORP Kuřim</w:t>
      </w:r>
      <w:r w:rsidR="00497265" w:rsidRPr="00CE357F">
        <w:rPr>
          <w:rFonts w:ascii="Arial Narrow" w:hAnsi="Arial Narrow"/>
        </w:rPr>
        <w:t>;</w:t>
      </w:r>
    </w:p>
    <w:p w14:paraId="18BCBFCB" w14:textId="1C1682E6" w:rsidR="008B757B" w:rsidRPr="00CE357F" w:rsidRDefault="008B757B" w:rsidP="008B757B">
      <w:pPr>
        <w:pStyle w:val="Odstavecseseznamem"/>
        <w:numPr>
          <w:ilvl w:val="0"/>
          <w:numId w:val="3"/>
        </w:numPr>
        <w:autoSpaceDE w:val="0"/>
        <w:autoSpaceDN w:val="0"/>
        <w:adjustRightInd w:val="0"/>
        <w:spacing w:line="276" w:lineRule="auto"/>
        <w:jc w:val="both"/>
        <w:rPr>
          <w:rFonts w:ascii="Arial Narrow" w:hAnsi="Arial Narrow"/>
        </w:rPr>
      </w:pPr>
      <w:r w:rsidRPr="00CE357F">
        <w:rPr>
          <w:rFonts w:ascii="Arial Narrow" w:hAnsi="Arial Narrow"/>
        </w:rPr>
        <w:t xml:space="preserve">Správní obvod ORP </w:t>
      </w:r>
      <w:r>
        <w:rPr>
          <w:rFonts w:ascii="Arial Narrow" w:hAnsi="Arial Narrow"/>
        </w:rPr>
        <w:t>Tišnov;</w:t>
      </w:r>
    </w:p>
    <w:p w14:paraId="49E86A1A" w14:textId="27A599A5" w:rsidR="003A351B" w:rsidRPr="00CE357F" w:rsidRDefault="003A351B" w:rsidP="008B3D36">
      <w:pPr>
        <w:pStyle w:val="Odstavecseseznamem"/>
        <w:numPr>
          <w:ilvl w:val="0"/>
          <w:numId w:val="3"/>
        </w:numPr>
        <w:autoSpaceDE w:val="0"/>
        <w:autoSpaceDN w:val="0"/>
        <w:adjustRightInd w:val="0"/>
        <w:spacing w:line="276" w:lineRule="auto"/>
        <w:jc w:val="both"/>
        <w:rPr>
          <w:rFonts w:ascii="Arial Narrow" w:hAnsi="Arial Narrow"/>
        </w:rPr>
      </w:pPr>
      <w:r w:rsidRPr="00CE357F">
        <w:rPr>
          <w:rFonts w:ascii="Arial Narrow" w:hAnsi="Arial Narrow"/>
        </w:rPr>
        <w:t xml:space="preserve">Správní obvod ORP </w:t>
      </w:r>
      <w:r w:rsidR="002C0A2F">
        <w:rPr>
          <w:rFonts w:ascii="Arial Narrow" w:hAnsi="Arial Narrow"/>
        </w:rPr>
        <w:t>Vyškov</w:t>
      </w:r>
      <w:r w:rsidR="008B757B">
        <w:rPr>
          <w:rFonts w:ascii="Arial Narrow" w:hAnsi="Arial Narrow"/>
        </w:rPr>
        <w:t>.</w:t>
      </w:r>
    </w:p>
    <w:bookmarkEnd w:id="17"/>
    <w:p w14:paraId="607FF69B" w14:textId="5D7E4D39" w:rsidR="003A351B" w:rsidRPr="00CE357F" w:rsidRDefault="003A351B" w:rsidP="00F1264F">
      <w:pPr>
        <w:spacing w:line="276" w:lineRule="auto"/>
        <w:rPr>
          <w:rFonts w:ascii="Arial Narrow" w:hAnsi="Arial Narrow"/>
        </w:rPr>
      </w:pPr>
    </w:p>
    <w:p w14:paraId="3C6934DA" w14:textId="4D7B04AB" w:rsidR="00F1264F" w:rsidRPr="00CE357F" w:rsidRDefault="00497265" w:rsidP="00F1264F">
      <w:pPr>
        <w:pStyle w:val="Nadpis2"/>
        <w:ind w:left="709"/>
        <w:rPr>
          <w:rFonts w:ascii="Arial Narrow" w:hAnsi="Arial Narrow"/>
          <w:sz w:val="30"/>
          <w:szCs w:val="30"/>
        </w:rPr>
      </w:pPr>
      <w:bookmarkStart w:id="18" w:name="_Toc136876066"/>
      <w:r w:rsidRPr="00CE357F">
        <w:rPr>
          <w:rFonts w:ascii="Arial Narrow" w:hAnsi="Arial Narrow"/>
          <w:sz w:val="30"/>
          <w:szCs w:val="30"/>
        </w:rPr>
        <w:t>Metodologické limity tematick</w:t>
      </w:r>
      <w:r w:rsidR="00076F0C">
        <w:rPr>
          <w:rFonts w:ascii="Arial Narrow" w:hAnsi="Arial Narrow"/>
          <w:sz w:val="30"/>
          <w:szCs w:val="30"/>
        </w:rPr>
        <w:t>ého</w:t>
      </w:r>
      <w:r w:rsidRPr="00CE357F">
        <w:rPr>
          <w:rFonts w:ascii="Arial Narrow" w:hAnsi="Arial Narrow"/>
          <w:sz w:val="30"/>
          <w:szCs w:val="30"/>
        </w:rPr>
        <w:t xml:space="preserve"> okruh</w:t>
      </w:r>
      <w:r w:rsidR="00076F0C">
        <w:rPr>
          <w:rFonts w:ascii="Arial Narrow" w:hAnsi="Arial Narrow"/>
          <w:sz w:val="30"/>
          <w:szCs w:val="30"/>
        </w:rPr>
        <w:t>u</w:t>
      </w:r>
      <w:r w:rsidRPr="00CE357F">
        <w:rPr>
          <w:rFonts w:ascii="Arial Narrow" w:hAnsi="Arial Narrow"/>
          <w:sz w:val="30"/>
          <w:szCs w:val="30"/>
        </w:rPr>
        <w:t xml:space="preserve"> a)</w:t>
      </w:r>
      <w:bookmarkEnd w:id="18"/>
    </w:p>
    <w:p w14:paraId="2B1D6776" w14:textId="77777777" w:rsidR="00F1264F" w:rsidRPr="00CE357F" w:rsidRDefault="00F1264F" w:rsidP="00F1264F">
      <w:pPr>
        <w:spacing w:line="276" w:lineRule="auto"/>
        <w:rPr>
          <w:rFonts w:ascii="Arial Narrow" w:hAnsi="Arial Narrow"/>
          <w:b/>
          <w:color w:val="2F5496" w:themeColor="accent1" w:themeShade="BF"/>
        </w:rPr>
      </w:pPr>
    </w:p>
    <w:p w14:paraId="60F7BC84" w14:textId="44556D49" w:rsidR="00F1264F" w:rsidRPr="00CE357F" w:rsidRDefault="008D22CA" w:rsidP="00445065">
      <w:pPr>
        <w:spacing w:line="276" w:lineRule="auto"/>
        <w:rPr>
          <w:rFonts w:ascii="Arial Narrow" w:hAnsi="Arial Narrow"/>
          <w:b/>
          <w:u w:val="single"/>
        </w:rPr>
      </w:pPr>
      <w:r w:rsidRPr="00CE357F">
        <w:rPr>
          <w:rFonts w:ascii="Arial Narrow" w:hAnsi="Arial Narrow"/>
          <w:b/>
          <w:u w:val="single"/>
        </w:rPr>
        <w:t>Limity zdrojů dat tematického okruhu a)</w:t>
      </w:r>
    </w:p>
    <w:p w14:paraId="1B08034D" w14:textId="77777777" w:rsidR="00F1264F" w:rsidRPr="00CE357F" w:rsidRDefault="00F1264F" w:rsidP="00F1264F">
      <w:pPr>
        <w:spacing w:line="276" w:lineRule="auto"/>
        <w:rPr>
          <w:rFonts w:ascii="Arial Narrow" w:hAnsi="Arial Narrow"/>
          <w:b/>
          <w:color w:val="2F5496" w:themeColor="accent1" w:themeShade="BF"/>
        </w:rPr>
      </w:pPr>
    </w:p>
    <w:p w14:paraId="7C602D2A" w14:textId="77777777" w:rsidR="00445065" w:rsidRPr="00CE357F" w:rsidRDefault="00445065" w:rsidP="00445065">
      <w:pPr>
        <w:autoSpaceDE w:val="0"/>
        <w:autoSpaceDN w:val="0"/>
        <w:adjustRightInd w:val="0"/>
        <w:spacing w:after="120" w:line="276" w:lineRule="auto"/>
        <w:jc w:val="both"/>
        <w:rPr>
          <w:rFonts w:ascii="Arial Narrow" w:hAnsi="Arial Narrow"/>
          <w:bCs/>
        </w:rPr>
      </w:pPr>
      <w:r w:rsidRPr="00CE357F">
        <w:rPr>
          <w:rFonts w:ascii="Arial Narrow" w:hAnsi="Arial Narrow"/>
          <w:bCs/>
        </w:rPr>
        <w:t xml:space="preserve">Za významný limit považujeme způsoby shromažďování některých informací a dat o cizincích ze strany Úřadu práce ČR (ÚP). Jedná se především o vstupní strukturu dat, na základě které v některých případech není možné realizovat agregace dat. V některých případech jsou data pořizována ve struktuře, která další logické agregace, např. ve vztahu k trhu práce, neumožňuje. V jiných případech se jedná o data neveřejná a jejich agregace by vykazovaly ze strany pracovníků ÚP neúměrný časový rozsah na zpracování dat v požadované podobě. Pro tyto účely ÚP nemá v současné době k dispozici personální kapacity. Výše uvedená konstatování mají oporu ve vyjádření kompetentních pracovníků ÚP, se kterými byl AUGUR </w:t>
      </w:r>
      <w:proofErr w:type="spellStart"/>
      <w:r w:rsidRPr="00CE357F">
        <w:rPr>
          <w:rFonts w:ascii="Arial Narrow" w:hAnsi="Arial Narrow"/>
          <w:bCs/>
        </w:rPr>
        <w:t>Consulting</w:t>
      </w:r>
      <w:proofErr w:type="spellEnd"/>
      <w:r w:rsidRPr="00CE357F">
        <w:rPr>
          <w:rFonts w:ascii="Arial Narrow" w:hAnsi="Arial Narrow"/>
          <w:bCs/>
        </w:rPr>
        <w:t xml:space="preserve"> v kontaktu.</w:t>
      </w:r>
    </w:p>
    <w:p w14:paraId="10B1A1C4" w14:textId="5E379DBF" w:rsidR="00445065" w:rsidRPr="00CE357F" w:rsidRDefault="330C3990" w:rsidP="2460258F">
      <w:pPr>
        <w:autoSpaceDE w:val="0"/>
        <w:autoSpaceDN w:val="0"/>
        <w:adjustRightInd w:val="0"/>
        <w:spacing w:after="120" w:line="276" w:lineRule="auto"/>
        <w:jc w:val="both"/>
        <w:rPr>
          <w:rFonts w:ascii="Arial Narrow" w:hAnsi="Arial Narrow"/>
        </w:rPr>
      </w:pPr>
      <w:r w:rsidRPr="2645E051">
        <w:rPr>
          <w:rFonts w:ascii="Arial Narrow" w:hAnsi="Arial Narrow"/>
        </w:rPr>
        <w:t>Limitem zdrojů dat je také absence validace některých dat ze strany ÚP a limitovaná spolupráce s některými subjekty trhu práce</w:t>
      </w:r>
      <w:r w:rsidR="0092468A">
        <w:rPr>
          <w:rFonts w:ascii="Arial Narrow" w:hAnsi="Arial Narrow"/>
        </w:rPr>
        <w:t xml:space="preserve"> (institucemi)</w:t>
      </w:r>
      <w:r w:rsidRPr="2645E051">
        <w:rPr>
          <w:rFonts w:ascii="Arial Narrow" w:hAnsi="Arial Narrow"/>
        </w:rPr>
        <w:t xml:space="preserve"> na validaci konkrétních dat.</w:t>
      </w:r>
    </w:p>
    <w:p w14:paraId="09979946" w14:textId="77777777" w:rsidR="00445065" w:rsidRPr="00CE357F" w:rsidRDefault="00445065" w:rsidP="00445065">
      <w:pPr>
        <w:autoSpaceDE w:val="0"/>
        <w:autoSpaceDN w:val="0"/>
        <w:adjustRightInd w:val="0"/>
        <w:spacing w:after="120" w:line="276" w:lineRule="auto"/>
        <w:jc w:val="both"/>
        <w:rPr>
          <w:rFonts w:ascii="Arial Narrow" w:hAnsi="Arial Narrow"/>
        </w:rPr>
      </w:pPr>
      <w:r w:rsidRPr="00CE357F">
        <w:rPr>
          <w:rFonts w:ascii="Arial Narrow" w:hAnsi="Arial Narrow"/>
        </w:rPr>
        <w:t>Ve výčtu spatřujeme limity zdrojů dat především v:</w:t>
      </w:r>
    </w:p>
    <w:p w14:paraId="17DFC755" w14:textId="77777777" w:rsidR="00445065" w:rsidRPr="00CE357F" w:rsidRDefault="00445065" w:rsidP="008B3D36">
      <w:pPr>
        <w:pStyle w:val="Odstavecseseznamem"/>
        <w:numPr>
          <w:ilvl w:val="0"/>
          <w:numId w:val="13"/>
        </w:numPr>
        <w:autoSpaceDE w:val="0"/>
        <w:autoSpaceDN w:val="0"/>
        <w:adjustRightInd w:val="0"/>
        <w:spacing w:after="120" w:line="276" w:lineRule="auto"/>
        <w:ind w:hanging="360"/>
        <w:contextualSpacing w:val="0"/>
        <w:jc w:val="both"/>
        <w:rPr>
          <w:rFonts w:ascii="Arial Narrow" w:hAnsi="Arial Narrow"/>
          <w:b/>
          <w:bCs/>
        </w:rPr>
      </w:pPr>
      <w:r w:rsidRPr="00CE357F">
        <w:rPr>
          <w:rFonts w:ascii="Arial Narrow" w:hAnsi="Arial Narrow"/>
          <w:b/>
          <w:bCs/>
        </w:rPr>
        <w:t>absence některých dat o osobách s jinou než českou státní příslušností ze strany ÚP, přerušená časová řada reportingu dat v rámci systému MPSV v období let 2014–2016,</w:t>
      </w:r>
    </w:p>
    <w:p w14:paraId="7EEEC47E" w14:textId="77777777" w:rsidR="00445065" w:rsidRPr="00CE357F" w:rsidRDefault="00445065" w:rsidP="008B3D36">
      <w:pPr>
        <w:pStyle w:val="Odstavecseseznamem"/>
        <w:numPr>
          <w:ilvl w:val="0"/>
          <w:numId w:val="13"/>
        </w:numPr>
        <w:autoSpaceDE w:val="0"/>
        <w:autoSpaceDN w:val="0"/>
        <w:adjustRightInd w:val="0"/>
        <w:spacing w:after="120" w:line="276" w:lineRule="auto"/>
        <w:ind w:hanging="360"/>
        <w:contextualSpacing w:val="0"/>
        <w:jc w:val="both"/>
        <w:rPr>
          <w:rFonts w:ascii="Arial Narrow" w:hAnsi="Arial Narrow"/>
          <w:b/>
          <w:bCs/>
        </w:rPr>
      </w:pPr>
      <w:r w:rsidRPr="00CE357F">
        <w:rPr>
          <w:rFonts w:ascii="Arial Narrow" w:hAnsi="Arial Narrow"/>
          <w:b/>
          <w:bCs/>
        </w:rPr>
        <w:t>statistický systém a jeho strukturace položek v některých případech neumožňuje jejich detailnější agregace,</w:t>
      </w:r>
    </w:p>
    <w:p w14:paraId="28F513F4" w14:textId="044AFB16" w:rsidR="00445065" w:rsidRDefault="00445065" w:rsidP="008B3D36">
      <w:pPr>
        <w:pStyle w:val="Odstavecseseznamem"/>
        <w:numPr>
          <w:ilvl w:val="0"/>
          <w:numId w:val="13"/>
        </w:numPr>
        <w:autoSpaceDE w:val="0"/>
        <w:autoSpaceDN w:val="0"/>
        <w:adjustRightInd w:val="0"/>
        <w:spacing w:after="120" w:line="276" w:lineRule="auto"/>
        <w:ind w:hanging="360"/>
        <w:contextualSpacing w:val="0"/>
        <w:jc w:val="both"/>
        <w:rPr>
          <w:rFonts w:ascii="Arial Narrow" w:hAnsi="Arial Narrow"/>
          <w:b/>
          <w:bCs/>
        </w:rPr>
      </w:pPr>
      <w:r w:rsidRPr="00CE357F">
        <w:rPr>
          <w:rFonts w:ascii="Arial Narrow" w:hAnsi="Arial Narrow"/>
          <w:b/>
          <w:bCs/>
        </w:rPr>
        <w:t xml:space="preserve">nedostatečné personální kapacity ÚP, které by případně umožnily vytěžení některých dat o osobách s jinou než českou státní příslušností, </w:t>
      </w:r>
    </w:p>
    <w:p w14:paraId="4B8F2759" w14:textId="037EF260" w:rsidR="004918F1" w:rsidRPr="00CE357F" w:rsidRDefault="004918F1" w:rsidP="008B3D36">
      <w:pPr>
        <w:pStyle w:val="Odstavecseseznamem"/>
        <w:numPr>
          <w:ilvl w:val="0"/>
          <w:numId w:val="13"/>
        </w:numPr>
        <w:autoSpaceDE w:val="0"/>
        <w:autoSpaceDN w:val="0"/>
        <w:adjustRightInd w:val="0"/>
        <w:spacing w:after="120" w:line="276" w:lineRule="auto"/>
        <w:ind w:hanging="360"/>
        <w:contextualSpacing w:val="0"/>
        <w:jc w:val="both"/>
        <w:rPr>
          <w:rFonts w:ascii="Arial Narrow" w:hAnsi="Arial Narrow"/>
          <w:b/>
          <w:bCs/>
        </w:rPr>
      </w:pPr>
      <w:r>
        <w:rPr>
          <w:rFonts w:ascii="Arial Narrow" w:hAnsi="Arial Narrow"/>
          <w:b/>
          <w:bCs/>
        </w:rPr>
        <w:t xml:space="preserve">odchylky v datech statistických systémů jednotlivých zdrojů (ÚP, MPSV, MV ČR aj.), </w:t>
      </w:r>
    </w:p>
    <w:p w14:paraId="5D0B4CFC" w14:textId="77777777" w:rsidR="00445065" w:rsidRPr="00CE357F" w:rsidRDefault="00445065" w:rsidP="008B3D36">
      <w:pPr>
        <w:pStyle w:val="Odstavecseseznamem"/>
        <w:numPr>
          <w:ilvl w:val="0"/>
          <w:numId w:val="13"/>
        </w:numPr>
        <w:autoSpaceDE w:val="0"/>
        <w:autoSpaceDN w:val="0"/>
        <w:adjustRightInd w:val="0"/>
        <w:spacing w:after="120" w:line="276" w:lineRule="auto"/>
        <w:ind w:hanging="360"/>
        <w:contextualSpacing w:val="0"/>
        <w:jc w:val="both"/>
        <w:rPr>
          <w:rFonts w:ascii="Arial Narrow" w:hAnsi="Arial Narrow"/>
          <w:b/>
          <w:bCs/>
        </w:rPr>
      </w:pPr>
      <w:r w:rsidRPr="00CE357F">
        <w:rPr>
          <w:rFonts w:ascii="Arial Narrow" w:hAnsi="Arial Narrow"/>
          <w:b/>
          <w:bCs/>
        </w:rPr>
        <w:t>snížená validita dat u některých sledovaných položek,</w:t>
      </w:r>
    </w:p>
    <w:p w14:paraId="1595351E" w14:textId="77777777" w:rsidR="00445065" w:rsidRPr="00CE357F" w:rsidRDefault="00445065" w:rsidP="008B3D36">
      <w:pPr>
        <w:pStyle w:val="Odstavecseseznamem"/>
        <w:numPr>
          <w:ilvl w:val="0"/>
          <w:numId w:val="13"/>
        </w:numPr>
        <w:autoSpaceDE w:val="0"/>
        <w:autoSpaceDN w:val="0"/>
        <w:adjustRightInd w:val="0"/>
        <w:spacing w:after="120" w:line="276" w:lineRule="auto"/>
        <w:ind w:hanging="360"/>
        <w:contextualSpacing w:val="0"/>
        <w:jc w:val="both"/>
        <w:rPr>
          <w:rFonts w:ascii="Arial Narrow" w:hAnsi="Arial Narrow"/>
          <w:b/>
          <w:bCs/>
        </w:rPr>
      </w:pPr>
      <w:r w:rsidRPr="00CE357F">
        <w:rPr>
          <w:rFonts w:ascii="Arial Narrow" w:hAnsi="Arial Narrow"/>
          <w:b/>
          <w:bCs/>
        </w:rPr>
        <w:t xml:space="preserve">omezené možnosti pro validaci dat ze strany ÚP i některých subjektů trhu práce. </w:t>
      </w:r>
    </w:p>
    <w:p w14:paraId="5104DAA7" w14:textId="1C4E6921" w:rsidR="00445065" w:rsidRPr="00CE357F" w:rsidRDefault="00445065" w:rsidP="00445065">
      <w:pPr>
        <w:autoSpaceDE w:val="0"/>
        <w:autoSpaceDN w:val="0"/>
        <w:adjustRightInd w:val="0"/>
        <w:spacing w:after="120" w:line="276" w:lineRule="auto"/>
        <w:jc w:val="both"/>
        <w:rPr>
          <w:rFonts w:ascii="Arial Narrow" w:hAnsi="Arial Narrow"/>
          <w:bCs/>
        </w:rPr>
      </w:pPr>
      <w:r w:rsidRPr="00CE357F">
        <w:rPr>
          <w:rFonts w:ascii="Arial Narrow" w:hAnsi="Arial Narrow"/>
          <w:b/>
          <w:bCs/>
        </w:rPr>
        <w:br/>
      </w:r>
      <w:r w:rsidRPr="00CE357F">
        <w:rPr>
          <w:rFonts w:ascii="Arial Narrow" w:hAnsi="Arial Narrow"/>
          <w:bCs/>
        </w:rPr>
        <w:t>Návrh postupů, jak těmto limitům čelit uvádíme v závěrečné kapitole této zprávy.</w:t>
      </w:r>
    </w:p>
    <w:p w14:paraId="704E069A" w14:textId="35AC62EB" w:rsidR="00445065" w:rsidRDefault="00445065" w:rsidP="00421CC4">
      <w:pPr>
        <w:spacing w:line="276" w:lineRule="auto"/>
        <w:rPr>
          <w:rFonts w:ascii="Arial Narrow" w:hAnsi="Arial Narrow"/>
        </w:rPr>
      </w:pPr>
    </w:p>
    <w:p w14:paraId="35FCB918" w14:textId="568ABC5A" w:rsidR="00F1264F" w:rsidRPr="00CE357F" w:rsidRDefault="00F1264F" w:rsidP="002374F1">
      <w:pPr>
        <w:pStyle w:val="Nadpis1"/>
        <w:ind w:left="426"/>
        <w:rPr>
          <w:rFonts w:ascii="Arial Narrow" w:hAnsi="Arial Narrow"/>
          <w:color w:val="1F3864" w:themeColor="accent1" w:themeShade="80"/>
          <w:sz w:val="36"/>
          <w:szCs w:val="36"/>
        </w:rPr>
      </w:pPr>
      <w:bookmarkStart w:id="19" w:name="_Toc136876067"/>
      <w:bookmarkEnd w:id="1"/>
      <w:r w:rsidRPr="00CE357F">
        <w:rPr>
          <w:rFonts w:ascii="Arial Narrow" w:hAnsi="Arial Narrow"/>
          <w:color w:val="002060"/>
          <w:sz w:val="36"/>
          <w:szCs w:val="36"/>
        </w:rPr>
        <w:lastRenderedPageBreak/>
        <w:t>ANALYTICKÁ ČÁST</w:t>
      </w:r>
      <w:r w:rsidR="002374F1" w:rsidRPr="00CE357F">
        <w:rPr>
          <w:rFonts w:ascii="Arial Narrow" w:hAnsi="Arial Narrow"/>
          <w:color w:val="002060"/>
          <w:sz w:val="36"/>
          <w:szCs w:val="36"/>
        </w:rPr>
        <w:t xml:space="preserve"> – </w:t>
      </w:r>
      <w:r w:rsidR="002374F1" w:rsidRPr="00CE357F">
        <w:rPr>
          <w:rFonts w:ascii="Arial Narrow" w:hAnsi="Arial Narrow"/>
          <w:color w:val="1F3864" w:themeColor="accent1" w:themeShade="80"/>
          <w:sz w:val="36"/>
          <w:szCs w:val="36"/>
        </w:rPr>
        <w:t>OSOBY S JINOU NEŽ ČESKOU STÁTNÍ PŘÍSLUŠNOSTÍ V</w:t>
      </w:r>
      <w:r w:rsidR="00D66B03" w:rsidRPr="00CE357F">
        <w:rPr>
          <w:rFonts w:ascii="Arial Narrow" w:hAnsi="Arial Narrow"/>
          <w:color w:val="1F3864" w:themeColor="accent1" w:themeShade="80"/>
          <w:sz w:val="36"/>
          <w:szCs w:val="36"/>
        </w:rPr>
        <w:t xml:space="preserve"> ČESKÉ REPUBLICE </w:t>
      </w:r>
      <w:r w:rsidR="00D66B03" w:rsidRPr="00CE357F">
        <w:rPr>
          <w:rFonts w:ascii="Arial Narrow" w:hAnsi="Arial Narrow"/>
          <w:color w:val="1F3864" w:themeColor="accent1" w:themeShade="80"/>
          <w:sz w:val="36"/>
          <w:szCs w:val="36"/>
        </w:rPr>
        <w:br/>
        <w:t xml:space="preserve">A </w:t>
      </w:r>
      <w:r w:rsidR="002374F1" w:rsidRPr="00CE357F">
        <w:rPr>
          <w:rFonts w:ascii="Arial Narrow" w:hAnsi="Arial Narrow"/>
          <w:color w:val="1F3864" w:themeColor="accent1" w:themeShade="80"/>
          <w:sz w:val="36"/>
          <w:szCs w:val="36"/>
        </w:rPr>
        <w:t>JIHOMORAVSKÉM KRAJI</w:t>
      </w:r>
      <w:bookmarkEnd w:id="19"/>
    </w:p>
    <w:p w14:paraId="3B55A41D" w14:textId="77777777" w:rsidR="00F1264F" w:rsidRPr="00CE357F" w:rsidRDefault="00F1264F" w:rsidP="00F1264F">
      <w:pPr>
        <w:rPr>
          <w:rFonts w:ascii="Arial Narrow" w:hAnsi="Arial Narrow"/>
        </w:rPr>
      </w:pPr>
    </w:p>
    <w:p w14:paraId="2B31FB8A" w14:textId="56364C08" w:rsidR="00F1264F" w:rsidRPr="00CE357F" w:rsidRDefault="00F1264F" w:rsidP="00AA7229">
      <w:pPr>
        <w:pStyle w:val="Nadpis2"/>
        <w:rPr>
          <w:rFonts w:ascii="Arial Narrow" w:hAnsi="Arial Narrow"/>
          <w:sz w:val="30"/>
          <w:szCs w:val="30"/>
        </w:rPr>
      </w:pPr>
      <w:bookmarkStart w:id="20" w:name="_Toc136876068"/>
      <w:r w:rsidRPr="00CE357F">
        <w:rPr>
          <w:rFonts w:ascii="Arial Narrow" w:hAnsi="Arial Narrow"/>
          <w:sz w:val="30"/>
          <w:szCs w:val="30"/>
        </w:rPr>
        <w:t>Významná socio-demografická a socio-ekonomická data pro oblast osob s jinou než českou státní příslušností v České republice a Jihomoravském kraji</w:t>
      </w:r>
      <w:bookmarkEnd w:id="20"/>
      <w:r w:rsidRPr="00CE357F">
        <w:rPr>
          <w:rFonts w:ascii="Arial Narrow" w:hAnsi="Arial Narrow"/>
          <w:sz w:val="30"/>
          <w:szCs w:val="30"/>
        </w:rPr>
        <w:t xml:space="preserve"> </w:t>
      </w:r>
    </w:p>
    <w:p w14:paraId="48EF2139" w14:textId="77777777" w:rsidR="009029A2" w:rsidRPr="00CE357F" w:rsidRDefault="009029A2" w:rsidP="00F1264F">
      <w:pPr>
        <w:rPr>
          <w:rFonts w:ascii="Arial Narrow" w:hAnsi="Arial Narrow"/>
          <w:sz w:val="8"/>
        </w:rPr>
      </w:pPr>
    </w:p>
    <w:p w14:paraId="0FAB9646" w14:textId="37B3DAA0" w:rsidR="00F1264F" w:rsidRPr="00CE357F" w:rsidRDefault="00290283" w:rsidP="00AA7229">
      <w:pPr>
        <w:pStyle w:val="Nadpis3"/>
        <w:spacing w:after="240"/>
        <w:ind w:left="709"/>
        <w:jc w:val="left"/>
      </w:pPr>
      <w:bookmarkStart w:id="21" w:name="_Toc136876069"/>
      <w:r w:rsidRPr="00CE357F">
        <w:t>Celkový kontext a trendy v oblasti migrace osob</w:t>
      </w:r>
      <w:r w:rsidR="00F1264F" w:rsidRPr="00CE357F">
        <w:t xml:space="preserve"> s jinou než českou státní příslušností v České republice</w:t>
      </w:r>
      <w:bookmarkEnd w:id="21"/>
    </w:p>
    <w:p w14:paraId="3E039CF1" w14:textId="7778499E" w:rsidR="000343A7" w:rsidRPr="000343A7" w:rsidRDefault="000343A7" w:rsidP="000343A7">
      <w:pPr>
        <w:spacing w:after="240" w:line="276" w:lineRule="auto"/>
        <w:jc w:val="both"/>
        <w:rPr>
          <w:rFonts w:ascii="Arial Narrow" w:hAnsi="Arial Narrow"/>
          <w:bCs/>
        </w:rPr>
      </w:pPr>
      <w:bookmarkStart w:id="22" w:name="_Hlk95482715"/>
      <w:r w:rsidRPr="000343A7">
        <w:rPr>
          <w:rFonts w:ascii="Arial Narrow" w:hAnsi="Arial Narrow"/>
        </w:rPr>
        <w:t xml:space="preserve">K 31. 12. 2022 </w:t>
      </w:r>
      <w:r w:rsidR="00F4189D">
        <w:rPr>
          <w:rFonts w:ascii="Arial Narrow" w:hAnsi="Arial Narrow"/>
        </w:rPr>
        <w:t>bylo</w:t>
      </w:r>
      <w:r w:rsidRPr="000343A7">
        <w:rPr>
          <w:rFonts w:ascii="Arial Narrow" w:hAnsi="Arial Narrow"/>
        </w:rPr>
        <w:t xml:space="preserve"> </w:t>
      </w:r>
      <w:r w:rsidR="00F4189D">
        <w:rPr>
          <w:rFonts w:ascii="Arial Narrow" w:hAnsi="Arial Narrow"/>
        </w:rPr>
        <w:t>na území</w:t>
      </w:r>
      <w:r w:rsidRPr="000343A7">
        <w:rPr>
          <w:rFonts w:ascii="Arial Narrow" w:hAnsi="Arial Narrow"/>
        </w:rPr>
        <w:t> České republi</w:t>
      </w:r>
      <w:r w:rsidR="00F4189D">
        <w:rPr>
          <w:rFonts w:ascii="Arial Narrow" w:hAnsi="Arial Narrow"/>
        </w:rPr>
        <w:t>ky registrováno</w:t>
      </w:r>
      <w:r w:rsidRPr="000343A7">
        <w:rPr>
          <w:rFonts w:ascii="Arial Narrow" w:hAnsi="Arial Narrow"/>
        </w:rPr>
        <w:t xml:space="preserve"> celkem 1 116 154 osob s jinou než českou státní příslušností.</w:t>
      </w:r>
      <w:r w:rsidR="00F4189D">
        <w:rPr>
          <w:rFonts w:ascii="Arial Narrow" w:hAnsi="Arial Narrow"/>
        </w:rPr>
        <w:t xml:space="preserve"> Z toho 782 000 na základě oprávnění k přechodnému pobytu</w:t>
      </w:r>
      <w:r w:rsidR="000437E0">
        <w:rPr>
          <w:rStyle w:val="Znakapoznpodarou"/>
          <w:rFonts w:ascii="Arial Narrow" w:hAnsi="Arial Narrow"/>
        </w:rPr>
        <w:footnoteReference w:id="1"/>
      </w:r>
      <w:r w:rsidR="00F4189D">
        <w:rPr>
          <w:rFonts w:ascii="Arial Narrow" w:hAnsi="Arial Narrow"/>
        </w:rPr>
        <w:t xml:space="preserve"> a 334 154 na základě oprávnění k trvalému pobytu.</w:t>
      </w:r>
      <w:r w:rsidRPr="000343A7">
        <w:rPr>
          <w:rFonts w:ascii="Arial Narrow" w:hAnsi="Arial Narrow"/>
          <w:bCs/>
        </w:rPr>
        <w:t xml:space="preserve"> </w:t>
      </w:r>
      <w:bookmarkEnd w:id="22"/>
      <w:r w:rsidR="00F4189D">
        <w:rPr>
          <w:rFonts w:ascii="Arial Narrow" w:hAnsi="Arial Narrow"/>
          <w:bCs/>
        </w:rPr>
        <w:t>O</w:t>
      </w:r>
      <w:r w:rsidRPr="000343A7">
        <w:rPr>
          <w:rFonts w:ascii="Arial Narrow" w:hAnsi="Arial Narrow"/>
          <w:bCs/>
        </w:rPr>
        <w:t xml:space="preserve">proti konci roku </w:t>
      </w:r>
      <w:r w:rsidR="00F4189D">
        <w:rPr>
          <w:rFonts w:ascii="Arial Narrow" w:hAnsi="Arial Narrow"/>
          <w:bCs/>
        </w:rPr>
        <w:t>2021 došlo</w:t>
      </w:r>
      <w:r w:rsidR="00F4189D" w:rsidRPr="000343A7">
        <w:rPr>
          <w:rFonts w:ascii="Arial Narrow" w:hAnsi="Arial Narrow"/>
          <w:bCs/>
        </w:rPr>
        <w:t xml:space="preserve"> k nárůstu o 457 590 </w:t>
      </w:r>
      <w:r w:rsidR="00F4189D" w:rsidRPr="000343A7">
        <w:rPr>
          <w:rFonts w:ascii="Arial Narrow" w:hAnsi="Arial Narrow"/>
        </w:rPr>
        <w:t>osob s jinou než českou státní příslušností</w:t>
      </w:r>
      <w:r w:rsidRPr="000343A7">
        <w:rPr>
          <w:rFonts w:ascii="Arial Narrow" w:hAnsi="Arial Narrow"/>
          <w:bCs/>
        </w:rPr>
        <w:t>.</w:t>
      </w:r>
      <w:r w:rsidR="007C2F9E">
        <w:rPr>
          <w:rFonts w:ascii="Arial Narrow" w:hAnsi="Arial Narrow"/>
          <w:bCs/>
        </w:rPr>
        <w:t xml:space="preserve"> Z celkového počtu </w:t>
      </w:r>
      <w:r w:rsidR="007C2F9E" w:rsidRPr="000343A7">
        <w:rPr>
          <w:rFonts w:ascii="Arial Narrow" w:hAnsi="Arial Narrow"/>
        </w:rPr>
        <w:t xml:space="preserve">1 116 154 </w:t>
      </w:r>
      <w:r w:rsidR="007C2F9E">
        <w:rPr>
          <w:rFonts w:ascii="Arial Narrow" w:hAnsi="Arial Narrow"/>
        </w:rPr>
        <w:t xml:space="preserve">legálně pobývajících </w:t>
      </w:r>
      <w:r w:rsidR="007C2F9E" w:rsidRPr="000343A7">
        <w:rPr>
          <w:rFonts w:ascii="Arial Narrow" w:hAnsi="Arial Narrow"/>
        </w:rPr>
        <w:t>osob s jinou než českou státní příslušností</w:t>
      </w:r>
      <w:r w:rsidR="007C2F9E">
        <w:rPr>
          <w:rFonts w:ascii="Arial Narrow" w:hAnsi="Arial Narrow"/>
        </w:rPr>
        <w:t xml:space="preserve"> v ČR bylo 227 348 občanů členských států EU, EHP a Švýcarska (20 %) a 888 806 občanů třetích zemí (80 %). </w:t>
      </w:r>
      <w:r w:rsidRPr="00D757FD">
        <w:rPr>
          <w:rFonts w:ascii="Arial Narrow" w:hAnsi="Arial Narrow"/>
          <w:b/>
        </w:rPr>
        <w:t xml:space="preserve">Počet osob s jinou než českou státní příslušností se meziročně zvýšil o </w:t>
      </w:r>
      <w:r w:rsidR="002D0326">
        <w:rPr>
          <w:rFonts w:ascii="Arial Narrow" w:hAnsi="Arial Narrow"/>
          <w:b/>
        </w:rPr>
        <w:t>68,9</w:t>
      </w:r>
      <w:r w:rsidRPr="00D757FD">
        <w:rPr>
          <w:rFonts w:ascii="Arial Narrow" w:hAnsi="Arial Narrow"/>
          <w:b/>
        </w:rPr>
        <w:t xml:space="preserve"> %, a to především v důsledku vysoké migrace do ČR způsobené rusko-ukrajinským ozbrojeným konfliktem, který započal dne 24. 2. 2022 ruským útokem na Ukrajinu</w:t>
      </w:r>
      <w:r w:rsidR="002D0326">
        <w:rPr>
          <w:rFonts w:ascii="Arial Narrow" w:hAnsi="Arial Narrow"/>
          <w:b/>
        </w:rPr>
        <w:t>.</w:t>
      </w:r>
      <w:r w:rsidR="000437E0">
        <w:rPr>
          <w:rStyle w:val="Znakapoznpodarou"/>
          <w:rFonts w:ascii="Arial Narrow" w:hAnsi="Arial Narrow"/>
          <w:bCs/>
        </w:rPr>
        <w:footnoteReference w:id="2"/>
      </w:r>
      <w:r w:rsidRPr="000343A7">
        <w:rPr>
          <w:rFonts w:ascii="Arial Narrow" w:hAnsi="Arial Narrow"/>
          <w:bCs/>
        </w:rPr>
        <w:t xml:space="preserve"> </w:t>
      </w:r>
    </w:p>
    <w:p w14:paraId="2BA8B1B4" w14:textId="26793665" w:rsidR="000343A7" w:rsidRPr="00CE357F" w:rsidRDefault="0BE19E74" w:rsidP="7CC7BF57">
      <w:pPr>
        <w:spacing w:line="276" w:lineRule="auto"/>
        <w:jc w:val="both"/>
        <w:rPr>
          <w:rFonts w:ascii="Arial Narrow" w:hAnsi="Arial Narrow"/>
        </w:rPr>
      </w:pPr>
      <w:r w:rsidRPr="2460258F">
        <w:rPr>
          <w:rFonts w:ascii="Arial Narrow" w:hAnsi="Arial Narrow"/>
        </w:rPr>
        <w:t xml:space="preserve">S výjimkou roku 2010, kdy počet osob s jinou než českou státní příslušností v České republice meziročně klesl o 1,8 %, jejich počet dlouhodobě narůstá. </w:t>
      </w:r>
      <w:bookmarkStart w:id="23" w:name="_Hlk95482493"/>
      <w:r w:rsidRPr="2460258F">
        <w:rPr>
          <w:rFonts w:ascii="Arial Narrow" w:hAnsi="Arial Narrow"/>
        </w:rPr>
        <w:t>Zatímco v roce 2015 se jednalo o meziroční nárůst počtu osob s jinou než českou státní příslušností celkem</w:t>
      </w:r>
      <w:r w:rsidR="008F7DB0">
        <w:rPr>
          <w:rFonts w:ascii="Arial Narrow" w:hAnsi="Arial Narrow"/>
        </w:rPr>
        <w:t xml:space="preserve"> o </w:t>
      </w:r>
      <w:r w:rsidRPr="2460258F">
        <w:rPr>
          <w:rFonts w:ascii="Arial Narrow" w:hAnsi="Arial Narrow"/>
        </w:rPr>
        <w:t>3,5 %, od roku 2016 se jedná v průměru o 6,24 %. Rok 2022 je v to</w:t>
      </w:r>
      <w:r w:rsidR="2DADE2C4" w:rsidRPr="2460258F">
        <w:rPr>
          <w:rFonts w:ascii="Arial Narrow" w:hAnsi="Arial Narrow"/>
        </w:rPr>
        <w:t>m</w:t>
      </w:r>
      <w:r w:rsidRPr="2460258F">
        <w:rPr>
          <w:rFonts w:ascii="Arial Narrow" w:hAnsi="Arial Narrow"/>
        </w:rPr>
        <w:t>to kontextu výrazným výkyvem. Přihlédneme-li k okolnostem vzniku zmíněné intenzivní migrace do ČR, můžeme předpokládat, že uvedený výrazný nárůst (</w:t>
      </w:r>
      <w:r w:rsidR="002D0326">
        <w:rPr>
          <w:rFonts w:ascii="Arial Narrow" w:hAnsi="Arial Narrow"/>
        </w:rPr>
        <w:t>68,9</w:t>
      </w:r>
      <w:r w:rsidRPr="2460258F">
        <w:rPr>
          <w:rFonts w:ascii="Arial Narrow" w:hAnsi="Arial Narrow"/>
        </w:rPr>
        <w:t xml:space="preserve"> %) není novým trendem a v budoucnu se množství příchozích osob do ČR bude pohybovat v řádově nižších číslech.</w:t>
      </w:r>
    </w:p>
    <w:bookmarkEnd w:id="23"/>
    <w:p w14:paraId="73690E42" w14:textId="34FE0F42" w:rsidR="00F1264F" w:rsidRPr="00CE357F" w:rsidRDefault="00F1264F" w:rsidP="00F1264F">
      <w:pPr>
        <w:spacing w:line="276" w:lineRule="auto"/>
        <w:jc w:val="both"/>
        <w:rPr>
          <w:rFonts w:ascii="Arial Narrow" w:hAnsi="Arial Narrow"/>
          <w:bCs/>
        </w:rPr>
      </w:pPr>
    </w:p>
    <w:p w14:paraId="3BF6CD32" w14:textId="2F50CC93" w:rsidR="00256C97" w:rsidRPr="00256C97" w:rsidRDefault="00256C97" w:rsidP="00256C97">
      <w:pPr>
        <w:pStyle w:val="Titulek"/>
        <w:keepNext/>
        <w:spacing w:after="0"/>
        <w:jc w:val="both"/>
        <w:rPr>
          <w:rFonts w:ascii="Arial Narrow" w:hAnsi="Arial Narrow"/>
          <w:color w:val="auto"/>
        </w:rPr>
      </w:pPr>
      <w:bookmarkStart w:id="24" w:name="_Toc136429212"/>
      <w:r w:rsidRPr="00256C97">
        <w:rPr>
          <w:rFonts w:ascii="Arial Narrow" w:hAnsi="Arial Narrow"/>
          <w:color w:val="000000" w:themeColor="text1"/>
          <w:sz w:val="20"/>
          <w:szCs w:val="20"/>
        </w:rPr>
        <w:t xml:space="preserve">Tabulka </w:t>
      </w:r>
      <w:r w:rsidRPr="00256C97">
        <w:rPr>
          <w:rFonts w:ascii="Arial Narrow" w:hAnsi="Arial Narrow"/>
          <w:color w:val="000000" w:themeColor="text1"/>
          <w:sz w:val="20"/>
          <w:szCs w:val="20"/>
        </w:rPr>
        <w:fldChar w:fldCharType="begin"/>
      </w:r>
      <w:r w:rsidRPr="00256C97">
        <w:rPr>
          <w:rFonts w:ascii="Arial Narrow" w:hAnsi="Arial Narrow"/>
          <w:color w:val="000000" w:themeColor="text1"/>
          <w:sz w:val="20"/>
          <w:szCs w:val="20"/>
        </w:rPr>
        <w:instrText xml:space="preserve"> SEQ Tabulka \* ARABIC </w:instrText>
      </w:r>
      <w:r w:rsidRPr="00256C97">
        <w:rPr>
          <w:rFonts w:ascii="Arial Narrow" w:hAnsi="Arial Narrow"/>
          <w:color w:val="000000" w:themeColor="text1"/>
          <w:sz w:val="20"/>
          <w:szCs w:val="20"/>
        </w:rPr>
        <w:fldChar w:fldCharType="separate"/>
      </w:r>
      <w:r w:rsidR="005B2F6C">
        <w:rPr>
          <w:rFonts w:ascii="Arial Narrow" w:hAnsi="Arial Narrow"/>
          <w:noProof/>
          <w:color w:val="000000" w:themeColor="text1"/>
          <w:sz w:val="20"/>
          <w:szCs w:val="20"/>
        </w:rPr>
        <w:t>1</w:t>
      </w:r>
      <w:r w:rsidRPr="00256C97">
        <w:rPr>
          <w:rFonts w:ascii="Arial Narrow" w:hAnsi="Arial Narrow"/>
          <w:color w:val="000000" w:themeColor="text1"/>
          <w:sz w:val="20"/>
          <w:szCs w:val="20"/>
        </w:rPr>
        <w:fldChar w:fldCharType="end"/>
      </w:r>
      <w:r w:rsidRPr="00256C97">
        <w:rPr>
          <w:rFonts w:ascii="Arial Narrow" w:hAnsi="Arial Narrow"/>
          <w:color w:val="000000" w:themeColor="text1"/>
          <w:sz w:val="20"/>
          <w:szCs w:val="20"/>
        </w:rPr>
        <w:t>: Vývoj</w:t>
      </w:r>
      <w:r w:rsidRPr="00256C97">
        <w:rPr>
          <w:rFonts w:ascii="Arial Narrow" w:hAnsi="Arial Narrow"/>
          <w:color w:val="000000" w:themeColor="text1"/>
        </w:rPr>
        <w:t xml:space="preserve"> </w:t>
      </w:r>
      <w:r w:rsidRPr="00DA5F46">
        <w:rPr>
          <w:rFonts w:ascii="Arial Narrow" w:hAnsi="Arial Narrow"/>
          <w:color w:val="auto"/>
          <w:sz w:val="20"/>
          <w:szCs w:val="20"/>
        </w:rPr>
        <w:t>počtu osob s jinou než českou státní příslušností v České republice</w:t>
      </w:r>
      <w:bookmarkEnd w:id="24"/>
    </w:p>
    <w:tbl>
      <w:tblPr>
        <w:tblW w:w="8865" w:type="dxa"/>
        <w:jc w:val="center"/>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ayout w:type="fixed"/>
        <w:tblLook w:val="04A0" w:firstRow="1" w:lastRow="0" w:firstColumn="1" w:lastColumn="0" w:noHBand="0" w:noVBand="1"/>
      </w:tblPr>
      <w:tblGrid>
        <w:gridCol w:w="1232"/>
        <w:gridCol w:w="1087"/>
        <w:gridCol w:w="1091"/>
        <w:gridCol w:w="1088"/>
        <w:gridCol w:w="1090"/>
        <w:gridCol w:w="1089"/>
        <w:gridCol w:w="1087"/>
        <w:gridCol w:w="1085"/>
        <w:gridCol w:w="16"/>
      </w:tblGrid>
      <w:tr w:rsidR="00AA7229" w:rsidRPr="000343A7" w14:paraId="07D37ECB" w14:textId="77777777" w:rsidTr="000343A7">
        <w:trPr>
          <w:gridAfter w:val="1"/>
          <w:wAfter w:w="16" w:type="dxa"/>
          <w:trHeight w:val="302"/>
          <w:jc w:val="center"/>
        </w:trPr>
        <w:tc>
          <w:tcPr>
            <w:tcW w:w="1232" w:type="dxa"/>
            <w:shd w:val="clear" w:color="auto" w:fill="D9E2F3" w:themeFill="accent1" w:themeFillTint="33"/>
            <w:vAlign w:val="center"/>
          </w:tcPr>
          <w:p w14:paraId="2054F4F9"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Rok</w:t>
            </w:r>
          </w:p>
        </w:tc>
        <w:tc>
          <w:tcPr>
            <w:tcW w:w="1087" w:type="dxa"/>
            <w:shd w:val="clear" w:color="auto" w:fill="D9E2F3" w:themeFill="accent1" w:themeFillTint="33"/>
            <w:vAlign w:val="center"/>
          </w:tcPr>
          <w:p w14:paraId="7646C168"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2010</w:t>
            </w:r>
          </w:p>
        </w:tc>
        <w:tc>
          <w:tcPr>
            <w:tcW w:w="1091" w:type="dxa"/>
            <w:shd w:val="clear" w:color="auto" w:fill="D9E2F3" w:themeFill="accent1" w:themeFillTint="33"/>
            <w:vAlign w:val="center"/>
          </w:tcPr>
          <w:p w14:paraId="1376A187"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2011</w:t>
            </w:r>
          </w:p>
        </w:tc>
        <w:tc>
          <w:tcPr>
            <w:tcW w:w="1088" w:type="dxa"/>
            <w:shd w:val="clear" w:color="auto" w:fill="D9E2F3" w:themeFill="accent1" w:themeFillTint="33"/>
            <w:vAlign w:val="center"/>
          </w:tcPr>
          <w:p w14:paraId="491F7D80"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2012</w:t>
            </w:r>
          </w:p>
        </w:tc>
        <w:tc>
          <w:tcPr>
            <w:tcW w:w="1090" w:type="dxa"/>
            <w:shd w:val="clear" w:color="auto" w:fill="D9E2F3" w:themeFill="accent1" w:themeFillTint="33"/>
            <w:vAlign w:val="center"/>
          </w:tcPr>
          <w:p w14:paraId="581E7FF3"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2013</w:t>
            </w:r>
          </w:p>
        </w:tc>
        <w:tc>
          <w:tcPr>
            <w:tcW w:w="1089" w:type="dxa"/>
            <w:shd w:val="clear" w:color="auto" w:fill="D9E2F3" w:themeFill="accent1" w:themeFillTint="33"/>
            <w:vAlign w:val="center"/>
          </w:tcPr>
          <w:p w14:paraId="251F6F10"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2014</w:t>
            </w:r>
          </w:p>
        </w:tc>
        <w:tc>
          <w:tcPr>
            <w:tcW w:w="1087" w:type="dxa"/>
            <w:shd w:val="clear" w:color="auto" w:fill="D9E2F3" w:themeFill="accent1" w:themeFillTint="33"/>
            <w:vAlign w:val="center"/>
          </w:tcPr>
          <w:p w14:paraId="41F46DDD"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2015</w:t>
            </w:r>
          </w:p>
        </w:tc>
        <w:tc>
          <w:tcPr>
            <w:tcW w:w="1085" w:type="dxa"/>
            <w:shd w:val="clear" w:color="auto" w:fill="D9E2F3" w:themeFill="accent1" w:themeFillTint="33"/>
            <w:vAlign w:val="center"/>
          </w:tcPr>
          <w:p w14:paraId="592781D6"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2016</w:t>
            </w:r>
          </w:p>
        </w:tc>
      </w:tr>
      <w:tr w:rsidR="00AA7229" w:rsidRPr="000343A7" w14:paraId="3ED0BD5C" w14:textId="77777777" w:rsidTr="000343A7">
        <w:trPr>
          <w:jc w:val="center"/>
        </w:trPr>
        <w:tc>
          <w:tcPr>
            <w:tcW w:w="1232" w:type="dxa"/>
            <w:vAlign w:val="center"/>
          </w:tcPr>
          <w:p w14:paraId="57B3F4BB" w14:textId="111FD6BB"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 xml:space="preserve">Počet osob </w:t>
            </w:r>
          </w:p>
        </w:tc>
        <w:tc>
          <w:tcPr>
            <w:tcW w:w="1087" w:type="dxa"/>
            <w:vAlign w:val="center"/>
          </w:tcPr>
          <w:p w14:paraId="2DC0929C" w14:textId="454CC609" w:rsidR="00AA7229" w:rsidRPr="000343A7" w:rsidRDefault="00AA7229" w:rsidP="0056626A">
            <w:pPr>
              <w:spacing w:line="276" w:lineRule="auto"/>
              <w:jc w:val="center"/>
              <w:rPr>
                <w:rFonts w:ascii="Arial Narrow" w:hAnsi="Arial Narrow"/>
                <w:bCs/>
                <w:sz w:val="20"/>
                <w:szCs w:val="20"/>
              </w:rPr>
            </w:pPr>
            <w:r w:rsidRPr="000343A7">
              <w:rPr>
                <w:rFonts w:ascii="Arial Narrow" w:hAnsi="Arial Narrow"/>
                <w:bCs/>
                <w:sz w:val="20"/>
                <w:szCs w:val="20"/>
              </w:rPr>
              <w:t>425 301</w:t>
            </w:r>
          </w:p>
        </w:tc>
        <w:tc>
          <w:tcPr>
            <w:tcW w:w="1091" w:type="dxa"/>
            <w:vAlign w:val="center"/>
          </w:tcPr>
          <w:p w14:paraId="4FC53AFF" w14:textId="2D561918" w:rsidR="00AA7229" w:rsidRPr="000343A7" w:rsidRDefault="00AA7229" w:rsidP="0056626A">
            <w:pPr>
              <w:spacing w:line="276" w:lineRule="auto"/>
              <w:jc w:val="center"/>
              <w:rPr>
                <w:rFonts w:ascii="Arial Narrow" w:hAnsi="Arial Narrow"/>
                <w:bCs/>
                <w:sz w:val="20"/>
                <w:szCs w:val="20"/>
              </w:rPr>
            </w:pPr>
            <w:r w:rsidRPr="000343A7">
              <w:rPr>
                <w:rFonts w:ascii="Arial Narrow" w:hAnsi="Arial Narrow"/>
                <w:bCs/>
                <w:sz w:val="20"/>
                <w:szCs w:val="20"/>
              </w:rPr>
              <w:t>436 389</w:t>
            </w:r>
          </w:p>
        </w:tc>
        <w:tc>
          <w:tcPr>
            <w:tcW w:w="1088" w:type="dxa"/>
            <w:vAlign w:val="center"/>
          </w:tcPr>
          <w:p w14:paraId="5C7517AF" w14:textId="5B0D6EAE" w:rsidR="00AA7229" w:rsidRPr="000343A7" w:rsidRDefault="00AA7229" w:rsidP="0056626A">
            <w:pPr>
              <w:spacing w:line="276" w:lineRule="auto"/>
              <w:jc w:val="center"/>
              <w:rPr>
                <w:rFonts w:ascii="Arial Narrow" w:hAnsi="Arial Narrow"/>
                <w:bCs/>
                <w:sz w:val="20"/>
                <w:szCs w:val="20"/>
              </w:rPr>
            </w:pPr>
            <w:r w:rsidRPr="000343A7">
              <w:rPr>
                <w:rFonts w:ascii="Arial Narrow" w:hAnsi="Arial Narrow"/>
                <w:bCs/>
                <w:sz w:val="20"/>
                <w:szCs w:val="20"/>
              </w:rPr>
              <w:t>438 213</w:t>
            </w:r>
          </w:p>
        </w:tc>
        <w:tc>
          <w:tcPr>
            <w:tcW w:w="1090" w:type="dxa"/>
            <w:vAlign w:val="center"/>
          </w:tcPr>
          <w:p w14:paraId="131A869E" w14:textId="2D5BF58F" w:rsidR="00AA7229" w:rsidRPr="000343A7" w:rsidRDefault="00AA7229" w:rsidP="0056626A">
            <w:pPr>
              <w:spacing w:line="276" w:lineRule="auto"/>
              <w:jc w:val="center"/>
              <w:rPr>
                <w:rFonts w:ascii="Arial Narrow" w:hAnsi="Arial Narrow"/>
                <w:bCs/>
                <w:sz w:val="20"/>
                <w:szCs w:val="20"/>
              </w:rPr>
            </w:pPr>
            <w:r w:rsidRPr="000343A7">
              <w:rPr>
                <w:rFonts w:ascii="Arial Narrow" w:hAnsi="Arial Narrow"/>
                <w:bCs/>
                <w:sz w:val="20"/>
                <w:szCs w:val="20"/>
              </w:rPr>
              <w:t>441 536</w:t>
            </w:r>
          </w:p>
        </w:tc>
        <w:tc>
          <w:tcPr>
            <w:tcW w:w="1089" w:type="dxa"/>
            <w:vAlign w:val="center"/>
          </w:tcPr>
          <w:p w14:paraId="7BAB2067" w14:textId="3BE83B74" w:rsidR="00AA7229" w:rsidRPr="000343A7" w:rsidRDefault="00AA7229" w:rsidP="0056626A">
            <w:pPr>
              <w:spacing w:line="276" w:lineRule="auto"/>
              <w:jc w:val="center"/>
              <w:rPr>
                <w:rFonts w:ascii="Arial Narrow" w:hAnsi="Arial Narrow"/>
                <w:bCs/>
                <w:sz w:val="20"/>
                <w:szCs w:val="20"/>
              </w:rPr>
            </w:pPr>
            <w:r w:rsidRPr="000343A7">
              <w:rPr>
                <w:rFonts w:ascii="Arial Narrow" w:hAnsi="Arial Narrow"/>
                <w:bCs/>
                <w:sz w:val="20"/>
                <w:szCs w:val="20"/>
              </w:rPr>
              <w:t>451 923</w:t>
            </w:r>
          </w:p>
        </w:tc>
        <w:tc>
          <w:tcPr>
            <w:tcW w:w="1087" w:type="dxa"/>
            <w:vAlign w:val="center"/>
          </w:tcPr>
          <w:p w14:paraId="6F071AC8" w14:textId="573D9613" w:rsidR="00AA7229" w:rsidRPr="000343A7" w:rsidRDefault="00AA7229" w:rsidP="0056626A">
            <w:pPr>
              <w:spacing w:line="276" w:lineRule="auto"/>
              <w:jc w:val="center"/>
              <w:rPr>
                <w:rFonts w:ascii="Arial Narrow" w:hAnsi="Arial Narrow"/>
                <w:bCs/>
                <w:sz w:val="20"/>
                <w:szCs w:val="20"/>
              </w:rPr>
            </w:pPr>
            <w:r w:rsidRPr="000343A7">
              <w:rPr>
                <w:rFonts w:ascii="Arial Narrow" w:hAnsi="Arial Narrow"/>
                <w:bCs/>
                <w:sz w:val="20"/>
                <w:szCs w:val="20"/>
              </w:rPr>
              <w:t>467 562</w:t>
            </w:r>
          </w:p>
        </w:tc>
        <w:tc>
          <w:tcPr>
            <w:tcW w:w="1101" w:type="dxa"/>
            <w:gridSpan w:val="2"/>
            <w:vAlign w:val="center"/>
          </w:tcPr>
          <w:p w14:paraId="7E9B6529" w14:textId="70B334EF" w:rsidR="00AA7229" w:rsidRPr="000343A7" w:rsidRDefault="00AA7229" w:rsidP="0056626A">
            <w:pPr>
              <w:spacing w:line="276" w:lineRule="auto"/>
              <w:jc w:val="center"/>
              <w:rPr>
                <w:rFonts w:ascii="Arial Narrow" w:hAnsi="Arial Narrow"/>
                <w:bCs/>
                <w:sz w:val="20"/>
                <w:szCs w:val="20"/>
              </w:rPr>
            </w:pPr>
            <w:r w:rsidRPr="000343A7">
              <w:rPr>
                <w:rFonts w:ascii="Arial Narrow" w:hAnsi="Arial Narrow"/>
                <w:bCs/>
                <w:sz w:val="20"/>
                <w:szCs w:val="20"/>
              </w:rPr>
              <w:t>496 413</w:t>
            </w:r>
          </w:p>
        </w:tc>
      </w:tr>
      <w:tr w:rsidR="00AA7229" w:rsidRPr="000343A7" w14:paraId="550E3D00" w14:textId="77777777" w:rsidTr="000343A7">
        <w:trPr>
          <w:trHeight w:val="340"/>
          <w:jc w:val="center"/>
        </w:trPr>
        <w:tc>
          <w:tcPr>
            <w:tcW w:w="1232" w:type="dxa"/>
            <w:vAlign w:val="center"/>
          </w:tcPr>
          <w:p w14:paraId="68FD4644" w14:textId="77777777" w:rsidR="00AA7229" w:rsidRPr="000343A7" w:rsidRDefault="00AA7229" w:rsidP="0056626A">
            <w:pPr>
              <w:spacing w:line="276" w:lineRule="auto"/>
              <w:jc w:val="center"/>
              <w:rPr>
                <w:rFonts w:ascii="Arial Narrow" w:hAnsi="Arial Narrow"/>
                <w:b/>
                <w:bCs/>
                <w:sz w:val="20"/>
                <w:szCs w:val="20"/>
              </w:rPr>
            </w:pPr>
            <w:r w:rsidRPr="000343A7">
              <w:rPr>
                <w:rFonts w:ascii="Arial Narrow" w:hAnsi="Arial Narrow"/>
                <w:b/>
                <w:bCs/>
                <w:sz w:val="20"/>
                <w:szCs w:val="20"/>
              </w:rPr>
              <w:t>Meziroční změna</w:t>
            </w:r>
          </w:p>
        </w:tc>
        <w:tc>
          <w:tcPr>
            <w:tcW w:w="1087" w:type="dxa"/>
            <w:vAlign w:val="center"/>
          </w:tcPr>
          <w:p w14:paraId="577D825B" w14:textId="77777777" w:rsidR="00AA7229" w:rsidRPr="000343A7" w:rsidRDefault="00AA7229" w:rsidP="0056626A">
            <w:pPr>
              <w:spacing w:line="276" w:lineRule="auto"/>
              <w:jc w:val="center"/>
              <w:rPr>
                <w:rFonts w:ascii="Arial Narrow" w:hAnsi="Arial Narrow"/>
                <w:b/>
                <w:sz w:val="20"/>
                <w:szCs w:val="20"/>
              </w:rPr>
            </w:pPr>
            <w:r w:rsidRPr="000343A7">
              <w:rPr>
                <w:rFonts w:ascii="Arial Narrow" w:hAnsi="Arial Narrow"/>
                <w:b/>
                <w:sz w:val="20"/>
                <w:szCs w:val="20"/>
              </w:rPr>
              <w:t>-1,8 %</w:t>
            </w:r>
          </w:p>
        </w:tc>
        <w:tc>
          <w:tcPr>
            <w:tcW w:w="1091" w:type="dxa"/>
            <w:vAlign w:val="center"/>
          </w:tcPr>
          <w:p w14:paraId="04FECD3B" w14:textId="77777777" w:rsidR="00AA7229" w:rsidRPr="000343A7" w:rsidRDefault="00AA7229" w:rsidP="0056626A">
            <w:pPr>
              <w:spacing w:line="276" w:lineRule="auto"/>
              <w:jc w:val="center"/>
              <w:rPr>
                <w:rFonts w:ascii="Arial Narrow" w:hAnsi="Arial Narrow"/>
                <w:b/>
                <w:sz w:val="20"/>
                <w:szCs w:val="20"/>
              </w:rPr>
            </w:pPr>
            <w:r w:rsidRPr="000343A7">
              <w:rPr>
                <w:rFonts w:ascii="Arial Narrow" w:hAnsi="Arial Narrow"/>
                <w:b/>
                <w:sz w:val="20"/>
                <w:szCs w:val="20"/>
              </w:rPr>
              <w:t>2,6 %</w:t>
            </w:r>
          </w:p>
        </w:tc>
        <w:tc>
          <w:tcPr>
            <w:tcW w:w="1088" w:type="dxa"/>
            <w:vAlign w:val="center"/>
          </w:tcPr>
          <w:p w14:paraId="3E1400B0" w14:textId="35FF16E9" w:rsidR="00AA7229" w:rsidRPr="000343A7" w:rsidRDefault="00AA7229" w:rsidP="0056626A">
            <w:pPr>
              <w:spacing w:line="276" w:lineRule="auto"/>
              <w:jc w:val="center"/>
              <w:rPr>
                <w:rFonts w:ascii="Arial Narrow" w:hAnsi="Arial Narrow"/>
                <w:b/>
                <w:sz w:val="20"/>
                <w:szCs w:val="20"/>
              </w:rPr>
            </w:pPr>
            <w:r w:rsidRPr="000343A7">
              <w:rPr>
                <w:rFonts w:ascii="Arial Narrow" w:hAnsi="Arial Narrow"/>
                <w:b/>
                <w:sz w:val="20"/>
                <w:szCs w:val="20"/>
              </w:rPr>
              <w:t>0,4 %</w:t>
            </w:r>
          </w:p>
        </w:tc>
        <w:tc>
          <w:tcPr>
            <w:tcW w:w="1090" w:type="dxa"/>
            <w:vAlign w:val="center"/>
          </w:tcPr>
          <w:p w14:paraId="206B38E1" w14:textId="558BDC22" w:rsidR="00AA7229" w:rsidRPr="000343A7" w:rsidRDefault="00AA7229" w:rsidP="0056626A">
            <w:pPr>
              <w:spacing w:line="276" w:lineRule="auto"/>
              <w:jc w:val="center"/>
              <w:rPr>
                <w:rFonts w:ascii="Arial Narrow" w:hAnsi="Arial Narrow"/>
                <w:b/>
                <w:sz w:val="20"/>
                <w:szCs w:val="20"/>
              </w:rPr>
            </w:pPr>
            <w:r w:rsidRPr="000343A7">
              <w:rPr>
                <w:rFonts w:ascii="Arial Narrow" w:hAnsi="Arial Narrow"/>
                <w:b/>
                <w:sz w:val="20"/>
                <w:szCs w:val="20"/>
              </w:rPr>
              <w:t>0,8 %</w:t>
            </w:r>
          </w:p>
        </w:tc>
        <w:tc>
          <w:tcPr>
            <w:tcW w:w="1089" w:type="dxa"/>
            <w:vAlign w:val="center"/>
          </w:tcPr>
          <w:p w14:paraId="4C71DA84" w14:textId="1701B6A3" w:rsidR="00AA7229" w:rsidRPr="000343A7" w:rsidRDefault="00AA7229" w:rsidP="0056626A">
            <w:pPr>
              <w:spacing w:line="276" w:lineRule="auto"/>
              <w:jc w:val="center"/>
              <w:rPr>
                <w:rFonts w:ascii="Arial Narrow" w:hAnsi="Arial Narrow"/>
                <w:b/>
                <w:sz w:val="20"/>
                <w:szCs w:val="20"/>
              </w:rPr>
            </w:pPr>
            <w:r w:rsidRPr="000343A7">
              <w:rPr>
                <w:rFonts w:ascii="Arial Narrow" w:hAnsi="Arial Narrow"/>
                <w:b/>
                <w:sz w:val="20"/>
                <w:szCs w:val="20"/>
              </w:rPr>
              <w:t>2,4 %</w:t>
            </w:r>
          </w:p>
        </w:tc>
        <w:tc>
          <w:tcPr>
            <w:tcW w:w="1087" w:type="dxa"/>
            <w:vAlign w:val="center"/>
          </w:tcPr>
          <w:p w14:paraId="46D8DE6F" w14:textId="77777777" w:rsidR="00AA7229" w:rsidRPr="000343A7" w:rsidRDefault="00AA7229" w:rsidP="0056626A">
            <w:pPr>
              <w:spacing w:line="276" w:lineRule="auto"/>
              <w:jc w:val="center"/>
              <w:rPr>
                <w:rFonts w:ascii="Arial Narrow" w:hAnsi="Arial Narrow"/>
                <w:b/>
                <w:sz w:val="20"/>
                <w:szCs w:val="20"/>
              </w:rPr>
            </w:pPr>
            <w:r w:rsidRPr="000343A7">
              <w:rPr>
                <w:rFonts w:ascii="Arial Narrow" w:hAnsi="Arial Narrow"/>
                <w:b/>
                <w:sz w:val="20"/>
                <w:szCs w:val="20"/>
              </w:rPr>
              <w:t>3,5 %</w:t>
            </w:r>
          </w:p>
        </w:tc>
        <w:tc>
          <w:tcPr>
            <w:tcW w:w="1101" w:type="dxa"/>
            <w:gridSpan w:val="2"/>
            <w:vAlign w:val="center"/>
          </w:tcPr>
          <w:p w14:paraId="08DA120F" w14:textId="77777777" w:rsidR="00AA7229" w:rsidRPr="000343A7" w:rsidRDefault="00AA7229" w:rsidP="0056626A">
            <w:pPr>
              <w:spacing w:line="276" w:lineRule="auto"/>
              <w:jc w:val="center"/>
              <w:rPr>
                <w:rFonts w:ascii="Arial Narrow" w:hAnsi="Arial Narrow"/>
                <w:b/>
                <w:sz w:val="20"/>
                <w:szCs w:val="20"/>
              </w:rPr>
            </w:pPr>
            <w:r w:rsidRPr="000343A7">
              <w:rPr>
                <w:rFonts w:ascii="Arial Narrow" w:hAnsi="Arial Narrow"/>
                <w:b/>
                <w:sz w:val="20"/>
                <w:szCs w:val="20"/>
              </w:rPr>
              <w:t>6,2 %</w:t>
            </w:r>
          </w:p>
        </w:tc>
      </w:tr>
      <w:tr w:rsidR="00AA7229" w:rsidRPr="000343A7" w14:paraId="64EBAC66" w14:textId="77777777" w:rsidTr="000343A7">
        <w:trPr>
          <w:trHeight w:val="340"/>
          <w:jc w:val="center"/>
        </w:trPr>
        <w:tc>
          <w:tcPr>
            <w:tcW w:w="1232" w:type="dxa"/>
            <w:shd w:val="clear" w:color="auto" w:fill="D9E2F3" w:themeFill="accent1" w:themeFillTint="33"/>
            <w:vAlign w:val="center"/>
          </w:tcPr>
          <w:p w14:paraId="79C50B48" w14:textId="6BE4C044" w:rsidR="00AA7229" w:rsidRPr="000343A7" w:rsidRDefault="00AA7229" w:rsidP="00AA7229">
            <w:pPr>
              <w:spacing w:line="276" w:lineRule="auto"/>
              <w:jc w:val="center"/>
              <w:rPr>
                <w:rFonts w:ascii="Arial Narrow" w:hAnsi="Arial Narrow"/>
                <w:b/>
                <w:bCs/>
                <w:sz w:val="20"/>
                <w:szCs w:val="20"/>
              </w:rPr>
            </w:pPr>
            <w:r w:rsidRPr="000343A7">
              <w:rPr>
                <w:rFonts w:ascii="Arial Narrow" w:hAnsi="Arial Narrow"/>
                <w:b/>
                <w:bCs/>
                <w:sz w:val="20"/>
                <w:szCs w:val="20"/>
              </w:rPr>
              <w:t>Rok</w:t>
            </w:r>
          </w:p>
        </w:tc>
        <w:tc>
          <w:tcPr>
            <w:tcW w:w="1087" w:type="dxa"/>
            <w:shd w:val="clear" w:color="auto" w:fill="D9E2F3" w:themeFill="accent1" w:themeFillTint="33"/>
            <w:vAlign w:val="center"/>
          </w:tcPr>
          <w:p w14:paraId="174EBB80" w14:textId="5DBBBC0D" w:rsidR="00AA7229" w:rsidRPr="000343A7" w:rsidRDefault="00AA7229" w:rsidP="00AA7229">
            <w:pPr>
              <w:spacing w:line="276" w:lineRule="auto"/>
              <w:jc w:val="center"/>
              <w:rPr>
                <w:rFonts w:ascii="Arial Narrow" w:hAnsi="Arial Narrow"/>
                <w:bCs/>
                <w:sz w:val="20"/>
                <w:szCs w:val="20"/>
              </w:rPr>
            </w:pPr>
            <w:r w:rsidRPr="000343A7">
              <w:rPr>
                <w:rFonts w:ascii="Arial Narrow" w:hAnsi="Arial Narrow"/>
                <w:b/>
                <w:bCs/>
                <w:sz w:val="20"/>
                <w:szCs w:val="20"/>
              </w:rPr>
              <w:t>2017</w:t>
            </w:r>
          </w:p>
        </w:tc>
        <w:tc>
          <w:tcPr>
            <w:tcW w:w="1091" w:type="dxa"/>
            <w:shd w:val="clear" w:color="auto" w:fill="D9E2F3" w:themeFill="accent1" w:themeFillTint="33"/>
            <w:vAlign w:val="center"/>
          </w:tcPr>
          <w:p w14:paraId="427BD82B" w14:textId="1C3BC41B" w:rsidR="00AA7229" w:rsidRPr="000343A7" w:rsidRDefault="00AA7229" w:rsidP="00AA7229">
            <w:pPr>
              <w:spacing w:line="276" w:lineRule="auto"/>
              <w:jc w:val="center"/>
              <w:rPr>
                <w:rFonts w:ascii="Arial Narrow" w:hAnsi="Arial Narrow"/>
                <w:bCs/>
                <w:sz w:val="20"/>
                <w:szCs w:val="20"/>
              </w:rPr>
            </w:pPr>
            <w:r w:rsidRPr="000343A7">
              <w:rPr>
                <w:rFonts w:ascii="Arial Narrow" w:hAnsi="Arial Narrow"/>
                <w:b/>
                <w:bCs/>
                <w:sz w:val="20"/>
                <w:szCs w:val="20"/>
              </w:rPr>
              <w:t>2018</w:t>
            </w:r>
          </w:p>
        </w:tc>
        <w:tc>
          <w:tcPr>
            <w:tcW w:w="1088" w:type="dxa"/>
            <w:shd w:val="clear" w:color="auto" w:fill="D9E2F3" w:themeFill="accent1" w:themeFillTint="33"/>
            <w:vAlign w:val="center"/>
          </w:tcPr>
          <w:p w14:paraId="2420CC14" w14:textId="73FF9F7D" w:rsidR="00AA7229" w:rsidRPr="000343A7" w:rsidRDefault="00AA7229" w:rsidP="00AA7229">
            <w:pPr>
              <w:spacing w:line="276" w:lineRule="auto"/>
              <w:jc w:val="center"/>
              <w:rPr>
                <w:rFonts w:ascii="Arial Narrow" w:hAnsi="Arial Narrow"/>
                <w:bCs/>
                <w:sz w:val="20"/>
                <w:szCs w:val="20"/>
              </w:rPr>
            </w:pPr>
            <w:r w:rsidRPr="000343A7">
              <w:rPr>
                <w:rFonts w:ascii="Arial Narrow" w:hAnsi="Arial Narrow"/>
                <w:b/>
                <w:bCs/>
                <w:sz w:val="20"/>
                <w:szCs w:val="20"/>
              </w:rPr>
              <w:t>2019</w:t>
            </w:r>
          </w:p>
        </w:tc>
        <w:tc>
          <w:tcPr>
            <w:tcW w:w="1090" w:type="dxa"/>
            <w:shd w:val="clear" w:color="auto" w:fill="D9E2F3" w:themeFill="accent1" w:themeFillTint="33"/>
            <w:vAlign w:val="center"/>
          </w:tcPr>
          <w:p w14:paraId="1941E8AB" w14:textId="181F833C" w:rsidR="00AA7229" w:rsidRPr="000343A7" w:rsidRDefault="00AA7229" w:rsidP="00AA7229">
            <w:pPr>
              <w:spacing w:line="276" w:lineRule="auto"/>
              <w:jc w:val="center"/>
              <w:rPr>
                <w:rFonts w:ascii="Arial Narrow" w:hAnsi="Arial Narrow"/>
                <w:bCs/>
                <w:sz w:val="20"/>
                <w:szCs w:val="20"/>
              </w:rPr>
            </w:pPr>
            <w:r w:rsidRPr="000343A7">
              <w:rPr>
                <w:rFonts w:ascii="Arial Narrow" w:hAnsi="Arial Narrow"/>
                <w:b/>
                <w:bCs/>
                <w:sz w:val="20"/>
                <w:szCs w:val="20"/>
              </w:rPr>
              <w:t>2020</w:t>
            </w:r>
          </w:p>
        </w:tc>
        <w:tc>
          <w:tcPr>
            <w:tcW w:w="1089" w:type="dxa"/>
            <w:shd w:val="clear" w:color="auto" w:fill="D9E2F3" w:themeFill="accent1" w:themeFillTint="33"/>
            <w:vAlign w:val="center"/>
          </w:tcPr>
          <w:p w14:paraId="1087B3F4" w14:textId="20006592" w:rsidR="00AA7229" w:rsidRPr="000343A7" w:rsidRDefault="00AA7229" w:rsidP="00AA7229">
            <w:pPr>
              <w:spacing w:line="276" w:lineRule="auto"/>
              <w:jc w:val="center"/>
              <w:rPr>
                <w:rFonts w:ascii="Arial Narrow" w:hAnsi="Arial Narrow"/>
                <w:bCs/>
                <w:sz w:val="20"/>
                <w:szCs w:val="20"/>
              </w:rPr>
            </w:pPr>
            <w:r w:rsidRPr="000343A7">
              <w:rPr>
                <w:rFonts w:ascii="Arial Narrow" w:hAnsi="Arial Narrow"/>
                <w:b/>
                <w:bCs/>
                <w:sz w:val="20"/>
                <w:szCs w:val="20"/>
              </w:rPr>
              <w:t>2021</w:t>
            </w:r>
          </w:p>
        </w:tc>
        <w:tc>
          <w:tcPr>
            <w:tcW w:w="1087" w:type="dxa"/>
            <w:shd w:val="clear" w:color="auto" w:fill="D9E2F3" w:themeFill="accent1" w:themeFillTint="33"/>
            <w:vAlign w:val="center"/>
          </w:tcPr>
          <w:p w14:paraId="410F4439" w14:textId="636552A0" w:rsidR="00AA7229" w:rsidRPr="000343A7" w:rsidRDefault="00AA7229" w:rsidP="00AA7229">
            <w:pPr>
              <w:spacing w:line="276" w:lineRule="auto"/>
              <w:jc w:val="center"/>
              <w:rPr>
                <w:rFonts w:ascii="Arial Narrow" w:hAnsi="Arial Narrow"/>
                <w:bCs/>
                <w:sz w:val="20"/>
                <w:szCs w:val="20"/>
              </w:rPr>
            </w:pPr>
            <w:r w:rsidRPr="000343A7">
              <w:rPr>
                <w:rFonts w:ascii="Arial Narrow" w:hAnsi="Arial Narrow"/>
                <w:b/>
                <w:bCs/>
                <w:sz w:val="20"/>
                <w:szCs w:val="20"/>
              </w:rPr>
              <w:t>2022</w:t>
            </w:r>
          </w:p>
        </w:tc>
        <w:tc>
          <w:tcPr>
            <w:tcW w:w="1101" w:type="dxa"/>
            <w:gridSpan w:val="2"/>
            <w:shd w:val="clear" w:color="auto" w:fill="D9E2F3" w:themeFill="accent1" w:themeFillTint="33"/>
            <w:vAlign w:val="center"/>
          </w:tcPr>
          <w:p w14:paraId="01B91B79" w14:textId="411FB02C" w:rsidR="00AA7229" w:rsidRPr="000343A7" w:rsidRDefault="00AA7229" w:rsidP="00AA7229">
            <w:pPr>
              <w:spacing w:line="276" w:lineRule="auto"/>
              <w:jc w:val="center"/>
              <w:rPr>
                <w:rFonts w:ascii="Arial Narrow" w:hAnsi="Arial Narrow"/>
                <w:b/>
                <w:sz w:val="20"/>
                <w:szCs w:val="20"/>
              </w:rPr>
            </w:pPr>
          </w:p>
        </w:tc>
      </w:tr>
      <w:tr w:rsidR="000343A7" w:rsidRPr="000343A7" w14:paraId="6DB24933" w14:textId="77777777" w:rsidTr="000343A7">
        <w:trPr>
          <w:trHeight w:val="340"/>
          <w:jc w:val="center"/>
        </w:trPr>
        <w:tc>
          <w:tcPr>
            <w:tcW w:w="1232" w:type="dxa"/>
            <w:vAlign w:val="center"/>
          </w:tcPr>
          <w:p w14:paraId="4041A231" w14:textId="2EDC02EE" w:rsidR="000343A7" w:rsidRPr="000343A7" w:rsidRDefault="000343A7" w:rsidP="000343A7">
            <w:pPr>
              <w:spacing w:line="276" w:lineRule="auto"/>
              <w:jc w:val="center"/>
              <w:rPr>
                <w:rFonts w:ascii="Arial Narrow" w:hAnsi="Arial Narrow"/>
                <w:b/>
                <w:bCs/>
                <w:sz w:val="20"/>
                <w:szCs w:val="20"/>
              </w:rPr>
            </w:pPr>
            <w:r w:rsidRPr="000343A7">
              <w:rPr>
                <w:rFonts w:ascii="Arial Narrow" w:hAnsi="Arial Narrow"/>
                <w:b/>
                <w:bCs/>
                <w:sz w:val="20"/>
                <w:szCs w:val="20"/>
              </w:rPr>
              <w:t xml:space="preserve">Počet osob </w:t>
            </w:r>
          </w:p>
        </w:tc>
        <w:tc>
          <w:tcPr>
            <w:tcW w:w="1087" w:type="dxa"/>
            <w:vAlign w:val="center"/>
          </w:tcPr>
          <w:p w14:paraId="30F8032D" w14:textId="2602B374"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Cs/>
                <w:sz w:val="20"/>
                <w:szCs w:val="20"/>
              </w:rPr>
              <w:t>526 811</w:t>
            </w:r>
          </w:p>
        </w:tc>
        <w:tc>
          <w:tcPr>
            <w:tcW w:w="1091" w:type="dxa"/>
            <w:vAlign w:val="center"/>
          </w:tcPr>
          <w:p w14:paraId="359E92DD" w14:textId="50AB4214"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Cs/>
                <w:sz w:val="20"/>
                <w:szCs w:val="20"/>
              </w:rPr>
              <w:t>566 931</w:t>
            </w:r>
          </w:p>
        </w:tc>
        <w:tc>
          <w:tcPr>
            <w:tcW w:w="1088" w:type="dxa"/>
            <w:vAlign w:val="center"/>
          </w:tcPr>
          <w:p w14:paraId="1F7506FF" w14:textId="5512EA68"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Cs/>
                <w:sz w:val="20"/>
                <w:szCs w:val="20"/>
              </w:rPr>
              <w:t>595 881</w:t>
            </w:r>
          </w:p>
        </w:tc>
        <w:tc>
          <w:tcPr>
            <w:tcW w:w="1090" w:type="dxa"/>
            <w:vAlign w:val="center"/>
          </w:tcPr>
          <w:p w14:paraId="679A2EE3" w14:textId="51B77C42"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Cs/>
                <w:sz w:val="20"/>
                <w:szCs w:val="20"/>
              </w:rPr>
              <w:t>634 790</w:t>
            </w:r>
          </w:p>
        </w:tc>
        <w:tc>
          <w:tcPr>
            <w:tcW w:w="1089" w:type="dxa"/>
            <w:vAlign w:val="center"/>
          </w:tcPr>
          <w:p w14:paraId="2105BAE5" w14:textId="4AED0147" w:rsidR="000343A7" w:rsidRPr="000343A7" w:rsidRDefault="00BE259C" w:rsidP="000343A7">
            <w:pPr>
              <w:spacing w:line="276" w:lineRule="auto"/>
              <w:jc w:val="center"/>
              <w:rPr>
                <w:rFonts w:ascii="Arial Narrow" w:hAnsi="Arial Narrow"/>
                <w:bCs/>
                <w:sz w:val="20"/>
                <w:szCs w:val="20"/>
              </w:rPr>
            </w:pPr>
            <w:r>
              <w:rPr>
                <w:rFonts w:ascii="Arial Narrow" w:hAnsi="Arial Narrow"/>
                <w:bCs/>
                <w:sz w:val="20"/>
                <w:szCs w:val="20"/>
              </w:rPr>
              <w:t>660 849</w:t>
            </w:r>
          </w:p>
        </w:tc>
        <w:tc>
          <w:tcPr>
            <w:tcW w:w="1087" w:type="dxa"/>
            <w:vAlign w:val="center"/>
          </w:tcPr>
          <w:p w14:paraId="73DFA367" w14:textId="741D927C"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Cs/>
                <w:sz w:val="20"/>
                <w:szCs w:val="20"/>
              </w:rPr>
              <w:t>1 116 154</w:t>
            </w:r>
          </w:p>
        </w:tc>
        <w:tc>
          <w:tcPr>
            <w:tcW w:w="1101" w:type="dxa"/>
            <w:gridSpan w:val="2"/>
            <w:vAlign w:val="center"/>
          </w:tcPr>
          <w:p w14:paraId="658C99CE" w14:textId="77777777" w:rsidR="000343A7" w:rsidRPr="000343A7" w:rsidRDefault="000343A7" w:rsidP="000343A7">
            <w:pPr>
              <w:spacing w:line="276" w:lineRule="auto"/>
              <w:jc w:val="center"/>
              <w:rPr>
                <w:rFonts w:ascii="Arial Narrow" w:hAnsi="Arial Narrow"/>
                <w:b/>
                <w:sz w:val="20"/>
                <w:szCs w:val="20"/>
              </w:rPr>
            </w:pPr>
          </w:p>
        </w:tc>
      </w:tr>
      <w:tr w:rsidR="000343A7" w:rsidRPr="000343A7" w14:paraId="7387DCE2" w14:textId="77777777" w:rsidTr="000343A7">
        <w:trPr>
          <w:trHeight w:val="340"/>
          <w:jc w:val="center"/>
        </w:trPr>
        <w:tc>
          <w:tcPr>
            <w:tcW w:w="1232" w:type="dxa"/>
            <w:vAlign w:val="center"/>
          </w:tcPr>
          <w:p w14:paraId="6BAF235C" w14:textId="49693801" w:rsidR="000343A7" w:rsidRPr="000343A7" w:rsidRDefault="000343A7" w:rsidP="000343A7">
            <w:pPr>
              <w:spacing w:line="276" w:lineRule="auto"/>
              <w:jc w:val="center"/>
              <w:rPr>
                <w:rFonts w:ascii="Arial Narrow" w:hAnsi="Arial Narrow"/>
                <w:b/>
                <w:bCs/>
                <w:sz w:val="20"/>
                <w:szCs w:val="20"/>
              </w:rPr>
            </w:pPr>
            <w:r w:rsidRPr="000343A7">
              <w:rPr>
                <w:rFonts w:ascii="Arial Narrow" w:hAnsi="Arial Narrow"/>
                <w:b/>
                <w:bCs/>
                <w:sz w:val="20"/>
                <w:szCs w:val="20"/>
              </w:rPr>
              <w:t>Meziroční změna</w:t>
            </w:r>
          </w:p>
        </w:tc>
        <w:tc>
          <w:tcPr>
            <w:tcW w:w="1087" w:type="dxa"/>
            <w:vAlign w:val="center"/>
          </w:tcPr>
          <w:p w14:paraId="38EC67C0" w14:textId="32DDE5DF"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
                <w:sz w:val="20"/>
                <w:szCs w:val="20"/>
              </w:rPr>
              <w:t>6,1 %</w:t>
            </w:r>
          </w:p>
        </w:tc>
        <w:tc>
          <w:tcPr>
            <w:tcW w:w="1091" w:type="dxa"/>
            <w:vAlign w:val="center"/>
          </w:tcPr>
          <w:p w14:paraId="6054F6CE" w14:textId="05C877A7"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
                <w:sz w:val="20"/>
                <w:szCs w:val="20"/>
              </w:rPr>
              <w:t>7,6 %</w:t>
            </w:r>
          </w:p>
        </w:tc>
        <w:tc>
          <w:tcPr>
            <w:tcW w:w="1088" w:type="dxa"/>
            <w:vAlign w:val="center"/>
          </w:tcPr>
          <w:p w14:paraId="368D36AC" w14:textId="76A2FAC3"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
                <w:sz w:val="20"/>
                <w:szCs w:val="20"/>
              </w:rPr>
              <w:t>5,1 %</w:t>
            </w:r>
          </w:p>
        </w:tc>
        <w:tc>
          <w:tcPr>
            <w:tcW w:w="1090" w:type="dxa"/>
            <w:vAlign w:val="center"/>
          </w:tcPr>
          <w:p w14:paraId="6277254C" w14:textId="657AF469"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
                <w:sz w:val="20"/>
                <w:szCs w:val="20"/>
              </w:rPr>
              <w:t>6,5 %</w:t>
            </w:r>
          </w:p>
        </w:tc>
        <w:tc>
          <w:tcPr>
            <w:tcW w:w="1089" w:type="dxa"/>
            <w:vAlign w:val="center"/>
          </w:tcPr>
          <w:p w14:paraId="0FDEB306" w14:textId="2D89A432" w:rsidR="000343A7" w:rsidRPr="000343A7" w:rsidRDefault="000343A7" w:rsidP="000343A7">
            <w:pPr>
              <w:spacing w:line="276" w:lineRule="auto"/>
              <w:jc w:val="center"/>
              <w:rPr>
                <w:rFonts w:ascii="Arial Narrow" w:hAnsi="Arial Narrow"/>
                <w:bCs/>
                <w:sz w:val="20"/>
                <w:szCs w:val="20"/>
              </w:rPr>
            </w:pPr>
            <w:r w:rsidRPr="000343A7">
              <w:rPr>
                <w:rFonts w:ascii="Arial Narrow" w:hAnsi="Arial Narrow"/>
                <w:b/>
                <w:sz w:val="20"/>
                <w:szCs w:val="20"/>
              </w:rPr>
              <w:t>4,1 %</w:t>
            </w:r>
          </w:p>
        </w:tc>
        <w:tc>
          <w:tcPr>
            <w:tcW w:w="1087" w:type="dxa"/>
            <w:vAlign w:val="center"/>
          </w:tcPr>
          <w:p w14:paraId="6D869B8F" w14:textId="5AD74139" w:rsidR="000343A7" w:rsidRPr="000343A7" w:rsidRDefault="00AD081A" w:rsidP="000343A7">
            <w:pPr>
              <w:spacing w:line="276" w:lineRule="auto"/>
              <w:jc w:val="center"/>
              <w:rPr>
                <w:rFonts w:ascii="Arial Narrow" w:hAnsi="Arial Narrow"/>
                <w:bCs/>
                <w:sz w:val="20"/>
                <w:szCs w:val="20"/>
              </w:rPr>
            </w:pPr>
            <w:r>
              <w:rPr>
                <w:rFonts w:ascii="Arial Narrow" w:hAnsi="Arial Narrow"/>
                <w:b/>
                <w:sz w:val="20"/>
                <w:szCs w:val="20"/>
              </w:rPr>
              <w:t>68,9</w:t>
            </w:r>
            <w:r w:rsidR="000343A7" w:rsidRPr="000343A7">
              <w:rPr>
                <w:rFonts w:ascii="Arial Narrow" w:hAnsi="Arial Narrow"/>
                <w:b/>
                <w:sz w:val="20"/>
                <w:szCs w:val="20"/>
              </w:rPr>
              <w:t xml:space="preserve"> %</w:t>
            </w:r>
          </w:p>
        </w:tc>
        <w:tc>
          <w:tcPr>
            <w:tcW w:w="1101" w:type="dxa"/>
            <w:gridSpan w:val="2"/>
            <w:vAlign w:val="center"/>
          </w:tcPr>
          <w:p w14:paraId="600AA77F" w14:textId="77777777" w:rsidR="000343A7" w:rsidRPr="000343A7" w:rsidRDefault="000343A7" w:rsidP="000343A7">
            <w:pPr>
              <w:spacing w:line="276" w:lineRule="auto"/>
              <w:jc w:val="center"/>
              <w:rPr>
                <w:rFonts w:ascii="Arial Narrow" w:hAnsi="Arial Narrow"/>
                <w:b/>
                <w:sz w:val="20"/>
                <w:szCs w:val="20"/>
              </w:rPr>
            </w:pPr>
          </w:p>
        </w:tc>
      </w:tr>
    </w:tbl>
    <w:p w14:paraId="2935B663" w14:textId="3D592245" w:rsidR="00F1264F" w:rsidRPr="00CE357F" w:rsidRDefault="00BE1B8D" w:rsidP="001065D9">
      <w:pPr>
        <w:spacing w:after="240" w:line="276" w:lineRule="auto"/>
        <w:rPr>
          <w:rFonts w:ascii="Arial Narrow" w:hAnsi="Arial Narrow"/>
          <w:bCs/>
          <w:sz w:val="20"/>
          <w:szCs w:val="20"/>
        </w:rPr>
      </w:pPr>
      <w:r w:rsidRPr="00CE357F">
        <w:rPr>
          <w:rFonts w:ascii="Arial Narrow" w:hAnsi="Arial Narrow"/>
          <w:bCs/>
          <w:sz w:val="20"/>
          <w:szCs w:val="20"/>
        </w:rPr>
        <w:t>Zdroj: Cizinecký informační systém</w:t>
      </w:r>
      <w:r w:rsidR="00AA7229">
        <w:rPr>
          <w:rFonts w:ascii="Arial Narrow" w:hAnsi="Arial Narrow"/>
          <w:bCs/>
          <w:sz w:val="20"/>
          <w:szCs w:val="20"/>
        </w:rPr>
        <w:t xml:space="preserve">, data k 31. 12. daného roku </w:t>
      </w:r>
      <w:r w:rsidR="001065D9" w:rsidRPr="00CE357F">
        <w:rPr>
          <w:rFonts w:ascii="Arial Narrow" w:hAnsi="Arial Narrow"/>
          <w:bCs/>
          <w:sz w:val="20"/>
          <w:szCs w:val="20"/>
        </w:rPr>
        <w:tab/>
      </w:r>
      <w:r w:rsidR="001065D9" w:rsidRPr="00CE357F">
        <w:rPr>
          <w:rFonts w:ascii="Arial Narrow" w:hAnsi="Arial Narrow"/>
          <w:bCs/>
          <w:sz w:val="20"/>
          <w:szCs w:val="20"/>
        </w:rPr>
        <w:tab/>
      </w:r>
      <w:r w:rsidR="001065D9" w:rsidRPr="00CE357F">
        <w:rPr>
          <w:rFonts w:ascii="Arial Narrow" w:hAnsi="Arial Narrow"/>
          <w:bCs/>
          <w:sz w:val="20"/>
          <w:szCs w:val="20"/>
        </w:rPr>
        <w:tab/>
      </w:r>
      <w:r w:rsidRPr="00CE357F">
        <w:rPr>
          <w:rFonts w:ascii="Arial Narrow" w:hAnsi="Arial Narrow"/>
          <w:bCs/>
          <w:sz w:val="20"/>
          <w:szCs w:val="20"/>
        </w:rPr>
        <w:t xml:space="preserve">    </w:t>
      </w:r>
      <w:r w:rsidR="001065D9" w:rsidRPr="00CE357F">
        <w:rPr>
          <w:rFonts w:ascii="Arial Narrow" w:hAnsi="Arial Narrow"/>
          <w:bCs/>
          <w:sz w:val="20"/>
          <w:szCs w:val="20"/>
        </w:rPr>
        <w:t xml:space="preserve">Tabulka: AUGUR </w:t>
      </w:r>
      <w:proofErr w:type="spellStart"/>
      <w:r w:rsidR="001065D9"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44170E53" w14:textId="77777777" w:rsidR="000343A7" w:rsidRDefault="000343A7" w:rsidP="000343A7">
      <w:pPr>
        <w:spacing w:after="240" w:line="276" w:lineRule="auto"/>
        <w:jc w:val="both"/>
        <w:rPr>
          <w:rFonts w:ascii="Arial Narrow" w:hAnsi="Arial Narrow"/>
        </w:rPr>
      </w:pPr>
      <w:r w:rsidRPr="00CE357F">
        <w:rPr>
          <w:rFonts w:ascii="Arial Narrow" w:hAnsi="Arial Narrow"/>
        </w:rPr>
        <w:t xml:space="preserve">Dlouhodobě narůstá také podíl osob s jinou než českou státní příslušností na celkovém počtu obyvatel České republiky. Zatímco v roce 2004 tvořily osoby s jinou než českou státní příslušností 1,9 % všech obyvatel České </w:t>
      </w:r>
      <w:r w:rsidRPr="00CE357F">
        <w:rPr>
          <w:rFonts w:ascii="Arial Narrow" w:hAnsi="Arial Narrow"/>
        </w:rPr>
        <w:lastRenderedPageBreak/>
        <w:t>republiky, v roce 2020 se jednalo o 5,8 % všech obyvatel. Mezi lety 2004 a 2020 se podíl osob s jinou než českou státní příslušností na celkovém počtu obyvatel České republiky zvýšil o 3,9 %.</w:t>
      </w:r>
      <w:r>
        <w:rPr>
          <w:rFonts w:ascii="Arial Narrow" w:hAnsi="Arial Narrow"/>
        </w:rPr>
        <w:t xml:space="preserve"> </w:t>
      </w:r>
    </w:p>
    <w:p w14:paraId="78146063" w14:textId="6DADEAD6" w:rsidR="000343A7" w:rsidRPr="00CE357F" w:rsidRDefault="000343A7" w:rsidP="000343A7">
      <w:pPr>
        <w:spacing w:after="240" w:line="276" w:lineRule="auto"/>
        <w:jc w:val="both"/>
        <w:rPr>
          <w:rFonts w:ascii="Arial Narrow" w:hAnsi="Arial Narrow"/>
        </w:rPr>
      </w:pPr>
      <w:r w:rsidRPr="000343A7">
        <w:rPr>
          <w:rFonts w:ascii="Arial Narrow" w:hAnsi="Arial Narrow"/>
        </w:rPr>
        <w:t>V roce 2022 se zmíněný podíl zvýšil na 10,6 %. Oproti roku 2021 došlo ke zvýšení o 4,3 %. Z čehož vyplývá, že za jediný rok došlo k výraznější změně v podílu osob s jinou než českou státní příslušností na celkovém počtu obyvatel ČR než za předchozích šestnáct let.</w:t>
      </w:r>
    </w:p>
    <w:p w14:paraId="1BFF96ED" w14:textId="23A38BEF" w:rsidR="002546B0" w:rsidRPr="002546B0" w:rsidRDefault="4E29BCC3" w:rsidP="002546B0">
      <w:pPr>
        <w:pStyle w:val="Titulek"/>
        <w:keepNext/>
        <w:spacing w:after="0"/>
        <w:jc w:val="both"/>
        <w:rPr>
          <w:rFonts w:ascii="Arial Narrow" w:hAnsi="Arial Narrow"/>
          <w:color w:val="auto"/>
          <w:sz w:val="20"/>
          <w:szCs w:val="20"/>
        </w:rPr>
      </w:pPr>
      <w:bookmarkStart w:id="25" w:name="_Toc136428845"/>
      <w:r w:rsidRPr="2645E051">
        <w:rPr>
          <w:rFonts w:ascii="Arial Narrow" w:hAnsi="Arial Narrow"/>
          <w:color w:val="auto"/>
          <w:sz w:val="20"/>
          <w:szCs w:val="20"/>
        </w:rPr>
        <w:t xml:space="preserve">Graf </w:t>
      </w:r>
      <w:r w:rsidR="002546B0" w:rsidRPr="2645E051">
        <w:rPr>
          <w:rFonts w:ascii="Arial Narrow" w:hAnsi="Arial Narrow"/>
          <w:color w:val="auto"/>
          <w:sz w:val="20"/>
          <w:szCs w:val="20"/>
        </w:rPr>
        <w:fldChar w:fldCharType="begin"/>
      </w:r>
      <w:r w:rsidR="002546B0" w:rsidRPr="2645E051">
        <w:rPr>
          <w:rFonts w:ascii="Arial Narrow" w:hAnsi="Arial Narrow"/>
          <w:color w:val="auto"/>
          <w:sz w:val="20"/>
          <w:szCs w:val="20"/>
        </w:rPr>
        <w:instrText xml:space="preserve"> SEQ Graf \* ARABIC </w:instrText>
      </w:r>
      <w:r w:rsidR="002546B0" w:rsidRPr="2645E051">
        <w:rPr>
          <w:rFonts w:ascii="Arial Narrow" w:hAnsi="Arial Narrow"/>
          <w:color w:val="auto"/>
          <w:sz w:val="20"/>
          <w:szCs w:val="20"/>
        </w:rPr>
        <w:fldChar w:fldCharType="separate"/>
      </w:r>
      <w:r w:rsidR="005B2F6C">
        <w:rPr>
          <w:rFonts w:ascii="Arial Narrow" w:hAnsi="Arial Narrow"/>
          <w:noProof/>
          <w:color w:val="auto"/>
          <w:sz w:val="20"/>
          <w:szCs w:val="20"/>
        </w:rPr>
        <w:t>1</w:t>
      </w:r>
      <w:r w:rsidR="002546B0" w:rsidRPr="2645E051">
        <w:rPr>
          <w:rFonts w:ascii="Arial Narrow" w:hAnsi="Arial Narrow"/>
          <w:color w:val="auto"/>
          <w:sz w:val="20"/>
          <w:szCs w:val="20"/>
        </w:rPr>
        <w:fldChar w:fldCharType="end"/>
      </w:r>
      <w:r w:rsidRPr="2645E051">
        <w:rPr>
          <w:rFonts w:ascii="Arial Narrow" w:hAnsi="Arial Narrow"/>
          <w:color w:val="auto"/>
          <w:sz w:val="20"/>
          <w:szCs w:val="20"/>
        </w:rPr>
        <w:t>: Podíl osob s jinou než českou státní příslušností s pobytem nad 12 měsíců na obyvatelstvu ČR v letech 200</w:t>
      </w:r>
      <w:r w:rsidR="008F7DB0">
        <w:rPr>
          <w:rFonts w:ascii="Arial Narrow" w:hAnsi="Arial Narrow"/>
          <w:color w:val="auto"/>
          <w:sz w:val="20"/>
          <w:szCs w:val="20"/>
        </w:rPr>
        <w:t>5</w:t>
      </w:r>
      <w:r w:rsidRPr="2645E051">
        <w:rPr>
          <w:rFonts w:ascii="Arial Narrow" w:hAnsi="Arial Narrow"/>
          <w:color w:val="auto"/>
          <w:sz w:val="20"/>
          <w:szCs w:val="20"/>
        </w:rPr>
        <w:t>-202</w:t>
      </w:r>
      <w:r w:rsidR="0BE19E74" w:rsidRPr="2645E051">
        <w:rPr>
          <w:rFonts w:ascii="Arial Narrow" w:hAnsi="Arial Narrow"/>
          <w:color w:val="auto"/>
          <w:sz w:val="20"/>
          <w:szCs w:val="20"/>
        </w:rPr>
        <w:t>2</w:t>
      </w:r>
      <w:bookmarkEnd w:id="25"/>
    </w:p>
    <w:p w14:paraId="244D60E8" w14:textId="62359F7C" w:rsidR="00B63C25" w:rsidRDefault="000343A7" w:rsidP="00B63C25">
      <w:pPr>
        <w:keepNext/>
      </w:pPr>
      <w:r w:rsidRPr="00CE357F">
        <w:rPr>
          <w:rFonts w:ascii="Arial Narrow" w:hAnsi="Arial Narrow"/>
          <w:noProof/>
          <w:lang w:eastAsia="cs-CZ"/>
        </w:rPr>
        <w:drawing>
          <wp:inline distT="0" distB="0" distL="0" distR="0" wp14:anchorId="3E343E06" wp14:editId="7A3908E8">
            <wp:extent cx="5745480" cy="3520440"/>
            <wp:effectExtent l="0" t="0" r="7620" b="3810"/>
            <wp:docPr id="2056" name="Graf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62AAFB" w14:textId="5E53F533" w:rsidR="001065D9" w:rsidRPr="004C68A8" w:rsidRDefault="00BE1B8D" w:rsidP="004C68A8">
      <w:pPr>
        <w:rPr>
          <w:rFonts w:ascii="Arial Narrow" w:hAnsi="Arial Narrow"/>
          <w:sz w:val="20"/>
          <w:szCs w:val="20"/>
        </w:rPr>
      </w:pPr>
      <w:r w:rsidRPr="00CE357F">
        <w:rPr>
          <w:rFonts w:ascii="Arial Narrow" w:hAnsi="Arial Narrow"/>
          <w:sz w:val="20"/>
          <w:szCs w:val="20"/>
        </w:rPr>
        <w:t>Zdroj: Český statistický úřad</w:t>
      </w:r>
      <w:r w:rsidR="001065D9" w:rsidRPr="00CE357F">
        <w:rPr>
          <w:rFonts w:ascii="Arial Narrow" w:hAnsi="Arial Narrow"/>
          <w:sz w:val="20"/>
          <w:szCs w:val="20"/>
        </w:rPr>
        <w:tab/>
      </w:r>
      <w:r w:rsidRPr="00CE357F">
        <w:rPr>
          <w:rFonts w:ascii="Arial Narrow" w:hAnsi="Arial Narrow"/>
          <w:sz w:val="20"/>
          <w:szCs w:val="20"/>
        </w:rPr>
        <w:t>(data k 31. 12. daného roku)</w:t>
      </w:r>
      <w:r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bCs/>
          <w:sz w:val="20"/>
          <w:szCs w:val="20"/>
        </w:rPr>
        <w:tab/>
        <w:t xml:space="preserve">        </w:t>
      </w:r>
      <w:r w:rsidRPr="00CE357F">
        <w:rPr>
          <w:rFonts w:ascii="Arial Narrow" w:hAnsi="Arial Narrow"/>
          <w:bCs/>
          <w:sz w:val="20"/>
          <w:szCs w:val="20"/>
        </w:rPr>
        <w:tab/>
        <w:t xml:space="preserve">        </w:t>
      </w:r>
      <w:r w:rsidR="001065D9" w:rsidRPr="00CE357F">
        <w:rPr>
          <w:rFonts w:ascii="Arial Narrow" w:hAnsi="Arial Narrow"/>
          <w:bCs/>
          <w:sz w:val="20"/>
          <w:szCs w:val="20"/>
        </w:rPr>
        <w:t xml:space="preserve">Graf: AUGUR </w:t>
      </w:r>
      <w:proofErr w:type="spellStart"/>
      <w:r w:rsidR="001065D9"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1065D9" w:rsidRPr="00CE357F">
        <w:rPr>
          <w:rFonts w:ascii="Arial Narrow" w:hAnsi="Arial Narrow"/>
          <w:sz w:val="20"/>
          <w:szCs w:val="20"/>
        </w:rPr>
        <w:tab/>
      </w:r>
      <w:r w:rsidR="004B5CA8">
        <w:br/>
      </w:r>
      <w:r w:rsidR="6B850A53" w:rsidRPr="2645E051">
        <w:rPr>
          <w:rFonts w:ascii="Arial Narrow" w:hAnsi="Arial Narrow"/>
        </w:rPr>
        <w:t xml:space="preserve">Podíváme-li se na vývoj počtu osob s jinou než českou státní příslušností v České republice v roce </w:t>
      </w:r>
      <w:r w:rsidR="7B58C445" w:rsidRPr="2645E051">
        <w:rPr>
          <w:rFonts w:ascii="Arial Narrow" w:hAnsi="Arial Narrow"/>
        </w:rPr>
        <w:t xml:space="preserve">2020, 2021 a </w:t>
      </w:r>
      <w:r w:rsidR="6B850A53" w:rsidRPr="2645E051">
        <w:rPr>
          <w:rFonts w:ascii="Arial Narrow" w:hAnsi="Arial Narrow"/>
        </w:rPr>
        <w:t>202</w:t>
      </w:r>
      <w:r w:rsidR="323E2110" w:rsidRPr="2645E051">
        <w:rPr>
          <w:rFonts w:ascii="Arial Narrow" w:hAnsi="Arial Narrow"/>
        </w:rPr>
        <w:t>2</w:t>
      </w:r>
      <w:r w:rsidR="6B850A53" w:rsidRPr="2645E051">
        <w:rPr>
          <w:rFonts w:ascii="Arial Narrow" w:hAnsi="Arial Narrow"/>
        </w:rPr>
        <w:t xml:space="preserve"> v průběhu jednotlivých </w:t>
      </w:r>
      <w:r w:rsidR="7B58C445" w:rsidRPr="2645E051">
        <w:rPr>
          <w:rFonts w:ascii="Arial Narrow" w:hAnsi="Arial Narrow"/>
        </w:rPr>
        <w:t>čtvrtletí</w:t>
      </w:r>
      <w:r w:rsidR="004C68A8">
        <w:rPr>
          <w:rFonts w:ascii="Arial Narrow" w:hAnsi="Arial Narrow"/>
        </w:rPr>
        <w:t xml:space="preserve"> (graf č. 2)</w:t>
      </w:r>
      <w:r w:rsidR="6B850A53" w:rsidRPr="2645E051">
        <w:rPr>
          <w:rFonts w:ascii="Arial Narrow" w:hAnsi="Arial Narrow"/>
        </w:rPr>
        <w:t xml:space="preserve">, </w:t>
      </w:r>
      <w:r w:rsidR="7B58C445" w:rsidRPr="2645E051">
        <w:rPr>
          <w:rFonts w:ascii="Arial Narrow" w:hAnsi="Arial Narrow"/>
        </w:rPr>
        <w:t xml:space="preserve">vidíme, že se výrazně navýšil </w:t>
      </w:r>
      <w:r w:rsidR="6B850A53" w:rsidRPr="2645E051">
        <w:rPr>
          <w:rFonts w:ascii="Arial Narrow" w:hAnsi="Arial Narrow"/>
        </w:rPr>
        <w:t xml:space="preserve">počet osob </w:t>
      </w:r>
      <w:r w:rsidR="7B58C445" w:rsidRPr="2645E051">
        <w:rPr>
          <w:rFonts w:ascii="Arial Narrow" w:hAnsi="Arial Narrow"/>
        </w:rPr>
        <w:t>s ukrajinskou</w:t>
      </w:r>
      <w:r w:rsidR="6B850A53" w:rsidRPr="2645E051">
        <w:rPr>
          <w:rFonts w:ascii="Arial Narrow" w:hAnsi="Arial Narrow"/>
        </w:rPr>
        <w:t xml:space="preserve"> státní příslušností</w:t>
      </w:r>
      <w:r w:rsidR="7B58C445" w:rsidRPr="2645E051">
        <w:rPr>
          <w:rFonts w:ascii="Arial Narrow" w:hAnsi="Arial Narrow"/>
        </w:rPr>
        <w:t>.</w:t>
      </w:r>
      <w:r w:rsidR="6B850A53" w:rsidRPr="2645E051">
        <w:rPr>
          <w:rFonts w:ascii="Arial Narrow" w:hAnsi="Arial Narrow"/>
        </w:rPr>
        <w:t xml:space="preserve"> </w:t>
      </w:r>
      <w:r w:rsidR="7B58C445" w:rsidRPr="2645E051">
        <w:rPr>
          <w:rFonts w:ascii="Arial Narrow" w:hAnsi="Arial Narrow"/>
        </w:rPr>
        <w:t>Zatímco ke konci roku 2021 v České republice pobývalo 196 875 těchto osob, koncem roku 2022 se jednalo o 636 282 osob. Naopak vývoj počtu osob s ruskou státní příslušností v ČR měl mírně klesající tendenci.</w:t>
      </w:r>
      <w:r w:rsidR="68A89381" w:rsidRPr="2645E051">
        <w:rPr>
          <w:rFonts w:ascii="Arial Narrow" w:hAnsi="Arial Narrow"/>
        </w:rPr>
        <w:t xml:space="preserve"> Klesající tendenci má od poloviny roku 2021 také vývoj počtu osob </w:t>
      </w:r>
      <w:r w:rsidR="7DF85BCA" w:rsidRPr="2645E051">
        <w:rPr>
          <w:rFonts w:ascii="Arial Narrow" w:hAnsi="Arial Narrow"/>
        </w:rPr>
        <w:t>s</w:t>
      </w:r>
      <w:r w:rsidR="68A89381" w:rsidRPr="2645E051">
        <w:rPr>
          <w:rFonts w:ascii="Arial Narrow" w:hAnsi="Arial Narrow"/>
        </w:rPr>
        <w:t xml:space="preserve"> </w:t>
      </w:r>
      <w:r w:rsidR="0A26FAA5" w:rsidRPr="2645E051">
        <w:rPr>
          <w:rFonts w:ascii="Arial Narrow" w:hAnsi="Arial Narrow"/>
        </w:rPr>
        <w:t>německou</w:t>
      </w:r>
      <w:r w:rsidR="68A89381" w:rsidRPr="2645E051">
        <w:rPr>
          <w:rFonts w:ascii="Arial Narrow" w:hAnsi="Arial Narrow"/>
        </w:rPr>
        <w:t xml:space="preserve"> státní příslušností.</w:t>
      </w:r>
    </w:p>
    <w:p w14:paraId="65A847F8" w14:textId="74A5593D" w:rsidR="007133C6" w:rsidRDefault="009E6EC7" w:rsidP="002D41C8">
      <w:pPr>
        <w:spacing w:before="240" w:line="276" w:lineRule="auto"/>
        <w:jc w:val="both"/>
        <w:rPr>
          <w:rFonts w:ascii="Arial Narrow" w:hAnsi="Arial Narrow"/>
        </w:rPr>
      </w:pPr>
      <w:r w:rsidRPr="00173E7B">
        <w:rPr>
          <w:rFonts w:ascii="Arial Narrow" w:hAnsi="Arial Narrow"/>
        </w:rPr>
        <w:t xml:space="preserve">V tabulce č. 2 jsou </w:t>
      </w:r>
      <w:r w:rsidR="004C68A8" w:rsidRPr="00173E7B">
        <w:rPr>
          <w:rFonts w:ascii="Arial Narrow" w:hAnsi="Arial Narrow"/>
        </w:rPr>
        <w:t xml:space="preserve">následně </w:t>
      </w:r>
      <w:r w:rsidRPr="00173E7B">
        <w:rPr>
          <w:rFonts w:ascii="Arial Narrow" w:hAnsi="Arial Narrow"/>
        </w:rPr>
        <w:t>zobrazeny počty osob s jinou než českou státní příslušností za jednotlivé čtvrtletí posledních tří let. Pro přehlednost je uvedeno osm nejčastějších státních příslušností. V kategorii ostatní jsou pak nejvíce zastoupeny osoby se státní příslušností mongolskou (11 968 osob), maďarskou (10 517 osob), USA (9 745 osob), kazašskou (9 214 osob), indickou (8 469 osob) a běloruskou (8 064 osob).</w:t>
      </w:r>
      <w:r w:rsidR="004C68A8">
        <w:rPr>
          <w:rFonts w:ascii="Arial Narrow" w:hAnsi="Arial Narrow"/>
        </w:rPr>
        <w:t xml:space="preserve"> </w:t>
      </w:r>
    </w:p>
    <w:p w14:paraId="46911F08" w14:textId="77777777" w:rsidR="00E228D9" w:rsidRPr="00CE357F" w:rsidRDefault="00E228D9" w:rsidP="002D41C8">
      <w:pPr>
        <w:spacing w:before="240" w:line="276" w:lineRule="auto"/>
        <w:jc w:val="both"/>
        <w:rPr>
          <w:rFonts w:ascii="Arial Narrow" w:hAnsi="Arial Narrow"/>
        </w:rPr>
      </w:pPr>
    </w:p>
    <w:p w14:paraId="608DCE1B" w14:textId="615E6B5F" w:rsidR="002D41C8" w:rsidRDefault="002D41C8" w:rsidP="002D41C8">
      <w:pPr>
        <w:pStyle w:val="Titulek"/>
        <w:keepNext/>
        <w:spacing w:after="0"/>
        <w:jc w:val="both"/>
        <w:rPr>
          <w:rFonts w:ascii="Arial Narrow" w:hAnsi="Arial Narrow"/>
          <w:color w:val="auto"/>
          <w:sz w:val="20"/>
          <w:szCs w:val="20"/>
        </w:rPr>
      </w:pPr>
      <w:bookmarkStart w:id="26" w:name="_Toc94443707"/>
      <w:bookmarkStart w:id="27" w:name="_Toc136428846"/>
      <w:r w:rsidRPr="00CE357F">
        <w:rPr>
          <w:rFonts w:ascii="Arial Narrow" w:hAnsi="Arial Narrow"/>
          <w:color w:val="auto"/>
          <w:sz w:val="20"/>
          <w:szCs w:val="20"/>
        </w:rPr>
        <w:lastRenderedPageBreak/>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2</w:t>
      </w:r>
      <w:r w:rsidR="00B63C25">
        <w:rPr>
          <w:rFonts w:ascii="Arial Narrow" w:hAnsi="Arial Narrow"/>
          <w:color w:val="auto"/>
          <w:sz w:val="20"/>
          <w:szCs w:val="20"/>
        </w:rPr>
        <w:fldChar w:fldCharType="end"/>
      </w:r>
      <w:r w:rsidRPr="00CE357F">
        <w:rPr>
          <w:rFonts w:ascii="Arial Narrow" w:hAnsi="Arial Narrow"/>
          <w:color w:val="auto"/>
          <w:sz w:val="20"/>
          <w:szCs w:val="20"/>
        </w:rPr>
        <w:t xml:space="preserve">: </w:t>
      </w:r>
      <w:bookmarkEnd w:id="26"/>
      <w:r w:rsidR="00C36D37" w:rsidRPr="00C36D37">
        <w:rPr>
          <w:rFonts w:ascii="Arial Narrow" w:hAnsi="Arial Narrow"/>
          <w:color w:val="auto"/>
          <w:sz w:val="20"/>
          <w:szCs w:val="20"/>
        </w:rPr>
        <w:t>Pobyt osob s jinou než českou státní příslušností na území ČR v jednotlivých čtvrtletích roku 2020, 2021 a 2022</w:t>
      </w:r>
      <w:bookmarkEnd w:id="27"/>
    </w:p>
    <w:p w14:paraId="6AE58A75" w14:textId="70E24F0C" w:rsidR="00C36D37" w:rsidRPr="00C36D37" w:rsidRDefault="00C36D37" w:rsidP="00C36D37">
      <w:r>
        <w:rPr>
          <w:rFonts w:ascii="Arial Narrow" w:hAnsi="Arial Narrow"/>
          <w:noProof/>
          <w:lang w:eastAsia="cs-CZ"/>
        </w:rPr>
        <mc:AlternateContent>
          <mc:Choice Requires="wps">
            <w:drawing>
              <wp:anchor distT="0" distB="0" distL="114300" distR="114300" simplePos="0" relativeHeight="251693568" behindDoc="0" locked="0" layoutInCell="1" allowOverlap="1" wp14:anchorId="34FF7CA4" wp14:editId="277D6E75">
                <wp:simplePos x="0" y="0"/>
                <wp:positionH relativeFrom="column">
                  <wp:posOffset>328930</wp:posOffset>
                </wp:positionH>
                <wp:positionV relativeFrom="paragraph">
                  <wp:posOffset>397510</wp:posOffset>
                </wp:positionV>
                <wp:extent cx="352425" cy="228600"/>
                <wp:effectExtent l="0" t="0" r="9525" b="0"/>
                <wp:wrapNone/>
                <wp:docPr id="2108" name="Obdélník 2108"/>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c="http://schemas.openxmlformats.org/drawingml/2006/chart" xmlns:dgm="http://schemas.openxmlformats.org/drawingml/2006/diagram" xmlns:w16du="http://schemas.microsoft.com/office/word/2023/wordml/word16du">
            <w:pict w14:anchorId="17C57187">
              <v:rect id="Obdélník 2108" style="position:absolute;margin-left:25.9pt;margin-top:31.3pt;width:27.75pt;height:18pt;z-index:251693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2f2f2 [3052]" stroked="f" strokeweight="1pt" w14:anchorId="35B69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"/>
            </w:pict>
          </mc:Fallback>
        </mc:AlternateContent>
      </w:r>
      <w:r w:rsidRPr="00CE357F">
        <w:rPr>
          <w:rFonts w:ascii="Arial Narrow" w:hAnsi="Arial Narrow"/>
          <w:noProof/>
          <w:lang w:eastAsia="cs-CZ"/>
        </w:rPr>
        <w:drawing>
          <wp:inline distT="0" distB="0" distL="0" distR="0" wp14:anchorId="56A7C93A" wp14:editId="3CF0CAD3">
            <wp:extent cx="5745480" cy="4086225"/>
            <wp:effectExtent l="0" t="0" r="7620" b="0"/>
            <wp:docPr id="2106" name="Graf 2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5799BA" w14:textId="60B9BC5D" w:rsidR="00290283" w:rsidRPr="00CE357F" w:rsidRDefault="001065D9" w:rsidP="00F1264F">
      <w:pPr>
        <w:spacing w:line="276" w:lineRule="auto"/>
        <w:rPr>
          <w:rFonts w:ascii="Arial Narrow" w:hAnsi="Arial Narrow"/>
          <w:b/>
          <w:color w:val="2F5496" w:themeColor="accent1" w:themeShade="BF"/>
        </w:rPr>
      </w:pPr>
      <w:r w:rsidRPr="00CE357F">
        <w:rPr>
          <w:rFonts w:ascii="Arial Narrow" w:hAnsi="Arial Narrow"/>
          <w:sz w:val="20"/>
          <w:szCs w:val="20"/>
        </w:rPr>
        <w:t xml:space="preserve">Zdroj: </w:t>
      </w:r>
      <w:r w:rsidR="00EC14EC" w:rsidRPr="00CE357F">
        <w:rPr>
          <w:rFonts w:ascii="Arial Narrow" w:eastAsia="Times New Roman" w:hAnsi="Arial Narrow" w:cs="Arial"/>
          <w:color w:val="000000"/>
          <w:sz w:val="20"/>
          <w:szCs w:val="20"/>
          <w:lang w:eastAsia="cs-CZ"/>
        </w:rPr>
        <w:t>Český statistický úřad</w:t>
      </w:r>
      <w:r w:rsidR="00EC14EC" w:rsidRPr="00CE357F">
        <w:rPr>
          <w:rFonts w:ascii="Arial Narrow" w:hAnsi="Arial Narrow"/>
          <w:sz w:val="20"/>
          <w:szCs w:val="20"/>
        </w:rPr>
        <w:t xml:space="preserve"> (data za jednotlivé </w:t>
      </w:r>
      <w:r w:rsidR="00C36D37">
        <w:rPr>
          <w:rFonts w:ascii="Arial Narrow" w:hAnsi="Arial Narrow"/>
          <w:sz w:val="20"/>
          <w:szCs w:val="20"/>
        </w:rPr>
        <w:t>čtvrtletí</w:t>
      </w:r>
      <w:r w:rsidR="00EC14EC" w:rsidRPr="00CE357F">
        <w:rPr>
          <w:rFonts w:ascii="Arial Narrow" w:hAnsi="Arial Narrow"/>
          <w:sz w:val="20"/>
          <w:szCs w:val="20"/>
        </w:rPr>
        <w:t xml:space="preserve"> roku 2020</w:t>
      </w:r>
      <w:r w:rsidR="00C36D37">
        <w:rPr>
          <w:rFonts w:ascii="Arial Narrow" w:hAnsi="Arial Narrow"/>
          <w:sz w:val="20"/>
          <w:szCs w:val="20"/>
        </w:rPr>
        <w:t>, 2021, 2022</w:t>
      </w:r>
      <w:r w:rsidR="00EC14EC" w:rsidRPr="00CE357F">
        <w:rPr>
          <w:rFonts w:ascii="Arial Narrow" w:hAnsi="Arial Narrow"/>
          <w:sz w:val="20"/>
          <w:szCs w:val="20"/>
        </w:rPr>
        <w:t>)</w:t>
      </w:r>
      <w:r w:rsidRPr="00CE357F">
        <w:rPr>
          <w:rFonts w:ascii="Arial Narrow" w:hAnsi="Arial Narrow"/>
          <w:sz w:val="20"/>
          <w:szCs w:val="20"/>
        </w:rPr>
        <w:tab/>
      </w:r>
      <w:r w:rsidR="00EC14EC" w:rsidRPr="00CE357F">
        <w:rPr>
          <w:rFonts w:ascii="Arial Narrow" w:hAnsi="Arial Narrow"/>
          <w:bCs/>
          <w:sz w:val="20"/>
          <w:szCs w:val="20"/>
        </w:rPr>
        <w:t xml:space="preserve">         </w:t>
      </w:r>
      <w:r w:rsidRPr="00CE357F">
        <w:rPr>
          <w:rFonts w:ascii="Arial Narrow" w:hAnsi="Arial Narrow"/>
          <w:bCs/>
          <w:sz w:val="20"/>
          <w:szCs w:val="20"/>
        </w:rPr>
        <w:t xml:space="preserve">Graf: AUGUR </w:t>
      </w:r>
      <w:proofErr w:type="spellStart"/>
      <w:r w:rsidRPr="00CE357F">
        <w:rPr>
          <w:rFonts w:ascii="Arial Narrow" w:hAnsi="Arial Narrow"/>
          <w:bCs/>
          <w:sz w:val="20"/>
          <w:szCs w:val="20"/>
        </w:rPr>
        <w:t>Consulting</w:t>
      </w:r>
      <w:proofErr w:type="spellEnd"/>
      <w:r w:rsidR="00EC14EC" w:rsidRPr="00CE357F">
        <w:rPr>
          <w:rFonts w:ascii="Arial Narrow" w:hAnsi="Arial Narrow"/>
          <w:bCs/>
          <w:sz w:val="20"/>
          <w:szCs w:val="20"/>
        </w:rPr>
        <w:t xml:space="preserve"> s.r.o.</w:t>
      </w:r>
    </w:p>
    <w:p w14:paraId="549830AA" w14:textId="507C2908" w:rsidR="001065D9" w:rsidRDefault="001065D9" w:rsidP="00F1264F">
      <w:pPr>
        <w:spacing w:line="276" w:lineRule="auto"/>
        <w:rPr>
          <w:rFonts w:ascii="Arial Narrow" w:hAnsi="Arial Narrow"/>
          <w:b/>
          <w:color w:val="2F5496" w:themeColor="accent1" w:themeShade="BF"/>
        </w:rPr>
      </w:pPr>
    </w:p>
    <w:p w14:paraId="09E80DD9" w14:textId="3DD3B17A" w:rsidR="00C36D37" w:rsidRPr="00CE357F" w:rsidRDefault="00C36D37" w:rsidP="00C36D37">
      <w:pPr>
        <w:pStyle w:val="Titulek"/>
        <w:keepNext/>
        <w:spacing w:after="0"/>
        <w:jc w:val="both"/>
        <w:rPr>
          <w:rFonts w:ascii="Arial Narrow" w:hAnsi="Arial Narrow"/>
          <w:color w:val="auto"/>
          <w:sz w:val="20"/>
          <w:szCs w:val="20"/>
        </w:rPr>
      </w:pPr>
      <w:bookmarkStart w:id="28" w:name="_Toc136429213"/>
      <w:r w:rsidRPr="2645E051">
        <w:rPr>
          <w:rFonts w:ascii="Arial Narrow" w:hAnsi="Arial Narrow"/>
          <w:color w:val="auto"/>
          <w:sz w:val="20"/>
          <w:szCs w:val="20"/>
        </w:rPr>
        <w:t xml:space="preserve">Tabulka </w:t>
      </w:r>
      <w:r w:rsidRPr="2645E051">
        <w:rPr>
          <w:rFonts w:ascii="Arial Narrow" w:hAnsi="Arial Narrow"/>
          <w:color w:val="auto"/>
          <w:sz w:val="20"/>
          <w:szCs w:val="20"/>
        </w:rPr>
        <w:fldChar w:fldCharType="begin"/>
      </w:r>
      <w:r w:rsidRPr="2645E051">
        <w:rPr>
          <w:rFonts w:ascii="Arial Narrow" w:hAnsi="Arial Narrow"/>
          <w:color w:val="auto"/>
          <w:sz w:val="20"/>
          <w:szCs w:val="20"/>
        </w:rPr>
        <w:instrText xml:space="preserve"> SEQ Tabulka \* ARABIC </w:instrText>
      </w:r>
      <w:r w:rsidRPr="2645E051">
        <w:rPr>
          <w:rFonts w:ascii="Arial Narrow" w:hAnsi="Arial Narrow"/>
          <w:color w:val="auto"/>
          <w:sz w:val="20"/>
          <w:szCs w:val="20"/>
        </w:rPr>
        <w:fldChar w:fldCharType="separate"/>
      </w:r>
      <w:r w:rsidR="00256C97" w:rsidRPr="2645E051">
        <w:rPr>
          <w:rFonts w:ascii="Arial Narrow" w:hAnsi="Arial Narrow"/>
          <w:noProof/>
          <w:color w:val="auto"/>
          <w:sz w:val="20"/>
          <w:szCs w:val="20"/>
        </w:rPr>
        <w:t>2</w:t>
      </w:r>
      <w:r w:rsidRPr="2645E051">
        <w:rPr>
          <w:rFonts w:ascii="Arial Narrow" w:hAnsi="Arial Narrow"/>
          <w:color w:val="auto"/>
          <w:sz w:val="20"/>
          <w:szCs w:val="20"/>
        </w:rPr>
        <w:fldChar w:fldCharType="end"/>
      </w:r>
      <w:r w:rsidRPr="2645E051">
        <w:rPr>
          <w:rFonts w:ascii="Arial Narrow" w:hAnsi="Arial Narrow"/>
          <w:color w:val="auto"/>
          <w:sz w:val="20"/>
          <w:szCs w:val="20"/>
        </w:rPr>
        <w:t>: Pobyt osob s jinou než českou státní příslušností na území ČR v jednotlivých čtvrtletích roku 2020, 2021 a 2022 – jednotlivé státní příslušnosti</w:t>
      </w:r>
      <w:bookmarkEnd w:id="28"/>
    </w:p>
    <w:tbl>
      <w:tblPr>
        <w:tblW w:w="9351"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221"/>
        <w:gridCol w:w="855"/>
        <w:gridCol w:w="955"/>
        <w:gridCol w:w="853"/>
        <w:gridCol w:w="884"/>
        <w:gridCol w:w="979"/>
        <w:gridCol w:w="798"/>
        <w:gridCol w:w="938"/>
        <w:gridCol w:w="873"/>
        <w:gridCol w:w="995"/>
      </w:tblGrid>
      <w:tr w:rsidR="00BF4246" w:rsidRPr="00CE357F" w14:paraId="75FA0BFF" w14:textId="77777777" w:rsidTr="2460258F">
        <w:trPr>
          <w:trHeight w:val="462"/>
          <w:jc w:val="center"/>
        </w:trPr>
        <w:tc>
          <w:tcPr>
            <w:tcW w:w="1221" w:type="dxa"/>
            <w:shd w:val="clear" w:color="auto" w:fill="B4C6E7" w:themeFill="accent1" w:themeFillTint="66"/>
            <w:vAlign w:val="center"/>
          </w:tcPr>
          <w:p w14:paraId="05E22980" w14:textId="38422A09" w:rsidR="00BF4246" w:rsidRPr="00CE357F" w:rsidRDefault="00BF4246" w:rsidP="004A0C47">
            <w:pPr>
              <w:jc w:val="center"/>
              <w:rPr>
                <w:rFonts w:ascii="Arial Narrow" w:eastAsia="Times New Roman" w:hAnsi="Arial Narrow" w:cs="Arial"/>
                <w:sz w:val="18"/>
                <w:szCs w:val="18"/>
                <w:lang w:eastAsia="cs-CZ"/>
              </w:rPr>
            </w:pPr>
          </w:p>
        </w:tc>
        <w:tc>
          <w:tcPr>
            <w:tcW w:w="855" w:type="dxa"/>
            <w:shd w:val="clear" w:color="auto" w:fill="B4C6E7" w:themeFill="accent1" w:themeFillTint="66"/>
            <w:vAlign w:val="center"/>
          </w:tcPr>
          <w:p w14:paraId="505ED62F" w14:textId="1BC10A0D" w:rsidR="00BF4246" w:rsidRPr="00CE357F" w:rsidRDefault="00BF4246" w:rsidP="004A0C47">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Ukrajina</w:t>
            </w:r>
          </w:p>
        </w:tc>
        <w:tc>
          <w:tcPr>
            <w:tcW w:w="955" w:type="dxa"/>
            <w:shd w:val="clear" w:color="auto" w:fill="B4C6E7" w:themeFill="accent1" w:themeFillTint="66"/>
            <w:vAlign w:val="center"/>
          </w:tcPr>
          <w:p w14:paraId="614BBC3D" w14:textId="2B303AA7" w:rsidR="00BF4246" w:rsidRPr="00CE357F" w:rsidRDefault="00BF4246" w:rsidP="004A0C47">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Slovensko</w:t>
            </w:r>
          </w:p>
        </w:tc>
        <w:tc>
          <w:tcPr>
            <w:tcW w:w="853" w:type="dxa"/>
            <w:shd w:val="clear" w:color="auto" w:fill="B4C6E7" w:themeFill="accent1" w:themeFillTint="66"/>
            <w:vAlign w:val="center"/>
          </w:tcPr>
          <w:p w14:paraId="318150F8" w14:textId="25BDAEA4" w:rsidR="00BF4246" w:rsidRPr="00CE357F" w:rsidRDefault="00BF4246" w:rsidP="004A0C47">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Vietnam</w:t>
            </w:r>
          </w:p>
        </w:tc>
        <w:tc>
          <w:tcPr>
            <w:tcW w:w="884" w:type="dxa"/>
            <w:shd w:val="clear" w:color="auto" w:fill="B4C6E7" w:themeFill="accent1" w:themeFillTint="66"/>
            <w:vAlign w:val="center"/>
          </w:tcPr>
          <w:p w14:paraId="490C07A5" w14:textId="625536F7" w:rsidR="00BF4246" w:rsidRPr="00CE357F" w:rsidRDefault="00BF4246" w:rsidP="004A0C47">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Rusko</w:t>
            </w:r>
          </w:p>
        </w:tc>
        <w:tc>
          <w:tcPr>
            <w:tcW w:w="979" w:type="dxa"/>
            <w:shd w:val="clear" w:color="auto" w:fill="B4C6E7" w:themeFill="accent1" w:themeFillTint="66"/>
            <w:vAlign w:val="center"/>
          </w:tcPr>
          <w:p w14:paraId="6D8E1EB4" w14:textId="78D3E62B" w:rsidR="00BF4246" w:rsidRPr="00CE357F" w:rsidRDefault="00BF4246" w:rsidP="004A0C47">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Rumunsko</w:t>
            </w:r>
          </w:p>
        </w:tc>
        <w:tc>
          <w:tcPr>
            <w:tcW w:w="798" w:type="dxa"/>
            <w:shd w:val="clear" w:color="auto" w:fill="B4C6E7" w:themeFill="accent1" w:themeFillTint="66"/>
            <w:vAlign w:val="center"/>
          </w:tcPr>
          <w:p w14:paraId="003CD076" w14:textId="052B1BD2" w:rsidR="00BF4246" w:rsidRPr="00CE357F" w:rsidRDefault="00BF4246" w:rsidP="004A0C47">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Polsko</w:t>
            </w:r>
          </w:p>
        </w:tc>
        <w:tc>
          <w:tcPr>
            <w:tcW w:w="938" w:type="dxa"/>
            <w:shd w:val="clear" w:color="auto" w:fill="B4C6E7" w:themeFill="accent1" w:themeFillTint="66"/>
            <w:vAlign w:val="center"/>
          </w:tcPr>
          <w:p w14:paraId="3815F617" w14:textId="0404462D" w:rsidR="00BF4246" w:rsidRPr="00CE357F" w:rsidRDefault="00BF4246" w:rsidP="004A0C47">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Bulharsko</w:t>
            </w:r>
          </w:p>
        </w:tc>
        <w:tc>
          <w:tcPr>
            <w:tcW w:w="873" w:type="dxa"/>
            <w:shd w:val="clear" w:color="auto" w:fill="B4C6E7" w:themeFill="accent1" w:themeFillTint="66"/>
            <w:vAlign w:val="center"/>
          </w:tcPr>
          <w:p w14:paraId="3D8EA52D" w14:textId="28A2FDBF" w:rsidR="00BF4246" w:rsidRPr="00CE357F" w:rsidRDefault="00BF4246" w:rsidP="004A0C47">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Německo</w:t>
            </w:r>
          </w:p>
        </w:tc>
        <w:tc>
          <w:tcPr>
            <w:tcW w:w="995" w:type="dxa"/>
            <w:shd w:val="clear" w:color="auto" w:fill="B4C6E7" w:themeFill="accent1" w:themeFillTint="66"/>
            <w:vAlign w:val="center"/>
          </w:tcPr>
          <w:p w14:paraId="246388E4" w14:textId="40D0EC9A" w:rsidR="00BF4246" w:rsidRPr="00CE357F" w:rsidRDefault="396341EA" w:rsidP="004A0C47">
            <w:pPr>
              <w:jc w:val="center"/>
              <w:rPr>
                <w:rFonts w:ascii="Arial Narrow" w:eastAsia="Times New Roman" w:hAnsi="Arial Narrow" w:cs="Arial"/>
                <w:b/>
                <w:bCs/>
                <w:sz w:val="18"/>
                <w:szCs w:val="18"/>
                <w:lang w:eastAsia="cs-CZ"/>
              </w:rPr>
            </w:pPr>
            <w:r w:rsidRPr="005B2F6C">
              <w:rPr>
                <w:rFonts w:ascii="Arial Narrow" w:eastAsia="Times New Roman" w:hAnsi="Arial Narrow" w:cs="Arial"/>
                <w:b/>
                <w:bCs/>
                <w:sz w:val="18"/>
                <w:szCs w:val="18"/>
                <w:lang w:eastAsia="cs-CZ"/>
              </w:rPr>
              <w:t>Ostatní</w:t>
            </w:r>
          </w:p>
        </w:tc>
      </w:tr>
      <w:tr w:rsidR="008B3BC4" w:rsidRPr="00CE357F" w14:paraId="4A2038FB" w14:textId="77777777" w:rsidTr="2460258F">
        <w:trPr>
          <w:trHeight w:val="227"/>
          <w:jc w:val="center"/>
        </w:trPr>
        <w:tc>
          <w:tcPr>
            <w:tcW w:w="1221" w:type="dxa"/>
            <w:shd w:val="clear" w:color="auto" w:fill="D9E2F3" w:themeFill="accent1" w:themeFillTint="33"/>
            <w:vAlign w:val="center"/>
          </w:tcPr>
          <w:p w14:paraId="14AB28BB" w14:textId="0922AC97"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31. 12. 2022</w:t>
            </w:r>
          </w:p>
        </w:tc>
        <w:tc>
          <w:tcPr>
            <w:tcW w:w="855" w:type="dxa"/>
            <w:shd w:val="clear" w:color="auto" w:fill="ECF3FA"/>
            <w:vAlign w:val="bottom"/>
          </w:tcPr>
          <w:p w14:paraId="0546416A" w14:textId="323DAECB" w:rsidR="00BF4246" w:rsidRPr="008B3BC4" w:rsidRDefault="00BF4246" w:rsidP="00BF4246">
            <w:pPr>
              <w:jc w:val="center"/>
              <w:rPr>
                <w:rFonts w:ascii="Arial Narrow" w:eastAsia="Times New Roman" w:hAnsi="Arial Narrow" w:cs="Arial"/>
                <w:b/>
                <w:bCs/>
                <w:sz w:val="20"/>
                <w:szCs w:val="20"/>
                <w:lang w:eastAsia="cs-CZ"/>
              </w:rPr>
            </w:pPr>
            <w:r w:rsidRPr="008B3BC4">
              <w:rPr>
                <w:rFonts w:ascii="Arial Narrow" w:hAnsi="Arial Narrow"/>
                <w:b/>
                <w:bCs/>
                <w:color w:val="C00000"/>
                <w:sz w:val="20"/>
                <w:szCs w:val="20"/>
              </w:rPr>
              <w:t xml:space="preserve">636 282 </w:t>
            </w:r>
          </w:p>
        </w:tc>
        <w:tc>
          <w:tcPr>
            <w:tcW w:w="955" w:type="dxa"/>
            <w:shd w:val="clear" w:color="auto" w:fill="ECF3FA"/>
            <w:vAlign w:val="bottom"/>
          </w:tcPr>
          <w:p w14:paraId="73482AD0" w14:textId="54C1010B"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117 265 </w:t>
            </w:r>
          </w:p>
        </w:tc>
        <w:tc>
          <w:tcPr>
            <w:tcW w:w="853" w:type="dxa"/>
            <w:shd w:val="clear" w:color="auto" w:fill="ECF3FA"/>
            <w:vAlign w:val="bottom"/>
          </w:tcPr>
          <w:p w14:paraId="329F6D51" w14:textId="2493571C"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66 340 </w:t>
            </w:r>
          </w:p>
        </w:tc>
        <w:tc>
          <w:tcPr>
            <w:tcW w:w="884" w:type="dxa"/>
            <w:shd w:val="clear" w:color="auto" w:fill="ECF3FA"/>
            <w:vAlign w:val="bottom"/>
          </w:tcPr>
          <w:p w14:paraId="29318ABA" w14:textId="323B6461"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43 498 </w:t>
            </w:r>
          </w:p>
        </w:tc>
        <w:tc>
          <w:tcPr>
            <w:tcW w:w="979" w:type="dxa"/>
            <w:shd w:val="clear" w:color="auto" w:fill="ECF3FA"/>
            <w:vAlign w:val="bottom"/>
          </w:tcPr>
          <w:p w14:paraId="6CA3D44A" w14:textId="1AF6481E"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19 724 </w:t>
            </w:r>
          </w:p>
        </w:tc>
        <w:tc>
          <w:tcPr>
            <w:tcW w:w="798" w:type="dxa"/>
            <w:shd w:val="clear" w:color="auto" w:fill="ECF3FA"/>
            <w:vAlign w:val="bottom"/>
          </w:tcPr>
          <w:p w14:paraId="6414091A" w14:textId="16DA350D"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17 884 </w:t>
            </w:r>
          </w:p>
        </w:tc>
        <w:tc>
          <w:tcPr>
            <w:tcW w:w="938" w:type="dxa"/>
            <w:shd w:val="clear" w:color="auto" w:fill="ECF3FA"/>
            <w:vAlign w:val="bottom"/>
          </w:tcPr>
          <w:p w14:paraId="6FAE0BC6" w14:textId="6CB437A7"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17 673 </w:t>
            </w:r>
          </w:p>
        </w:tc>
        <w:tc>
          <w:tcPr>
            <w:tcW w:w="873" w:type="dxa"/>
            <w:shd w:val="clear" w:color="auto" w:fill="ECF3FA"/>
            <w:vAlign w:val="bottom"/>
          </w:tcPr>
          <w:p w14:paraId="0306A943" w14:textId="58C8005F"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14 032 </w:t>
            </w:r>
          </w:p>
        </w:tc>
        <w:tc>
          <w:tcPr>
            <w:tcW w:w="995" w:type="dxa"/>
            <w:shd w:val="clear" w:color="auto" w:fill="ECF3FA"/>
            <w:vAlign w:val="bottom"/>
          </w:tcPr>
          <w:p w14:paraId="31982C68" w14:textId="0BC31C59"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183 456 </w:t>
            </w:r>
          </w:p>
        </w:tc>
      </w:tr>
      <w:tr w:rsidR="008B3BC4" w:rsidRPr="00CE357F" w14:paraId="089F9A7B" w14:textId="77777777" w:rsidTr="2460258F">
        <w:trPr>
          <w:trHeight w:val="227"/>
          <w:jc w:val="center"/>
        </w:trPr>
        <w:tc>
          <w:tcPr>
            <w:tcW w:w="1221" w:type="dxa"/>
            <w:shd w:val="clear" w:color="auto" w:fill="D9E2F3" w:themeFill="accent1" w:themeFillTint="33"/>
            <w:vAlign w:val="center"/>
          </w:tcPr>
          <w:p w14:paraId="5136C3EF" w14:textId="378739E9"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30. 9. 2022</w:t>
            </w:r>
          </w:p>
        </w:tc>
        <w:tc>
          <w:tcPr>
            <w:tcW w:w="855" w:type="dxa"/>
            <w:shd w:val="clear" w:color="auto" w:fill="ECF3FA"/>
            <w:vAlign w:val="bottom"/>
          </w:tcPr>
          <w:p w14:paraId="3D077DFE" w14:textId="03677AE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615 616 </w:t>
            </w:r>
          </w:p>
        </w:tc>
        <w:tc>
          <w:tcPr>
            <w:tcW w:w="955" w:type="dxa"/>
            <w:shd w:val="clear" w:color="auto" w:fill="ECF3FA"/>
            <w:vAlign w:val="bottom"/>
          </w:tcPr>
          <w:p w14:paraId="63794EC4" w14:textId="0B51D904"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116 716 </w:t>
            </w:r>
          </w:p>
        </w:tc>
        <w:tc>
          <w:tcPr>
            <w:tcW w:w="853" w:type="dxa"/>
            <w:shd w:val="clear" w:color="auto" w:fill="ECF3FA"/>
            <w:vAlign w:val="bottom"/>
          </w:tcPr>
          <w:p w14:paraId="3FCF98B5" w14:textId="438196C0"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65 938 </w:t>
            </w:r>
          </w:p>
        </w:tc>
        <w:tc>
          <w:tcPr>
            <w:tcW w:w="884" w:type="dxa"/>
            <w:shd w:val="clear" w:color="auto" w:fill="ECF3FA"/>
            <w:vAlign w:val="bottom"/>
          </w:tcPr>
          <w:p w14:paraId="1A2239FD" w14:textId="2B86B5E1"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44 059 </w:t>
            </w:r>
          </w:p>
        </w:tc>
        <w:tc>
          <w:tcPr>
            <w:tcW w:w="979" w:type="dxa"/>
            <w:shd w:val="clear" w:color="auto" w:fill="ECF3FA"/>
            <w:vAlign w:val="bottom"/>
          </w:tcPr>
          <w:p w14:paraId="2E175768" w14:textId="75395906"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19 512 </w:t>
            </w:r>
          </w:p>
        </w:tc>
        <w:tc>
          <w:tcPr>
            <w:tcW w:w="798" w:type="dxa"/>
            <w:shd w:val="clear" w:color="auto" w:fill="ECF3FA"/>
            <w:vAlign w:val="bottom"/>
          </w:tcPr>
          <w:p w14:paraId="508108F9" w14:textId="4C31DF0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17 934 </w:t>
            </w:r>
          </w:p>
        </w:tc>
        <w:tc>
          <w:tcPr>
            <w:tcW w:w="938" w:type="dxa"/>
            <w:shd w:val="clear" w:color="auto" w:fill="ECF3FA"/>
            <w:vAlign w:val="bottom"/>
          </w:tcPr>
          <w:p w14:paraId="01420A48" w14:textId="57234205"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17 601 </w:t>
            </w:r>
          </w:p>
        </w:tc>
        <w:tc>
          <w:tcPr>
            <w:tcW w:w="873" w:type="dxa"/>
            <w:shd w:val="clear" w:color="auto" w:fill="ECF3FA"/>
            <w:vAlign w:val="bottom"/>
          </w:tcPr>
          <w:p w14:paraId="5D912D1E" w14:textId="7EA8A2C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14 183 </w:t>
            </w:r>
          </w:p>
        </w:tc>
        <w:tc>
          <w:tcPr>
            <w:tcW w:w="995" w:type="dxa"/>
            <w:shd w:val="clear" w:color="auto" w:fill="ECF3FA"/>
            <w:vAlign w:val="bottom"/>
          </w:tcPr>
          <w:p w14:paraId="257CC43F" w14:textId="267A0B95"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179 539 </w:t>
            </w:r>
          </w:p>
        </w:tc>
      </w:tr>
      <w:tr w:rsidR="008B3BC4" w:rsidRPr="00CE357F" w14:paraId="301C38D8" w14:textId="77777777" w:rsidTr="2460258F">
        <w:trPr>
          <w:trHeight w:val="227"/>
          <w:jc w:val="center"/>
        </w:trPr>
        <w:tc>
          <w:tcPr>
            <w:tcW w:w="1221" w:type="dxa"/>
            <w:shd w:val="clear" w:color="auto" w:fill="D9E2F3" w:themeFill="accent1" w:themeFillTint="33"/>
            <w:vAlign w:val="center"/>
          </w:tcPr>
          <w:p w14:paraId="6DF607A5" w14:textId="60A862E1"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30. 6. 2022</w:t>
            </w:r>
          </w:p>
        </w:tc>
        <w:tc>
          <w:tcPr>
            <w:tcW w:w="855" w:type="dxa"/>
            <w:shd w:val="clear" w:color="auto" w:fill="ECF3FA"/>
            <w:vAlign w:val="bottom"/>
          </w:tcPr>
          <w:p w14:paraId="1290302B" w14:textId="33E31C54"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579 843 </w:t>
            </w:r>
          </w:p>
        </w:tc>
        <w:tc>
          <w:tcPr>
            <w:tcW w:w="955" w:type="dxa"/>
            <w:shd w:val="clear" w:color="auto" w:fill="ECF3FA"/>
            <w:vAlign w:val="bottom"/>
          </w:tcPr>
          <w:p w14:paraId="40949266" w14:textId="5DFF3602"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116 173 </w:t>
            </w:r>
          </w:p>
        </w:tc>
        <w:tc>
          <w:tcPr>
            <w:tcW w:w="853" w:type="dxa"/>
            <w:shd w:val="clear" w:color="auto" w:fill="ECF3FA"/>
            <w:vAlign w:val="bottom"/>
          </w:tcPr>
          <w:p w14:paraId="1EC13669" w14:textId="5D812BD3"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65 527 </w:t>
            </w:r>
          </w:p>
        </w:tc>
        <w:tc>
          <w:tcPr>
            <w:tcW w:w="884" w:type="dxa"/>
            <w:shd w:val="clear" w:color="auto" w:fill="ECF3FA"/>
            <w:vAlign w:val="bottom"/>
          </w:tcPr>
          <w:p w14:paraId="75512E70" w14:textId="69FC4E01"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45 513 </w:t>
            </w:r>
          </w:p>
        </w:tc>
        <w:tc>
          <w:tcPr>
            <w:tcW w:w="979" w:type="dxa"/>
            <w:shd w:val="clear" w:color="auto" w:fill="ECF3FA"/>
            <w:vAlign w:val="bottom"/>
          </w:tcPr>
          <w:p w14:paraId="466F65CA" w14:textId="341928E0"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19 268 </w:t>
            </w:r>
          </w:p>
        </w:tc>
        <w:tc>
          <w:tcPr>
            <w:tcW w:w="798" w:type="dxa"/>
            <w:shd w:val="clear" w:color="auto" w:fill="ECF3FA"/>
            <w:vAlign w:val="bottom"/>
          </w:tcPr>
          <w:p w14:paraId="3AA0CDD3" w14:textId="30460F4C"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17 952 </w:t>
            </w:r>
          </w:p>
        </w:tc>
        <w:tc>
          <w:tcPr>
            <w:tcW w:w="938" w:type="dxa"/>
            <w:shd w:val="clear" w:color="auto" w:fill="ECF3FA"/>
            <w:vAlign w:val="bottom"/>
          </w:tcPr>
          <w:p w14:paraId="4604F084" w14:textId="331B11B2"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17 559 </w:t>
            </w:r>
          </w:p>
        </w:tc>
        <w:tc>
          <w:tcPr>
            <w:tcW w:w="873" w:type="dxa"/>
            <w:shd w:val="clear" w:color="auto" w:fill="ECF3FA"/>
            <w:vAlign w:val="bottom"/>
          </w:tcPr>
          <w:p w14:paraId="468BE220" w14:textId="3082A6D7"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14 453 </w:t>
            </w:r>
          </w:p>
        </w:tc>
        <w:tc>
          <w:tcPr>
            <w:tcW w:w="995" w:type="dxa"/>
            <w:shd w:val="clear" w:color="auto" w:fill="ECF3FA"/>
            <w:vAlign w:val="bottom"/>
          </w:tcPr>
          <w:p w14:paraId="7F6ECE39" w14:textId="1F476365"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177 280 </w:t>
            </w:r>
          </w:p>
        </w:tc>
      </w:tr>
      <w:tr w:rsidR="008B3BC4" w:rsidRPr="00CE357F" w14:paraId="7A1546B9" w14:textId="77777777" w:rsidTr="2460258F">
        <w:trPr>
          <w:trHeight w:val="227"/>
          <w:jc w:val="center"/>
        </w:trPr>
        <w:tc>
          <w:tcPr>
            <w:tcW w:w="1221" w:type="dxa"/>
            <w:shd w:val="clear" w:color="auto" w:fill="D9E2F3" w:themeFill="accent1" w:themeFillTint="33"/>
            <w:vAlign w:val="center"/>
          </w:tcPr>
          <w:p w14:paraId="45BD88BD" w14:textId="0466103B"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31. 3. 2022</w:t>
            </w:r>
          </w:p>
        </w:tc>
        <w:tc>
          <w:tcPr>
            <w:tcW w:w="855" w:type="dxa"/>
            <w:shd w:val="clear" w:color="auto" w:fill="ECF3FA"/>
            <w:vAlign w:val="bottom"/>
          </w:tcPr>
          <w:p w14:paraId="1333A570" w14:textId="2AC29AA2"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452 657 </w:t>
            </w:r>
          </w:p>
        </w:tc>
        <w:tc>
          <w:tcPr>
            <w:tcW w:w="955" w:type="dxa"/>
            <w:shd w:val="clear" w:color="auto" w:fill="ECF3FA"/>
            <w:vAlign w:val="bottom"/>
          </w:tcPr>
          <w:p w14:paraId="3F5E66F2" w14:textId="22C7D67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115 327 </w:t>
            </w:r>
          </w:p>
        </w:tc>
        <w:tc>
          <w:tcPr>
            <w:tcW w:w="853" w:type="dxa"/>
            <w:shd w:val="clear" w:color="auto" w:fill="ECF3FA"/>
            <w:vAlign w:val="bottom"/>
          </w:tcPr>
          <w:p w14:paraId="23A020AA" w14:textId="3F7B22F5"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65 130 </w:t>
            </w:r>
          </w:p>
        </w:tc>
        <w:tc>
          <w:tcPr>
            <w:tcW w:w="884" w:type="dxa"/>
            <w:shd w:val="clear" w:color="auto" w:fill="ECF3FA"/>
            <w:vAlign w:val="bottom"/>
          </w:tcPr>
          <w:p w14:paraId="5111EFED" w14:textId="0F497154"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46 098 </w:t>
            </w:r>
          </w:p>
        </w:tc>
        <w:tc>
          <w:tcPr>
            <w:tcW w:w="979" w:type="dxa"/>
            <w:shd w:val="clear" w:color="auto" w:fill="ECF3FA"/>
            <w:vAlign w:val="bottom"/>
          </w:tcPr>
          <w:p w14:paraId="382E2C97" w14:textId="4441F03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18 978 </w:t>
            </w:r>
          </w:p>
        </w:tc>
        <w:tc>
          <w:tcPr>
            <w:tcW w:w="798" w:type="dxa"/>
            <w:shd w:val="clear" w:color="auto" w:fill="ECF3FA"/>
            <w:vAlign w:val="bottom"/>
          </w:tcPr>
          <w:p w14:paraId="5E71805C" w14:textId="0AC5A4D7"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17 926 </w:t>
            </w:r>
          </w:p>
        </w:tc>
        <w:tc>
          <w:tcPr>
            <w:tcW w:w="938" w:type="dxa"/>
            <w:shd w:val="clear" w:color="auto" w:fill="ECF3FA"/>
            <w:vAlign w:val="bottom"/>
          </w:tcPr>
          <w:p w14:paraId="43562BA7" w14:textId="10BCD2A4"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17 404 </w:t>
            </w:r>
          </w:p>
        </w:tc>
        <w:tc>
          <w:tcPr>
            <w:tcW w:w="873" w:type="dxa"/>
            <w:shd w:val="clear" w:color="auto" w:fill="ECF3FA"/>
            <w:vAlign w:val="bottom"/>
          </w:tcPr>
          <w:p w14:paraId="5BD58487" w14:textId="36E992D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sz w:val="20"/>
                <w:szCs w:val="20"/>
              </w:rPr>
              <w:t xml:space="preserve">14 586 </w:t>
            </w:r>
          </w:p>
        </w:tc>
        <w:tc>
          <w:tcPr>
            <w:tcW w:w="995" w:type="dxa"/>
            <w:shd w:val="clear" w:color="auto" w:fill="ECF3FA"/>
            <w:vAlign w:val="bottom"/>
          </w:tcPr>
          <w:p w14:paraId="294A073C" w14:textId="39B394A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174 410 </w:t>
            </w:r>
          </w:p>
        </w:tc>
      </w:tr>
      <w:tr w:rsidR="00BF4246" w:rsidRPr="00CE357F" w14:paraId="7A47059C" w14:textId="77777777" w:rsidTr="2460258F">
        <w:trPr>
          <w:trHeight w:val="227"/>
          <w:jc w:val="center"/>
        </w:trPr>
        <w:tc>
          <w:tcPr>
            <w:tcW w:w="1221" w:type="dxa"/>
            <w:shd w:val="clear" w:color="auto" w:fill="D9E2F3" w:themeFill="accent1" w:themeFillTint="33"/>
            <w:vAlign w:val="center"/>
          </w:tcPr>
          <w:p w14:paraId="1D47138E" w14:textId="1373D7B2"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31. 12. 2021</w:t>
            </w:r>
          </w:p>
        </w:tc>
        <w:tc>
          <w:tcPr>
            <w:tcW w:w="855" w:type="dxa"/>
            <w:vAlign w:val="bottom"/>
          </w:tcPr>
          <w:p w14:paraId="4AC5FB3D" w14:textId="06B303B5"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196 875 </w:t>
            </w:r>
          </w:p>
        </w:tc>
        <w:tc>
          <w:tcPr>
            <w:tcW w:w="955" w:type="dxa"/>
            <w:vAlign w:val="bottom"/>
          </w:tcPr>
          <w:p w14:paraId="28442608" w14:textId="677BC170"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114 630 </w:t>
            </w:r>
          </w:p>
        </w:tc>
        <w:tc>
          <w:tcPr>
            <w:tcW w:w="853" w:type="dxa"/>
            <w:vAlign w:val="bottom"/>
          </w:tcPr>
          <w:p w14:paraId="5973D6B3" w14:textId="71F8DAA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64 851 </w:t>
            </w:r>
          </w:p>
        </w:tc>
        <w:tc>
          <w:tcPr>
            <w:tcW w:w="884" w:type="dxa"/>
            <w:vAlign w:val="bottom"/>
          </w:tcPr>
          <w:p w14:paraId="4C006A0B" w14:textId="0F8D6BC0"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45 365 </w:t>
            </w:r>
          </w:p>
        </w:tc>
        <w:tc>
          <w:tcPr>
            <w:tcW w:w="979" w:type="dxa"/>
            <w:vAlign w:val="bottom"/>
          </w:tcPr>
          <w:p w14:paraId="46F0F9BE" w14:textId="30A95BD4"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18 806 </w:t>
            </w:r>
          </w:p>
        </w:tc>
        <w:tc>
          <w:tcPr>
            <w:tcW w:w="798" w:type="dxa"/>
            <w:vAlign w:val="bottom"/>
          </w:tcPr>
          <w:p w14:paraId="25A9CE62" w14:textId="5B51717E"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17 936 </w:t>
            </w:r>
          </w:p>
        </w:tc>
        <w:tc>
          <w:tcPr>
            <w:tcW w:w="938" w:type="dxa"/>
            <w:vAlign w:val="bottom"/>
          </w:tcPr>
          <w:p w14:paraId="7E5F4FB4" w14:textId="395AB43E"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17 295 </w:t>
            </w:r>
          </w:p>
        </w:tc>
        <w:tc>
          <w:tcPr>
            <w:tcW w:w="873" w:type="dxa"/>
            <w:vAlign w:val="bottom"/>
          </w:tcPr>
          <w:p w14:paraId="29819EE2" w14:textId="67C185BD"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14 792 </w:t>
            </w:r>
          </w:p>
        </w:tc>
        <w:tc>
          <w:tcPr>
            <w:tcW w:w="995" w:type="dxa"/>
            <w:vAlign w:val="bottom"/>
          </w:tcPr>
          <w:p w14:paraId="6CB90C8E" w14:textId="06348DFD"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170 299 </w:t>
            </w:r>
          </w:p>
        </w:tc>
      </w:tr>
      <w:tr w:rsidR="00BF4246" w:rsidRPr="00CE357F" w14:paraId="0BB86D5A" w14:textId="77777777" w:rsidTr="2460258F">
        <w:trPr>
          <w:trHeight w:val="227"/>
          <w:jc w:val="center"/>
        </w:trPr>
        <w:tc>
          <w:tcPr>
            <w:tcW w:w="1221" w:type="dxa"/>
            <w:shd w:val="clear" w:color="auto" w:fill="D9E2F3" w:themeFill="accent1" w:themeFillTint="33"/>
            <w:vAlign w:val="center"/>
          </w:tcPr>
          <w:p w14:paraId="11AF2A03" w14:textId="33CA1891"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30. 9. 2021</w:t>
            </w:r>
            <w:r w:rsidR="00D15CC3" w:rsidRPr="000864FF">
              <w:rPr>
                <w:rFonts w:ascii="Arial Narrow" w:eastAsia="Times New Roman" w:hAnsi="Arial Narrow" w:cs="Arial"/>
                <w:b/>
                <w:bCs/>
                <w:sz w:val="20"/>
                <w:szCs w:val="20"/>
                <w:lang w:eastAsia="cs-CZ"/>
              </w:rPr>
              <w:t>*</w:t>
            </w:r>
          </w:p>
        </w:tc>
        <w:tc>
          <w:tcPr>
            <w:tcW w:w="855" w:type="dxa"/>
            <w:shd w:val="clear" w:color="auto" w:fill="FFFFFF" w:themeFill="background1"/>
            <w:vAlign w:val="bottom"/>
          </w:tcPr>
          <w:p w14:paraId="07EB5DC8" w14:textId="1CA1FBD7"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189 912 </w:t>
            </w:r>
          </w:p>
        </w:tc>
        <w:tc>
          <w:tcPr>
            <w:tcW w:w="955" w:type="dxa"/>
            <w:shd w:val="clear" w:color="auto" w:fill="FFFFFF" w:themeFill="background1"/>
            <w:vAlign w:val="bottom"/>
          </w:tcPr>
          <w:p w14:paraId="6B7966F8" w14:textId="11B8CB9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113 760 </w:t>
            </w:r>
          </w:p>
        </w:tc>
        <w:tc>
          <w:tcPr>
            <w:tcW w:w="853" w:type="dxa"/>
            <w:shd w:val="clear" w:color="auto" w:fill="FFFFFF" w:themeFill="background1"/>
            <w:vAlign w:val="bottom"/>
          </w:tcPr>
          <w:p w14:paraId="2B702378" w14:textId="72E94E12"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64 576 </w:t>
            </w:r>
          </w:p>
        </w:tc>
        <w:tc>
          <w:tcPr>
            <w:tcW w:w="884" w:type="dxa"/>
            <w:shd w:val="clear" w:color="auto" w:fill="FFFFFF" w:themeFill="background1"/>
            <w:vAlign w:val="bottom"/>
          </w:tcPr>
          <w:p w14:paraId="080D7150" w14:textId="3F6B5C1F"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45 176 </w:t>
            </w:r>
          </w:p>
        </w:tc>
        <w:tc>
          <w:tcPr>
            <w:tcW w:w="979" w:type="dxa"/>
            <w:shd w:val="clear" w:color="auto" w:fill="FFFFFF" w:themeFill="background1"/>
            <w:vAlign w:val="bottom"/>
          </w:tcPr>
          <w:p w14:paraId="06C0BED1" w14:textId="6C34926E"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18 541 </w:t>
            </w:r>
          </w:p>
        </w:tc>
        <w:tc>
          <w:tcPr>
            <w:tcW w:w="798" w:type="dxa"/>
            <w:shd w:val="clear" w:color="auto" w:fill="FFFFFF" w:themeFill="background1"/>
            <w:vAlign w:val="bottom"/>
          </w:tcPr>
          <w:p w14:paraId="2B65069C" w14:textId="5E7BE11D"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17 861 </w:t>
            </w:r>
          </w:p>
        </w:tc>
        <w:tc>
          <w:tcPr>
            <w:tcW w:w="938" w:type="dxa"/>
            <w:shd w:val="clear" w:color="auto" w:fill="FFFFFF" w:themeFill="background1"/>
            <w:vAlign w:val="bottom"/>
          </w:tcPr>
          <w:p w14:paraId="5DBB485D" w14:textId="2937CCB9"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17 129 </w:t>
            </w:r>
          </w:p>
        </w:tc>
        <w:tc>
          <w:tcPr>
            <w:tcW w:w="873" w:type="dxa"/>
            <w:shd w:val="clear" w:color="auto" w:fill="FFFFFF" w:themeFill="background1"/>
            <w:vAlign w:val="bottom"/>
          </w:tcPr>
          <w:p w14:paraId="74D412BD" w14:textId="5CB59651"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14 997 </w:t>
            </w:r>
          </w:p>
        </w:tc>
        <w:tc>
          <w:tcPr>
            <w:tcW w:w="995" w:type="dxa"/>
            <w:shd w:val="clear" w:color="auto" w:fill="FFFFFF" w:themeFill="background1"/>
            <w:vAlign w:val="bottom"/>
          </w:tcPr>
          <w:p w14:paraId="06DFDFA3" w14:textId="3D549BB6"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165 698 </w:t>
            </w:r>
          </w:p>
        </w:tc>
      </w:tr>
      <w:tr w:rsidR="00BF4246" w:rsidRPr="00CE357F" w14:paraId="71A47C86" w14:textId="77777777" w:rsidTr="2460258F">
        <w:trPr>
          <w:trHeight w:val="227"/>
          <w:jc w:val="center"/>
        </w:trPr>
        <w:tc>
          <w:tcPr>
            <w:tcW w:w="1221" w:type="dxa"/>
            <w:shd w:val="clear" w:color="auto" w:fill="D9E2F3" w:themeFill="accent1" w:themeFillTint="33"/>
            <w:vAlign w:val="center"/>
          </w:tcPr>
          <w:p w14:paraId="3D47CB6B" w14:textId="7714A3D3"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30. 6. 2021</w:t>
            </w:r>
          </w:p>
        </w:tc>
        <w:tc>
          <w:tcPr>
            <w:tcW w:w="855" w:type="dxa"/>
            <w:vAlign w:val="bottom"/>
          </w:tcPr>
          <w:p w14:paraId="0653AAC8" w14:textId="0D472CB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183 250 </w:t>
            </w:r>
          </w:p>
        </w:tc>
        <w:tc>
          <w:tcPr>
            <w:tcW w:w="955" w:type="dxa"/>
            <w:vAlign w:val="bottom"/>
          </w:tcPr>
          <w:p w14:paraId="52CB6524" w14:textId="79673AE4"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126 720 </w:t>
            </w:r>
          </w:p>
        </w:tc>
        <w:tc>
          <w:tcPr>
            <w:tcW w:w="853" w:type="dxa"/>
            <w:vAlign w:val="bottom"/>
          </w:tcPr>
          <w:p w14:paraId="5FF3EF8A" w14:textId="7B65103B"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64 261 </w:t>
            </w:r>
          </w:p>
        </w:tc>
        <w:tc>
          <w:tcPr>
            <w:tcW w:w="884" w:type="dxa"/>
            <w:vAlign w:val="bottom"/>
          </w:tcPr>
          <w:p w14:paraId="2C397CB1" w14:textId="14B9F405"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45 488 </w:t>
            </w:r>
          </w:p>
        </w:tc>
        <w:tc>
          <w:tcPr>
            <w:tcW w:w="979" w:type="dxa"/>
            <w:vAlign w:val="bottom"/>
          </w:tcPr>
          <w:p w14:paraId="347159EF" w14:textId="37E26B91"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19 086 </w:t>
            </w:r>
          </w:p>
        </w:tc>
        <w:tc>
          <w:tcPr>
            <w:tcW w:w="798" w:type="dxa"/>
            <w:vAlign w:val="bottom"/>
          </w:tcPr>
          <w:p w14:paraId="7B93F22C" w14:textId="5177F66B"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20 805 </w:t>
            </w:r>
          </w:p>
        </w:tc>
        <w:tc>
          <w:tcPr>
            <w:tcW w:w="938" w:type="dxa"/>
            <w:vAlign w:val="bottom"/>
          </w:tcPr>
          <w:p w14:paraId="75BE85B5" w14:textId="71E65960"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18 245 </w:t>
            </w:r>
          </w:p>
        </w:tc>
        <w:tc>
          <w:tcPr>
            <w:tcW w:w="873" w:type="dxa"/>
            <w:vAlign w:val="bottom"/>
          </w:tcPr>
          <w:p w14:paraId="291C572F" w14:textId="2CFFA3EC"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20 799 </w:t>
            </w:r>
          </w:p>
        </w:tc>
        <w:tc>
          <w:tcPr>
            <w:tcW w:w="995" w:type="dxa"/>
            <w:vAlign w:val="bottom"/>
          </w:tcPr>
          <w:p w14:paraId="3F49653D" w14:textId="66406BE0"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169 584 </w:t>
            </w:r>
          </w:p>
        </w:tc>
      </w:tr>
      <w:tr w:rsidR="00BF4246" w:rsidRPr="00CE357F" w14:paraId="5E76869E" w14:textId="77777777" w:rsidTr="2460258F">
        <w:trPr>
          <w:trHeight w:val="227"/>
          <w:jc w:val="center"/>
        </w:trPr>
        <w:tc>
          <w:tcPr>
            <w:tcW w:w="1221" w:type="dxa"/>
            <w:shd w:val="clear" w:color="auto" w:fill="D9E2F3" w:themeFill="accent1" w:themeFillTint="33"/>
            <w:vAlign w:val="center"/>
          </w:tcPr>
          <w:p w14:paraId="4E4A030F" w14:textId="12024004"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31. 3. 2021</w:t>
            </w:r>
          </w:p>
        </w:tc>
        <w:tc>
          <w:tcPr>
            <w:tcW w:w="855" w:type="dxa"/>
            <w:vAlign w:val="bottom"/>
          </w:tcPr>
          <w:p w14:paraId="08644353" w14:textId="7E8B3880"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176 204 </w:t>
            </w:r>
          </w:p>
        </w:tc>
        <w:tc>
          <w:tcPr>
            <w:tcW w:w="955" w:type="dxa"/>
            <w:vAlign w:val="bottom"/>
          </w:tcPr>
          <w:p w14:paraId="097777B6" w14:textId="084B3145"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125 527 </w:t>
            </w:r>
          </w:p>
        </w:tc>
        <w:tc>
          <w:tcPr>
            <w:tcW w:w="853" w:type="dxa"/>
            <w:vAlign w:val="bottom"/>
          </w:tcPr>
          <w:p w14:paraId="47382934" w14:textId="6F2CA5D6"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63 921 </w:t>
            </w:r>
          </w:p>
        </w:tc>
        <w:tc>
          <w:tcPr>
            <w:tcW w:w="884" w:type="dxa"/>
            <w:vAlign w:val="bottom"/>
          </w:tcPr>
          <w:p w14:paraId="5091908C" w14:textId="3CD326B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44 332 </w:t>
            </w:r>
          </w:p>
        </w:tc>
        <w:tc>
          <w:tcPr>
            <w:tcW w:w="979" w:type="dxa"/>
            <w:vAlign w:val="bottom"/>
          </w:tcPr>
          <w:p w14:paraId="7B6330D5" w14:textId="044558D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18 707 </w:t>
            </w:r>
          </w:p>
        </w:tc>
        <w:tc>
          <w:tcPr>
            <w:tcW w:w="798" w:type="dxa"/>
            <w:vAlign w:val="bottom"/>
          </w:tcPr>
          <w:p w14:paraId="275563C0" w14:textId="02353B65"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20 758 </w:t>
            </w:r>
          </w:p>
        </w:tc>
        <w:tc>
          <w:tcPr>
            <w:tcW w:w="938" w:type="dxa"/>
            <w:vAlign w:val="bottom"/>
          </w:tcPr>
          <w:p w14:paraId="11E086B5" w14:textId="507753BB"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18 060 </w:t>
            </w:r>
          </w:p>
        </w:tc>
        <w:tc>
          <w:tcPr>
            <w:tcW w:w="873" w:type="dxa"/>
            <w:vAlign w:val="bottom"/>
          </w:tcPr>
          <w:p w14:paraId="6D9C8BF1" w14:textId="0CD4013B"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20 769 </w:t>
            </w:r>
          </w:p>
        </w:tc>
        <w:tc>
          <w:tcPr>
            <w:tcW w:w="995" w:type="dxa"/>
            <w:vAlign w:val="bottom"/>
          </w:tcPr>
          <w:p w14:paraId="29B1939D" w14:textId="3C3FF52C"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168 023 </w:t>
            </w:r>
          </w:p>
        </w:tc>
      </w:tr>
      <w:tr w:rsidR="00BF4246" w:rsidRPr="00CE357F" w14:paraId="31B76918" w14:textId="77777777" w:rsidTr="2460258F">
        <w:trPr>
          <w:trHeight w:val="227"/>
          <w:jc w:val="center"/>
        </w:trPr>
        <w:tc>
          <w:tcPr>
            <w:tcW w:w="1221" w:type="dxa"/>
            <w:shd w:val="clear" w:color="auto" w:fill="D9E2F3" w:themeFill="accent1" w:themeFillTint="33"/>
            <w:vAlign w:val="center"/>
          </w:tcPr>
          <w:p w14:paraId="1DCE3DB7" w14:textId="0A1FA175"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31. 12. 2020</w:t>
            </w:r>
          </w:p>
        </w:tc>
        <w:tc>
          <w:tcPr>
            <w:tcW w:w="855" w:type="dxa"/>
            <w:shd w:val="clear" w:color="auto" w:fill="ECF3FA"/>
            <w:vAlign w:val="bottom"/>
          </w:tcPr>
          <w:p w14:paraId="0C2253E6" w14:textId="3E038667"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165 654 </w:t>
            </w:r>
          </w:p>
        </w:tc>
        <w:tc>
          <w:tcPr>
            <w:tcW w:w="955" w:type="dxa"/>
            <w:shd w:val="clear" w:color="auto" w:fill="ECF3FA"/>
            <w:vAlign w:val="bottom"/>
          </w:tcPr>
          <w:p w14:paraId="1BF95DCC" w14:textId="47ADE20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124 544 </w:t>
            </w:r>
          </w:p>
        </w:tc>
        <w:tc>
          <w:tcPr>
            <w:tcW w:w="853" w:type="dxa"/>
            <w:shd w:val="clear" w:color="auto" w:fill="ECF3FA"/>
            <w:vAlign w:val="bottom"/>
          </w:tcPr>
          <w:p w14:paraId="48901A46" w14:textId="1EE2ED11"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62 884 </w:t>
            </w:r>
          </w:p>
        </w:tc>
        <w:tc>
          <w:tcPr>
            <w:tcW w:w="884" w:type="dxa"/>
            <w:shd w:val="clear" w:color="auto" w:fill="ECF3FA"/>
            <w:vAlign w:val="bottom"/>
          </w:tcPr>
          <w:p w14:paraId="5B4CCDFD" w14:textId="0B818F4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41 907 </w:t>
            </w:r>
          </w:p>
        </w:tc>
        <w:tc>
          <w:tcPr>
            <w:tcW w:w="979" w:type="dxa"/>
            <w:shd w:val="clear" w:color="auto" w:fill="ECF3FA"/>
            <w:vAlign w:val="bottom"/>
          </w:tcPr>
          <w:p w14:paraId="2C874598" w14:textId="736E0EA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18 396 </w:t>
            </w:r>
          </w:p>
        </w:tc>
        <w:tc>
          <w:tcPr>
            <w:tcW w:w="798" w:type="dxa"/>
            <w:shd w:val="clear" w:color="auto" w:fill="ECF3FA"/>
            <w:vAlign w:val="bottom"/>
          </w:tcPr>
          <w:p w14:paraId="5C859429" w14:textId="4F3440F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20 733 </w:t>
            </w:r>
          </w:p>
        </w:tc>
        <w:tc>
          <w:tcPr>
            <w:tcW w:w="938" w:type="dxa"/>
            <w:shd w:val="clear" w:color="auto" w:fill="ECF3FA"/>
            <w:vAlign w:val="bottom"/>
          </w:tcPr>
          <w:p w14:paraId="0B91CEBA" w14:textId="7CAD706C"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17 917 </w:t>
            </w:r>
          </w:p>
        </w:tc>
        <w:tc>
          <w:tcPr>
            <w:tcW w:w="873" w:type="dxa"/>
            <w:shd w:val="clear" w:color="auto" w:fill="ECF3FA"/>
            <w:vAlign w:val="bottom"/>
          </w:tcPr>
          <w:p w14:paraId="73B46346" w14:textId="24BEDE77" w:rsidR="00BF4246" w:rsidRPr="00BF4246" w:rsidRDefault="00BF4246" w:rsidP="00BF4246">
            <w:pPr>
              <w:jc w:val="center"/>
              <w:rPr>
                <w:rFonts w:ascii="Arial Narrow" w:hAnsi="Arial Narrow" w:cs="Arial"/>
                <w:sz w:val="20"/>
                <w:szCs w:val="20"/>
              </w:rPr>
            </w:pPr>
            <w:r w:rsidRPr="00BF4246">
              <w:rPr>
                <w:rFonts w:ascii="Arial Narrow" w:hAnsi="Arial Narrow" w:cs="Arial"/>
                <w:sz w:val="20"/>
                <w:szCs w:val="20"/>
              </w:rPr>
              <w:t xml:space="preserve">20 861 </w:t>
            </w:r>
          </w:p>
        </w:tc>
        <w:tc>
          <w:tcPr>
            <w:tcW w:w="995" w:type="dxa"/>
            <w:shd w:val="clear" w:color="auto" w:fill="ECF3FA"/>
            <w:vAlign w:val="bottom"/>
          </w:tcPr>
          <w:p w14:paraId="6A516CFD" w14:textId="49693F31"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161 894 </w:t>
            </w:r>
          </w:p>
        </w:tc>
      </w:tr>
      <w:tr w:rsidR="00BF4246" w:rsidRPr="00CE357F" w14:paraId="3C025607" w14:textId="77777777" w:rsidTr="2460258F">
        <w:trPr>
          <w:trHeight w:val="227"/>
          <w:jc w:val="center"/>
        </w:trPr>
        <w:tc>
          <w:tcPr>
            <w:tcW w:w="1221" w:type="dxa"/>
            <w:shd w:val="clear" w:color="auto" w:fill="D9E2F3" w:themeFill="accent1" w:themeFillTint="33"/>
            <w:vAlign w:val="center"/>
          </w:tcPr>
          <w:p w14:paraId="644787F9" w14:textId="34F03DED"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30. 9. 2020</w:t>
            </w:r>
          </w:p>
        </w:tc>
        <w:tc>
          <w:tcPr>
            <w:tcW w:w="855" w:type="dxa"/>
            <w:shd w:val="clear" w:color="auto" w:fill="ECF3FA"/>
            <w:vAlign w:val="bottom"/>
          </w:tcPr>
          <w:p w14:paraId="27383586" w14:textId="2847F9A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158 300 </w:t>
            </w:r>
          </w:p>
        </w:tc>
        <w:tc>
          <w:tcPr>
            <w:tcW w:w="955" w:type="dxa"/>
            <w:shd w:val="clear" w:color="auto" w:fill="ECF3FA"/>
            <w:vAlign w:val="bottom"/>
          </w:tcPr>
          <w:p w14:paraId="326A15E5" w14:textId="74C52F0F"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123 266 </w:t>
            </w:r>
          </w:p>
        </w:tc>
        <w:tc>
          <w:tcPr>
            <w:tcW w:w="853" w:type="dxa"/>
            <w:shd w:val="clear" w:color="auto" w:fill="ECF3FA"/>
            <w:vAlign w:val="bottom"/>
          </w:tcPr>
          <w:p w14:paraId="2AD6BF38" w14:textId="02AD756E"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62 523 </w:t>
            </w:r>
          </w:p>
        </w:tc>
        <w:tc>
          <w:tcPr>
            <w:tcW w:w="884" w:type="dxa"/>
            <w:shd w:val="clear" w:color="auto" w:fill="ECF3FA"/>
            <w:vAlign w:val="bottom"/>
          </w:tcPr>
          <w:p w14:paraId="0B7296B2" w14:textId="04626B3E"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37 827 </w:t>
            </w:r>
          </w:p>
        </w:tc>
        <w:tc>
          <w:tcPr>
            <w:tcW w:w="979" w:type="dxa"/>
            <w:shd w:val="clear" w:color="auto" w:fill="ECF3FA"/>
            <w:vAlign w:val="bottom"/>
          </w:tcPr>
          <w:p w14:paraId="460BEBDA" w14:textId="60357270"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17 979 </w:t>
            </w:r>
          </w:p>
        </w:tc>
        <w:tc>
          <w:tcPr>
            <w:tcW w:w="798" w:type="dxa"/>
            <w:shd w:val="clear" w:color="auto" w:fill="ECF3FA"/>
            <w:vAlign w:val="bottom"/>
          </w:tcPr>
          <w:p w14:paraId="5263E515" w14:textId="22AD5B8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20 588 </w:t>
            </w:r>
          </w:p>
        </w:tc>
        <w:tc>
          <w:tcPr>
            <w:tcW w:w="938" w:type="dxa"/>
            <w:shd w:val="clear" w:color="auto" w:fill="ECF3FA"/>
            <w:vAlign w:val="bottom"/>
          </w:tcPr>
          <w:p w14:paraId="5D583D21" w14:textId="65AA0AF9"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17 733 </w:t>
            </w:r>
          </w:p>
        </w:tc>
        <w:tc>
          <w:tcPr>
            <w:tcW w:w="873" w:type="dxa"/>
            <w:shd w:val="clear" w:color="auto" w:fill="ECF3FA"/>
            <w:vAlign w:val="bottom"/>
          </w:tcPr>
          <w:p w14:paraId="1D2E0769" w14:textId="4773D9EF"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21 004 </w:t>
            </w:r>
          </w:p>
        </w:tc>
        <w:tc>
          <w:tcPr>
            <w:tcW w:w="995" w:type="dxa"/>
            <w:shd w:val="clear" w:color="auto" w:fill="ECF3FA"/>
            <w:vAlign w:val="bottom"/>
          </w:tcPr>
          <w:p w14:paraId="09DF1A9E" w14:textId="427C79BE"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157 439 </w:t>
            </w:r>
          </w:p>
        </w:tc>
      </w:tr>
      <w:tr w:rsidR="00BF4246" w:rsidRPr="00CE357F" w14:paraId="60332E0E" w14:textId="77777777" w:rsidTr="2460258F">
        <w:trPr>
          <w:trHeight w:val="227"/>
          <w:jc w:val="center"/>
        </w:trPr>
        <w:tc>
          <w:tcPr>
            <w:tcW w:w="1221" w:type="dxa"/>
            <w:shd w:val="clear" w:color="auto" w:fill="D9E2F3" w:themeFill="accent1" w:themeFillTint="33"/>
            <w:vAlign w:val="center"/>
          </w:tcPr>
          <w:p w14:paraId="40AB1F4A" w14:textId="2A8E6CCA"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30. 6. 2020</w:t>
            </w:r>
          </w:p>
        </w:tc>
        <w:tc>
          <w:tcPr>
            <w:tcW w:w="855" w:type="dxa"/>
            <w:shd w:val="clear" w:color="auto" w:fill="ECF3FA"/>
            <w:vAlign w:val="bottom"/>
          </w:tcPr>
          <w:p w14:paraId="7FDC1E10" w14:textId="6C416C82"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157 289 </w:t>
            </w:r>
          </w:p>
        </w:tc>
        <w:tc>
          <w:tcPr>
            <w:tcW w:w="955" w:type="dxa"/>
            <w:shd w:val="clear" w:color="auto" w:fill="ECF3FA"/>
            <w:vAlign w:val="bottom"/>
          </w:tcPr>
          <w:p w14:paraId="3A7A5741" w14:textId="4BAB50B4"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120 558 </w:t>
            </w:r>
          </w:p>
        </w:tc>
        <w:tc>
          <w:tcPr>
            <w:tcW w:w="853" w:type="dxa"/>
            <w:shd w:val="clear" w:color="auto" w:fill="ECF3FA"/>
            <w:vAlign w:val="bottom"/>
          </w:tcPr>
          <w:p w14:paraId="027233CE" w14:textId="537E9EAE"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62 525 </w:t>
            </w:r>
          </w:p>
        </w:tc>
        <w:tc>
          <w:tcPr>
            <w:tcW w:w="884" w:type="dxa"/>
            <w:shd w:val="clear" w:color="auto" w:fill="ECF3FA"/>
            <w:vAlign w:val="bottom"/>
          </w:tcPr>
          <w:p w14:paraId="723A1B7B" w14:textId="4EB8D1D6"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40 875 </w:t>
            </w:r>
          </w:p>
        </w:tc>
        <w:tc>
          <w:tcPr>
            <w:tcW w:w="979" w:type="dxa"/>
            <w:shd w:val="clear" w:color="auto" w:fill="ECF3FA"/>
            <w:vAlign w:val="bottom"/>
          </w:tcPr>
          <w:p w14:paraId="3A3D3FFD" w14:textId="7D741511"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17 313 </w:t>
            </w:r>
          </w:p>
        </w:tc>
        <w:tc>
          <w:tcPr>
            <w:tcW w:w="798" w:type="dxa"/>
            <w:shd w:val="clear" w:color="auto" w:fill="ECF3FA"/>
            <w:vAlign w:val="bottom"/>
          </w:tcPr>
          <w:p w14:paraId="5ACC9284" w14:textId="6F9D87C2"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20 846 </w:t>
            </w:r>
          </w:p>
        </w:tc>
        <w:tc>
          <w:tcPr>
            <w:tcW w:w="938" w:type="dxa"/>
            <w:shd w:val="clear" w:color="auto" w:fill="ECF3FA"/>
            <w:vAlign w:val="bottom"/>
          </w:tcPr>
          <w:p w14:paraId="751DC856" w14:textId="3C5758A6"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17 346 </w:t>
            </w:r>
          </w:p>
        </w:tc>
        <w:tc>
          <w:tcPr>
            <w:tcW w:w="873" w:type="dxa"/>
            <w:shd w:val="clear" w:color="auto" w:fill="ECF3FA"/>
            <w:vAlign w:val="bottom"/>
          </w:tcPr>
          <w:p w14:paraId="129B8B26" w14:textId="7DF09DFC"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20 673 </w:t>
            </w:r>
          </w:p>
        </w:tc>
        <w:tc>
          <w:tcPr>
            <w:tcW w:w="995" w:type="dxa"/>
            <w:shd w:val="clear" w:color="auto" w:fill="ECF3FA"/>
            <w:vAlign w:val="bottom"/>
          </w:tcPr>
          <w:p w14:paraId="7435E6AD" w14:textId="12E9C9E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160 706 </w:t>
            </w:r>
          </w:p>
        </w:tc>
      </w:tr>
      <w:tr w:rsidR="00BF4246" w:rsidRPr="00CE357F" w14:paraId="2B497034" w14:textId="77777777" w:rsidTr="2460258F">
        <w:trPr>
          <w:trHeight w:val="227"/>
          <w:jc w:val="center"/>
        </w:trPr>
        <w:tc>
          <w:tcPr>
            <w:tcW w:w="1221" w:type="dxa"/>
            <w:shd w:val="clear" w:color="auto" w:fill="D9E2F3" w:themeFill="accent1" w:themeFillTint="33"/>
            <w:vAlign w:val="center"/>
          </w:tcPr>
          <w:p w14:paraId="267AB73D" w14:textId="673D024F" w:rsidR="00BF4246" w:rsidRPr="000864FF" w:rsidRDefault="00BF4246" w:rsidP="00BF4246">
            <w:pPr>
              <w:jc w:val="center"/>
              <w:rPr>
                <w:rFonts w:ascii="Arial Narrow" w:eastAsia="Times New Roman" w:hAnsi="Arial Narrow" w:cs="Arial"/>
                <w:b/>
                <w:bCs/>
                <w:sz w:val="20"/>
                <w:szCs w:val="20"/>
                <w:lang w:eastAsia="cs-CZ"/>
              </w:rPr>
            </w:pPr>
            <w:r w:rsidRPr="000864FF">
              <w:rPr>
                <w:rFonts w:ascii="Arial Narrow" w:eastAsia="Times New Roman" w:hAnsi="Arial Narrow" w:cs="Arial"/>
                <w:b/>
                <w:bCs/>
                <w:sz w:val="20"/>
                <w:szCs w:val="20"/>
                <w:lang w:eastAsia="cs-CZ"/>
              </w:rPr>
              <w:t>31. 3. 2020</w:t>
            </w:r>
          </w:p>
        </w:tc>
        <w:tc>
          <w:tcPr>
            <w:tcW w:w="855" w:type="dxa"/>
            <w:shd w:val="clear" w:color="auto" w:fill="ECF3FA"/>
            <w:vAlign w:val="bottom"/>
          </w:tcPr>
          <w:p w14:paraId="4CD46511" w14:textId="24ECA633"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151 481 </w:t>
            </w:r>
          </w:p>
        </w:tc>
        <w:tc>
          <w:tcPr>
            <w:tcW w:w="955" w:type="dxa"/>
            <w:shd w:val="clear" w:color="auto" w:fill="ECF3FA"/>
            <w:vAlign w:val="bottom"/>
          </w:tcPr>
          <w:p w14:paraId="0B362913" w14:textId="0643E5C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121 036 </w:t>
            </w:r>
          </w:p>
        </w:tc>
        <w:tc>
          <w:tcPr>
            <w:tcW w:w="853" w:type="dxa"/>
            <w:shd w:val="clear" w:color="auto" w:fill="ECF3FA"/>
            <w:vAlign w:val="bottom"/>
          </w:tcPr>
          <w:p w14:paraId="37D286F5" w14:textId="3B9A4903"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62 290 </w:t>
            </w:r>
          </w:p>
        </w:tc>
        <w:tc>
          <w:tcPr>
            <w:tcW w:w="884" w:type="dxa"/>
            <w:shd w:val="clear" w:color="auto" w:fill="ECF3FA"/>
            <w:vAlign w:val="bottom"/>
          </w:tcPr>
          <w:p w14:paraId="229042AB" w14:textId="2356CDF2"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39 363 </w:t>
            </w:r>
          </w:p>
        </w:tc>
        <w:tc>
          <w:tcPr>
            <w:tcW w:w="979" w:type="dxa"/>
            <w:shd w:val="clear" w:color="auto" w:fill="ECF3FA"/>
            <w:vAlign w:val="bottom"/>
          </w:tcPr>
          <w:p w14:paraId="135A4F8C" w14:textId="695919F8"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17 188 </w:t>
            </w:r>
          </w:p>
        </w:tc>
        <w:tc>
          <w:tcPr>
            <w:tcW w:w="798" w:type="dxa"/>
            <w:shd w:val="clear" w:color="auto" w:fill="ECF3FA"/>
            <w:vAlign w:val="bottom"/>
          </w:tcPr>
          <w:p w14:paraId="0AAA74E5" w14:textId="096E1A63"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21 209 </w:t>
            </w:r>
          </w:p>
        </w:tc>
        <w:tc>
          <w:tcPr>
            <w:tcW w:w="938" w:type="dxa"/>
            <w:shd w:val="clear" w:color="auto" w:fill="ECF3FA"/>
            <w:vAlign w:val="bottom"/>
          </w:tcPr>
          <w:p w14:paraId="48533029" w14:textId="2DF3786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17 363 </w:t>
            </w:r>
          </w:p>
        </w:tc>
        <w:tc>
          <w:tcPr>
            <w:tcW w:w="873" w:type="dxa"/>
            <w:shd w:val="clear" w:color="auto" w:fill="ECF3FA"/>
            <w:vAlign w:val="bottom"/>
          </w:tcPr>
          <w:p w14:paraId="3A6B6CDC" w14:textId="705F37A6"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20 747 </w:t>
            </w:r>
          </w:p>
        </w:tc>
        <w:tc>
          <w:tcPr>
            <w:tcW w:w="995" w:type="dxa"/>
            <w:shd w:val="clear" w:color="auto" w:fill="ECF3FA"/>
            <w:vAlign w:val="bottom"/>
          </w:tcPr>
          <w:p w14:paraId="463C1734" w14:textId="0FE6BD8A" w:rsidR="00BF4246" w:rsidRPr="00BF4246" w:rsidRDefault="00BF4246" w:rsidP="00BF4246">
            <w:pPr>
              <w:jc w:val="center"/>
              <w:rPr>
                <w:rFonts w:ascii="Arial Narrow" w:eastAsia="Times New Roman" w:hAnsi="Arial Narrow" w:cs="Arial"/>
                <w:sz w:val="20"/>
                <w:szCs w:val="20"/>
                <w:lang w:eastAsia="cs-CZ"/>
              </w:rPr>
            </w:pPr>
            <w:r w:rsidRPr="00BF4246">
              <w:rPr>
                <w:rFonts w:ascii="Arial Narrow" w:hAnsi="Arial Narrow" w:cs="Arial"/>
                <w:sz w:val="20"/>
                <w:szCs w:val="20"/>
              </w:rPr>
              <w:t xml:space="preserve">153 399 </w:t>
            </w:r>
          </w:p>
        </w:tc>
      </w:tr>
    </w:tbl>
    <w:p w14:paraId="3B6251F5" w14:textId="56E4617D" w:rsidR="00C36D37" w:rsidRPr="00CE357F" w:rsidRDefault="00BF4246" w:rsidP="00C36D37">
      <w:pPr>
        <w:spacing w:line="276" w:lineRule="auto"/>
        <w:rPr>
          <w:rFonts w:ascii="Arial Narrow" w:hAnsi="Arial Narrow" w:cs="Arial"/>
          <w:color w:val="000000"/>
          <w:sz w:val="20"/>
          <w:szCs w:val="20"/>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za jednotlivé </w:t>
      </w:r>
      <w:r>
        <w:rPr>
          <w:rFonts w:ascii="Arial Narrow" w:hAnsi="Arial Narrow"/>
          <w:sz w:val="20"/>
          <w:szCs w:val="20"/>
        </w:rPr>
        <w:t>čtvrtletí</w:t>
      </w:r>
      <w:r w:rsidRPr="00CE357F">
        <w:rPr>
          <w:rFonts w:ascii="Arial Narrow" w:hAnsi="Arial Narrow"/>
          <w:sz w:val="20"/>
          <w:szCs w:val="20"/>
        </w:rPr>
        <w:t xml:space="preserve"> roku 2020</w:t>
      </w:r>
      <w:r>
        <w:rPr>
          <w:rFonts w:ascii="Arial Narrow" w:hAnsi="Arial Narrow"/>
          <w:sz w:val="20"/>
          <w:szCs w:val="20"/>
        </w:rPr>
        <w:t>, 2021, 2022</w:t>
      </w:r>
      <w:r w:rsidRPr="00CE357F">
        <w:rPr>
          <w:rFonts w:ascii="Arial Narrow" w:hAnsi="Arial Narrow"/>
          <w:sz w:val="20"/>
          <w:szCs w:val="20"/>
        </w:rPr>
        <w:t>)</w:t>
      </w:r>
      <w:r w:rsidR="00C36D37" w:rsidRPr="00CE357F">
        <w:rPr>
          <w:rFonts w:ascii="Arial Narrow" w:hAnsi="Arial Narrow"/>
          <w:sz w:val="20"/>
          <w:szCs w:val="20"/>
        </w:rPr>
        <w:t xml:space="preserve">                Tabulka: AUGUR </w:t>
      </w:r>
      <w:proofErr w:type="spellStart"/>
      <w:r w:rsidR="00C36D37" w:rsidRPr="00CE357F">
        <w:rPr>
          <w:rFonts w:ascii="Arial Narrow" w:hAnsi="Arial Narrow"/>
          <w:sz w:val="20"/>
          <w:szCs w:val="20"/>
        </w:rPr>
        <w:t>Consulting</w:t>
      </w:r>
      <w:proofErr w:type="spellEnd"/>
      <w:r w:rsidR="00C36D37" w:rsidRPr="00CE357F">
        <w:rPr>
          <w:rFonts w:ascii="Arial Narrow" w:hAnsi="Arial Narrow"/>
          <w:sz w:val="20"/>
          <w:szCs w:val="20"/>
        </w:rPr>
        <w:t xml:space="preserve"> s.r.o</w:t>
      </w:r>
    </w:p>
    <w:p w14:paraId="463EEB4D" w14:textId="599064A4" w:rsidR="00C36D37" w:rsidRPr="00173E7B" w:rsidRDefault="00D15CC3" w:rsidP="00EE1617">
      <w:pPr>
        <w:spacing w:line="276" w:lineRule="auto"/>
        <w:jc w:val="both"/>
        <w:rPr>
          <w:rFonts w:ascii="Arial Narrow" w:hAnsi="Arial Narrow"/>
          <w:bCs/>
          <w:color w:val="4472C4" w:themeColor="accent1"/>
          <w:sz w:val="20"/>
          <w:szCs w:val="20"/>
        </w:rPr>
      </w:pPr>
      <w:r w:rsidRPr="00173E7B">
        <w:rPr>
          <w:rFonts w:ascii="Arial Narrow" w:hAnsi="Arial Narrow"/>
          <w:bCs/>
          <w:color w:val="4472C4" w:themeColor="accent1"/>
          <w:sz w:val="20"/>
          <w:szCs w:val="20"/>
        </w:rPr>
        <w:t>*Skoková změna mezi některými údaji 2. a 3. čtvrtletí roku 2021 byla způsobena vyhodnocením výsledků sčítání lidí, bytů a domů.</w:t>
      </w:r>
      <w:r w:rsidR="009D66FA" w:rsidRPr="00173E7B">
        <w:rPr>
          <w:rFonts w:ascii="Arial Narrow" w:hAnsi="Arial Narrow"/>
          <w:bCs/>
          <w:color w:val="4472C4" w:themeColor="accent1"/>
          <w:sz w:val="20"/>
          <w:szCs w:val="20"/>
        </w:rPr>
        <w:t xml:space="preserve"> Vysvětlení: </w:t>
      </w:r>
      <w:r w:rsidR="00EE1617" w:rsidRPr="00173E7B">
        <w:rPr>
          <w:rFonts w:ascii="Arial Narrow" w:hAnsi="Arial Narrow"/>
          <w:bCs/>
          <w:color w:val="4472C4" w:themeColor="accent1"/>
          <w:sz w:val="20"/>
          <w:szCs w:val="20"/>
        </w:rPr>
        <w:t xml:space="preserve">Každoroční data ČSÚ vychází vždy z posledního SLBD, na které navazuje tzv. demografická bilance. Nové sčítání tak znamená nový základ pro výpočty. Nasazení nového stavu vždy způsobí menší či větší změnu v datových řadách (obvykle dojde ke snížení počtů). Hlavní příčinou je neúplná evidence vystěhování do zahraničí (nenahlašování vystěhování </w:t>
      </w:r>
      <w:r w:rsidR="00EE1617" w:rsidRPr="00173E7B">
        <w:rPr>
          <w:rFonts w:ascii="Arial Narrow" w:hAnsi="Arial Narrow"/>
          <w:bCs/>
          <w:color w:val="4472C4" w:themeColor="accent1"/>
          <w:sz w:val="20"/>
          <w:szCs w:val="20"/>
        </w:rPr>
        <w:lastRenderedPageBreak/>
        <w:t>příslušným úřadům), a to jak občanů ČR, tak cizinců. Vystěhovalá osoba tak zůstává v každoročních počtech obyvatel získaných bilancí až do nového sčítání.</w:t>
      </w:r>
      <w:r w:rsidR="00EE1617" w:rsidRPr="00173E7B">
        <w:rPr>
          <w:rStyle w:val="Znakapoznpodarou"/>
          <w:rFonts w:ascii="Arial Narrow" w:hAnsi="Arial Narrow"/>
          <w:bCs/>
          <w:color w:val="4472C4" w:themeColor="accent1"/>
          <w:sz w:val="20"/>
          <w:szCs w:val="20"/>
        </w:rPr>
        <w:footnoteReference w:id="3"/>
      </w:r>
    </w:p>
    <w:p w14:paraId="6130C065" w14:textId="77777777" w:rsidR="00D15CC3" w:rsidRPr="00173E7B" w:rsidRDefault="00D15CC3" w:rsidP="00F1264F">
      <w:pPr>
        <w:spacing w:line="276" w:lineRule="auto"/>
        <w:rPr>
          <w:rFonts w:ascii="Arial Narrow" w:hAnsi="Arial Narrow"/>
          <w:b/>
          <w:color w:val="2F5496" w:themeColor="accent1" w:themeShade="BF"/>
        </w:rPr>
      </w:pPr>
    </w:p>
    <w:p w14:paraId="48A58DAF" w14:textId="7AD1FC1B" w:rsidR="00F1264F" w:rsidRPr="00173E7B" w:rsidRDefault="00F1264F" w:rsidP="00B569EB">
      <w:pPr>
        <w:rPr>
          <w:rFonts w:ascii="Arial Narrow" w:hAnsi="Arial Narrow"/>
          <w:b/>
          <w:bCs/>
          <w:color w:val="C00000"/>
        </w:rPr>
      </w:pPr>
      <w:r w:rsidRPr="00173E7B">
        <w:rPr>
          <w:rFonts w:ascii="Arial Narrow" w:hAnsi="Arial Narrow"/>
          <w:b/>
          <w:bCs/>
          <w:color w:val="C00000"/>
        </w:rPr>
        <w:t>Podíl počtu osob s jinou než českou státní příslušností ve srovnání s jinými evropskými státy</w:t>
      </w:r>
    </w:p>
    <w:p w14:paraId="123954BC" w14:textId="77777777" w:rsidR="00F1264F" w:rsidRPr="00173E7B" w:rsidRDefault="00F1264F" w:rsidP="00F1264F">
      <w:pPr>
        <w:spacing w:line="276" w:lineRule="auto"/>
        <w:jc w:val="both"/>
        <w:rPr>
          <w:rFonts w:ascii="Arial Narrow" w:hAnsi="Arial Narrow"/>
          <w:bCs/>
        </w:rPr>
      </w:pPr>
    </w:p>
    <w:p w14:paraId="333ACFA0" w14:textId="77777777" w:rsidR="009E6EC7" w:rsidRPr="00173E7B" w:rsidRDefault="009E6EC7" w:rsidP="009E6EC7">
      <w:pPr>
        <w:spacing w:after="240" w:line="276" w:lineRule="auto"/>
        <w:jc w:val="both"/>
        <w:rPr>
          <w:rFonts w:ascii="Arial Narrow" w:hAnsi="Arial Narrow"/>
          <w:bCs/>
        </w:rPr>
      </w:pPr>
      <w:r w:rsidRPr="00173E7B">
        <w:rPr>
          <w:rFonts w:ascii="Arial Narrow" w:hAnsi="Arial Narrow"/>
          <w:bCs/>
        </w:rPr>
        <w:t>Navzdory skutečnosti, že podíl osob s jinou než českou státní příslušností na celkovém počtu obyvatel České republiky se dlouhodobě zvyšuje, ve srovnání s jinými evropskými státy se Česká republika nachází mezi zeměmi s nejnižším podílem osob s jinou státní příslušností na celkovém počtu obyvatel. K 1. 1. 2022 měli nižší podíl osob s jinou státní příslušností na celkovém obyvatelstvu pouze Maďarsko (2,1 %), Bulharsko (1,8 %), Litva (1,2 %), Polsko (1,2 %), Slovensko (1,1 %), Chorvatsko (2,4 %), a Rumunsko (0,3 %).</w:t>
      </w:r>
    </w:p>
    <w:p w14:paraId="32EAD583" w14:textId="34F780A8" w:rsidR="007133C6" w:rsidRPr="009E6EC7" w:rsidRDefault="009E6EC7" w:rsidP="009E6EC7">
      <w:pPr>
        <w:spacing w:after="240" w:line="276" w:lineRule="auto"/>
        <w:jc w:val="both"/>
        <w:rPr>
          <w:rFonts w:ascii="Arial Narrow" w:hAnsi="Arial Narrow"/>
          <w:bCs/>
        </w:rPr>
      </w:pPr>
      <w:r w:rsidRPr="00173E7B">
        <w:rPr>
          <w:rFonts w:ascii="Arial Narrow" w:hAnsi="Arial Narrow"/>
          <w:bCs/>
        </w:rPr>
        <w:t xml:space="preserve">Naopak, mezi evropské země s nejvyšším podílem osob s jinou než jejich státní příslušností na obyvatelstvu patří Lucembursko, kde osoby s jinou státní příslušností k 1. 1. 2022 tvořily téměř polovinu všech obyvatel (47,1 %), Lichtenštejnsko (34,4 %) a Malta (20,6 %). V návaznosti na rusko-ukrajinský konflikt lze očekávat změny v podílu osob s jinou státní příslušností na obyvatelstvu mezi jednotlivými evropskými státy v roce 2022. </w:t>
      </w:r>
      <w:proofErr w:type="spellStart"/>
      <w:r w:rsidRPr="00173E7B">
        <w:rPr>
          <w:rFonts w:ascii="Arial Narrow" w:hAnsi="Arial Narrow"/>
          <w:bCs/>
        </w:rPr>
        <w:t>Eurostat</w:t>
      </w:r>
      <w:proofErr w:type="spellEnd"/>
      <w:r w:rsidRPr="00173E7B">
        <w:rPr>
          <w:rFonts w:ascii="Arial Narrow" w:hAnsi="Arial Narrow"/>
          <w:bCs/>
        </w:rPr>
        <w:t xml:space="preserve"> v době vypracování této zprávy neposkytuje data k 1. 1. 2023.</w:t>
      </w:r>
      <w:r w:rsidRPr="00173E7B">
        <w:rPr>
          <w:rStyle w:val="Znakapoznpodarou"/>
          <w:rFonts w:ascii="Arial Narrow" w:hAnsi="Arial Narrow"/>
          <w:bCs/>
        </w:rPr>
        <w:footnoteReference w:id="4"/>
      </w:r>
    </w:p>
    <w:p w14:paraId="6B48BD75" w14:textId="1246AE82" w:rsidR="007133C6" w:rsidRPr="00CE357F" w:rsidRDefault="007133C6" w:rsidP="007133C6">
      <w:pPr>
        <w:pStyle w:val="Titulek"/>
        <w:keepNext/>
        <w:spacing w:after="0"/>
        <w:jc w:val="both"/>
        <w:rPr>
          <w:rFonts w:ascii="Arial Narrow" w:hAnsi="Arial Narrow"/>
          <w:color w:val="auto"/>
          <w:sz w:val="20"/>
          <w:szCs w:val="20"/>
        </w:rPr>
      </w:pPr>
      <w:bookmarkStart w:id="29" w:name="_Toc94443708"/>
      <w:bookmarkStart w:id="30" w:name="_Toc136428847"/>
      <w:r w:rsidRPr="00173E7B">
        <w:rPr>
          <w:rFonts w:ascii="Arial Narrow" w:hAnsi="Arial Narrow"/>
          <w:color w:val="auto"/>
          <w:sz w:val="20"/>
          <w:szCs w:val="20"/>
        </w:rPr>
        <w:lastRenderedPageBreak/>
        <w:t xml:space="preserve">Graf </w:t>
      </w:r>
      <w:r w:rsidRPr="00173E7B">
        <w:rPr>
          <w:rFonts w:ascii="Arial Narrow" w:hAnsi="Arial Narrow"/>
          <w:color w:val="auto"/>
          <w:sz w:val="20"/>
          <w:szCs w:val="20"/>
        </w:rPr>
        <w:fldChar w:fldCharType="begin"/>
      </w:r>
      <w:r w:rsidRPr="00173E7B">
        <w:rPr>
          <w:rFonts w:ascii="Arial Narrow" w:hAnsi="Arial Narrow"/>
          <w:color w:val="auto"/>
          <w:sz w:val="20"/>
          <w:szCs w:val="20"/>
        </w:rPr>
        <w:instrText xml:space="preserve"> SEQ Graf \* ARABIC </w:instrText>
      </w:r>
      <w:r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3</w:t>
      </w:r>
      <w:r w:rsidRPr="00173E7B">
        <w:rPr>
          <w:rFonts w:ascii="Arial Narrow" w:hAnsi="Arial Narrow"/>
          <w:color w:val="auto"/>
          <w:sz w:val="20"/>
          <w:szCs w:val="20"/>
        </w:rPr>
        <w:fldChar w:fldCharType="end"/>
      </w:r>
      <w:r w:rsidRPr="00173E7B">
        <w:rPr>
          <w:rFonts w:ascii="Arial Narrow" w:hAnsi="Arial Narrow"/>
          <w:color w:val="auto"/>
          <w:sz w:val="20"/>
          <w:szCs w:val="20"/>
        </w:rPr>
        <w:t xml:space="preserve">: Podíl </w:t>
      </w:r>
      <w:r w:rsidR="00074716" w:rsidRPr="00173E7B">
        <w:rPr>
          <w:rFonts w:ascii="Arial Narrow" w:hAnsi="Arial Narrow"/>
          <w:color w:val="auto"/>
          <w:sz w:val="20"/>
          <w:szCs w:val="20"/>
        </w:rPr>
        <w:t>osob s jinou státní příslušností</w:t>
      </w:r>
      <w:r w:rsidRPr="00173E7B">
        <w:rPr>
          <w:rFonts w:ascii="Arial Narrow" w:hAnsi="Arial Narrow"/>
          <w:color w:val="auto"/>
          <w:sz w:val="20"/>
          <w:szCs w:val="20"/>
        </w:rPr>
        <w:t xml:space="preserve"> na obyvatelstvu ve vybraných evropských státech k 1. 1. 202</w:t>
      </w:r>
      <w:bookmarkEnd w:id="29"/>
      <w:r w:rsidR="009E6EC7" w:rsidRPr="00173E7B">
        <w:rPr>
          <w:rFonts w:ascii="Arial Narrow" w:hAnsi="Arial Narrow"/>
          <w:color w:val="auto"/>
          <w:sz w:val="20"/>
          <w:szCs w:val="20"/>
        </w:rPr>
        <w:t>2</w:t>
      </w:r>
      <w:bookmarkEnd w:id="30"/>
    </w:p>
    <w:p w14:paraId="5673502D" w14:textId="0776C083" w:rsidR="00F1264F" w:rsidRPr="00CE357F" w:rsidRDefault="009E6EC7" w:rsidP="7CC7BF57">
      <w:pPr>
        <w:spacing w:line="276" w:lineRule="auto"/>
        <w:rPr>
          <w:rFonts w:ascii="Arial Narrow" w:hAnsi="Arial Narrow"/>
        </w:rPr>
      </w:pPr>
      <w:r w:rsidRPr="00CE357F">
        <w:rPr>
          <w:rFonts w:ascii="Arial Narrow" w:hAnsi="Arial Narrow"/>
          <w:b/>
          <w:noProof/>
          <w:color w:val="C00000"/>
          <w:lang w:eastAsia="cs-CZ"/>
        </w:rPr>
        <w:drawing>
          <wp:inline distT="0" distB="0" distL="0" distR="0" wp14:anchorId="71C4222D" wp14:editId="2280B91A">
            <wp:extent cx="5829300" cy="4857007"/>
            <wp:effectExtent l="0" t="0" r="0" b="127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D7B933" w14:textId="29A80B2D" w:rsidR="00F1264F" w:rsidRPr="009E6EC7" w:rsidRDefault="003827FE" w:rsidP="00F1264F">
      <w:pPr>
        <w:spacing w:line="276" w:lineRule="auto"/>
        <w:rPr>
          <w:rFonts w:ascii="Arial Narrow" w:hAnsi="Arial Narrow"/>
          <w:b/>
          <w:color w:val="2F5496" w:themeColor="accent1" w:themeShade="BF"/>
        </w:rPr>
      </w:pPr>
      <w:r w:rsidRPr="00CE357F">
        <w:rPr>
          <w:rFonts w:ascii="Arial Narrow" w:hAnsi="Arial Narrow"/>
          <w:sz w:val="20"/>
          <w:szCs w:val="20"/>
        </w:rPr>
        <w:t>Zdroj: EUROSTAT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00BE1B8D" w:rsidRPr="00CE357F">
        <w:rPr>
          <w:rFonts w:ascii="Arial Narrow" w:hAnsi="Arial Narrow"/>
          <w:bCs/>
          <w:sz w:val="20"/>
          <w:szCs w:val="20"/>
        </w:rPr>
        <w:t xml:space="preserve">        </w:t>
      </w:r>
      <w:r w:rsidRPr="00CE357F">
        <w:rPr>
          <w:rFonts w:ascii="Arial Narrow" w:hAnsi="Arial Narrow"/>
          <w:bCs/>
          <w:sz w:val="20"/>
          <w:szCs w:val="20"/>
        </w:rPr>
        <w:t xml:space="preserve">Graf: AUGUR </w:t>
      </w:r>
      <w:proofErr w:type="spellStart"/>
      <w:r w:rsidRPr="00CE357F">
        <w:rPr>
          <w:rFonts w:ascii="Arial Narrow" w:hAnsi="Arial Narrow"/>
          <w:bCs/>
          <w:sz w:val="20"/>
          <w:szCs w:val="20"/>
        </w:rPr>
        <w:t>Consulting</w:t>
      </w:r>
      <w:proofErr w:type="spellEnd"/>
      <w:r w:rsidR="00BE1B8D" w:rsidRPr="00CE357F">
        <w:rPr>
          <w:rFonts w:ascii="Arial Narrow" w:hAnsi="Arial Narrow"/>
          <w:bCs/>
          <w:sz w:val="20"/>
          <w:szCs w:val="20"/>
        </w:rPr>
        <w:t xml:space="preserve"> s.r.o.</w:t>
      </w:r>
    </w:p>
    <w:p w14:paraId="53C41AC6" w14:textId="77777777" w:rsidR="009B50F7" w:rsidRPr="00CE357F" w:rsidRDefault="009B50F7" w:rsidP="008B3D36">
      <w:pPr>
        <w:pStyle w:val="Odstavecseseznamem"/>
        <w:keepNext/>
        <w:keepLines/>
        <w:numPr>
          <w:ilvl w:val="2"/>
          <w:numId w:val="8"/>
        </w:numPr>
        <w:spacing w:before="200"/>
        <w:contextualSpacing w:val="0"/>
        <w:jc w:val="both"/>
        <w:outlineLvl w:val="2"/>
        <w:rPr>
          <w:rFonts w:ascii="Arial Narrow" w:eastAsia="Calibri" w:hAnsi="Arial Narrow" w:cs="Arial"/>
          <w:b/>
          <w:bCs/>
          <w:vanish/>
          <w:color w:val="002060"/>
          <w:sz w:val="26"/>
          <w:szCs w:val="26"/>
          <w:u w:val="single"/>
        </w:rPr>
      </w:pPr>
      <w:bookmarkStart w:id="31" w:name="_Toc94215374"/>
      <w:bookmarkStart w:id="32" w:name="_Toc94220472"/>
      <w:bookmarkStart w:id="33" w:name="_Toc94301310"/>
      <w:bookmarkStart w:id="34" w:name="_Toc94390099"/>
      <w:bookmarkStart w:id="35" w:name="_Toc94390184"/>
      <w:bookmarkStart w:id="36" w:name="_Toc94444068"/>
      <w:bookmarkStart w:id="37" w:name="_Toc95386845"/>
      <w:bookmarkStart w:id="38" w:name="_Toc95386937"/>
      <w:bookmarkStart w:id="39" w:name="_Toc95731944"/>
      <w:bookmarkStart w:id="40" w:name="_Toc95733289"/>
      <w:bookmarkStart w:id="41" w:name="_Toc95821849"/>
      <w:bookmarkStart w:id="42" w:name="_Toc95986683"/>
      <w:bookmarkStart w:id="43" w:name="_Toc125635409"/>
      <w:bookmarkStart w:id="44" w:name="_Toc132629116"/>
      <w:bookmarkStart w:id="45" w:name="_Toc13687607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12B22E0" w14:textId="00A1A1AD" w:rsidR="00B56697" w:rsidRPr="00CE357F" w:rsidRDefault="00B56697" w:rsidP="008B3D36">
      <w:pPr>
        <w:pStyle w:val="Nadpis3"/>
        <w:numPr>
          <w:ilvl w:val="2"/>
          <w:numId w:val="8"/>
        </w:numPr>
        <w:rPr>
          <w:rFonts w:eastAsia="Calibri"/>
        </w:rPr>
      </w:pPr>
      <w:bookmarkStart w:id="46" w:name="_Toc136876071"/>
      <w:r w:rsidRPr="00CE357F">
        <w:rPr>
          <w:rFonts w:eastAsia="Calibri"/>
        </w:rPr>
        <w:t>Osoby s jinou než českou státní příslušností podle územního srovnání</w:t>
      </w:r>
      <w:bookmarkEnd w:id="46"/>
    </w:p>
    <w:p w14:paraId="25E229C5" w14:textId="77777777" w:rsidR="009029A2" w:rsidRPr="00CE357F" w:rsidRDefault="009029A2" w:rsidP="00B569EB">
      <w:pPr>
        <w:spacing w:line="276" w:lineRule="auto"/>
        <w:jc w:val="both"/>
        <w:rPr>
          <w:rFonts w:ascii="Arial Narrow" w:hAnsi="Arial Narrow"/>
        </w:rPr>
      </w:pPr>
    </w:p>
    <w:p w14:paraId="258FDB8D" w14:textId="678C2C53" w:rsidR="00052880" w:rsidRPr="00893AB3" w:rsidRDefault="00052880" w:rsidP="00052880">
      <w:pPr>
        <w:spacing w:after="240" w:line="276" w:lineRule="auto"/>
        <w:jc w:val="both"/>
        <w:rPr>
          <w:rFonts w:ascii="Arial Narrow" w:hAnsi="Arial Narrow"/>
        </w:rPr>
      </w:pPr>
      <w:bookmarkStart w:id="47" w:name="_Toc94443709"/>
      <w:r w:rsidRPr="00893AB3">
        <w:rPr>
          <w:rFonts w:ascii="Arial Narrow" w:hAnsi="Arial Narrow"/>
        </w:rPr>
        <w:t>K 31. 12. 2022 žilo na území České republiky celkem 1 116 154 osob s jinou než českou státní příslušností</w:t>
      </w:r>
      <w:r w:rsidRPr="00893AB3">
        <w:rPr>
          <w:rFonts w:ascii="Arial Narrow" w:eastAsia="Calibri" w:hAnsi="Arial Narrow"/>
          <w:bCs/>
        </w:rPr>
        <w:t xml:space="preserve"> </w:t>
      </w:r>
      <w:r w:rsidRPr="00893AB3">
        <w:rPr>
          <w:rFonts w:ascii="Arial Narrow" w:hAnsi="Arial Narrow"/>
        </w:rPr>
        <w:t xml:space="preserve">(bez azylantů). Více než 1/3 všech osob s jinou než českou státní příslušností žila na území Prahy (31,0 %). Druhý nejvyšší podíl osob s jinou než českou státní příslušností byl evidován na území Středočeského kraje (14,3 %). Na základě těchto údajů lze tvrdit, že </w:t>
      </w:r>
      <w:bookmarkStart w:id="48" w:name="_Hlk95482988"/>
      <w:r w:rsidRPr="00893AB3">
        <w:rPr>
          <w:rFonts w:ascii="Arial Narrow" w:hAnsi="Arial Narrow"/>
        </w:rPr>
        <w:t xml:space="preserve">ke konci roku 2022 téměř polovina všech osob s jinou než českou státní příslušností v České republice (45,3 %) </w:t>
      </w:r>
      <w:bookmarkEnd w:id="48"/>
      <w:r w:rsidRPr="00893AB3">
        <w:rPr>
          <w:rFonts w:ascii="Arial Narrow" w:hAnsi="Arial Narrow"/>
        </w:rPr>
        <w:t xml:space="preserve">koncentrována na území Prahy a Středočeského kraje. Třetí nejvyšší podíl osob s jinou než českou státní příslušností byl zaznamenán na území Jihomoravského kraje, na jehož území žila </w:t>
      </w:r>
      <w:r w:rsidRPr="00270A4C">
        <w:rPr>
          <w:rFonts w:ascii="Arial Narrow" w:hAnsi="Arial Narrow"/>
        </w:rPr>
        <w:t xml:space="preserve">k 31. 12. 2022 </w:t>
      </w:r>
      <w:bookmarkStart w:id="49" w:name="_Hlk95483038"/>
      <w:r w:rsidRPr="00270A4C">
        <w:rPr>
          <w:rFonts w:ascii="Arial Narrow" w:hAnsi="Arial Narrow"/>
        </w:rPr>
        <w:t>přibližně 1 osoba s jinou než českou státní příslušností z 10 (</w:t>
      </w:r>
      <w:r w:rsidR="00B361AC" w:rsidRPr="00270A4C">
        <w:rPr>
          <w:rFonts w:ascii="Arial Narrow" w:hAnsi="Arial Narrow"/>
        </w:rPr>
        <w:t>9,4</w:t>
      </w:r>
      <w:r w:rsidRPr="00270A4C">
        <w:rPr>
          <w:rFonts w:ascii="Arial Narrow" w:hAnsi="Arial Narrow"/>
        </w:rPr>
        <w:t xml:space="preserve"> %).</w:t>
      </w:r>
      <w:r w:rsidRPr="00893AB3">
        <w:rPr>
          <w:rFonts w:ascii="Arial Narrow" w:hAnsi="Arial Narrow"/>
        </w:rPr>
        <w:t xml:space="preserve"> </w:t>
      </w:r>
    </w:p>
    <w:p w14:paraId="7633F7CE" w14:textId="667E7FBE" w:rsidR="003827FE" w:rsidRPr="00893AB3" w:rsidRDefault="003827FE" w:rsidP="003827FE">
      <w:pPr>
        <w:pStyle w:val="Titulek"/>
        <w:keepNext/>
        <w:spacing w:after="0"/>
        <w:jc w:val="both"/>
        <w:rPr>
          <w:rFonts w:ascii="Arial Narrow" w:hAnsi="Arial Narrow"/>
          <w:color w:val="auto"/>
          <w:sz w:val="20"/>
          <w:szCs w:val="20"/>
        </w:rPr>
      </w:pPr>
      <w:bookmarkStart w:id="50" w:name="_Toc136428848"/>
      <w:bookmarkEnd w:id="49"/>
      <w:r w:rsidRPr="00893AB3">
        <w:rPr>
          <w:rFonts w:ascii="Arial Narrow" w:hAnsi="Arial Narrow"/>
          <w:color w:val="auto"/>
          <w:sz w:val="20"/>
          <w:szCs w:val="20"/>
        </w:rPr>
        <w:lastRenderedPageBreak/>
        <w:t xml:space="preserve">Graf </w:t>
      </w:r>
      <w:r w:rsidR="00B63C25" w:rsidRPr="00893AB3">
        <w:rPr>
          <w:rFonts w:ascii="Arial Narrow" w:hAnsi="Arial Narrow"/>
          <w:color w:val="auto"/>
          <w:sz w:val="20"/>
          <w:szCs w:val="20"/>
        </w:rPr>
        <w:fldChar w:fldCharType="begin"/>
      </w:r>
      <w:r w:rsidR="00B63C25" w:rsidRPr="00893AB3">
        <w:rPr>
          <w:rFonts w:ascii="Arial Narrow" w:hAnsi="Arial Narrow"/>
          <w:color w:val="auto"/>
          <w:sz w:val="20"/>
          <w:szCs w:val="20"/>
        </w:rPr>
        <w:instrText xml:space="preserve"> SEQ Graf \* ARABIC </w:instrText>
      </w:r>
      <w:r w:rsidR="00B63C25" w:rsidRPr="00893AB3">
        <w:rPr>
          <w:rFonts w:ascii="Arial Narrow" w:hAnsi="Arial Narrow"/>
          <w:color w:val="auto"/>
          <w:sz w:val="20"/>
          <w:szCs w:val="20"/>
        </w:rPr>
        <w:fldChar w:fldCharType="separate"/>
      </w:r>
      <w:r w:rsidR="009F49C8">
        <w:rPr>
          <w:rFonts w:ascii="Arial Narrow" w:hAnsi="Arial Narrow"/>
          <w:noProof/>
          <w:color w:val="auto"/>
          <w:sz w:val="20"/>
          <w:szCs w:val="20"/>
        </w:rPr>
        <w:t>4</w:t>
      </w:r>
      <w:r w:rsidR="00B63C25" w:rsidRPr="00893AB3">
        <w:rPr>
          <w:rFonts w:ascii="Arial Narrow" w:hAnsi="Arial Narrow"/>
          <w:color w:val="auto"/>
          <w:sz w:val="20"/>
          <w:szCs w:val="20"/>
        </w:rPr>
        <w:fldChar w:fldCharType="end"/>
      </w:r>
      <w:r w:rsidRPr="00893AB3">
        <w:rPr>
          <w:rFonts w:ascii="Arial Narrow" w:hAnsi="Arial Narrow"/>
          <w:color w:val="auto"/>
          <w:sz w:val="20"/>
          <w:szCs w:val="20"/>
        </w:rPr>
        <w:t>: Územní srovnání rozložení osob s jinou než českou státní příslušností podle krajů k 31. 12. 202</w:t>
      </w:r>
      <w:bookmarkEnd w:id="47"/>
      <w:r w:rsidR="00052880" w:rsidRPr="00893AB3">
        <w:rPr>
          <w:rFonts w:ascii="Arial Narrow" w:hAnsi="Arial Narrow"/>
          <w:color w:val="auto"/>
          <w:sz w:val="20"/>
          <w:szCs w:val="20"/>
        </w:rPr>
        <w:t>2</w:t>
      </w:r>
      <w:bookmarkEnd w:id="50"/>
      <w:r w:rsidRPr="00893AB3">
        <w:rPr>
          <w:rFonts w:ascii="Arial Narrow" w:hAnsi="Arial Narrow"/>
          <w:color w:val="auto"/>
          <w:sz w:val="20"/>
          <w:szCs w:val="20"/>
        </w:rPr>
        <w:t xml:space="preserve"> </w:t>
      </w:r>
    </w:p>
    <w:p w14:paraId="2BE6D688" w14:textId="1E299249" w:rsidR="00B569EB" w:rsidRPr="00CE357F" w:rsidRDefault="00B569EB" w:rsidP="003827FE">
      <w:pPr>
        <w:spacing w:line="276" w:lineRule="auto"/>
        <w:rPr>
          <w:rFonts w:ascii="Arial Narrow" w:hAnsi="Arial Narrow"/>
        </w:rPr>
      </w:pPr>
      <w:r w:rsidRPr="00CE357F">
        <w:rPr>
          <w:rFonts w:ascii="Arial Narrow" w:eastAsia="Calibri" w:hAnsi="Arial Narrow"/>
          <w:b/>
          <w:noProof/>
          <w:color w:val="2F5496"/>
          <w:lang w:eastAsia="cs-CZ"/>
        </w:rPr>
        <w:drawing>
          <wp:anchor distT="0" distB="0" distL="114300" distR="114300" simplePos="0" relativeHeight="251637248" behindDoc="0" locked="0" layoutInCell="1" allowOverlap="1" wp14:anchorId="43FE85A3" wp14:editId="2DBC2C69">
            <wp:simplePos x="0" y="0"/>
            <wp:positionH relativeFrom="margin">
              <wp:posOffset>3605530</wp:posOffset>
            </wp:positionH>
            <wp:positionV relativeFrom="paragraph">
              <wp:posOffset>359409</wp:posOffset>
            </wp:positionV>
            <wp:extent cx="2047875" cy="3152775"/>
            <wp:effectExtent l="0" t="0" r="28575" b="0"/>
            <wp:wrapNone/>
            <wp:docPr id="2062" name="Diagram 20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V relativeFrom="margin">
              <wp14:pctHeight>0</wp14:pctHeight>
            </wp14:sizeRelV>
          </wp:anchor>
        </w:drawing>
      </w:r>
      <w:r w:rsidR="00052880" w:rsidRPr="00CE357F">
        <w:rPr>
          <w:rFonts w:ascii="Arial Narrow" w:hAnsi="Arial Narrow"/>
          <w:b/>
          <w:noProof/>
          <w:color w:val="2F5496" w:themeColor="accent1" w:themeShade="BF"/>
          <w:lang w:eastAsia="cs-CZ"/>
        </w:rPr>
        <w:drawing>
          <wp:inline distT="0" distB="0" distL="0" distR="0" wp14:anchorId="3BDDAC1F" wp14:editId="2F55F181">
            <wp:extent cx="5760720" cy="3799422"/>
            <wp:effectExtent l="0" t="0" r="0" b="0"/>
            <wp:docPr id="2058" name="Graf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C0F559" w14:textId="23668701" w:rsidR="00B569EB" w:rsidRPr="00CE357F" w:rsidRDefault="00B569EB" w:rsidP="00B569EB">
      <w:pPr>
        <w:spacing w:line="276" w:lineRule="auto"/>
        <w:rPr>
          <w:rFonts w:ascii="Arial Narrow" w:hAnsi="Arial Narrow"/>
        </w:rPr>
      </w:pPr>
      <w:r w:rsidRPr="00CE357F">
        <w:rPr>
          <w:rFonts w:ascii="Arial Narrow" w:hAnsi="Arial Narrow"/>
          <w:sz w:val="20"/>
          <w:szCs w:val="20"/>
        </w:rPr>
        <w:t xml:space="preserve">Zdroj: </w:t>
      </w:r>
      <w:r w:rsidR="00EC14EC" w:rsidRPr="00CE357F">
        <w:rPr>
          <w:rFonts w:ascii="Arial Narrow" w:eastAsia="Times New Roman" w:hAnsi="Arial Narrow" w:cs="Arial"/>
          <w:color w:val="000000"/>
          <w:sz w:val="20"/>
          <w:szCs w:val="20"/>
          <w:lang w:eastAsia="cs-CZ"/>
        </w:rPr>
        <w:t>Český statistický úřad</w:t>
      </w:r>
      <w:r w:rsidR="00EC14EC" w:rsidRPr="00CE357F">
        <w:rPr>
          <w:rFonts w:ascii="Arial Narrow" w:hAnsi="Arial Narrow"/>
          <w:sz w:val="20"/>
          <w:szCs w:val="20"/>
        </w:rPr>
        <w:t xml:space="preserve"> (data platná k 31. 12. 202</w:t>
      </w:r>
      <w:r w:rsidR="00052880">
        <w:rPr>
          <w:rFonts w:ascii="Arial Narrow" w:hAnsi="Arial Narrow"/>
          <w:sz w:val="20"/>
          <w:szCs w:val="20"/>
        </w:rPr>
        <w:t>2</w:t>
      </w:r>
      <w:r w:rsidR="00EC14EC" w:rsidRPr="00CE357F">
        <w:rPr>
          <w:rFonts w:ascii="Arial Narrow" w:hAnsi="Arial Narrow"/>
          <w:sz w:val="20"/>
          <w:szCs w:val="20"/>
        </w:rPr>
        <w:t>)</w:t>
      </w:r>
      <w:r w:rsidR="00EC14EC"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00D67E2F" w:rsidRPr="00CE357F">
        <w:rPr>
          <w:rFonts w:ascii="Arial Narrow" w:hAnsi="Arial Narrow"/>
          <w:sz w:val="20"/>
          <w:szCs w:val="20"/>
        </w:rPr>
        <w:t xml:space="preserve">          </w:t>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72913E48" w14:textId="7F1A6233" w:rsidR="00B569EB" w:rsidRPr="00CE357F" w:rsidRDefault="00B569EB" w:rsidP="00B569EB">
      <w:pPr>
        <w:spacing w:line="276" w:lineRule="auto"/>
        <w:rPr>
          <w:rFonts w:ascii="Arial Narrow" w:hAnsi="Arial Narrow"/>
        </w:rPr>
      </w:pPr>
    </w:p>
    <w:p w14:paraId="2FE4E818" w14:textId="77777777" w:rsidR="00052880" w:rsidRDefault="00052880" w:rsidP="00D9617E">
      <w:pPr>
        <w:spacing w:after="120" w:line="276" w:lineRule="auto"/>
        <w:jc w:val="both"/>
        <w:rPr>
          <w:rFonts w:ascii="Arial Narrow" w:hAnsi="Arial Narrow"/>
        </w:rPr>
      </w:pPr>
      <w:bookmarkStart w:id="51" w:name="_Hlk95483520"/>
      <w:r w:rsidRPr="00A0114E">
        <w:rPr>
          <w:rFonts w:ascii="Arial Narrow" w:hAnsi="Arial Narrow"/>
        </w:rPr>
        <w:t xml:space="preserve">Mezi osobami s jinou než českou státní příslušností žijícími v České republice dlouhodobě převládali muži nad ženami a občané třetích zemí nad občany ze zemí EU. </w:t>
      </w:r>
      <w:bookmarkEnd w:id="51"/>
      <w:r w:rsidRPr="00A0114E">
        <w:rPr>
          <w:rFonts w:ascii="Arial Narrow" w:hAnsi="Arial Narrow"/>
        </w:rPr>
        <w:t>V roce 2020 převládali z hlediska počtu muži nad ženami ve všech krajích České republiky a občané třetích zemí nad občany ze zemí EU ve všech krajích České republiky s výjimkou Moravskoslezského kraje. Z hlediska státního občanství osob s jinou než českou státní příslušností pocházejících ze zemí EU byl ve všech krajích s výjimkou Ústeckého zaznamenán nejvyšší počet občanů Slovenska, z hlediska osob pocházejících ze třetích zemí byl ve všech krajích s výjimkou Moravskoslezského zaznamenán nejvyšší počet občanů Ukrajiny.</w:t>
      </w:r>
    </w:p>
    <w:p w14:paraId="22138D4B" w14:textId="77777777" w:rsidR="00893AB3" w:rsidRDefault="00893AB3" w:rsidP="00D9617E">
      <w:pPr>
        <w:spacing w:after="120" w:line="276" w:lineRule="auto"/>
        <w:jc w:val="both"/>
        <w:rPr>
          <w:rFonts w:ascii="Arial Narrow" w:hAnsi="Arial Narrow"/>
        </w:rPr>
      </w:pPr>
      <w:r w:rsidRPr="00CE357F">
        <w:rPr>
          <w:rFonts w:ascii="Arial Narrow" w:hAnsi="Arial Narrow"/>
        </w:rPr>
        <w:t xml:space="preserve">Na území Jihomoravského kraje žilo k 31. 12. 2020 celkem 58 549 osob s jinou než českou státní příslušností, z toho bylo 24 851 žen (42,4 %) a 33 698 mužů (57,6 %). Téměř 3/5 (59,3 %) všech osob s jinou než českou státní příslušností byli občané třetích zemí, zbývajících 40,7 % byli občané EU. Z hlediska státního občanství osob s jinou než českou státní příslušností pocházejících ze zemí EU byli nejvíce zastoupení občané Slovenska (25,7 %), z hlediska osob ze třetích zemí potom občané Ukrajiny (24,4 %). </w:t>
      </w:r>
    </w:p>
    <w:p w14:paraId="3D3571AE" w14:textId="2DAD5B17" w:rsidR="00893AB3" w:rsidRPr="00893AB3" w:rsidRDefault="00893AB3" w:rsidP="00D9617E">
      <w:pPr>
        <w:spacing w:after="120" w:line="276" w:lineRule="auto"/>
        <w:jc w:val="both"/>
        <w:rPr>
          <w:rFonts w:ascii="Arial Narrow" w:hAnsi="Arial Narrow"/>
        </w:rPr>
      </w:pPr>
      <w:bookmarkStart w:id="52" w:name="_Hlk131512980"/>
      <w:r w:rsidRPr="00D9617E">
        <w:rPr>
          <w:rFonts w:ascii="Arial Narrow" w:hAnsi="Arial Narrow"/>
          <w:b/>
          <w:bCs/>
        </w:rPr>
        <w:t>V roce 2022 došlo poprvé v historii ČR k vyrovnání poměru pohlaví osob s jinou než českou státní příslušností.</w:t>
      </w:r>
      <w:r w:rsidRPr="00893AB3">
        <w:rPr>
          <w:rFonts w:ascii="Arial Narrow" w:hAnsi="Arial Narrow"/>
        </w:rPr>
        <w:t xml:space="preserve"> </w:t>
      </w:r>
      <w:bookmarkEnd w:id="52"/>
      <w:r w:rsidRPr="00893AB3">
        <w:rPr>
          <w:rFonts w:ascii="Arial Narrow" w:hAnsi="Arial Narrow"/>
        </w:rPr>
        <w:t xml:space="preserve">Podíl žen ve většině krajů ČR převýšil podíl mužů. Největší podíl osob ženského pohlaví s jinou než českou státní příslušností byl v Karlovarském a Libereckém kraji. Naopak v Ústeckém a Pardubickém kraji bylo mužů stále více než žen. Vysvětlujícím faktorem pro zmíněné vyrovnání poměru pohlaví je silná asymetrie poměru žen, které přišly do ČR v důsledku konfliktu na Ukrajině.  Stále platí, že ve všech krajích ČR je více osob ze třetích zemí, než osob ze zemí Evropské unie. </w:t>
      </w:r>
    </w:p>
    <w:p w14:paraId="11FD13D0" w14:textId="7D5702F8" w:rsidR="00893AB3" w:rsidRPr="00173E7B" w:rsidRDefault="3D5B8AE4" w:rsidP="00D9617E">
      <w:pPr>
        <w:spacing w:after="120" w:line="276" w:lineRule="auto"/>
        <w:jc w:val="both"/>
        <w:rPr>
          <w:rFonts w:ascii="Arial Narrow" w:hAnsi="Arial Narrow"/>
        </w:rPr>
      </w:pPr>
      <w:r w:rsidRPr="2645E051">
        <w:rPr>
          <w:rFonts w:ascii="Arial Narrow" w:hAnsi="Arial Narrow"/>
        </w:rPr>
        <w:t xml:space="preserve">Z hlediska státního občanství osob s jinou než českou státní příslušností pocházejících ze zemí EU byl ve všech krajích nejvyšší počet občanů Slovenska, stran osob pocházejících ze třetích zemí ve všech krajích výrazně převládá </w:t>
      </w:r>
      <w:r w:rsidR="00491CAB">
        <w:rPr>
          <w:rFonts w:ascii="Arial Narrow" w:hAnsi="Arial Narrow"/>
        </w:rPr>
        <w:t>u</w:t>
      </w:r>
      <w:r w:rsidRPr="2645E051">
        <w:rPr>
          <w:rFonts w:ascii="Arial Narrow" w:hAnsi="Arial Narrow"/>
        </w:rPr>
        <w:t xml:space="preserve">krajinská národnost. </w:t>
      </w:r>
      <w:r w:rsidR="00491CAB" w:rsidRPr="00491CAB">
        <w:rPr>
          <w:rFonts w:ascii="Arial Narrow" w:hAnsi="Arial Narrow"/>
        </w:rPr>
        <w:t xml:space="preserve">Z meziročního srovnání je zjevný výrazný nárůst osob s jinou než českou státní </w:t>
      </w:r>
      <w:r w:rsidR="00491CAB" w:rsidRPr="00173E7B">
        <w:rPr>
          <w:rFonts w:ascii="Arial Narrow" w:hAnsi="Arial Narrow"/>
        </w:rPr>
        <w:lastRenderedPageBreak/>
        <w:t>příslušnosti v roce 2022. Z dat ministerstva vnitra je patrné, že za skokovým nárůstem stojí zvýšený počet osob ukrajinské státní příslušnosti ve všech krajích. Meziročně n</w:t>
      </w:r>
      <w:r w:rsidRPr="00173E7B">
        <w:rPr>
          <w:rFonts w:ascii="Arial Narrow" w:hAnsi="Arial Narrow"/>
        </w:rPr>
        <w:t>ejvíce vzrostl počet</w:t>
      </w:r>
      <w:r w:rsidR="00491CAB" w:rsidRPr="00173E7B">
        <w:rPr>
          <w:rFonts w:ascii="Arial Narrow" w:hAnsi="Arial Narrow"/>
        </w:rPr>
        <w:t xml:space="preserve"> </w:t>
      </w:r>
      <w:r w:rsidRPr="00173E7B">
        <w:rPr>
          <w:rFonts w:ascii="Arial Narrow" w:hAnsi="Arial Narrow"/>
        </w:rPr>
        <w:t>osob s jinou než českou státní příslušností v Kraji Vysočina, naopak nejméně v Praze.</w:t>
      </w:r>
      <w:r w:rsidR="00491CAB" w:rsidRPr="00173E7B">
        <w:rPr>
          <w:rFonts w:ascii="Arial Narrow" w:hAnsi="Arial Narrow"/>
        </w:rPr>
        <w:t xml:space="preserve"> Podrobněji dokumentuje </w:t>
      </w:r>
      <w:r w:rsidR="00491CAB" w:rsidRPr="00173E7B">
        <w:rPr>
          <w:rFonts w:ascii="Arial Narrow" w:hAnsi="Arial Narrow"/>
          <w:color w:val="000000" w:themeColor="text1"/>
        </w:rPr>
        <w:t xml:space="preserve">graf č. </w:t>
      </w:r>
      <w:r w:rsidR="009F49C8" w:rsidRPr="00173E7B">
        <w:rPr>
          <w:rFonts w:ascii="Arial Narrow" w:hAnsi="Arial Narrow"/>
          <w:color w:val="000000" w:themeColor="text1"/>
        </w:rPr>
        <w:t>5</w:t>
      </w:r>
      <w:r w:rsidR="00491CAB" w:rsidRPr="00173E7B">
        <w:rPr>
          <w:rFonts w:ascii="Arial Narrow" w:hAnsi="Arial Narrow"/>
          <w:color w:val="000000" w:themeColor="text1"/>
        </w:rPr>
        <w:t>.</w:t>
      </w:r>
      <w:r w:rsidR="00D46663" w:rsidRPr="00173E7B">
        <w:rPr>
          <w:rFonts w:ascii="Arial Narrow" w:hAnsi="Arial Narrow"/>
          <w:color w:val="000000" w:themeColor="text1"/>
        </w:rPr>
        <w:t xml:space="preserve"> </w:t>
      </w:r>
      <w:r w:rsidR="00D46663" w:rsidRPr="00173E7B">
        <w:rPr>
          <w:rFonts w:ascii="Arial Narrow" w:hAnsi="Arial Narrow"/>
        </w:rPr>
        <w:t>Čísla nad jednotlivými datovými řadami krajů uvádějí procentuální nárůst počtu od roku 2020 do roku 2022.</w:t>
      </w:r>
    </w:p>
    <w:p w14:paraId="00FE8FFF" w14:textId="55DD87F1" w:rsidR="009F49C8" w:rsidRPr="009F49C8" w:rsidRDefault="009F49C8" w:rsidP="009F49C8">
      <w:pPr>
        <w:pStyle w:val="Titulek"/>
        <w:keepNext/>
        <w:spacing w:after="0"/>
        <w:jc w:val="both"/>
        <w:rPr>
          <w:rFonts w:ascii="Arial Narrow" w:hAnsi="Arial Narrow"/>
          <w:color w:val="auto"/>
          <w:sz w:val="20"/>
          <w:szCs w:val="20"/>
        </w:rPr>
      </w:pPr>
      <w:bookmarkStart w:id="53" w:name="_Toc136428849"/>
      <w:r w:rsidRPr="00173E7B">
        <w:rPr>
          <w:rFonts w:ascii="Arial Narrow" w:hAnsi="Arial Narrow"/>
          <w:color w:val="auto"/>
          <w:sz w:val="20"/>
          <w:szCs w:val="20"/>
        </w:rPr>
        <w:t xml:space="preserve">Graf </w:t>
      </w:r>
      <w:r w:rsidRPr="00173E7B">
        <w:rPr>
          <w:rFonts w:ascii="Arial Narrow" w:hAnsi="Arial Narrow"/>
          <w:color w:val="auto"/>
          <w:sz w:val="20"/>
          <w:szCs w:val="20"/>
        </w:rPr>
        <w:fldChar w:fldCharType="begin"/>
      </w:r>
      <w:r w:rsidRPr="00173E7B">
        <w:rPr>
          <w:rFonts w:ascii="Arial Narrow" w:hAnsi="Arial Narrow"/>
          <w:color w:val="auto"/>
          <w:sz w:val="20"/>
          <w:szCs w:val="20"/>
        </w:rPr>
        <w:instrText xml:space="preserve"> SEQ Graf \* ARABIC </w:instrText>
      </w:r>
      <w:r w:rsidRPr="00173E7B">
        <w:rPr>
          <w:rFonts w:ascii="Arial Narrow" w:hAnsi="Arial Narrow"/>
          <w:color w:val="auto"/>
          <w:sz w:val="20"/>
          <w:szCs w:val="20"/>
        </w:rPr>
        <w:fldChar w:fldCharType="separate"/>
      </w:r>
      <w:r w:rsidRPr="00173E7B">
        <w:rPr>
          <w:rFonts w:ascii="Arial Narrow" w:hAnsi="Arial Narrow"/>
          <w:noProof/>
          <w:color w:val="auto"/>
          <w:sz w:val="20"/>
          <w:szCs w:val="20"/>
        </w:rPr>
        <w:t>5</w:t>
      </w:r>
      <w:r w:rsidRPr="00173E7B">
        <w:rPr>
          <w:rFonts w:ascii="Arial Narrow" w:hAnsi="Arial Narrow"/>
          <w:color w:val="auto"/>
          <w:sz w:val="20"/>
          <w:szCs w:val="20"/>
        </w:rPr>
        <w:fldChar w:fldCharType="end"/>
      </w:r>
      <w:r w:rsidRPr="00173E7B">
        <w:rPr>
          <w:rFonts w:ascii="Arial Narrow" w:hAnsi="Arial Narrow"/>
          <w:color w:val="auto"/>
          <w:sz w:val="20"/>
          <w:szCs w:val="20"/>
        </w:rPr>
        <w:t>: Srovnání počtu osob s jinou než českou státní příslušností v krajích mezi lety 2020 a 2022.</w:t>
      </w:r>
      <w:bookmarkEnd w:id="53"/>
    </w:p>
    <w:p w14:paraId="7F73BFB5" w14:textId="5A7CD4EB" w:rsidR="009F49C8" w:rsidRDefault="006F60B1" w:rsidP="00D9617E">
      <w:pPr>
        <w:spacing w:after="120" w:line="276" w:lineRule="auto"/>
        <w:jc w:val="both"/>
        <w:rPr>
          <w:rFonts w:ascii="Arial Narrow" w:hAnsi="Arial Narrow"/>
        </w:rPr>
      </w:pPr>
      <w:r w:rsidRPr="009F49C8">
        <w:rPr>
          <w:rFonts w:ascii="Arial Narrow" w:hAnsi="Arial Narrow"/>
          <w:noProof/>
          <w:sz w:val="20"/>
          <w:szCs w:val="20"/>
          <w:lang w:eastAsia="cs-CZ"/>
        </w:rPr>
        <mc:AlternateContent>
          <mc:Choice Requires="wps">
            <w:drawing>
              <wp:anchor distT="45720" distB="45720" distL="114300" distR="114300" simplePos="0" relativeHeight="251718144" behindDoc="0" locked="0" layoutInCell="1" allowOverlap="1" wp14:anchorId="2CA72D4A" wp14:editId="35E353C5">
                <wp:simplePos x="0" y="0"/>
                <wp:positionH relativeFrom="column">
                  <wp:posOffset>5225727</wp:posOffset>
                </wp:positionH>
                <wp:positionV relativeFrom="paragraph">
                  <wp:posOffset>1508545</wp:posOffset>
                </wp:positionV>
                <wp:extent cx="269272" cy="134635"/>
                <wp:effectExtent l="0" t="0" r="16510" b="17780"/>
                <wp:wrapNone/>
                <wp:docPr id="2502284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72" cy="13463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2D53338F" w14:textId="50E7408E" w:rsidR="00BC1C0D" w:rsidRPr="009F49C8" w:rsidRDefault="00BC1C0D" w:rsidP="00D46663">
                            <w:pPr>
                              <w:rPr>
                                <w:rFonts w:ascii="Arial Narrow" w:hAnsi="Arial Narrow"/>
                                <w:b/>
                                <w:bCs/>
                                <w:sz w:val="16"/>
                                <w:szCs w:val="16"/>
                              </w:rPr>
                            </w:pPr>
                            <w:r>
                              <w:rPr>
                                <w:rFonts w:ascii="Arial Narrow" w:hAnsi="Arial Narrow"/>
                                <w:b/>
                                <w:bCs/>
                                <w:sz w:val="16"/>
                                <w:szCs w:val="16"/>
                              </w:rPr>
                              <w:t xml:space="preserve"> 127</w:t>
                            </w:r>
                            <w:r w:rsidRPr="009F49C8">
                              <w:rPr>
                                <w:rFonts w:ascii="Arial Narrow" w:hAnsi="Arial Narrow"/>
                                <w:b/>
                                <w:bCs/>
                                <w:sz w:val="16"/>
                                <w:szCs w:val="16"/>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A72D4A" id="_x0000_t202" coordsize="21600,21600" o:spt="202" path="m,l,21600r21600,l21600,xe">
                <v:stroke joinstyle="miter"/>
                <v:path gradientshapeok="t" o:connecttype="rect"/>
              </v:shapetype>
              <v:shape id="Textové pole 2" o:spid="_x0000_s1026" type="#_x0000_t202" style="position:absolute;left:0;text-align:left;margin-left:411.45pt;margin-top:118.8pt;width:21.2pt;height:10.6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" fillcolor="white [3201]" strokecolor="black [3200]">
                <v:textbox inset="0,0,0,0">
                  <w:txbxContent>
                    <w:p w14:paraId="2D53338F" w14:textId="50E7408E" w:rsidR="00BC1C0D" w:rsidRPr="009F49C8" w:rsidRDefault="00BC1C0D" w:rsidP="00D46663">
                      <w:pPr>
                        <w:rPr>
                          <w:rFonts w:ascii="Arial Narrow" w:hAnsi="Arial Narrow"/>
                          <w:b/>
                          <w:bCs/>
                          <w:sz w:val="16"/>
                          <w:szCs w:val="16"/>
                        </w:rPr>
                      </w:pPr>
                      <w:r>
                        <w:rPr>
                          <w:rFonts w:ascii="Arial Narrow" w:hAnsi="Arial Narrow"/>
                          <w:b/>
                          <w:bCs/>
                          <w:sz w:val="16"/>
                          <w:szCs w:val="16"/>
                        </w:rPr>
                        <w:t xml:space="preserve"> 127</w:t>
                      </w:r>
                      <w:r w:rsidRPr="009F49C8">
                        <w:rPr>
                          <w:rFonts w:ascii="Arial Narrow" w:hAnsi="Arial Narrow"/>
                          <w:b/>
                          <w:bCs/>
                          <w:sz w:val="16"/>
                          <w:szCs w:val="16"/>
                        </w:rPr>
                        <w:t xml:space="preserve"> %</w:t>
                      </w:r>
                    </w:p>
                  </w:txbxContent>
                </v:textbox>
              </v:shape>
            </w:pict>
          </mc:Fallback>
        </mc:AlternateContent>
      </w:r>
      <w:r w:rsidRPr="009F49C8">
        <w:rPr>
          <w:rFonts w:ascii="Arial Narrow" w:hAnsi="Arial Narrow"/>
          <w:noProof/>
          <w:sz w:val="20"/>
          <w:szCs w:val="20"/>
          <w:lang w:eastAsia="cs-CZ"/>
        </w:rPr>
        <mc:AlternateContent>
          <mc:Choice Requires="wps">
            <w:drawing>
              <wp:anchor distT="45720" distB="45720" distL="114300" distR="114300" simplePos="0" relativeHeight="251716096" behindDoc="0" locked="0" layoutInCell="1" allowOverlap="1" wp14:anchorId="0D86090E" wp14:editId="6D28A6C8">
                <wp:simplePos x="0" y="0"/>
                <wp:positionH relativeFrom="column">
                  <wp:posOffset>4867096</wp:posOffset>
                </wp:positionH>
                <wp:positionV relativeFrom="paragraph">
                  <wp:posOffset>1508818</wp:posOffset>
                </wp:positionV>
                <wp:extent cx="274881" cy="219075"/>
                <wp:effectExtent l="0" t="0" r="11430" b="26670"/>
                <wp:wrapNone/>
                <wp:docPr id="14089831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81" cy="21907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38E8D9EF" w14:textId="6C901C40"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109</w:t>
                            </w:r>
                            <w:r w:rsidRPr="009F49C8">
                              <w:rPr>
                                <w:rFonts w:ascii="Arial Narrow" w:hAnsi="Arial Narrow"/>
                                <w:b/>
                                <w:bCs/>
                                <w:sz w:val="16"/>
                                <w:szCs w:val="16"/>
                              </w:rPr>
                              <w:t xml:space="preserve">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D86090E" id="_x0000_s1027" type="#_x0000_t202" style="position:absolute;left:0;text-align:left;margin-left:383.25pt;margin-top:118.8pt;width:21.65pt;height:17.2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" fillcolor="white [3201]" strokecolor="black [3200]">
                <v:textbox style="mso-fit-shape-to-text:t" inset="0,0,0,0">
                  <w:txbxContent>
                    <w:p w14:paraId="38E8D9EF" w14:textId="6C901C40"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109</w:t>
                      </w:r>
                      <w:r w:rsidRPr="009F49C8">
                        <w:rPr>
                          <w:rFonts w:ascii="Arial Narrow" w:hAnsi="Arial Narrow"/>
                          <w:b/>
                          <w:bCs/>
                          <w:sz w:val="16"/>
                          <w:szCs w:val="16"/>
                        </w:rPr>
                        <w:t xml:space="preserve"> %</w:t>
                      </w:r>
                    </w:p>
                  </w:txbxContent>
                </v:textbox>
              </v:shape>
            </w:pict>
          </mc:Fallback>
        </mc:AlternateContent>
      </w:r>
      <w:r w:rsidRPr="009F49C8">
        <w:rPr>
          <w:rFonts w:ascii="Arial Narrow" w:hAnsi="Arial Narrow"/>
          <w:noProof/>
          <w:sz w:val="20"/>
          <w:szCs w:val="20"/>
          <w:lang w:eastAsia="cs-CZ"/>
        </w:rPr>
        <mc:AlternateContent>
          <mc:Choice Requires="wps">
            <w:drawing>
              <wp:anchor distT="45720" distB="45720" distL="114300" distR="114300" simplePos="0" relativeHeight="251714048" behindDoc="0" locked="0" layoutInCell="1" allowOverlap="1" wp14:anchorId="74C88661" wp14:editId="295B2ED7">
                <wp:simplePos x="0" y="0"/>
                <wp:positionH relativeFrom="column">
                  <wp:posOffset>4187825</wp:posOffset>
                </wp:positionH>
                <wp:positionV relativeFrom="paragraph">
                  <wp:posOffset>1469277</wp:posOffset>
                </wp:positionV>
                <wp:extent cx="241222" cy="219075"/>
                <wp:effectExtent l="0" t="0" r="26035" b="26670"/>
                <wp:wrapNone/>
                <wp:docPr id="6869733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22" cy="21907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2557EF6C" w14:textId="7F4B0ED7"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75</w:t>
                            </w:r>
                            <w:r w:rsidRPr="009F49C8">
                              <w:rPr>
                                <w:rFonts w:ascii="Arial Narrow" w:hAnsi="Arial Narrow"/>
                                <w:b/>
                                <w:bCs/>
                                <w:sz w:val="16"/>
                                <w:szCs w:val="16"/>
                              </w:rPr>
                              <w:t xml:space="preserve">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4C88661" id="_x0000_s1028" type="#_x0000_t202" style="position:absolute;left:0;text-align:left;margin-left:329.75pt;margin-top:115.7pt;width:19pt;height:17.2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" fillcolor="white [3201]" strokecolor="black [3200]">
                <v:textbox style="mso-fit-shape-to-text:t" inset="0,0,0,0">
                  <w:txbxContent>
                    <w:p w14:paraId="2557EF6C" w14:textId="7F4B0ED7"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75</w:t>
                      </w:r>
                      <w:r w:rsidRPr="009F49C8">
                        <w:rPr>
                          <w:rFonts w:ascii="Arial Narrow" w:hAnsi="Arial Narrow"/>
                          <w:b/>
                          <w:bCs/>
                          <w:sz w:val="16"/>
                          <w:szCs w:val="16"/>
                        </w:rPr>
                        <w:t xml:space="preserve"> %</w:t>
                      </w:r>
                    </w:p>
                  </w:txbxContent>
                </v:textbox>
              </v:shape>
            </w:pict>
          </mc:Fallback>
        </mc:AlternateContent>
      </w:r>
      <w:r w:rsidRPr="009F49C8">
        <w:rPr>
          <w:rFonts w:ascii="Arial Narrow" w:hAnsi="Arial Narrow"/>
          <w:noProof/>
          <w:sz w:val="20"/>
          <w:szCs w:val="20"/>
          <w:lang w:eastAsia="cs-CZ"/>
        </w:rPr>
        <mc:AlternateContent>
          <mc:Choice Requires="wps">
            <w:drawing>
              <wp:anchor distT="45720" distB="45720" distL="114300" distR="114300" simplePos="0" relativeHeight="251712000" behindDoc="0" locked="0" layoutInCell="1" allowOverlap="1" wp14:anchorId="171F1A39" wp14:editId="195445E8">
                <wp:simplePos x="0" y="0"/>
                <wp:positionH relativeFrom="column">
                  <wp:posOffset>3817620</wp:posOffset>
                </wp:positionH>
                <wp:positionV relativeFrom="paragraph">
                  <wp:posOffset>1469277</wp:posOffset>
                </wp:positionV>
                <wp:extent cx="269271" cy="219075"/>
                <wp:effectExtent l="0" t="0" r="16510" b="26670"/>
                <wp:wrapNone/>
                <wp:docPr id="13144320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71" cy="21907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14C871BC" w14:textId="4765C17B"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111</w:t>
                            </w:r>
                            <w:r w:rsidRPr="009F49C8">
                              <w:rPr>
                                <w:rFonts w:ascii="Arial Narrow" w:hAnsi="Arial Narrow"/>
                                <w:b/>
                                <w:bCs/>
                                <w:sz w:val="16"/>
                                <w:szCs w:val="16"/>
                              </w:rPr>
                              <w:t xml:space="preserve">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71F1A39" id="_x0000_s1029" type="#_x0000_t202" style="position:absolute;left:0;text-align:left;margin-left:300.6pt;margin-top:115.7pt;width:21.2pt;height:17.2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" fillcolor="white [3201]" strokecolor="black [3200]">
                <v:textbox style="mso-fit-shape-to-text:t" inset="0,0,0,0">
                  <w:txbxContent>
                    <w:p w14:paraId="14C871BC" w14:textId="4765C17B"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111</w:t>
                      </w:r>
                      <w:r w:rsidRPr="009F49C8">
                        <w:rPr>
                          <w:rFonts w:ascii="Arial Narrow" w:hAnsi="Arial Narrow"/>
                          <w:b/>
                          <w:bCs/>
                          <w:sz w:val="16"/>
                          <w:szCs w:val="16"/>
                        </w:rPr>
                        <w:t xml:space="preserve"> %</w:t>
                      </w:r>
                    </w:p>
                  </w:txbxContent>
                </v:textbox>
              </v:shape>
            </w:pict>
          </mc:Fallback>
        </mc:AlternateContent>
      </w:r>
      <w:r w:rsidRPr="009F49C8">
        <w:rPr>
          <w:rFonts w:ascii="Arial Narrow" w:hAnsi="Arial Narrow"/>
          <w:noProof/>
          <w:sz w:val="20"/>
          <w:szCs w:val="20"/>
          <w:lang w:eastAsia="cs-CZ"/>
        </w:rPr>
        <mc:AlternateContent>
          <mc:Choice Requires="wps">
            <w:drawing>
              <wp:anchor distT="45720" distB="45720" distL="114300" distR="114300" simplePos="0" relativeHeight="251709952" behindDoc="0" locked="0" layoutInCell="1" allowOverlap="1" wp14:anchorId="62D95481" wp14:editId="560CA930">
                <wp:simplePos x="0" y="0"/>
                <wp:positionH relativeFrom="column">
                  <wp:posOffset>2454275</wp:posOffset>
                </wp:positionH>
                <wp:positionV relativeFrom="paragraph">
                  <wp:posOffset>1401983</wp:posOffset>
                </wp:positionV>
                <wp:extent cx="269240" cy="129026"/>
                <wp:effectExtent l="0" t="0" r="16510" b="23495"/>
                <wp:wrapNone/>
                <wp:docPr id="18784476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29026"/>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234F53CE" w14:textId="037623B4"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104</w:t>
                            </w:r>
                            <w:r w:rsidRPr="009F49C8">
                              <w:rPr>
                                <w:rFonts w:ascii="Arial Narrow" w:hAnsi="Arial Narrow"/>
                                <w:b/>
                                <w:bCs/>
                                <w:sz w:val="16"/>
                                <w:szCs w:val="16"/>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95481" id="_x0000_s1030" type="#_x0000_t202" style="position:absolute;left:0;text-align:left;margin-left:193.25pt;margin-top:110.4pt;width:21.2pt;height:10.1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" fillcolor="white [3201]" strokecolor="black [3200]">
                <v:textbox inset="0,0,0,0">
                  <w:txbxContent>
                    <w:p w14:paraId="234F53CE" w14:textId="037623B4"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104</w:t>
                      </w:r>
                      <w:r w:rsidRPr="009F49C8">
                        <w:rPr>
                          <w:rFonts w:ascii="Arial Narrow" w:hAnsi="Arial Narrow"/>
                          <w:b/>
                          <w:bCs/>
                          <w:sz w:val="16"/>
                          <w:szCs w:val="16"/>
                        </w:rPr>
                        <w:t xml:space="preserve"> %</w:t>
                      </w:r>
                    </w:p>
                  </w:txbxContent>
                </v:textbox>
              </v:shape>
            </w:pict>
          </mc:Fallback>
        </mc:AlternateContent>
      </w:r>
      <w:r w:rsidRPr="009F49C8">
        <w:rPr>
          <w:rFonts w:ascii="Arial Narrow" w:hAnsi="Arial Narrow"/>
          <w:noProof/>
          <w:sz w:val="20"/>
          <w:szCs w:val="20"/>
          <w:lang w:eastAsia="cs-CZ"/>
        </w:rPr>
        <mc:AlternateContent>
          <mc:Choice Requires="wps">
            <w:drawing>
              <wp:anchor distT="45720" distB="45720" distL="114300" distR="114300" simplePos="0" relativeHeight="251707904" behindDoc="0" locked="0" layoutInCell="1" allowOverlap="1" wp14:anchorId="4C5F491B" wp14:editId="683749B6">
                <wp:simplePos x="0" y="0"/>
                <wp:positionH relativeFrom="column">
                  <wp:posOffset>2100580</wp:posOffset>
                </wp:positionH>
                <wp:positionV relativeFrom="paragraph">
                  <wp:posOffset>1399540</wp:posOffset>
                </wp:positionV>
                <wp:extent cx="252095" cy="120015"/>
                <wp:effectExtent l="0" t="0" r="14605" b="13335"/>
                <wp:wrapNone/>
                <wp:docPr id="962787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2001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70D08414" w14:textId="55AAF80B"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58</w:t>
                            </w:r>
                            <w:r w:rsidRPr="009F49C8">
                              <w:rPr>
                                <w:rFonts w:ascii="Arial Narrow" w:hAnsi="Arial Narrow"/>
                                <w:b/>
                                <w:bCs/>
                                <w:sz w:val="16"/>
                                <w:szCs w:val="16"/>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F491B" id="_x0000_s1031" type="#_x0000_t202" style="position:absolute;left:0;text-align:left;margin-left:165.4pt;margin-top:110.2pt;width:19.85pt;height:9.4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" fillcolor="white [3201]" strokecolor="black [3200]">
                <v:textbox inset="0,0,0,0">
                  <w:txbxContent>
                    <w:p w14:paraId="70D08414" w14:textId="55AAF80B"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58</w:t>
                      </w:r>
                      <w:r w:rsidRPr="009F49C8">
                        <w:rPr>
                          <w:rFonts w:ascii="Arial Narrow" w:hAnsi="Arial Narrow"/>
                          <w:b/>
                          <w:bCs/>
                          <w:sz w:val="16"/>
                          <w:szCs w:val="16"/>
                        </w:rPr>
                        <w:t xml:space="preserve"> %</w:t>
                      </w:r>
                    </w:p>
                  </w:txbxContent>
                </v:textbox>
              </v:shape>
            </w:pict>
          </mc:Fallback>
        </mc:AlternateContent>
      </w:r>
      <w:r w:rsidRPr="009F49C8">
        <w:rPr>
          <w:rFonts w:ascii="Arial Narrow" w:hAnsi="Arial Narrow"/>
          <w:noProof/>
          <w:sz w:val="20"/>
          <w:szCs w:val="20"/>
          <w:lang w:eastAsia="cs-CZ"/>
        </w:rPr>
        <mc:AlternateContent>
          <mc:Choice Requires="wps">
            <w:drawing>
              <wp:anchor distT="45720" distB="45720" distL="114300" distR="114300" simplePos="0" relativeHeight="251705856" behindDoc="0" locked="0" layoutInCell="1" allowOverlap="1" wp14:anchorId="6CF5AE02" wp14:editId="4C027F4A">
                <wp:simplePos x="0" y="0"/>
                <wp:positionH relativeFrom="column">
                  <wp:posOffset>1109980</wp:posOffset>
                </wp:positionH>
                <wp:positionV relativeFrom="paragraph">
                  <wp:posOffset>1061085</wp:posOffset>
                </wp:positionV>
                <wp:extent cx="238125" cy="219075"/>
                <wp:effectExtent l="0" t="0" r="28575" b="26670"/>
                <wp:wrapNone/>
                <wp:docPr id="3845214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4D8A83A5" w14:textId="7184B300"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77</w:t>
                            </w:r>
                            <w:r w:rsidRPr="009F49C8">
                              <w:rPr>
                                <w:rFonts w:ascii="Arial Narrow" w:hAnsi="Arial Narrow"/>
                                <w:b/>
                                <w:bCs/>
                                <w:sz w:val="16"/>
                                <w:szCs w:val="16"/>
                              </w:rPr>
                              <w:t xml:space="preserve">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CF5AE02" id="_x0000_s1032" type="#_x0000_t202" style="position:absolute;left:0;text-align:left;margin-left:87.4pt;margin-top:83.55pt;width:18.75pt;height:17.2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" fillcolor="white [3201]" strokecolor="black [3200]">
                <v:textbox style="mso-fit-shape-to-text:t" inset="0,0,0,0">
                  <w:txbxContent>
                    <w:p w14:paraId="4D8A83A5" w14:textId="7184B300" w:rsidR="00BC1C0D" w:rsidRPr="009F49C8" w:rsidRDefault="00BC1C0D" w:rsidP="00D46663">
                      <w:pPr>
                        <w:rPr>
                          <w:rFonts w:ascii="Arial Narrow" w:hAnsi="Arial Narrow"/>
                          <w:b/>
                          <w:bCs/>
                          <w:sz w:val="16"/>
                          <w:szCs w:val="16"/>
                        </w:rPr>
                      </w:pPr>
                      <w:r w:rsidRPr="009F49C8">
                        <w:rPr>
                          <w:rFonts w:ascii="Arial Narrow" w:hAnsi="Arial Narrow"/>
                          <w:b/>
                          <w:bCs/>
                          <w:sz w:val="16"/>
                          <w:szCs w:val="16"/>
                        </w:rPr>
                        <w:t xml:space="preserve"> </w:t>
                      </w:r>
                      <w:r>
                        <w:rPr>
                          <w:rFonts w:ascii="Arial Narrow" w:hAnsi="Arial Narrow"/>
                          <w:b/>
                          <w:bCs/>
                          <w:sz w:val="16"/>
                          <w:szCs w:val="16"/>
                        </w:rPr>
                        <w:t>77</w:t>
                      </w:r>
                      <w:r w:rsidRPr="009F49C8">
                        <w:rPr>
                          <w:rFonts w:ascii="Arial Narrow" w:hAnsi="Arial Narrow"/>
                          <w:b/>
                          <w:bCs/>
                          <w:sz w:val="16"/>
                          <w:szCs w:val="16"/>
                        </w:rPr>
                        <w:t xml:space="preserve"> %</w:t>
                      </w:r>
                    </w:p>
                  </w:txbxContent>
                </v:textbox>
              </v:shape>
            </w:pict>
          </mc:Fallback>
        </mc:AlternateContent>
      </w:r>
      <w:r w:rsidRPr="009F49C8">
        <w:rPr>
          <w:rFonts w:ascii="Arial Narrow" w:hAnsi="Arial Narrow"/>
          <w:noProof/>
          <w:sz w:val="20"/>
          <w:szCs w:val="20"/>
          <w:lang w:eastAsia="cs-CZ"/>
        </w:rPr>
        <mc:AlternateContent>
          <mc:Choice Requires="wps">
            <w:drawing>
              <wp:anchor distT="45720" distB="45720" distL="114300" distR="114300" simplePos="0" relativeHeight="251701760" behindDoc="0" locked="0" layoutInCell="1" allowOverlap="1" wp14:anchorId="42C94664" wp14:editId="63A3E210">
                <wp:simplePos x="0" y="0"/>
                <wp:positionH relativeFrom="column">
                  <wp:posOffset>757555</wp:posOffset>
                </wp:positionH>
                <wp:positionV relativeFrom="paragraph">
                  <wp:posOffset>394335</wp:posOffset>
                </wp:positionV>
                <wp:extent cx="257175" cy="219075"/>
                <wp:effectExtent l="0" t="0" r="28575" b="26670"/>
                <wp:wrapNone/>
                <wp:docPr id="6558684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18F81F37" w14:textId="75F2FEC8" w:rsidR="00BC1C0D" w:rsidRPr="006F60B1" w:rsidRDefault="00BC1C0D" w:rsidP="00D46663">
                            <w:pPr>
                              <w:rPr>
                                <w:rFonts w:ascii="Arial Narrow" w:hAnsi="Arial Narrow"/>
                                <w:b/>
                                <w:bCs/>
                                <w:color w:val="4472C4" w:themeColor="accent1"/>
                                <w:sz w:val="16"/>
                                <w:szCs w:val="16"/>
                              </w:rPr>
                            </w:pPr>
                            <w:r w:rsidRPr="006F60B1">
                              <w:rPr>
                                <w:rFonts w:ascii="Arial Narrow" w:hAnsi="Arial Narrow"/>
                                <w:b/>
                                <w:bCs/>
                                <w:color w:val="4472C4" w:themeColor="accent1"/>
                                <w:sz w:val="16"/>
                                <w:szCs w:val="16"/>
                              </w:rPr>
                              <w:t xml:space="preserve"> 52 %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2C94664" id="_x0000_s1033" type="#_x0000_t202" style="position:absolute;left:0;text-align:left;margin-left:59.65pt;margin-top:31.05pt;width:20.25pt;height:17.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" fillcolor="white [3201]" strokecolor="black [3200]">
                <v:textbox style="mso-fit-shape-to-text:t" inset="0,0,0,0">
                  <w:txbxContent>
                    <w:p w14:paraId="18F81F37" w14:textId="75F2FEC8" w:rsidR="00BC1C0D" w:rsidRPr="006F60B1" w:rsidRDefault="00BC1C0D" w:rsidP="00D46663">
                      <w:pPr>
                        <w:rPr>
                          <w:rFonts w:ascii="Arial Narrow" w:hAnsi="Arial Narrow"/>
                          <w:b/>
                          <w:bCs/>
                          <w:color w:val="4472C4" w:themeColor="accent1"/>
                          <w:sz w:val="16"/>
                          <w:szCs w:val="16"/>
                        </w:rPr>
                      </w:pPr>
                      <w:r w:rsidRPr="006F60B1">
                        <w:rPr>
                          <w:rFonts w:ascii="Arial Narrow" w:hAnsi="Arial Narrow"/>
                          <w:b/>
                          <w:bCs/>
                          <w:color w:val="4472C4" w:themeColor="accent1"/>
                          <w:sz w:val="16"/>
                          <w:szCs w:val="16"/>
                        </w:rPr>
                        <w:t xml:space="preserve"> 52 %</w:t>
                      </w:r>
                    </w:p>
                  </w:txbxContent>
                </v:textbox>
              </v:shape>
            </w:pict>
          </mc:Fallback>
        </mc:AlternateContent>
      </w:r>
      <w:r w:rsidR="00491CAB" w:rsidRPr="00CE357F">
        <w:rPr>
          <w:rFonts w:ascii="Arial Narrow" w:eastAsia="Calibri" w:hAnsi="Arial Narrow"/>
          <w:bCs/>
          <w:noProof/>
          <w:lang w:eastAsia="cs-CZ"/>
        </w:rPr>
        <w:drawing>
          <wp:inline distT="0" distB="0" distL="0" distR="0" wp14:anchorId="636B2EE4" wp14:editId="1164775D">
            <wp:extent cx="5760720" cy="2962275"/>
            <wp:effectExtent l="0" t="0" r="0" b="0"/>
            <wp:docPr id="1712909890" name="Graf 1712909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Arial Narrow" w:hAnsi="Arial Narrow"/>
          <w:sz w:val="20"/>
          <w:szCs w:val="20"/>
        </w:rPr>
        <w:t>Z</w:t>
      </w:r>
      <w:r w:rsidR="009F49C8" w:rsidRPr="00CE357F">
        <w:rPr>
          <w:rFonts w:ascii="Arial Narrow" w:hAnsi="Arial Narrow"/>
          <w:sz w:val="20"/>
          <w:szCs w:val="20"/>
        </w:rPr>
        <w:t>droj: Český statistický úřad (data platná k 31. 12. 202</w:t>
      </w:r>
      <w:r w:rsidR="009F49C8">
        <w:rPr>
          <w:rFonts w:ascii="Arial Narrow" w:hAnsi="Arial Narrow"/>
          <w:sz w:val="20"/>
          <w:szCs w:val="20"/>
        </w:rPr>
        <w:t>2</w:t>
      </w:r>
      <w:r w:rsidR="009F49C8" w:rsidRPr="00CE357F">
        <w:rPr>
          <w:rFonts w:ascii="Arial Narrow" w:hAnsi="Arial Narrow"/>
          <w:sz w:val="20"/>
          <w:szCs w:val="20"/>
        </w:rPr>
        <w:t xml:space="preserve">) </w:t>
      </w:r>
      <w:r w:rsidR="009F49C8" w:rsidRPr="00CE357F">
        <w:rPr>
          <w:rFonts w:ascii="Arial Narrow" w:hAnsi="Arial Narrow"/>
          <w:sz w:val="20"/>
          <w:szCs w:val="20"/>
        </w:rPr>
        <w:tab/>
      </w:r>
      <w:r w:rsidR="009F49C8" w:rsidRPr="00CE357F">
        <w:rPr>
          <w:rFonts w:ascii="Arial Narrow" w:hAnsi="Arial Narrow"/>
          <w:sz w:val="20"/>
          <w:szCs w:val="20"/>
        </w:rPr>
        <w:tab/>
      </w:r>
      <w:r w:rsidR="009F49C8" w:rsidRPr="00CE357F">
        <w:rPr>
          <w:rFonts w:ascii="Arial Narrow" w:hAnsi="Arial Narrow"/>
          <w:sz w:val="20"/>
          <w:szCs w:val="20"/>
        </w:rPr>
        <w:tab/>
      </w:r>
      <w:r w:rsidR="009F49C8" w:rsidRPr="00CE357F">
        <w:rPr>
          <w:rFonts w:ascii="Arial Narrow" w:hAnsi="Arial Narrow"/>
          <w:sz w:val="20"/>
          <w:szCs w:val="20"/>
        </w:rPr>
        <w:tab/>
        <w:t xml:space="preserve">     </w:t>
      </w:r>
      <w:r w:rsidR="009F49C8">
        <w:rPr>
          <w:rFonts w:ascii="Arial Narrow" w:hAnsi="Arial Narrow"/>
          <w:sz w:val="20"/>
          <w:szCs w:val="20"/>
        </w:rPr>
        <w:t xml:space="preserve">    </w:t>
      </w:r>
      <w:r w:rsidR="009F49C8" w:rsidRPr="00CE357F">
        <w:rPr>
          <w:rFonts w:ascii="Arial Narrow" w:hAnsi="Arial Narrow"/>
          <w:sz w:val="20"/>
          <w:szCs w:val="20"/>
        </w:rPr>
        <w:t xml:space="preserve">Graf: AUGUR </w:t>
      </w:r>
      <w:proofErr w:type="spellStart"/>
      <w:r w:rsidR="009F49C8" w:rsidRPr="00CE357F">
        <w:rPr>
          <w:rFonts w:ascii="Arial Narrow" w:hAnsi="Arial Narrow"/>
          <w:sz w:val="20"/>
          <w:szCs w:val="20"/>
        </w:rPr>
        <w:t>Consulting</w:t>
      </w:r>
      <w:proofErr w:type="spellEnd"/>
      <w:r w:rsidR="009F49C8" w:rsidRPr="00CE357F">
        <w:rPr>
          <w:rFonts w:ascii="Arial Narrow" w:hAnsi="Arial Narrow"/>
          <w:sz w:val="20"/>
          <w:szCs w:val="20"/>
        </w:rPr>
        <w:t xml:space="preserve"> s.r.o.</w:t>
      </w:r>
    </w:p>
    <w:p w14:paraId="34EDBFE5" w14:textId="0814B669" w:rsidR="00893AB3" w:rsidRDefault="00893AB3" w:rsidP="00D9617E">
      <w:pPr>
        <w:spacing w:after="120" w:line="276" w:lineRule="auto"/>
        <w:jc w:val="both"/>
        <w:rPr>
          <w:rFonts w:ascii="Arial Narrow" w:hAnsi="Arial Narrow"/>
        </w:rPr>
      </w:pPr>
      <w:r w:rsidRPr="00893AB3">
        <w:rPr>
          <w:rFonts w:ascii="Arial Narrow" w:hAnsi="Arial Narrow"/>
        </w:rPr>
        <w:t>Na území Jihomoravského kraje žilo k 31. 12. 2022 celkem 111 130 osob s jinou než českou státní příslušností, z toho 56 684 žen (51 %) a 54 444 mužů (</w:t>
      </w:r>
      <w:r>
        <w:rPr>
          <w:rFonts w:ascii="Arial Narrow" w:hAnsi="Arial Narrow"/>
        </w:rPr>
        <w:t>49</w:t>
      </w:r>
      <w:r w:rsidRPr="00893AB3">
        <w:rPr>
          <w:rFonts w:ascii="Arial Narrow" w:hAnsi="Arial Narrow"/>
        </w:rPr>
        <w:t xml:space="preserve"> %). Téměř 4/5 (78,3 %) všech osob s jinou než českou státní příslušností byli občané třetích zemí, zbývajících 21,7 % byli občané EU. Oproti minulému roku došlo k výraznému nárůstu osob z třetích zemí, především Ukrajiny</w:t>
      </w:r>
      <w:r w:rsidR="009E2979">
        <w:rPr>
          <w:rFonts w:ascii="Arial Narrow" w:hAnsi="Arial Narrow"/>
        </w:rPr>
        <w:t>.</w:t>
      </w:r>
      <w:r w:rsidRPr="00893AB3">
        <w:rPr>
          <w:rFonts w:ascii="Arial Narrow" w:hAnsi="Arial Narrow"/>
        </w:rPr>
        <w:t xml:space="preserve"> Z hlediska státního občanství osob s jinou než českou státní příslušností pocházejících ze zemí EU byli nejvíce zastoupení občané Slovenska (14,1 %), z hlediska osob ze třetích zemí potom občané Ukrajiny (56,3 %).</w:t>
      </w:r>
      <w:r w:rsidRPr="00CE357F">
        <w:rPr>
          <w:rFonts w:ascii="Arial Narrow" w:hAnsi="Arial Narrow"/>
        </w:rPr>
        <w:t xml:space="preserve"> </w:t>
      </w:r>
      <w:r w:rsidR="004C68A8">
        <w:rPr>
          <w:rFonts w:ascii="Arial Narrow" w:hAnsi="Arial Narrow"/>
        </w:rPr>
        <w:t>Podrobně srovnání krajů ČR z hlediska počtu osob s jinou než českou státní příslušností, země původu a pohlaví ukazuje tabulka č. 3.</w:t>
      </w:r>
    </w:p>
    <w:p w14:paraId="1A5D1562" w14:textId="77777777" w:rsidR="004C68A8" w:rsidRDefault="004C68A8" w:rsidP="003A7642">
      <w:pPr>
        <w:pStyle w:val="Titulek"/>
        <w:keepNext/>
        <w:spacing w:after="0"/>
        <w:jc w:val="both"/>
        <w:rPr>
          <w:rFonts w:ascii="Arial Narrow" w:hAnsi="Arial Narrow"/>
          <w:color w:val="auto"/>
          <w:sz w:val="20"/>
          <w:szCs w:val="20"/>
        </w:rPr>
      </w:pPr>
      <w:bookmarkStart w:id="54" w:name="_Toc136429214"/>
    </w:p>
    <w:p w14:paraId="1DFD25E7" w14:textId="77777777" w:rsidR="004C68A8" w:rsidRDefault="004C68A8" w:rsidP="003A7642">
      <w:pPr>
        <w:pStyle w:val="Titulek"/>
        <w:keepNext/>
        <w:spacing w:after="0"/>
        <w:jc w:val="both"/>
        <w:rPr>
          <w:rFonts w:ascii="Arial Narrow" w:hAnsi="Arial Narrow"/>
          <w:color w:val="auto"/>
          <w:sz w:val="20"/>
          <w:szCs w:val="20"/>
        </w:rPr>
      </w:pPr>
    </w:p>
    <w:p w14:paraId="136FEDF7" w14:textId="000A1610" w:rsidR="00F366F2" w:rsidRPr="00CE357F" w:rsidRDefault="00F366F2" w:rsidP="003A7642">
      <w:pPr>
        <w:pStyle w:val="Titulek"/>
        <w:keepNext/>
        <w:spacing w:after="0"/>
        <w:jc w:val="both"/>
        <w:rPr>
          <w:rFonts w:ascii="Arial Narrow" w:hAnsi="Arial Narrow"/>
          <w:color w:val="auto"/>
          <w:sz w:val="20"/>
          <w:szCs w:val="20"/>
        </w:rPr>
      </w:pPr>
      <w:r w:rsidRPr="00CE357F">
        <w:rPr>
          <w:rFonts w:ascii="Arial Narrow" w:hAnsi="Arial Narrow"/>
          <w:color w:val="auto"/>
          <w:sz w:val="20"/>
          <w:szCs w:val="20"/>
        </w:rPr>
        <w:t xml:space="preserve">Tabulka </w:t>
      </w:r>
      <w:r w:rsidRPr="00CE357F">
        <w:rPr>
          <w:rFonts w:ascii="Arial Narrow" w:hAnsi="Arial Narrow"/>
          <w:color w:val="auto"/>
          <w:sz w:val="20"/>
          <w:szCs w:val="20"/>
        </w:rPr>
        <w:fldChar w:fldCharType="begin"/>
      </w:r>
      <w:r w:rsidRPr="00CE357F">
        <w:rPr>
          <w:rFonts w:ascii="Arial Narrow" w:hAnsi="Arial Narrow"/>
          <w:color w:val="auto"/>
          <w:sz w:val="20"/>
          <w:szCs w:val="20"/>
        </w:rPr>
        <w:instrText xml:space="preserve"> SEQ Tabulka \* ARABIC </w:instrText>
      </w:r>
      <w:r w:rsidRPr="00CE357F">
        <w:rPr>
          <w:rFonts w:ascii="Arial Narrow" w:hAnsi="Arial Narrow"/>
          <w:color w:val="auto"/>
          <w:sz w:val="20"/>
          <w:szCs w:val="20"/>
        </w:rPr>
        <w:fldChar w:fldCharType="separate"/>
      </w:r>
      <w:r w:rsidR="00256C97">
        <w:rPr>
          <w:rFonts w:ascii="Arial Narrow" w:hAnsi="Arial Narrow"/>
          <w:noProof/>
          <w:color w:val="auto"/>
          <w:sz w:val="20"/>
          <w:szCs w:val="20"/>
        </w:rPr>
        <w:t>3</w:t>
      </w:r>
      <w:r w:rsidRPr="00CE357F">
        <w:rPr>
          <w:rFonts w:ascii="Arial Narrow" w:hAnsi="Arial Narrow"/>
          <w:color w:val="auto"/>
          <w:sz w:val="20"/>
          <w:szCs w:val="20"/>
        </w:rPr>
        <w:fldChar w:fldCharType="end"/>
      </w:r>
      <w:r w:rsidRPr="00CE357F">
        <w:rPr>
          <w:rFonts w:ascii="Arial Narrow" w:hAnsi="Arial Narrow"/>
          <w:color w:val="auto"/>
          <w:sz w:val="20"/>
          <w:szCs w:val="20"/>
        </w:rPr>
        <w:t>: Osoby s jinou než českou státní příslušností podle státní příslušnosti k 31. 12. 202</w:t>
      </w:r>
      <w:r w:rsidR="00893AB3">
        <w:rPr>
          <w:rFonts w:ascii="Arial Narrow" w:hAnsi="Arial Narrow"/>
          <w:color w:val="auto"/>
          <w:sz w:val="20"/>
          <w:szCs w:val="20"/>
        </w:rPr>
        <w:t>2</w:t>
      </w:r>
      <w:r w:rsidRPr="00CE357F">
        <w:rPr>
          <w:rFonts w:ascii="Arial Narrow" w:hAnsi="Arial Narrow"/>
          <w:color w:val="auto"/>
          <w:sz w:val="20"/>
          <w:szCs w:val="20"/>
        </w:rPr>
        <w:t xml:space="preserve"> – územní srovnání krajů</w:t>
      </w:r>
      <w:bookmarkEnd w:id="54"/>
    </w:p>
    <w:tbl>
      <w:tblPr>
        <w:tblW w:w="10060"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555"/>
        <w:gridCol w:w="992"/>
        <w:gridCol w:w="857"/>
        <w:gridCol w:w="809"/>
        <w:gridCol w:w="898"/>
        <w:gridCol w:w="889"/>
        <w:gridCol w:w="675"/>
        <w:gridCol w:w="1182"/>
        <w:gridCol w:w="758"/>
        <w:gridCol w:w="758"/>
        <w:gridCol w:w="687"/>
      </w:tblGrid>
      <w:tr w:rsidR="00F64165" w:rsidRPr="00CE357F" w14:paraId="7D333ECC" w14:textId="77777777" w:rsidTr="002D5DF0">
        <w:trPr>
          <w:trHeight w:val="272"/>
          <w:jc w:val="center"/>
        </w:trPr>
        <w:tc>
          <w:tcPr>
            <w:tcW w:w="1555" w:type="dxa"/>
            <w:vMerge w:val="restart"/>
            <w:shd w:val="clear" w:color="auto" w:fill="D9E2F3" w:themeFill="accent1" w:themeFillTint="33"/>
            <w:vAlign w:val="center"/>
            <w:hideMark/>
          </w:tcPr>
          <w:p w14:paraId="5D65A921" w14:textId="55C85ADB" w:rsidR="00F64165" w:rsidRPr="00CE357F" w:rsidRDefault="00F64165" w:rsidP="00D67E2F">
            <w:pPr>
              <w:jc w:val="center"/>
              <w:rPr>
                <w:rFonts w:ascii="Arial Narrow" w:eastAsia="Times New Roman" w:hAnsi="Arial Narrow" w:cs="Arial"/>
                <w:b/>
                <w:bCs/>
                <w:sz w:val="18"/>
                <w:szCs w:val="18"/>
                <w:lang w:eastAsia="cs-CZ"/>
              </w:rPr>
            </w:pPr>
            <w:bookmarkStart w:id="55" w:name="_Hlk134538672"/>
            <w:r w:rsidRPr="00CE357F">
              <w:rPr>
                <w:rFonts w:ascii="Arial Narrow" w:eastAsia="Times New Roman" w:hAnsi="Arial Narrow" w:cs="Arial"/>
                <w:sz w:val="18"/>
                <w:szCs w:val="18"/>
                <w:lang w:eastAsia="cs-CZ"/>
              </w:rPr>
              <w:t>31. 12. 202</w:t>
            </w:r>
            <w:r w:rsidR="00893AB3">
              <w:rPr>
                <w:rFonts w:ascii="Arial Narrow" w:eastAsia="Times New Roman" w:hAnsi="Arial Narrow" w:cs="Arial"/>
                <w:sz w:val="18"/>
                <w:szCs w:val="18"/>
                <w:lang w:eastAsia="cs-CZ"/>
              </w:rPr>
              <w:t>2</w:t>
            </w:r>
          </w:p>
        </w:tc>
        <w:tc>
          <w:tcPr>
            <w:tcW w:w="992" w:type="dxa"/>
            <w:vMerge w:val="restart"/>
            <w:shd w:val="clear" w:color="auto" w:fill="D9E2F3" w:themeFill="accent1" w:themeFillTint="33"/>
            <w:vAlign w:val="center"/>
            <w:hideMark/>
          </w:tcPr>
          <w:p w14:paraId="20164822" w14:textId="77777777" w:rsidR="00F64165" w:rsidRPr="00CE357F" w:rsidRDefault="00F64165" w:rsidP="00D67E2F">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Celkem</w:t>
            </w:r>
          </w:p>
        </w:tc>
        <w:tc>
          <w:tcPr>
            <w:tcW w:w="857" w:type="dxa"/>
            <w:vMerge w:val="restart"/>
            <w:shd w:val="clear" w:color="auto" w:fill="D9E2F3" w:themeFill="accent1" w:themeFillTint="33"/>
            <w:vAlign w:val="center"/>
            <w:hideMark/>
          </w:tcPr>
          <w:p w14:paraId="11D9FE78" w14:textId="77777777" w:rsidR="00F64165" w:rsidRPr="00CE357F" w:rsidRDefault="00F64165" w:rsidP="00D67E2F">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 ženy</w:t>
            </w:r>
          </w:p>
        </w:tc>
        <w:tc>
          <w:tcPr>
            <w:tcW w:w="6656" w:type="dxa"/>
            <w:gridSpan w:val="8"/>
            <w:shd w:val="clear" w:color="auto" w:fill="D9E2F3" w:themeFill="accent1" w:themeFillTint="33"/>
            <w:vAlign w:val="center"/>
            <w:hideMark/>
          </w:tcPr>
          <w:p w14:paraId="73040B52" w14:textId="77777777" w:rsidR="00F64165" w:rsidRPr="00CE357F" w:rsidRDefault="00F64165" w:rsidP="00D67E2F">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 státní občanství</w:t>
            </w:r>
          </w:p>
        </w:tc>
      </w:tr>
      <w:tr w:rsidR="00F64165" w:rsidRPr="00CE357F" w14:paraId="67FA54BD" w14:textId="77777777" w:rsidTr="002D5DF0">
        <w:trPr>
          <w:trHeight w:val="272"/>
          <w:jc w:val="center"/>
        </w:trPr>
        <w:tc>
          <w:tcPr>
            <w:tcW w:w="1555" w:type="dxa"/>
            <w:vMerge/>
            <w:vAlign w:val="center"/>
            <w:hideMark/>
          </w:tcPr>
          <w:p w14:paraId="31FD1B9C" w14:textId="77777777" w:rsidR="00F64165" w:rsidRPr="00CE357F" w:rsidRDefault="00F64165" w:rsidP="00D67E2F">
            <w:pPr>
              <w:jc w:val="center"/>
              <w:rPr>
                <w:rFonts w:ascii="Arial Narrow" w:eastAsia="Times New Roman" w:hAnsi="Arial Narrow" w:cs="Arial"/>
                <w:b/>
                <w:bCs/>
                <w:sz w:val="18"/>
                <w:szCs w:val="18"/>
                <w:lang w:eastAsia="cs-CZ"/>
              </w:rPr>
            </w:pPr>
          </w:p>
        </w:tc>
        <w:tc>
          <w:tcPr>
            <w:tcW w:w="992" w:type="dxa"/>
            <w:vMerge/>
            <w:vAlign w:val="center"/>
            <w:hideMark/>
          </w:tcPr>
          <w:p w14:paraId="5619011E" w14:textId="77777777" w:rsidR="00F64165" w:rsidRPr="00CE357F" w:rsidRDefault="00F64165" w:rsidP="00D67E2F">
            <w:pPr>
              <w:jc w:val="center"/>
              <w:rPr>
                <w:rFonts w:ascii="Arial Narrow" w:eastAsia="Times New Roman" w:hAnsi="Arial Narrow" w:cs="Arial"/>
                <w:b/>
                <w:bCs/>
                <w:sz w:val="18"/>
                <w:szCs w:val="18"/>
                <w:lang w:eastAsia="cs-CZ"/>
              </w:rPr>
            </w:pPr>
          </w:p>
        </w:tc>
        <w:tc>
          <w:tcPr>
            <w:tcW w:w="857" w:type="dxa"/>
            <w:vMerge/>
            <w:vAlign w:val="center"/>
            <w:hideMark/>
          </w:tcPr>
          <w:p w14:paraId="184CC6C0" w14:textId="77777777" w:rsidR="00F64165" w:rsidRPr="00CE357F" w:rsidRDefault="00F64165" w:rsidP="00D67E2F">
            <w:pPr>
              <w:jc w:val="center"/>
              <w:rPr>
                <w:rFonts w:ascii="Arial Narrow" w:eastAsia="Times New Roman" w:hAnsi="Arial Narrow" w:cs="Arial"/>
                <w:b/>
                <w:bCs/>
                <w:sz w:val="18"/>
                <w:szCs w:val="18"/>
                <w:lang w:eastAsia="cs-CZ"/>
              </w:rPr>
            </w:pPr>
          </w:p>
        </w:tc>
        <w:tc>
          <w:tcPr>
            <w:tcW w:w="809" w:type="dxa"/>
            <w:vMerge w:val="restart"/>
            <w:shd w:val="clear" w:color="auto" w:fill="D9E2F3" w:themeFill="accent1" w:themeFillTint="33"/>
            <w:vAlign w:val="center"/>
            <w:hideMark/>
          </w:tcPr>
          <w:p w14:paraId="547167F9" w14:textId="77777777" w:rsidR="00F64165" w:rsidRPr="00CE357F" w:rsidRDefault="00F64165" w:rsidP="00D67E2F">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země EU</w:t>
            </w:r>
          </w:p>
        </w:tc>
        <w:tc>
          <w:tcPr>
            <w:tcW w:w="2462" w:type="dxa"/>
            <w:gridSpan w:val="3"/>
            <w:shd w:val="clear" w:color="auto" w:fill="D9E2F3" w:themeFill="accent1" w:themeFillTint="33"/>
            <w:vAlign w:val="center"/>
            <w:hideMark/>
          </w:tcPr>
          <w:p w14:paraId="1DAEAC74" w14:textId="151F247F" w:rsidR="00F64165" w:rsidRPr="00CE357F" w:rsidRDefault="00F64165" w:rsidP="00D67E2F">
            <w:pPr>
              <w:jc w:val="center"/>
              <w:rPr>
                <w:rFonts w:ascii="Arial Narrow" w:eastAsia="Times New Roman" w:hAnsi="Arial Narrow" w:cs="Arial"/>
                <w:b/>
                <w:bCs/>
                <w:sz w:val="18"/>
                <w:szCs w:val="18"/>
                <w:lang w:eastAsia="cs-CZ"/>
              </w:rPr>
            </w:pPr>
            <w:r w:rsidRPr="7CC7BF57">
              <w:rPr>
                <w:rFonts w:ascii="Arial Narrow" w:eastAsia="Times New Roman" w:hAnsi="Arial Narrow" w:cs="Arial"/>
                <w:b/>
                <w:bCs/>
                <w:sz w:val="18"/>
                <w:szCs w:val="18"/>
                <w:lang w:eastAsia="cs-CZ"/>
              </w:rPr>
              <w:t>z toho</w:t>
            </w:r>
          </w:p>
        </w:tc>
        <w:tc>
          <w:tcPr>
            <w:tcW w:w="1182" w:type="dxa"/>
            <w:vMerge w:val="restart"/>
            <w:shd w:val="clear" w:color="auto" w:fill="D9E2F3" w:themeFill="accent1" w:themeFillTint="33"/>
            <w:vAlign w:val="center"/>
            <w:hideMark/>
          </w:tcPr>
          <w:p w14:paraId="511A8E52" w14:textId="6C2D42CB" w:rsidR="00F64165" w:rsidRPr="00CE357F" w:rsidRDefault="0051614B" w:rsidP="00D67E2F">
            <w:pPr>
              <w:jc w:val="center"/>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3. země</w:t>
            </w:r>
          </w:p>
        </w:tc>
        <w:tc>
          <w:tcPr>
            <w:tcW w:w="2203" w:type="dxa"/>
            <w:gridSpan w:val="3"/>
            <w:shd w:val="clear" w:color="auto" w:fill="D9E2F3" w:themeFill="accent1" w:themeFillTint="33"/>
            <w:vAlign w:val="center"/>
            <w:hideMark/>
          </w:tcPr>
          <w:p w14:paraId="02D2B1C4" w14:textId="77777777" w:rsidR="00F64165" w:rsidRPr="00CE357F" w:rsidRDefault="00F64165" w:rsidP="00D67E2F">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z toho</w:t>
            </w:r>
          </w:p>
        </w:tc>
      </w:tr>
      <w:tr w:rsidR="00F64165" w:rsidRPr="00CE357F" w14:paraId="04C15735" w14:textId="77777777" w:rsidTr="002D5DF0">
        <w:trPr>
          <w:trHeight w:val="272"/>
          <w:jc w:val="center"/>
        </w:trPr>
        <w:tc>
          <w:tcPr>
            <w:tcW w:w="1555" w:type="dxa"/>
            <w:vMerge/>
            <w:vAlign w:val="center"/>
            <w:hideMark/>
          </w:tcPr>
          <w:p w14:paraId="0991BAC5" w14:textId="77777777" w:rsidR="00F64165" w:rsidRPr="00CE357F" w:rsidRDefault="00F64165" w:rsidP="00D67E2F">
            <w:pPr>
              <w:jc w:val="center"/>
              <w:rPr>
                <w:rFonts w:ascii="Arial Narrow" w:eastAsia="Times New Roman" w:hAnsi="Arial Narrow" w:cs="Arial"/>
                <w:b/>
                <w:bCs/>
                <w:sz w:val="18"/>
                <w:szCs w:val="18"/>
                <w:lang w:eastAsia="cs-CZ"/>
              </w:rPr>
            </w:pPr>
          </w:p>
        </w:tc>
        <w:tc>
          <w:tcPr>
            <w:tcW w:w="992" w:type="dxa"/>
            <w:vMerge/>
            <w:vAlign w:val="center"/>
            <w:hideMark/>
          </w:tcPr>
          <w:p w14:paraId="36B6D575" w14:textId="77777777" w:rsidR="00F64165" w:rsidRPr="00CE357F" w:rsidRDefault="00F64165" w:rsidP="00D67E2F">
            <w:pPr>
              <w:jc w:val="center"/>
              <w:rPr>
                <w:rFonts w:ascii="Arial Narrow" w:eastAsia="Times New Roman" w:hAnsi="Arial Narrow" w:cs="Arial"/>
                <w:b/>
                <w:bCs/>
                <w:sz w:val="18"/>
                <w:szCs w:val="18"/>
                <w:lang w:eastAsia="cs-CZ"/>
              </w:rPr>
            </w:pPr>
          </w:p>
        </w:tc>
        <w:tc>
          <w:tcPr>
            <w:tcW w:w="857" w:type="dxa"/>
            <w:vMerge/>
            <w:vAlign w:val="center"/>
            <w:hideMark/>
          </w:tcPr>
          <w:p w14:paraId="1F27C4B2" w14:textId="77777777" w:rsidR="00F64165" w:rsidRPr="00CE357F" w:rsidRDefault="00F64165" w:rsidP="00D67E2F">
            <w:pPr>
              <w:jc w:val="center"/>
              <w:rPr>
                <w:rFonts w:ascii="Arial Narrow" w:eastAsia="Times New Roman" w:hAnsi="Arial Narrow" w:cs="Arial"/>
                <w:b/>
                <w:bCs/>
                <w:sz w:val="18"/>
                <w:szCs w:val="18"/>
                <w:lang w:eastAsia="cs-CZ"/>
              </w:rPr>
            </w:pPr>
          </w:p>
        </w:tc>
        <w:tc>
          <w:tcPr>
            <w:tcW w:w="809" w:type="dxa"/>
            <w:vMerge/>
            <w:vAlign w:val="center"/>
            <w:hideMark/>
          </w:tcPr>
          <w:p w14:paraId="53B19650" w14:textId="77777777" w:rsidR="00F64165" w:rsidRPr="00CE357F" w:rsidRDefault="00F64165" w:rsidP="00D67E2F">
            <w:pPr>
              <w:jc w:val="center"/>
              <w:rPr>
                <w:rFonts w:ascii="Arial Narrow" w:eastAsia="Times New Roman" w:hAnsi="Arial Narrow" w:cs="Arial"/>
                <w:b/>
                <w:bCs/>
                <w:sz w:val="18"/>
                <w:szCs w:val="18"/>
                <w:lang w:eastAsia="cs-CZ"/>
              </w:rPr>
            </w:pPr>
          </w:p>
        </w:tc>
        <w:tc>
          <w:tcPr>
            <w:tcW w:w="898" w:type="dxa"/>
            <w:shd w:val="clear" w:color="auto" w:fill="D9E2F3" w:themeFill="accent1" w:themeFillTint="33"/>
            <w:vAlign w:val="center"/>
            <w:hideMark/>
          </w:tcPr>
          <w:p w14:paraId="5EE056FF" w14:textId="77777777" w:rsidR="00F64165" w:rsidRPr="00CE357F" w:rsidRDefault="00F64165" w:rsidP="00D67E2F">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tc>
        <w:tc>
          <w:tcPr>
            <w:tcW w:w="889" w:type="dxa"/>
            <w:shd w:val="clear" w:color="auto" w:fill="D9E2F3" w:themeFill="accent1" w:themeFillTint="33"/>
            <w:vAlign w:val="center"/>
            <w:hideMark/>
          </w:tcPr>
          <w:p w14:paraId="5F766FF8" w14:textId="77777777" w:rsidR="00F64165" w:rsidRPr="00CE357F" w:rsidRDefault="00F64165" w:rsidP="00D67E2F">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tc>
        <w:tc>
          <w:tcPr>
            <w:tcW w:w="675" w:type="dxa"/>
            <w:shd w:val="clear" w:color="auto" w:fill="D9E2F3" w:themeFill="accent1" w:themeFillTint="33"/>
            <w:vAlign w:val="center"/>
            <w:hideMark/>
          </w:tcPr>
          <w:p w14:paraId="5DB2562F" w14:textId="77777777" w:rsidR="00F64165" w:rsidRPr="00CE357F" w:rsidRDefault="00F64165" w:rsidP="00D67E2F">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tc>
        <w:tc>
          <w:tcPr>
            <w:tcW w:w="1182" w:type="dxa"/>
            <w:vMerge/>
            <w:vAlign w:val="center"/>
            <w:hideMark/>
          </w:tcPr>
          <w:p w14:paraId="1DA121CB" w14:textId="77777777" w:rsidR="00F64165" w:rsidRPr="00CE357F" w:rsidRDefault="00F64165" w:rsidP="00D67E2F">
            <w:pPr>
              <w:jc w:val="center"/>
              <w:rPr>
                <w:rFonts w:ascii="Arial Narrow" w:eastAsia="Times New Roman" w:hAnsi="Arial Narrow" w:cs="Arial"/>
                <w:b/>
                <w:bCs/>
                <w:sz w:val="18"/>
                <w:szCs w:val="18"/>
                <w:lang w:eastAsia="cs-CZ"/>
              </w:rPr>
            </w:pPr>
          </w:p>
        </w:tc>
        <w:tc>
          <w:tcPr>
            <w:tcW w:w="758" w:type="dxa"/>
            <w:shd w:val="clear" w:color="auto" w:fill="D9E2F3" w:themeFill="accent1" w:themeFillTint="33"/>
            <w:vAlign w:val="center"/>
            <w:hideMark/>
          </w:tcPr>
          <w:p w14:paraId="499A1E9F" w14:textId="77777777" w:rsidR="00F64165" w:rsidRPr="00CE357F" w:rsidRDefault="00F64165" w:rsidP="00D67E2F">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tc>
        <w:tc>
          <w:tcPr>
            <w:tcW w:w="758" w:type="dxa"/>
            <w:shd w:val="clear" w:color="auto" w:fill="D9E2F3" w:themeFill="accent1" w:themeFillTint="33"/>
            <w:vAlign w:val="center"/>
            <w:hideMark/>
          </w:tcPr>
          <w:p w14:paraId="3895843E" w14:textId="77777777" w:rsidR="00F64165" w:rsidRPr="00CE357F" w:rsidRDefault="00F64165" w:rsidP="00D67E2F">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w:t>
            </w:r>
          </w:p>
        </w:tc>
        <w:tc>
          <w:tcPr>
            <w:tcW w:w="687" w:type="dxa"/>
            <w:shd w:val="clear" w:color="auto" w:fill="D9E2F3" w:themeFill="accent1" w:themeFillTint="33"/>
            <w:vAlign w:val="center"/>
            <w:hideMark/>
          </w:tcPr>
          <w:p w14:paraId="5AFF0721" w14:textId="77777777" w:rsidR="00F64165" w:rsidRPr="00CE357F" w:rsidRDefault="00F64165" w:rsidP="00D67E2F">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tc>
      </w:tr>
      <w:tr w:rsidR="002D5DF0" w:rsidRPr="00CE357F" w14:paraId="0FADF32B" w14:textId="77777777" w:rsidTr="002D5DF0">
        <w:trPr>
          <w:trHeight w:val="227"/>
          <w:jc w:val="center"/>
        </w:trPr>
        <w:tc>
          <w:tcPr>
            <w:tcW w:w="1555" w:type="dxa"/>
            <w:shd w:val="clear" w:color="auto" w:fill="F8ECEC"/>
            <w:vAlign w:val="center"/>
            <w:hideMark/>
          </w:tcPr>
          <w:p w14:paraId="083B340B" w14:textId="77777777" w:rsidR="00893AB3" w:rsidRPr="00CE357F" w:rsidRDefault="00893AB3" w:rsidP="00893AB3">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ČR</w:t>
            </w:r>
          </w:p>
        </w:tc>
        <w:tc>
          <w:tcPr>
            <w:tcW w:w="992" w:type="dxa"/>
            <w:shd w:val="clear" w:color="auto" w:fill="F8ECEC"/>
          </w:tcPr>
          <w:p w14:paraId="62484EC7" w14:textId="16E2E9BA"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1 116 154</w:t>
            </w:r>
          </w:p>
        </w:tc>
        <w:tc>
          <w:tcPr>
            <w:tcW w:w="857" w:type="dxa"/>
            <w:shd w:val="clear" w:color="auto" w:fill="F8ECEC"/>
            <w:vAlign w:val="center"/>
          </w:tcPr>
          <w:p w14:paraId="0B031EC2" w14:textId="0201E659" w:rsidR="00893AB3" w:rsidRPr="00E154DD" w:rsidRDefault="00893AB3" w:rsidP="002D5DF0">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570 553</w:t>
            </w:r>
          </w:p>
        </w:tc>
        <w:tc>
          <w:tcPr>
            <w:tcW w:w="809" w:type="dxa"/>
            <w:shd w:val="clear" w:color="auto" w:fill="F8ECEC"/>
            <w:vAlign w:val="center"/>
          </w:tcPr>
          <w:p w14:paraId="11BFB2A0" w14:textId="6AD02BB9"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226 426</w:t>
            </w:r>
          </w:p>
        </w:tc>
        <w:tc>
          <w:tcPr>
            <w:tcW w:w="898" w:type="dxa"/>
            <w:shd w:val="clear" w:color="auto" w:fill="F8ECEC"/>
            <w:vAlign w:val="center"/>
          </w:tcPr>
          <w:p w14:paraId="023455CE" w14:textId="228F33EF"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117 265</w:t>
            </w:r>
          </w:p>
        </w:tc>
        <w:tc>
          <w:tcPr>
            <w:tcW w:w="889" w:type="dxa"/>
            <w:shd w:val="clear" w:color="auto" w:fill="F8ECEC"/>
            <w:vAlign w:val="center"/>
          </w:tcPr>
          <w:p w14:paraId="2CCC83B9" w14:textId="19C4DF5C"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14 032</w:t>
            </w:r>
          </w:p>
        </w:tc>
        <w:tc>
          <w:tcPr>
            <w:tcW w:w="675" w:type="dxa"/>
            <w:shd w:val="clear" w:color="auto" w:fill="F8ECEC"/>
            <w:vAlign w:val="center"/>
          </w:tcPr>
          <w:p w14:paraId="3CE6196A" w14:textId="594996C2"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17 884</w:t>
            </w:r>
          </w:p>
        </w:tc>
        <w:tc>
          <w:tcPr>
            <w:tcW w:w="1182" w:type="dxa"/>
            <w:shd w:val="clear" w:color="auto" w:fill="F8ECEC"/>
            <w:vAlign w:val="center"/>
          </w:tcPr>
          <w:p w14:paraId="6269D3BE" w14:textId="0BC66CC1"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889 728</w:t>
            </w:r>
          </w:p>
        </w:tc>
        <w:tc>
          <w:tcPr>
            <w:tcW w:w="758" w:type="dxa"/>
            <w:shd w:val="clear" w:color="auto" w:fill="F8ECEC"/>
            <w:vAlign w:val="bottom"/>
          </w:tcPr>
          <w:p w14:paraId="10ED10DE" w14:textId="79AD6724"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636 282</w:t>
            </w:r>
          </w:p>
        </w:tc>
        <w:tc>
          <w:tcPr>
            <w:tcW w:w="758" w:type="dxa"/>
            <w:shd w:val="clear" w:color="auto" w:fill="F8ECEC"/>
            <w:vAlign w:val="bottom"/>
          </w:tcPr>
          <w:p w14:paraId="71ACDD40" w14:textId="136266FE"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66 340</w:t>
            </w:r>
          </w:p>
        </w:tc>
        <w:tc>
          <w:tcPr>
            <w:tcW w:w="687" w:type="dxa"/>
            <w:shd w:val="clear" w:color="auto" w:fill="F8ECEC"/>
            <w:vAlign w:val="bottom"/>
          </w:tcPr>
          <w:p w14:paraId="0FB0E0D5" w14:textId="7D9DDE99" w:rsidR="00893AB3" w:rsidRPr="00E154DD" w:rsidRDefault="00893AB3" w:rsidP="00893AB3">
            <w:pPr>
              <w:jc w:val="center"/>
              <w:rPr>
                <w:rFonts w:ascii="Arial Narrow" w:eastAsia="Times New Roman" w:hAnsi="Arial Narrow" w:cs="Arial"/>
                <w:b/>
                <w:bCs/>
                <w:sz w:val="18"/>
                <w:szCs w:val="18"/>
                <w:lang w:eastAsia="cs-CZ"/>
              </w:rPr>
            </w:pPr>
            <w:r w:rsidRPr="00E154DD">
              <w:rPr>
                <w:rFonts w:ascii="Arial Narrow" w:eastAsia="Times New Roman" w:hAnsi="Arial Narrow" w:cs="Arial"/>
                <w:b/>
                <w:bCs/>
                <w:sz w:val="18"/>
                <w:szCs w:val="18"/>
                <w:lang w:eastAsia="cs-CZ"/>
              </w:rPr>
              <w:t>43 498</w:t>
            </w:r>
          </w:p>
        </w:tc>
      </w:tr>
      <w:tr w:rsidR="00893AB3" w:rsidRPr="00CE357F" w14:paraId="758CDE40" w14:textId="77777777" w:rsidTr="002D5DF0">
        <w:trPr>
          <w:trHeight w:val="227"/>
          <w:jc w:val="center"/>
        </w:trPr>
        <w:tc>
          <w:tcPr>
            <w:tcW w:w="1555" w:type="dxa"/>
            <w:shd w:val="clear" w:color="auto" w:fill="D9E2F3" w:themeFill="accent1" w:themeFillTint="33"/>
            <w:vAlign w:val="center"/>
          </w:tcPr>
          <w:p w14:paraId="1F567D68" w14:textId="77777777" w:rsidR="00893AB3" w:rsidRPr="00CE357F" w:rsidRDefault="00893AB3" w:rsidP="00893AB3">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Hl. město Praha</w:t>
            </w:r>
          </w:p>
        </w:tc>
        <w:tc>
          <w:tcPr>
            <w:tcW w:w="992" w:type="dxa"/>
          </w:tcPr>
          <w:p w14:paraId="5415CEE1" w14:textId="1D226DA0"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346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306</w:t>
            </w:r>
          </w:p>
        </w:tc>
        <w:tc>
          <w:tcPr>
            <w:tcW w:w="857" w:type="dxa"/>
          </w:tcPr>
          <w:p w14:paraId="63AE6E3E" w14:textId="0B9EBA54" w:rsidR="00893AB3" w:rsidRPr="00CE357F" w:rsidRDefault="00893AB3" w:rsidP="00893AB3">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176 456 </w:t>
            </w:r>
          </w:p>
        </w:tc>
        <w:tc>
          <w:tcPr>
            <w:tcW w:w="809" w:type="dxa"/>
            <w:vAlign w:val="bottom"/>
          </w:tcPr>
          <w:p w14:paraId="35C83EEE" w14:textId="4B77B66F"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67</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818</w:t>
            </w:r>
          </w:p>
        </w:tc>
        <w:tc>
          <w:tcPr>
            <w:tcW w:w="898" w:type="dxa"/>
            <w:vAlign w:val="bottom"/>
          </w:tcPr>
          <w:p w14:paraId="5E22F458" w14:textId="415C3121"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470</w:t>
            </w:r>
          </w:p>
        </w:tc>
        <w:tc>
          <w:tcPr>
            <w:tcW w:w="889" w:type="dxa"/>
            <w:vAlign w:val="bottom"/>
          </w:tcPr>
          <w:p w14:paraId="7E04C389" w14:textId="0443BAFA"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353</w:t>
            </w:r>
          </w:p>
        </w:tc>
        <w:tc>
          <w:tcPr>
            <w:tcW w:w="675" w:type="dxa"/>
            <w:vAlign w:val="bottom"/>
          </w:tcPr>
          <w:p w14:paraId="17CE4A5F" w14:textId="0F29147B"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359</w:t>
            </w:r>
          </w:p>
        </w:tc>
        <w:tc>
          <w:tcPr>
            <w:tcW w:w="1182" w:type="dxa"/>
            <w:vAlign w:val="bottom"/>
          </w:tcPr>
          <w:p w14:paraId="6007CBB1" w14:textId="3D7B4D29"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278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488</w:t>
            </w:r>
          </w:p>
        </w:tc>
        <w:tc>
          <w:tcPr>
            <w:tcW w:w="758" w:type="dxa"/>
            <w:vAlign w:val="bottom"/>
          </w:tcPr>
          <w:p w14:paraId="261E3373" w14:textId="00CDF71B"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170</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096</w:t>
            </w:r>
          </w:p>
        </w:tc>
        <w:tc>
          <w:tcPr>
            <w:tcW w:w="758" w:type="dxa"/>
            <w:vAlign w:val="bottom"/>
          </w:tcPr>
          <w:p w14:paraId="6FA876B3" w14:textId="66B2F307"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15</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175</w:t>
            </w:r>
          </w:p>
        </w:tc>
        <w:tc>
          <w:tcPr>
            <w:tcW w:w="687" w:type="dxa"/>
            <w:vAlign w:val="bottom"/>
          </w:tcPr>
          <w:p w14:paraId="2CDEAC83" w14:textId="0E1104CF"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27</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355</w:t>
            </w:r>
          </w:p>
        </w:tc>
      </w:tr>
      <w:tr w:rsidR="00893AB3" w:rsidRPr="00CE357F" w14:paraId="2E10AE58" w14:textId="77777777" w:rsidTr="002D5DF0">
        <w:trPr>
          <w:trHeight w:val="227"/>
          <w:jc w:val="center"/>
        </w:trPr>
        <w:tc>
          <w:tcPr>
            <w:tcW w:w="1555" w:type="dxa"/>
            <w:shd w:val="clear" w:color="auto" w:fill="D9E2F3" w:themeFill="accent1" w:themeFillTint="33"/>
            <w:vAlign w:val="center"/>
          </w:tcPr>
          <w:p w14:paraId="38373416" w14:textId="77777777" w:rsidR="00893AB3" w:rsidRPr="00CE357F" w:rsidRDefault="00893AB3" w:rsidP="00893AB3">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Středočeský k.</w:t>
            </w:r>
          </w:p>
        </w:tc>
        <w:tc>
          <w:tcPr>
            <w:tcW w:w="992" w:type="dxa"/>
          </w:tcPr>
          <w:p w14:paraId="38D60D21" w14:textId="0F8EB02D"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159</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196</w:t>
            </w:r>
          </w:p>
        </w:tc>
        <w:tc>
          <w:tcPr>
            <w:tcW w:w="857" w:type="dxa"/>
          </w:tcPr>
          <w:p w14:paraId="06C27C5D" w14:textId="353F5334" w:rsidR="00893AB3" w:rsidRPr="00CE357F" w:rsidRDefault="00893AB3" w:rsidP="00893AB3">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80 211 </w:t>
            </w:r>
          </w:p>
        </w:tc>
        <w:tc>
          <w:tcPr>
            <w:tcW w:w="809" w:type="dxa"/>
            <w:vAlign w:val="bottom"/>
          </w:tcPr>
          <w:p w14:paraId="6E29B94C" w14:textId="79E945AD"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551</w:t>
            </w:r>
          </w:p>
        </w:tc>
        <w:tc>
          <w:tcPr>
            <w:tcW w:w="898" w:type="dxa"/>
            <w:vAlign w:val="bottom"/>
          </w:tcPr>
          <w:p w14:paraId="51B69DAE" w14:textId="2AFD4486"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20</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781</w:t>
            </w:r>
          </w:p>
        </w:tc>
        <w:tc>
          <w:tcPr>
            <w:tcW w:w="889" w:type="dxa"/>
            <w:vAlign w:val="bottom"/>
          </w:tcPr>
          <w:p w14:paraId="65CC0CD4" w14:textId="4D0A2D12"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090</w:t>
            </w:r>
          </w:p>
        </w:tc>
        <w:tc>
          <w:tcPr>
            <w:tcW w:w="675" w:type="dxa"/>
            <w:vAlign w:val="bottom"/>
          </w:tcPr>
          <w:p w14:paraId="6014FB14" w14:textId="5429901B"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594</w:t>
            </w:r>
          </w:p>
        </w:tc>
        <w:tc>
          <w:tcPr>
            <w:tcW w:w="1182" w:type="dxa"/>
            <w:vAlign w:val="bottom"/>
          </w:tcPr>
          <w:p w14:paraId="1FF114D8" w14:textId="259ADA17"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124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645</w:t>
            </w:r>
          </w:p>
        </w:tc>
        <w:tc>
          <w:tcPr>
            <w:tcW w:w="758" w:type="dxa"/>
            <w:vAlign w:val="bottom"/>
          </w:tcPr>
          <w:p w14:paraId="7EB96F7E" w14:textId="5A36BCB0"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97</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366</w:t>
            </w:r>
          </w:p>
        </w:tc>
        <w:tc>
          <w:tcPr>
            <w:tcW w:w="758" w:type="dxa"/>
            <w:vAlign w:val="bottom"/>
          </w:tcPr>
          <w:p w14:paraId="2AF72A7D" w14:textId="509127D4"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952</w:t>
            </w:r>
          </w:p>
        </w:tc>
        <w:tc>
          <w:tcPr>
            <w:tcW w:w="687" w:type="dxa"/>
            <w:vAlign w:val="bottom"/>
          </w:tcPr>
          <w:p w14:paraId="6725BEAC" w14:textId="2176B2B8" w:rsidR="00893AB3" w:rsidRPr="00CE357F" w:rsidRDefault="00893AB3" w:rsidP="00893AB3">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809</w:t>
            </w:r>
          </w:p>
        </w:tc>
      </w:tr>
      <w:tr w:rsidR="002D5DF0" w:rsidRPr="00CE357F" w14:paraId="41878A3F" w14:textId="77777777" w:rsidTr="002D5DF0">
        <w:trPr>
          <w:trHeight w:val="227"/>
          <w:jc w:val="center"/>
        </w:trPr>
        <w:tc>
          <w:tcPr>
            <w:tcW w:w="1555" w:type="dxa"/>
            <w:shd w:val="clear" w:color="auto" w:fill="D9E2F3" w:themeFill="accent1" w:themeFillTint="33"/>
            <w:vAlign w:val="center"/>
          </w:tcPr>
          <w:p w14:paraId="0D87297C" w14:textId="0DFE89B6" w:rsidR="002D5DF0" w:rsidRPr="00CE357F" w:rsidRDefault="002D5DF0" w:rsidP="002D5DF0">
            <w:pPr>
              <w:jc w:val="center"/>
              <w:rPr>
                <w:rFonts w:ascii="Arial Narrow" w:eastAsia="Times New Roman" w:hAnsi="Arial Narrow" w:cs="Arial"/>
                <w:sz w:val="18"/>
                <w:szCs w:val="18"/>
                <w:lang w:eastAsia="cs-CZ"/>
              </w:rPr>
            </w:pPr>
            <w:r w:rsidRPr="7CC7BF57">
              <w:rPr>
                <w:rFonts w:ascii="Arial Narrow" w:eastAsia="Times New Roman" w:hAnsi="Arial Narrow" w:cs="Arial"/>
                <w:b/>
                <w:bCs/>
                <w:sz w:val="18"/>
                <w:szCs w:val="18"/>
                <w:lang w:eastAsia="cs-CZ"/>
              </w:rPr>
              <w:t>Jihomoravsk</w:t>
            </w:r>
            <w:r>
              <w:rPr>
                <w:rFonts w:ascii="Arial Narrow" w:eastAsia="Times New Roman" w:hAnsi="Arial Narrow" w:cs="Arial"/>
                <w:b/>
                <w:bCs/>
                <w:sz w:val="18"/>
                <w:szCs w:val="18"/>
                <w:lang w:eastAsia="cs-CZ"/>
              </w:rPr>
              <w:t xml:space="preserve">ý </w:t>
            </w:r>
            <w:r w:rsidRPr="7CC7BF57">
              <w:rPr>
                <w:rFonts w:ascii="Arial Narrow" w:eastAsia="Times New Roman" w:hAnsi="Arial Narrow" w:cs="Arial"/>
                <w:b/>
                <w:bCs/>
                <w:sz w:val="18"/>
                <w:szCs w:val="18"/>
                <w:lang w:eastAsia="cs-CZ"/>
              </w:rPr>
              <w:t>k.</w:t>
            </w:r>
          </w:p>
        </w:tc>
        <w:tc>
          <w:tcPr>
            <w:tcW w:w="992" w:type="dxa"/>
          </w:tcPr>
          <w:p w14:paraId="154F32FF" w14:textId="65B3B1D0"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111 130</w:t>
            </w:r>
          </w:p>
        </w:tc>
        <w:tc>
          <w:tcPr>
            <w:tcW w:w="857" w:type="dxa"/>
          </w:tcPr>
          <w:p w14:paraId="1A6415EA" w14:textId="39B97000" w:rsidR="002D5DF0" w:rsidRPr="00092438"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 xml:space="preserve">56 684 </w:t>
            </w:r>
          </w:p>
        </w:tc>
        <w:tc>
          <w:tcPr>
            <w:tcW w:w="809" w:type="dxa"/>
            <w:vAlign w:val="bottom"/>
          </w:tcPr>
          <w:p w14:paraId="0CA96B1B" w14:textId="1A0A7802"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24 100</w:t>
            </w:r>
          </w:p>
        </w:tc>
        <w:tc>
          <w:tcPr>
            <w:tcW w:w="898" w:type="dxa"/>
            <w:vAlign w:val="bottom"/>
          </w:tcPr>
          <w:p w14:paraId="5A7EAE05" w14:textId="1EAAAD8F"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15 715</w:t>
            </w:r>
          </w:p>
        </w:tc>
        <w:tc>
          <w:tcPr>
            <w:tcW w:w="889" w:type="dxa"/>
            <w:vAlign w:val="bottom"/>
          </w:tcPr>
          <w:p w14:paraId="48E6CD08" w14:textId="14D10FB5"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568</w:t>
            </w:r>
          </w:p>
        </w:tc>
        <w:tc>
          <w:tcPr>
            <w:tcW w:w="675" w:type="dxa"/>
            <w:vAlign w:val="bottom"/>
          </w:tcPr>
          <w:p w14:paraId="5954963A" w14:textId="3354548B"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1 006</w:t>
            </w:r>
          </w:p>
        </w:tc>
        <w:tc>
          <w:tcPr>
            <w:tcW w:w="1182" w:type="dxa"/>
            <w:vAlign w:val="bottom"/>
          </w:tcPr>
          <w:p w14:paraId="1D14259C" w14:textId="453C1E67"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87 030</w:t>
            </w:r>
          </w:p>
        </w:tc>
        <w:tc>
          <w:tcPr>
            <w:tcW w:w="758" w:type="dxa"/>
            <w:vAlign w:val="bottom"/>
          </w:tcPr>
          <w:p w14:paraId="28F392C9" w14:textId="2E674151"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62 611</w:t>
            </w:r>
          </w:p>
        </w:tc>
        <w:tc>
          <w:tcPr>
            <w:tcW w:w="758" w:type="dxa"/>
            <w:vAlign w:val="bottom"/>
          </w:tcPr>
          <w:p w14:paraId="2352FCF1" w14:textId="4A41897B"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5 004</w:t>
            </w:r>
          </w:p>
        </w:tc>
        <w:tc>
          <w:tcPr>
            <w:tcW w:w="687" w:type="dxa"/>
            <w:vAlign w:val="bottom"/>
          </w:tcPr>
          <w:p w14:paraId="41BE6DD0" w14:textId="4F441158" w:rsidR="002D5DF0" w:rsidRPr="004A0CD6" w:rsidRDefault="002D5DF0" w:rsidP="002D5DF0">
            <w:pPr>
              <w:jc w:val="center"/>
              <w:rPr>
                <w:rFonts w:ascii="Arial Narrow" w:eastAsia="Times New Roman" w:hAnsi="Arial Narrow" w:cs="Arial"/>
                <w:sz w:val="18"/>
                <w:szCs w:val="18"/>
                <w:lang w:eastAsia="cs-CZ"/>
              </w:rPr>
            </w:pPr>
            <w:r w:rsidRPr="00893AB3">
              <w:rPr>
                <w:rFonts w:ascii="Arial Narrow" w:eastAsia="Times New Roman" w:hAnsi="Arial Narrow" w:cs="Arial"/>
                <w:b/>
                <w:bCs/>
                <w:color w:val="C00000"/>
                <w:sz w:val="18"/>
                <w:szCs w:val="18"/>
                <w:lang w:eastAsia="cs-CZ"/>
              </w:rPr>
              <w:t>3 336</w:t>
            </w:r>
          </w:p>
        </w:tc>
      </w:tr>
      <w:tr w:rsidR="002D5DF0" w:rsidRPr="00CE357F" w14:paraId="7AEF00CD" w14:textId="77777777" w:rsidTr="002D5DF0">
        <w:trPr>
          <w:trHeight w:val="227"/>
          <w:jc w:val="center"/>
        </w:trPr>
        <w:tc>
          <w:tcPr>
            <w:tcW w:w="1555" w:type="dxa"/>
            <w:shd w:val="clear" w:color="auto" w:fill="D9E2F3" w:themeFill="accent1" w:themeFillTint="33"/>
            <w:vAlign w:val="center"/>
          </w:tcPr>
          <w:p w14:paraId="50FD21FC" w14:textId="7860FA5A" w:rsidR="002D5DF0" w:rsidRPr="00CE357F" w:rsidRDefault="002D5DF0" w:rsidP="002D5DF0">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Plzeňský k.</w:t>
            </w:r>
          </w:p>
        </w:tc>
        <w:tc>
          <w:tcPr>
            <w:tcW w:w="992" w:type="dxa"/>
          </w:tcPr>
          <w:p w14:paraId="1A0DAD58" w14:textId="3B7151BF"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80</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917</w:t>
            </w:r>
          </w:p>
        </w:tc>
        <w:tc>
          <w:tcPr>
            <w:tcW w:w="857" w:type="dxa"/>
          </w:tcPr>
          <w:p w14:paraId="19BFD8EB" w14:textId="0559F152" w:rsidR="002D5DF0" w:rsidRPr="00CE357F" w:rsidRDefault="002D5DF0" w:rsidP="002D5DF0">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42 325 </w:t>
            </w:r>
          </w:p>
        </w:tc>
        <w:tc>
          <w:tcPr>
            <w:tcW w:w="809" w:type="dxa"/>
            <w:vAlign w:val="bottom"/>
          </w:tcPr>
          <w:p w14:paraId="6FF181F1" w14:textId="668B7D9A"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17</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466</w:t>
            </w:r>
          </w:p>
        </w:tc>
        <w:tc>
          <w:tcPr>
            <w:tcW w:w="898" w:type="dxa"/>
            <w:vAlign w:val="bottom"/>
          </w:tcPr>
          <w:p w14:paraId="1F12DAD6" w14:textId="105E5A3C"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7</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755</w:t>
            </w:r>
          </w:p>
        </w:tc>
        <w:tc>
          <w:tcPr>
            <w:tcW w:w="889" w:type="dxa"/>
            <w:vAlign w:val="bottom"/>
          </w:tcPr>
          <w:p w14:paraId="316206F4" w14:textId="0EB868BF"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079</w:t>
            </w:r>
          </w:p>
        </w:tc>
        <w:tc>
          <w:tcPr>
            <w:tcW w:w="675" w:type="dxa"/>
            <w:vAlign w:val="bottom"/>
          </w:tcPr>
          <w:p w14:paraId="18B195DC" w14:textId="53971CA9"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849</w:t>
            </w:r>
          </w:p>
        </w:tc>
        <w:tc>
          <w:tcPr>
            <w:tcW w:w="1182" w:type="dxa"/>
            <w:vAlign w:val="bottom"/>
          </w:tcPr>
          <w:p w14:paraId="6FCEDCE1" w14:textId="67335EDA"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451</w:t>
            </w:r>
          </w:p>
        </w:tc>
        <w:tc>
          <w:tcPr>
            <w:tcW w:w="758" w:type="dxa"/>
            <w:vAlign w:val="bottom"/>
          </w:tcPr>
          <w:p w14:paraId="6DFC9A46" w14:textId="38CABAC5"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51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667</w:t>
            </w:r>
          </w:p>
        </w:tc>
        <w:tc>
          <w:tcPr>
            <w:tcW w:w="758" w:type="dxa"/>
            <w:vAlign w:val="bottom"/>
          </w:tcPr>
          <w:p w14:paraId="0EB7570F" w14:textId="546BEEC8"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279</w:t>
            </w:r>
          </w:p>
        </w:tc>
        <w:tc>
          <w:tcPr>
            <w:tcW w:w="687" w:type="dxa"/>
            <w:vAlign w:val="bottom"/>
          </w:tcPr>
          <w:p w14:paraId="2A939605" w14:textId="4BB458FB"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698</w:t>
            </w:r>
          </w:p>
        </w:tc>
      </w:tr>
      <w:tr w:rsidR="002D5DF0" w:rsidRPr="00CE357F" w14:paraId="58E20AFA" w14:textId="77777777" w:rsidTr="002D5DF0">
        <w:trPr>
          <w:trHeight w:val="227"/>
          <w:jc w:val="center"/>
        </w:trPr>
        <w:tc>
          <w:tcPr>
            <w:tcW w:w="1555" w:type="dxa"/>
            <w:shd w:val="clear" w:color="auto" w:fill="D9E2F3" w:themeFill="accent1" w:themeFillTint="33"/>
            <w:vAlign w:val="center"/>
          </w:tcPr>
          <w:p w14:paraId="3DFEA126" w14:textId="10F26F54" w:rsidR="002D5DF0" w:rsidRPr="00CE357F" w:rsidRDefault="002D5DF0" w:rsidP="002D5DF0">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Ústecký k.</w:t>
            </w:r>
          </w:p>
        </w:tc>
        <w:tc>
          <w:tcPr>
            <w:tcW w:w="992" w:type="dxa"/>
          </w:tcPr>
          <w:p w14:paraId="6C78FF33" w14:textId="3FA5A349"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723</w:t>
            </w:r>
          </w:p>
        </w:tc>
        <w:tc>
          <w:tcPr>
            <w:tcW w:w="857" w:type="dxa"/>
          </w:tcPr>
          <w:p w14:paraId="78E343E8" w14:textId="50760315" w:rsidR="002D5DF0" w:rsidRPr="00CE357F" w:rsidRDefault="002D5DF0" w:rsidP="002D5DF0">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29 838 </w:t>
            </w:r>
          </w:p>
        </w:tc>
        <w:tc>
          <w:tcPr>
            <w:tcW w:w="809" w:type="dxa"/>
            <w:vAlign w:val="bottom"/>
          </w:tcPr>
          <w:p w14:paraId="41B10934" w14:textId="5A61151E"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227</w:t>
            </w:r>
          </w:p>
        </w:tc>
        <w:tc>
          <w:tcPr>
            <w:tcW w:w="898" w:type="dxa"/>
            <w:vAlign w:val="bottom"/>
          </w:tcPr>
          <w:p w14:paraId="3FBAD559" w14:textId="59740D98"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5</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195</w:t>
            </w:r>
          </w:p>
        </w:tc>
        <w:tc>
          <w:tcPr>
            <w:tcW w:w="889" w:type="dxa"/>
            <w:vAlign w:val="bottom"/>
          </w:tcPr>
          <w:p w14:paraId="7D979FC7" w14:textId="543A570F"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004</w:t>
            </w:r>
          </w:p>
        </w:tc>
        <w:tc>
          <w:tcPr>
            <w:tcW w:w="675" w:type="dxa"/>
            <w:vAlign w:val="bottom"/>
          </w:tcPr>
          <w:p w14:paraId="3CD99D70" w14:textId="5D2AC84B"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964</w:t>
            </w:r>
          </w:p>
        </w:tc>
        <w:tc>
          <w:tcPr>
            <w:tcW w:w="1182" w:type="dxa"/>
            <w:vAlign w:val="bottom"/>
          </w:tcPr>
          <w:p w14:paraId="0379AD2E" w14:textId="4D52CA06"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496</w:t>
            </w:r>
          </w:p>
        </w:tc>
        <w:tc>
          <w:tcPr>
            <w:tcW w:w="758" w:type="dxa"/>
            <w:vAlign w:val="bottom"/>
          </w:tcPr>
          <w:p w14:paraId="6DF568DE" w14:textId="7C1D2DC7"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245</w:t>
            </w:r>
          </w:p>
        </w:tc>
        <w:tc>
          <w:tcPr>
            <w:tcW w:w="758" w:type="dxa"/>
            <w:vAlign w:val="bottom"/>
          </w:tcPr>
          <w:p w14:paraId="7AC4FE76" w14:textId="06723730"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323</w:t>
            </w:r>
          </w:p>
        </w:tc>
        <w:tc>
          <w:tcPr>
            <w:tcW w:w="687" w:type="dxa"/>
            <w:vAlign w:val="bottom"/>
          </w:tcPr>
          <w:p w14:paraId="7262F1C5" w14:textId="66BBE4B5"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516</w:t>
            </w:r>
          </w:p>
        </w:tc>
      </w:tr>
      <w:tr w:rsidR="002D5DF0" w:rsidRPr="00CE357F" w14:paraId="65892A4C" w14:textId="77777777" w:rsidTr="002D5DF0">
        <w:trPr>
          <w:trHeight w:val="227"/>
          <w:jc w:val="center"/>
        </w:trPr>
        <w:tc>
          <w:tcPr>
            <w:tcW w:w="1555" w:type="dxa"/>
            <w:shd w:val="clear" w:color="auto" w:fill="D9E2F3" w:themeFill="accent1" w:themeFillTint="33"/>
            <w:vAlign w:val="center"/>
          </w:tcPr>
          <w:p w14:paraId="5B6B49BC" w14:textId="55867A93" w:rsidR="002D5DF0" w:rsidRPr="00CE357F" w:rsidRDefault="002D5DF0" w:rsidP="002D5DF0">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Moravskoslezský k.</w:t>
            </w:r>
          </w:p>
        </w:tc>
        <w:tc>
          <w:tcPr>
            <w:tcW w:w="992" w:type="dxa"/>
          </w:tcPr>
          <w:p w14:paraId="3DF898A0" w14:textId="23194899"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56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435</w:t>
            </w:r>
          </w:p>
        </w:tc>
        <w:tc>
          <w:tcPr>
            <w:tcW w:w="857" w:type="dxa"/>
          </w:tcPr>
          <w:p w14:paraId="0503F81D" w14:textId="1C02DE57" w:rsidR="002D5DF0" w:rsidRPr="00CE357F" w:rsidRDefault="002D5DF0" w:rsidP="002D5DF0">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29 285 </w:t>
            </w:r>
          </w:p>
        </w:tc>
        <w:tc>
          <w:tcPr>
            <w:tcW w:w="809" w:type="dxa"/>
            <w:vAlign w:val="bottom"/>
          </w:tcPr>
          <w:p w14:paraId="045216AD" w14:textId="35187165"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15</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299</w:t>
            </w:r>
          </w:p>
        </w:tc>
        <w:tc>
          <w:tcPr>
            <w:tcW w:w="898" w:type="dxa"/>
            <w:vAlign w:val="bottom"/>
          </w:tcPr>
          <w:p w14:paraId="5C3CAFC8" w14:textId="05C2F59A"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926</w:t>
            </w:r>
          </w:p>
        </w:tc>
        <w:tc>
          <w:tcPr>
            <w:tcW w:w="889" w:type="dxa"/>
            <w:vAlign w:val="bottom"/>
          </w:tcPr>
          <w:p w14:paraId="1F3069B2" w14:textId="2354DA7B"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343</w:t>
            </w:r>
          </w:p>
        </w:tc>
        <w:tc>
          <w:tcPr>
            <w:tcW w:w="675" w:type="dxa"/>
            <w:vAlign w:val="bottom"/>
          </w:tcPr>
          <w:p w14:paraId="1F538392" w14:textId="094E69BE"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907</w:t>
            </w:r>
          </w:p>
        </w:tc>
        <w:tc>
          <w:tcPr>
            <w:tcW w:w="1182" w:type="dxa"/>
            <w:vAlign w:val="bottom"/>
          </w:tcPr>
          <w:p w14:paraId="61EB2A77" w14:textId="203B5553"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136</w:t>
            </w:r>
          </w:p>
        </w:tc>
        <w:tc>
          <w:tcPr>
            <w:tcW w:w="758" w:type="dxa"/>
            <w:vAlign w:val="bottom"/>
          </w:tcPr>
          <w:p w14:paraId="15C8FA70" w14:textId="1F450694"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29</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949</w:t>
            </w:r>
          </w:p>
        </w:tc>
        <w:tc>
          <w:tcPr>
            <w:tcW w:w="758" w:type="dxa"/>
            <w:vAlign w:val="bottom"/>
          </w:tcPr>
          <w:p w14:paraId="5A3C610B" w14:textId="361A22CC"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665</w:t>
            </w:r>
          </w:p>
        </w:tc>
        <w:tc>
          <w:tcPr>
            <w:tcW w:w="687" w:type="dxa"/>
            <w:vAlign w:val="bottom"/>
          </w:tcPr>
          <w:p w14:paraId="5963D257" w14:textId="23B5CD71" w:rsidR="002D5DF0" w:rsidRPr="00CE357F" w:rsidRDefault="002D5DF0" w:rsidP="002D5DF0">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747</w:t>
            </w:r>
          </w:p>
        </w:tc>
      </w:tr>
      <w:tr w:rsidR="003C1C4A" w:rsidRPr="00CE357F" w14:paraId="0A3A1EA7" w14:textId="77777777" w:rsidTr="002D5DF0">
        <w:trPr>
          <w:trHeight w:val="227"/>
          <w:jc w:val="center"/>
        </w:trPr>
        <w:tc>
          <w:tcPr>
            <w:tcW w:w="1555" w:type="dxa"/>
            <w:shd w:val="clear" w:color="auto" w:fill="D9E2F3" w:themeFill="accent1" w:themeFillTint="33"/>
            <w:vAlign w:val="center"/>
          </w:tcPr>
          <w:p w14:paraId="72CBEEC3" w14:textId="76287410"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Jihočeský k.</w:t>
            </w:r>
          </w:p>
        </w:tc>
        <w:tc>
          <w:tcPr>
            <w:tcW w:w="992" w:type="dxa"/>
          </w:tcPr>
          <w:p w14:paraId="149395CB" w14:textId="08F96F92"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47</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654</w:t>
            </w:r>
          </w:p>
        </w:tc>
        <w:tc>
          <w:tcPr>
            <w:tcW w:w="857" w:type="dxa"/>
          </w:tcPr>
          <w:p w14:paraId="7CE65666" w14:textId="6439DAED" w:rsidR="003C1C4A" w:rsidRPr="00CE357F" w:rsidRDefault="003C1C4A" w:rsidP="003C1C4A">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24 419 </w:t>
            </w:r>
          </w:p>
        </w:tc>
        <w:tc>
          <w:tcPr>
            <w:tcW w:w="809" w:type="dxa"/>
            <w:vAlign w:val="bottom"/>
          </w:tcPr>
          <w:p w14:paraId="2B8D761A" w14:textId="1A909A5B"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383</w:t>
            </w:r>
          </w:p>
        </w:tc>
        <w:tc>
          <w:tcPr>
            <w:tcW w:w="898" w:type="dxa"/>
            <w:vAlign w:val="bottom"/>
          </w:tcPr>
          <w:p w14:paraId="6CF87E69" w14:textId="387E49E2"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953</w:t>
            </w:r>
          </w:p>
        </w:tc>
        <w:tc>
          <w:tcPr>
            <w:tcW w:w="889" w:type="dxa"/>
            <w:vAlign w:val="bottom"/>
          </w:tcPr>
          <w:p w14:paraId="1416807A" w14:textId="5FE53F1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551</w:t>
            </w:r>
          </w:p>
        </w:tc>
        <w:tc>
          <w:tcPr>
            <w:tcW w:w="675" w:type="dxa"/>
            <w:vAlign w:val="bottom"/>
          </w:tcPr>
          <w:p w14:paraId="3E4B8563" w14:textId="78B31778"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384</w:t>
            </w:r>
          </w:p>
        </w:tc>
        <w:tc>
          <w:tcPr>
            <w:tcW w:w="1182" w:type="dxa"/>
            <w:vAlign w:val="bottom"/>
          </w:tcPr>
          <w:p w14:paraId="7249023A" w14:textId="099851EE"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39</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271</w:t>
            </w:r>
          </w:p>
        </w:tc>
        <w:tc>
          <w:tcPr>
            <w:tcW w:w="758" w:type="dxa"/>
            <w:vAlign w:val="bottom"/>
          </w:tcPr>
          <w:p w14:paraId="75E74E0C" w14:textId="338BCA57"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30</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439</w:t>
            </w:r>
          </w:p>
        </w:tc>
        <w:tc>
          <w:tcPr>
            <w:tcW w:w="758" w:type="dxa"/>
            <w:vAlign w:val="bottom"/>
          </w:tcPr>
          <w:p w14:paraId="45AA209D" w14:textId="14DE2BE6"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408</w:t>
            </w:r>
          </w:p>
        </w:tc>
        <w:tc>
          <w:tcPr>
            <w:tcW w:w="687" w:type="dxa"/>
            <w:vAlign w:val="bottom"/>
          </w:tcPr>
          <w:p w14:paraId="2AB2036C" w14:textId="2A46C430"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666</w:t>
            </w:r>
          </w:p>
        </w:tc>
      </w:tr>
      <w:tr w:rsidR="003C1C4A" w:rsidRPr="00CE357F" w14:paraId="111D771B" w14:textId="77777777" w:rsidTr="002D5DF0">
        <w:trPr>
          <w:trHeight w:val="227"/>
          <w:jc w:val="center"/>
        </w:trPr>
        <w:tc>
          <w:tcPr>
            <w:tcW w:w="1555" w:type="dxa"/>
            <w:shd w:val="clear" w:color="auto" w:fill="D9E2F3" w:themeFill="accent1" w:themeFillTint="33"/>
            <w:vAlign w:val="center"/>
          </w:tcPr>
          <w:p w14:paraId="7EF57AB9" w14:textId="13F914FD"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Liberecký k.</w:t>
            </w:r>
          </w:p>
        </w:tc>
        <w:tc>
          <w:tcPr>
            <w:tcW w:w="992" w:type="dxa"/>
          </w:tcPr>
          <w:p w14:paraId="2A721441" w14:textId="55A6FB9C"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661</w:t>
            </w:r>
          </w:p>
        </w:tc>
        <w:tc>
          <w:tcPr>
            <w:tcW w:w="857" w:type="dxa"/>
          </w:tcPr>
          <w:p w14:paraId="757FBDA1" w14:textId="020F7760" w:rsidR="003C1C4A" w:rsidRPr="00CE357F" w:rsidRDefault="003C1C4A" w:rsidP="003C1C4A">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22 679 </w:t>
            </w:r>
          </w:p>
        </w:tc>
        <w:tc>
          <w:tcPr>
            <w:tcW w:w="809" w:type="dxa"/>
            <w:vAlign w:val="bottom"/>
          </w:tcPr>
          <w:p w14:paraId="409AB649" w14:textId="26636057"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944</w:t>
            </w:r>
          </w:p>
        </w:tc>
        <w:tc>
          <w:tcPr>
            <w:tcW w:w="898" w:type="dxa"/>
            <w:vAlign w:val="bottom"/>
          </w:tcPr>
          <w:p w14:paraId="0A4FDE79" w14:textId="4D73A181"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410</w:t>
            </w:r>
          </w:p>
        </w:tc>
        <w:tc>
          <w:tcPr>
            <w:tcW w:w="889" w:type="dxa"/>
            <w:vAlign w:val="bottom"/>
          </w:tcPr>
          <w:p w14:paraId="3516742A" w14:textId="6807AFAC"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411</w:t>
            </w:r>
          </w:p>
        </w:tc>
        <w:tc>
          <w:tcPr>
            <w:tcW w:w="675" w:type="dxa"/>
            <w:vAlign w:val="bottom"/>
          </w:tcPr>
          <w:p w14:paraId="39734F8B" w14:textId="09EB4336"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408</w:t>
            </w:r>
          </w:p>
        </w:tc>
        <w:tc>
          <w:tcPr>
            <w:tcW w:w="1182" w:type="dxa"/>
            <w:vAlign w:val="bottom"/>
          </w:tcPr>
          <w:p w14:paraId="17BF4AA2" w14:textId="217E2D69"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717</w:t>
            </w:r>
          </w:p>
        </w:tc>
        <w:tc>
          <w:tcPr>
            <w:tcW w:w="758" w:type="dxa"/>
            <w:vAlign w:val="bottom"/>
          </w:tcPr>
          <w:p w14:paraId="209EF91A" w14:textId="00A0D0DE"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065</w:t>
            </w:r>
          </w:p>
        </w:tc>
        <w:tc>
          <w:tcPr>
            <w:tcW w:w="758" w:type="dxa"/>
            <w:vAlign w:val="bottom"/>
          </w:tcPr>
          <w:p w14:paraId="0DC72288" w14:textId="34797F35"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198</w:t>
            </w:r>
          </w:p>
        </w:tc>
        <w:tc>
          <w:tcPr>
            <w:tcW w:w="687" w:type="dxa"/>
            <w:vAlign w:val="bottom"/>
          </w:tcPr>
          <w:p w14:paraId="2B8464D8" w14:textId="3411F4B0"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577</w:t>
            </w:r>
          </w:p>
        </w:tc>
      </w:tr>
      <w:tr w:rsidR="003C1C4A" w:rsidRPr="00CE357F" w14:paraId="4CD91D16" w14:textId="77777777" w:rsidTr="002D5DF0">
        <w:trPr>
          <w:trHeight w:val="227"/>
          <w:jc w:val="center"/>
        </w:trPr>
        <w:tc>
          <w:tcPr>
            <w:tcW w:w="1555" w:type="dxa"/>
            <w:shd w:val="clear" w:color="auto" w:fill="D9E2F3" w:themeFill="accent1" w:themeFillTint="33"/>
            <w:vAlign w:val="center"/>
          </w:tcPr>
          <w:p w14:paraId="326F08F9" w14:textId="51B0212F"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Pardubický k.</w:t>
            </w:r>
          </w:p>
        </w:tc>
        <w:tc>
          <w:tcPr>
            <w:tcW w:w="992" w:type="dxa"/>
          </w:tcPr>
          <w:p w14:paraId="68B7FAD7" w14:textId="6CF5F624"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618</w:t>
            </w:r>
          </w:p>
        </w:tc>
        <w:tc>
          <w:tcPr>
            <w:tcW w:w="857" w:type="dxa"/>
          </w:tcPr>
          <w:p w14:paraId="751F07C2" w14:textId="32F0BCC3" w:rsidR="003C1C4A" w:rsidRPr="00CE357F" w:rsidRDefault="003C1C4A" w:rsidP="003C1C4A">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21 244 </w:t>
            </w:r>
          </w:p>
        </w:tc>
        <w:tc>
          <w:tcPr>
            <w:tcW w:w="809" w:type="dxa"/>
            <w:vAlign w:val="bottom"/>
          </w:tcPr>
          <w:p w14:paraId="42798EC5" w14:textId="58865E14"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7</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946</w:t>
            </w:r>
          </w:p>
        </w:tc>
        <w:tc>
          <w:tcPr>
            <w:tcW w:w="898" w:type="dxa"/>
            <w:vAlign w:val="bottom"/>
          </w:tcPr>
          <w:p w14:paraId="4C66E79E" w14:textId="35D40BEB"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813</w:t>
            </w:r>
          </w:p>
        </w:tc>
        <w:tc>
          <w:tcPr>
            <w:tcW w:w="889" w:type="dxa"/>
            <w:vAlign w:val="bottom"/>
          </w:tcPr>
          <w:p w14:paraId="22D08040" w14:textId="22DA0A5E"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125</w:t>
            </w:r>
          </w:p>
        </w:tc>
        <w:tc>
          <w:tcPr>
            <w:tcW w:w="675" w:type="dxa"/>
            <w:vAlign w:val="bottom"/>
          </w:tcPr>
          <w:p w14:paraId="33D4E7A6" w14:textId="21CC8361"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632</w:t>
            </w:r>
          </w:p>
        </w:tc>
        <w:tc>
          <w:tcPr>
            <w:tcW w:w="1182" w:type="dxa"/>
            <w:vAlign w:val="bottom"/>
          </w:tcPr>
          <w:p w14:paraId="09C7A153" w14:textId="3DD8E1C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672</w:t>
            </w:r>
          </w:p>
        </w:tc>
        <w:tc>
          <w:tcPr>
            <w:tcW w:w="758" w:type="dxa"/>
            <w:vAlign w:val="bottom"/>
          </w:tcPr>
          <w:p w14:paraId="4A84B4B5" w14:textId="445B4CD7"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335</w:t>
            </w:r>
          </w:p>
        </w:tc>
        <w:tc>
          <w:tcPr>
            <w:tcW w:w="758" w:type="dxa"/>
            <w:vAlign w:val="bottom"/>
          </w:tcPr>
          <w:p w14:paraId="60156F80" w14:textId="7D9FA600"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738</w:t>
            </w:r>
          </w:p>
        </w:tc>
        <w:tc>
          <w:tcPr>
            <w:tcW w:w="687" w:type="dxa"/>
            <w:vAlign w:val="bottom"/>
          </w:tcPr>
          <w:p w14:paraId="316362FC" w14:textId="70B03C4B"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346</w:t>
            </w:r>
          </w:p>
        </w:tc>
      </w:tr>
      <w:tr w:rsidR="003C1C4A" w:rsidRPr="00CE357F" w14:paraId="3D6A6C07" w14:textId="77777777" w:rsidTr="002D5DF0">
        <w:trPr>
          <w:trHeight w:val="227"/>
          <w:jc w:val="center"/>
        </w:trPr>
        <w:tc>
          <w:tcPr>
            <w:tcW w:w="1555" w:type="dxa"/>
            <w:shd w:val="clear" w:color="auto" w:fill="D9E2F3" w:themeFill="accent1" w:themeFillTint="33"/>
            <w:vAlign w:val="center"/>
          </w:tcPr>
          <w:p w14:paraId="403DB008" w14:textId="02A39AB2"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Královehradecký k.</w:t>
            </w:r>
          </w:p>
        </w:tc>
        <w:tc>
          <w:tcPr>
            <w:tcW w:w="992" w:type="dxa"/>
          </w:tcPr>
          <w:p w14:paraId="1996F0FC" w14:textId="59725E47"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954</w:t>
            </w:r>
          </w:p>
        </w:tc>
        <w:tc>
          <w:tcPr>
            <w:tcW w:w="857" w:type="dxa"/>
          </w:tcPr>
          <w:p w14:paraId="4EA7B15D" w14:textId="1397ABCE" w:rsidR="003C1C4A" w:rsidRPr="00CE357F" w:rsidRDefault="003C1C4A" w:rsidP="003C1C4A">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20 515 </w:t>
            </w:r>
          </w:p>
        </w:tc>
        <w:tc>
          <w:tcPr>
            <w:tcW w:w="809" w:type="dxa"/>
            <w:vAlign w:val="bottom"/>
          </w:tcPr>
          <w:p w14:paraId="124C1102" w14:textId="3CA6B86E"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203</w:t>
            </w:r>
          </w:p>
        </w:tc>
        <w:tc>
          <w:tcPr>
            <w:tcW w:w="898" w:type="dxa"/>
            <w:vAlign w:val="bottom"/>
          </w:tcPr>
          <w:p w14:paraId="0B353380" w14:textId="62FE2F72"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986</w:t>
            </w:r>
          </w:p>
        </w:tc>
        <w:tc>
          <w:tcPr>
            <w:tcW w:w="889" w:type="dxa"/>
            <w:vAlign w:val="bottom"/>
          </w:tcPr>
          <w:p w14:paraId="13056AB4" w14:textId="4C6F204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263</w:t>
            </w:r>
          </w:p>
        </w:tc>
        <w:tc>
          <w:tcPr>
            <w:tcW w:w="675" w:type="dxa"/>
            <w:vAlign w:val="bottom"/>
          </w:tcPr>
          <w:p w14:paraId="51DB2D84" w14:textId="5E36F56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393</w:t>
            </w:r>
          </w:p>
        </w:tc>
        <w:tc>
          <w:tcPr>
            <w:tcW w:w="1182" w:type="dxa"/>
            <w:vAlign w:val="bottom"/>
          </w:tcPr>
          <w:p w14:paraId="606E0EA6" w14:textId="7D722D10"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751</w:t>
            </w:r>
          </w:p>
        </w:tc>
        <w:tc>
          <w:tcPr>
            <w:tcW w:w="758" w:type="dxa"/>
            <w:vAlign w:val="bottom"/>
          </w:tcPr>
          <w:p w14:paraId="7934CD25" w14:textId="2037B02E"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948</w:t>
            </w:r>
          </w:p>
        </w:tc>
        <w:tc>
          <w:tcPr>
            <w:tcW w:w="758" w:type="dxa"/>
            <w:vAlign w:val="bottom"/>
          </w:tcPr>
          <w:p w14:paraId="79AEF248" w14:textId="136EA7CF"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919</w:t>
            </w:r>
          </w:p>
        </w:tc>
        <w:tc>
          <w:tcPr>
            <w:tcW w:w="687" w:type="dxa"/>
            <w:vAlign w:val="bottom"/>
          </w:tcPr>
          <w:p w14:paraId="4791BF73" w14:textId="17287489"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380</w:t>
            </w:r>
          </w:p>
        </w:tc>
      </w:tr>
      <w:tr w:rsidR="003C1C4A" w:rsidRPr="00CE357F" w14:paraId="4C247333" w14:textId="77777777" w:rsidTr="002D5DF0">
        <w:trPr>
          <w:trHeight w:val="227"/>
          <w:jc w:val="center"/>
        </w:trPr>
        <w:tc>
          <w:tcPr>
            <w:tcW w:w="1555" w:type="dxa"/>
            <w:shd w:val="clear" w:color="auto" w:fill="D9E2F3" w:themeFill="accent1" w:themeFillTint="33"/>
            <w:vAlign w:val="center"/>
          </w:tcPr>
          <w:p w14:paraId="36BF2CCC" w14:textId="3744DA44"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lastRenderedPageBreak/>
              <w:t>Karlovarský k.</w:t>
            </w:r>
          </w:p>
        </w:tc>
        <w:tc>
          <w:tcPr>
            <w:tcW w:w="992" w:type="dxa"/>
          </w:tcPr>
          <w:p w14:paraId="5F26694C" w14:textId="67762BC2"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556</w:t>
            </w:r>
          </w:p>
        </w:tc>
        <w:tc>
          <w:tcPr>
            <w:tcW w:w="857" w:type="dxa"/>
          </w:tcPr>
          <w:p w14:paraId="5FA2649F" w14:textId="3B798F23" w:rsidR="003C1C4A" w:rsidRPr="00CE357F" w:rsidRDefault="003C1C4A" w:rsidP="003C1C4A">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20 947 </w:t>
            </w:r>
          </w:p>
        </w:tc>
        <w:tc>
          <w:tcPr>
            <w:tcW w:w="809" w:type="dxa"/>
            <w:vAlign w:val="bottom"/>
          </w:tcPr>
          <w:p w14:paraId="73FB03B2" w14:textId="41750D81"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266</w:t>
            </w:r>
          </w:p>
        </w:tc>
        <w:tc>
          <w:tcPr>
            <w:tcW w:w="898" w:type="dxa"/>
            <w:vAlign w:val="bottom"/>
          </w:tcPr>
          <w:p w14:paraId="7FC9BEFE" w14:textId="4293D4E5"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278</w:t>
            </w:r>
          </w:p>
        </w:tc>
        <w:tc>
          <w:tcPr>
            <w:tcW w:w="889" w:type="dxa"/>
            <w:vAlign w:val="bottom"/>
          </w:tcPr>
          <w:p w14:paraId="79B115E0" w14:textId="3C5B3686"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761</w:t>
            </w:r>
          </w:p>
        </w:tc>
        <w:tc>
          <w:tcPr>
            <w:tcW w:w="675" w:type="dxa"/>
            <w:vAlign w:val="bottom"/>
          </w:tcPr>
          <w:p w14:paraId="19A1191B" w14:textId="12478AA6"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271</w:t>
            </w:r>
          </w:p>
        </w:tc>
        <w:tc>
          <w:tcPr>
            <w:tcW w:w="1182" w:type="dxa"/>
            <w:vAlign w:val="bottom"/>
          </w:tcPr>
          <w:p w14:paraId="544CD57B" w14:textId="5D9EBF38"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290</w:t>
            </w:r>
          </w:p>
        </w:tc>
        <w:tc>
          <w:tcPr>
            <w:tcW w:w="758" w:type="dxa"/>
            <w:vAlign w:val="bottom"/>
          </w:tcPr>
          <w:p w14:paraId="22A6C420" w14:textId="2E1ABB09"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275</w:t>
            </w:r>
          </w:p>
        </w:tc>
        <w:tc>
          <w:tcPr>
            <w:tcW w:w="758" w:type="dxa"/>
            <w:vAlign w:val="bottom"/>
          </w:tcPr>
          <w:p w14:paraId="72BEBD70" w14:textId="52860D21"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570</w:t>
            </w:r>
          </w:p>
        </w:tc>
        <w:tc>
          <w:tcPr>
            <w:tcW w:w="687" w:type="dxa"/>
            <w:vAlign w:val="bottom"/>
          </w:tcPr>
          <w:p w14:paraId="1A766C46" w14:textId="7BB2820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063</w:t>
            </w:r>
          </w:p>
        </w:tc>
      </w:tr>
      <w:tr w:rsidR="003C1C4A" w:rsidRPr="00CE357F" w14:paraId="129D1FE5" w14:textId="77777777" w:rsidTr="002D5DF0">
        <w:trPr>
          <w:trHeight w:val="227"/>
          <w:jc w:val="center"/>
        </w:trPr>
        <w:tc>
          <w:tcPr>
            <w:tcW w:w="1555" w:type="dxa"/>
            <w:shd w:val="clear" w:color="auto" w:fill="D9E2F3" w:themeFill="accent1" w:themeFillTint="33"/>
            <w:vAlign w:val="center"/>
          </w:tcPr>
          <w:p w14:paraId="2D644717" w14:textId="11080FAE"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K. Vysočina</w:t>
            </w:r>
          </w:p>
        </w:tc>
        <w:tc>
          <w:tcPr>
            <w:tcW w:w="992" w:type="dxa"/>
            <w:shd w:val="clear" w:color="auto" w:fill="auto"/>
          </w:tcPr>
          <w:p w14:paraId="7B0815D8" w14:textId="7D4E3A0F"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30</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840</w:t>
            </w:r>
          </w:p>
        </w:tc>
        <w:tc>
          <w:tcPr>
            <w:tcW w:w="857" w:type="dxa"/>
            <w:shd w:val="clear" w:color="auto" w:fill="auto"/>
          </w:tcPr>
          <w:p w14:paraId="003AED2B" w14:textId="3D1645F7" w:rsidR="003C1C4A" w:rsidRPr="00893AB3" w:rsidRDefault="003C1C4A" w:rsidP="003C1C4A">
            <w:pPr>
              <w:jc w:val="center"/>
              <w:rPr>
                <w:rFonts w:ascii="Arial Narrow" w:eastAsia="Times New Roman" w:hAnsi="Arial Narrow" w:cs="Arial"/>
                <w:b/>
                <w:bCs/>
                <w:color w:val="C00000"/>
                <w:sz w:val="18"/>
                <w:szCs w:val="18"/>
                <w:lang w:eastAsia="cs-CZ"/>
              </w:rPr>
            </w:pPr>
            <w:r w:rsidRPr="00092438">
              <w:rPr>
                <w:rFonts w:ascii="Arial Narrow" w:eastAsia="Times New Roman" w:hAnsi="Arial Narrow" w:cs="Arial"/>
                <w:sz w:val="18"/>
                <w:szCs w:val="18"/>
                <w:lang w:eastAsia="cs-CZ"/>
              </w:rPr>
              <w:t xml:space="preserve">15 566 </w:t>
            </w:r>
          </w:p>
        </w:tc>
        <w:tc>
          <w:tcPr>
            <w:tcW w:w="809" w:type="dxa"/>
            <w:shd w:val="clear" w:color="auto" w:fill="auto"/>
            <w:vAlign w:val="bottom"/>
          </w:tcPr>
          <w:p w14:paraId="6FA93B19" w14:textId="1A86D998"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485</w:t>
            </w:r>
          </w:p>
        </w:tc>
        <w:tc>
          <w:tcPr>
            <w:tcW w:w="898" w:type="dxa"/>
            <w:shd w:val="clear" w:color="auto" w:fill="auto"/>
            <w:vAlign w:val="bottom"/>
          </w:tcPr>
          <w:p w14:paraId="4A4D1BEE" w14:textId="42564CEC"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2</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266</w:t>
            </w:r>
          </w:p>
        </w:tc>
        <w:tc>
          <w:tcPr>
            <w:tcW w:w="889" w:type="dxa"/>
            <w:shd w:val="clear" w:color="auto" w:fill="auto"/>
            <w:vAlign w:val="bottom"/>
          </w:tcPr>
          <w:p w14:paraId="0B354644" w14:textId="03D1D620"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122</w:t>
            </w:r>
          </w:p>
        </w:tc>
        <w:tc>
          <w:tcPr>
            <w:tcW w:w="675" w:type="dxa"/>
            <w:shd w:val="clear" w:color="auto" w:fill="auto"/>
            <w:vAlign w:val="bottom"/>
          </w:tcPr>
          <w:p w14:paraId="15D55926" w14:textId="24103BAE"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226</w:t>
            </w:r>
          </w:p>
        </w:tc>
        <w:tc>
          <w:tcPr>
            <w:tcW w:w="1182" w:type="dxa"/>
            <w:shd w:val="clear" w:color="auto" w:fill="auto"/>
            <w:vAlign w:val="bottom"/>
          </w:tcPr>
          <w:p w14:paraId="34C9D45B" w14:textId="1DCE4294"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26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355</w:t>
            </w:r>
          </w:p>
        </w:tc>
        <w:tc>
          <w:tcPr>
            <w:tcW w:w="758" w:type="dxa"/>
            <w:shd w:val="clear" w:color="auto" w:fill="auto"/>
            <w:vAlign w:val="bottom"/>
          </w:tcPr>
          <w:p w14:paraId="3DE480D3" w14:textId="0CDCDC5E"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21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912</w:t>
            </w:r>
          </w:p>
        </w:tc>
        <w:tc>
          <w:tcPr>
            <w:tcW w:w="758" w:type="dxa"/>
            <w:shd w:val="clear" w:color="auto" w:fill="auto"/>
            <w:vAlign w:val="bottom"/>
          </w:tcPr>
          <w:p w14:paraId="022EE95C" w14:textId="0FFEC942"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244</w:t>
            </w:r>
          </w:p>
        </w:tc>
        <w:tc>
          <w:tcPr>
            <w:tcW w:w="687" w:type="dxa"/>
            <w:shd w:val="clear" w:color="auto" w:fill="auto"/>
            <w:vAlign w:val="bottom"/>
          </w:tcPr>
          <w:p w14:paraId="5CBB2591" w14:textId="3C7BAAEA" w:rsidR="003C1C4A" w:rsidRPr="00893AB3" w:rsidRDefault="003C1C4A" w:rsidP="003C1C4A">
            <w:pPr>
              <w:jc w:val="center"/>
              <w:rPr>
                <w:rFonts w:ascii="Arial Narrow" w:eastAsia="Times New Roman" w:hAnsi="Arial Narrow" w:cs="Arial"/>
                <w:b/>
                <w:bCs/>
                <w:color w:val="C00000"/>
                <w:sz w:val="18"/>
                <w:szCs w:val="18"/>
                <w:lang w:eastAsia="cs-CZ"/>
              </w:rPr>
            </w:pPr>
            <w:r w:rsidRPr="004A0CD6">
              <w:rPr>
                <w:rFonts w:ascii="Arial Narrow" w:eastAsia="Times New Roman" w:hAnsi="Arial Narrow" w:cs="Arial"/>
                <w:sz w:val="18"/>
                <w:szCs w:val="18"/>
                <w:lang w:eastAsia="cs-CZ"/>
              </w:rPr>
              <w:t>196</w:t>
            </w:r>
          </w:p>
        </w:tc>
      </w:tr>
      <w:tr w:rsidR="003C1C4A" w:rsidRPr="00CE357F" w14:paraId="55DF6ABB" w14:textId="77777777" w:rsidTr="002D5DF0">
        <w:trPr>
          <w:trHeight w:val="227"/>
          <w:jc w:val="center"/>
        </w:trPr>
        <w:tc>
          <w:tcPr>
            <w:tcW w:w="1555" w:type="dxa"/>
            <w:shd w:val="clear" w:color="auto" w:fill="D9E2F3" w:themeFill="accent1" w:themeFillTint="33"/>
            <w:vAlign w:val="center"/>
          </w:tcPr>
          <w:p w14:paraId="30DD541B" w14:textId="16EE37B1"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Olomoucký k.</w:t>
            </w:r>
          </w:p>
        </w:tc>
        <w:tc>
          <w:tcPr>
            <w:tcW w:w="992" w:type="dxa"/>
          </w:tcPr>
          <w:p w14:paraId="35F06753" w14:textId="4BDB4DA7"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28</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660</w:t>
            </w:r>
          </w:p>
        </w:tc>
        <w:tc>
          <w:tcPr>
            <w:tcW w:w="857" w:type="dxa"/>
          </w:tcPr>
          <w:p w14:paraId="62B8BAFC" w14:textId="373EDD08" w:rsidR="003C1C4A" w:rsidRPr="00CE357F" w:rsidRDefault="003C1C4A" w:rsidP="003C1C4A">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14 907 </w:t>
            </w:r>
          </w:p>
        </w:tc>
        <w:tc>
          <w:tcPr>
            <w:tcW w:w="809" w:type="dxa"/>
            <w:vAlign w:val="bottom"/>
          </w:tcPr>
          <w:p w14:paraId="63EA3B99" w14:textId="01B23BD3"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5</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402</w:t>
            </w:r>
          </w:p>
        </w:tc>
        <w:tc>
          <w:tcPr>
            <w:tcW w:w="898" w:type="dxa"/>
            <w:vAlign w:val="bottom"/>
          </w:tcPr>
          <w:p w14:paraId="2BFD458F" w14:textId="2DADBECF"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167</w:t>
            </w:r>
          </w:p>
        </w:tc>
        <w:tc>
          <w:tcPr>
            <w:tcW w:w="889" w:type="dxa"/>
            <w:vAlign w:val="bottom"/>
          </w:tcPr>
          <w:p w14:paraId="2E6244C9" w14:textId="7D7DC4AB"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206</w:t>
            </w:r>
          </w:p>
        </w:tc>
        <w:tc>
          <w:tcPr>
            <w:tcW w:w="675" w:type="dxa"/>
            <w:vAlign w:val="bottom"/>
          </w:tcPr>
          <w:p w14:paraId="0AF59197" w14:textId="5CEED12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570</w:t>
            </w:r>
          </w:p>
        </w:tc>
        <w:tc>
          <w:tcPr>
            <w:tcW w:w="1182" w:type="dxa"/>
            <w:vAlign w:val="bottom"/>
          </w:tcPr>
          <w:p w14:paraId="09DEF4AC" w14:textId="50DB8B55"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258</w:t>
            </w:r>
          </w:p>
        </w:tc>
        <w:tc>
          <w:tcPr>
            <w:tcW w:w="758" w:type="dxa"/>
            <w:vAlign w:val="bottom"/>
          </w:tcPr>
          <w:p w14:paraId="495D2168" w14:textId="117D0982" w:rsidR="003C1C4A" w:rsidRPr="00CE357F" w:rsidRDefault="003C1C4A" w:rsidP="003C1C4A">
            <w:pPr>
              <w:jc w:val="center"/>
              <w:rPr>
                <w:rFonts w:ascii="Arial Narrow" w:hAnsi="Arial Narrow" w:cs="Arial"/>
                <w:sz w:val="18"/>
                <w:szCs w:val="18"/>
              </w:rPr>
            </w:pPr>
            <w:r w:rsidRPr="004A0CD6">
              <w:rPr>
                <w:rFonts w:ascii="Arial Narrow" w:eastAsia="Times New Roman" w:hAnsi="Arial Narrow" w:cs="Arial"/>
                <w:sz w:val="18"/>
                <w:szCs w:val="18"/>
                <w:lang w:eastAsia="cs-CZ"/>
              </w:rPr>
              <w:t>17</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701</w:t>
            </w:r>
          </w:p>
        </w:tc>
        <w:tc>
          <w:tcPr>
            <w:tcW w:w="758" w:type="dxa"/>
            <w:vAlign w:val="bottom"/>
          </w:tcPr>
          <w:p w14:paraId="14D77218" w14:textId="04E27A9A"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865</w:t>
            </w:r>
          </w:p>
        </w:tc>
        <w:tc>
          <w:tcPr>
            <w:tcW w:w="687" w:type="dxa"/>
            <w:vAlign w:val="bottom"/>
          </w:tcPr>
          <w:p w14:paraId="2840B7FF" w14:textId="7F860629"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442</w:t>
            </w:r>
          </w:p>
        </w:tc>
      </w:tr>
      <w:tr w:rsidR="003C1C4A" w:rsidRPr="00CE357F" w14:paraId="33F7ECFC" w14:textId="77777777" w:rsidTr="002D5DF0">
        <w:trPr>
          <w:trHeight w:val="227"/>
          <w:jc w:val="center"/>
        </w:trPr>
        <w:tc>
          <w:tcPr>
            <w:tcW w:w="1555" w:type="dxa"/>
            <w:shd w:val="clear" w:color="auto" w:fill="D9E2F3" w:themeFill="accent1" w:themeFillTint="33"/>
            <w:vAlign w:val="center"/>
          </w:tcPr>
          <w:p w14:paraId="770E7181" w14:textId="53A75724"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Zlínský k.</w:t>
            </w:r>
          </w:p>
        </w:tc>
        <w:tc>
          <w:tcPr>
            <w:tcW w:w="992" w:type="dxa"/>
          </w:tcPr>
          <w:p w14:paraId="00255F73" w14:textId="55C6F0D8"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555</w:t>
            </w:r>
          </w:p>
        </w:tc>
        <w:tc>
          <w:tcPr>
            <w:tcW w:w="857" w:type="dxa"/>
          </w:tcPr>
          <w:p w14:paraId="34CB5C60" w14:textId="4C127678" w:rsidR="003C1C4A" w:rsidRPr="00CE357F" w:rsidRDefault="003C1C4A" w:rsidP="003C1C4A">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13 369 </w:t>
            </w:r>
          </w:p>
        </w:tc>
        <w:tc>
          <w:tcPr>
            <w:tcW w:w="809" w:type="dxa"/>
            <w:vAlign w:val="bottom"/>
          </w:tcPr>
          <w:p w14:paraId="78A39F0C" w14:textId="7B57B7E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165</w:t>
            </w:r>
          </w:p>
        </w:tc>
        <w:tc>
          <w:tcPr>
            <w:tcW w:w="898" w:type="dxa"/>
            <w:vAlign w:val="bottom"/>
          </w:tcPr>
          <w:p w14:paraId="38198539" w14:textId="6F37F33C"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464</w:t>
            </w:r>
          </w:p>
        </w:tc>
        <w:tc>
          <w:tcPr>
            <w:tcW w:w="889" w:type="dxa"/>
            <w:vAlign w:val="bottom"/>
          </w:tcPr>
          <w:p w14:paraId="4618AAE8" w14:textId="507B339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147</w:t>
            </w:r>
          </w:p>
        </w:tc>
        <w:tc>
          <w:tcPr>
            <w:tcW w:w="675" w:type="dxa"/>
            <w:vAlign w:val="bottom"/>
          </w:tcPr>
          <w:p w14:paraId="3B615FE5" w14:textId="217800C1"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313</w:t>
            </w:r>
          </w:p>
        </w:tc>
        <w:tc>
          <w:tcPr>
            <w:tcW w:w="1182" w:type="dxa"/>
            <w:vAlign w:val="bottom"/>
          </w:tcPr>
          <w:p w14:paraId="21A8B753" w14:textId="13C1A31D"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20</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390</w:t>
            </w:r>
          </w:p>
        </w:tc>
        <w:tc>
          <w:tcPr>
            <w:tcW w:w="758" w:type="dxa"/>
            <w:vAlign w:val="bottom"/>
          </w:tcPr>
          <w:p w14:paraId="608DAA8A" w14:textId="069B4F74"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16</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569</w:t>
            </w:r>
          </w:p>
        </w:tc>
        <w:tc>
          <w:tcPr>
            <w:tcW w:w="758" w:type="dxa"/>
            <w:vAlign w:val="bottom"/>
          </w:tcPr>
          <w:p w14:paraId="35D46399" w14:textId="0F43C64C"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959</w:t>
            </w:r>
          </w:p>
        </w:tc>
        <w:tc>
          <w:tcPr>
            <w:tcW w:w="687" w:type="dxa"/>
            <w:vAlign w:val="bottom"/>
          </w:tcPr>
          <w:p w14:paraId="2FFDBAE7" w14:textId="361B0B15"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309</w:t>
            </w:r>
          </w:p>
        </w:tc>
      </w:tr>
      <w:tr w:rsidR="003C1C4A" w:rsidRPr="00CE357F" w14:paraId="1DADD4CD" w14:textId="77777777" w:rsidTr="002D5DF0">
        <w:trPr>
          <w:trHeight w:val="227"/>
          <w:jc w:val="center"/>
        </w:trPr>
        <w:tc>
          <w:tcPr>
            <w:tcW w:w="1555" w:type="dxa"/>
            <w:shd w:val="clear" w:color="auto" w:fill="D9E2F3" w:themeFill="accent1" w:themeFillTint="33"/>
            <w:vAlign w:val="center"/>
          </w:tcPr>
          <w:p w14:paraId="3B45E8A8" w14:textId="30907856" w:rsidR="003C1C4A" w:rsidRPr="00CE357F" w:rsidRDefault="003C1C4A" w:rsidP="003C1C4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Nezjištěno</w:t>
            </w:r>
          </w:p>
        </w:tc>
        <w:tc>
          <w:tcPr>
            <w:tcW w:w="992" w:type="dxa"/>
          </w:tcPr>
          <w:p w14:paraId="03FB5817" w14:textId="31654965"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949</w:t>
            </w:r>
          </w:p>
        </w:tc>
        <w:tc>
          <w:tcPr>
            <w:tcW w:w="857" w:type="dxa"/>
          </w:tcPr>
          <w:p w14:paraId="5C6F22C6" w14:textId="15BD6C7A" w:rsidR="003C1C4A" w:rsidRPr="00CE357F" w:rsidRDefault="003C1C4A" w:rsidP="003C1C4A">
            <w:pPr>
              <w:jc w:val="center"/>
              <w:rPr>
                <w:rFonts w:ascii="Arial Narrow" w:eastAsia="Times New Roman" w:hAnsi="Arial Narrow" w:cs="Arial"/>
                <w:sz w:val="18"/>
                <w:szCs w:val="18"/>
                <w:lang w:eastAsia="cs-CZ"/>
              </w:rPr>
            </w:pPr>
            <w:r w:rsidRPr="00092438">
              <w:rPr>
                <w:rFonts w:ascii="Arial Narrow" w:eastAsia="Times New Roman" w:hAnsi="Arial Narrow" w:cs="Arial"/>
                <w:sz w:val="18"/>
                <w:szCs w:val="18"/>
                <w:lang w:eastAsia="cs-CZ"/>
              </w:rPr>
              <w:t xml:space="preserve">2 108 </w:t>
            </w:r>
          </w:p>
        </w:tc>
        <w:tc>
          <w:tcPr>
            <w:tcW w:w="809" w:type="dxa"/>
            <w:vAlign w:val="bottom"/>
          </w:tcPr>
          <w:p w14:paraId="2E95FD84" w14:textId="1EF7546C"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171</w:t>
            </w:r>
          </w:p>
        </w:tc>
        <w:tc>
          <w:tcPr>
            <w:tcW w:w="898" w:type="dxa"/>
            <w:vAlign w:val="bottom"/>
          </w:tcPr>
          <w:p w14:paraId="4B2B86E5" w14:textId="116E6D62"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86</w:t>
            </w:r>
          </w:p>
        </w:tc>
        <w:tc>
          <w:tcPr>
            <w:tcW w:w="889" w:type="dxa"/>
            <w:vAlign w:val="bottom"/>
          </w:tcPr>
          <w:p w14:paraId="5FE2E624" w14:textId="5466FA47"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9</w:t>
            </w:r>
          </w:p>
        </w:tc>
        <w:tc>
          <w:tcPr>
            <w:tcW w:w="675" w:type="dxa"/>
            <w:vAlign w:val="bottom"/>
          </w:tcPr>
          <w:p w14:paraId="1EA3E2F3" w14:textId="0D9C600B"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8</w:t>
            </w:r>
          </w:p>
        </w:tc>
        <w:tc>
          <w:tcPr>
            <w:tcW w:w="1182" w:type="dxa"/>
            <w:vAlign w:val="bottom"/>
          </w:tcPr>
          <w:p w14:paraId="10463F06" w14:textId="431D4F34"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778</w:t>
            </w:r>
          </w:p>
        </w:tc>
        <w:tc>
          <w:tcPr>
            <w:tcW w:w="758" w:type="dxa"/>
            <w:vAlign w:val="bottom"/>
          </w:tcPr>
          <w:p w14:paraId="71EC8C3D" w14:textId="56744320"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3</w:t>
            </w:r>
            <w:r>
              <w:rPr>
                <w:rFonts w:ascii="Arial Narrow" w:eastAsia="Times New Roman" w:hAnsi="Arial Narrow" w:cs="Arial"/>
                <w:sz w:val="18"/>
                <w:szCs w:val="18"/>
                <w:lang w:eastAsia="cs-CZ"/>
              </w:rPr>
              <w:t xml:space="preserve"> </w:t>
            </w:r>
            <w:r w:rsidRPr="004A0CD6">
              <w:rPr>
                <w:rFonts w:ascii="Arial Narrow" w:eastAsia="Times New Roman" w:hAnsi="Arial Narrow" w:cs="Arial"/>
                <w:sz w:val="18"/>
                <w:szCs w:val="18"/>
                <w:lang w:eastAsia="cs-CZ"/>
              </w:rPr>
              <w:t>104</w:t>
            </w:r>
          </w:p>
        </w:tc>
        <w:tc>
          <w:tcPr>
            <w:tcW w:w="758" w:type="dxa"/>
            <w:vAlign w:val="bottom"/>
          </w:tcPr>
          <w:p w14:paraId="1ACCEFCE" w14:textId="453FF62C"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41</w:t>
            </w:r>
          </w:p>
        </w:tc>
        <w:tc>
          <w:tcPr>
            <w:tcW w:w="687" w:type="dxa"/>
            <w:vAlign w:val="bottom"/>
          </w:tcPr>
          <w:p w14:paraId="43187E30" w14:textId="41D3BDC4" w:rsidR="003C1C4A" w:rsidRPr="00CE357F" w:rsidRDefault="003C1C4A" w:rsidP="003C1C4A">
            <w:pPr>
              <w:jc w:val="center"/>
              <w:rPr>
                <w:rFonts w:ascii="Arial Narrow" w:eastAsia="Times New Roman" w:hAnsi="Arial Narrow" w:cs="Arial"/>
                <w:sz w:val="18"/>
                <w:szCs w:val="18"/>
                <w:lang w:eastAsia="cs-CZ"/>
              </w:rPr>
            </w:pPr>
            <w:r w:rsidRPr="004A0CD6">
              <w:rPr>
                <w:rFonts w:ascii="Arial Narrow" w:eastAsia="Times New Roman" w:hAnsi="Arial Narrow" w:cs="Arial"/>
                <w:sz w:val="18"/>
                <w:szCs w:val="18"/>
                <w:lang w:eastAsia="cs-CZ"/>
              </w:rPr>
              <w:t>58</w:t>
            </w:r>
          </w:p>
        </w:tc>
      </w:tr>
    </w:tbl>
    <w:bookmarkEnd w:id="55"/>
    <w:p w14:paraId="30C97C63" w14:textId="23473414" w:rsidR="00F64165" w:rsidRPr="00CE357F" w:rsidRDefault="00F64165" w:rsidP="00F64165">
      <w:pPr>
        <w:spacing w:line="276" w:lineRule="auto"/>
        <w:rPr>
          <w:rFonts w:ascii="Arial Narrow" w:hAnsi="Arial Narrow" w:cs="Arial"/>
          <w:color w:val="000000"/>
          <w:sz w:val="20"/>
          <w:szCs w:val="20"/>
        </w:rPr>
      </w:pPr>
      <w:r w:rsidRPr="00CE357F">
        <w:rPr>
          <w:rFonts w:ascii="Arial Narrow" w:hAnsi="Arial Narrow" w:cs="Arial"/>
          <w:color w:val="000000"/>
          <w:sz w:val="20"/>
          <w:szCs w:val="20"/>
        </w:rPr>
        <w:t xml:space="preserve">Zdroj: Český statistický úřad, </w:t>
      </w:r>
      <w:r w:rsidR="00EC14EC" w:rsidRPr="00CE357F">
        <w:rPr>
          <w:rFonts w:ascii="Arial Narrow" w:hAnsi="Arial Narrow"/>
          <w:sz w:val="20"/>
          <w:szCs w:val="20"/>
        </w:rPr>
        <w:t>(data platná k 31. 12. 202</w:t>
      </w:r>
      <w:r w:rsidR="00893AB3">
        <w:rPr>
          <w:rFonts w:ascii="Arial Narrow" w:hAnsi="Arial Narrow"/>
          <w:sz w:val="20"/>
          <w:szCs w:val="20"/>
        </w:rPr>
        <w:t>2</w:t>
      </w:r>
      <w:r w:rsidR="00EC14EC" w:rsidRPr="00CE357F">
        <w:rPr>
          <w:rFonts w:ascii="Arial Narrow" w:hAnsi="Arial Narrow"/>
          <w:sz w:val="20"/>
          <w:szCs w:val="20"/>
        </w:rPr>
        <w:t xml:space="preserve">)   </w:t>
      </w:r>
      <w:r w:rsidR="00443B0E" w:rsidRPr="00CE357F">
        <w:rPr>
          <w:rFonts w:ascii="Arial Narrow" w:hAnsi="Arial Narrow"/>
          <w:sz w:val="20"/>
          <w:szCs w:val="20"/>
        </w:rPr>
        <w:tab/>
      </w:r>
      <w:r w:rsidR="00443B0E" w:rsidRPr="00CE357F">
        <w:rPr>
          <w:rFonts w:ascii="Arial Narrow" w:hAnsi="Arial Narrow"/>
          <w:sz w:val="20"/>
          <w:szCs w:val="20"/>
        </w:rPr>
        <w:tab/>
        <w:t xml:space="preserve">     </w:t>
      </w:r>
      <w:r w:rsidR="00EC14EC" w:rsidRPr="00CE357F">
        <w:rPr>
          <w:rFonts w:ascii="Arial Narrow" w:hAnsi="Arial Narrow"/>
          <w:sz w:val="20"/>
          <w:szCs w:val="20"/>
        </w:rPr>
        <w:t xml:space="preserve">             </w:t>
      </w:r>
      <w:r w:rsidR="00443B0E" w:rsidRPr="00CE357F">
        <w:rPr>
          <w:rFonts w:ascii="Arial Narrow" w:hAnsi="Arial Narrow"/>
          <w:sz w:val="20"/>
          <w:szCs w:val="20"/>
        </w:rPr>
        <w:t xml:space="preserve">Tabulka: AUGUR </w:t>
      </w:r>
      <w:proofErr w:type="spellStart"/>
      <w:r w:rsidR="00443B0E" w:rsidRPr="00CE357F">
        <w:rPr>
          <w:rFonts w:ascii="Arial Narrow" w:hAnsi="Arial Narrow"/>
          <w:sz w:val="20"/>
          <w:szCs w:val="20"/>
        </w:rPr>
        <w:t>Consulting</w:t>
      </w:r>
      <w:proofErr w:type="spellEnd"/>
      <w:r w:rsidR="00443B0E" w:rsidRPr="00CE357F">
        <w:rPr>
          <w:rFonts w:ascii="Arial Narrow" w:hAnsi="Arial Narrow"/>
          <w:sz w:val="20"/>
          <w:szCs w:val="20"/>
        </w:rPr>
        <w:t xml:space="preserve"> s.r.o</w:t>
      </w:r>
    </w:p>
    <w:p w14:paraId="19A0C7F2" w14:textId="77777777" w:rsidR="00B569EB" w:rsidRPr="00CE357F" w:rsidRDefault="00B569EB" w:rsidP="00B569EB">
      <w:pPr>
        <w:spacing w:line="276" w:lineRule="auto"/>
        <w:rPr>
          <w:rFonts w:ascii="Arial Narrow" w:hAnsi="Arial Narrow"/>
        </w:rPr>
      </w:pPr>
    </w:p>
    <w:p w14:paraId="1502BE16" w14:textId="40E61923" w:rsidR="00A0114E" w:rsidRDefault="00370EF1" w:rsidP="005C6013">
      <w:pPr>
        <w:spacing w:after="120" w:line="276" w:lineRule="auto"/>
        <w:jc w:val="both"/>
        <w:rPr>
          <w:rFonts w:ascii="Arial Narrow" w:hAnsi="Arial Narrow"/>
        </w:rPr>
      </w:pPr>
      <w:r w:rsidRPr="00CE357F">
        <w:rPr>
          <w:rFonts w:ascii="Arial Narrow" w:hAnsi="Arial Narrow"/>
        </w:rPr>
        <w:t xml:space="preserve">Podíl osob s jinou než českou státní příslušností na celkovém počtu obyvatel v Jihomoravském kraji dlouhodobě narůstá. </w:t>
      </w:r>
      <w:bookmarkStart w:id="56" w:name="_Hlk95483695"/>
      <w:r w:rsidRPr="00CE357F">
        <w:rPr>
          <w:rFonts w:ascii="Arial Narrow" w:hAnsi="Arial Narrow"/>
        </w:rPr>
        <w:t>Zatímco v roce 2006 tvořil</w:t>
      </w:r>
      <w:r>
        <w:rPr>
          <w:rFonts w:ascii="Arial Narrow" w:hAnsi="Arial Narrow"/>
        </w:rPr>
        <w:t>y</w:t>
      </w:r>
      <w:r w:rsidRPr="00CE357F">
        <w:rPr>
          <w:rFonts w:ascii="Arial Narrow" w:hAnsi="Arial Narrow"/>
        </w:rPr>
        <w:t xml:space="preserve"> osob</w:t>
      </w:r>
      <w:r>
        <w:rPr>
          <w:rFonts w:ascii="Arial Narrow" w:hAnsi="Arial Narrow"/>
        </w:rPr>
        <w:t>y</w:t>
      </w:r>
      <w:r w:rsidRPr="00CE357F">
        <w:rPr>
          <w:rFonts w:ascii="Arial Narrow" w:hAnsi="Arial Narrow"/>
        </w:rPr>
        <w:t xml:space="preserve"> s jinou než českou státní příslušností zhruba 2,5 % všech obyvatel Jihomoravského kraje, v roce 2020 to bylo již 4,9 %. </w:t>
      </w:r>
      <w:bookmarkEnd w:id="56"/>
      <w:r w:rsidRPr="00CE357F">
        <w:rPr>
          <w:rFonts w:ascii="Arial Narrow" w:hAnsi="Arial Narrow"/>
        </w:rPr>
        <w:t>Růst podílu počtu osob s jinou než českou státní příslušností na celkovém počtu obyvatel kraje je pa</w:t>
      </w:r>
      <w:r w:rsidRPr="00B361AC">
        <w:rPr>
          <w:rFonts w:ascii="Arial Narrow" w:hAnsi="Arial Narrow"/>
        </w:rPr>
        <w:t>trný zejména od roku 2012. Mezi lety 2012 a 202</w:t>
      </w:r>
      <w:r w:rsidR="00B361AC" w:rsidRPr="00B361AC">
        <w:rPr>
          <w:rFonts w:ascii="Arial Narrow" w:hAnsi="Arial Narrow"/>
        </w:rPr>
        <w:t>2</w:t>
      </w:r>
      <w:r w:rsidRPr="00B361AC">
        <w:rPr>
          <w:rFonts w:ascii="Arial Narrow" w:hAnsi="Arial Narrow"/>
        </w:rPr>
        <w:t xml:space="preserve"> narostl podíl počtu těchto osob na celkovém počtu obyvatel kraje o </w:t>
      </w:r>
      <w:r w:rsidR="00B361AC" w:rsidRPr="00B361AC">
        <w:rPr>
          <w:rFonts w:ascii="Arial Narrow" w:hAnsi="Arial Narrow"/>
        </w:rPr>
        <w:t>6,3</w:t>
      </w:r>
      <w:r w:rsidRPr="00B361AC">
        <w:rPr>
          <w:rFonts w:ascii="Arial Narrow" w:hAnsi="Arial Narrow"/>
        </w:rPr>
        <w:t xml:space="preserve"> %.</w:t>
      </w:r>
      <w:r>
        <w:rPr>
          <w:rFonts w:ascii="Arial Narrow" w:hAnsi="Arial Narrow"/>
        </w:rPr>
        <w:t xml:space="preserve"> </w:t>
      </w:r>
    </w:p>
    <w:p w14:paraId="0A2F607E" w14:textId="4A7FEE40" w:rsidR="009053DD" w:rsidRPr="00CE357F" w:rsidRDefault="00370EF1" w:rsidP="7CC7BF57">
      <w:pPr>
        <w:spacing w:after="120" w:line="276" w:lineRule="auto"/>
        <w:jc w:val="both"/>
        <w:rPr>
          <w:rFonts w:ascii="Arial Narrow" w:hAnsi="Arial Narrow"/>
        </w:rPr>
      </w:pPr>
      <w:r w:rsidRPr="7CC7BF57">
        <w:rPr>
          <w:rFonts w:ascii="Arial Narrow" w:hAnsi="Arial Narrow"/>
        </w:rPr>
        <w:t xml:space="preserve">Data za rok 2022 dokládají, že v podílu počtu osob s jinou než českou státní příslušností došlo k bezprecedentnímu skokovému nárůstu, který činil 4,1 % oproti stavu z roku 2021. V současnosti má přibližně každý desátý obyvatel </w:t>
      </w:r>
      <w:r w:rsidR="003C1C4A" w:rsidRPr="00173E7B">
        <w:rPr>
          <w:rFonts w:ascii="Arial Narrow" w:hAnsi="Arial Narrow"/>
        </w:rPr>
        <w:t>Jihomoravského kraje (</w:t>
      </w:r>
      <w:r w:rsidRPr="00173E7B">
        <w:rPr>
          <w:rFonts w:ascii="Arial Narrow" w:hAnsi="Arial Narrow"/>
        </w:rPr>
        <w:t>JMK</w:t>
      </w:r>
      <w:r w:rsidR="003C1C4A" w:rsidRPr="00173E7B">
        <w:rPr>
          <w:rFonts w:ascii="Arial Narrow" w:hAnsi="Arial Narrow"/>
        </w:rPr>
        <w:t>)</w:t>
      </w:r>
      <w:r w:rsidRPr="00173E7B">
        <w:rPr>
          <w:rFonts w:ascii="Arial Narrow" w:hAnsi="Arial Narrow"/>
        </w:rPr>
        <w:t xml:space="preserve"> jinou než českou </w:t>
      </w:r>
      <w:r w:rsidR="003C1C4A" w:rsidRPr="00173E7B">
        <w:rPr>
          <w:rFonts w:ascii="Arial Narrow" w:hAnsi="Arial Narrow"/>
        </w:rPr>
        <w:t>státní příslušnost</w:t>
      </w:r>
      <w:r w:rsidRPr="00173E7B">
        <w:rPr>
          <w:rFonts w:ascii="Arial Narrow" w:hAnsi="Arial Narrow"/>
        </w:rPr>
        <w:t xml:space="preserve">. </w:t>
      </w:r>
      <w:r w:rsidR="00B569EB" w:rsidRPr="7CC7BF57">
        <w:rPr>
          <w:rFonts w:ascii="Arial Narrow" w:hAnsi="Arial Narrow"/>
        </w:rPr>
        <w:t xml:space="preserve">Vývoj podílu osob s jinou než českou státní příslušností na celkovém počtu obyvatel Jihomoravského </w:t>
      </w:r>
      <w:r w:rsidR="6D931376" w:rsidRPr="7CC7BF57">
        <w:rPr>
          <w:rFonts w:ascii="Arial Narrow" w:hAnsi="Arial Narrow"/>
        </w:rPr>
        <w:t>k</w:t>
      </w:r>
      <w:r w:rsidR="00B569EB" w:rsidRPr="7CC7BF57">
        <w:rPr>
          <w:rFonts w:ascii="Arial Narrow" w:hAnsi="Arial Narrow"/>
        </w:rPr>
        <w:t>raje od roku 2006 po současnost dokumentuje graf</w:t>
      </w:r>
      <w:r w:rsidR="004C68A8">
        <w:rPr>
          <w:rFonts w:ascii="Arial Narrow" w:hAnsi="Arial Narrow"/>
        </w:rPr>
        <w:t xml:space="preserve"> č. 6</w:t>
      </w:r>
      <w:r w:rsidR="00B569EB" w:rsidRPr="7CC7BF57">
        <w:rPr>
          <w:rFonts w:ascii="Arial Narrow" w:hAnsi="Arial Narrow"/>
        </w:rPr>
        <w:t>.</w:t>
      </w:r>
    </w:p>
    <w:p w14:paraId="59A85A79" w14:textId="377CEAF5" w:rsidR="009053DD" w:rsidRPr="00CE357F" w:rsidRDefault="009053DD" w:rsidP="009053DD">
      <w:pPr>
        <w:pStyle w:val="Titulek"/>
        <w:keepNext/>
        <w:spacing w:after="0"/>
        <w:jc w:val="both"/>
        <w:rPr>
          <w:rFonts w:ascii="Arial Narrow" w:hAnsi="Arial Narrow"/>
          <w:sz w:val="20"/>
          <w:szCs w:val="20"/>
        </w:rPr>
      </w:pPr>
      <w:bookmarkStart w:id="57" w:name="_Toc94443710"/>
      <w:bookmarkStart w:id="58" w:name="_Toc136428850"/>
      <w:r w:rsidRPr="00CE357F">
        <w:rPr>
          <w:rFonts w:ascii="Arial Narrow" w:hAnsi="Arial Narrow"/>
          <w:color w:val="auto"/>
          <w:sz w:val="20"/>
          <w:szCs w:val="20"/>
        </w:rPr>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6</w:t>
      </w:r>
      <w:r w:rsidR="00B63C25">
        <w:rPr>
          <w:rFonts w:ascii="Arial Narrow" w:hAnsi="Arial Narrow"/>
          <w:color w:val="auto"/>
          <w:sz w:val="20"/>
          <w:szCs w:val="20"/>
        </w:rPr>
        <w:fldChar w:fldCharType="end"/>
      </w:r>
      <w:r w:rsidRPr="00CE357F">
        <w:rPr>
          <w:rFonts w:ascii="Arial Narrow" w:hAnsi="Arial Narrow"/>
          <w:color w:val="auto"/>
          <w:sz w:val="20"/>
          <w:szCs w:val="20"/>
        </w:rPr>
        <w:t>: Podíl osob s jinou než českou státní příslušností v JMK na celkovém počtu obyvatel</w:t>
      </w:r>
      <w:bookmarkEnd w:id="57"/>
      <w:bookmarkEnd w:id="58"/>
    </w:p>
    <w:p w14:paraId="16BF20FA" w14:textId="5779626E" w:rsidR="00B569EB" w:rsidRPr="00CE357F" w:rsidRDefault="00370EF1" w:rsidP="00B569EB">
      <w:pPr>
        <w:spacing w:line="276" w:lineRule="auto"/>
        <w:rPr>
          <w:rFonts w:ascii="Arial Narrow" w:hAnsi="Arial Narrow"/>
        </w:rPr>
      </w:pPr>
      <w:r w:rsidRPr="00CE357F">
        <w:rPr>
          <w:rFonts w:ascii="Arial Narrow" w:hAnsi="Arial Narrow"/>
          <w:bCs/>
          <w:noProof/>
          <w:sz w:val="20"/>
          <w:szCs w:val="20"/>
          <w:lang w:eastAsia="cs-CZ"/>
        </w:rPr>
        <w:drawing>
          <wp:inline distT="0" distB="0" distL="0" distR="0" wp14:anchorId="66C1F9EA" wp14:editId="4FFDA7EF">
            <wp:extent cx="5760720" cy="3009900"/>
            <wp:effectExtent l="0" t="0" r="0" b="0"/>
            <wp:docPr id="2063" name="Graf 2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60C1FB" w14:textId="2E3AB3BE" w:rsidR="00B569EB" w:rsidRPr="00CE357F" w:rsidRDefault="00BE1B8D" w:rsidP="00B569EB">
      <w:pPr>
        <w:spacing w:line="276" w:lineRule="auto"/>
        <w:rPr>
          <w:rFonts w:ascii="Arial Narrow" w:hAnsi="Arial Narrow"/>
        </w:rPr>
      </w:pPr>
      <w:r w:rsidRPr="00CE357F">
        <w:rPr>
          <w:rFonts w:ascii="Arial Narrow" w:hAnsi="Arial Narrow"/>
          <w:sz w:val="20"/>
          <w:szCs w:val="20"/>
        </w:rPr>
        <w:t xml:space="preserve">Zdroj: Český statistický úřad </w:t>
      </w:r>
      <w:r w:rsidR="00B569EB" w:rsidRPr="00CE357F">
        <w:rPr>
          <w:rFonts w:ascii="Arial Narrow" w:hAnsi="Arial Narrow"/>
          <w:sz w:val="20"/>
          <w:szCs w:val="20"/>
        </w:rPr>
        <w:t>(d</w:t>
      </w:r>
      <w:r w:rsidRPr="00CE357F">
        <w:rPr>
          <w:rFonts w:ascii="Arial Narrow" w:hAnsi="Arial Narrow"/>
          <w:sz w:val="20"/>
          <w:szCs w:val="20"/>
        </w:rPr>
        <w:t>ata platná k 31. 12. 202</w:t>
      </w:r>
      <w:r w:rsidR="00370EF1">
        <w:rPr>
          <w:rFonts w:ascii="Arial Narrow" w:hAnsi="Arial Narrow"/>
          <w:sz w:val="20"/>
          <w:szCs w:val="20"/>
        </w:rPr>
        <w:t>2</w:t>
      </w:r>
      <w:r w:rsidRPr="00CE357F">
        <w:rPr>
          <w:rFonts w:ascii="Arial Narrow" w:hAnsi="Arial Narrow"/>
          <w:sz w:val="20"/>
          <w:szCs w:val="20"/>
        </w:rPr>
        <w:t xml:space="preserve">) </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sidR="00B569EB" w:rsidRPr="00CE357F">
        <w:rPr>
          <w:rFonts w:ascii="Arial Narrow" w:hAnsi="Arial Narrow"/>
          <w:sz w:val="20"/>
          <w:szCs w:val="20"/>
        </w:rPr>
        <w:t xml:space="preserve">  Graf: AUGUR </w:t>
      </w:r>
      <w:proofErr w:type="spellStart"/>
      <w:r w:rsidR="00B569EB" w:rsidRPr="00CE357F">
        <w:rPr>
          <w:rFonts w:ascii="Arial Narrow" w:hAnsi="Arial Narrow"/>
          <w:sz w:val="20"/>
          <w:szCs w:val="20"/>
        </w:rPr>
        <w:t>Consulting</w:t>
      </w:r>
      <w:proofErr w:type="spellEnd"/>
      <w:r w:rsidR="00B569EB" w:rsidRPr="00CE357F">
        <w:rPr>
          <w:rFonts w:ascii="Arial Narrow" w:hAnsi="Arial Narrow"/>
          <w:sz w:val="20"/>
          <w:szCs w:val="20"/>
        </w:rPr>
        <w:t xml:space="preserve"> s.r.o.</w:t>
      </w:r>
    </w:p>
    <w:p w14:paraId="707EAB7E" w14:textId="4685E421" w:rsidR="00B569EB" w:rsidRPr="00CE357F" w:rsidRDefault="00B569EB" w:rsidP="00B569EB">
      <w:pPr>
        <w:rPr>
          <w:rFonts w:ascii="Arial Narrow" w:hAnsi="Arial Narrow"/>
        </w:rPr>
      </w:pPr>
    </w:p>
    <w:p w14:paraId="78CA82BB" w14:textId="0B93E253" w:rsidR="00F1264F" w:rsidRPr="00CE357F" w:rsidRDefault="00F1264F" w:rsidP="00856205">
      <w:pPr>
        <w:pStyle w:val="Nadpis3"/>
        <w:ind w:left="709"/>
      </w:pPr>
      <w:bookmarkStart w:id="59" w:name="_Toc136876072"/>
      <w:bookmarkStart w:id="60" w:name="_Hlk93487513"/>
      <w:r w:rsidRPr="00CE357F">
        <w:t xml:space="preserve">Osoby s jinou než českou státní příslušností podle </w:t>
      </w:r>
      <w:r w:rsidR="00357915" w:rsidRPr="00CE357F">
        <w:t xml:space="preserve">kategorie </w:t>
      </w:r>
      <w:r w:rsidRPr="00CE357F">
        <w:t>země původu</w:t>
      </w:r>
      <w:bookmarkEnd w:id="59"/>
    </w:p>
    <w:p w14:paraId="0C0640F7" w14:textId="77777777" w:rsidR="00F1264F" w:rsidRPr="00CE357F" w:rsidRDefault="00F1264F" w:rsidP="00F1264F">
      <w:pPr>
        <w:spacing w:line="276" w:lineRule="auto"/>
        <w:jc w:val="both"/>
        <w:rPr>
          <w:rFonts w:ascii="Arial Narrow" w:hAnsi="Arial Narrow"/>
          <w:b/>
          <w:bCs/>
          <w:color w:val="C00000"/>
        </w:rPr>
      </w:pPr>
    </w:p>
    <w:p w14:paraId="0519DE8C" w14:textId="1BA51636" w:rsidR="001C34E6" w:rsidRPr="00CE357F" w:rsidRDefault="001C34E6" w:rsidP="00357915">
      <w:pPr>
        <w:jc w:val="both"/>
        <w:rPr>
          <w:rFonts w:ascii="Arial Narrow" w:hAnsi="Arial Narrow"/>
          <w:b/>
          <w:bCs/>
          <w:color w:val="C00000"/>
        </w:rPr>
      </w:pPr>
      <w:r w:rsidRPr="00CE357F">
        <w:rPr>
          <w:rFonts w:ascii="Arial Narrow" w:hAnsi="Arial Narrow"/>
          <w:b/>
          <w:bCs/>
          <w:color w:val="C00000"/>
        </w:rPr>
        <w:t>Osoby s jinou než českou státní příslušností v České republice v letech 2005-202</w:t>
      </w:r>
      <w:r w:rsidR="00A0114E">
        <w:rPr>
          <w:rFonts w:ascii="Arial Narrow" w:hAnsi="Arial Narrow"/>
          <w:b/>
          <w:bCs/>
          <w:color w:val="C00000"/>
        </w:rPr>
        <w:t>2</w:t>
      </w:r>
      <w:r w:rsidRPr="00CE357F">
        <w:rPr>
          <w:rFonts w:ascii="Arial Narrow" w:hAnsi="Arial Narrow"/>
          <w:b/>
          <w:bCs/>
          <w:color w:val="C00000"/>
        </w:rPr>
        <w:t xml:space="preserve"> podle </w:t>
      </w:r>
      <w:r w:rsidR="00357915" w:rsidRPr="00CE357F">
        <w:rPr>
          <w:rFonts w:ascii="Arial Narrow" w:hAnsi="Arial Narrow"/>
          <w:b/>
          <w:bCs/>
          <w:color w:val="C00000"/>
        </w:rPr>
        <w:t xml:space="preserve">kategorie </w:t>
      </w:r>
      <w:r w:rsidRPr="00CE357F">
        <w:rPr>
          <w:rFonts w:ascii="Arial Narrow" w:hAnsi="Arial Narrow"/>
          <w:b/>
          <w:bCs/>
          <w:color w:val="C00000"/>
        </w:rPr>
        <w:t>země původu</w:t>
      </w:r>
    </w:p>
    <w:p w14:paraId="0B3FFEE4" w14:textId="77777777" w:rsidR="001C34E6" w:rsidRPr="00CE357F" w:rsidRDefault="001C34E6" w:rsidP="00F1264F">
      <w:pPr>
        <w:spacing w:line="276" w:lineRule="auto"/>
        <w:jc w:val="both"/>
        <w:rPr>
          <w:rFonts w:ascii="Arial Narrow" w:hAnsi="Arial Narrow"/>
          <w:bCs/>
        </w:rPr>
      </w:pPr>
    </w:p>
    <w:p w14:paraId="6DD48327" w14:textId="45DEABA8" w:rsidR="00A0114E" w:rsidRDefault="00A0114E" w:rsidP="00A949BB">
      <w:pPr>
        <w:spacing w:after="240" w:line="276" w:lineRule="auto"/>
        <w:jc w:val="both"/>
        <w:rPr>
          <w:rFonts w:ascii="Arial Narrow" w:hAnsi="Arial Narrow"/>
          <w:bCs/>
        </w:rPr>
      </w:pPr>
      <w:r>
        <w:rPr>
          <w:rFonts w:ascii="Arial Narrow" w:hAnsi="Arial Narrow"/>
          <w:bCs/>
        </w:rPr>
        <w:t>Z</w:t>
      </w:r>
      <w:r w:rsidR="00F1264F" w:rsidRPr="00CE357F">
        <w:rPr>
          <w:rFonts w:ascii="Arial Narrow" w:hAnsi="Arial Narrow"/>
          <w:bCs/>
        </w:rPr>
        <w:t xml:space="preserve"> celkového počtu </w:t>
      </w:r>
      <w:r w:rsidR="00F1264F" w:rsidRPr="00CE357F">
        <w:rPr>
          <w:rFonts w:ascii="Arial Narrow" w:hAnsi="Arial Narrow"/>
        </w:rPr>
        <w:t xml:space="preserve">osob s jinou než českou státní příslušností </w:t>
      </w:r>
      <w:r w:rsidR="00F1264F" w:rsidRPr="00CE357F">
        <w:rPr>
          <w:rFonts w:ascii="Arial Narrow" w:hAnsi="Arial Narrow"/>
          <w:bCs/>
        </w:rPr>
        <w:t xml:space="preserve">s povoleným pobytem v České republice jich </w:t>
      </w:r>
      <w:r>
        <w:rPr>
          <w:rFonts w:ascii="Arial Narrow" w:hAnsi="Arial Narrow"/>
          <w:bCs/>
        </w:rPr>
        <w:t xml:space="preserve">v roce 2020 </w:t>
      </w:r>
      <w:r w:rsidR="00F1264F" w:rsidRPr="00CE357F">
        <w:rPr>
          <w:rFonts w:ascii="Arial Narrow" w:hAnsi="Arial Narrow"/>
          <w:bCs/>
        </w:rPr>
        <w:t>na území České republiky pobývalo 48,8 % trvale, tj. s povolením k trvalému pobytu a 51,2 % přechodně. Přechodný pobyt na území České republiky mělo k 31. 12. 2020 celkem 156 246 občanů EU a 168 936 občanů třetích zemí a trvalý pobyt 97 593 občanů EU a 212 015 občanů třetích zemí.</w:t>
      </w:r>
    </w:p>
    <w:p w14:paraId="78FC18CA" w14:textId="3696E669" w:rsidR="005A6451" w:rsidRPr="00173E7B" w:rsidRDefault="00A0114E" w:rsidP="00A0114E">
      <w:pPr>
        <w:spacing w:after="240" w:line="276" w:lineRule="auto"/>
        <w:jc w:val="both"/>
        <w:rPr>
          <w:rFonts w:ascii="Arial Narrow" w:hAnsi="Arial Narrow"/>
          <w:b/>
          <w:bCs/>
        </w:rPr>
      </w:pPr>
      <w:r w:rsidRPr="7CC7BF57">
        <w:rPr>
          <w:rFonts w:ascii="Arial Narrow" w:hAnsi="Arial Narrow"/>
        </w:rPr>
        <w:lastRenderedPageBreak/>
        <w:t xml:space="preserve">Z celkového počtu osob s jinou než českou státní příslušností s povoleným pobytem v České republice jich v roce 2022 na území České republiky pobývalo 29,9 % trvale, tj. s povolením k trvalému pobytu, a 70,1 % přechodně. Přechodný pobyt na území České republiky mělo k 31. 12. 2022 celkem 120 324 občanů EU a 661 676 občanů třetích zemí a trvalý pobyt 106 102 občanů EU a 228 052 občanů třetích zemí. Za rok 2022 tedy došlo k proměně </w:t>
      </w:r>
      <w:r w:rsidRPr="00173E7B">
        <w:rPr>
          <w:rFonts w:ascii="Arial Narrow" w:hAnsi="Arial Narrow"/>
        </w:rPr>
        <w:t xml:space="preserve">struktury druhů pobytu. </w:t>
      </w:r>
      <w:r w:rsidRPr="00173E7B">
        <w:rPr>
          <w:rFonts w:ascii="Arial Narrow" w:hAnsi="Arial Narrow"/>
          <w:b/>
          <w:bCs/>
          <w:shd w:val="clear" w:color="auto" w:fill="E7E6E6" w:themeFill="background2"/>
        </w:rPr>
        <w:t>Oproti roku 2020 vzrostl podíl osob s přechodným pobytem o 19,1 %.</w:t>
      </w:r>
    </w:p>
    <w:p w14:paraId="2A400BE5" w14:textId="476553C4" w:rsidR="00F1264F" w:rsidRPr="00173E7B" w:rsidRDefault="00A949BB" w:rsidP="00F1264F">
      <w:pPr>
        <w:spacing w:line="276" w:lineRule="auto"/>
        <w:rPr>
          <w:rFonts w:ascii="Arial Narrow" w:hAnsi="Arial Narrow"/>
          <w:bCs/>
        </w:rPr>
      </w:pPr>
      <w:r w:rsidRPr="00173E7B">
        <w:rPr>
          <w:noProof/>
          <w:lang w:eastAsia="cs-CZ"/>
        </w:rPr>
        <mc:AlternateContent>
          <mc:Choice Requires="wps">
            <w:drawing>
              <wp:anchor distT="0" distB="0" distL="114300" distR="114300" simplePos="0" relativeHeight="251689472" behindDoc="1" locked="0" layoutInCell="1" allowOverlap="1" wp14:anchorId="4F526FEE" wp14:editId="0A007D08">
                <wp:simplePos x="0" y="0"/>
                <wp:positionH relativeFrom="column">
                  <wp:posOffset>-4445</wp:posOffset>
                </wp:positionH>
                <wp:positionV relativeFrom="paragraph">
                  <wp:posOffset>9525</wp:posOffset>
                </wp:positionV>
                <wp:extent cx="6101715" cy="161925"/>
                <wp:effectExtent l="0" t="0" r="0" b="9525"/>
                <wp:wrapNone/>
                <wp:docPr id="36" name="Textové pole 36"/>
                <wp:cNvGraphicFramePr/>
                <a:graphic xmlns:a="http://schemas.openxmlformats.org/drawingml/2006/main">
                  <a:graphicData uri="http://schemas.microsoft.com/office/word/2010/wordprocessingShape">
                    <wps:wsp>
                      <wps:cNvSpPr txBox="1"/>
                      <wps:spPr>
                        <a:xfrm>
                          <a:off x="0" y="0"/>
                          <a:ext cx="6101715" cy="161925"/>
                        </a:xfrm>
                        <a:prstGeom prst="rect">
                          <a:avLst/>
                        </a:prstGeom>
                        <a:solidFill>
                          <a:prstClr val="white"/>
                        </a:solidFill>
                        <a:ln>
                          <a:noFill/>
                        </a:ln>
                      </wps:spPr>
                      <wps:txbx>
                        <w:txbxContent>
                          <w:p w14:paraId="11C76719" w14:textId="4142E089" w:rsidR="00BC1C0D" w:rsidRPr="009125BC" w:rsidRDefault="00BC1C0D" w:rsidP="00A949BB">
                            <w:pPr>
                              <w:pStyle w:val="Titulek"/>
                              <w:rPr>
                                <w:rFonts w:ascii="Arial Narrow" w:hAnsi="Arial Narrow"/>
                                <w:noProof/>
                              </w:rPr>
                            </w:pPr>
                            <w:bookmarkStart w:id="61" w:name="_Toc136429285"/>
                            <w:r w:rsidRPr="00256C97">
                              <w:rPr>
                                <w:rFonts w:ascii="Arial Narrow" w:hAnsi="Arial Narrow"/>
                                <w:color w:val="auto"/>
                                <w:sz w:val="20"/>
                                <w:szCs w:val="20"/>
                              </w:rPr>
                              <w:t xml:space="preserve">Obrázek </w:t>
                            </w:r>
                            <w:r w:rsidRPr="00256C97">
                              <w:rPr>
                                <w:rFonts w:ascii="Arial Narrow" w:hAnsi="Arial Narrow"/>
                                <w:color w:val="auto"/>
                                <w:sz w:val="20"/>
                                <w:szCs w:val="20"/>
                              </w:rPr>
                              <w:fldChar w:fldCharType="begin"/>
                            </w:r>
                            <w:r w:rsidRPr="00256C97">
                              <w:rPr>
                                <w:rFonts w:ascii="Arial Narrow" w:hAnsi="Arial Narrow"/>
                                <w:color w:val="auto"/>
                                <w:sz w:val="20"/>
                                <w:szCs w:val="20"/>
                              </w:rPr>
                              <w:instrText xml:space="preserve"> SEQ Obrázek \* ARABIC </w:instrText>
                            </w:r>
                            <w:r w:rsidRPr="00256C97">
                              <w:rPr>
                                <w:rFonts w:ascii="Arial Narrow" w:hAnsi="Arial Narrow"/>
                                <w:color w:val="auto"/>
                                <w:sz w:val="20"/>
                                <w:szCs w:val="20"/>
                              </w:rPr>
                              <w:fldChar w:fldCharType="separate"/>
                            </w:r>
                            <w:r>
                              <w:rPr>
                                <w:rFonts w:ascii="Arial Narrow" w:hAnsi="Arial Narrow"/>
                                <w:noProof/>
                                <w:color w:val="auto"/>
                                <w:sz w:val="20"/>
                                <w:szCs w:val="20"/>
                              </w:rPr>
                              <w:t>1</w:t>
                            </w:r>
                            <w:r w:rsidRPr="00256C97">
                              <w:rPr>
                                <w:rFonts w:ascii="Arial Narrow" w:hAnsi="Arial Narrow"/>
                                <w:color w:val="auto"/>
                                <w:sz w:val="20"/>
                                <w:szCs w:val="20"/>
                              </w:rPr>
                              <w:fldChar w:fldCharType="end"/>
                            </w:r>
                            <w:r w:rsidRPr="00256C97">
                              <w:rPr>
                                <w:rFonts w:ascii="Arial Narrow" w:hAnsi="Arial Narrow"/>
                                <w:color w:val="auto"/>
                                <w:sz w:val="20"/>
                                <w:szCs w:val="20"/>
                              </w:rPr>
                              <w:t xml:space="preserve">: </w:t>
                            </w:r>
                            <w:r w:rsidRPr="00A949BB">
                              <w:rPr>
                                <w:rFonts w:ascii="Arial Narrow" w:hAnsi="Arial Narrow"/>
                                <w:color w:val="auto"/>
                                <w:sz w:val="20"/>
                                <w:szCs w:val="20"/>
                              </w:rPr>
                              <w:t xml:space="preserve">Osoby </w:t>
                            </w:r>
                            <w:r w:rsidRPr="009053DD">
                              <w:rPr>
                                <w:rFonts w:ascii="Arial Narrow" w:hAnsi="Arial Narrow"/>
                                <w:color w:val="auto"/>
                                <w:sz w:val="20"/>
                                <w:szCs w:val="20"/>
                              </w:rPr>
                              <w:t>s jinou než českou státní příslušností v České republice k 31. 12. 202</w:t>
                            </w:r>
                            <w:r>
                              <w:rPr>
                                <w:rFonts w:ascii="Arial Narrow" w:hAnsi="Arial Narrow"/>
                                <w:color w:val="auto"/>
                                <w:sz w:val="20"/>
                                <w:szCs w:val="20"/>
                              </w:rPr>
                              <w:t>2</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26FEE" id="Textové pole 36" o:spid="_x0000_s1034" type="#_x0000_t202" style="position:absolute;margin-left:-.35pt;margin-top:.75pt;width:480.45pt;height:12.7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" stroked="f">
                <v:textbox inset="0,0,0,0">
                  <w:txbxContent>
                    <w:p w14:paraId="11C76719" w14:textId="4142E089" w:rsidR="00BC1C0D" w:rsidRPr="009125BC" w:rsidRDefault="00BC1C0D" w:rsidP="00A949BB">
                      <w:pPr>
                        <w:pStyle w:val="Titulek"/>
                        <w:rPr>
                          <w:rFonts w:ascii="Arial Narrow" w:hAnsi="Arial Narrow"/>
                          <w:noProof/>
                        </w:rPr>
                      </w:pPr>
                      <w:bookmarkStart w:id="62" w:name="_Toc136429285"/>
                      <w:r w:rsidRPr="00256C97">
                        <w:rPr>
                          <w:rFonts w:ascii="Arial Narrow" w:hAnsi="Arial Narrow"/>
                          <w:color w:val="auto"/>
                          <w:sz w:val="20"/>
                          <w:szCs w:val="20"/>
                        </w:rPr>
                        <w:t xml:space="preserve">Obrázek </w:t>
                      </w:r>
                      <w:r w:rsidRPr="00256C97">
                        <w:rPr>
                          <w:rFonts w:ascii="Arial Narrow" w:hAnsi="Arial Narrow"/>
                          <w:color w:val="auto"/>
                          <w:sz w:val="20"/>
                          <w:szCs w:val="20"/>
                        </w:rPr>
                        <w:fldChar w:fldCharType="begin"/>
                      </w:r>
                      <w:r w:rsidRPr="00256C97">
                        <w:rPr>
                          <w:rFonts w:ascii="Arial Narrow" w:hAnsi="Arial Narrow"/>
                          <w:color w:val="auto"/>
                          <w:sz w:val="20"/>
                          <w:szCs w:val="20"/>
                        </w:rPr>
                        <w:instrText xml:space="preserve"> SEQ Obrázek \* ARABIC </w:instrText>
                      </w:r>
                      <w:r w:rsidRPr="00256C97">
                        <w:rPr>
                          <w:rFonts w:ascii="Arial Narrow" w:hAnsi="Arial Narrow"/>
                          <w:color w:val="auto"/>
                          <w:sz w:val="20"/>
                          <w:szCs w:val="20"/>
                        </w:rPr>
                        <w:fldChar w:fldCharType="separate"/>
                      </w:r>
                      <w:r>
                        <w:rPr>
                          <w:rFonts w:ascii="Arial Narrow" w:hAnsi="Arial Narrow"/>
                          <w:noProof/>
                          <w:color w:val="auto"/>
                          <w:sz w:val="20"/>
                          <w:szCs w:val="20"/>
                        </w:rPr>
                        <w:t>1</w:t>
                      </w:r>
                      <w:r w:rsidRPr="00256C97">
                        <w:rPr>
                          <w:rFonts w:ascii="Arial Narrow" w:hAnsi="Arial Narrow"/>
                          <w:color w:val="auto"/>
                          <w:sz w:val="20"/>
                          <w:szCs w:val="20"/>
                        </w:rPr>
                        <w:fldChar w:fldCharType="end"/>
                      </w:r>
                      <w:r w:rsidRPr="00256C97">
                        <w:rPr>
                          <w:rFonts w:ascii="Arial Narrow" w:hAnsi="Arial Narrow"/>
                          <w:color w:val="auto"/>
                          <w:sz w:val="20"/>
                          <w:szCs w:val="20"/>
                        </w:rPr>
                        <w:t xml:space="preserve">: </w:t>
                      </w:r>
                      <w:r w:rsidRPr="00A949BB">
                        <w:rPr>
                          <w:rFonts w:ascii="Arial Narrow" w:hAnsi="Arial Narrow"/>
                          <w:color w:val="auto"/>
                          <w:sz w:val="20"/>
                          <w:szCs w:val="20"/>
                        </w:rPr>
                        <w:t xml:space="preserve">Osoby </w:t>
                      </w:r>
                      <w:r w:rsidRPr="009053DD">
                        <w:rPr>
                          <w:rFonts w:ascii="Arial Narrow" w:hAnsi="Arial Narrow"/>
                          <w:color w:val="auto"/>
                          <w:sz w:val="20"/>
                          <w:szCs w:val="20"/>
                        </w:rPr>
                        <w:t>s jinou než českou státní příslušností v České republice k 31. 12. 202</w:t>
                      </w:r>
                      <w:r>
                        <w:rPr>
                          <w:rFonts w:ascii="Arial Narrow" w:hAnsi="Arial Narrow"/>
                          <w:color w:val="auto"/>
                          <w:sz w:val="20"/>
                          <w:szCs w:val="20"/>
                        </w:rPr>
                        <w:t>2</w:t>
                      </w:r>
                      <w:bookmarkEnd w:id="62"/>
                    </w:p>
                  </w:txbxContent>
                </v:textbox>
              </v:shape>
            </w:pict>
          </mc:Fallback>
        </mc:AlternateContent>
      </w:r>
    </w:p>
    <w:p w14:paraId="76151A4B" w14:textId="224149A0" w:rsidR="00F1264F" w:rsidRPr="00173E7B" w:rsidRDefault="002D0326" w:rsidP="00375766">
      <w:pPr>
        <w:spacing w:line="276" w:lineRule="auto"/>
        <w:jc w:val="center"/>
        <w:rPr>
          <w:rFonts w:ascii="Arial Narrow" w:hAnsi="Arial Narrow"/>
          <w:bCs/>
        </w:rPr>
      </w:pPr>
      <w:r w:rsidRPr="00173E7B">
        <w:rPr>
          <w:rFonts w:ascii="Arial Narrow" w:hAnsi="Arial Narrow"/>
          <w:bCs/>
          <w:noProof/>
          <w:lang w:eastAsia="cs-CZ"/>
        </w:rPr>
        <w:drawing>
          <wp:anchor distT="0" distB="0" distL="114300" distR="114300" simplePos="0" relativeHeight="251730432" behindDoc="1" locked="0" layoutInCell="1" allowOverlap="1" wp14:anchorId="3DB25225" wp14:editId="5CF0D81E">
            <wp:simplePos x="0" y="0"/>
            <wp:positionH relativeFrom="margin">
              <wp:posOffset>3972</wp:posOffset>
            </wp:positionH>
            <wp:positionV relativeFrom="paragraph">
              <wp:posOffset>22432</wp:posOffset>
            </wp:positionV>
            <wp:extent cx="6156252" cy="2702885"/>
            <wp:effectExtent l="0" t="38100" r="0" b="0"/>
            <wp:wrapNone/>
            <wp:docPr id="2061" name="Diagram 2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229EA1BD" w14:textId="4BCE8904" w:rsidR="00F1264F" w:rsidRPr="00173E7B" w:rsidRDefault="00F1264F" w:rsidP="00F1264F">
      <w:pPr>
        <w:spacing w:line="276" w:lineRule="auto"/>
        <w:rPr>
          <w:rFonts w:ascii="Arial Narrow" w:hAnsi="Arial Narrow"/>
          <w:bCs/>
        </w:rPr>
      </w:pPr>
    </w:p>
    <w:p w14:paraId="3AAF981E" w14:textId="77777777" w:rsidR="00F1264F" w:rsidRPr="00173E7B" w:rsidRDefault="00F1264F" w:rsidP="00F1264F">
      <w:pPr>
        <w:spacing w:line="276" w:lineRule="auto"/>
        <w:rPr>
          <w:rFonts w:ascii="Arial Narrow" w:hAnsi="Arial Narrow"/>
          <w:bCs/>
        </w:rPr>
      </w:pPr>
    </w:p>
    <w:p w14:paraId="7D6B832C" w14:textId="4091192F" w:rsidR="00F1264F" w:rsidRPr="00173E7B" w:rsidRDefault="00375766" w:rsidP="00375766">
      <w:pPr>
        <w:tabs>
          <w:tab w:val="left" w:pos="1890"/>
          <w:tab w:val="left" w:pos="6000"/>
        </w:tabs>
        <w:spacing w:line="276" w:lineRule="auto"/>
        <w:rPr>
          <w:rFonts w:ascii="Arial Narrow" w:hAnsi="Arial Narrow"/>
          <w:bCs/>
        </w:rPr>
      </w:pPr>
      <w:r w:rsidRPr="00173E7B">
        <w:rPr>
          <w:rFonts w:ascii="Arial Narrow" w:hAnsi="Arial Narrow"/>
          <w:bCs/>
        </w:rPr>
        <w:tab/>
      </w:r>
      <w:r w:rsidRPr="00173E7B">
        <w:rPr>
          <w:rFonts w:ascii="Arial Narrow" w:hAnsi="Arial Narrow"/>
          <w:bCs/>
        </w:rPr>
        <w:tab/>
      </w:r>
    </w:p>
    <w:p w14:paraId="20942BBE" w14:textId="77777777" w:rsidR="00F1264F" w:rsidRPr="00173E7B" w:rsidRDefault="00F1264F" w:rsidP="00F1264F">
      <w:pPr>
        <w:spacing w:line="276" w:lineRule="auto"/>
        <w:rPr>
          <w:rFonts w:ascii="Arial Narrow" w:hAnsi="Arial Narrow"/>
          <w:bCs/>
        </w:rPr>
      </w:pPr>
    </w:p>
    <w:p w14:paraId="6F5EDC21" w14:textId="77777777" w:rsidR="00F1264F" w:rsidRPr="00173E7B" w:rsidRDefault="00F1264F" w:rsidP="00F1264F">
      <w:pPr>
        <w:spacing w:line="276" w:lineRule="auto"/>
        <w:rPr>
          <w:rFonts w:ascii="Arial Narrow" w:hAnsi="Arial Narrow"/>
          <w:b/>
          <w:color w:val="2F5496" w:themeColor="accent1" w:themeShade="BF"/>
        </w:rPr>
      </w:pPr>
    </w:p>
    <w:p w14:paraId="252FE277" w14:textId="77777777" w:rsidR="00F1264F" w:rsidRPr="00173E7B" w:rsidRDefault="00F1264F" w:rsidP="00F1264F">
      <w:pPr>
        <w:spacing w:line="276" w:lineRule="auto"/>
        <w:rPr>
          <w:rFonts w:ascii="Arial Narrow" w:hAnsi="Arial Narrow"/>
          <w:bCs/>
          <w:noProof/>
        </w:rPr>
      </w:pPr>
    </w:p>
    <w:p w14:paraId="390FA81A" w14:textId="77777777" w:rsidR="00F1264F" w:rsidRPr="00173E7B" w:rsidRDefault="00F1264F" w:rsidP="00F1264F">
      <w:pPr>
        <w:spacing w:line="276" w:lineRule="auto"/>
        <w:rPr>
          <w:rFonts w:ascii="Arial Narrow" w:hAnsi="Arial Narrow"/>
          <w:bCs/>
          <w:noProof/>
        </w:rPr>
      </w:pPr>
    </w:p>
    <w:p w14:paraId="2013B61E" w14:textId="74753B0D" w:rsidR="00F1264F" w:rsidRPr="00173E7B" w:rsidRDefault="007964B1" w:rsidP="00A949BB">
      <w:pPr>
        <w:spacing w:before="240" w:after="240" w:line="276" w:lineRule="auto"/>
        <w:rPr>
          <w:rFonts w:ascii="Arial Narrow" w:hAnsi="Arial Narrow"/>
          <w:bCs/>
          <w:noProof/>
          <w:sz w:val="20"/>
          <w:szCs w:val="20"/>
        </w:rPr>
      </w:pPr>
      <w:r w:rsidRPr="00173E7B">
        <w:rPr>
          <w:rFonts w:ascii="Arial Narrow" w:hAnsi="Arial Narrow"/>
          <w:sz w:val="20"/>
          <w:szCs w:val="20"/>
        </w:rPr>
        <w:t xml:space="preserve">Zdroj: </w:t>
      </w:r>
      <w:r w:rsidRPr="00173E7B">
        <w:rPr>
          <w:rFonts w:ascii="Arial Narrow" w:eastAsia="Times New Roman" w:hAnsi="Arial Narrow" w:cs="Arial"/>
          <w:color w:val="000000"/>
          <w:sz w:val="20"/>
          <w:szCs w:val="20"/>
          <w:lang w:eastAsia="cs-CZ"/>
        </w:rPr>
        <w:t>Český statistický úřad</w:t>
      </w:r>
      <w:r w:rsidRPr="00173E7B">
        <w:rPr>
          <w:rFonts w:ascii="Arial Narrow" w:hAnsi="Arial Narrow"/>
          <w:sz w:val="20"/>
          <w:szCs w:val="20"/>
        </w:rPr>
        <w:t xml:space="preserve"> (data platná k 31. 12. 202</w:t>
      </w:r>
      <w:r w:rsidR="00A0114E" w:rsidRPr="00173E7B">
        <w:rPr>
          <w:rFonts w:ascii="Arial Narrow" w:hAnsi="Arial Narrow"/>
          <w:sz w:val="20"/>
          <w:szCs w:val="20"/>
        </w:rPr>
        <w:t>2</w:t>
      </w:r>
      <w:r w:rsidRPr="00173E7B">
        <w:rPr>
          <w:rFonts w:ascii="Arial Narrow" w:hAnsi="Arial Narrow"/>
          <w:sz w:val="20"/>
          <w:szCs w:val="20"/>
        </w:rPr>
        <w:t>)</w:t>
      </w:r>
      <w:r w:rsidRPr="00173E7B">
        <w:rPr>
          <w:rFonts w:ascii="Arial Narrow" w:hAnsi="Arial Narrow"/>
          <w:sz w:val="20"/>
          <w:szCs w:val="20"/>
        </w:rPr>
        <w:tab/>
      </w:r>
      <w:r w:rsidR="009053DD" w:rsidRPr="00173E7B">
        <w:rPr>
          <w:rFonts w:ascii="Arial Narrow" w:hAnsi="Arial Narrow"/>
          <w:bCs/>
          <w:noProof/>
          <w:sz w:val="20"/>
          <w:szCs w:val="20"/>
        </w:rPr>
        <w:tab/>
      </w:r>
      <w:r w:rsidR="009053DD" w:rsidRPr="00173E7B">
        <w:rPr>
          <w:rFonts w:ascii="Arial Narrow" w:hAnsi="Arial Narrow"/>
          <w:bCs/>
          <w:noProof/>
          <w:sz w:val="20"/>
          <w:szCs w:val="20"/>
        </w:rPr>
        <w:tab/>
      </w:r>
      <w:r w:rsidR="00EC14EC" w:rsidRPr="00173E7B">
        <w:rPr>
          <w:rFonts w:ascii="Arial Narrow" w:hAnsi="Arial Narrow"/>
          <w:bCs/>
          <w:noProof/>
          <w:sz w:val="20"/>
          <w:szCs w:val="20"/>
        </w:rPr>
        <w:t xml:space="preserve">                  </w:t>
      </w:r>
      <w:r w:rsidR="009053DD" w:rsidRPr="00173E7B">
        <w:rPr>
          <w:rFonts w:ascii="Arial Narrow" w:hAnsi="Arial Narrow"/>
          <w:bCs/>
          <w:noProof/>
          <w:sz w:val="20"/>
          <w:szCs w:val="20"/>
        </w:rPr>
        <w:t xml:space="preserve"> Obrázek: AUGUR Consulting</w:t>
      </w:r>
      <w:r w:rsidR="00EC14EC" w:rsidRPr="00173E7B">
        <w:rPr>
          <w:rFonts w:ascii="Arial Narrow" w:hAnsi="Arial Narrow"/>
          <w:bCs/>
          <w:noProof/>
          <w:sz w:val="20"/>
          <w:szCs w:val="20"/>
        </w:rPr>
        <w:t xml:space="preserve"> s.r.o.</w:t>
      </w:r>
    </w:p>
    <w:p w14:paraId="15DE361E" w14:textId="5B1D8478" w:rsidR="00A0114E" w:rsidRPr="00173E7B" w:rsidRDefault="457ED4BA" w:rsidP="00A0114E">
      <w:pPr>
        <w:spacing w:line="276" w:lineRule="auto"/>
        <w:jc w:val="both"/>
        <w:rPr>
          <w:rFonts w:ascii="Arial Narrow" w:hAnsi="Arial Narrow"/>
          <w:noProof/>
        </w:rPr>
      </w:pPr>
      <w:r w:rsidRPr="00173E7B">
        <w:rPr>
          <w:rFonts w:ascii="Arial Narrow" w:hAnsi="Arial Narrow"/>
          <w:noProof/>
        </w:rPr>
        <w:t xml:space="preserve">Mezi </w:t>
      </w:r>
      <w:r w:rsidRPr="00173E7B">
        <w:rPr>
          <w:rFonts w:ascii="Arial Narrow" w:hAnsi="Arial Narrow"/>
        </w:rPr>
        <w:t>osobami s jinou než českou státní příslušností</w:t>
      </w:r>
      <w:r w:rsidRPr="00173E7B">
        <w:rPr>
          <w:rFonts w:ascii="Arial Narrow" w:hAnsi="Arial Narrow"/>
          <w:noProof/>
        </w:rPr>
        <w:t xml:space="preserve"> v České republice dlouhodobě převažují občané třetích zemí. Z níže uvedeného grafu</w:t>
      </w:r>
      <w:r w:rsidR="004C68A8" w:rsidRPr="00173E7B">
        <w:rPr>
          <w:rFonts w:ascii="Arial Narrow" w:hAnsi="Arial Narrow"/>
          <w:noProof/>
        </w:rPr>
        <w:t xml:space="preserve"> č. 7</w:t>
      </w:r>
      <w:r w:rsidRPr="00173E7B">
        <w:rPr>
          <w:rFonts w:ascii="Arial Narrow" w:hAnsi="Arial Narrow"/>
          <w:noProof/>
        </w:rPr>
        <w:t xml:space="preserve"> je patrné, že ačkoliv podíl občanů třetích zemí je dlouhodobě vyšší než podíl počtu občanů ze zemí EU, mezi lety 2010 a 2015 došlo k snížení jejich podílu o 10 %. </w:t>
      </w:r>
      <w:r w:rsidR="002003CB" w:rsidRPr="00173E7B">
        <w:rPr>
          <w:rFonts w:ascii="Arial Narrow" w:hAnsi="Arial Narrow"/>
          <w:noProof/>
        </w:rPr>
        <w:t>Zatímco absolutní počty občanů třetích zemí v tomto období kolísaly, absolutní počty občanů ze zemí EU až do roku 2019 narůstaly.</w:t>
      </w:r>
      <w:r w:rsidR="0054369B" w:rsidRPr="00173E7B">
        <w:rPr>
          <w:rFonts w:ascii="Arial Narrow" w:hAnsi="Arial Narrow"/>
          <w:noProof/>
        </w:rPr>
        <w:t xml:space="preserve"> Od roku 2019 do roku 2020 naopak počet občanů EU výrazně klesl. </w:t>
      </w:r>
      <w:r w:rsidR="002F08C7" w:rsidRPr="00173E7B">
        <w:rPr>
          <w:rFonts w:ascii="Arial Narrow" w:hAnsi="Arial Narrow"/>
          <w:noProof/>
        </w:rPr>
        <w:t xml:space="preserve">Důvodem poklesu byla v roce 2020 pravděpodobně pandemie COVID-19. Tento předpoklad potvrzuje například zpráva </w:t>
      </w:r>
      <w:r w:rsidR="00200BFB" w:rsidRPr="00173E7B">
        <w:rPr>
          <w:rFonts w:ascii="Arial Narrow" w:hAnsi="Arial Narrow"/>
          <w:noProof/>
        </w:rPr>
        <w:t xml:space="preserve">z </w:t>
      </w:r>
      <w:r w:rsidR="00234F91" w:rsidRPr="00173E7B">
        <w:rPr>
          <w:rFonts w:ascii="Arial Narrow" w:hAnsi="Arial Narrow"/>
          <w:noProof/>
        </w:rPr>
        <w:t>European Migration Net</w:t>
      </w:r>
      <w:r w:rsidR="00200BFB" w:rsidRPr="00173E7B">
        <w:rPr>
          <w:rFonts w:ascii="Arial Narrow" w:hAnsi="Arial Narrow"/>
          <w:noProof/>
        </w:rPr>
        <w:t>work</w:t>
      </w:r>
      <w:r w:rsidR="00234F91" w:rsidRPr="00173E7B">
        <w:rPr>
          <w:rFonts w:ascii="Arial Narrow" w:hAnsi="Arial Narrow"/>
          <w:noProof/>
        </w:rPr>
        <w:t>,</w:t>
      </w:r>
      <w:r w:rsidR="00200BFB" w:rsidRPr="00173E7B">
        <w:rPr>
          <w:rStyle w:val="Znakapoznpodarou"/>
          <w:rFonts w:ascii="Arial Narrow" w:hAnsi="Arial Narrow"/>
          <w:noProof/>
        </w:rPr>
        <w:footnoteReference w:id="5"/>
      </w:r>
      <w:r w:rsidR="00234F91" w:rsidRPr="00173E7B">
        <w:rPr>
          <w:rFonts w:ascii="Arial Narrow" w:hAnsi="Arial Narrow"/>
          <w:noProof/>
        </w:rPr>
        <w:t xml:space="preserve"> která se věnuje mimo jiné i nuceným a dobrovolným návratům do zemí původu v členských státech EU. Zpráva dokumentuje výrazné nárůsty návratů v členských zemích EU od ledna do prosince roku 2020.</w:t>
      </w:r>
      <w:r w:rsidR="0054369B" w:rsidRPr="00173E7B">
        <w:rPr>
          <w:rFonts w:ascii="Arial Narrow" w:hAnsi="Arial Narrow"/>
          <w:noProof/>
        </w:rPr>
        <w:t xml:space="preserve"> </w:t>
      </w:r>
      <w:r w:rsidRPr="00173E7B">
        <w:rPr>
          <w:rFonts w:ascii="Arial Narrow" w:hAnsi="Arial Narrow"/>
          <w:noProof/>
        </w:rPr>
        <w:t xml:space="preserve">Mezi lety 2015 a 2019 se podíl počtu občanů třetích zemí na celkovém počtu </w:t>
      </w:r>
      <w:r w:rsidRPr="00173E7B">
        <w:rPr>
          <w:rFonts w:ascii="Arial Narrow" w:hAnsi="Arial Narrow"/>
        </w:rPr>
        <w:t xml:space="preserve">osob s jinou než českou státní příslušností </w:t>
      </w:r>
      <w:r w:rsidRPr="00173E7B">
        <w:rPr>
          <w:rFonts w:ascii="Arial Narrow" w:hAnsi="Arial Narrow"/>
          <w:noProof/>
        </w:rPr>
        <w:t xml:space="preserve">v České republice pohyboval stabilně průměrně na 58,5 % a k výraznějšímu zvýšení došlo až v roce 2020, kdy poprvé od roku 2013 překročil podíl počtu občanů třetích zemí opět 60 % (61,6 %). </w:t>
      </w:r>
      <w:r w:rsidR="00A0114E" w:rsidRPr="00173E7B">
        <w:rPr>
          <w:rFonts w:ascii="Arial Narrow" w:hAnsi="Arial Narrow"/>
          <w:bCs/>
          <w:noProof/>
        </w:rPr>
        <w:t>Trend růstu počtu osob ze třetích zemí pokračoval i v roce 2021 (66,4 %) a svého dosavadního maxima dosahl v roce 2022, kdy podíl vzrostl na 79,7 %. Za růstem z loňského roku stojí výrazná migrace z Ukrajiny.</w:t>
      </w:r>
    </w:p>
    <w:p w14:paraId="7C60B792" w14:textId="77777777" w:rsidR="00F366F2" w:rsidRPr="00173E7B" w:rsidRDefault="00F366F2" w:rsidP="00F366F2">
      <w:pPr>
        <w:pStyle w:val="Titulek"/>
        <w:keepNext/>
        <w:spacing w:after="0"/>
        <w:rPr>
          <w:rFonts w:ascii="Arial Narrow" w:hAnsi="Arial Narrow"/>
          <w:color w:val="auto"/>
        </w:rPr>
      </w:pPr>
    </w:p>
    <w:p w14:paraId="06EB8A0A" w14:textId="6533D78C" w:rsidR="00F1264F" w:rsidRPr="00173E7B" w:rsidRDefault="00F366F2" w:rsidP="00F366F2">
      <w:pPr>
        <w:pStyle w:val="Titulek"/>
        <w:keepNext/>
        <w:spacing w:after="0"/>
        <w:rPr>
          <w:rFonts w:ascii="Arial Narrow" w:hAnsi="Arial Narrow"/>
          <w:color w:val="auto"/>
          <w:sz w:val="20"/>
          <w:szCs w:val="20"/>
        </w:rPr>
      </w:pPr>
      <w:bookmarkStart w:id="64" w:name="_Toc136429215"/>
      <w:r w:rsidRPr="00173E7B">
        <w:rPr>
          <w:rFonts w:ascii="Arial Narrow" w:hAnsi="Arial Narrow"/>
          <w:color w:val="auto"/>
          <w:sz w:val="20"/>
          <w:szCs w:val="20"/>
        </w:rPr>
        <w:t xml:space="preserve">Tabulka </w:t>
      </w:r>
      <w:r w:rsidRPr="00173E7B">
        <w:rPr>
          <w:rFonts w:ascii="Arial Narrow" w:hAnsi="Arial Narrow"/>
          <w:color w:val="auto"/>
          <w:sz w:val="20"/>
          <w:szCs w:val="20"/>
        </w:rPr>
        <w:fldChar w:fldCharType="begin"/>
      </w:r>
      <w:r w:rsidRPr="00173E7B">
        <w:rPr>
          <w:rFonts w:ascii="Arial Narrow" w:hAnsi="Arial Narrow"/>
          <w:color w:val="auto"/>
          <w:sz w:val="20"/>
          <w:szCs w:val="20"/>
        </w:rPr>
        <w:instrText xml:space="preserve"> SEQ Tabulka \* ARABIC </w:instrText>
      </w:r>
      <w:r w:rsidRPr="00173E7B">
        <w:rPr>
          <w:rFonts w:ascii="Arial Narrow" w:hAnsi="Arial Narrow"/>
          <w:color w:val="auto"/>
          <w:sz w:val="20"/>
          <w:szCs w:val="20"/>
        </w:rPr>
        <w:fldChar w:fldCharType="separate"/>
      </w:r>
      <w:r w:rsidR="00256C97" w:rsidRPr="00173E7B">
        <w:rPr>
          <w:rFonts w:ascii="Arial Narrow" w:hAnsi="Arial Narrow"/>
          <w:noProof/>
          <w:color w:val="auto"/>
          <w:sz w:val="20"/>
          <w:szCs w:val="20"/>
        </w:rPr>
        <w:t>4</w:t>
      </w:r>
      <w:r w:rsidRPr="00173E7B">
        <w:rPr>
          <w:rFonts w:ascii="Arial Narrow" w:hAnsi="Arial Narrow"/>
          <w:color w:val="auto"/>
          <w:sz w:val="20"/>
          <w:szCs w:val="20"/>
        </w:rPr>
        <w:fldChar w:fldCharType="end"/>
      </w:r>
      <w:r w:rsidRPr="00173E7B">
        <w:rPr>
          <w:rFonts w:ascii="Arial Narrow" w:hAnsi="Arial Narrow"/>
          <w:color w:val="auto"/>
          <w:sz w:val="20"/>
          <w:szCs w:val="20"/>
        </w:rPr>
        <w:t>: Vývoj počtu osob s jinou než českou státní příslušností v letech 2005-2020 podle země původu</w:t>
      </w:r>
      <w:bookmarkEnd w:id="64"/>
    </w:p>
    <w:tbl>
      <w:tblPr>
        <w:tblW w:w="9072" w:type="dxa"/>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851"/>
        <w:gridCol w:w="2722"/>
        <w:gridCol w:w="992"/>
        <w:gridCol w:w="1418"/>
        <w:gridCol w:w="3089"/>
      </w:tblGrid>
      <w:tr w:rsidR="00F1264F" w:rsidRPr="00173E7B" w14:paraId="3BB4C149" w14:textId="77777777" w:rsidTr="0056626A">
        <w:trPr>
          <w:trHeight w:val="224"/>
        </w:trPr>
        <w:tc>
          <w:tcPr>
            <w:tcW w:w="851" w:type="dxa"/>
            <w:vMerge w:val="restart"/>
            <w:shd w:val="clear" w:color="auto" w:fill="D9E2F3" w:themeFill="accent1" w:themeFillTint="33"/>
            <w:vAlign w:val="center"/>
          </w:tcPr>
          <w:p w14:paraId="151B53D6" w14:textId="77777777" w:rsidR="00F1264F" w:rsidRPr="00173E7B" w:rsidRDefault="00F1264F" w:rsidP="00D67E2F">
            <w:pPr>
              <w:ind w:left="-120"/>
              <w:jc w:val="center"/>
              <w:rPr>
                <w:rFonts w:ascii="Arial Narrow" w:eastAsia="Times New Roman" w:hAnsi="Arial Narrow" w:cs="Arial"/>
                <w:b/>
                <w:bCs/>
                <w:sz w:val="18"/>
                <w:szCs w:val="18"/>
                <w:lang w:eastAsia="cs-CZ"/>
              </w:rPr>
            </w:pPr>
            <w:bookmarkStart w:id="65" w:name="_Hlk93855511"/>
            <w:bookmarkEnd w:id="60"/>
            <w:r w:rsidRPr="00173E7B">
              <w:rPr>
                <w:rFonts w:ascii="Arial Narrow" w:eastAsia="Times New Roman" w:hAnsi="Arial Narrow" w:cs="Arial"/>
                <w:sz w:val="18"/>
                <w:szCs w:val="18"/>
                <w:lang w:eastAsia="cs-CZ"/>
              </w:rPr>
              <w:t>K 31. 12.</w:t>
            </w:r>
          </w:p>
        </w:tc>
        <w:tc>
          <w:tcPr>
            <w:tcW w:w="2722" w:type="dxa"/>
            <w:vMerge w:val="restart"/>
            <w:shd w:val="clear" w:color="auto" w:fill="D9E2F3" w:themeFill="accent1" w:themeFillTint="33"/>
            <w:vAlign w:val="center"/>
            <w:hideMark/>
          </w:tcPr>
          <w:p w14:paraId="546C070B" w14:textId="77777777" w:rsidR="00F1264F" w:rsidRPr="00173E7B" w:rsidRDefault="00F1264F" w:rsidP="00D67E2F">
            <w:pPr>
              <w:jc w:val="center"/>
              <w:rPr>
                <w:rFonts w:ascii="Arial Narrow" w:eastAsia="Times New Roman" w:hAnsi="Arial Narrow" w:cs="Arial"/>
                <w:b/>
                <w:bCs/>
                <w:sz w:val="18"/>
                <w:szCs w:val="18"/>
                <w:lang w:eastAsia="cs-CZ"/>
              </w:rPr>
            </w:pPr>
            <w:r w:rsidRPr="00173E7B">
              <w:rPr>
                <w:rFonts w:ascii="Arial Narrow" w:hAnsi="Arial Narrow"/>
                <w:sz w:val="18"/>
                <w:szCs w:val="18"/>
              </w:rPr>
              <w:t>Osoby s jinou než českou státní příslušností</w:t>
            </w:r>
            <w:r w:rsidRPr="00173E7B">
              <w:rPr>
                <w:rFonts w:ascii="Arial Narrow" w:eastAsia="Times New Roman" w:hAnsi="Arial Narrow" w:cs="Arial"/>
                <w:sz w:val="18"/>
                <w:szCs w:val="18"/>
                <w:lang w:eastAsia="cs-CZ"/>
              </w:rPr>
              <w:t xml:space="preserve"> celkem (včetně azylantů)</w:t>
            </w:r>
          </w:p>
        </w:tc>
        <w:tc>
          <w:tcPr>
            <w:tcW w:w="2410" w:type="dxa"/>
            <w:gridSpan w:val="2"/>
            <w:shd w:val="clear" w:color="auto" w:fill="D9E2F3" w:themeFill="accent1" w:themeFillTint="33"/>
            <w:vAlign w:val="center"/>
          </w:tcPr>
          <w:p w14:paraId="4F5703B7" w14:textId="77777777" w:rsidR="00F1264F" w:rsidRPr="00173E7B" w:rsidRDefault="00F1264F" w:rsidP="00D67E2F">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Z toho</w:t>
            </w:r>
          </w:p>
        </w:tc>
        <w:tc>
          <w:tcPr>
            <w:tcW w:w="3089" w:type="dxa"/>
            <w:vMerge w:val="restart"/>
            <w:shd w:val="clear" w:color="auto" w:fill="D9E2F3" w:themeFill="accent1" w:themeFillTint="33"/>
            <w:vAlign w:val="center"/>
          </w:tcPr>
          <w:p w14:paraId="583671B3" w14:textId="6A6775A7" w:rsidR="00F1264F" w:rsidRPr="00173E7B" w:rsidRDefault="00F1264F" w:rsidP="00D67E2F">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 xml:space="preserve">Podíl </w:t>
            </w:r>
            <w:r w:rsidRPr="00173E7B">
              <w:rPr>
                <w:rFonts w:ascii="Arial Narrow" w:hAnsi="Arial Narrow"/>
                <w:sz w:val="18"/>
                <w:szCs w:val="18"/>
              </w:rPr>
              <w:t>osob s jinou než českou státní příslušností</w:t>
            </w:r>
            <w:r w:rsidRPr="00173E7B">
              <w:rPr>
                <w:rFonts w:ascii="Arial Narrow" w:eastAsia="Calibri" w:hAnsi="Arial Narrow"/>
                <w:sz w:val="18"/>
                <w:szCs w:val="18"/>
              </w:rPr>
              <w:t xml:space="preserve"> </w:t>
            </w:r>
            <w:r w:rsidRPr="00173E7B">
              <w:rPr>
                <w:rFonts w:ascii="Arial Narrow" w:eastAsia="Times New Roman" w:hAnsi="Arial Narrow" w:cs="Arial"/>
                <w:sz w:val="18"/>
                <w:szCs w:val="18"/>
                <w:lang w:eastAsia="cs-CZ"/>
              </w:rPr>
              <w:t>z třetích zemí na celkovém</w:t>
            </w:r>
            <w:r w:rsidR="009F1200" w:rsidRPr="00173E7B">
              <w:rPr>
                <w:rFonts w:ascii="Arial Narrow" w:eastAsia="Times New Roman" w:hAnsi="Arial Narrow" w:cs="Arial"/>
                <w:sz w:val="18"/>
                <w:szCs w:val="18"/>
                <w:lang w:eastAsia="cs-CZ"/>
              </w:rPr>
              <w:t xml:space="preserve"> počtu osob s jinou než českou státní příslušností</w:t>
            </w:r>
            <w:r w:rsidRPr="00173E7B">
              <w:rPr>
                <w:rFonts w:ascii="Arial Narrow" w:eastAsia="Times New Roman" w:hAnsi="Arial Narrow" w:cs="Arial"/>
                <w:sz w:val="18"/>
                <w:szCs w:val="18"/>
                <w:lang w:eastAsia="cs-CZ"/>
              </w:rPr>
              <w:t xml:space="preserve"> </w:t>
            </w:r>
          </w:p>
        </w:tc>
      </w:tr>
      <w:tr w:rsidR="00F1264F" w:rsidRPr="00173E7B" w14:paraId="68D9DE37" w14:textId="77777777" w:rsidTr="0056626A">
        <w:trPr>
          <w:trHeight w:val="220"/>
        </w:trPr>
        <w:tc>
          <w:tcPr>
            <w:tcW w:w="851" w:type="dxa"/>
            <w:vMerge/>
            <w:vAlign w:val="center"/>
          </w:tcPr>
          <w:p w14:paraId="2067DE85" w14:textId="77777777" w:rsidR="00F1264F" w:rsidRPr="00173E7B" w:rsidRDefault="00F1264F" w:rsidP="00D67E2F">
            <w:pPr>
              <w:jc w:val="center"/>
              <w:rPr>
                <w:rFonts w:ascii="Arial Narrow" w:eastAsia="Times New Roman" w:hAnsi="Arial Narrow" w:cs="Arial"/>
                <w:b/>
                <w:bCs/>
                <w:sz w:val="18"/>
                <w:szCs w:val="18"/>
                <w:lang w:eastAsia="cs-CZ"/>
              </w:rPr>
            </w:pPr>
          </w:p>
        </w:tc>
        <w:tc>
          <w:tcPr>
            <w:tcW w:w="2722" w:type="dxa"/>
            <w:vMerge/>
            <w:vAlign w:val="center"/>
          </w:tcPr>
          <w:p w14:paraId="4BD0555B" w14:textId="77777777" w:rsidR="00F1264F" w:rsidRPr="00173E7B" w:rsidRDefault="00F1264F" w:rsidP="00D67E2F">
            <w:pPr>
              <w:jc w:val="center"/>
              <w:rPr>
                <w:rFonts w:ascii="Arial Narrow" w:eastAsia="Times New Roman" w:hAnsi="Arial Narrow" w:cs="Arial"/>
                <w:b/>
                <w:bCs/>
                <w:sz w:val="18"/>
                <w:szCs w:val="18"/>
                <w:lang w:eastAsia="cs-CZ"/>
              </w:rPr>
            </w:pPr>
          </w:p>
        </w:tc>
        <w:tc>
          <w:tcPr>
            <w:tcW w:w="992" w:type="dxa"/>
            <w:shd w:val="clear" w:color="auto" w:fill="D9E2F3" w:themeFill="accent1" w:themeFillTint="33"/>
            <w:vAlign w:val="center"/>
          </w:tcPr>
          <w:p w14:paraId="12675103" w14:textId="77777777" w:rsidR="00F1264F" w:rsidRPr="00173E7B" w:rsidRDefault="00F1264F" w:rsidP="00D67E2F">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Celkem EU</w:t>
            </w:r>
          </w:p>
        </w:tc>
        <w:tc>
          <w:tcPr>
            <w:tcW w:w="1418" w:type="dxa"/>
            <w:shd w:val="clear" w:color="auto" w:fill="D9E2F3" w:themeFill="accent1" w:themeFillTint="33"/>
            <w:vAlign w:val="center"/>
          </w:tcPr>
          <w:p w14:paraId="209BA879" w14:textId="77777777" w:rsidR="00F1264F" w:rsidRPr="00173E7B" w:rsidRDefault="00F1264F" w:rsidP="00D67E2F">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Celkem třetí země</w:t>
            </w:r>
          </w:p>
        </w:tc>
        <w:tc>
          <w:tcPr>
            <w:tcW w:w="3089" w:type="dxa"/>
            <w:vMerge/>
            <w:vAlign w:val="center"/>
          </w:tcPr>
          <w:p w14:paraId="0E9AEF45" w14:textId="77777777" w:rsidR="00F1264F" w:rsidRPr="00173E7B" w:rsidRDefault="00F1264F" w:rsidP="00D67E2F">
            <w:pPr>
              <w:jc w:val="center"/>
              <w:rPr>
                <w:rFonts w:ascii="Arial Narrow" w:eastAsia="Times New Roman" w:hAnsi="Arial Narrow" w:cs="Arial"/>
                <w:b/>
                <w:bCs/>
                <w:sz w:val="18"/>
                <w:szCs w:val="18"/>
                <w:lang w:eastAsia="cs-CZ"/>
              </w:rPr>
            </w:pPr>
          </w:p>
        </w:tc>
      </w:tr>
      <w:tr w:rsidR="00A0114E" w:rsidRPr="00173E7B" w14:paraId="4BEACCDA" w14:textId="77777777" w:rsidTr="0056626A">
        <w:trPr>
          <w:trHeight w:val="227"/>
        </w:trPr>
        <w:tc>
          <w:tcPr>
            <w:tcW w:w="851" w:type="dxa"/>
            <w:shd w:val="clear" w:color="auto" w:fill="D9E2F3" w:themeFill="accent1" w:themeFillTint="33"/>
            <w:vAlign w:val="center"/>
          </w:tcPr>
          <w:p w14:paraId="7038BF1B" w14:textId="2DC38382"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2022</w:t>
            </w:r>
          </w:p>
        </w:tc>
        <w:tc>
          <w:tcPr>
            <w:tcW w:w="2722" w:type="dxa"/>
            <w:vAlign w:val="center"/>
          </w:tcPr>
          <w:p w14:paraId="4C0850AA" w14:textId="7178ADC5"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b/>
                <w:bCs/>
                <w:sz w:val="18"/>
                <w:szCs w:val="18"/>
                <w:lang w:eastAsia="cs-CZ"/>
              </w:rPr>
              <w:t>1 116 154</w:t>
            </w:r>
          </w:p>
        </w:tc>
        <w:tc>
          <w:tcPr>
            <w:tcW w:w="992" w:type="dxa"/>
            <w:vAlign w:val="center"/>
          </w:tcPr>
          <w:p w14:paraId="760B6C49" w14:textId="3DAF5242"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b/>
                <w:bCs/>
                <w:sz w:val="18"/>
                <w:szCs w:val="18"/>
                <w:lang w:eastAsia="cs-CZ"/>
              </w:rPr>
              <w:t>226 426</w:t>
            </w:r>
          </w:p>
        </w:tc>
        <w:tc>
          <w:tcPr>
            <w:tcW w:w="1418" w:type="dxa"/>
            <w:vAlign w:val="center"/>
          </w:tcPr>
          <w:p w14:paraId="2F462741" w14:textId="09F372D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b/>
                <w:bCs/>
                <w:sz w:val="18"/>
                <w:szCs w:val="18"/>
                <w:lang w:eastAsia="cs-CZ"/>
              </w:rPr>
              <w:t>889 728</w:t>
            </w:r>
          </w:p>
        </w:tc>
        <w:tc>
          <w:tcPr>
            <w:tcW w:w="3089" w:type="dxa"/>
            <w:vAlign w:val="center"/>
          </w:tcPr>
          <w:p w14:paraId="315CB079" w14:textId="5B8952CF" w:rsidR="00A0114E" w:rsidRPr="00173E7B" w:rsidRDefault="00A0114E" w:rsidP="00A0114E">
            <w:pPr>
              <w:jc w:val="center"/>
              <w:rPr>
                <w:rFonts w:ascii="Arial Narrow" w:eastAsia="Times New Roman" w:hAnsi="Arial Narrow" w:cs="Arial"/>
                <w:b/>
                <w:bCs/>
                <w:color w:val="C00000"/>
                <w:sz w:val="18"/>
                <w:szCs w:val="18"/>
                <w:lang w:eastAsia="cs-CZ"/>
              </w:rPr>
            </w:pPr>
            <w:r w:rsidRPr="00173E7B">
              <w:rPr>
                <w:rFonts w:ascii="Arial Narrow" w:eastAsia="Times New Roman" w:hAnsi="Arial Narrow" w:cs="Arial"/>
                <w:b/>
                <w:bCs/>
                <w:color w:val="C00000"/>
                <w:sz w:val="18"/>
                <w:szCs w:val="18"/>
                <w:lang w:eastAsia="cs-CZ"/>
              </w:rPr>
              <w:t>79,7 %</w:t>
            </w:r>
          </w:p>
        </w:tc>
      </w:tr>
      <w:tr w:rsidR="00A0114E" w:rsidRPr="00173E7B" w14:paraId="75E18F31" w14:textId="77777777" w:rsidTr="0056626A">
        <w:trPr>
          <w:trHeight w:val="227"/>
        </w:trPr>
        <w:tc>
          <w:tcPr>
            <w:tcW w:w="851" w:type="dxa"/>
            <w:shd w:val="clear" w:color="auto" w:fill="D9E2F3" w:themeFill="accent1" w:themeFillTint="33"/>
            <w:vAlign w:val="center"/>
          </w:tcPr>
          <w:p w14:paraId="09C19832" w14:textId="1E1A2540"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2021</w:t>
            </w:r>
          </w:p>
        </w:tc>
        <w:tc>
          <w:tcPr>
            <w:tcW w:w="2722" w:type="dxa"/>
            <w:vAlign w:val="center"/>
          </w:tcPr>
          <w:p w14:paraId="62F87733" w14:textId="3E3AAB96"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660 849</w:t>
            </w:r>
          </w:p>
        </w:tc>
        <w:tc>
          <w:tcPr>
            <w:tcW w:w="992" w:type="dxa"/>
            <w:vAlign w:val="center"/>
          </w:tcPr>
          <w:p w14:paraId="7101D2D7" w14:textId="6BD571E8"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222 168</w:t>
            </w:r>
          </w:p>
        </w:tc>
        <w:tc>
          <w:tcPr>
            <w:tcW w:w="1418" w:type="dxa"/>
            <w:vAlign w:val="center"/>
          </w:tcPr>
          <w:p w14:paraId="6E0270D9" w14:textId="767FB801"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438 681</w:t>
            </w:r>
          </w:p>
        </w:tc>
        <w:tc>
          <w:tcPr>
            <w:tcW w:w="3089" w:type="dxa"/>
            <w:vAlign w:val="center"/>
          </w:tcPr>
          <w:p w14:paraId="6EB020A7" w14:textId="1CC2FFC4" w:rsidR="00A0114E" w:rsidRPr="00173E7B" w:rsidRDefault="00A0114E" w:rsidP="00A0114E">
            <w:pPr>
              <w:jc w:val="center"/>
              <w:rPr>
                <w:rFonts w:ascii="Arial Narrow" w:eastAsia="Times New Roman" w:hAnsi="Arial Narrow" w:cs="Arial"/>
                <w:b/>
                <w:bCs/>
                <w:color w:val="C00000"/>
                <w:sz w:val="18"/>
                <w:szCs w:val="18"/>
                <w:lang w:eastAsia="cs-CZ"/>
              </w:rPr>
            </w:pPr>
            <w:r w:rsidRPr="00173E7B">
              <w:rPr>
                <w:rFonts w:ascii="Arial Narrow" w:eastAsia="Times New Roman" w:hAnsi="Arial Narrow" w:cs="Arial"/>
                <w:b/>
                <w:bCs/>
                <w:color w:val="C00000"/>
                <w:sz w:val="18"/>
                <w:szCs w:val="18"/>
                <w:lang w:eastAsia="cs-CZ"/>
              </w:rPr>
              <w:t>66.4 %</w:t>
            </w:r>
          </w:p>
        </w:tc>
      </w:tr>
      <w:tr w:rsidR="00A0114E" w:rsidRPr="00173E7B" w14:paraId="1E0C5C36" w14:textId="77777777" w:rsidTr="0056626A">
        <w:trPr>
          <w:trHeight w:val="227"/>
        </w:trPr>
        <w:tc>
          <w:tcPr>
            <w:tcW w:w="851" w:type="dxa"/>
            <w:shd w:val="clear" w:color="auto" w:fill="D9E2F3" w:themeFill="accent1" w:themeFillTint="33"/>
            <w:vAlign w:val="center"/>
          </w:tcPr>
          <w:p w14:paraId="092ECE02" w14:textId="7777777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2020</w:t>
            </w:r>
          </w:p>
        </w:tc>
        <w:tc>
          <w:tcPr>
            <w:tcW w:w="2722" w:type="dxa"/>
            <w:vAlign w:val="center"/>
          </w:tcPr>
          <w:p w14:paraId="63A1D706"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634 790</w:t>
            </w:r>
          </w:p>
        </w:tc>
        <w:tc>
          <w:tcPr>
            <w:tcW w:w="992" w:type="dxa"/>
            <w:vAlign w:val="center"/>
          </w:tcPr>
          <w:p w14:paraId="52C2F924"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243 857</w:t>
            </w:r>
          </w:p>
        </w:tc>
        <w:tc>
          <w:tcPr>
            <w:tcW w:w="1418" w:type="dxa"/>
            <w:vAlign w:val="center"/>
          </w:tcPr>
          <w:p w14:paraId="1CDCAC80"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390 933</w:t>
            </w:r>
          </w:p>
        </w:tc>
        <w:tc>
          <w:tcPr>
            <w:tcW w:w="3089" w:type="dxa"/>
            <w:vAlign w:val="center"/>
          </w:tcPr>
          <w:p w14:paraId="58D27CD8" w14:textId="77777777" w:rsidR="00A0114E" w:rsidRPr="00173E7B" w:rsidRDefault="00A0114E" w:rsidP="00A0114E">
            <w:pPr>
              <w:jc w:val="center"/>
              <w:rPr>
                <w:rFonts w:ascii="Arial Narrow" w:eastAsia="Times New Roman" w:hAnsi="Arial Narrow" w:cs="Arial"/>
                <w:b/>
                <w:bCs/>
                <w:color w:val="C00000"/>
                <w:sz w:val="18"/>
                <w:szCs w:val="18"/>
                <w:lang w:eastAsia="cs-CZ"/>
              </w:rPr>
            </w:pPr>
            <w:r w:rsidRPr="00173E7B">
              <w:rPr>
                <w:rFonts w:ascii="Arial Narrow" w:eastAsia="Times New Roman" w:hAnsi="Arial Narrow" w:cs="Arial"/>
                <w:b/>
                <w:bCs/>
                <w:color w:val="C00000"/>
                <w:sz w:val="18"/>
                <w:szCs w:val="18"/>
                <w:lang w:eastAsia="cs-CZ"/>
              </w:rPr>
              <w:t>61,6 %</w:t>
            </w:r>
          </w:p>
        </w:tc>
      </w:tr>
      <w:tr w:rsidR="00A0114E" w:rsidRPr="00173E7B" w14:paraId="626C554E" w14:textId="77777777" w:rsidTr="0056626A">
        <w:trPr>
          <w:trHeight w:val="227"/>
        </w:trPr>
        <w:tc>
          <w:tcPr>
            <w:tcW w:w="851" w:type="dxa"/>
            <w:shd w:val="clear" w:color="auto" w:fill="D9E2F3" w:themeFill="accent1" w:themeFillTint="33"/>
            <w:vAlign w:val="center"/>
          </w:tcPr>
          <w:p w14:paraId="5B3A531D" w14:textId="7777777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2019</w:t>
            </w:r>
          </w:p>
        </w:tc>
        <w:tc>
          <w:tcPr>
            <w:tcW w:w="2722" w:type="dxa"/>
            <w:vAlign w:val="center"/>
          </w:tcPr>
          <w:p w14:paraId="67937505"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595 881</w:t>
            </w:r>
          </w:p>
        </w:tc>
        <w:tc>
          <w:tcPr>
            <w:tcW w:w="992" w:type="dxa"/>
            <w:vAlign w:val="center"/>
          </w:tcPr>
          <w:p w14:paraId="1EFD39D4"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245 292</w:t>
            </w:r>
          </w:p>
        </w:tc>
        <w:tc>
          <w:tcPr>
            <w:tcW w:w="1418" w:type="dxa"/>
            <w:vAlign w:val="center"/>
          </w:tcPr>
          <w:p w14:paraId="73A03AE7"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350 589</w:t>
            </w:r>
          </w:p>
        </w:tc>
        <w:tc>
          <w:tcPr>
            <w:tcW w:w="3089" w:type="dxa"/>
            <w:vAlign w:val="center"/>
          </w:tcPr>
          <w:p w14:paraId="6500954B"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58,8 %</w:t>
            </w:r>
          </w:p>
        </w:tc>
      </w:tr>
      <w:tr w:rsidR="00A0114E" w:rsidRPr="00173E7B" w14:paraId="664D6ED5" w14:textId="77777777" w:rsidTr="0056626A">
        <w:trPr>
          <w:trHeight w:val="227"/>
        </w:trPr>
        <w:tc>
          <w:tcPr>
            <w:tcW w:w="851" w:type="dxa"/>
            <w:shd w:val="clear" w:color="auto" w:fill="D9E2F3" w:themeFill="accent1" w:themeFillTint="33"/>
            <w:vAlign w:val="center"/>
          </w:tcPr>
          <w:p w14:paraId="71118339" w14:textId="7777777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2018</w:t>
            </w:r>
          </w:p>
        </w:tc>
        <w:tc>
          <w:tcPr>
            <w:tcW w:w="2722" w:type="dxa"/>
            <w:vAlign w:val="center"/>
          </w:tcPr>
          <w:p w14:paraId="47E42581"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566 931</w:t>
            </w:r>
          </w:p>
        </w:tc>
        <w:tc>
          <w:tcPr>
            <w:tcW w:w="992" w:type="dxa"/>
            <w:vAlign w:val="center"/>
          </w:tcPr>
          <w:p w14:paraId="167FB330"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232 493</w:t>
            </w:r>
          </w:p>
        </w:tc>
        <w:tc>
          <w:tcPr>
            <w:tcW w:w="1418" w:type="dxa"/>
            <w:vAlign w:val="center"/>
          </w:tcPr>
          <w:p w14:paraId="3C09EC70"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334 438</w:t>
            </w:r>
          </w:p>
        </w:tc>
        <w:tc>
          <w:tcPr>
            <w:tcW w:w="3089" w:type="dxa"/>
            <w:vAlign w:val="center"/>
          </w:tcPr>
          <w:p w14:paraId="63C060C6"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59,0 %</w:t>
            </w:r>
          </w:p>
        </w:tc>
      </w:tr>
      <w:tr w:rsidR="00A0114E" w:rsidRPr="00173E7B" w14:paraId="1439DB40" w14:textId="77777777" w:rsidTr="0056626A">
        <w:trPr>
          <w:trHeight w:val="227"/>
        </w:trPr>
        <w:tc>
          <w:tcPr>
            <w:tcW w:w="851" w:type="dxa"/>
            <w:shd w:val="clear" w:color="auto" w:fill="D9E2F3" w:themeFill="accent1" w:themeFillTint="33"/>
            <w:vAlign w:val="center"/>
          </w:tcPr>
          <w:p w14:paraId="43A1D897" w14:textId="7777777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2017</w:t>
            </w:r>
          </w:p>
        </w:tc>
        <w:tc>
          <w:tcPr>
            <w:tcW w:w="2722" w:type="dxa"/>
            <w:vAlign w:val="center"/>
          </w:tcPr>
          <w:p w14:paraId="32FEF252" w14:textId="21DFFEF4"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52</w:t>
            </w:r>
            <w:r w:rsidR="003C3BDE" w:rsidRPr="00173E7B">
              <w:rPr>
                <w:rFonts w:ascii="Arial Narrow" w:eastAsia="Times New Roman" w:hAnsi="Arial Narrow" w:cs="Arial"/>
                <w:sz w:val="18"/>
                <w:szCs w:val="18"/>
                <w:lang w:eastAsia="cs-CZ"/>
              </w:rPr>
              <w:t>9</w:t>
            </w:r>
            <w:r w:rsidRPr="00173E7B">
              <w:rPr>
                <w:rFonts w:ascii="Arial Narrow" w:eastAsia="Times New Roman" w:hAnsi="Arial Narrow" w:cs="Arial"/>
                <w:sz w:val="18"/>
                <w:szCs w:val="18"/>
                <w:lang w:eastAsia="cs-CZ"/>
              </w:rPr>
              <w:t xml:space="preserve"> </w:t>
            </w:r>
            <w:r w:rsidR="003C3BDE" w:rsidRPr="00173E7B">
              <w:rPr>
                <w:rFonts w:ascii="Arial Narrow" w:eastAsia="Times New Roman" w:hAnsi="Arial Narrow" w:cs="Arial"/>
                <w:sz w:val="18"/>
                <w:szCs w:val="18"/>
                <w:lang w:eastAsia="cs-CZ"/>
              </w:rPr>
              <w:t>142</w:t>
            </w:r>
          </w:p>
        </w:tc>
        <w:tc>
          <w:tcPr>
            <w:tcW w:w="992" w:type="dxa"/>
            <w:vAlign w:val="center"/>
          </w:tcPr>
          <w:p w14:paraId="79A308FB"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219 708</w:t>
            </w:r>
          </w:p>
        </w:tc>
        <w:tc>
          <w:tcPr>
            <w:tcW w:w="1418" w:type="dxa"/>
            <w:vAlign w:val="center"/>
          </w:tcPr>
          <w:p w14:paraId="7E9C732D" w14:textId="403BA3E3"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30</w:t>
            </w:r>
            <w:r w:rsidR="003C3BDE" w:rsidRPr="00173E7B">
              <w:rPr>
                <w:rFonts w:ascii="Arial Narrow" w:eastAsia="Times New Roman" w:hAnsi="Arial Narrow" w:cs="Arial"/>
                <w:sz w:val="18"/>
                <w:szCs w:val="18"/>
                <w:lang w:eastAsia="cs-CZ"/>
              </w:rPr>
              <w:t>4</w:t>
            </w:r>
            <w:r w:rsidRPr="00173E7B">
              <w:rPr>
                <w:rFonts w:ascii="Arial Narrow" w:eastAsia="Times New Roman" w:hAnsi="Arial Narrow" w:cs="Arial"/>
                <w:sz w:val="18"/>
                <w:szCs w:val="18"/>
                <w:lang w:eastAsia="cs-CZ"/>
              </w:rPr>
              <w:t xml:space="preserve"> </w:t>
            </w:r>
            <w:r w:rsidR="003C3BDE" w:rsidRPr="00173E7B">
              <w:rPr>
                <w:rFonts w:ascii="Arial Narrow" w:eastAsia="Times New Roman" w:hAnsi="Arial Narrow" w:cs="Arial"/>
                <w:sz w:val="18"/>
                <w:szCs w:val="18"/>
                <w:lang w:eastAsia="cs-CZ"/>
              </w:rPr>
              <w:t>434</w:t>
            </w:r>
          </w:p>
        </w:tc>
        <w:tc>
          <w:tcPr>
            <w:tcW w:w="3089" w:type="dxa"/>
            <w:vAlign w:val="center"/>
          </w:tcPr>
          <w:p w14:paraId="52FB7810" w14:textId="781993A2"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w:t>
            </w:r>
            <w:r w:rsidR="003C3BDE" w:rsidRPr="00173E7B">
              <w:rPr>
                <w:rFonts w:ascii="Arial Narrow" w:eastAsia="Times New Roman" w:hAnsi="Arial Narrow" w:cs="Arial"/>
                <w:sz w:val="18"/>
                <w:szCs w:val="18"/>
                <w:lang w:eastAsia="cs-CZ"/>
              </w:rPr>
              <w:t>7</w:t>
            </w:r>
            <w:r w:rsidRPr="00173E7B">
              <w:rPr>
                <w:rFonts w:ascii="Arial Narrow" w:eastAsia="Times New Roman" w:hAnsi="Arial Narrow" w:cs="Arial"/>
                <w:sz w:val="18"/>
                <w:szCs w:val="18"/>
                <w:lang w:eastAsia="cs-CZ"/>
              </w:rPr>
              <w:t>,</w:t>
            </w:r>
            <w:r w:rsidR="003C3BDE" w:rsidRPr="00173E7B">
              <w:rPr>
                <w:rFonts w:ascii="Arial Narrow" w:eastAsia="Times New Roman" w:hAnsi="Arial Narrow" w:cs="Arial"/>
                <w:sz w:val="18"/>
                <w:szCs w:val="18"/>
                <w:lang w:eastAsia="cs-CZ"/>
              </w:rPr>
              <w:t>5</w:t>
            </w:r>
            <w:r w:rsidRPr="00173E7B">
              <w:rPr>
                <w:rFonts w:ascii="Arial Narrow" w:eastAsia="Times New Roman" w:hAnsi="Arial Narrow" w:cs="Arial"/>
                <w:sz w:val="18"/>
                <w:szCs w:val="18"/>
                <w:lang w:eastAsia="cs-CZ"/>
              </w:rPr>
              <w:t xml:space="preserve"> %</w:t>
            </w:r>
          </w:p>
        </w:tc>
      </w:tr>
      <w:tr w:rsidR="00A0114E" w:rsidRPr="00173E7B" w14:paraId="5657CEF8" w14:textId="77777777" w:rsidTr="0056626A">
        <w:trPr>
          <w:trHeight w:val="227"/>
        </w:trPr>
        <w:tc>
          <w:tcPr>
            <w:tcW w:w="851" w:type="dxa"/>
            <w:shd w:val="clear" w:color="auto" w:fill="D9E2F3" w:themeFill="accent1" w:themeFillTint="33"/>
            <w:vAlign w:val="center"/>
          </w:tcPr>
          <w:p w14:paraId="0A9CED23" w14:textId="7777777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2016</w:t>
            </w:r>
          </w:p>
        </w:tc>
        <w:tc>
          <w:tcPr>
            <w:tcW w:w="2722" w:type="dxa"/>
            <w:vAlign w:val="center"/>
          </w:tcPr>
          <w:p w14:paraId="414204BF"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496 413</w:t>
            </w:r>
          </w:p>
        </w:tc>
        <w:tc>
          <w:tcPr>
            <w:tcW w:w="992" w:type="dxa"/>
            <w:vAlign w:val="center"/>
          </w:tcPr>
          <w:p w14:paraId="1CBCF399"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208 166</w:t>
            </w:r>
          </w:p>
        </w:tc>
        <w:tc>
          <w:tcPr>
            <w:tcW w:w="1418" w:type="dxa"/>
            <w:vAlign w:val="center"/>
          </w:tcPr>
          <w:p w14:paraId="17D9F0C1"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288 247</w:t>
            </w:r>
          </w:p>
        </w:tc>
        <w:tc>
          <w:tcPr>
            <w:tcW w:w="3089" w:type="dxa"/>
            <w:vAlign w:val="center"/>
          </w:tcPr>
          <w:p w14:paraId="1EF5CA1F"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58,1 %</w:t>
            </w:r>
          </w:p>
        </w:tc>
      </w:tr>
      <w:tr w:rsidR="00A0114E" w:rsidRPr="00173E7B" w14:paraId="10A27AD8" w14:textId="77777777" w:rsidTr="0056626A">
        <w:trPr>
          <w:trHeight w:val="227"/>
        </w:trPr>
        <w:tc>
          <w:tcPr>
            <w:tcW w:w="851" w:type="dxa"/>
            <w:shd w:val="clear" w:color="auto" w:fill="D9E2F3" w:themeFill="accent1" w:themeFillTint="33"/>
            <w:vAlign w:val="center"/>
          </w:tcPr>
          <w:p w14:paraId="01ABD36B" w14:textId="7777777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2015</w:t>
            </w:r>
          </w:p>
        </w:tc>
        <w:tc>
          <w:tcPr>
            <w:tcW w:w="2722" w:type="dxa"/>
            <w:vAlign w:val="center"/>
          </w:tcPr>
          <w:p w14:paraId="37DA62C0"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467 562</w:t>
            </w:r>
          </w:p>
        </w:tc>
        <w:tc>
          <w:tcPr>
            <w:tcW w:w="992" w:type="dxa"/>
            <w:vAlign w:val="center"/>
          </w:tcPr>
          <w:p w14:paraId="500B200A"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195 499</w:t>
            </w:r>
          </w:p>
        </w:tc>
        <w:tc>
          <w:tcPr>
            <w:tcW w:w="1418" w:type="dxa"/>
            <w:vAlign w:val="center"/>
          </w:tcPr>
          <w:p w14:paraId="55D90AA1"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272 063</w:t>
            </w:r>
          </w:p>
        </w:tc>
        <w:tc>
          <w:tcPr>
            <w:tcW w:w="3089" w:type="dxa"/>
            <w:vAlign w:val="center"/>
          </w:tcPr>
          <w:p w14:paraId="0279AB04"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58,2 %</w:t>
            </w:r>
          </w:p>
        </w:tc>
      </w:tr>
      <w:tr w:rsidR="00A0114E" w:rsidRPr="00173E7B" w14:paraId="1E0A9782" w14:textId="77777777" w:rsidTr="0056626A">
        <w:trPr>
          <w:trHeight w:val="227"/>
        </w:trPr>
        <w:tc>
          <w:tcPr>
            <w:tcW w:w="851" w:type="dxa"/>
            <w:shd w:val="clear" w:color="auto" w:fill="D9E2F3" w:themeFill="accent1" w:themeFillTint="33"/>
            <w:vAlign w:val="center"/>
          </w:tcPr>
          <w:p w14:paraId="444F6166" w14:textId="7777777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2014</w:t>
            </w:r>
          </w:p>
        </w:tc>
        <w:tc>
          <w:tcPr>
            <w:tcW w:w="2722" w:type="dxa"/>
            <w:vAlign w:val="center"/>
          </w:tcPr>
          <w:p w14:paraId="345867FD"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451 923</w:t>
            </w:r>
          </w:p>
        </w:tc>
        <w:tc>
          <w:tcPr>
            <w:tcW w:w="992" w:type="dxa"/>
            <w:vAlign w:val="center"/>
          </w:tcPr>
          <w:p w14:paraId="3E9A17E5"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184 511</w:t>
            </w:r>
          </w:p>
        </w:tc>
        <w:tc>
          <w:tcPr>
            <w:tcW w:w="1418" w:type="dxa"/>
            <w:vAlign w:val="center"/>
          </w:tcPr>
          <w:p w14:paraId="389394DE"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267 412</w:t>
            </w:r>
          </w:p>
        </w:tc>
        <w:tc>
          <w:tcPr>
            <w:tcW w:w="3089" w:type="dxa"/>
            <w:vAlign w:val="center"/>
          </w:tcPr>
          <w:p w14:paraId="10C2D8FA"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59,2 %</w:t>
            </w:r>
          </w:p>
        </w:tc>
      </w:tr>
      <w:tr w:rsidR="00A0114E" w:rsidRPr="00CE357F" w14:paraId="648A8B6C" w14:textId="77777777" w:rsidTr="0056626A">
        <w:trPr>
          <w:trHeight w:val="227"/>
        </w:trPr>
        <w:tc>
          <w:tcPr>
            <w:tcW w:w="851" w:type="dxa"/>
            <w:shd w:val="clear" w:color="auto" w:fill="D9E2F3" w:themeFill="accent1" w:themeFillTint="33"/>
            <w:vAlign w:val="center"/>
          </w:tcPr>
          <w:p w14:paraId="176321E8" w14:textId="77777777" w:rsidR="00A0114E" w:rsidRPr="00173E7B" w:rsidRDefault="00A0114E" w:rsidP="00A0114E">
            <w:pPr>
              <w:jc w:val="center"/>
              <w:rPr>
                <w:rFonts w:ascii="Arial Narrow" w:eastAsia="Times New Roman" w:hAnsi="Arial Narrow" w:cs="Arial"/>
                <w:b/>
                <w:bCs/>
                <w:sz w:val="18"/>
                <w:szCs w:val="18"/>
                <w:lang w:eastAsia="cs-CZ"/>
              </w:rPr>
            </w:pPr>
            <w:r w:rsidRPr="00173E7B">
              <w:rPr>
                <w:rFonts w:ascii="Arial Narrow" w:eastAsia="Times New Roman" w:hAnsi="Arial Narrow" w:cs="Arial"/>
                <w:sz w:val="18"/>
                <w:szCs w:val="18"/>
                <w:lang w:eastAsia="cs-CZ"/>
              </w:rPr>
              <w:t>2013</w:t>
            </w:r>
          </w:p>
        </w:tc>
        <w:tc>
          <w:tcPr>
            <w:tcW w:w="2722" w:type="dxa"/>
            <w:vAlign w:val="center"/>
          </w:tcPr>
          <w:p w14:paraId="5118864A"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441 536</w:t>
            </w:r>
          </w:p>
        </w:tc>
        <w:tc>
          <w:tcPr>
            <w:tcW w:w="992" w:type="dxa"/>
            <w:vAlign w:val="center"/>
          </w:tcPr>
          <w:p w14:paraId="34E4A9E3"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173 593</w:t>
            </w:r>
          </w:p>
        </w:tc>
        <w:tc>
          <w:tcPr>
            <w:tcW w:w="1418" w:type="dxa"/>
            <w:vAlign w:val="center"/>
          </w:tcPr>
          <w:p w14:paraId="43563D9C" w14:textId="77777777" w:rsidR="00A0114E" w:rsidRPr="00173E7B"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267 943</w:t>
            </w:r>
          </w:p>
        </w:tc>
        <w:tc>
          <w:tcPr>
            <w:tcW w:w="3089" w:type="dxa"/>
            <w:vAlign w:val="center"/>
          </w:tcPr>
          <w:p w14:paraId="5E8662D6" w14:textId="77777777" w:rsidR="00A0114E" w:rsidRPr="00A0114E" w:rsidRDefault="00A0114E" w:rsidP="00A0114E">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60,7 %</w:t>
            </w:r>
          </w:p>
        </w:tc>
      </w:tr>
      <w:tr w:rsidR="00A0114E" w:rsidRPr="00CE357F" w14:paraId="2C9EAFD8" w14:textId="77777777" w:rsidTr="0056626A">
        <w:trPr>
          <w:trHeight w:val="227"/>
        </w:trPr>
        <w:tc>
          <w:tcPr>
            <w:tcW w:w="851" w:type="dxa"/>
            <w:shd w:val="clear" w:color="auto" w:fill="D9E2F3" w:themeFill="accent1" w:themeFillTint="33"/>
            <w:vAlign w:val="center"/>
          </w:tcPr>
          <w:p w14:paraId="3213ACB7" w14:textId="77777777" w:rsidR="00A0114E" w:rsidRPr="00CE357F" w:rsidRDefault="00A0114E" w:rsidP="00A0114E">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lastRenderedPageBreak/>
              <w:t>2012</w:t>
            </w:r>
          </w:p>
        </w:tc>
        <w:tc>
          <w:tcPr>
            <w:tcW w:w="2722" w:type="dxa"/>
            <w:vAlign w:val="center"/>
          </w:tcPr>
          <w:p w14:paraId="37D5B356"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438 076</w:t>
            </w:r>
          </w:p>
        </w:tc>
        <w:tc>
          <w:tcPr>
            <w:tcW w:w="992" w:type="dxa"/>
            <w:vAlign w:val="center"/>
          </w:tcPr>
          <w:p w14:paraId="1C4DAF54"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160 792</w:t>
            </w:r>
          </w:p>
        </w:tc>
        <w:tc>
          <w:tcPr>
            <w:tcW w:w="1418" w:type="dxa"/>
            <w:vAlign w:val="center"/>
          </w:tcPr>
          <w:p w14:paraId="6B4BEF1F"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277 284</w:t>
            </w:r>
          </w:p>
        </w:tc>
        <w:tc>
          <w:tcPr>
            <w:tcW w:w="3089" w:type="dxa"/>
            <w:vAlign w:val="center"/>
          </w:tcPr>
          <w:p w14:paraId="5B216EA6" w14:textId="77777777" w:rsidR="00A0114E" w:rsidRPr="00A0114E" w:rsidRDefault="00A0114E" w:rsidP="00A0114E">
            <w:pPr>
              <w:jc w:val="center"/>
              <w:rPr>
                <w:rFonts w:ascii="Arial Narrow" w:eastAsia="Times New Roman" w:hAnsi="Arial Narrow" w:cs="Arial"/>
                <w:sz w:val="18"/>
                <w:szCs w:val="18"/>
                <w:lang w:eastAsia="cs-CZ"/>
              </w:rPr>
            </w:pPr>
            <w:r w:rsidRPr="00A0114E">
              <w:rPr>
                <w:rFonts w:ascii="Arial Narrow" w:eastAsia="Times New Roman" w:hAnsi="Arial Narrow" w:cs="Arial"/>
                <w:sz w:val="18"/>
                <w:szCs w:val="18"/>
                <w:lang w:eastAsia="cs-CZ"/>
              </w:rPr>
              <w:t>63,3 %</w:t>
            </w:r>
          </w:p>
        </w:tc>
      </w:tr>
      <w:tr w:rsidR="00A0114E" w:rsidRPr="00CE357F" w14:paraId="09564B3F" w14:textId="77777777" w:rsidTr="0056626A">
        <w:trPr>
          <w:trHeight w:val="227"/>
        </w:trPr>
        <w:tc>
          <w:tcPr>
            <w:tcW w:w="851" w:type="dxa"/>
            <w:shd w:val="clear" w:color="auto" w:fill="D9E2F3" w:themeFill="accent1" w:themeFillTint="33"/>
            <w:vAlign w:val="center"/>
          </w:tcPr>
          <w:p w14:paraId="5ECCCDA1" w14:textId="77777777" w:rsidR="00A0114E" w:rsidRPr="00CE357F" w:rsidRDefault="00A0114E" w:rsidP="00A0114E">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2011</w:t>
            </w:r>
          </w:p>
        </w:tc>
        <w:tc>
          <w:tcPr>
            <w:tcW w:w="2722" w:type="dxa"/>
            <w:vAlign w:val="center"/>
          </w:tcPr>
          <w:p w14:paraId="71F9835C"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436 319</w:t>
            </w:r>
          </w:p>
        </w:tc>
        <w:tc>
          <w:tcPr>
            <w:tcW w:w="992" w:type="dxa"/>
            <w:vAlign w:val="center"/>
          </w:tcPr>
          <w:p w14:paraId="0C315384"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151 425</w:t>
            </w:r>
          </w:p>
        </w:tc>
        <w:tc>
          <w:tcPr>
            <w:tcW w:w="1418" w:type="dxa"/>
            <w:vAlign w:val="center"/>
          </w:tcPr>
          <w:p w14:paraId="5B5DA26D"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284 894</w:t>
            </w:r>
          </w:p>
        </w:tc>
        <w:tc>
          <w:tcPr>
            <w:tcW w:w="3089" w:type="dxa"/>
            <w:vAlign w:val="center"/>
          </w:tcPr>
          <w:p w14:paraId="322D27A2" w14:textId="77777777" w:rsidR="00A0114E" w:rsidRPr="00A0114E" w:rsidRDefault="00A0114E" w:rsidP="00A0114E">
            <w:pPr>
              <w:jc w:val="center"/>
              <w:rPr>
                <w:rFonts w:ascii="Arial Narrow" w:eastAsia="Times New Roman" w:hAnsi="Arial Narrow" w:cs="Arial"/>
                <w:sz w:val="18"/>
                <w:szCs w:val="18"/>
                <w:lang w:eastAsia="cs-CZ"/>
              </w:rPr>
            </w:pPr>
            <w:r w:rsidRPr="00A0114E">
              <w:rPr>
                <w:rFonts w:ascii="Arial Narrow" w:eastAsia="Times New Roman" w:hAnsi="Arial Narrow" w:cs="Arial"/>
                <w:sz w:val="18"/>
                <w:szCs w:val="18"/>
                <w:lang w:eastAsia="cs-CZ"/>
              </w:rPr>
              <w:t>65,3 %</w:t>
            </w:r>
          </w:p>
        </w:tc>
      </w:tr>
      <w:tr w:rsidR="00A0114E" w:rsidRPr="00CE357F" w14:paraId="2F38BB9B" w14:textId="77777777" w:rsidTr="0056626A">
        <w:trPr>
          <w:trHeight w:val="227"/>
        </w:trPr>
        <w:tc>
          <w:tcPr>
            <w:tcW w:w="851" w:type="dxa"/>
            <w:shd w:val="clear" w:color="auto" w:fill="D9E2F3" w:themeFill="accent1" w:themeFillTint="33"/>
            <w:vAlign w:val="center"/>
          </w:tcPr>
          <w:p w14:paraId="4E9157BF" w14:textId="77777777" w:rsidR="00A0114E" w:rsidRPr="00CE357F" w:rsidRDefault="00A0114E" w:rsidP="00A0114E">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2010</w:t>
            </w:r>
          </w:p>
        </w:tc>
        <w:tc>
          <w:tcPr>
            <w:tcW w:w="2722" w:type="dxa"/>
            <w:vAlign w:val="center"/>
          </w:tcPr>
          <w:p w14:paraId="38E02C81"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426 423</w:t>
            </w:r>
          </w:p>
        </w:tc>
        <w:tc>
          <w:tcPr>
            <w:tcW w:w="992" w:type="dxa"/>
            <w:vAlign w:val="center"/>
          </w:tcPr>
          <w:p w14:paraId="0B181CD8"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135 554</w:t>
            </w:r>
          </w:p>
        </w:tc>
        <w:tc>
          <w:tcPr>
            <w:tcW w:w="1418" w:type="dxa"/>
            <w:vAlign w:val="center"/>
          </w:tcPr>
          <w:p w14:paraId="371744FD"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290 869</w:t>
            </w:r>
          </w:p>
        </w:tc>
        <w:tc>
          <w:tcPr>
            <w:tcW w:w="3089" w:type="dxa"/>
            <w:vAlign w:val="center"/>
          </w:tcPr>
          <w:p w14:paraId="12BE726F" w14:textId="77777777" w:rsidR="00A0114E" w:rsidRPr="00A0114E" w:rsidRDefault="00A0114E" w:rsidP="00A0114E">
            <w:pPr>
              <w:jc w:val="center"/>
              <w:rPr>
                <w:rFonts w:ascii="Arial Narrow" w:eastAsia="Times New Roman" w:hAnsi="Arial Narrow" w:cs="Arial"/>
                <w:sz w:val="18"/>
                <w:szCs w:val="18"/>
                <w:lang w:eastAsia="cs-CZ"/>
              </w:rPr>
            </w:pPr>
            <w:r w:rsidRPr="00A0114E">
              <w:rPr>
                <w:rFonts w:ascii="Arial Narrow" w:eastAsia="Times New Roman" w:hAnsi="Arial Narrow" w:cs="Arial"/>
                <w:sz w:val="18"/>
                <w:szCs w:val="18"/>
                <w:lang w:eastAsia="cs-CZ"/>
              </w:rPr>
              <w:t>68,2 %</w:t>
            </w:r>
          </w:p>
        </w:tc>
      </w:tr>
      <w:tr w:rsidR="00A0114E" w:rsidRPr="00CE357F" w14:paraId="792B4A9D" w14:textId="77777777" w:rsidTr="0056626A">
        <w:trPr>
          <w:trHeight w:val="227"/>
        </w:trPr>
        <w:tc>
          <w:tcPr>
            <w:tcW w:w="851" w:type="dxa"/>
            <w:shd w:val="clear" w:color="auto" w:fill="D9E2F3" w:themeFill="accent1" w:themeFillTint="33"/>
            <w:vAlign w:val="center"/>
          </w:tcPr>
          <w:p w14:paraId="2E81F463" w14:textId="77777777" w:rsidR="00A0114E" w:rsidRPr="00CE357F" w:rsidRDefault="00A0114E" w:rsidP="00A0114E">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2009</w:t>
            </w:r>
          </w:p>
        </w:tc>
        <w:tc>
          <w:tcPr>
            <w:tcW w:w="2722" w:type="dxa"/>
            <w:vAlign w:val="center"/>
          </w:tcPr>
          <w:p w14:paraId="4A8953F4"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434 600</w:t>
            </w:r>
          </w:p>
        </w:tc>
        <w:tc>
          <w:tcPr>
            <w:tcW w:w="992" w:type="dxa"/>
            <w:vAlign w:val="center"/>
          </w:tcPr>
          <w:p w14:paraId="11669741"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137 164</w:t>
            </w:r>
          </w:p>
        </w:tc>
        <w:tc>
          <w:tcPr>
            <w:tcW w:w="1418" w:type="dxa"/>
            <w:vAlign w:val="center"/>
          </w:tcPr>
          <w:p w14:paraId="27C54366"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297 436</w:t>
            </w:r>
          </w:p>
        </w:tc>
        <w:tc>
          <w:tcPr>
            <w:tcW w:w="3089" w:type="dxa"/>
            <w:vAlign w:val="center"/>
          </w:tcPr>
          <w:p w14:paraId="55B76F07" w14:textId="77777777" w:rsidR="00A0114E" w:rsidRPr="00A0114E" w:rsidRDefault="00A0114E" w:rsidP="00A0114E">
            <w:pPr>
              <w:jc w:val="center"/>
              <w:rPr>
                <w:rFonts w:ascii="Arial Narrow" w:eastAsia="Times New Roman" w:hAnsi="Arial Narrow" w:cs="Arial"/>
                <w:sz w:val="18"/>
                <w:szCs w:val="18"/>
                <w:lang w:eastAsia="cs-CZ"/>
              </w:rPr>
            </w:pPr>
            <w:r w:rsidRPr="00A0114E">
              <w:rPr>
                <w:rFonts w:ascii="Arial Narrow" w:eastAsia="Times New Roman" w:hAnsi="Arial Narrow" w:cs="Arial"/>
                <w:sz w:val="18"/>
                <w:szCs w:val="18"/>
                <w:lang w:eastAsia="cs-CZ"/>
              </w:rPr>
              <w:t>68,4 %</w:t>
            </w:r>
          </w:p>
        </w:tc>
      </w:tr>
      <w:tr w:rsidR="00A0114E" w:rsidRPr="00CE357F" w14:paraId="1C39E658" w14:textId="77777777" w:rsidTr="0056626A">
        <w:trPr>
          <w:trHeight w:val="227"/>
        </w:trPr>
        <w:tc>
          <w:tcPr>
            <w:tcW w:w="851" w:type="dxa"/>
            <w:shd w:val="clear" w:color="auto" w:fill="D9E2F3" w:themeFill="accent1" w:themeFillTint="33"/>
            <w:vAlign w:val="center"/>
          </w:tcPr>
          <w:p w14:paraId="0CDA5888" w14:textId="77777777" w:rsidR="00A0114E" w:rsidRPr="00CE357F" w:rsidRDefault="00A0114E" w:rsidP="00A0114E">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2008</w:t>
            </w:r>
          </w:p>
        </w:tc>
        <w:tc>
          <w:tcPr>
            <w:tcW w:w="2722" w:type="dxa"/>
            <w:vAlign w:val="center"/>
          </w:tcPr>
          <w:p w14:paraId="2F8317AC"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439 498</w:t>
            </w:r>
          </w:p>
        </w:tc>
        <w:tc>
          <w:tcPr>
            <w:tcW w:w="992" w:type="dxa"/>
            <w:vAlign w:val="center"/>
          </w:tcPr>
          <w:p w14:paraId="532FF926"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145 974</w:t>
            </w:r>
          </w:p>
        </w:tc>
        <w:tc>
          <w:tcPr>
            <w:tcW w:w="1418" w:type="dxa"/>
            <w:vAlign w:val="center"/>
          </w:tcPr>
          <w:p w14:paraId="72761492"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293 524</w:t>
            </w:r>
          </w:p>
        </w:tc>
        <w:tc>
          <w:tcPr>
            <w:tcW w:w="3089" w:type="dxa"/>
            <w:vAlign w:val="center"/>
          </w:tcPr>
          <w:p w14:paraId="37002937" w14:textId="77777777" w:rsidR="00A0114E" w:rsidRPr="00A0114E" w:rsidRDefault="00A0114E" w:rsidP="00A0114E">
            <w:pPr>
              <w:jc w:val="center"/>
              <w:rPr>
                <w:rFonts w:ascii="Arial Narrow" w:eastAsia="Times New Roman" w:hAnsi="Arial Narrow" w:cs="Arial"/>
                <w:sz w:val="18"/>
                <w:szCs w:val="18"/>
                <w:lang w:eastAsia="cs-CZ"/>
              </w:rPr>
            </w:pPr>
            <w:r w:rsidRPr="00A0114E">
              <w:rPr>
                <w:rFonts w:ascii="Arial Narrow" w:eastAsia="Times New Roman" w:hAnsi="Arial Narrow" w:cs="Arial"/>
                <w:sz w:val="18"/>
                <w:szCs w:val="18"/>
                <w:lang w:eastAsia="cs-CZ"/>
              </w:rPr>
              <w:t>66,8 %</w:t>
            </w:r>
          </w:p>
        </w:tc>
      </w:tr>
      <w:tr w:rsidR="00A0114E" w:rsidRPr="00CE357F" w14:paraId="02FC7AB3" w14:textId="77777777" w:rsidTr="0056626A">
        <w:trPr>
          <w:trHeight w:val="227"/>
        </w:trPr>
        <w:tc>
          <w:tcPr>
            <w:tcW w:w="851" w:type="dxa"/>
            <w:shd w:val="clear" w:color="auto" w:fill="D9E2F3" w:themeFill="accent1" w:themeFillTint="33"/>
            <w:vAlign w:val="center"/>
          </w:tcPr>
          <w:p w14:paraId="74467CC1" w14:textId="77777777" w:rsidR="00A0114E" w:rsidRPr="00CE357F" w:rsidRDefault="00A0114E" w:rsidP="00A0114E">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2007</w:t>
            </w:r>
          </w:p>
        </w:tc>
        <w:tc>
          <w:tcPr>
            <w:tcW w:w="2722" w:type="dxa"/>
            <w:vAlign w:val="center"/>
          </w:tcPr>
          <w:p w14:paraId="4F2D008F"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394 345</w:t>
            </w:r>
          </w:p>
        </w:tc>
        <w:tc>
          <w:tcPr>
            <w:tcW w:w="992" w:type="dxa"/>
            <w:vAlign w:val="center"/>
          </w:tcPr>
          <w:p w14:paraId="0C7B3EF3"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131 052</w:t>
            </w:r>
          </w:p>
        </w:tc>
        <w:tc>
          <w:tcPr>
            <w:tcW w:w="1418" w:type="dxa"/>
            <w:vAlign w:val="center"/>
          </w:tcPr>
          <w:p w14:paraId="6F2AB150"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263 293</w:t>
            </w:r>
          </w:p>
        </w:tc>
        <w:tc>
          <w:tcPr>
            <w:tcW w:w="3089" w:type="dxa"/>
            <w:vAlign w:val="center"/>
          </w:tcPr>
          <w:p w14:paraId="53E13D60" w14:textId="77777777" w:rsidR="00A0114E" w:rsidRPr="00A0114E" w:rsidRDefault="00A0114E" w:rsidP="00A0114E">
            <w:pPr>
              <w:jc w:val="center"/>
              <w:rPr>
                <w:rFonts w:ascii="Arial Narrow" w:eastAsia="Times New Roman" w:hAnsi="Arial Narrow" w:cs="Arial"/>
                <w:sz w:val="18"/>
                <w:szCs w:val="18"/>
                <w:lang w:eastAsia="cs-CZ"/>
              </w:rPr>
            </w:pPr>
            <w:r w:rsidRPr="00A0114E">
              <w:rPr>
                <w:rFonts w:ascii="Arial Narrow" w:eastAsia="Times New Roman" w:hAnsi="Arial Narrow" w:cs="Arial"/>
                <w:sz w:val="18"/>
                <w:szCs w:val="18"/>
                <w:lang w:eastAsia="cs-CZ"/>
              </w:rPr>
              <w:t>66,8 %</w:t>
            </w:r>
          </w:p>
        </w:tc>
      </w:tr>
      <w:tr w:rsidR="00A0114E" w:rsidRPr="00CE357F" w14:paraId="4867009D" w14:textId="77777777" w:rsidTr="0056626A">
        <w:trPr>
          <w:trHeight w:val="227"/>
        </w:trPr>
        <w:tc>
          <w:tcPr>
            <w:tcW w:w="851" w:type="dxa"/>
            <w:shd w:val="clear" w:color="auto" w:fill="D9E2F3" w:themeFill="accent1" w:themeFillTint="33"/>
            <w:vAlign w:val="center"/>
          </w:tcPr>
          <w:p w14:paraId="2AFBCAF1" w14:textId="77777777" w:rsidR="00A0114E" w:rsidRPr="00CE357F" w:rsidRDefault="00A0114E" w:rsidP="00A0114E">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2006</w:t>
            </w:r>
          </w:p>
        </w:tc>
        <w:tc>
          <w:tcPr>
            <w:tcW w:w="2722" w:type="dxa"/>
            <w:vAlign w:val="center"/>
          </w:tcPr>
          <w:p w14:paraId="18A555F3"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323 343</w:t>
            </w:r>
          </w:p>
        </w:tc>
        <w:tc>
          <w:tcPr>
            <w:tcW w:w="992" w:type="dxa"/>
            <w:vAlign w:val="center"/>
          </w:tcPr>
          <w:p w14:paraId="19DEFFF4"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102 886</w:t>
            </w:r>
          </w:p>
        </w:tc>
        <w:tc>
          <w:tcPr>
            <w:tcW w:w="1418" w:type="dxa"/>
            <w:vAlign w:val="center"/>
          </w:tcPr>
          <w:p w14:paraId="1B0E01B8"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220 457</w:t>
            </w:r>
          </w:p>
        </w:tc>
        <w:tc>
          <w:tcPr>
            <w:tcW w:w="3089" w:type="dxa"/>
            <w:vAlign w:val="center"/>
          </w:tcPr>
          <w:p w14:paraId="0364ADAA" w14:textId="77777777" w:rsidR="00A0114E" w:rsidRPr="00A0114E" w:rsidRDefault="00A0114E" w:rsidP="00A0114E">
            <w:pPr>
              <w:jc w:val="center"/>
              <w:rPr>
                <w:rFonts w:ascii="Arial Narrow" w:eastAsia="Times New Roman" w:hAnsi="Arial Narrow" w:cs="Arial"/>
                <w:sz w:val="18"/>
                <w:szCs w:val="18"/>
                <w:lang w:eastAsia="cs-CZ"/>
              </w:rPr>
            </w:pPr>
            <w:r w:rsidRPr="00A0114E">
              <w:rPr>
                <w:rFonts w:ascii="Arial Narrow" w:eastAsia="Times New Roman" w:hAnsi="Arial Narrow" w:cs="Arial"/>
                <w:sz w:val="18"/>
                <w:szCs w:val="18"/>
                <w:lang w:eastAsia="cs-CZ"/>
              </w:rPr>
              <w:t>68,2 %</w:t>
            </w:r>
          </w:p>
        </w:tc>
      </w:tr>
      <w:tr w:rsidR="00A0114E" w:rsidRPr="00CE357F" w14:paraId="710B1885" w14:textId="77777777" w:rsidTr="0056626A">
        <w:trPr>
          <w:trHeight w:val="227"/>
        </w:trPr>
        <w:tc>
          <w:tcPr>
            <w:tcW w:w="851" w:type="dxa"/>
            <w:shd w:val="clear" w:color="auto" w:fill="D9E2F3" w:themeFill="accent1" w:themeFillTint="33"/>
            <w:vAlign w:val="center"/>
          </w:tcPr>
          <w:p w14:paraId="328F672B" w14:textId="77777777" w:rsidR="00A0114E" w:rsidRPr="00CE357F" w:rsidRDefault="00A0114E" w:rsidP="00A0114E">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2005</w:t>
            </w:r>
          </w:p>
        </w:tc>
        <w:tc>
          <w:tcPr>
            <w:tcW w:w="2722" w:type="dxa"/>
            <w:vAlign w:val="center"/>
          </w:tcPr>
          <w:p w14:paraId="4275B82F"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280 111</w:t>
            </w:r>
          </w:p>
        </w:tc>
        <w:tc>
          <w:tcPr>
            <w:tcW w:w="992" w:type="dxa"/>
            <w:vAlign w:val="center"/>
          </w:tcPr>
          <w:p w14:paraId="3927BB91"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87 144</w:t>
            </w:r>
          </w:p>
        </w:tc>
        <w:tc>
          <w:tcPr>
            <w:tcW w:w="1418" w:type="dxa"/>
            <w:vAlign w:val="center"/>
          </w:tcPr>
          <w:p w14:paraId="44537102" w14:textId="77777777" w:rsidR="00A0114E" w:rsidRPr="00CE357F" w:rsidRDefault="00A0114E" w:rsidP="00A0114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192 967</w:t>
            </w:r>
          </w:p>
        </w:tc>
        <w:tc>
          <w:tcPr>
            <w:tcW w:w="3089" w:type="dxa"/>
            <w:vAlign w:val="center"/>
          </w:tcPr>
          <w:p w14:paraId="50233091" w14:textId="77777777" w:rsidR="00A0114E" w:rsidRPr="00A0114E" w:rsidRDefault="00A0114E" w:rsidP="00A0114E">
            <w:pPr>
              <w:jc w:val="center"/>
              <w:rPr>
                <w:rFonts w:ascii="Arial Narrow" w:eastAsia="Times New Roman" w:hAnsi="Arial Narrow" w:cs="Arial"/>
                <w:sz w:val="18"/>
                <w:szCs w:val="18"/>
                <w:lang w:eastAsia="cs-CZ"/>
              </w:rPr>
            </w:pPr>
            <w:r w:rsidRPr="00A0114E">
              <w:rPr>
                <w:rFonts w:ascii="Arial Narrow" w:eastAsia="Times New Roman" w:hAnsi="Arial Narrow" w:cs="Arial"/>
                <w:sz w:val="18"/>
                <w:szCs w:val="18"/>
                <w:lang w:eastAsia="cs-CZ"/>
              </w:rPr>
              <w:t>68,9 %</w:t>
            </w:r>
          </w:p>
        </w:tc>
      </w:tr>
    </w:tbl>
    <w:bookmarkEnd w:id="65"/>
    <w:p w14:paraId="6799E5AE" w14:textId="352D4C52" w:rsidR="00357915" w:rsidRPr="00CE357F" w:rsidRDefault="007964B1" w:rsidP="00357915">
      <w:pPr>
        <w:spacing w:after="240" w:line="276" w:lineRule="auto"/>
        <w:rPr>
          <w:rFonts w:ascii="Arial Narrow" w:hAnsi="Arial Narrow"/>
          <w:bCs/>
          <w:noProof/>
          <w:sz w:val="20"/>
          <w:szCs w:val="20"/>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A0114E">
        <w:rPr>
          <w:rFonts w:ascii="Arial Narrow" w:hAnsi="Arial Narrow"/>
          <w:sz w:val="20"/>
          <w:szCs w:val="20"/>
        </w:rPr>
        <w:t>2</w:t>
      </w:r>
      <w:r w:rsidRPr="00CE357F">
        <w:rPr>
          <w:rFonts w:ascii="Arial Narrow" w:hAnsi="Arial Narrow"/>
          <w:sz w:val="20"/>
          <w:szCs w:val="20"/>
        </w:rPr>
        <w:t>)</w:t>
      </w:r>
      <w:r w:rsidRPr="00CE357F">
        <w:rPr>
          <w:rFonts w:ascii="Arial Narrow" w:hAnsi="Arial Narrow"/>
          <w:sz w:val="20"/>
          <w:szCs w:val="20"/>
        </w:rPr>
        <w:tab/>
      </w:r>
      <w:r w:rsidR="00357915" w:rsidRPr="00CE357F">
        <w:rPr>
          <w:rFonts w:ascii="Arial Narrow" w:hAnsi="Arial Narrow"/>
          <w:bCs/>
          <w:noProof/>
          <w:sz w:val="20"/>
          <w:szCs w:val="20"/>
        </w:rPr>
        <w:tab/>
      </w:r>
      <w:r w:rsidR="00357915" w:rsidRPr="00CE357F">
        <w:rPr>
          <w:rFonts w:ascii="Arial Narrow" w:hAnsi="Arial Narrow"/>
          <w:bCs/>
          <w:noProof/>
          <w:sz w:val="20"/>
          <w:szCs w:val="20"/>
        </w:rPr>
        <w:tab/>
      </w:r>
      <w:r w:rsidR="00357915" w:rsidRPr="00CE357F">
        <w:rPr>
          <w:rFonts w:ascii="Arial Narrow" w:hAnsi="Arial Narrow"/>
          <w:bCs/>
          <w:noProof/>
          <w:sz w:val="20"/>
          <w:szCs w:val="20"/>
        </w:rPr>
        <w:tab/>
      </w:r>
      <w:r w:rsidR="00EC14EC" w:rsidRPr="00CE357F">
        <w:rPr>
          <w:rFonts w:ascii="Arial Narrow" w:hAnsi="Arial Narrow"/>
          <w:bCs/>
          <w:noProof/>
          <w:sz w:val="20"/>
          <w:szCs w:val="20"/>
        </w:rPr>
        <w:t xml:space="preserve">   </w:t>
      </w:r>
      <w:r w:rsidR="00357915" w:rsidRPr="00CE357F">
        <w:rPr>
          <w:rFonts w:ascii="Arial Narrow" w:hAnsi="Arial Narrow"/>
          <w:bCs/>
          <w:noProof/>
          <w:sz w:val="20"/>
          <w:szCs w:val="20"/>
        </w:rPr>
        <w:t xml:space="preserve"> Tabulka: AUGUR Consulting</w:t>
      </w:r>
      <w:r w:rsidR="00EC14EC" w:rsidRPr="00CE357F">
        <w:rPr>
          <w:rFonts w:ascii="Arial Narrow" w:hAnsi="Arial Narrow"/>
          <w:bCs/>
          <w:noProof/>
          <w:sz w:val="20"/>
          <w:szCs w:val="20"/>
        </w:rPr>
        <w:t xml:space="preserve"> s.r.o.</w:t>
      </w:r>
    </w:p>
    <w:p w14:paraId="20A72AF9" w14:textId="38FF43C6" w:rsidR="00357915" w:rsidRDefault="00357915" w:rsidP="00357915">
      <w:pPr>
        <w:pStyle w:val="Titulek"/>
        <w:keepNext/>
        <w:spacing w:after="0"/>
        <w:jc w:val="both"/>
        <w:rPr>
          <w:rFonts w:ascii="Arial Narrow" w:hAnsi="Arial Narrow"/>
          <w:color w:val="auto"/>
          <w:sz w:val="20"/>
          <w:szCs w:val="20"/>
        </w:rPr>
      </w:pPr>
      <w:bookmarkStart w:id="66" w:name="_Toc94443711"/>
      <w:bookmarkStart w:id="67" w:name="_Toc136428851"/>
      <w:r w:rsidRPr="00CE357F">
        <w:rPr>
          <w:rFonts w:ascii="Arial Narrow" w:hAnsi="Arial Narrow"/>
          <w:color w:val="auto"/>
          <w:sz w:val="20"/>
          <w:szCs w:val="20"/>
        </w:rPr>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7</w:t>
      </w:r>
      <w:r w:rsidR="00B63C25">
        <w:rPr>
          <w:rFonts w:ascii="Arial Narrow" w:hAnsi="Arial Narrow"/>
          <w:color w:val="auto"/>
          <w:sz w:val="20"/>
          <w:szCs w:val="20"/>
        </w:rPr>
        <w:fldChar w:fldCharType="end"/>
      </w:r>
      <w:r w:rsidRPr="00CE357F">
        <w:rPr>
          <w:rFonts w:ascii="Arial Narrow" w:hAnsi="Arial Narrow"/>
          <w:color w:val="auto"/>
          <w:sz w:val="20"/>
          <w:szCs w:val="20"/>
        </w:rPr>
        <w:t>: Podíl osob s jinou než českou státní příslušností pocházejících ze třetích zemí v České republice na celkovém počtu těchto osob</w:t>
      </w:r>
      <w:bookmarkEnd w:id="66"/>
      <w:r w:rsidR="002003CB">
        <w:rPr>
          <w:rFonts w:ascii="Arial Narrow" w:hAnsi="Arial Narrow"/>
          <w:color w:val="auto"/>
          <w:sz w:val="20"/>
          <w:szCs w:val="20"/>
        </w:rPr>
        <w:t xml:space="preserve"> (vždy k 31. 12.)</w:t>
      </w:r>
      <w:bookmarkEnd w:id="67"/>
    </w:p>
    <w:p w14:paraId="2FD530AD" w14:textId="20B92A53" w:rsidR="00932652" w:rsidRPr="00932652" w:rsidRDefault="00932652" w:rsidP="00932652">
      <w:r w:rsidRPr="00CE357F">
        <w:rPr>
          <w:rFonts w:ascii="Arial Narrow" w:hAnsi="Arial Narrow"/>
          <w:b/>
          <w:noProof/>
          <w:lang w:eastAsia="cs-CZ"/>
        </w:rPr>
        <w:drawing>
          <wp:inline distT="0" distB="0" distL="0" distR="0" wp14:anchorId="7A9984F2" wp14:editId="0C4A5B38">
            <wp:extent cx="5760720" cy="3048000"/>
            <wp:effectExtent l="0" t="0" r="11430" b="0"/>
            <wp:docPr id="2109" name="Graf 2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CEA1CF" w14:textId="1D87643A" w:rsidR="00357915" w:rsidRPr="00CE357F" w:rsidRDefault="007964B1" w:rsidP="00934C1B">
      <w:pPr>
        <w:spacing w:line="276" w:lineRule="auto"/>
        <w:rPr>
          <w:rFonts w:ascii="Arial Narrow" w:hAnsi="Arial Narrow"/>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932652">
        <w:rPr>
          <w:rFonts w:ascii="Arial Narrow" w:hAnsi="Arial Narrow"/>
          <w:sz w:val="20"/>
          <w:szCs w:val="20"/>
        </w:rPr>
        <w:t>2</w:t>
      </w:r>
      <w:r w:rsidRPr="00CE357F">
        <w:rPr>
          <w:rFonts w:ascii="Arial Narrow" w:hAnsi="Arial Narrow"/>
          <w:sz w:val="20"/>
          <w:szCs w:val="20"/>
        </w:rPr>
        <w:t>)</w:t>
      </w:r>
      <w:r w:rsidRPr="00CE357F">
        <w:rPr>
          <w:rFonts w:ascii="Arial Narrow" w:hAnsi="Arial Narrow"/>
          <w:sz w:val="20"/>
          <w:szCs w:val="20"/>
        </w:rPr>
        <w:tab/>
      </w:r>
      <w:r w:rsidR="00357915" w:rsidRPr="00CE357F">
        <w:rPr>
          <w:rFonts w:ascii="Arial Narrow" w:hAnsi="Arial Narrow"/>
          <w:sz w:val="20"/>
          <w:szCs w:val="20"/>
        </w:rPr>
        <w:tab/>
      </w:r>
      <w:r w:rsidR="00357915" w:rsidRPr="00CE357F">
        <w:rPr>
          <w:rFonts w:ascii="Arial Narrow" w:hAnsi="Arial Narrow"/>
          <w:sz w:val="20"/>
          <w:szCs w:val="20"/>
        </w:rPr>
        <w:tab/>
      </w:r>
      <w:r w:rsidR="00357915" w:rsidRPr="00CE357F">
        <w:rPr>
          <w:rFonts w:ascii="Arial Narrow" w:hAnsi="Arial Narrow"/>
          <w:sz w:val="20"/>
          <w:szCs w:val="20"/>
        </w:rPr>
        <w:tab/>
        <w:t xml:space="preserve">          Graf: AUGUR </w:t>
      </w:r>
      <w:proofErr w:type="spellStart"/>
      <w:r w:rsidR="00357915" w:rsidRPr="00CE357F">
        <w:rPr>
          <w:rFonts w:ascii="Arial Narrow" w:hAnsi="Arial Narrow"/>
          <w:sz w:val="20"/>
          <w:szCs w:val="20"/>
        </w:rPr>
        <w:t>Consulting</w:t>
      </w:r>
      <w:proofErr w:type="spellEnd"/>
      <w:r w:rsidR="00357915" w:rsidRPr="00CE357F">
        <w:rPr>
          <w:rFonts w:ascii="Arial Narrow" w:hAnsi="Arial Narrow"/>
          <w:sz w:val="20"/>
          <w:szCs w:val="20"/>
        </w:rPr>
        <w:t xml:space="preserve"> s.r.o.</w:t>
      </w:r>
    </w:p>
    <w:p w14:paraId="1F51DE6A" w14:textId="77777777" w:rsidR="00357915" w:rsidRPr="00CE357F" w:rsidRDefault="00357915" w:rsidP="00F1264F">
      <w:pPr>
        <w:spacing w:line="276" w:lineRule="auto"/>
        <w:jc w:val="both"/>
        <w:rPr>
          <w:rFonts w:ascii="Arial Narrow" w:eastAsia="Calibri" w:hAnsi="Arial Narrow"/>
          <w:bCs/>
        </w:rPr>
      </w:pPr>
    </w:p>
    <w:p w14:paraId="6FAEC1A9" w14:textId="57BC7ABD" w:rsidR="001C34E6" w:rsidRPr="00CE357F" w:rsidRDefault="005A3B20" w:rsidP="009053DD">
      <w:pPr>
        <w:spacing w:line="276" w:lineRule="auto"/>
        <w:jc w:val="both"/>
        <w:rPr>
          <w:rFonts w:ascii="Arial Narrow" w:hAnsi="Arial Narrow"/>
          <w:b/>
          <w:bCs/>
          <w:color w:val="C00000"/>
        </w:rPr>
      </w:pPr>
      <w:r>
        <w:br/>
      </w:r>
      <w:r w:rsidR="7615191E" w:rsidRPr="2460258F">
        <w:rPr>
          <w:rFonts w:ascii="Arial Narrow" w:hAnsi="Arial Narrow"/>
          <w:b/>
          <w:bCs/>
          <w:color w:val="C00000"/>
        </w:rPr>
        <w:t>Osoby s jinou než českou státní příslušností v Jihomoravském</w:t>
      </w:r>
      <w:r w:rsidR="45F92E0F" w:rsidRPr="2460258F">
        <w:rPr>
          <w:rFonts w:ascii="Arial Narrow" w:hAnsi="Arial Narrow"/>
          <w:b/>
          <w:bCs/>
          <w:color w:val="C00000"/>
        </w:rPr>
        <w:t xml:space="preserve"> kraji</w:t>
      </w:r>
      <w:r w:rsidR="7615191E" w:rsidRPr="2460258F">
        <w:rPr>
          <w:rFonts w:ascii="Arial Narrow" w:hAnsi="Arial Narrow"/>
          <w:b/>
          <w:bCs/>
          <w:color w:val="C00000"/>
        </w:rPr>
        <w:t xml:space="preserve"> v letech 2005-202</w:t>
      </w:r>
      <w:r w:rsidR="6CD5C580" w:rsidRPr="2460258F">
        <w:rPr>
          <w:rFonts w:ascii="Arial Narrow" w:hAnsi="Arial Narrow"/>
          <w:b/>
          <w:bCs/>
          <w:color w:val="C00000"/>
        </w:rPr>
        <w:t>2</w:t>
      </w:r>
      <w:r w:rsidR="7615191E" w:rsidRPr="2460258F">
        <w:rPr>
          <w:rFonts w:ascii="Arial Narrow" w:hAnsi="Arial Narrow"/>
          <w:b/>
          <w:bCs/>
          <w:color w:val="C00000"/>
        </w:rPr>
        <w:t xml:space="preserve"> podle </w:t>
      </w:r>
      <w:r w:rsidR="7B0FE289" w:rsidRPr="2460258F">
        <w:rPr>
          <w:rFonts w:ascii="Arial Narrow" w:hAnsi="Arial Narrow"/>
          <w:b/>
          <w:bCs/>
          <w:color w:val="C00000"/>
        </w:rPr>
        <w:t xml:space="preserve">kategorie </w:t>
      </w:r>
      <w:r w:rsidR="7615191E" w:rsidRPr="2460258F">
        <w:rPr>
          <w:rFonts w:ascii="Arial Narrow" w:hAnsi="Arial Narrow"/>
          <w:b/>
          <w:bCs/>
          <w:color w:val="C00000"/>
        </w:rPr>
        <w:t>země původu</w:t>
      </w:r>
    </w:p>
    <w:p w14:paraId="5D041896" w14:textId="013012EE" w:rsidR="007964B1" w:rsidRPr="00CE357F" w:rsidRDefault="007964B1" w:rsidP="009053DD">
      <w:pPr>
        <w:spacing w:line="276" w:lineRule="auto"/>
        <w:jc w:val="both"/>
        <w:rPr>
          <w:rFonts w:ascii="Arial Narrow" w:hAnsi="Arial Narrow"/>
          <w:b/>
          <w:bCs/>
          <w:color w:val="C00000"/>
        </w:rPr>
      </w:pPr>
    </w:p>
    <w:p w14:paraId="2C52DF2C" w14:textId="6DEFB311" w:rsidR="007964B1" w:rsidRDefault="451C98B2" w:rsidP="2460258F">
      <w:pPr>
        <w:spacing w:after="240" w:line="276" w:lineRule="auto"/>
        <w:jc w:val="both"/>
        <w:rPr>
          <w:rFonts w:ascii="Arial Narrow" w:hAnsi="Arial Narrow"/>
          <w:noProof/>
        </w:rPr>
      </w:pPr>
      <w:bookmarkStart w:id="68" w:name="_Hlk95483734"/>
      <w:r w:rsidRPr="2645E051">
        <w:rPr>
          <w:rFonts w:ascii="Arial Narrow" w:hAnsi="Arial Narrow"/>
          <w:noProof/>
        </w:rPr>
        <w:t xml:space="preserve">Mezi </w:t>
      </w:r>
      <w:r w:rsidRPr="2645E051">
        <w:rPr>
          <w:rFonts w:ascii="Arial Narrow" w:hAnsi="Arial Narrow"/>
        </w:rPr>
        <w:t>osobami s jinou než českou státní příslušností</w:t>
      </w:r>
      <w:r w:rsidRPr="2645E051">
        <w:rPr>
          <w:rFonts w:ascii="Arial Narrow" w:hAnsi="Arial Narrow"/>
          <w:noProof/>
        </w:rPr>
        <w:t xml:space="preserve"> v Jihomoravském kraji, podobně jako v rámci celé České republiky, dlouhodobě převažují občané třetích zemí. </w:t>
      </w:r>
      <w:bookmarkEnd w:id="68"/>
      <w:r w:rsidRPr="2645E051">
        <w:rPr>
          <w:rFonts w:ascii="Arial Narrow" w:hAnsi="Arial Narrow"/>
          <w:noProof/>
        </w:rPr>
        <w:t>Z níže uvedeného grafu</w:t>
      </w:r>
      <w:r w:rsidR="004C68A8">
        <w:rPr>
          <w:rFonts w:ascii="Arial Narrow" w:hAnsi="Arial Narrow"/>
          <w:noProof/>
        </w:rPr>
        <w:t xml:space="preserve"> č. 8</w:t>
      </w:r>
      <w:r w:rsidRPr="2645E051">
        <w:rPr>
          <w:rFonts w:ascii="Arial Narrow" w:hAnsi="Arial Narrow"/>
          <w:noProof/>
        </w:rPr>
        <w:t xml:space="preserve"> je patrné, že ačkoliv podíl občanů třetích zemí je dlouhodobě vyšší než podíl občanů ze zemí EU, mezi lety 2005 a 2015 se jejich podíl dlouhodobě snižoval.</w:t>
      </w:r>
      <w:r w:rsidR="00200BFB">
        <w:rPr>
          <w:rStyle w:val="Znakapoznpodarou"/>
          <w:rFonts w:ascii="Arial Narrow" w:hAnsi="Arial Narrow"/>
          <w:noProof/>
        </w:rPr>
        <w:footnoteReference w:id="6"/>
      </w:r>
      <w:r w:rsidRPr="2645E051">
        <w:rPr>
          <w:rFonts w:ascii="Arial Narrow" w:hAnsi="Arial Narrow"/>
          <w:noProof/>
        </w:rPr>
        <w:t xml:space="preserve"> Zatímco v roce 2005 tvořili občané třetích zemí celkem 73,0 % všech osob s jinou než českou státní příslušností žijících na území Jihomoravského kraje, v roce 2015 to bylo 56,8 %. Od roku 2016 podíl těchto osob opět mírně narůstá a v roce 2020 dosáhl 59,3 %.</w:t>
      </w:r>
      <w:r w:rsidR="6039B48D" w:rsidRPr="2645E051">
        <w:rPr>
          <w:rFonts w:ascii="Arial Narrow" w:hAnsi="Arial Narrow"/>
          <w:noProof/>
        </w:rPr>
        <w:t xml:space="preserve"> Podíl osob ze zemí EU na celkovém počtu osob s jinou než českou státní příslušností žijících na území Jihomoravského kraje se mezi lety 2005 a 2020 zvýšil o 13,7 %.</w:t>
      </w:r>
    </w:p>
    <w:p w14:paraId="22BD1A44" w14:textId="1FB57A0E" w:rsidR="00932652" w:rsidRPr="00CE357F" w:rsidRDefault="00932652" w:rsidP="00932652">
      <w:pPr>
        <w:spacing w:after="240" w:line="276" w:lineRule="auto"/>
        <w:jc w:val="both"/>
        <w:rPr>
          <w:rFonts w:ascii="Arial Narrow" w:hAnsi="Arial Narrow"/>
          <w:bCs/>
          <w:noProof/>
        </w:rPr>
      </w:pPr>
      <w:r w:rsidRPr="00932652">
        <w:rPr>
          <w:rFonts w:ascii="Arial Narrow" w:hAnsi="Arial Narrow"/>
          <w:bCs/>
          <w:noProof/>
        </w:rPr>
        <w:lastRenderedPageBreak/>
        <w:t xml:space="preserve">Růst podílu osob pocházejících mimo prostor EU pokračoval i v letech 2021 (62,9 %) a zvláště pak </w:t>
      </w:r>
      <w:bookmarkStart w:id="69" w:name="_Hlk131513411"/>
      <w:r w:rsidRPr="00932652">
        <w:rPr>
          <w:rFonts w:ascii="Arial Narrow" w:hAnsi="Arial Narrow"/>
          <w:bCs/>
          <w:noProof/>
        </w:rPr>
        <w:t>v roce 2022, kdy osoby ze třetích zemí tvořily téměř 4/5 (78,3 %) všech osob s jinou než českou státní příslušností v Jihomoravském kraji.</w:t>
      </w:r>
    </w:p>
    <w:p w14:paraId="5FAEA3E3" w14:textId="1FB57A0E" w:rsidR="00357915" w:rsidRDefault="00357915" w:rsidP="004E7540">
      <w:pPr>
        <w:pStyle w:val="Titulek"/>
        <w:keepNext/>
        <w:spacing w:after="0"/>
        <w:jc w:val="both"/>
        <w:rPr>
          <w:rFonts w:ascii="Arial Narrow" w:hAnsi="Arial Narrow"/>
          <w:color w:val="auto"/>
          <w:sz w:val="20"/>
          <w:szCs w:val="20"/>
        </w:rPr>
      </w:pPr>
      <w:bookmarkStart w:id="70" w:name="_Toc94443712"/>
      <w:bookmarkStart w:id="71" w:name="_Toc136428852"/>
      <w:bookmarkEnd w:id="69"/>
      <w:r w:rsidRPr="00CE357F">
        <w:rPr>
          <w:rFonts w:ascii="Arial Narrow" w:hAnsi="Arial Narrow"/>
          <w:color w:val="auto"/>
          <w:sz w:val="20"/>
          <w:szCs w:val="20"/>
        </w:rPr>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8</w:t>
      </w:r>
      <w:r w:rsidR="00B63C25">
        <w:rPr>
          <w:rFonts w:ascii="Arial Narrow" w:hAnsi="Arial Narrow"/>
          <w:color w:val="auto"/>
          <w:sz w:val="20"/>
          <w:szCs w:val="20"/>
        </w:rPr>
        <w:fldChar w:fldCharType="end"/>
      </w:r>
      <w:r w:rsidRPr="00CE357F">
        <w:rPr>
          <w:rFonts w:ascii="Arial Narrow" w:hAnsi="Arial Narrow"/>
          <w:color w:val="auto"/>
          <w:sz w:val="20"/>
          <w:szCs w:val="20"/>
        </w:rPr>
        <w:t>: Podíl osob s jinou než českou státní příslušností pocházejících ze třetích zemí v JMK na celkovém počtu obyvatel</w:t>
      </w:r>
      <w:bookmarkEnd w:id="70"/>
      <w:bookmarkEnd w:id="71"/>
    </w:p>
    <w:p w14:paraId="557CB84F" w14:textId="2CB78DA3" w:rsidR="007B7A2A" w:rsidRPr="007B7A2A" w:rsidRDefault="007B7A2A" w:rsidP="007B7A2A">
      <w:r w:rsidRPr="00CE357F">
        <w:rPr>
          <w:rFonts w:ascii="Arial Narrow" w:hAnsi="Arial Narrow"/>
          <w:bCs/>
          <w:noProof/>
          <w:sz w:val="20"/>
          <w:szCs w:val="20"/>
          <w:lang w:eastAsia="cs-CZ"/>
        </w:rPr>
        <w:drawing>
          <wp:inline distT="0" distB="0" distL="0" distR="0" wp14:anchorId="18C15F03" wp14:editId="61CCD6A3">
            <wp:extent cx="5760720" cy="4593515"/>
            <wp:effectExtent l="0" t="0" r="0" b="0"/>
            <wp:docPr id="2121" name="Graf 2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E536B6" w14:textId="3A46B8DB" w:rsidR="00357915" w:rsidRPr="00CE357F" w:rsidRDefault="00357915" w:rsidP="001C34E6">
      <w:pPr>
        <w:spacing w:line="276" w:lineRule="auto"/>
        <w:rPr>
          <w:rFonts w:ascii="Arial Narrow" w:hAnsi="Arial Narrow"/>
        </w:rPr>
      </w:pPr>
      <w:r w:rsidRPr="00CE357F">
        <w:rPr>
          <w:rFonts w:ascii="Arial Narrow" w:hAnsi="Arial Narrow"/>
          <w:sz w:val="20"/>
          <w:szCs w:val="20"/>
        </w:rPr>
        <w:t xml:space="preserve">Zdroj: </w:t>
      </w:r>
      <w:r w:rsidR="007964B1" w:rsidRPr="00CE357F">
        <w:rPr>
          <w:rFonts w:ascii="Arial Narrow" w:eastAsia="Times New Roman" w:hAnsi="Arial Narrow" w:cs="Arial"/>
          <w:color w:val="000000"/>
          <w:sz w:val="20"/>
          <w:szCs w:val="20"/>
          <w:lang w:eastAsia="cs-CZ"/>
        </w:rPr>
        <w:t>Český statistický úřad</w:t>
      </w:r>
      <w:r w:rsidR="007964B1" w:rsidRPr="00CE357F">
        <w:rPr>
          <w:rFonts w:ascii="Arial Narrow" w:hAnsi="Arial Narrow"/>
          <w:sz w:val="20"/>
          <w:szCs w:val="20"/>
        </w:rPr>
        <w:t xml:space="preserve"> </w:t>
      </w:r>
      <w:r w:rsidRPr="00CE357F">
        <w:rPr>
          <w:rFonts w:ascii="Arial Narrow" w:hAnsi="Arial Narrow"/>
          <w:sz w:val="20"/>
          <w:szCs w:val="20"/>
        </w:rPr>
        <w:t>(data platná k 31. 12. 202</w:t>
      </w:r>
      <w:r w:rsidR="007B7A2A">
        <w:rPr>
          <w:rFonts w:ascii="Arial Narrow" w:hAnsi="Arial Narrow"/>
          <w:sz w:val="20"/>
          <w:szCs w:val="20"/>
        </w:rPr>
        <w:t>2</w:t>
      </w:r>
      <w:r w:rsidRPr="00CE357F">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r w:rsidR="007964B1" w:rsidRPr="00CE357F">
        <w:rPr>
          <w:rFonts w:ascii="Arial Narrow" w:hAnsi="Arial Narrow"/>
          <w:sz w:val="20"/>
          <w:szCs w:val="20"/>
        </w:rPr>
        <w:tab/>
      </w:r>
      <w:r w:rsidRPr="00CE357F">
        <w:rPr>
          <w:rFonts w:ascii="Arial Narrow" w:hAnsi="Arial Narrow"/>
          <w:sz w:val="20"/>
          <w:szCs w:val="20"/>
        </w:rPr>
        <w:t xml:space="preserve">         </w:t>
      </w:r>
      <w:r w:rsidR="00F2571A" w:rsidRPr="00CE357F">
        <w:rPr>
          <w:rFonts w:ascii="Arial Narrow" w:hAnsi="Arial Narrow"/>
          <w:sz w:val="20"/>
          <w:szCs w:val="20"/>
        </w:rPr>
        <w:tab/>
        <w:t xml:space="preserve">         </w:t>
      </w:r>
      <w:r w:rsidRPr="00CE357F">
        <w:rPr>
          <w:rFonts w:ascii="Arial Narrow" w:hAnsi="Arial Narrow"/>
          <w:sz w:val="20"/>
          <w:szCs w:val="20"/>
        </w:rPr>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3884D86D" w14:textId="1B4BE137" w:rsidR="009014D2" w:rsidRPr="00CE357F" w:rsidRDefault="009014D2" w:rsidP="00F1264F">
      <w:pPr>
        <w:spacing w:line="276" w:lineRule="auto"/>
        <w:jc w:val="both"/>
        <w:rPr>
          <w:rFonts w:ascii="Arial Narrow" w:eastAsia="Calibri" w:hAnsi="Arial Narrow"/>
          <w:bCs/>
        </w:rPr>
      </w:pPr>
    </w:p>
    <w:p w14:paraId="37A1FA0A" w14:textId="40D206BE" w:rsidR="00AE4EE1" w:rsidRPr="00CE357F" w:rsidRDefault="00AE4EE1" w:rsidP="0051614B">
      <w:pPr>
        <w:pStyle w:val="Nadpis3"/>
        <w:rPr>
          <w:rFonts w:eastAsia="Calibri"/>
        </w:rPr>
      </w:pPr>
      <w:bookmarkStart w:id="72" w:name="_Toc94215377"/>
      <w:bookmarkStart w:id="73" w:name="_Toc94220475"/>
      <w:bookmarkStart w:id="74" w:name="_Toc94301313"/>
      <w:bookmarkStart w:id="75" w:name="_Toc94390102"/>
      <w:bookmarkStart w:id="76" w:name="_Toc94390187"/>
      <w:bookmarkStart w:id="77" w:name="_Toc94444071"/>
      <w:bookmarkStart w:id="78" w:name="_Toc95386848"/>
      <w:bookmarkStart w:id="79" w:name="_Toc95386940"/>
      <w:bookmarkStart w:id="80" w:name="_Toc95731947"/>
      <w:bookmarkStart w:id="81" w:name="_Toc95733292"/>
      <w:bookmarkStart w:id="82" w:name="_Toc95821852"/>
      <w:bookmarkStart w:id="83" w:name="_Toc95986686"/>
      <w:bookmarkStart w:id="84" w:name="_Toc125635412"/>
      <w:bookmarkStart w:id="85" w:name="_Toc132629119"/>
      <w:bookmarkStart w:id="86" w:name="_Toc94215378"/>
      <w:bookmarkStart w:id="87" w:name="_Toc94220476"/>
      <w:bookmarkStart w:id="88" w:name="_Toc94301314"/>
      <w:bookmarkStart w:id="89" w:name="_Toc94390103"/>
      <w:bookmarkStart w:id="90" w:name="_Toc94390188"/>
      <w:bookmarkStart w:id="91" w:name="_Toc94444072"/>
      <w:bookmarkStart w:id="92" w:name="_Toc95386849"/>
      <w:bookmarkStart w:id="93" w:name="_Toc95386941"/>
      <w:bookmarkStart w:id="94" w:name="_Toc95731948"/>
      <w:bookmarkStart w:id="95" w:name="_Toc95733293"/>
      <w:bookmarkStart w:id="96" w:name="_Toc95821853"/>
      <w:bookmarkStart w:id="97" w:name="_Toc95986687"/>
      <w:bookmarkStart w:id="98" w:name="_Toc125635413"/>
      <w:bookmarkStart w:id="99" w:name="_Toc132629120"/>
      <w:bookmarkStart w:id="100" w:name="_Toc136876073"/>
      <w:bookmarkStart w:id="101" w:name="_Hlk13262472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E357F">
        <w:rPr>
          <w:rFonts w:eastAsia="Calibri"/>
        </w:rPr>
        <w:t>Osoby s jinou než českou státní příslušností podle státní příslušnosti</w:t>
      </w:r>
      <w:bookmarkEnd w:id="100"/>
    </w:p>
    <w:p w14:paraId="5C022939" w14:textId="77777777" w:rsidR="00AE4EE1" w:rsidRPr="00CE357F" w:rsidRDefault="00AE4EE1" w:rsidP="00AE4EE1">
      <w:pPr>
        <w:spacing w:line="276" w:lineRule="auto"/>
        <w:jc w:val="both"/>
        <w:rPr>
          <w:rFonts w:ascii="Arial Narrow" w:hAnsi="Arial Narrow"/>
          <w:bCs/>
          <w:noProof/>
        </w:rPr>
      </w:pPr>
    </w:p>
    <w:p w14:paraId="59F45682" w14:textId="4E72608E" w:rsidR="00AE4EE1" w:rsidRPr="00CE357F" w:rsidRDefault="00AE4EE1" w:rsidP="00AE4EE1">
      <w:pPr>
        <w:jc w:val="both"/>
        <w:rPr>
          <w:rFonts w:ascii="Arial Narrow" w:hAnsi="Arial Narrow"/>
          <w:b/>
          <w:bCs/>
          <w:color w:val="C00000"/>
        </w:rPr>
      </w:pPr>
      <w:r w:rsidRPr="00CE357F">
        <w:rPr>
          <w:rFonts w:ascii="Arial Narrow" w:hAnsi="Arial Narrow"/>
          <w:b/>
          <w:bCs/>
          <w:color w:val="C00000"/>
        </w:rPr>
        <w:t>Osoby s jinou než českou státní příslušností v České republice v letech 200</w:t>
      </w:r>
      <w:r w:rsidR="00910CAD" w:rsidRPr="00CE357F">
        <w:rPr>
          <w:rFonts w:ascii="Arial Narrow" w:hAnsi="Arial Narrow"/>
          <w:b/>
          <w:bCs/>
          <w:color w:val="C00000"/>
        </w:rPr>
        <w:t>4–</w:t>
      </w:r>
      <w:r w:rsidRPr="00CE357F">
        <w:rPr>
          <w:rFonts w:ascii="Arial Narrow" w:hAnsi="Arial Narrow"/>
          <w:b/>
          <w:bCs/>
          <w:color w:val="C00000"/>
        </w:rPr>
        <w:t>202</w:t>
      </w:r>
      <w:r w:rsidR="008C03A1">
        <w:rPr>
          <w:rFonts w:ascii="Arial Narrow" w:hAnsi="Arial Narrow"/>
          <w:b/>
          <w:bCs/>
          <w:color w:val="C00000"/>
        </w:rPr>
        <w:t>2</w:t>
      </w:r>
      <w:r w:rsidRPr="00CE357F">
        <w:rPr>
          <w:rFonts w:ascii="Arial Narrow" w:hAnsi="Arial Narrow"/>
          <w:b/>
          <w:bCs/>
          <w:color w:val="C00000"/>
        </w:rPr>
        <w:t xml:space="preserve"> podle státní příslušnosti</w:t>
      </w:r>
    </w:p>
    <w:p w14:paraId="0DA79B29" w14:textId="77777777" w:rsidR="00AE4EE1" w:rsidRPr="00CE357F" w:rsidRDefault="00AE4EE1" w:rsidP="00AE4EE1">
      <w:pPr>
        <w:spacing w:line="276" w:lineRule="auto"/>
        <w:jc w:val="both"/>
        <w:rPr>
          <w:rFonts w:ascii="Arial Narrow" w:hAnsi="Arial Narrow"/>
        </w:rPr>
      </w:pPr>
    </w:p>
    <w:p w14:paraId="249F8985" w14:textId="69FAFE22" w:rsidR="008C03A1" w:rsidRPr="008C03A1" w:rsidRDefault="008C03A1" w:rsidP="008C03A1">
      <w:pPr>
        <w:spacing w:after="240" w:line="276" w:lineRule="auto"/>
        <w:jc w:val="both"/>
        <w:rPr>
          <w:rFonts w:ascii="Arial Narrow" w:hAnsi="Arial Narrow"/>
        </w:rPr>
      </w:pPr>
      <w:bookmarkStart w:id="102" w:name="_Hlk95483784"/>
      <w:r w:rsidRPr="00CE357F">
        <w:rPr>
          <w:rFonts w:ascii="Arial Narrow" w:hAnsi="Arial Narrow"/>
        </w:rPr>
        <w:t xml:space="preserve">Podíváme-li se na osoby s jinou než českou </w:t>
      </w:r>
      <w:r w:rsidRPr="008C03A1">
        <w:rPr>
          <w:rFonts w:ascii="Arial Narrow" w:hAnsi="Arial Narrow"/>
        </w:rPr>
        <w:t xml:space="preserve">státní příslušností v závislosti na zemi jejich původu, dlouhodobě převažují </w:t>
      </w:r>
      <w:bookmarkStart w:id="103" w:name="_Hlk131513483"/>
      <w:r w:rsidRPr="008C03A1">
        <w:rPr>
          <w:rFonts w:ascii="Arial Narrow" w:hAnsi="Arial Narrow"/>
        </w:rPr>
        <w:t>občané Ukrajiny, Slovenska a Vietnamu</w:t>
      </w:r>
      <w:bookmarkEnd w:id="103"/>
      <w:r w:rsidR="004C68A8">
        <w:rPr>
          <w:rFonts w:ascii="Arial Narrow" w:hAnsi="Arial Narrow"/>
        </w:rPr>
        <w:t xml:space="preserve"> (tabulka č. 5)</w:t>
      </w:r>
      <w:r w:rsidRPr="008C03A1">
        <w:rPr>
          <w:rFonts w:ascii="Arial Narrow" w:hAnsi="Arial Narrow"/>
        </w:rPr>
        <w:t xml:space="preserve">. Občané těchto tří zemí </w:t>
      </w:r>
      <w:bookmarkStart w:id="104" w:name="_Hlk131513470"/>
      <w:r w:rsidRPr="008C03A1">
        <w:rPr>
          <w:rFonts w:ascii="Arial Narrow" w:hAnsi="Arial Narrow"/>
        </w:rPr>
        <w:t xml:space="preserve">zaujímají </w:t>
      </w:r>
      <w:bookmarkStart w:id="105" w:name="_Hlk131513462"/>
      <w:bookmarkEnd w:id="104"/>
      <w:r w:rsidRPr="008C03A1">
        <w:rPr>
          <w:rFonts w:ascii="Arial Narrow" w:hAnsi="Arial Narrow"/>
        </w:rPr>
        <w:t xml:space="preserve">pomyslné první tři příčky mezi nejčastějšími zeměmi původu </w:t>
      </w:r>
      <w:bookmarkEnd w:id="105"/>
      <w:r w:rsidRPr="008C03A1">
        <w:rPr>
          <w:rFonts w:ascii="Arial Narrow" w:hAnsi="Arial Narrow"/>
        </w:rPr>
        <w:t xml:space="preserve">pravidelně od roku 2004, odkdy byla tato data zaznamenávána. Mezi lety 2010 a 2020 zaujímali občané těchto tří států průměrně 57 % všech osob s jinou než českou státní příslušností pobývajících na území České republiky. </w:t>
      </w:r>
    </w:p>
    <w:p w14:paraId="176B7DDF" w14:textId="7532A2E2" w:rsidR="008C03A1" w:rsidRPr="008C03A1" w:rsidRDefault="008C03A1" w:rsidP="008C03A1">
      <w:pPr>
        <w:spacing w:after="240" w:line="276" w:lineRule="auto"/>
        <w:jc w:val="both"/>
        <w:rPr>
          <w:rFonts w:ascii="Arial Narrow" w:hAnsi="Arial Narrow"/>
        </w:rPr>
      </w:pPr>
      <w:bookmarkStart w:id="106" w:name="_Hlk95483829"/>
      <w:bookmarkEnd w:id="102"/>
      <w:r w:rsidRPr="008C03A1">
        <w:rPr>
          <w:rFonts w:ascii="Arial Narrow" w:hAnsi="Arial Narrow"/>
        </w:rPr>
        <w:t xml:space="preserve">Mezi dalšími nejčastějšími zeměmi původu se pravidelně objevují Rusko, Německo a Polsko, které se v různém pořadí umísťují pravidelně od roku 2006 na pomyslné 4. – 6. příčce mezi nejčastějšími zeměmi původu. </w:t>
      </w:r>
      <w:bookmarkEnd w:id="106"/>
      <w:r w:rsidRPr="008C03A1">
        <w:rPr>
          <w:rFonts w:ascii="Arial Narrow" w:hAnsi="Arial Narrow"/>
        </w:rPr>
        <w:br/>
      </w:r>
      <w:r w:rsidRPr="008C03A1">
        <w:rPr>
          <w:rFonts w:ascii="Arial Narrow" w:hAnsi="Arial Narrow"/>
        </w:rPr>
        <w:lastRenderedPageBreak/>
        <w:t>K 31. 12. 2022 na území České republiky žilo více než 10 000 osob pocházejících také z Rumunska (19 724 osob), Bulharska (17 673 osob) a Mongolska (11 968 osob).</w:t>
      </w:r>
    </w:p>
    <w:p w14:paraId="51783B87" w14:textId="77777777" w:rsidR="00AE4EE1" w:rsidRPr="00CE357F" w:rsidRDefault="00AE4EE1" w:rsidP="00AE4EE1">
      <w:pPr>
        <w:spacing w:line="276" w:lineRule="auto"/>
        <w:rPr>
          <w:rFonts w:ascii="Arial Narrow" w:hAnsi="Arial Narrow"/>
        </w:rPr>
      </w:pPr>
    </w:p>
    <w:p w14:paraId="77A2A596" w14:textId="0C4C7463" w:rsidR="00F366F2" w:rsidRPr="00CE357F" w:rsidRDefault="00F366F2" w:rsidP="00FA6454">
      <w:pPr>
        <w:jc w:val="both"/>
        <w:rPr>
          <w:rFonts w:ascii="Arial Narrow" w:hAnsi="Arial Narrow"/>
          <w:b/>
          <w:bCs/>
          <w:sz w:val="20"/>
          <w:szCs w:val="20"/>
        </w:rPr>
      </w:pPr>
      <w:bookmarkStart w:id="107" w:name="_Toc136429216"/>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5</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00E17404" w:rsidRPr="00CE357F">
        <w:rPr>
          <w:rFonts w:ascii="Arial Narrow" w:hAnsi="Arial Narrow"/>
          <w:b/>
          <w:bCs/>
          <w:sz w:val="20"/>
          <w:szCs w:val="20"/>
        </w:rPr>
        <w:t>Osoby s jinou než českou státní příslušností v ČR podle státního občanství v letech 2004</w:t>
      </w:r>
      <w:r w:rsidR="007964B1" w:rsidRPr="00CE357F">
        <w:rPr>
          <w:rFonts w:ascii="Arial Narrow" w:hAnsi="Arial Narrow"/>
          <w:b/>
          <w:bCs/>
          <w:sz w:val="20"/>
          <w:szCs w:val="20"/>
        </w:rPr>
        <w:t>–</w:t>
      </w:r>
      <w:r w:rsidR="00E17404" w:rsidRPr="00CE357F">
        <w:rPr>
          <w:rFonts w:ascii="Arial Narrow" w:hAnsi="Arial Narrow"/>
          <w:b/>
          <w:bCs/>
          <w:sz w:val="20"/>
          <w:szCs w:val="20"/>
        </w:rPr>
        <w:t>202</w:t>
      </w:r>
      <w:r w:rsidR="008C03A1">
        <w:rPr>
          <w:rFonts w:ascii="Arial Narrow" w:hAnsi="Arial Narrow"/>
          <w:b/>
          <w:bCs/>
          <w:sz w:val="20"/>
          <w:szCs w:val="20"/>
        </w:rPr>
        <w:t>2</w:t>
      </w:r>
      <w:r w:rsidR="00E17404" w:rsidRPr="00CE357F">
        <w:rPr>
          <w:rFonts w:ascii="Arial Narrow" w:hAnsi="Arial Narrow"/>
          <w:b/>
          <w:bCs/>
          <w:sz w:val="20"/>
          <w:szCs w:val="20"/>
        </w:rPr>
        <w:t xml:space="preserve"> (k 31. 12.) – nejčastější </w:t>
      </w:r>
      <w:r w:rsidR="00A66828" w:rsidRPr="00CE357F">
        <w:rPr>
          <w:rFonts w:ascii="Arial Narrow" w:hAnsi="Arial Narrow"/>
          <w:b/>
          <w:bCs/>
          <w:sz w:val="20"/>
          <w:szCs w:val="20"/>
        </w:rPr>
        <w:t>země původu</w:t>
      </w:r>
      <w:bookmarkEnd w:id="107"/>
      <w:r w:rsidR="00E17404" w:rsidRPr="00CE357F">
        <w:rPr>
          <w:rFonts w:ascii="Arial Narrow" w:hAnsi="Arial Narrow"/>
          <w:b/>
          <w:bCs/>
          <w:sz w:val="20"/>
          <w:szCs w:val="20"/>
        </w:rPr>
        <w:t xml:space="preserve"> </w:t>
      </w:r>
    </w:p>
    <w:tbl>
      <w:tblPr>
        <w:tblW w:w="8933" w:type="dxa"/>
        <w:jc w:val="center"/>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ayout w:type="fixed"/>
        <w:tblLook w:val="04A0" w:firstRow="1" w:lastRow="0" w:firstColumn="1" w:lastColumn="0" w:noHBand="0" w:noVBand="1"/>
      </w:tblPr>
      <w:tblGrid>
        <w:gridCol w:w="854"/>
        <w:gridCol w:w="850"/>
        <w:gridCol w:w="993"/>
        <w:gridCol w:w="850"/>
        <w:gridCol w:w="708"/>
        <w:gridCol w:w="851"/>
        <w:gridCol w:w="850"/>
        <w:gridCol w:w="993"/>
        <w:gridCol w:w="992"/>
        <w:gridCol w:w="992"/>
      </w:tblGrid>
      <w:tr w:rsidR="00AE4EE1" w:rsidRPr="00CE357F" w14:paraId="43A288BF" w14:textId="77777777" w:rsidTr="00EC14EC">
        <w:trPr>
          <w:trHeight w:val="91"/>
          <w:jc w:val="center"/>
        </w:trPr>
        <w:tc>
          <w:tcPr>
            <w:tcW w:w="854" w:type="dxa"/>
            <w:vMerge w:val="restart"/>
            <w:shd w:val="clear" w:color="auto" w:fill="D9E2F3" w:themeFill="accent1" w:themeFillTint="33"/>
            <w:vAlign w:val="center"/>
            <w:hideMark/>
          </w:tcPr>
          <w:p w14:paraId="21CF5355" w14:textId="77777777" w:rsidR="00AE4EE1" w:rsidRPr="00CE357F" w:rsidRDefault="00AE4EE1" w:rsidP="00FA6454">
            <w:pPr>
              <w:jc w:val="center"/>
              <w:rPr>
                <w:rFonts w:ascii="Arial Narrow" w:eastAsia="Times New Roman" w:hAnsi="Arial Narrow" w:cs="Arial"/>
                <w:b/>
                <w:bCs/>
                <w:sz w:val="18"/>
                <w:szCs w:val="18"/>
                <w:lang w:eastAsia="cs-CZ"/>
              </w:rPr>
            </w:pPr>
          </w:p>
        </w:tc>
        <w:tc>
          <w:tcPr>
            <w:tcW w:w="8079" w:type="dxa"/>
            <w:gridSpan w:val="9"/>
            <w:shd w:val="clear" w:color="auto" w:fill="D9E2F3" w:themeFill="accent1" w:themeFillTint="33"/>
            <w:vAlign w:val="center"/>
          </w:tcPr>
          <w:p w14:paraId="29BC9B67"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Nejčastější země původu</w:t>
            </w:r>
          </w:p>
        </w:tc>
      </w:tr>
      <w:tr w:rsidR="00AE4EE1" w:rsidRPr="00CE357F" w14:paraId="407F1A37" w14:textId="77777777" w:rsidTr="00EC14EC">
        <w:trPr>
          <w:trHeight w:val="216"/>
          <w:jc w:val="center"/>
        </w:trPr>
        <w:tc>
          <w:tcPr>
            <w:tcW w:w="854" w:type="dxa"/>
            <w:vMerge/>
            <w:shd w:val="clear" w:color="auto" w:fill="D9E2F3" w:themeFill="accent1" w:themeFillTint="33"/>
            <w:vAlign w:val="center"/>
          </w:tcPr>
          <w:p w14:paraId="4D64E86B" w14:textId="77777777" w:rsidR="00AE4EE1" w:rsidRPr="00CE357F" w:rsidRDefault="00AE4EE1" w:rsidP="00FA6454">
            <w:pPr>
              <w:jc w:val="center"/>
              <w:rPr>
                <w:rFonts w:ascii="Arial Narrow" w:eastAsia="Times New Roman" w:hAnsi="Arial Narrow" w:cs="Arial"/>
                <w:b/>
                <w:bCs/>
                <w:sz w:val="18"/>
                <w:szCs w:val="18"/>
                <w:lang w:eastAsia="cs-CZ"/>
              </w:rPr>
            </w:pPr>
            <w:bookmarkStart w:id="108" w:name="_Hlk93567963"/>
          </w:p>
        </w:tc>
        <w:tc>
          <w:tcPr>
            <w:tcW w:w="850" w:type="dxa"/>
            <w:shd w:val="clear" w:color="auto" w:fill="D9E2F3" w:themeFill="accent1" w:themeFillTint="33"/>
            <w:vAlign w:val="center"/>
          </w:tcPr>
          <w:p w14:paraId="33353354"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1.</w:t>
            </w:r>
          </w:p>
        </w:tc>
        <w:tc>
          <w:tcPr>
            <w:tcW w:w="993" w:type="dxa"/>
            <w:shd w:val="clear" w:color="auto" w:fill="D9E2F3" w:themeFill="accent1" w:themeFillTint="33"/>
            <w:vAlign w:val="center"/>
          </w:tcPr>
          <w:p w14:paraId="1AFEEAEB"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2.</w:t>
            </w:r>
          </w:p>
        </w:tc>
        <w:tc>
          <w:tcPr>
            <w:tcW w:w="850" w:type="dxa"/>
            <w:shd w:val="clear" w:color="auto" w:fill="D9E2F3" w:themeFill="accent1" w:themeFillTint="33"/>
            <w:vAlign w:val="center"/>
          </w:tcPr>
          <w:p w14:paraId="40870533"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3.</w:t>
            </w:r>
          </w:p>
        </w:tc>
        <w:tc>
          <w:tcPr>
            <w:tcW w:w="708" w:type="dxa"/>
            <w:shd w:val="clear" w:color="auto" w:fill="D9E2F3" w:themeFill="accent1" w:themeFillTint="33"/>
            <w:vAlign w:val="center"/>
          </w:tcPr>
          <w:p w14:paraId="16DF487A"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4.</w:t>
            </w:r>
          </w:p>
        </w:tc>
        <w:tc>
          <w:tcPr>
            <w:tcW w:w="851" w:type="dxa"/>
            <w:shd w:val="clear" w:color="auto" w:fill="D9E2F3" w:themeFill="accent1" w:themeFillTint="33"/>
            <w:vAlign w:val="center"/>
          </w:tcPr>
          <w:p w14:paraId="0EEC26B9"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5.</w:t>
            </w:r>
          </w:p>
        </w:tc>
        <w:tc>
          <w:tcPr>
            <w:tcW w:w="850" w:type="dxa"/>
            <w:shd w:val="clear" w:color="auto" w:fill="D9E2F3" w:themeFill="accent1" w:themeFillTint="33"/>
            <w:vAlign w:val="center"/>
          </w:tcPr>
          <w:p w14:paraId="149635BE"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6.</w:t>
            </w:r>
          </w:p>
        </w:tc>
        <w:tc>
          <w:tcPr>
            <w:tcW w:w="993" w:type="dxa"/>
            <w:shd w:val="clear" w:color="auto" w:fill="D9E2F3" w:themeFill="accent1" w:themeFillTint="33"/>
            <w:vAlign w:val="center"/>
          </w:tcPr>
          <w:p w14:paraId="619865C8"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7.</w:t>
            </w:r>
          </w:p>
        </w:tc>
        <w:tc>
          <w:tcPr>
            <w:tcW w:w="992" w:type="dxa"/>
            <w:shd w:val="clear" w:color="auto" w:fill="D9E2F3" w:themeFill="accent1" w:themeFillTint="33"/>
            <w:vAlign w:val="center"/>
          </w:tcPr>
          <w:p w14:paraId="2E85867E"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8.</w:t>
            </w:r>
          </w:p>
        </w:tc>
        <w:tc>
          <w:tcPr>
            <w:tcW w:w="992" w:type="dxa"/>
            <w:shd w:val="clear" w:color="auto" w:fill="D9E2F3" w:themeFill="accent1" w:themeFillTint="33"/>
            <w:vAlign w:val="center"/>
          </w:tcPr>
          <w:p w14:paraId="53856BA2" w14:textId="77777777" w:rsidR="00AE4EE1" w:rsidRPr="00CE357F" w:rsidRDefault="00AE4EE1" w:rsidP="00FA645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9.</w:t>
            </w:r>
          </w:p>
        </w:tc>
      </w:tr>
      <w:tr w:rsidR="008C03A1" w:rsidRPr="00CE357F" w14:paraId="3C792358" w14:textId="77777777" w:rsidTr="00EC14EC">
        <w:trPr>
          <w:trHeight w:val="397"/>
          <w:jc w:val="center"/>
        </w:trPr>
        <w:tc>
          <w:tcPr>
            <w:tcW w:w="854" w:type="dxa"/>
            <w:shd w:val="clear" w:color="auto" w:fill="D9E2F3" w:themeFill="accent1" w:themeFillTint="33"/>
            <w:vAlign w:val="center"/>
          </w:tcPr>
          <w:p w14:paraId="4106D3E4" w14:textId="13C435AB" w:rsidR="008C03A1" w:rsidRPr="00CE357F" w:rsidRDefault="008C03A1" w:rsidP="008C03A1">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2022</w:t>
            </w:r>
          </w:p>
        </w:tc>
        <w:tc>
          <w:tcPr>
            <w:tcW w:w="850" w:type="dxa"/>
            <w:shd w:val="clear" w:color="auto" w:fill="F8ECEC"/>
            <w:vAlign w:val="center"/>
          </w:tcPr>
          <w:p w14:paraId="694B9FE9" w14:textId="77777777" w:rsidR="008C03A1" w:rsidRPr="00CE357F" w:rsidRDefault="008C03A1" w:rsidP="008C03A1">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Ukrajina</w:t>
            </w:r>
          </w:p>
          <w:p w14:paraId="3DFB9EA1" w14:textId="15428FBB" w:rsidR="008C03A1" w:rsidRPr="00CE357F" w:rsidRDefault="008C03A1" w:rsidP="008C03A1">
            <w:pPr>
              <w:jc w:val="center"/>
              <w:rPr>
                <w:rFonts w:ascii="Arial Narrow" w:eastAsia="Times New Roman" w:hAnsi="Arial Narrow" w:cs="Arial"/>
                <w:b/>
                <w:bCs/>
                <w:color w:val="C00000"/>
                <w:sz w:val="18"/>
                <w:szCs w:val="18"/>
                <w:lang w:eastAsia="cs-CZ"/>
              </w:rPr>
            </w:pPr>
            <w:r w:rsidRPr="002C31BC">
              <w:rPr>
                <w:rFonts w:ascii="Arial Narrow" w:eastAsia="Times New Roman" w:hAnsi="Arial Narrow" w:cs="Arial"/>
                <w:sz w:val="18"/>
                <w:szCs w:val="18"/>
                <w:lang w:eastAsia="cs-CZ"/>
              </w:rPr>
              <w:t>636 282</w:t>
            </w:r>
          </w:p>
        </w:tc>
        <w:tc>
          <w:tcPr>
            <w:tcW w:w="993" w:type="dxa"/>
            <w:shd w:val="clear" w:color="auto" w:fill="F8ECEC"/>
            <w:vAlign w:val="center"/>
          </w:tcPr>
          <w:p w14:paraId="3590A37E" w14:textId="77777777" w:rsidR="008C03A1" w:rsidRPr="00CE357F" w:rsidRDefault="008C03A1" w:rsidP="008C03A1">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Slovensko</w:t>
            </w:r>
          </w:p>
          <w:p w14:paraId="7901674B" w14:textId="08DCF936" w:rsidR="008C03A1" w:rsidRPr="00CE357F" w:rsidRDefault="008C03A1" w:rsidP="008C03A1">
            <w:pPr>
              <w:jc w:val="center"/>
              <w:rPr>
                <w:rFonts w:ascii="Arial Narrow" w:eastAsia="Times New Roman" w:hAnsi="Arial Narrow" w:cs="Arial"/>
                <w:b/>
                <w:bCs/>
                <w:color w:val="C00000"/>
                <w:sz w:val="18"/>
                <w:szCs w:val="18"/>
                <w:lang w:eastAsia="cs-CZ"/>
              </w:rPr>
            </w:pPr>
            <w:r w:rsidRPr="002C31BC">
              <w:rPr>
                <w:rFonts w:ascii="Arial Narrow" w:eastAsia="Times New Roman" w:hAnsi="Arial Narrow" w:cs="Arial"/>
                <w:sz w:val="18"/>
                <w:szCs w:val="18"/>
                <w:lang w:eastAsia="cs-CZ"/>
              </w:rPr>
              <w:t>117 265</w:t>
            </w:r>
          </w:p>
        </w:tc>
        <w:tc>
          <w:tcPr>
            <w:tcW w:w="850" w:type="dxa"/>
            <w:shd w:val="clear" w:color="auto" w:fill="F8ECEC"/>
            <w:vAlign w:val="center"/>
          </w:tcPr>
          <w:p w14:paraId="20513754" w14:textId="77777777" w:rsidR="008C03A1" w:rsidRPr="00CE357F" w:rsidRDefault="008C03A1" w:rsidP="008C03A1">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Vietnam</w:t>
            </w:r>
          </w:p>
          <w:p w14:paraId="45E49C29" w14:textId="66C45985" w:rsidR="008C03A1" w:rsidRPr="00CE357F" w:rsidRDefault="008C03A1" w:rsidP="008C03A1">
            <w:pPr>
              <w:jc w:val="center"/>
              <w:rPr>
                <w:rFonts w:ascii="Arial Narrow" w:eastAsia="Times New Roman" w:hAnsi="Arial Narrow" w:cs="Arial"/>
                <w:b/>
                <w:bCs/>
                <w:color w:val="C00000"/>
                <w:sz w:val="18"/>
                <w:szCs w:val="18"/>
                <w:lang w:eastAsia="cs-CZ"/>
              </w:rPr>
            </w:pPr>
            <w:r w:rsidRPr="002C31BC">
              <w:rPr>
                <w:rFonts w:ascii="Arial Narrow" w:eastAsia="Times New Roman" w:hAnsi="Arial Narrow" w:cs="Arial"/>
                <w:sz w:val="18"/>
                <w:szCs w:val="18"/>
                <w:lang w:eastAsia="cs-CZ"/>
              </w:rPr>
              <w:t>66 340</w:t>
            </w:r>
          </w:p>
        </w:tc>
        <w:tc>
          <w:tcPr>
            <w:tcW w:w="708" w:type="dxa"/>
            <w:vAlign w:val="center"/>
          </w:tcPr>
          <w:p w14:paraId="15AB328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6E47AABB" w14:textId="63BD9458" w:rsidR="008C03A1" w:rsidRPr="00CE357F" w:rsidRDefault="008C03A1" w:rsidP="008C03A1">
            <w:pPr>
              <w:jc w:val="center"/>
              <w:rPr>
                <w:rFonts w:ascii="Arial Narrow" w:eastAsia="Times New Roman" w:hAnsi="Arial Narrow" w:cs="Arial"/>
                <w:sz w:val="18"/>
                <w:szCs w:val="18"/>
                <w:lang w:eastAsia="cs-CZ"/>
              </w:rPr>
            </w:pPr>
            <w:r w:rsidRPr="002C31BC">
              <w:rPr>
                <w:rFonts w:ascii="Arial Narrow" w:eastAsia="Times New Roman" w:hAnsi="Arial Narrow" w:cs="Arial"/>
                <w:sz w:val="18"/>
                <w:szCs w:val="18"/>
                <w:lang w:eastAsia="cs-CZ"/>
              </w:rPr>
              <w:t>43 498</w:t>
            </w:r>
          </w:p>
        </w:tc>
        <w:tc>
          <w:tcPr>
            <w:tcW w:w="851" w:type="dxa"/>
            <w:vAlign w:val="center"/>
          </w:tcPr>
          <w:p w14:paraId="7AF0DC1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4E6DBFF8" w14:textId="0539572C" w:rsidR="008C03A1" w:rsidRPr="00CE357F" w:rsidRDefault="008C03A1" w:rsidP="008C03A1">
            <w:pPr>
              <w:jc w:val="center"/>
              <w:rPr>
                <w:rFonts w:ascii="Arial Narrow" w:eastAsia="Times New Roman" w:hAnsi="Arial Narrow" w:cs="Arial"/>
                <w:sz w:val="18"/>
                <w:szCs w:val="18"/>
                <w:lang w:eastAsia="cs-CZ"/>
              </w:rPr>
            </w:pPr>
            <w:r w:rsidRPr="002C31BC">
              <w:rPr>
                <w:rFonts w:ascii="Arial Narrow" w:eastAsia="Times New Roman" w:hAnsi="Arial Narrow" w:cs="Arial"/>
                <w:sz w:val="18"/>
                <w:szCs w:val="18"/>
                <w:lang w:eastAsia="cs-CZ"/>
              </w:rPr>
              <w:t>14 032</w:t>
            </w:r>
          </w:p>
        </w:tc>
        <w:tc>
          <w:tcPr>
            <w:tcW w:w="850" w:type="dxa"/>
            <w:vAlign w:val="center"/>
          </w:tcPr>
          <w:p w14:paraId="03D1F89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636A66A2" w14:textId="293AAF3E" w:rsidR="008C03A1" w:rsidRPr="00CE357F" w:rsidRDefault="008C03A1" w:rsidP="008C03A1">
            <w:pPr>
              <w:jc w:val="center"/>
              <w:rPr>
                <w:rFonts w:ascii="Arial Narrow" w:eastAsia="Times New Roman" w:hAnsi="Arial Narrow" w:cs="Arial"/>
                <w:sz w:val="18"/>
                <w:szCs w:val="18"/>
                <w:lang w:eastAsia="cs-CZ"/>
              </w:rPr>
            </w:pPr>
            <w:r w:rsidRPr="002C31BC">
              <w:rPr>
                <w:rFonts w:ascii="Arial Narrow" w:eastAsia="Times New Roman" w:hAnsi="Arial Narrow" w:cs="Arial"/>
                <w:sz w:val="18"/>
                <w:szCs w:val="18"/>
                <w:lang w:eastAsia="cs-CZ"/>
              </w:rPr>
              <w:t>17 884</w:t>
            </w:r>
          </w:p>
        </w:tc>
        <w:tc>
          <w:tcPr>
            <w:tcW w:w="993" w:type="dxa"/>
            <w:vAlign w:val="center"/>
          </w:tcPr>
          <w:p w14:paraId="4B61B71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03F03104" w14:textId="7EB8BCF9" w:rsidR="008C03A1" w:rsidRPr="00CE357F" w:rsidRDefault="008C03A1" w:rsidP="008C03A1">
            <w:pPr>
              <w:jc w:val="center"/>
              <w:rPr>
                <w:rFonts w:ascii="Arial Narrow" w:eastAsia="Times New Roman" w:hAnsi="Arial Narrow" w:cs="Arial"/>
                <w:sz w:val="18"/>
                <w:szCs w:val="18"/>
                <w:lang w:eastAsia="cs-CZ"/>
              </w:rPr>
            </w:pPr>
            <w:r w:rsidRPr="002C31BC">
              <w:rPr>
                <w:rFonts w:ascii="Arial Narrow" w:eastAsia="Times New Roman" w:hAnsi="Arial Narrow" w:cs="Arial"/>
                <w:sz w:val="18"/>
                <w:szCs w:val="18"/>
                <w:lang w:eastAsia="cs-CZ"/>
              </w:rPr>
              <w:t>19 724</w:t>
            </w:r>
          </w:p>
        </w:tc>
        <w:tc>
          <w:tcPr>
            <w:tcW w:w="992" w:type="dxa"/>
            <w:vAlign w:val="center"/>
          </w:tcPr>
          <w:p w14:paraId="1036865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309529F7" w14:textId="16CC37AF" w:rsidR="008C03A1" w:rsidRPr="00CE357F" w:rsidRDefault="008C03A1" w:rsidP="008C03A1">
            <w:pPr>
              <w:jc w:val="center"/>
              <w:rPr>
                <w:rFonts w:ascii="Arial Narrow" w:eastAsia="Times New Roman" w:hAnsi="Arial Narrow" w:cs="Arial"/>
                <w:sz w:val="18"/>
                <w:szCs w:val="18"/>
                <w:lang w:eastAsia="cs-CZ"/>
              </w:rPr>
            </w:pPr>
            <w:r w:rsidRPr="002C31BC">
              <w:rPr>
                <w:rFonts w:ascii="Arial Narrow" w:eastAsia="Times New Roman" w:hAnsi="Arial Narrow" w:cs="Arial"/>
                <w:sz w:val="18"/>
                <w:szCs w:val="18"/>
                <w:lang w:eastAsia="cs-CZ"/>
              </w:rPr>
              <w:t>17 673</w:t>
            </w:r>
          </w:p>
        </w:tc>
        <w:tc>
          <w:tcPr>
            <w:tcW w:w="992" w:type="dxa"/>
            <w:vAlign w:val="center"/>
          </w:tcPr>
          <w:p w14:paraId="3380EF0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Mongolsko</w:t>
            </w:r>
          </w:p>
          <w:p w14:paraId="6577B575" w14:textId="745E605D" w:rsidR="008C03A1" w:rsidRPr="00CE357F" w:rsidRDefault="008C03A1" w:rsidP="008C03A1">
            <w:pPr>
              <w:jc w:val="center"/>
              <w:rPr>
                <w:rFonts w:ascii="Arial Narrow" w:eastAsia="Times New Roman" w:hAnsi="Arial Narrow" w:cs="Arial"/>
                <w:sz w:val="18"/>
                <w:szCs w:val="18"/>
                <w:lang w:eastAsia="cs-CZ"/>
              </w:rPr>
            </w:pPr>
            <w:r w:rsidRPr="000F67D8">
              <w:rPr>
                <w:rFonts w:ascii="Arial Narrow" w:eastAsia="Times New Roman" w:hAnsi="Arial Narrow" w:cs="Arial"/>
                <w:sz w:val="18"/>
                <w:szCs w:val="18"/>
                <w:lang w:eastAsia="cs-CZ"/>
              </w:rPr>
              <w:t>11 968</w:t>
            </w:r>
          </w:p>
        </w:tc>
      </w:tr>
      <w:tr w:rsidR="008C03A1" w:rsidRPr="00CE357F" w14:paraId="39DD60F6" w14:textId="77777777" w:rsidTr="00EC14EC">
        <w:trPr>
          <w:trHeight w:val="397"/>
          <w:jc w:val="center"/>
        </w:trPr>
        <w:tc>
          <w:tcPr>
            <w:tcW w:w="854" w:type="dxa"/>
            <w:shd w:val="clear" w:color="auto" w:fill="D9E2F3" w:themeFill="accent1" w:themeFillTint="33"/>
            <w:vAlign w:val="center"/>
          </w:tcPr>
          <w:p w14:paraId="0E4DB8A5" w14:textId="63A3CFE9" w:rsidR="008C03A1" w:rsidRPr="00CE357F" w:rsidRDefault="008C03A1" w:rsidP="008C03A1">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2021</w:t>
            </w:r>
          </w:p>
        </w:tc>
        <w:tc>
          <w:tcPr>
            <w:tcW w:w="850" w:type="dxa"/>
            <w:shd w:val="clear" w:color="auto" w:fill="F8ECEC"/>
            <w:vAlign w:val="center"/>
          </w:tcPr>
          <w:p w14:paraId="1E6C0EDD" w14:textId="77777777"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b/>
                <w:bCs/>
                <w:sz w:val="18"/>
                <w:szCs w:val="18"/>
                <w:lang w:eastAsia="cs-CZ"/>
              </w:rPr>
              <w:t>Ukrajina</w:t>
            </w:r>
          </w:p>
          <w:p w14:paraId="56B144F7" w14:textId="3282F95F"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sz w:val="18"/>
                <w:szCs w:val="18"/>
                <w:lang w:eastAsia="cs-CZ"/>
              </w:rPr>
              <w:t>196 637</w:t>
            </w:r>
          </w:p>
        </w:tc>
        <w:tc>
          <w:tcPr>
            <w:tcW w:w="993" w:type="dxa"/>
            <w:shd w:val="clear" w:color="auto" w:fill="F8ECEC"/>
            <w:vAlign w:val="center"/>
          </w:tcPr>
          <w:p w14:paraId="65A5771E" w14:textId="77777777"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b/>
                <w:bCs/>
                <w:sz w:val="18"/>
                <w:szCs w:val="18"/>
                <w:lang w:eastAsia="cs-CZ"/>
              </w:rPr>
              <w:t>Slovensko</w:t>
            </w:r>
          </w:p>
          <w:p w14:paraId="69AFAC51" w14:textId="17D7B04A"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sz w:val="18"/>
                <w:szCs w:val="18"/>
                <w:lang w:eastAsia="cs-CZ"/>
              </w:rPr>
              <w:t>114 630</w:t>
            </w:r>
          </w:p>
        </w:tc>
        <w:tc>
          <w:tcPr>
            <w:tcW w:w="850" w:type="dxa"/>
            <w:shd w:val="clear" w:color="auto" w:fill="F8ECEC"/>
            <w:vAlign w:val="center"/>
          </w:tcPr>
          <w:p w14:paraId="4892BA0F" w14:textId="77777777"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b/>
                <w:bCs/>
                <w:sz w:val="18"/>
                <w:szCs w:val="18"/>
                <w:lang w:eastAsia="cs-CZ"/>
              </w:rPr>
              <w:t>Vietnam</w:t>
            </w:r>
          </w:p>
          <w:p w14:paraId="1372918B" w14:textId="3FF8AD9D"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sz w:val="18"/>
                <w:szCs w:val="18"/>
                <w:lang w:eastAsia="cs-CZ"/>
              </w:rPr>
              <w:t>64 808</w:t>
            </w:r>
          </w:p>
        </w:tc>
        <w:tc>
          <w:tcPr>
            <w:tcW w:w="708" w:type="dxa"/>
            <w:vAlign w:val="center"/>
          </w:tcPr>
          <w:p w14:paraId="4229238C" w14:textId="77777777" w:rsidR="008C03A1" w:rsidRPr="00A41A70" w:rsidRDefault="008C03A1" w:rsidP="008C03A1">
            <w:pPr>
              <w:jc w:val="center"/>
              <w:rPr>
                <w:rFonts w:ascii="Arial Narrow" w:eastAsia="Times New Roman" w:hAnsi="Arial Narrow" w:cs="Arial"/>
                <w:sz w:val="18"/>
                <w:szCs w:val="18"/>
                <w:lang w:eastAsia="cs-CZ"/>
              </w:rPr>
            </w:pPr>
            <w:r w:rsidRPr="00A41A70">
              <w:rPr>
                <w:rFonts w:ascii="Arial Narrow" w:eastAsia="Times New Roman" w:hAnsi="Arial Narrow" w:cs="Arial"/>
                <w:sz w:val="18"/>
                <w:szCs w:val="18"/>
                <w:lang w:eastAsia="cs-CZ"/>
              </w:rPr>
              <w:t>Rusko</w:t>
            </w:r>
          </w:p>
          <w:p w14:paraId="2D464D7A" w14:textId="3F457E96" w:rsidR="008C03A1" w:rsidRPr="00CE357F" w:rsidRDefault="008C03A1" w:rsidP="008C03A1">
            <w:pPr>
              <w:jc w:val="center"/>
              <w:rPr>
                <w:rFonts w:ascii="Arial Narrow" w:eastAsia="Times New Roman" w:hAnsi="Arial Narrow" w:cs="Arial"/>
                <w:sz w:val="18"/>
                <w:szCs w:val="18"/>
                <w:lang w:eastAsia="cs-CZ"/>
              </w:rPr>
            </w:pPr>
            <w:r w:rsidRPr="000B3389">
              <w:rPr>
                <w:rFonts w:ascii="Arial Narrow" w:eastAsia="Times New Roman" w:hAnsi="Arial Narrow" w:cs="Arial"/>
                <w:sz w:val="18"/>
                <w:szCs w:val="18"/>
                <w:lang w:eastAsia="cs-CZ"/>
              </w:rPr>
              <w:t>45 154</w:t>
            </w:r>
          </w:p>
        </w:tc>
        <w:tc>
          <w:tcPr>
            <w:tcW w:w="851" w:type="dxa"/>
            <w:vAlign w:val="center"/>
          </w:tcPr>
          <w:p w14:paraId="68161A54" w14:textId="77777777" w:rsidR="008C03A1" w:rsidRPr="00A41A70" w:rsidRDefault="008C03A1" w:rsidP="008C03A1">
            <w:pPr>
              <w:jc w:val="center"/>
              <w:rPr>
                <w:rFonts w:ascii="Arial Narrow" w:eastAsia="Times New Roman" w:hAnsi="Arial Narrow" w:cs="Arial"/>
                <w:sz w:val="18"/>
                <w:szCs w:val="18"/>
                <w:lang w:eastAsia="cs-CZ"/>
              </w:rPr>
            </w:pPr>
            <w:r w:rsidRPr="00A41A70">
              <w:rPr>
                <w:rFonts w:ascii="Arial Narrow" w:eastAsia="Times New Roman" w:hAnsi="Arial Narrow" w:cs="Arial"/>
                <w:sz w:val="18"/>
                <w:szCs w:val="18"/>
                <w:lang w:eastAsia="cs-CZ"/>
              </w:rPr>
              <w:t>Německo</w:t>
            </w:r>
          </w:p>
          <w:p w14:paraId="7D16FBD6" w14:textId="32FD008D" w:rsidR="008C03A1" w:rsidRPr="00CE357F" w:rsidRDefault="008C03A1" w:rsidP="008C03A1">
            <w:pPr>
              <w:jc w:val="center"/>
              <w:rPr>
                <w:rFonts w:ascii="Arial Narrow" w:eastAsia="Times New Roman" w:hAnsi="Arial Narrow" w:cs="Arial"/>
                <w:sz w:val="18"/>
                <w:szCs w:val="18"/>
                <w:lang w:eastAsia="cs-CZ"/>
              </w:rPr>
            </w:pPr>
            <w:r w:rsidRPr="000B3389">
              <w:rPr>
                <w:rFonts w:ascii="Arial Narrow" w:eastAsia="Times New Roman" w:hAnsi="Arial Narrow" w:cs="Arial"/>
                <w:sz w:val="18"/>
                <w:szCs w:val="18"/>
                <w:lang w:eastAsia="cs-CZ"/>
              </w:rPr>
              <w:t>14 792</w:t>
            </w:r>
          </w:p>
        </w:tc>
        <w:tc>
          <w:tcPr>
            <w:tcW w:w="850" w:type="dxa"/>
            <w:vAlign w:val="center"/>
          </w:tcPr>
          <w:p w14:paraId="2F0AFA9D" w14:textId="77777777" w:rsidR="008C03A1" w:rsidRPr="00A41A70" w:rsidRDefault="008C03A1" w:rsidP="008C03A1">
            <w:pPr>
              <w:jc w:val="center"/>
              <w:rPr>
                <w:rFonts w:ascii="Arial Narrow" w:eastAsia="Times New Roman" w:hAnsi="Arial Narrow" w:cs="Arial"/>
                <w:sz w:val="18"/>
                <w:szCs w:val="18"/>
                <w:lang w:eastAsia="cs-CZ"/>
              </w:rPr>
            </w:pPr>
            <w:r w:rsidRPr="00A41A70">
              <w:rPr>
                <w:rFonts w:ascii="Arial Narrow" w:eastAsia="Times New Roman" w:hAnsi="Arial Narrow" w:cs="Arial"/>
                <w:sz w:val="18"/>
                <w:szCs w:val="18"/>
                <w:lang w:eastAsia="cs-CZ"/>
              </w:rPr>
              <w:t>Polsko</w:t>
            </w:r>
          </w:p>
          <w:p w14:paraId="75C83B9F" w14:textId="533D2742" w:rsidR="008C03A1" w:rsidRPr="00CE357F" w:rsidRDefault="008C03A1" w:rsidP="008C03A1">
            <w:pPr>
              <w:jc w:val="center"/>
              <w:rPr>
                <w:rFonts w:ascii="Arial Narrow" w:eastAsia="Times New Roman" w:hAnsi="Arial Narrow" w:cs="Arial"/>
                <w:sz w:val="18"/>
                <w:szCs w:val="18"/>
                <w:lang w:eastAsia="cs-CZ"/>
              </w:rPr>
            </w:pPr>
            <w:r w:rsidRPr="000B3389">
              <w:rPr>
                <w:rFonts w:ascii="Arial Narrow" w:eastAsia="Times New Roman" w:hAnsi="Arial Narrow" w:cs="Arial"/>
                <w:sz w:val="18"/>
                <w:szCs w:val="18"/>
                <w:lang w:eastAsia="cs-CZ"/>
              </w:rPr>
              <w:t>17 936</w:t>
            </w:r>
          </w:p>
        </w:tc>
        <w:tc>
          <w:tcPr>
            <w:tcW w:w="993" w:type="dxa"/>
            <w:vAlign w:val="center"/>
          </w:tcPr>
          <w:p w14:paraId="6C18011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1DA43EC5" w14:textId="6FEEC1B2" w:rsidR="008C03A1" w:rsidRPr="00CE357F" w:rsidRDefault="008C03A1" w:rsidP="008C03A1">
            <w:pPr>
              <w:jc w:val="center"/>
              <w:rPr>
                <w:rFonts w:ascii="Arial Narrow" w:eastAsia="Times New Roman" w:hAnsi="Arial Narrow" w:cs="Arial"/>
                <w:sz w:val="18"/>
                <w:szCs w:val="18"/>
                <w:lang w:eastAsia="cs-CZ"/>
              </w:rPr>
            </w:pPr>
            <w:r w:rsidRPr="000B3389">
              <w:rPr>
                <w:rFonts w:ascii="Arial Narrow" w:eastAsia="Times New Roman" w:hAnsi="Arial Narrow" w:cs="Arial"/>
                <w:sz w:val="18"/>
                <w:szCs w:val="18"/>
                <w:lang w:eastAsia="cs-CZ"/>
              </w:rPr>
              <w:t>18 806</w:t>
            </w:r>
          </w:p>
        </w:tc>
        <w:tc>
          <w:tcPr>
            <w:tcW w:w="992" w:type="dxa"/>
            <w:vAlign w:val="center"/>
          </w:tcPr>
          <w:p w14:paraId="3589AAB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4108D6B8" w14:textId="7D665131" w:rsidR="008C03A1" w:rsidRPr="00CE357F" w:rsidRDefault="008C03A1" w:rsidP="008C03A1">
            <w:pPr>
              <w:jc w:val="center"/>
              <w:rPr>
                <w:rFonts w:ascii="Arial Narrow" w:eastAsia="Times New Roman" w:hAnsi="Arial Narrow" w:cs="Arial"/>
                <w:sz w:val="18"/>
                <w:szCs w:val="18"/>
                <w:lang w:eastAsia="cs-CZ"/>
              </w:rPr>
            </w:pPr>
            <w:r w:rsidRPr="000B3389">
              <w:rPr>
                <w:rFonts w:ascii="Arial Narrow" w:eastAsia="Times New Roman" w:hAnsi="Arial Narrow" w:cs="Arial"/>
                <w:sz w:val="18"/>
                <w:szCs w:val="18"/>
                <w:lang w:eastAsia="cs-CZ"/>
              </w:rPr>
              <w:t>17 295</w:t>
            </w:r>
          </w:p>
        </w:tc>
        <w:tc>
          <w:tcPr>
            <w:tcW w:w="992" w:type="dxa"/>
            <w:vAlign w:val="center"/>
          </w:tcPr>
          <w:p w14:paraId="5945BF8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Mongolsko</w:t>
            </w:r>
          </w:p>
          <w:p w14:paraId="0B2231CE" w14:textId="63D1B2A0" w:rsidR="008C03A1" w:rsidRPr="00CE357F" w:rsidRDefault="008C03A1" w:rsidP="008C03A1">
            <w:pPr>
              <w:jc w:val="center"/>
              <w:rPr>
                <w:rFonts w:ascii="Arial Narrow" w:eastAsia="Times New Roman" w:hAnsi="Arial Narrow" w:cs="Arial"/>
                <w:sz w:val="18"/>
                <w:szCs w:val="18"/>
                <w:lang w:eastAsia="cs-CZ"/>
              </w:rPr>
            </w:pPr>
            <w:r w:rsidRPr="000B3389">
              <w:rPr>
                <w:rFonts w:ascii="Arial Narrow" w:eastAsia="Times New Roman" w:hAnsi="Arial Narrow" w:cs="Arial"/>
                <w:sz w:val="18"/>
                <w:szCs w:val="18"/>
                <w:lang w:eastAsia="cs-CZ"/>
              </w:rPr>
              <w:t>11 006</w:t>
            </w:r>
          </w:p>
        </w:tc>
      </w:tr>
      <w:tr w:rsidR="008C03A1" w:rsidRPr="00CE357F" w14:paraId="79645D9F" w14:textId="77777777" w:rsidTr="00EC14EC">
        <w:trPr>
          <w:trHeight w:val="397"/>
          <w:jc w:val="center"/>
        </w:trPr>
        <w:tc>
          <w:tcPr>
            <w:tcW w:w="854" w:type="dxa"/>
            <w:shd w:val="clear" w:color="auto" w:fill="D9E2F3" w:themeFill="accent1" w:themeFillTint="33"/>
            <w:vAlign w:val="center"/>
            <w:hideMark/>
          </w:tcPr>
          <w:p w14:paraId="671D8D30"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2020</w:t>
            </w:r>
          </w:p>
        </w:tc>
        <w:tc>
          <w:tcPr>
            <w:tcW w:w="850" w:type="dxa"/>
            <w:shd w:val="clear" w:color="auto" w:fill="F8ECEC"/>
            <w:vAlign w:val="center"/>
          </w:tcPr>
          <w:p w14:paraId="73BE6923" w14:textId="77777777"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b/>
                <w:bCs/>
                <w:sz w:val="18"/>
                <w:szCs w:val="18"/>
                <w:lang w:eastAsia="cs-CZ"/>
              </w:rPr>
              <w:t>Ukrajina</w:t>
            </w:r>
          </w:p>
          <w:p w14:paraId="6AD469D6" w14:textId="77777777" w:rsidR="008C03A1" w:rsidRPr="008C03A1" w:rsidRDefault="008C03A1" w:rsidP="008C03A1">
            <w:pPr>
              <w:jc w:val="center"/>
              <w:rPr>
                <w:rFonts w:ascii="Arial Narrow" w:eastAsia="Times New Roman" w:hAnsi="Arial Narrow" w:cs="Arial"/>
                <w:sz w:val="18"/>
                <w:szCs w:val="18"/>
                <w:lang w:eastAsia="cs-CZ"/>
              </w:rPr>
            </w:pPr>
            <w:r w:rsidRPr="008C03A1">
              <w:rPr>
                <w:rFonts w:ascii="Arial Narrow" w:eastAsia="Times New Roman" w:hAnsi="Arial Narrow" w:cs="Arial"/>
                <w:sz w:val="18"/>
                <w:szCs w:val="18"/>
                <w:lang w:eastAsia="cs-CZ"/>
              </w:rPr>
              <w:t>165 356</w:t>
            </w:r>
          </w:p>
        </w:tc>
        <w:tc>
          <w:tcPr>
            <w:tcW w:w="993" w:type="dxa"/>
            <w:shd w:val="clear" w:color="auto" w:fill="F8ECEC"/>
            <w:vAlign w:val="center"/>
          </w:tcPr>
          <w:p w14:paraId="71ED15F9" w14:textId="77777777"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b/>
                <w:bCs/>
                <w:sz w:val="18"/>
                <w:szCs w:val="18"/>
                <w:lang w:eastAsia="cs-CZ"/>
              </w:rPr>
              <w:t>Slovensko</w:t>
            </w:r>
          </w:p>
          <w:p w14:paraId="2F70EC91" w14:textId="77777777" w:rsidR="008C03A1" w:rsidRPr="008C03A1" w:rsidRDefault="008C03A1" w:rsidP="008C03A1">
            <w:pPr>
              <w:jc w:val="center"/>
              <w:rPr>
                <w:rFonts w:ascii="Arial Narrow" w:eastAsia="Times New Roman" w:hAnsi="Arial Narrow" w:cs="Arial"/>
                <w:sz w:val="18"/>
                <w:szCs w:val="18"/>
                <w:lang w:eastAsia="cs-CZ"/>
              </w:rPr>
            </w:pPr>
            <w:r w:rsidRPr="008C03A1">
              <w:rPr>
                <w:rFonts w:ascii="Arial Narrow" w:eastAsia="Times New Roman" w:hAnsi="Arial Narrow" w:cs="Arial"/>
                <w:sz w:val="18"/>
                <w:szCs w:val="18"/>
                <w:lang w:eastAsia="cs-CZ"/>
              </w:rPr>
              <w:t>124 544</w:t>
            </w:r>
          </w:p>
        </w:tc>
        <w:tc>
          <w:tcPr>
            <w:tcW w:w="850" w:type="dxa"/>
            <w:shd w:val="clear" w:color="auto" w:fill="F8ECEC"/>
            <w:vAlign w:val="center"/>
          </w:tcPr>
          <w:p w14:paraId="1A303AF0" w14:textId="77777777" w:rsidR="008C03A1" w:rsidRPr="008C03A1" w:rsidRDefault="008C03A1" w:rsidP="008C03A1">
            <w:pPr>
              <w:jc w:val="center"/>
              <w:rPr>
                <w:rFonts w:ascii="Arial Narrow" w:eastAsia="Times New Roman" w:hAnsi="Arial Narrow" w:cs="Arial"/>
                <w:b/>
                <w:bCs/>
                <w:sz w:val="18"/>
                <w:szCs w:val="18"/>
                <w:lang w:eastAsia="cs-CZ"/>
              </w:rPr>
            </w:pPr>
            <w:r w:rsidRPr="008C03A1">
              <w:rPr>
                <w:rFonts w:ascii="Arial Narrow" w:eastAsia="Times New Roman" w:hAnsi="Arial Narrow" w:cs="Arial"/>
                <w:b/>
                <w:bCs/>
                <w:sz w:val="18"/>
                <w:szCs w:val="18"/>
                <w:lang w:eastAsia="cs-CZ"/>
              </w:rPr>
              <w:t>Vietnam</w:t>
            </w:r>
          </w:p>
          <w:p w14:paraId="4751CEDF" w14:textId="77777777" w:rsidR="008C03A1" w:rsidRPr="008C03A1" w:rsidRDefault="008C03A1" w:rsidP="008C03A1">
            <w:pPr>
              <w:jc w:val="center"/>
              <w:rPr>
                <w:rFonts w:ascii="Arial Narrow" w:eastAsia="Times New Roman" w:hAnsi="Arial Narrow" w:cs="Arial"/>
                <w:sz w:val="18"/>
                <w:szCs w:val="18"/>
                <w:lang w:eastAsia="cs-CZ"/>
              </w:rPr>
            </w:pPr>
            <w:r w:rsidRPr="008C03A1">
              <w:rPr>
                <w:rFonts w:ascii="Arial Narrow" w:eastAsia="Times New Roman" w:hAnsi="Arial Narrow" w:cs="Arial"/>
                <w:sz w:val="18"/>
                <w:szCs w:val="18"/>
                <w:lang w:eastAsia="cs-CZ"/>
              </w:rPr>
              <w:t>62 842</w:t>
            </w:r>
          </w:p>
        </w:tc>
        <w:tc>
          <w:tcPr>
            <w:tcW w:w="708" w:type="dxa"/>
            <w:vAlign w:val="center"/>
          </w:tcPr>
          <w:p w14:paraId="287A180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6EF7B3C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41 692</w:t>
            </w:r>
          </w:p>
        </w:tc>
        <w:tc>
          <w:tcPr>
            <w:tcW w:w="851" w:type="dxa"/>
            <w:vAlign w:val="center"/>
          </w:tcPr>
          <w:p w14:paraId="2FB8DC3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61E42A3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20 861</w:t>
            </w:r>
          </w:p>
        </w:tc>
        <w:tc>
          <w:tcPr>
            <w:tcW w:w="850" w:type="dxa"/>
            <w:vAlign w:val="center"/>
          </w:tcPr>
          <w:p w14:paraId="0934D88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4B63644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20 733</w:t>
            </w:r>
          </w:p>
        </w:tc>
        <w:tc>
          <w:tcPr>
            <w:tcW w:w="993" w:type="dxa"/>
            <w:vAlign w:val="center"/>
          </w:tcPr>
          <w:p w14:paraId="3F0A91D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138AD39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18 396</w:t>
            </w:r>
          </w:p>
        </w:tc>
        <w:tc>
          <w:tcPr>
            <w:tcW w:w="992" w:type="dxa"/>
            <w:vAlign w:val="center"/>
          </w:tcPr>
          <w:p w14:paraId="4FE3BE1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6F01473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17 917</w:t>
            </w:r>
          </w:p>
        </w:tc>
        <w:tc>
          <w:tcPr>
            <w:tcW w:w="992" w:type="dxa"/>
            <w:vAlign w:val="center"/>
          </w:tcPr>
          <w:p w14:paraId="1F15B2F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Mongolsko</w:t>
            </w:r>
          </w:p>
          <w:p w14:paraId="1E7E969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10 135</w:t>
            </w:r>
          </w:p>
        </w:tc>
      </w:tr>
      <w:tr w:rsidR="008C03A1" w:rsidRPr="00CE357F" w14:paraId="649D2BFB" w14:textId="77777777" w:rsidTr="00EC14EC">
        <w:trPr>
          <w:trHeight w:val="397"/>
          <w:jc w:val="center"/>
        </w:trPr>
        <w:tc>
          <w:tcPr>
            <w:tcW w:w="854" w:type="dxa"/>
            <w:shd w:val="clear" w:color="auto" w:fill="D9E2F3" w:themeFill="accent1" w:themeFillTint="33"/>
            <w:vAlign w:val="center"/>
            <w:hideMark/>
          </w:tcPr>
          <w:p w14:paraId="1A688823"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2019</w:t>
            </w:r>
          </w:p>
        </w:tc>
        <w:tc>
          <w:tcPr>
            <w:tcW w:w="850" w:type="dxa"/>
            <w:shd w:val="clear" w:color="auto" w:fill="F8ECEC"/>
            <w:vAlign w:val="center"/>
          </w:tcPr>
          <w:p w14:paraId="373B656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7CAF081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145 153</w:t>
            </w:r>
          </w:p>
        </w:tc>
        <w:tc>
          <w:tcPr>
            <w:tcW w:w="993" w:type="dxa"/>
            <w:shd w:val="clear" w:color="auto" w:fill="F8ECEC"/>
            <w:vAlign w:val="center"/>
          </w:tcPr>
          <w:p w14:paraId="61D595F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59E6450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121 278</w:t>
            </w:r>
          </w:p>
        </w:tc>
        <w:tc>
          <w:tcPr>
            <w:tcW w:w="850" w:type="dxa"/>
            <w:shd w:val="clear" w:color="auto" w:fill="F8ECEC"/>
            <w:vAlign w:val="center"/>
          </w:tcPr>
          <w:p w14:paraId="71F3B8E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w:t>
            </w:r>
          </w:p>
          <w:p w14:paraId="2E0A0E3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61 910</w:t>
            </w:r>
          </w:p>
        </w:tc>
        <w:tc>
          <w:tcPr>
            <w:tcW w:w="708" w:type="dxa"/>
            <w:vAlign w:val="center"/>
          </w:tcPr>
          <w:p w14:paraId="52D08E7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25F6BC2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38 010</w:t>
            </w:r>
          </w:p>
        </w:tc>
        <w:tc>
          <w:tcPr>
            <w:tcW w:w="851" w:type="dxa"/>
            <w:vAlign w:val="center"/>
          </w:tcPr>
          <w:p w14:paraId="059C27B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52AC564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21 767</w:t>
            </w:r>
          </w:p>
        </w:tc>
        <w:tc>
          <w:tcPr>
            <w:tcW w:w="850" w:type="dxa"/>
            <w:vAlign w:val="center"/>
          </w:tcPr>
          <w:p w14:paraId="3876772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33C5BDB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21 478</w:t>
            </w:r>
          </w:p>
        </w:tc>
        <w:tc>
          <w:tcPr>
            <w:tcW w:w="993" w:type="dxa"/>
            <w:vAlign w:val="center"/>
          </w:tcPr>
          <w:p w14:paraId="440C690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2B251C7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17 183</w:t>
            </w:r>
          </w:p>
        </w:tc>
        <w:tc>
          <w:tcPr>
            <w:tcW w:w="992" w:type="dxa"/>
            <w:vAlign w:val="center"/>
          </w:tcPr>
          <w:p w14:paraId="49C0BCB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0213C18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16 824</w:t>
            </w:r>
          </w:p>
        </w:tc>
        <w:tc>
          <w:tcPr>
            <w:tcW w:w="992" w:type="dxa"/>
            <w:vAlign w:val="center"/>
          </w:tcPr>
          <w:p w14:paraId="4AF2EDE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1C3971E6" w14:textId="77777777" w:rsidTr="00EC14EC">
        <w:trPr>
          <w:trHeight w:val="397"/>
          <w:jc w:val="center"/>
        </w:trPr>
        <w:tc>
          <w:tcPr>
            <w:tcW w:w="854" w:type="dxa"/>
            <w:shd w:val="clear" w:color="auto" w:fill="D9E2F3" w:themeFill="accent1" w:themeFillTint="33"/>
            <w:vAlign w:val="center"/>
            <w:hideMark/>
          </w:tcPr>
          <w:p w14:paraId="7CAD1917"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2018</w:t>
            </w:r>
          </w:p>
        </w:tc>
        <w:tc>
          <w:tcPr>
            <w:tcW w:w="850" w:type="dxa"/>
            <w:shd w:val="clear" w:color="auto" w:fill="F8ECEC"/>
            <w:vAlign w:val="center"/>
          </w:tcPr>
          <w:p w14:paraId="17A8908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38BE3B2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131 302</w:t>
            </w:r>
          </w:p>
        </w:tc>
        <w:tc>
          <w:tcPr>
            <w:tcW w:w="993" w:type="dxa"/>
            <w:shd w:val="clear" w:color="auto" w:fill="F8ECEC"/>
            <w:vAlign w:val="center"/>
          </w:tcPr>
          <w:p w14:paraId="74F111E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5F489B9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116 817</w:t>
            </w:r>
          </w:p>
        </w:tc>
        <w:tc>
          <w:tcPr>
            <w:tcW w:w="850" w:type="dxa"/>
            <w:shd w:val="clear" w:color="auto" w:fill="F8ECEC"/>
            <w:vAlign w:val="center"/>
          </w:tcPr>
          <w:p w14:paraId="7F86C7F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w:t>
            </w:r>
          </w:p>
          <w:p w14:paraId="70B38C6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61 097</w:t>
            </w:r>
          </w:p>
        </w:tc>
        <w:tc>
          <w:tcPr>
            <w:tcW w:w="708" w:type="dxa"/>
            <w:vAlign w:val="center"/>
          </w:tcPr>
          <w:p w14:paraId="331E348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28D28C5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38 033</w:t>
            </w:r>
          </w:p>
        </w:tc>
        <w:tc>
          <w:tcPr>
            <w:tcW w:w="851" w:type="dxa"/>
            <w:vAlign w:val="center"/>
          </w:tcPr>
          <w:p w14:paraId="305EC94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3F5BD92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21 279</w:t>
            </w:r>
          </w:p>
        </w:tc>
        <w:tc>
          <w:tcPr>
            <w:tcW w:w="850" w:type="dxa"/>
            <w:vAlign w:val="center"/>
          </w:tcPr>
          <w:p w14:paraId="41A6370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209B136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21 267</w:t>
            </w:r>
          </w:p>
        </w:tc>
        <w:tc>
          <w:tcPr>
            <w:tcW w:w="993" w:type="dxa"/>
            <w:vAlign w:val="center"/>
          </w:tcPr>
          <w:p w14:paraId="7843AE1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577B264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15 593</w:t>
            </w:r>
          </w:p>
        </w:tc>
        <w:tc>
          <w:tcPr>
            <w:tcW w:w="992" w:type="dxa"/>
            <w:vAlign w:val="center"/>
          </w:tcPr>
          <w:p w14:paraId="2A78AEB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72D26C8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14 684</w:t>
            </w:r>
          </w:p>
        </w:tc>
        <w:tc>
          <w:tcPr>
            <w:tcW w:w="992" w:type="dxa"/>
            <w:vAlign w:val="center"/>
          </w:tcPr>
          <w:p w14:paraId="0D9B5C8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1F011410" w14:textId="77777777" w:rsidTr="00EC14EC">
        <w:trPr>
          <w:trHeight w:val="397"/>
          <w:jc w:val="center"/>
        </w:trPr>
        <w:tc>
          <w:tcPr>
            <w:tcW w:w="854" w:type="dxa"/>
            <w:shd w:val="clear" w:color="auto" w:fill="D9E2F3" w:themeFill="accent1" w:themeFillTint="33"/>
            <w:vAlign w:val="center"/>
            <w:hideMark/>
          </w:tcPr>
          <w:p w14:paraId="62D349A3"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2017</w:t>
            </w:r>
          </w:p>
        </w:tc>
        <w:tc>
          <w:tcPr>
            <w:tcW w:w="850" w:type="dxa"/>
            <w:shd w:val="clear" w:color="auto" w:fill="F8ECEC"/>
            <w:vAlign w:val="center"/>
          </w:tcPr>
          <w:p w14:paraId="5EBCDE2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0EA4A77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117 061</w:t>
            </w:r>
          </w:p>
        </w:tc>
        <w:tc>
          <w:tcPr>
            <w:tcW w:w="993" w:type="dxa"/>
            <w:shd w:val="clear" w:color="auto" w:fill="F8ECEC"/>
            <w:vAlign w:val="center"/>
          </w:tcPr>
          <w:p w14:paraId="5DB9336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24F5F8F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111 804</w:t>
            </w:r>
          </w:p>
        </w:tc>
        <w:tc>
          <w:tcPr>
            <w:tcW w:w="850" w:type="dxa"/>
            <w:shd w:val="clear" w:color="auto" w:fill="F8ECEC"/>
            <w:vAlign w:val="center"/>
          </w:tcPr>
          <w:p w14:paraId="0B5C1F6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w:t>
            </w:r>
          </w:p>
          <w:p w14:paraId="682E655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59 761</w:t>
            </w:r>
          </w:p>
        </w:tc>
        <w:tc>
          <w:tcPr>
            <w:tcW w:w="708" w:type="dxa"/>
            <w:vAlign w:val="center"/>
          </w:tcPr>
          <w:p w14:paraId="56F1FAF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1C36B3F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36 642</w:t>
            </w:r>
          </w:p>
        </w:tc>
        <w:tc>
          <w:tcPr>
            <w:tcW w:w="851" w:type="dxa"/>
            <w:vAlign w:val="center"/>
          </w:tcPr>
          <w:p w14:paraId="79A2244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5C57928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21 261</w:t>
            </w:r>
          </w:p>
        </w:tc>
        <w:tc>
          <w:tcPr>
            <w:tcW w:w="850" w:type="dxa"/>
            <w:vAlign w:val="center"/>
          </w:tcPr>
          <w:p w14:paraId="269E6A1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2657DA2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20 669</w:t>
            </w:r>
          </w:p>
        </w:tc>
        <w:tc>
          <w:tcPr>
            <w:tcW w:w="993" w:type="dxa"/>
            <w:vAlign w:val="center"/>
          </w:tcPr>
          <w:p w14:paraId="1358EB0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553E263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13 795</w:t>
            </w:r>
          </w:p>
        </w:tc>
        <w:tc>
          <w:tcPr>
            <w:tcW w:w="992" w:type="dxa"/>
            <w:vAlign w:val="center"/>
          </w:tcPr>
          <w:p w14:paraId="4C4DEE2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64B6B2B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12 562</w:t>
            </w:r>
          </w:p>
        </w:tc>
        <w:tc>
          <w:tcPr>
            <w:tcW w:w="992" w:type="dxa"/>
            <w:vAlign w:val="center"/>
          </w:tcPr>
          <w:p w14:paraId="4FF2570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597EF61C" w14:textId="77777777" w:rsidTr="00EC14EC">
        <w:trPr>
          <w:trHeight w:val="397"/>
          <w:jc w:val="center"/>
        </w:trPr>
        <w:tc>
          <w:tcPr>
            <w:tcW w:w="854" w:type="dxa"/>
            <w:shd w:val="clear" w:color="auto" w:fill="D9E2F3" w:themeFill="accent1" w:themeFillTint="33"/>
            <w:vAlign w:val="center"/>
            <w:hideMark/>
          </w:tcPr>
          <w:p w14:paraId="076B7AF7"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2016</w:t>
            </w:r>
          </w:p>
        </w:tc>
        <w:tc>
          <w:tcPr>
            <w:tcW w:w="850" w:type="dxa"/>
            <w:shd w:val="clear" w:color="auto" w:fill="F8ECEC"/>
            <w:vAlign w:val="center"/>
          </w:tcPr>
          <w:p w14:paraId="4158FE5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0E223AA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109 850</w:t>
            </w:r>
          </w:p>
        </w:tc>
        <w:tc>
          <w:tcPr>
            <w:tcW w:w="993" w:type="dxa"/>
            <w:shd w:val="clear" w:color="auto" w:fill="F8ECEC"/>
            <w:vAlign w:val="center"/>
          </w:tcPr>
          <w:p w14:paraId="5231EE5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6091643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107 251</w:t>
            </w:r>
          </w:p>
        </w:tc>
        <w:tc>
          <w:tcPr>
            <w:tcW w:w="850" w:type="dxa"/>
            <w:shd w:val="clear" w:color="auto" w:fill="F8ECEC"/>
            <w:vAlign w:val="center"/>
          </w:tcPr>
          <w:p w14:paraId="44BF297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w:t>
            </w:r>
          </w:p>
          <w:p w14:paraId="74A681A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58 025</w:t>
            </w:r>
          </w:p>
        </w:tc>
        <w:tc>
          <w:tcPr>
            <w:tcW w:w="708" w:type="dxa"/>
            <w:vAlign w:val="center"/>
          </w:tcPr>
          <w:p w14:paraId="32C8280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43B457E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35 759</w:t>
            </w:r>
          </w:p>
        </w:tc>
        <w:tc>
          <w:tcPr>
            <w:tcW w:w="851" w:type="dxa"/>
            <w:vAlign w:val="center"/>
          </w:tcPr>
          <w:p w14:paraId="789D1E1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3E977A9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21 216</w:t>
            </w:r>
          </w:p>
        </w:tc>
        <w:tc>
          <w:tcPr>
            <w:tcW w:w="850" w:type="dxa"/>
            <w:vAlign w:val="center"/>
          </w:tcPr>
          <w:p w14:paraId="5447F6C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67D257E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20 305</w:t>
            </w:r>
          </w:p>
        </w:tc>
        <w:tc>
          <w:tcPr>
            <w:tcW w:w="993" w:type="dxa"/>
            <w:vAlign w:val="center"/>
          </w:tcPr>
          <w:p w14:paraId="0B821FB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1A0691A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12 250</w:t>
            </w:r>
          </w:p>
        </w:tc>
        <w:tc>
          <w:tcPr>
            <w:tcW w:w="992" w:type="dxa"/>
            <w:vAlign w:val="center"/>
          </w:tcPr>
          <w:p w14:paraId="090FABE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3941D79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10 826</w:t>
            </w:r>
          </w:p>
        </w:tc>
        <w:tc>
          <w:tcPr>
            <w:tcW w:w="992" w:type="dxa"/>
            <w:vAlign w:val="center"/>
          </w:tcPr>
          <w:p w14:paraId="2DF98C0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6FF83439" w14:textId="77777777" w:rsidTr="00EC14EC">
        <w:trPr>
          <w:trHeight w:val="397"/>
          <w:jc w:val="center"/>
        </w:trPr>
        <w:tc>
          <w:tcPr>
            <w:tcW w:w="854" w:type="dxa"/>
            <w:shd w:val="clear" w:color="auto" w:fill="D9E2F3" w:themeFill="accent1" w:themeFillTint="33"/>
            <w:vAlign w:val="center"/>
            <w:hideMark/>
          </w:tcPr>
          <w:p w14:paraId="76B48821"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2015</w:t>
            </w:r>
          </w:p>
        </w:tc>
        <w:tc>
          <w:tcPr>
            <w:tcW w:w="850" w:type="dxa"/>
            <w:shd w:val="clear" w:color="auto" w:fill="F8ECEC"/>
            <w:vAlign w:val="center"/>
          </w:tcPr>
          <w:p w14:paraId="06D752C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0D8F484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105 614</w:t>
            </w:r>
          </w:p>
        </w:tc>
        <w:tc>
          <w:tcPr>
            <w:tcW w:w="993" w:type="dxa"/>
            <w:shd w:val="clear" w:color="auto" w:fill="F8ECEC"/>
            <w:vAlign w:val="center"/>
          </w:tcPr>
          <w:p w14:paraId="4CD4972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12B8427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101 589</w:t>
            </w:r>
          </w:p>
        </w:tc>
        <w:tc>
          <w:tcPr>
            <w:tcW w:w="850" w:type="dxa"/>
            <w:shd w:val="clear" w:color="auto" w:fill="F8ECEC"/>
            <w:vAlign w:val="center"/>
          </w:tcPr>
          <w:p w14:paraId="41DB5E2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w:t>
            </w:r>
          </w:p>
          <w:p w14:paraId="17B890A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56 900</w:t>
            </w:r>
          </w:p>
        </w:tc>
        <w:tc>
          <w:tcPr>
            <w:tcW w:w="708" w:type="dxa"/>
            <w:vAlign w:val="center"/>
          </w:tcPr>
          <w:p w14:paraId="1E9157B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48DFD30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34 710</w:t>
            </w:r>
          </w:p>
        </w:tc>
        <w:tc>
          <w:tcPr>
            <w:tcW w:w="851" w:type="dxa"/>
            <w:vAlign w:val="center"/>
          </w:tcPr>
          <w:p w14:paraId="4DAFF74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72AD638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20 464</w:t>
            </w:r>
          </w:p>
        </w:tc>
        <w:tc>
          <w:tcPr>
            <w:tcW w:w="850" w:type="dxa"/>
            <w:vAlign w:val="center"/>
          </w:tcPr>
          <w:p w14:paraId="00D0605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550C3D2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19 840</w:t>
            </w:r>
          </w:p>
        </w:tc>
        <w:tc>
          <w:tcPr>
            <w:tcW w:w="993" w:type="dxa"/>
            <w:vAlign w:val="center"/>
          </w:tcPr>
          <w:p w14:paraId="5193A5D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284DFAC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10 984</w:t>
            </w:r>
          </w:p>
        </w:tc>
        <w:tc>
          <w:tcPr>
            <w:tcW w:w="992" w:type="dxa"/>
            <w:vAlign w:val="center"/>
          </w:tcPr>
          <w:p w14:paraId="529A7DA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0BD470C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288BCB99" w14:textId="77777777" w:rsidTr="00EC14EC">
        <w:trPr>
          <w:trHeight w:val="397"/>
          <w:jc w:val="center"/>
        </w:trPr>
        <w:tc>
          <w:tcPr>
            <w:tcW w:w="854" w:type="dxa"/>
            <w:shd w:val="clear" w:color="auto" w:fill="D9E2F3" w:themeFill="accent1" w:themeFillTint="33"/>
            <w:vAlign w:val="center"/>
            <w:hideMark/>
          </w:tcPr>
          <w:p w14:paraId="1FF8610D"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2014</w:t>
            </w:r>
          </w:p>
        </w:tc>
        <w:tc>
          <w:tcPr>
            <w:tcW w:w="850" w:type="dxa"/>
            <w:shd w:val="clear" w:color="auto" w:fill="F8ECEC"/>
            <w:vAlign w:val="center"/>
          </w:tcPr>
          <w:p w14:paraId="16AFEA6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75BFE0C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104 156</w:t>
            </w:r>
          </w:p>
        </w:tc>
        <w:tc>
          <w:tcPr>
            <w:tcW w:w="993" w:type="dxa"/>
            <w:shd w:val="clear" w:color="auto" w:fill="F8ECEC"/>
            <w:vAlign w:val="center"/>
          </w:tcPr>
          <w:p w14:paraId="5D1F4C6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14C3972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96 222</w:t>
            </w:r>
          </w:p>
        </w:tc>
        <w:tc>
          <w:tcPr>
            <w:tcW w:w="850" w:type="dxa"/>
            <w:shd w:val="clear" w:color="auto" w:fill="F8ECEC"/>
            <w:vAlign w:val="center"/>
          </w:tcPr>
          <w:p w14:paraId="2E89F3A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w:t>
            </w:r>
          </w:p>
          <w:p w14:paraId="7D54402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56 609</w:t>
            </w:r>
          </w:p>
        </w:tc>
        <w:tc>
          <w:tcPr>
            <w:tcW w:w="708" w:type="dxa"/>
            <w:vAlign w:val="center"/>
          </w:tcPr>
          <w:p w14:paraId="242D074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6E7C3DB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34 416</w:t>
            </w:r>
          </w:p>
        </w:tc>
        <w:tc>
          <w:tcPr>
            <w:tcW w:w="851" w:type="dxa"/>
            <w:vAlign w:val="center"/>
          </w:tcPr>
          <w:p w14:paraId="2F58DEB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7F65CE4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19 687</w:t>
            </w:r>
          </w:p>
        </w:tc>
        <w:tc>
          <w:tcPr>
            <w:tcW w:w="850" w:type="dxa"/>
            <w:vAlign w:val="center"/>
          </w:tcPr>
          <w:p w14:paraId="7FA8516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774829A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19 626</w:t>
            </w:r>
          </w:p>
        </w:tc>
        <w:tc>
          <w:tcPr>
            <w:tcW w:w="993" w:type="dxa"/>
            <w:vAlign w:val="center"/>
          </w:tcPr>
          <w:p w14:paraId="26728C9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1387404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10 058</w:t>
            </w:r>
          </w:p>
        </w:tc>
        <w:tc>
          <w:tcPr>
            <w:tcW w:w="992" w:type="dxa"/>
            <w:vAlign w:val="center"/>
          </w:tcPr>
          <w:p w14:paraId="46B91CE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4696F6E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7AB4E1FC" w14:textId="77777777" w:rsidTr="00EC14EC">
        <w:trPr>
          <w:trHeight w:val="397"/>
          <w:jc w:val="center"/>
        </w:trPr>
        <w:tc>
          <w:tcPr>
            <w:tcW w:w="854" w:type="dxa"/>
            <w:shd w:val="clear" w:color="auto" w:fill="D9E2F3" w:themeFill="accent1" w:themeFillTint="33"/>
            <w:vAlign w:val="center"/>
            <w:hideMark/>
          </w:tcPr>
          <w:p w14:paraId="160E7CD5"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2013</w:t>
            </w:r>
          </w:p>
        </w:tc>
        <w:tc>
          <w:tcPr>
            <w:tcW w:w="850" w:type="dxa"/>
            <w:shd w:val="clear" w:color="auto" w:fill="F8ECEC"/>
            <w:vAlign w:val="center"/>
          </w:tcPr>
          <w:p w14:paraId="44D7BF7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23D8E1A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105 138</w:t>
            </w:r>
          </w:p>
        </w:tc>
        <w:tc>
          <w:tcPr>
            <w:tcW w:w="993" w:type="dxa"/>
            <w:shd w:val="clear" w:color="auto" w:fill="F8ECEC"/>
            <w:vAlign w:val="center"/>
          </w:tcPr>
          <w:p w14:paraId="525621C1" w14:textId="1F91DFBD" w:rsidR="008C03A1" w:rsidRPr="00CE357F" w:rsidRDefault="008C03A1" w:rsidP="008C03A1">
            <w:pP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90 948</w:t>
            </w:r>
          </w:p>
        </w:tc>
        <w:tc>
          <w:tcPr>
            <w:tcW w:w="850" w:type="dxa"/>
            <w:shd w:val="clear" w:color="auto" w:fill="F8ECEC"/>
            <w:vAlign w:val="center"/>
          </w:tcPr>
          <w:p w14:paraId="4D59D1A3" w14:textId="24207A52"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w:t>
            </w:r>
            <w:r>
              <w:rPr>
                <w:rFonts w:ascii="Arial Narrow" w:eastAsia="Times New Roman" w:hAnsi="Arial Narrow" w:cs="Arial"/>
                <w:sz w:val="18"/>
                <w:szCs w:val="18"/>
                <w:lang w:eastAsia="cs-CZ"/>
              </w:rPr>
              <w:t xml:space="preserve"> </w:t>
            </w:r>
            <w:r w:rsidRPr="00CE357F">
              <w:rPr>
                <w:rFonts w:ascii="Arial Narrow" w:eastAsia="Times New Roman" w:hAnsi="Arial Narrow" w:cs="Arial"/>
                <w:sz w:val="18"/>
                <w:szCs w:val="18"/>
                <w:lang w:eastAsia="cs-CZ"/>
              </w:rPr>
              <w:t>57 347</w:t>
            </w:r>
          </w:p>
        </w:tc>
        <w:tc>
          <w:tcPr>
            <w:tcW w:w="708" w:type="dxa"/>
            <w:vAlign w:val="center"/>
          </w:tcPr>
          <w:p w14:paraId="09CC42F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7C31D50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33 138</w:t>
            </w:r>
          </w:p>
        </w:tc>
        <w:tc>
          <w:tcPr>
            <w:tcW w:w="851" w:type="dxa"/>
            <w:vAlign w:val="center"/>
          </w:tcPr>
          <w:p w14:paraId="1EC6121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2FB1883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19 452</w:t>
            </w:r>
          </w:p>
        </w:tc>
        <w:tc>
          <w:tcPr>
            <w:tcW w:w="850" w:type="dxa"/>
            <w:vAlign w:val="center"/>
          </w:tcPr>
          <w:p w14:paraId="48C3DA8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1CA4705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18 507</w:t>
            </w:r>
          </w:p>
        </w:tc>
        <w:tc>
          <w:tcPr>
            <w:tcW w:w="993" w:type="dxa"/>
            <w:vAlign w:val="center"/>
          </w:tcPr>
          <w:p w14:paraId="6B76DC5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49F0304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1E77F31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096E671D" w14:textId="77777777" w:rsidTr="00EC14EC">
        <w:trPr>
          <w:trHeight w:val="397"/>
          <w:jc w:val="center"/>
        </w:trPr>
        <w:tc>
          <w:tcPr>
            <w:tcW w:w="854" w:type="dxa"/>
            <w:shd w:val="clear" w:color="auto" w:fill="D9E2F3" w:themeFill="accent1" w:themeFillTint="33"/>
            <w:vAlign w:val="center"/>
            <w:hideMark/>
          </w:tcPr>
          <w:p w14:paraId="084E88B2"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2012</w:t>
            </w:r>
          </w:p>
        </w:tc>
        <w:tc>
          <w:tcPr>
            <w:tcW w:w="850" w:type="dxa"/>
            <w:shd w:val="clear" w:color="auto" w:fill="F8ECEC"/>
            <w:vAlign w:val="center"/>
          </w:tcPr>
          <w:p w14:paraId="47DEC9C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112 549</w:t>
            </w:r>
          </w:p>
        </w:tc>
        <w:tc>
          <w:tcPr>
            <w:tcW w:w="993" w:type="dxa"/>
            <w:shd w:val="clear" w:color="auto" w:fill="F8ECEC"/>
            <w:vAlign w:val="center"/>
          </w:tcPr>
          <w:p w14:paraId="48F01BE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85 807</w:t>
            </w:r>
          </w:p>
        </w:tc>
        <w:tc>
          <w:tcPr>
            <w:tcW w:w="850" w:type="dxa"/>
            <w:shd w:val="clear" w:color="auto" w:fill="F8ECEC"/>
            <w:vAlign w:val="center"/>
          </w:tcPr>
          <w:p w14:paraId="3E6B5EB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57 300</w:t>
            </w:r>
          </w:p>
        </w:tc>
        <w:tc>
          <w:tcPr>
            <w:tcW w:w="708" w:type="dxa"/>
            <w:vAlign w:val="center"/>
          </w:tcPr>
          <w:p w14:paraId="381E28C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780EB23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32 961</w:t>
            </w:r>
          </w:p>
        </w:tc>
        <w:tc>
          <w:tcPr>
            <w:tcW w:w="851" w:type="dxa"/>
            <w:vAlign w:val="center"/>
          </w:tcPr>
          <w:p w14:paraId="66D76E4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71AE572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19 235</w:t>
            </w:r>
          </w:p>
        </w:tc>
        <w:tc>
          <w:tcPr>
            <w:tcW w:w="850" w:type="dxa"/>
            <w:vAlign w:val="center"/>
          </w:tcPr>
          <w:p w14:paraId="485290A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2284C2C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17 149</w:t>
            </w:r>
          </w:p>
        </w:tc>
        <w:tc>
          <w:tcPr>
            <w:tcW w:w="993" w:type="dxa"/>
            <w:vAlign w:val="center"/>
          </w:tcPr>
          <w:p w14:paraId="5A30C07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1B54078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01B149F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5CDE0203" w14:textId="77777777" w:rsidTr="00EC14EC">
        <w:trPr>
          <w:trHeight w:val="397"/>
          <w:jc w:val="center"/>
        </w:trPr>
        <w:tc>
          <w:tcPr>
            <w:tcW w:w="854" w:type="dxa"/>
            <w:shd w:val="clear" w:color="auto" w:fill="D9E2F3" w:themeFill="accent1" w:themeFillTint="33"/>
            <w:vAlign w:val="center"/>
            <w:hideMark/>
          </w:tcPr>
          <w:p w14:paraId="6B767EBB"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2011</w:t>
            </w:r>
          </w:p>
        </w:tc>
        <w:tc>
          <w:tcPr>
            <w:tcW w:w="850" w:type="dxa"/>
            <w:shd w:val="clear" w:color="auto" w:fill="F8ECEC"/>
            <w:vAlign w:val="center"/>
          </w:tcPr>
          <w:p w14:paraId="3BE8A96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118 932</w:t>
            </w:r>
          </w:p>
        </w:tc>
        <w:tc>
          <w:tcPr>
            <w:tcW w:w="993" w:type="dxa"/>
            <w:shd w:val="clear" w:color="auto" w:fill="F8ECEC"/>
            <w:vAlign w:val="center"/>
          </w:tcPr>
          <w:p w14:paraId="67B8EC6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81 253</w:t>
            </w:r>
          </w:p>
        </w:tc>
        <w:tc>
          <w:tcPr>
            <w:tcW w:w="850" w:type="dxa"/>
            <w:shd w:val="clear" w:color="auto" w:fill="F8ECEC"/>
            <w:vAlign w:val="center"/>
          </w:tcPr>
          <w:p w14:paraId="3C52068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58 205</w:t>
            </w:r>
          </w:p>
        </w:tc>
        <w:tc>
          <w:tcPr>
            <w:tcW w:w="708" w:type="dxa"/>
            <w:vAlign w:val="center"/>
          </w:tcPr>
          <w:p w14:paraId="31D1647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49076FD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32 377</w:t>
            </w:r>
          </w:p>
        </w:tc>
        <w:tc>
          <w:tcPr>
            <w:tcW w:w="851" w:type="dxa"/>
            <w:vAlign w:val="center"/>
          </w:tcPr>
          <w:p w14:paraId="3D5A395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495674D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19 058</w:t>
            </w:r>
          </w:p>
        </w:tc>
        <w:tc>
          <w:tcPr>
            <w:tcW w:w="850" w:type="dxa"/>
            <w:vAlign w:val="center"/>
          </w:tcPr>
          <w:p w14:paraId="14CDBC8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33C5EE5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15 763</w:t>
            </w:r>
          </w:p>
        </w:tc>
        <w:tc>
          <w:tcPr>
            <w:tcW w:w="993" w:type="dxa"/>
            <w:vAlign w:val="center"/>
          </w:tcPr>
          <w:p w14:paraId="4B54758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022D058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1438A9F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742156D1" w14:textId="77777777" w:rsidTr="00EC14EC">
        <w:trPr>
          <w:trHeight w:val="397"/>
          <w:jc w:val="center"/>
        </w:trPr>
        <w:tc>
          <w:tcPr>
            <w:tcW w:w="854" w:type="dxa"/>
            <w:shd w:val="clear" w:color="auto" w:fill="D9E2F3" w:themeFill="accent1" w:themeFillTint="33"/>
            <w:vAlign w:val="center"/>
            <w:hideMark/>
          </w:tcPr>
          <w:p w14:paraId="4C001949"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2010</w:t>
            </w:r>
          </w:p>
        </w:tc>
        <w:tc>
          <w:tcPr>
            <w:tcW w:w="850" w:type="dxa"/>
            <w:shd w:val="clear" w:color="auto" w:fill="F8ECEC"/>
            <w:vAlign w:val="center"/>
          </w:tcPr>
          <w:p w14:paraId="3AD6EA7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124 281</w:t>
            </w:r>
          </w:p>
        </w:tc>
        <w:tc>
          <w:tcPr>
            <w:tcW w:w="993" w:type="dxa"/>
            <w:shd w:val="clear" w:color="auto" w:fill="F8ECEC"/>
            <w:vAlign w:val="center"/>
          </w:tcPr>
          <w:p w14:paraId="61ED0AF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71 780</w:t>
            </w:r>
          </w:p>
        </w:tc>
        <w:tc>
          <w:tcPr>
            <w:tcW w:w="850" w:type="dxa"/>
            <w:shd w:val="clear" w:color="auto" w:fill="F8ECEC"/>
            <w:vAlign w:val="center"/>
          </w:tcPr>
          <w:p w14:paraId="5DCA0FE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60 289</w:t>
            </w:r>
          </w:p>
        </w:tc>
        <w:tc>
          <w:tcPr>
            <w:tcW w:w="708" w:type="dxa"/>
            <w:vAlign w:val="center"/>
          </w:tcPr>
          <w:p w14:paraId="2BD1D66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2C1B2F6C" w14:textId="77777777" w:rsidR="008C03A1" w:rsidRPr="00CE357F" w:rsidRDefault="008C03A1" w:rsidP="008C03A1">
            <w:pPr>
              <w:tabs>
                <w:tab w:val="center" w:pos="336"/>
              </w:tabs>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31 807</w:t>
            </w:r>
          </w:p>
        </w:tc>
        <w:tc>
          <w:tcPr>
            <w:tcW w:w="851" w:type="dxa"/>
            <w:vAlign w:val="center"/>
          </w:tcPr>
          <w:p w14:paraId="29F6FB5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0314AF1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18 242</w:t>
            </w:r>
          </w:p>
        </w:tc>
        <w:tc>
          <w:tcPr>
            <w:tcW w:w="850" w:type="dxa"/>
            <w:vAlign w:val="center"/>
          </w:tcPr>
          <w:p w14:paraId="4B8DDC9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1C53B75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13 871</w:t>
            </w:r>
          </w:p>
        </w:tc>
        <w:tc>
          <w:tcPr>
            <w:tcW w:w="993" w:type="dxa"/>
            <w:vAlign w:val="center"/>
          </w:tcPr>
          <w:p w14:paraId="52AE51F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048B28C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69A82F0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05E3ABBF" w14:textId="77777777" w:rsidTr="00EC14EC">
        <w:trPr>
          <w:trHeight w:val="397"/>
          <w:jc w:val="center"/>
        </w:trPr>
        <w:tc>
          <w:tcPr>
            <w:tcW w:w="854" w:type="dxa"/>
            <w:shd w:val="clear" w:color="auto" w:fill="D9E2F3" w:themeFill="accent1" w:themeFillTint="33"/>
            <w:vAlign w:val="center"/>
            <w:hideMark/>
          </w:tcPr>
          <w:p w14:paraId="3E0C7501"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2009</w:t>
            </w:r>
          </w:p>
        </w:tc>
        <w:tc>
          <w:tcPr>
            <w:tcW w:w="850" w:type="dxa"/>
            <w:shd w:val="clear" w:color="auto" w:fill="F8ECEC"/>
            <w:vAlign w:val="center"/>
          </w:tcPr>
          <w:p w14:paraId="7EF1828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131 932</w:t>
            </w:r>
          </w:p>
        </w:tc>
        <w:tc>
          <w:tcPr>
            <w:tcW w:w="993" w:type="dxa"/>
            <w:shd w:val="clear" w:color="auto" w:fill="F8ECEC"/>
            <w:vAlign w:val="center"/>
          </w:tcPr>
          <w:p w14:paraId="122A373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73 446</w:t>
            </w:r>
          </w:p>
        </w:tc>
        <w:tc>
          <w:tcPr>
            <w:tcW w:w="850" w:type="dxa"/>
            <w:shd w:val="clear" w:color="auto" w:fill="F8ECEC"/>
            <w:vAlign w:val="center"/>
          </w:tcPr>
          <w:p w14:paraId="7895D4B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61 115</w:t>
            </w:r>
          </w:p>
        </w:tc>
        <w:tc>
          <w:tcPr>
            <w:tcW w:w="708" w:type="dxa"/>
            <w:vAlign w:val="center"/>
          </w:tcPr>
          <w:p w14:paraId="270F054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0649DAF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30 297</w:t>
            </w:r>
          </w:p>
        </w:tc>
        <w:tc>
          <w:tcPr>
            <w:tcW w:w="851" w:type="dxa"/>
            <w:vAlign w:val="center"/>
          </w:tcPr>
          <w:p w14:paraId="5A61363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5E693CE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19 273</w:t>
            </w:r>
          </w:p>
        </w:tc>
        <w:tc>
          <w:tcPr>
            <w:tcW w:w="850" w:type="dxa"/>
            <w:vAlign w:val="center"/>
          </w:tcPr>
          <w:p w14:paraId="06519BB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03CEBD3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13 792</w:t>
            </w:r>
          </w:p>
        </w:tc>
        <w:tc>
          <w:tcPr>
            <w:tcW w:w="993" w:type="dxa"/>
            <w:vAlign w:val="center"/>
          </w:tcPr>
          <w:p w14:paraId="2D3E317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Moldavsko</w:t>
            </w:r>
          </w:p>
          <w:p w14:paraId="45FB679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10 042</w:t>
            </w:r>
          </w:p>
        </w:tc>
        <w:tc>
          <w:tcPr>
            <w:tcW w:w="992" w:type="dxa"/>
            <w:vAlign w:val="center"/>
          </w:tcPr>
          <w:p w14:paraId="58C1AD6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1926F07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624A1985" w14:textId="77777777" w:rsidTr="00EC14EC">
        <w:trPr>
          <w:trHeight w:val="397"/>
          <w:jc w:val="center"/>
        </w:trPr>
        <w:tc>
          <w:tcPr>
            <w:tcW w:w="854" w:type="dxa"/>
            <w:shd w:val="clear" w:color="auto" w:fill="D9E2F3" w:themeFill="accent1" w:themeFillTint="33"/>
            <w:vAlign w:val="center"/>
            <w:hideMark/>
          </w:tcPr>
          <w:p w14:paraId="0A407FCD"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2008</w:t>
            </w:r>
          </w:p>
        </w:tc>
        <w:tc>
          <w:tcPr>
            <w:tcW w:w="850" w:type="dxa"/>
            <w:shd w:val="clear" w:color="auto" w:fill="F8ECEC"/>
            <w:vAlign w:val="center"/>
          </w:tcPr>
          <w:p w14:paraId="6773A4E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131 921</w:t>
            </w:r>
          </w:p>
        </w:tc>
        <w:tc>
          <w:tcPr>
            <w:tcW w:w="993" w:type="dxa"/>
            <w:shd w:val="clear" w:color="auto" w:fill="F8ECEC"/>
            <w:vAlign w:val="center"/>
          </w:tcPr>
          <w:p w14:paraId="5A8A0C0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76 034</w:t>
            </w:r>
          </w:p>
        </w:tc>
        <w:tc>
          <w:tcPr>
            <w:tcW w:w="850" w:type="dxa"/>
            <w:shd w:val="clear" w:color="auto" w:fill="F8ECEC"/>
            <w:vAlign w:val="center"/>
          </w:tcPr>
          <w:p w14:paraId="7CFD62A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60 255</w:t>
            </w:r>
          </w:p>
        </w:tc>
        <w:tc>
          <w:tcPr>
            <w:tcW w:w="708" w:type="dxa"/>
            <w:vAlign w:val="center"/>
          </w:tcPr>
          <w:p w14:paraId="1FBDA9C2"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4A26474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27 086</w:t>
            </w:r>
          </w:p>
        </w:tc>
        <w:tc>
          <w:tcPr>
            <w:tcW w:w="851" w:type="dxa"/>
            <w:vAlign w:val="center"/>
          </w:tcPr>
          <w:p w14:paraId="3989336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5F86C51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21 710</w:t>
            </w:r>
          </w:p>
        </w:tc>
        <w:tc>
          <w:tcPr>
            <w:tcW w:w="850" w:type="dxa"/>
            <w:vAlign w:val="center"/>
          </w:tcPr>
          <w:p w14:paraId="50451F0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06C38D6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17 496</w:t>
            </w:r>
          </w:p>
        </w:tc>
        <w:tc>
          <w:tcPr>
            <w:tcW w:w="993" w:type="dxa"/>
            <w:vAlign w:val="center"/>
          </w:tcPr>
          <w:p w14:paraId="1713B38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Moldavsko</w:t>
            </w:r>
          </w:p>
          <w:p w14:paraId="69DB347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10 636</w:t>
            </w:r>
          </w:p>
        </w:tc>
        <w:tc>
          <w:tcPr>
            <w:tcW w:w="992" w:type="dxa"/>
            <w:vAlign w:val="center"/>
          </w:tcPr>
          <w:p w14:paraId="1978545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3848F77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1D04E9F1" w14:textId="77777777" w:rsidTr="00EC14EC">
        <w:trPr>
          <w:trHeight w:val="397"/>
          <w:jc w:val="center"/>
        </w:trPr>
        <w:tc>
          <w:tcPr>
            <w:tcW w:w="854" w:type="dxa"/>
            <w:shd w:val="clear" w:color="auto" w:fill="D9E2F3" w:themeFill="accent1" w:themeFillTint="33"/>
            <w:vAlign w:val="center"/>
            <w:hideMark/>
          </w:tcPr>
          <w:p w14:paraId="4FC1F13C"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2007</w:t>
            </w:r>
          </w:p>
        </w:tc>
        <w:tc>
          <w:tcPr>
            <w:tcW w:w="850" w:type="dxa"/>
            <w:shd w:val="clear" w:color="auto" w:fill="F8ECEC"/>
            <w:vAlign w:val="center"/>
          </w:tcPr>
          <w:p w14:paraId="5E50768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126 721</w:t>
            </w:r>
          </w:p>
        </w:tc>
        <w:tc>
          <w:tcPr>
            <w:tcW w:w="993" w:type="dxa"/>
            <w:shd w:val="clear" w:color="auto" w:fill="F8ECEC"/>
            <w:vAlign w:val="center"/>
          </w:tcPr>
          <w:p w14:paraId="4FE093F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67 889</w:t>
            </w:r>
          </w:p>
        </w:tc>
        <w:tc>
          <w:tcPr>
            <w:tcW w:w="850" w:type="dxa"/>
            <w:shd w:val="clear" w:color="auto" w:fill="F8ECEC"/>
            <w:vAlign w:val="center"/>
          </w:tcPr>
          <w:p w14:paraId="7599C3B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51 101</w:t>
            </w:r>
          </w:p>
        </w:tc>
        <w:tc>
          <w:tcPr>
            <w:tcW w:w="708" w:type="dxa"/>
            <w:vAlign w:val="center"/>
          </w:tcPr>
          <w:p w14:paraId="26F66B3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567D1E0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23 278</w:t>
            </w:r>
          </w:p>
        </w:tc>
        <w:tc>
          <w:tcPr>
            <w:tcW w:w="851" w:type="dxa"/>
            <w:vAlign w:val="center"/>
          </w:tcPr>
          <w:p w14:paraId="18F62A6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36C61AF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20 601</w:t>
            </w:r>
          </w:p>
        </w:tc>
        <w:tc>
          <w:tcPr>
            <w:tcW w:w="850" w:type="dxa"/>
            <w:vAlign w:val="center"/>
          </w:tcPr>
          <w:p w14:paraId="69057C9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1289F7FD"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15 700</w:t>
            </w:r>
          </w:p>
        </w:tc>
        <w:tc>
          <w:tcPr>
            <w:tcW w:w="993" w:type="dxa"/>
            <w:vAlign w:val="center"/>
          </w:tcPr>
          <w:p w14:paraId="51FB68C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34F0235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7B879FA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2F1022B5" w14:textId="77777777" w:rsidTr="00EC14EC">
        <w:trPr>
          <w:trHeight w:val="397"/>
          <w:jc w:val="center"/>
        </w:trPr>
        <w:tc>
          <w:tcPr>
            <w:tcW w:w="854" w:type="dxa"/>
            <w:shd w:val="clear" w:color="auto" w:fill="D9E2F3" w:themeFill="accent1" w:themeFillTint="33"/>
            <w:vAlign w:val="center"/>
            <w:hideMark/>
          </w:tcPr>
          <w:p w14:paraId="608F8A68"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2006</w:t>
            </w:r>
          </w:p>
        </w:tc>
        <w:tc>
          <w:tcPr>
            <w:tcW w:w="850" w:type="dxa"/>
            <w:shd w:val="clear" w:color="auto" w:fill="F8ECEC"/>
            <w:vAlign w:val="center"/>
          </w:tcPr>
          <w:p w14:paraId="7DBD990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102 594</w:t>
            </w:r>
          </w:p>
        </w:tc>
        <w:tc>
          <w:tcPr>
            <w:tcW w:w="993" w:type="dxa"/>
            <w:shd w:val="clear" w:color="auto" w:fill="F8ECEC"/>
            <w:vAlign w:val="center"/>
          </w:tcPr>
          <w:p w14:paraId="6DA4E5A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58 384</w:t>
            </w:r>
          </w:p>
        </w:tc>
        <w:tc>
          <w:tcPr>
            <w:tcW w:w="850" w:type="dxa"/>
            <w:shd w:val="clear" w:color="auto" w:fill="F8ECEC"/>
            <w:vAlign w:val="center"/>
          </w:tcPr>
          <w:p w14:paraId="6A0A38F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40 779</w:t>
            </w:r>
          </w:p>
        </w:tc>
        <w:tc>
          <w:tcPr>
            <w:tcW w:w="708" w:type="dxa"/>
            <w:vAlign w:val="center"/>
          </w:tcPr>
          <w:p w14:paraId="25382FBA"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778BBDCC"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18 894</w:t>
            </w:r>
          </w:p>
        </w:tc>
        <w:tc>
          <w:tcPr>
            <w:tcW w:w="851" w:type="dxa"/>
            <w:vAlign w:val="center"/>
          </w:tcPr>
          <w:p w14:paraId="46FD230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7835E7B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18 564</w:t>
            </w:r>
          </w:p>
        </w:tc>
        <w:tc>
          <w:tcPr>
            <w:tcW w:w="850" w:type="dxa"/>
            <w:vAlign w:val="center"/>
          </w:tcPr>
          <w:p w14:paraId="470709F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Německo</w:t>
            </w:r>
          </w:p>
          <w:p w14:paraId="7416CC8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10 109</w:t>
            </w:r>
          </w:p>
        </w:tc>
        <w:tc>
          <w:tcPr>
            <w:tcW w:w="993" w:type="dxa"/>
            <w:vAlign w:val="center"/>
          </w:tcPr>
          <w:p w14:paraId="29B0676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6F7B9BA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7410441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2C2D5ADE" w14:textId="77777777" w:rsidTr="00EC14EC">
        <w:trPr>
          <w:trHeight w:val="397"/>
          <w:jc w:val="center"/>
        </w:trPr>
        <w:tc>
          <w:tcPr>
            <w:tcW w:w="854" w:type="dxa"/>
            <w:shd w:val="clear" w:color="auto" w:fill="D9E2F3" w:themeFill="accent1" w:themeFillTint="33"/>
            <w:vAlign w:val="center"/>
            <w:hideMark/>
          </w:tcPr>
          <w:p w14:paraId="19104E33"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2005</w:t>
            </w:r>
          </w:p>
        </w:tc>
        <w:tc>
          <w:tcPr>
            <w:tcW w:w="850" w:type="dxa"/>
            <w:shd w:val="clear" w:color="auto" w:fill="F8ECEC"/>
            <w:vAlign w:val="center"/>
          </w:tcPr>
          <w:p w14:paraId="2194C93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87 789</w:t>
            </w:r>
          </w:p>
        </w:tc>
        <w:tc>
          <w:tcPr>
            <w:tcW w:w="993" w:type="dxa"/>
            <w:shd w:val="clear" w:color="auto" w:fill="F8ECEC"/>
            <w:vAlign w:val="center"/>
          </w:tcPr>
          <w:p w14:paraId="63F79F1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49 446</w:t>
            </w:r>
          </w:p>
        </w:tc>
        <w:tc>
          <w:tcPr>
            <w:tcW w:w="850" w:type="dxa"/>
            <w:shd w:val="clear" w:color="auto" w:fill="F8ECEC"/>
            <w:vAlign w:val="center"/>
          </w:tcPr>
          <w:p w14:paraId="2D9F0EF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36 833</w:t>
            </w:r>
          </w:p>
        </w:tc>
        <w:tc>
          <w:tcPr>
            <w:tcW w:w="708" w:type="dxa"/>
            <w:vAlign w:val="center"/>
          </w:tcPr>
          <w:p w14:paraId="4A0E233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1B6A277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17 810</w:t>
            </w:r>
          </w:p>
        </w:tc>
        <w:tc>
          <w:tcPr>
            <w:tcW w:w="851" w:type="dxa"/>
            <w:vAlign w:val="center"/>
          </w:tcPr>
          <w:p w14:paraId="5278A6F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79AA4E6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16 273</w:t>
            </w:r>
          </w:p>
        </w:tc>
        <w:tc>
          <w:tcPr>
            <w:tcW w:w="850" w:type="dxa"/>
            <w:vAlign w:val="center"/>
          </w:tcPr>
          <w:p w14:paraId="158EF59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3" w:type="dxa"/>
            <w:vAlign w:val="center"/>
          </w:tcPr>
          <w:p w14:paraId="286FE3B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6780B39B"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4F773B5E"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r>
      <w:tr w:rsidR="008C03A1" w:rsidRPr="00CE357F" w14:paraId="411F4962" w14:textId="77777777" w:rsidTr="00EC14EC">
        <w:trPr>
          <w:trHeight w:val="397"/>
          <w:jc w:val="center"/>
        </w:trPr>
        <w:tc>
          <w:tcPr>
            <w:tcW w:w="854" w:type="dxa"/>
            <w:shd w:val="clear" w:color="auto" w:fill="D9E2F3" w:themeFill="accent1" w:themeFillTint="33"/>
            <w:vAlign w:val="center"/>
          </w:tcPr>
          <w:p w14:paraId="6303C8B1" w14:textId="77777777" w:rsidR="008C03A1" w:rsidRPr="00CE357F" w:rsidRDefault="008C03A1" w:rsidP="008C03A1">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2004</w:t>
            </w:r>
          </w:p>
        </w:tc>
        <w:tc>
          <w:tcPr>
            <w:tcW w:w="850" w:type="dxa"/>
            <w:shd w:val="clear" w:color="auto" w:fill="F8ECEC"/>
            <w:vAlign w:val="center"/>
          </w:tcPr>
          <w:p w14:paraId="23372A89"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 78 263</w:t>
            </w:r>
          </w:p>
        </w:tc>
        <w:tc>
          <w:tcPr>
            <w:tcW w:w="993" w:type="dxa"/>
            <w:shd w:val="clear" w:color="auto" w:fill="F8ECEC"/>
            <w:vAlign w:val="center"/>
          </w:tcPr>
          <w:p w14:paraId="16678364"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 47 354</w:t>
            </w:r>
          </w:p>
        </w:tc>
        <w:tc>
          <w:tcPr>
            <w:tcW w:w="850" w:type="dxa"/>
            <w:shd w:val="clear" w:color="auto" w:fill="F8ECEC"/>
            <w:vAlign w:val="center"/>
          </w:tcPr>
          <w:p w14:paraId="1C2860F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Vietnam 34 179</w:t>
            </w:r>
          </w:p>
        </w:tc>
        <w:tc>
          <w:tcPr>
            <w:tcW w:w="708" w:type="dxa"/>
            <w:vAlign w:val="center"/>
          </w:tcPr>
          <w:p w14:paraId="541C515F"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5D6A9675"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16 265</w:t>
            </w:r>
          </w:p>
        </w:tc>
        <w:tc>
          <w:tcPr>
            <w:tcW w:w="851" w:type="dxa"/>
            <w:vAlign w:val="center"/>
          </w:tcPr>
          <w:p w14:paraId="5D1AE463"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Rusko</w:t>
            </w:r>
          </w:p>
          <w:p w14:paraId="6BB89AA8"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14 743</w:t>
            </w:r>
          </w:p>
        </w:tc>
        <w:tc>
          <w:tcPr>
            <w:tcW w:w="850" w:type="dxa"/>
            <w:vAlign w:val="center"/>
          </w:tcPr>
          <w:p w14:paraId="24120011"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3" w:type="dxa"/>
            <w:vAlign w:val="center"/>
          </w:tcPr>
          <w:p w14:paraId="61994857"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50792C56"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w:t>
            </w:r>
          </w:p>
        </w:tc>
        <w:tc>
          <w:tcPr>
            <w:tcW w:w="992" w:type="dxa"/>
            <w:vAlign w:val="center"/>
          </w:tcPr>
          <w:p w14:paraId="53A6CD50" w14:textId="77777777" w:rsidR="008C03A1" w:rsidRPr="00CE357F" w:rsidRDefault="008C03A1" w:rsidP="008C03A1">
            <w:pPr>
              <w:jc w:val="center"/>
              <w:rPr>
                <w:rFonts w:ascii="Arial Narrow" w:eastAsia="Times New Roman" w:hAnsi="Arial Narrow" w:cs="Arial"/>
                <w:sz w:val="18"/>
                <w:szCs w:val="18"/>
                <w:lang w:eastAsia="cs-CZ"/>
              </w:rPr>
            </w:pPr>
            <w:r w:rsidRPr="00CE357F">
              <w:rPr>
                <w:rFonts w:ascii="Arial Narrow" w:eastAsia="Times New Roman" w:hAnsi="Arial Narrow" w:cs="Arial"/>
                <w:color w:val="000000"/>
                <w:sz w:val="18"/>
                <w:szCs w:val="18"/>
                <w:lang w:eastAsia="cs-CZ"/>
              </w:rPr>
              <w:t>-</w:t>
            </w:r>
          </w:p>
        </w:tc>
      </w:tr>
    </w:tbl>
    <w:bookmarkEnd w:id="108"/>
    <w:p w14:paraId="22AC0179" w14:textId="736D6B14" w:rsidR="00AE4EE1" w:rsidRPr="00CE357F" w:rsidRDefault="00AE4EE1" w:rsidP="00AE4EE1">
      <w:pPr>
        <w:spacing w:line="276" w:lineRule="auto"/>
        <w:rPr>
          <w:rFonts w:ascii="Arial Narrow" w:hAnsi="Arial Narrow"/>
          <w:b/>
          <w:color w:val="2F5496" w:themeColor="accent1" w:themeShade="BF"/>
          <w:sz w:val="20"/>
          <w:szCs w:val="20"/>
        </w:rPr>
      </w:pPr>
      <w:r w:rsidRPr="00CE357F">
        <w:rPr>
          <w:rFonts w:ascii="Arial Narrow" w:eastAsia="Times New Roman" w:hAnsi="Arial Narrow" w:cs="Arial"/>
          <w:color w:val="000000"/>
          <w:sz w:val="20"/>
          <w:szCs w:val="20"/>
          <w:lang w:eastAsia="cs-CZ"/>
        </w:rPr>
        <w:t>Zdroj: Český statistický úřad, Ředitelství služby cizinecké policie</w:t>
      </w:r>
      <w:r w:rsidR="00EC14EC" w:rsidRPr="00CE357F">
        <w:rPr>
          <w:rFonts w:ascii="Arial Narrow" w:eastAsia="Times New Roman" w:hAnsi="Arial Narrow" w:cs="Arial"/>
          <w:color w:val="000000"/>
          <w:sz w:val="20"/>
          <w:szCs w:val="20"/>
          <w:lang w:eastAsia="cs-CZ"/>
        </w:rPr>
        <w:tab/>
      </w:r>
      <w:r w:rsidR="00EC14EC" w:rsidRPr="00CE357F">
        <w:rPr>
          <w:rFonts w:ascii="Arial Narrow" w:eastAsia="Times New Roman" w:hAnsi="Arial Narrow" w:cs="Arial"/>
          <w:color w:val="000000"/>
          <w:sz w:val="20"/>
          <w:szCs w:val="20"/>
          <w:lang w:eastAsia="cs-CZ"/>
        </w:rPr>
        <w:tab/>
        <w:t xml:space="preserve">     </w:t>
      </w:r>
      <w:r w:rsidR="00EC14EC" w:rsidRPr="00CE357F">
        <w:rPr>
          <w:rFonts w:ascii="Arial Narrow" w:eastAsia="Times New Roman" w:hAnsi="Arial Narrow" w:cs="Arial"/>
          <w:color w:val="000000"/>
          <w:sz w:val="20"/>
          <w:szCs w:val="20"/>
          <w:lang w:eastAsia="cs-CZ"/>
        </w:rPr>
        <w:tab/>
        <w:t xml:space="preserve">    </w:t>
      </w:r>
      <w:r w:rsidR="00F2571A" w:rsidRPr="00CE357F">
        <w:rPr>
          <w:rFonts w:ascii="Arial Narrow" w:eastAsia="Times New Roman" w:hAnsi="Arial Narrow" w:cs="Arial"/>
          <w:color w:val="000000"/>
          <w:sz w:val="20"/>
          <w:szCs w:val="20"/>
          <w:lang w:eastAsia="cs-CZ"/>
        </w:rPr>
        <w:t xml:space="preserve">Tabulka: AUGUR </w:t>
      </w:r>
      <w:proofErr w:type="spellStart"/>
      <w:r w:rsidR="00F2571A" w:rsidRPr="00CE357F">
        <w:rPr>
          <w:rFonts w:ascii="Arial Narrow" w:eastAsia="Times New Roman" w:hAnsi="Arial Narrow" w:cs="Arial"/>
          <w:color w:val="000000"/>
          <w:sz w:val="20"/>
          <w:szCs w:val="20"/>
          <w:lang w:eastAsia="cs-CZ"/>
        </w:rPr>
        <w:t>Consulting</w:t>
      </w:r>
      <w:proofErr w:type="spellEnd"/>
      <w:r w:rsidR="00EC14EC" w:rsidRPr="00CE357F">
        <w:rPr>
          <w:rFonts w:ascii="Arial Narrow" w:eastAsia="Times New Roman" w:hAnsi="Arial Narrow" w:cs="Arial"/>
          <w:color w:val="000000"/>
          <w:sz w:val="20"/>
          <w:szCs w:val="20"/>
          <w:lang w:eastAsia="cs-CZ"/>
        </w:rPr>
        <w:t xml:space="preserve"> s.r.o.</w:t>
      </w:r>
    </w:p>
    <w:p w14:paraId="62983549" w14:textId="1C8D2FD5" w:rsidR="000144CE" w:rsidRPr="00CE357F" w:rsidRDefault="00BB3D9D" w:rsidP="000144CE">
      <w:pPr>
        <w:spacing w:after="240" w:line="276" w:lineRule="auto"/>
        <w:jc w:val="both"/>
        <w:rPr>
          <w:rFonts w:ascii="Arial Narrow" w:hAnsi="Arial Narrow"/>
          <w:bCs/>
        </w:rPr>
      </w:pPr>
      <w:r w:rsidRPr="00CE357F">
        <w:rPr>
          <w:rFonts w:ascii="Arial Narrow" w:hAnsi="Arial Narrow"/>
          <w:bCs/>
        </w:rPr>
        <w:br/>
      </w:r>
      <w:r w:rsidR="000144CE" w:rsidRPr="000144CE">
        <w:rPr>
          <w:rFonts w:ascii="Arial Narrow" w:hAnsi="Arial Narrow"/>
          <w:bCs/>
        </w:rPr>
        <w:t xml:space="preserve">K 31. 12. 2022 tvořili občané Ukrajiny, Slovenska a Vietnamu 73,5 % všech občanů s jinou než českou státní příslušností pobývajících na území České republiky. K tomuto datu celkem 84,6 % všech osob s jinou než českou státní příslušností žijících na území České republiky tvořili občané </w:t>
      </w:r>
      <w:r w:rsidR="000144CE">
        <w:rPr>
          <w:rFonts w:ascii="Arial Narrow" w:hAnsi="Arial Narrow"/>
          <w:bCs/>
        </w:rPr>
        <w:t>deseti</w:t>
      </w:r>
      <w:r w:rsidR="000144CE" w:rsidRPr="000144CE">
        <w:rPr>
          <w:rFonts w:ascii="Arial Narrow" w:hAnsi="Arial Narrow"/>
          <w:bCs/>
        </w:rPr>
        <w:t xml:space="preserve"> států. Podíl občanů těchto </w:t>
      </w:r>
      <w:r w:rsidR="000144CE">
        <w:rPr>
          <w:rFonts w:ascii="Arial Narrow" w:hAnsi="Arial Narrow"/>
          <w:bCs/>
        </w:rPr>
        <w:t>deseti</w:t>
      </w:r>
      <w:r w:rsidR="000144CE" w:rsidRPr="000144CE">
        <w:rPr>
          <w:rFonts w:ascii="Arial Narrow" w:hAnsi="Arial Narrow"/>
          <w:bCs/>
        </w:rPr>
        <w:t xml:space="preserve"> států na celkovém počtu osob s jinou než českou státní příslušností podrobně dokumentuje graf</w:t>
      </w:r>
      <w:r w:rsidR="004C68A8">
        <w:rPr>
          <w:rFonts w:ascii="Arial Narrow" w:hAnsi="Arial Narrow"/>
          <w:bCs/>
        </w:rPr>
        <w:t xml:space="preserve"> č. 9</w:t>
      </w:r>
      <w:r w:rsidR="000144CE" w:rsidRPr="000144CE">
        <w:rPr>
          <w:rFonts w:ascii="Arial Narrow" w:hAnsi="Arial Narrow"/>
          <w:bCs/>
        </w:rPr>
        <w:t>.</w:t>
      </w:r>
      <w:r w:rsidR="000144CE" w:rsidRPr="00CE357F">
        <w:rPr>
          <w:rFonts w:ascii="Arial Narrow" w:hAnsi="Arial Narrow"/>
          <w:bCs/>
        </w:rPr>
        <w:t xml:space="preserve"> </w:t>
      </w:r>
    </w:p>
    <w:p w14:paraId="0A54644B" w14:textId="77777777" w:rsidR="000144CE" w:rsidRPr="00CE357F" w:rsidRDefault="000144CE" w:rsidP="00F2571A">
      <w:pPr>
        <w:spacing w:after="240" w:line="276" w:lineRule="auto"/>
        <w:jc w:val="both"/>
        <w:rPr>
          <w:rFonts w:ascii="Arial Narrow" w:hAnsi="Arial Narrow"/>
          <w:bCs/>
        </w:rPr>
      </w:pPr>
    </w:p>
    <w:p w14:paraId="363E76E3" w14:textId="534C5ECF" w:rsidR="00F2571A" w:rsidRPr="00173E7B" w:rsidRDefault="35940996" w:rsidP="00F2571A">
      <w:pPr>
        <w:pStyle w:val="Titulek"/>
        <w:keepNext/>
        <w:spacing w:after="0"/>
        <w:jc w:val="both"/>
        <w:rPr>
          <w:rFonts w:ascii="Arial Narrow" w:hAnsi="Arial Narrow"/>
          <w:color w:val="auto"/>
          <w:sz w:val="20"/>
          <w:szCs w:val="20"/>
        </w:rPr>
      </w:pPr>
      <w:bookmarkStart w:id="109" w:name="_Toc94443713"/>
      <w:bookmarkStart w:id="110" w:name="_Toc136428853"/>
      <w:r w:rsidRPr="00173E7B">
        <w:rPr>
          <w:rFonts w:ascii="Arial Narrow" w:hAnsi="Arial Narrow"/>
          <w:color w:val="auto"/>
          <w:sz w:val="20"/>
          <w:szCs w:val="20"/>
        </w:rPr>
        <w:lastRenderedPageBreak/>
        <w:t xml:space="preserve">Graf </w:t>
      </w:r>
      <w:r w:rsidR="00F2571A" w:rsidRPr="00173E7B">
        <w:rPr>
          <w:rFonts w:ascii="Arial Narrow" w:hAnsi="Arial Narrow"/>
          <w:color w:val="auto"/>
          <w:sz w:val="20"/>
          <w:szCs w:val="20"/>
        </w:rPr>
        <w:fldChar w:fldCharType="begin"/>
      </w:r>
      <w:r w:rsidR="00F2571A" w:rsidRPr="00173E7B">
        <w:rPr>
          <w:rFonts w:ascii="Arial Narrow" w:hAnsi="Arial Narrow"/>
          <w:color w:val="auto"/>
          <w:sz w:val="20"/>
          <w:szCs w:val="20"/>
        </w:rPr>
        <w:instrText xml:space="preserve"> SEQ Graf \* ARABIC </w:instrText>
      </w:r>
      <w:r w:rsidR="00F2571A"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9</w:t>
      </w:r>
      <w:r w:rsidR="00F2571A" w:rsidRPr="00173E7B">
        <w:rPr>
          <w:rFonts w:ascii="Arial Narrow" w:hAnsi="Arial Narrow"/>
          <w:color w:val="auto"/>
          <w:sz w:val="20"/>
          <w:szCs w:val="20"/>
        </w:rPr>
        <w:fldChar w:fldCharType="end"/>
      </w:r>
      <w:r w:rsidRPr="00173E7B">
        <w:rPr>
          <w:rFonts w:ascii="Arial Narrow" w:hAnsi="Arial Narrow"/>
          <w:color w:val="auto"/>
          <w:sz w:val="20"/>
          <w:szCs w:val="20"/>
        </w:rPr>
        <w:t xml:space="preserve">: Podíl nejčastějších 10 </w:t>
      </w:r>
      <w:r w:rsidR="413B26F9" w:rsidRPr="00173E7B">
        <w:rPr>
          <w:rFonts w:ascii="Arial Narrow" w:hAnsi="Arial Narrow"/>
          <w:color w:val="auto"/>
          <w:sz w:val="20"/>
          <w:szCs w:val="20"/>
        </w:rPr>
        <w:t>státních příslušností</w:t>
      </w:r>
      <w:r w:rsidRPr="00173E7B">
        <w:rPr>
          <w:rFonts w:ascii="Arial Narrow" w:hAnsi="Arial Narrow"/>
          <w:color w:val="auto"/>
          <w:sz w:val="20"/>
          <w:szCs w:val="20"/>
        </w:rPr>
        <w:t xml:space="preserve"> na celkovém počtu osob s jinou než českou státní příslušností k 31. 12. 202</w:t>
      </w:r>
      <w:bookmarkEnd w:id="109"/>
      <w:r w:rsidR="1C8079C3" w:rsidRPr="00173E7B">
        <w:rPr>
          <w:rFonts w:ascii="Arial Narrow" w:hAnsi="Arial Narrow"/>
          <w:color w:val="auto"/>
          <w:sz w:val="20"/>
          <w:szCs w:val="20"/>
        </w:rPr>
        <w:t>2</w:t>
      </w:r>
      <w:bookmarkEnd w:id="110"/>
    </w:p>
    <w:p w14:paraId="630A9C80" w14:textId="41A77DCE" w:rsidR="009014D2" w:rsidRPr="00173E7B" w:rsidRDefault="006C313F" w:rsidP="7CC7BF57">
      <w:pPr>
        <w:spacing w:line="276" w:lineRule="auto"/>
        <w:rPr>
          <w:rFonts w:ascii="Arial Narrow" w:hAnsi="Arial Narrow"/>
        </w:rPr>
      </w:pPr>
      <w:r w:rsidRPr="00173E7B">
        <w:rPr>
          <w:rFonts w:ascii="Arial Narrow" w:hAnsi="Arial Narrow"/>
          <w:noProof/>
          <w:lang w:eastAsia="cs-CZ"/>
        </w:rPr>
        <w:drawing>
          <wp:anchor distT="0" distB="0" distL="114300" distR="114300" simplePos="0" relativeHeight="251720192" behindDoc="0" locked="0" layoutInCell="1" allowOverlap="1" wp14:anchorId="3E4530D3" wp14:editId="2AA3BD4F">
            <wp:simplePos x="0" y="0"/>
            <wp:positionH relativeFrom="column">
              <wp:posOffset>4134174</wp:posOffset>
            </wp:positionH>
            <wp:positionV relativeFrom="paragraph">
              <wp:posOffset>1352550</wp:posOffset>
            </wp:positionV>
            <wp:extent cx="1626235" cy="679878"/>
            <wp:effectExtent l="0" t="57150" r="0" b="120650"/>
            <wp:wrapNone/>
            <wp:docPr id="1719406679" name="Diagram 17194066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0144CE" w:rsidRPr="00173E7B">
        <w:rPr>
          <w:rFonts w:ascii="Arial Narrow" w:hAnsi="Arial Narrow"/>
          <w:bCs/>
          <w:noProof/>
          <w:lang w:eastAsia="cs-CZ"/>
        </w:rPr>
        <w:drawing>
          <wp:inline distT="0" distB="0" distL="0" distR="0" wp14:anchorId="049D6832" wp14:editId="655ACF7B">
            <wp:extent cx="5760720" cy="2530549"/>
            <wp:effectExtent l="0" t="0" r="0" b="3175"/>
            <wp:docPr id="2111" name="Graf 2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E1142B" w14:textId="0860E9FE" w:rsidR="00F2571A" w:rsidRPr="00173E7B" w:rsidRDefault="00F2571A" w:rsidP="00F2571A">
      <w:pPr>
        <w:spacing w:line="276" w:lineRule="auto"/>
        <w:rPr>
          <w:rFonts w:ascii="Arial Narrow" w:hAnsi="Arial Narrow"/>
        </w:rPr>
      </w:pPr>
      <w:r w:rsidRPr="00173E7B">
        <w:rPr>
          <w:rFonts w:ascii="Arial Narrow" w:hAnsi="Arial Narrow"/>
          <w:sz w:val="20"/>
          <w:szCs w:val="20"/>
        </w:rPr>
        <w:t xml:space="preserve">Zdroj: </w:t>
      </w:r>
      <w:r w:rsidRPr="00173E7B">
        <w:rPr>
          <w:rFonts w:ascii="Arial Narrow" w:eastAsia="Times New Roman" w:hAnsi="Arial Narrow" w:cs="Arial"/>
          <w:color w:val="000000"/>
          <w:sz w:val="20"/>
          <w:szCs w:val="20"/>
          <w:lang w:eastAsia="cs-CZ"/>
        </w:rPr>
        <w:t>Český statistický úřad</w:t>
      </w:r>
      <w:r w:rsidRPr="00173E7B">
        <w:rPr>
          <w:rFonts w:ascii="Arial Narrow" w:hAnsi="Arial Narrow"/>
          <w:sz w:val="20"/>
          <w:szCs w:val="20"/>
        </w:rPr>
        <w:t xml:space="preserve"> (data platná k 31. 12. 202</w:t>
      </w:r>
      <w:r w:rsidR="000144CE" w:rsidRPr="00173E7B">
        <w:rPr>
          <w:rFonts w:ascii="Arial Narrow" w:hAnsi="Arial Narrow"/>
          <w:sz w:val="20"/>
          <w:szCs w:val="20"/>
        </w:rPr>
        <w:t>2</w:t>
      </w:r>
      <w:r w:rsidRPr="00173E7B">
        <w:rPr>
          <w:rFonts w:ascii="Arial Narrow" w:hAnsi="Arial Narrow"/>
          <w:sz w:val="20"/>
          <w:szCs w:val="20"/>
        </w:rPr>
        <w:t>)</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w:t>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s.r.o.</w:t>
      </w:r>
    </w:p>
    <w:p w14:paraId="2922CF04" w14:textId="77777777" w:rsidR="009014D2" w:rsidRPr="00173E7B" w:rsidRDefault="009014D2" w:rsidP="009014D2">
      <w:pPr>
        <w:spacing w:line="276" w:lineRule="auto"/>
        <w:rPr>
          <w:rFonts w:ascii="Arial Narrow" w:hAnsi="Arial Narrow"/>
          <w:bCs/>
        </w:rPr>
      </w:pPr>
    </w:p>
    <w:p w14:paraId="7E3F44AB" w14:textId="1C3CE9EF" w:rsidR="00D767BD" w:rsidRPr="00173E7B" w:rsidRDefault="009014D2" w:rsidP="009014D2">
      <w:pPr>
        <w:spacing w:line="276" w:lineRule="auto"/>
        <w:jc w:val="both"/>
        <w:rPr>
          <w:rFonts w:ascii="Arial Narrow" w:hAnsi="Arial Narrow"/>
          <w:bCs/>
        </w:rPr>
      </w:pPr>
      <w:r w:rsidRPr="00173E7B">
        <w:rPr>
          <w:rFonts w:ascii="Arial Narrow" w:hAnsi="Arial Narrow"/>
          <w:bCs/>
        </w:rPr>
        <w:t xml:space="preserve">Počet občanů Ukrajiny </w:t>
      </w:r>
      <w:r w:rsidR="00F2571A" w:rsidRPr="00173E7B">
        <w:rPr>
          <w:rFonts w:ascii="Arial Narrow" w:hAnsi="Arial Narrow"/>
          <w:bCs/>
        </w:rPr>
        <w:t>žijících na území České republiky mezi lety 20</w:t>
      </w:r>
      <w:r w:rsidR="000864FF" w:rsidRPr="00173E7B">
        <w:rPr>
          <w:rFonts w:ascii="Arial Narrow" w:hAnsi="Arial Narrow"/>
          <w:bCs/>
        </w:rPr>
        <w:t>21</w:t>
      </w:r>
      <w:r w:rsidR="00F2571A" w:rsidRPr="00173E7B">
        <w:rPr>
          <w:rFonts w:ascii="Arial Narrow" w:hAnsi="Arial Narrow"/>
          <w:bCs/>
        </w:rPr>
        <w:t xml:space="preserve"> a 202</w:t>
      </w:r>
      <w:r w:rsidR="000864FF" w:rsidRPr="00173E7B">
        <w:rPr>
          <w:rFonts w:ascii="Arial Narrow" w:hAnsi="Arial Narrow"/>
          <w:bCs/>
        </w:rPr>
        <w:t>2</w:t>
      </w:r>
      <w:r w:rsidR="00F2571A" w:rsidRPr="00173E7B">
        <w:rPr>
          <w:rFonts w:ascii="Arial Narrow" w:hAnsi="Arial Narrow"/>
          <w:bCs/>
        </w:rPr>
        <w:t xml:space="preserve"> </w:t>
      </w:r>
      <w:r w:rsidR="001329D1" w:rsidRPr="00173E7B">
        <w:rPr>
          <w:rFonts w:ascii="Arial Narrow" w:hAnsi="Arial Narrow"/>
          <w:bCs/>
        </w:rPr>
        <w:t xml:space="preserve">se </w:t>
      </w:r>
      <w:r w:rsidRPr="00173E7B">
        <w:rPr>
          <w:rFonts w:ascii="Arial Narrow" w:hAnsi="Arial Narrow"/>
          <w:bCs/>
        </w:rPr>
        <w:t xml:space="preserve">meziročně </w:t>
      </w:r>
      <w:r w:rsidR="001329D1" w:rsidRPr="00173E7B">
        <w:rPr>
          <w:rFonts w:ascii="Arial Narrow" w:hAnsi="Arial Narrow"/>
          <w:bCs/>
        </w:rPr>
        <w:t>ztrojnásobil.</w:t>
      </w:r>
      <w:r w:rsidRPr="00173E7B">
        <w:rPr>
          <w:rFonts w:ascii="Arial Narrow" w:hAnsi="Arial Narrow"/>
          <w:bCs/>
        </w:rPr>
        <w:t xml:space="preserve"> </w:t>
      </w:r>
      <w:r w:rsidR="001329D1" w:rsidRPr="00173E7B">
        <w:rPr>
          <w:rFonts w:ascii="Arial Narrow" w:hAnsi="Arial Narrow"/>
          <w:bCs/>
        </w:rPr>
        <w:t>Z</w:t>
      </w:r>
      <w:r w:rsidRPr="00173E7B">
        <w:rPr>
          <w:rFonts w:ascii="Arial Narrow" w:hAnsi="Arial Narrow"/>
          <w:bCs/>
        </w:rPr>
        <w:t xml:space="preserve">atímco počet občanů Slovenska </w:t>
      </w:r>
      <w:r w:rsidR="001329D1" w:rsidRPr="00173E7B">
        <w:rPr>
          <w:rFonts w:ascii="Arial Narrow" w:hAnsi="Arial Narrow"/>
          <w:bCs/>
        </w:rPr>
        <w:t xml:space="preserve">se zvýšil </w:t>
      </w:r>
      <w:r w:rsidRPr="00173E7B">
        <w:rPr>
          <w:rFonts w:ascii="Arial Narrow" w:hAnsi="Arial Narrow"/>
          <w:bCs/>
        </w:rPr>
        <w:t>pouze o 2,</w:t>
      </w:r>
      <w:r w:rsidR="001329D1" w:rsidRPr="00173E7B">
        <w:rPr>
          <w:rFonts w:ascii="Arial Narrow" w:hAnsi="Arial Narrow"/>
          <w:bCs/>
        </w:rPr>
        <w:t>3</w:t>
      </w:r>
      <w:r w:rsidRPr="00173E7B">
        <w:rPr>
          <w:rFonts w:ascii="Arial Narrow" w:hAnsi="Arial Narrow"/>
          <w:bCs/>
        </w:rPr>
        <w:t xml:space="preserve"> % a počet občanů Vietnamu o </w:t>
      </w:r>
      <w:r w:rsidR="001329D1" w:rsidRPr="00173E7B">
        <w:rPr>
          <w:rFonts w:ascii="Arial Narrow" w:hAnsi="Arial Narrow"/>
          <w:bCs/>
        </w:rPr>
        <w:t>2,4</w:t>
      </w:r>
      <w:r w:rsidRPr="00173E7B">
        <w:rPr>
          <w:rFonts w:ascii="Arial Narrow" w:hAnsi="Arial Narrow"/>
          <w:bCs/>
        </w:rPr>
        <w:t xml:space="preserve"> %. Mezi lety 20</w:t>
      </w:r>
      <w:r w:rsidR="001329D1" w:rsidRPr="00173E7B">
        <w:rPr>
          <w:rFonts w:ascii="Arial Narrow" w:hAnsi="Arial Narrow"/>
          <w:bCs/>
        </w:rPr>
        <w:t>21</w:t>
      </w:r>
      <w:r w:rsidRPr="00173E7B">
        <w:rPr>
          <w:rFonts w:ascii="Arial Narrow" w:hAnsi="Arial Narrow"/>
          <w:bCs/>
        </w:rPr>
        <w:t xml:space="preserve"> a 202</w:t>
      </w:r>
      <w:r w:rsidR="001329D1" w:rsidRPr="00173E7B">
        <w:rPr>
          <w:rFonts w:ascii="Arial Narrow" w:hAnsi="Arial Narrow"/>
          <w:bCs/>
        </w:rPr>
        <w:t>2</w:t>
      </w:r>
      <w:r w:rsidRPr="00173E7B">
        <w:rPr>
          <w:rFonts w:ascii="Arial Narrow" w:hAnsi="Arial Narrow"/>
          <w:bCs/>
        </w:rPr>
        <w:t xml:space="preserve"> se </w:t>
      </w:r>
      <w:r w:rsidR="001329D1" w:rsidRPr="00173E7B">
        <w:rPr>
          <w:rFonts w:ascii="Arial Narrow" w:hAnsi="Arial Narrow"/>
          <w:bCs/>
        </w:rPr>
        <w:t>naopak snížil</w:t>
      </w:r>
      <w:r w:rsidRPr="00173E7B">
        <w:rPr>
          <w:rFonts w:ascii="Arial Narrow" w:hAnsi="Arial Narrow"/>
          <w:bCs/>
        </w:rPr>
        <w:t xml:space="preserve"> počet občanů Ruska (o </w:t>
      </w:r>
      <w:r w:rsidR="001329D1" w:rsidRPr="00173E7B">
        <w:rPr>
          <w:rFonts w:ascii="Arial Narrow" w:hAnsi="Arial Narrow"/>
          <w:bCs/>
        </w:rPr>
        <w:t>3,8</w:t>
      </w:r>
      <w:r w:rsidRPr="00173E7B">
        <w:rPr>
          <w:rFonts w:ascii="Arial Narrow" w:hAnsi="Arial Narrow"/>
          <w:bCs/>
        </w:rPr>
        <w:t xml:space="preserve"> %), </w:t>
      </w:r>
      <w:r w:rsidR="001329D1" w:rsidRPr="00173E7B">
        <w:rPr>
          <w:rFonts w:ascii="Arial Narrow" w:hAnsi="Arial Narrow"/>
          <w:bCs/>
        </w:rPr>
        <w:t>Německa</w:t>
      </w:r>
      <w:r w:rsidRPr="00173E7B">
        <w:rPr>
          <w:rFonts w:ascii="Arial Narrow" w:hAnsi="Arial Narrow"/>
          <w:bCs/>
        </w:rPr>
        <w:t xml:space="preserve"> (o </w:t>
      </w:r>
      <w:r w:rsidR="001329D1" w:rsidRPr="00173E7B">
        <w:rPr>
          <w:rFonts w:ascii="Arial Narrow" w:hAnsi="Arial Narrow"/>
          <w:bCs/>
        </w:rPr>
        <w:t>5,4</w:t>
      </w:r>
      <w:r w:rsidRPr="00173E7B">
        <w:rPr>
          <w:rFonts w:ascii="Arial Narrow" w:hAnsi="Arial Narrow"/>
          <w:bCs/>
        </w:rPr>
        <w:t xml:space="preserve"> %) a Velké Británie (o 9,0 %). </w:t>
      </w:r>
    </w:p>
    <w:p w14:paraId="42F936E3" w14:textId="7E687F4D" w:rsidR="00AC0E8E" w:rsidRPr="00173E7B" w:rsidRDefault="00AC0E8E" w:rsidP="00AC0E8E">
      <w:pPr>
        <w:spacing w:before="240" w:after="240" w:line="276" w:lineRule="auto"/>
        <w:jc w:val="both"/>
        <w:rPr>
          <w:rFonts w:ascii="Arial Narrow" w:hAnsi="Arial Narrow"/>
          <w:bCs/>
        </w:rPr>
      </w:pPr>
      <w:bookmarkStart w:id="111" w:name="_Hlk130809417"/>
      <w:bookmarkStart w:id="112" w:name="_Toc94443714"/>
      <w:r w:rsidRPr="00173E7B">
        <w:rPr>
          <w:rFonts w:ascii="Arial Narrow" w:hAnsi="Arial Narrow"/>
          <w:bCs/>
        </w:rPr>
        <w:t>Podíváme-li se na nejčastější země původu dle kategorie země původu, z hlediska osob pocházejících ze zemí EU dominovali občané Slovenska, jejichž počet na území ČR byl k 31. 12. 2022 celkem 117 265 osob. Druhou nejpočetnější skupinou občanů ze zemí EU tvořili občané Rumunska (celkem 19 724 osob)</w:t>
      </w:r>
      <w:r w:rsidR="004F04A7" w:rsidRPr="00173E7B">
        <w:rPr>
          <w:rFonts w:ascii="Arial Narrow" w:hAnsi="Arial Narrow"/>
          <w:bCs/>
        </w:rPr>
        <w:t>, třetí nejpočetnější skupinou byli</w:t>
      </w:r>
      <w:r w:rsidRPr="00173E7B">
        <w:rPr>
          <w:rFonts w:ascii="Arial Narrow" w:hAnsi="Arial Narrow"/>
          <w:bCs/>
        </w:rPr>
        <w:t xml:space="preserve"> občané Polska (17 884 osob). Nejčastější státní příslušnosti pocházející ze zemí EU, které </w:t>
      </w:r>
      <w:r w:rsidR="003C5787" w:rsidRPr="00173E7B">
        <w:rPr>
          <w:rFonts w:ascii="Arial Narrow" w:hAnsi="Arial Narrow"/>
          <w:bCs/>
        </w:rPr>
        <w:br/>
      </w:r>
      <w:r w:rsidRPr="00173E7B">
        <w:rPr>
          <w:rFonts w:ascii="Arial Narrow" w:hAnsi="Arial Narrow"/>
          <w:bCs/>
        </w:rPr>
        <w:t xml:space="preserve">k 31. 12. 2022 žily na území České republiky, tvořilo </w:t>
      </w:r>
      <w:r w:rsidR="00735D64" w:rsidRPr="00173E7B">
        <w:rPr>
          <w:rFonts w:ascii="Arial Narrow" w:hAnsi="Arial Narrow"/>
          <w:bCs/>
        </w:rPr>
        <w:t>10</w:t>
      </w:r>
      <w:r w:rsidRPr="00173E7B">
        <w:rPr>
          <w:rFonts w:ascii="Arial Narrow" w:hAnsi="Arial Narrow"/>
          <w:bCs/>
        </w:rPr>
        <w:t xml:space="preserve"> zemí – Slovensko, Rumunsko, Polsko, Bulharsko, Německo, Maďarsko, </w:t>
      </w:r>
      <w:r w:rsidR="00735D64" w:rsidRPr="00173E7B">
        <w:rPr>
          <w:rFonts w:ascii="Arial Narrow" w:hAnsi="Arial Narrow"/>
          <w:bCs/>
        </w:rPr>
        <w:t>Velká Británie</w:t>
      </w:r>
      <w:r w:rsidR="00735D64" w:rsidRPr="00173E7B">
        <w:rPr>
          <w:rStyle w:val="Znakapoznpodarou"/>
          <w:rFonts w:ascii="Arial Narrow" w:hAnsi="Arial Narrow"/>
          <w:bCs/>
        </w:rPr>
        <w:footnoteReference w:id="7"/>
      </w:r>
      <w:r w:rsidR="00735D64" w:rsidRPr="00173E7B">
        <w:rPr>
          <w:rFonts w:ascii="Arial Narrow" w:hAnsi="Arial Narrow"/>
          <w:bCs/>
        </w:rPr>
        <w:t xml:space="preserve">, </w:t>
      </w:r>
      <w:r w:rsidRPr="00173E7B">
        <w:rPr>
          <w:rFonts w:ascii="Arial Narrow" w:hAnsi="Arial Narrow"/>
          <w:bCs/>
        </w:rPr>
        <w:t xml:space="preserve">Itálie, Francie a Chorvatsko. </w:t>
      </w:r>
    </w:p>
    <w:p w14:paraId="72D63C04" w14:textId="67FAD526" w:rsidR="005E0A3F" w:rsidRPr="00CE357F" w:rsidRDefault="005E0A3F" w:rsidP="00AC0E8E">
      <w:pPr>
        <w:spacing w:before="240" w:after="240" w:line="276" w:lineRule="auto"/>
        <w:jc w:val="both"/>
        <w:rPr>
          <w:rFonts w:ascii="Arial Narrow" w:hAnsi="Arial Narrow"/>
          <w:bCs/>
        </w:rPr>
      </w:pPr>
      <w:r w:rsidRPr="00173E7B">
        <w:rPr>
          <w:rFonts w:ascii="Arial Narrow" w:hAnsi="Arial Narrow"/>
          <w:bCs/>
        </w:rPr>
        <w:t xml:space="preserve">Při pohledu na rozložení osob s jinou než českou státní příslušností ze zemí EU dle pohlaví vidíme v grafu </w:t>
      </w:r>
      <w:r w:rsidRPr="00173E7B">
        <w:rPr>
          <w:rFonts w:ascii="Arial Narrow" w:hAnsi="Arial Narrow"/>
          <w:bCs/>
          <w:color w:val="000000" w:themeColor="text1"/>
        </w:rPr>
        <w:t xml:space="preserve">č. </w:t>
      </w:r>
      <w:r w:rsidR="004C68A8" w:rsidRPr="00173E7B">
        <w:rPr>
          <w:rFonts w:ascii="Arial Narrow" w:hAnsi="Arial Narrow"/>
          <w:bCs/>
          <w:color w:val="000000" w:themeColor="text1"/>
        </w:rPr>
        <w:t>10</w:t>
      </w:r>
      <w:r w:rsidRPr="00173E7B">
        <w:rPr>
          <w:rFonts w:ascii="Arial Narrow" w:hAnsi="Arial Narrow"/>
          <w:bCs/>
          <w:color w:val="000000" w:themeColor="text1"/>
        </w:rPr>
        <w:t xml:space="preserve">, </w:t>
      </w:r>
      <w:r w:rsidRPr="00173E7B">
        <w:rPr>
          <w:rFonts w:ascii="Arial Narrow" w:hAnsi="Arial Narrow"/>
          <w:bCs/>
        </w:rPr>
        <w:t xml:space="preserve">že situace se napříč státní příslušností liší. Většinou převyšuje podíl mužů </w:t>
      </w:r>
      <w:r w:rsidR="0035755D" w:rsidRPr="00173E7B">
        <w:rPr>
          <w:rFonts w:ascii="Arial Narrow" w:hAnsi="Arial Narrow"/>
          <w:bCs/>
        </w:rPr>
        <w:t xml:space="preserve">nad </w:t>
      </w:r>
      <w:r w:rsidRPr="00173E7B">
        <w:rPr>
          <w:rFonts w:ascii="Arial Narrow" w:hAnsi="Arial Narrow"/>
          <w:bCs/>
        </w:rPr>
        <w:t>podí</w:t>
      </w:r>
      <w:r w:rsidR="0035755D" w:rsidRPr="00173E7B">
        <w:rPr>
          <w:rFonts w:ascii="Arial Narrow" w:hAnsi="Arial Narrow"/>
          <w:bCs/>
        </w:rPr>
        <w:t>lem</w:t>
      </w:r>
      <w:r w:rsidRPr="00173E7B">
        <w:rPr>
          <w:rFonts w:ascii="Arial Narrow" w:hAnsi="Arial Narrow"/>
          <w:bCs/>
        </w:rPr>
        <w:t xml:space="preserve"> žen. Výjimkou v tomto ohledu jsou občané Polska, u kterých ženy tvoří 55,01 %.</w:t>
      </w:r>
    </w:p>
    <w:p w14:paraId="103E15BE" w14:textId="4E0BA9CF" w:rsidR="000A5D0C" w:rsidRPr="00CE357F" w:rsidRDefault="395AAA7C" w:rsidP="000A5D0C">
      <w:pPr>
        <w:pStyle w:val="Titulek"/>
        <w:keepNext/>
        <w:spacing w:after="0"/>
        <w:jc w:val="both"/>
        <w:rPr>
          <w:rFonts w:ascii="Arial Narrow" w:hAnsi="Arial Narrow"/>
          <w:color w:val="auto"/>
          <w:sz w:val="20"/>
          <w:szCs w:val="20"/>
        </w:rPr>
      </w:pPr>
      <w:bookmarkStart w:id="113" w:name="_Toc136428854"/>
      <w:bookmarkEnd w:id="111"/>
      <w:r w:rsidRPr="2460258F">
        <w:rPr>
          <w:rFonts w:ascii="Arial Narrow" w:hAnsi="Arial Narrow"/>
          <w:color w:val="auto"/>
          <w:sz w:val="20"/>
          <w:szCs w:val="20"/>
        </w:rPr>
        <w:lastRenderedPageBreak/>
        <w:t xml:space="preserve">Graf </w:t>
      </w:r>
      <w:r w:rsidR="000A5D0C" w:rsidRPr="2460258F">
        <w:rPr>
          <w:rFonts w:ascii="Arial Narrow" w:hAnsi="Arial Narrow"/>
          <w:color w:val="auto"/>
          <w:sz w:val="20"/>
          <w:szCs w:val="20"/>
        </w:rPr>
        <w:fldChar w:fldCharType="begin"/>
      </w:r>
      <w:r w:rsidR="000A5D0C" w:rsidRPr="2460258F">
        <w:rPr>
          <w:rFonts w:ascii="Arial Narrow" w:hAnsi="Arial Narrow"/>
          <w:color w:val="auto"/>
          <w:sz w:val="20"/>
          <w:szCs w:val="20"/>
        </w:rPr>
        <w:instrText xml:space="preserve"> SEQ Graf \* ARABIC </w:instrText>
      </w:r>
      <w:r w:rsidR="000A5D0C" w:rsidRPr="2460258F">
        <w:rPr>
          <w:rFonts w:ascii="Arial Narrow" w:hAnsi="Arial Narrow"/>
          <w:color w:val="auto"/>
          <w:sz w:val="20"/>
          <w:szCs w:val="20"/>
        </w:rPr>
        <w:fldChar w:fldCharType="separate"/>
      </w:r>
      <w:r w:rsidR="009F49C8">
        <w:rPr>
          <w:rFonts w:ascii="Arial Narrow" w:hAnsi="Arial Narrow"/>
          <w:noProof/>
          <w:color w:val="auto"/>
          <w:sz w:val="20"/>
          <w:szCs w:val="20"/>
        </w:rPr>
        <w:t>10</w:t>
      </w:r>
      <w:r w:rsidR="000A5D0C" w:rsidRPr="2460258F">
        <w:rPr>
          <w:rFonts w:ascii="Arial Narrow" w:hAnsi="Arial Narrow"/>
          <w:color w:val="auto"/>
          <w:sz w:val="20"/>
          <w:szCs w:val="20"/>
        </w:rPr>
        <w:fldChar w:fldCharType="end"/>
      </w:r>
      <w:r w:rsidRPr="2460258F">
        <w:rPr>
          <w:rFonts w:ascii="Arial Narrow" w:hAnsi="Arial Narrow"/>
          <w:color w:val="auto"/>
          <w:sz w:val="20"/>
          <w:szCs w:val="20"/>
        </w:rPr>
        <w:t xml:space="preserve">: </w:t>
      </w:r>
      <w:r w:rsidR="2AC9A92B" w:rsidRPr="2460258F">
        <w:rPr>
          <w:rFonts w:ascii="Arial Narrow" w:hAnsi="Arial Narrow"/>
          <w:color w:val="auto"/>
          <w:sz w:val="20"/>
          <w:szCs w:val="20"/>
        </w:rPr>
        <w:t>Občané EU žijící v České republice dle národnosti a pohlaví k 31. 12. 202</w:t>
      </w:r>
      <w:bookmarkEnd w:id="112"/>
      <w:r w:rsidR="1DF6563D" w:rsidRPr="2460258F">
        <w:rPr>
          <w:rFonts w:ascii="Arial Narrow" w:hAnsi="Arial Narrow"/>
          <w:color w:val="auto"/>
          <w:sz w:val="20"/>
          <w:szCs w:val="20"/>
        </w:rPr>
        <w:t>2</w:t>
      </w:r>
      <w:bookmarkEnd w:id="113"/>
    </w:p>
    <w:p w14:paraId="629B1A1E" w14:textId="0F84FEDF" w:rsidR="00627775" w:rsidRPr="00CE357F" w:rsidRDefault="00735D64" w:rsidP="7CC7BF57">
      <w:pPr>
        <w:jc w:val="both"/>
        <w:rPr>
          <w:rFonts w:ascii="Arial Narrow" w:hAnsi="Arial Narrow"/>
        </w:rPr>
      </w:pPr>
      <w:r w:rsidRPr="00CE357F">
        <w:rPr>
          <w:rFonts w:ascii="Arial Narrow" w:hAnsi="Arial Narrow"/>
          <w:bCs/>
          <w:noProof/>
          <w:sz w:val="20"/>
          <w:szCs w:val="20"/>
          <w:lang w:eastAsia="cs-CZ"/>
        </w:rPr>
        <w:drawing>
          <wp:inline distT="0" distB="0" distL="0" distR="0" wp14:anchorId="7C32604A" wp14:editId="0352C8E1">
            <wp:extent cx="5760720" cy="2133600"/>
            <wp:effectExtent l="0" t="0" r="0" b="0"/>
            <wp:docPr id="2066" name="Graf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D2F7D4" w14:textId="18F1DC9A" w:rsidR="00D767BD" w:rsidRPr="00CE357F" w:rsidRDefault="00D767BD" w:rsidP="009014D2">
      <w:pPr>
        <w:spacing w:line="276" w:lineRule="auto"/>
        <w:jc w:val="both"/>
        <w:rPr>
          <w:rFonts w:ascii="Arial Narrow" w:hAnsi="Arial Narrow"/>
          <w:bCs/>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4F04A7">
        <w:rPr>
          <w:rFonts w:ascii="Arial Narrow" w:hAnsi="Arial Narrow"/>
          <w:sz w:val="20"/>
          <w:szCs w:val="20"/>
        </w:rPr>
        <w:t>2</w:t>
      </w:r>
      <w:r w:rsidRPr="00CE357F">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159BA1C6" w14:textId="7F7C3DFF" w:rsidR="00D767BD" w:rsidRDefault="00D767BD" w:rsidP="00CC76A0">
      <w:pPr>
        <w:spacing w:before="240" w:after="240" w:line="276" w:lineRule="auto"/>
        <w:jc w:val="both"/>
        <w:rPr>
          <w:rFonts w:ascii="Arial Narrow" w:hAnsi="Arial Narrow"/>
          <w:bCs/>
        </w:rPr>
      </w:pPr>
      <w:r w:rsidRPr="00CE357F">
        <w:rPr>
          <w:rFonts w:ascii="Arial Narrow" w:hAnsi="Arial Narrow"/>
          <w:bCs/>
        </w:rPr>
        <w:t>Z hlediska osob pocházejících ze třetích zemí dominovali občané Ukrajiny, kteří k 31. 12. 202</w:t>
      </w:r>
      <w:r w:rsidR="00B361AC">
        <w:rPr>
          <w:rFonts w:ascii="Arial Narrow" w:hAnsi="Arial Narrow"/>
          <w:bCs/>
        </w:rPr>
        <w:t>2</w:t>
      </w:r>
      <w:r w:rsidRPr="00CE357F">
        <w:rPr>
          <w:rFonts w:ascii="Arial Narrow" w:hAnsi="Arial Narrow"/>
          <w:bCs/>
        </w:rPr>
        <w:t xml:space="preserve"> tvořili </w:t>
      </w:r>
      <w:r w:rsidR="004B19A8">
        <w:rPr>
          <w:rFonts w:ascii="Arial Narrow" w:hAnsi="Arial Narrow"/>
          <w:bCs/>
        </w:rPr>
        <w:t>71</w:t>
      </w:r>
      <w:r w:rsidRPr="00CE357F">
        <w:rPr>
          <w:rFonts w:ascii="Arial Narrow" w:hAnsi="Arial Narrow"/>
          <w:bCs/>
        </w:rPr>
        <w:t>,</w:t>
      </w:r>
      <w:r w:rsidR="004B19A8">
        <w:rPr>
          <w:rFonts w:ascii="Arial Narrow" w:hAnsi="Arial Narrow"/>
          <w:bCs/>
        </w:rPr>
        <w:t>5</w:t>
      </w:r>
      <w:r w:rsidRPr="00CE357F">
        <w:rPr>
          <w:rFonts w:ascii="Arial Narrow" w:hAnsi="Arial Narrow"/>
          <w:bCs/>
        </w:rPr>
        <w:t xml:space="preserve"> % všech osob pocházejících ze třetích zemí žijících na území České republiky. Druhou </w:t>
      </w:r>
      <w:r w:rsidR="00EF74F4">
        <w:rPr>
          <w:rFonts w:ascii="Arial Narrow" w:hAnsi="Arial Narrow"/>
          <w:bCs/>
        </w:rPr>
        <w:t xml:space="preserve">a třetí </w:t>
      </w:r>
      <w:r w:rsidRPr="00CE357F">
        <w:rPr>
          <w:rFonts w:ascii="Arial Narrow" w:hAnsi="Arial Narrow"/>
          <w:bCs/>
        </w:rPr>
        <w:t>nejpočetnější skupin</w:t>
      </w:r>
      <w:r w:rsidR="00EF74F4">
        <w:rPr>
          <w:rFonts w:ascii="Arial Narrow" w:hAnsi="Arial Narrow"/>
          <w:bCs/>
        </w:rPr>
        <w:t>u</w:t>
      </w:r>
      <w:r w:rsidRPr="00CE357F">
        <w:rPr>
          <w:rFonts w:ascii="Arial Narrow" w:hAnsi="Arial Narrow"/>
          <w:bCs/>
        </w:rPr>
        <w:t xml:space="preserve"> občanů ze třetích zemí tvořili občané </w:t>
      </w:r>
      <w:r w:rsidR="002A322C" w:rsidRPr="00CE357F">
        <w:rPr>
          <w:rFonts w:ascii="Arial Narrow" w:hAnsi="Arial Narrow"/>
          <w:bCs/>
        </w:rPr>
        <w:t>Vietnamu</w:t>
      </w:r>
      <w:r w:rsidRPr="00CE357F">
        <w:rPr>
          <w:rFonts w:ascii="Arial Narrow" w:hAnsi="Arial Narrow"/>
          <w:bCs/>
        </w:rPr>
        <w:t xml:space="preserve"> (</w:t>
      </w:r>
      <w:r w:rsidR="004B19A8">
        <w:rPr>
          <w:rFonts w:ascii="Arial Narrow" w:hAnsi="Arial Narrow"/>
          <w:bCs/>
        </w:rPr>
        <w:t>7</w:t>
      </w:r>
      <w:r w:rsidR="002A322C" w:rsidRPr="00CE357F">
        <w:rPr>
          <w:rFonts w:ascii="Arial Narrow" w:hAnsi="Arial Narrow"/>
          <w:bCs/>
        </w:rPr>
        <w:t>,</w:t>
      </w:r>
      <w:r w:rsidR="004B19A8">
        <w:rPr>
          <w:rFonts w:ascii="Arial Narrow" w:hAnsi="Arial Narrow"/>
          <w:bCs/>
        </w:rPr>
        <w:t>5</w:t>
      </w:r>
      <w:r w:rsidR="00EF74F4">
        <w:rPr>
          <w:rFonts w:ascii="Arial Narrow" w:hAnsi="Arial Narrow"/>
          <w:bCs/>
        </w:rPr>
        <w:t xml:space="preserve"> </w:t>
      </w:r>
      <w:r w:rsidRPr="00CE357F">
        <w:rPr>
          <w:rFonts w:ascii="Arial Narrow" w:hAnsi="Arial Narrow"/>
          <w:bCs/>
        </w:rPr>
        <w:t xml:space="preserve">%) a občané </w:t>
      </w:r>
      <w:r w:rsidR="002A322C" w:rsidRPr="00CE357F">
        <w:rPr>
          <w:rFonts w:ascii="Arial Narrow" w:hAnsi="Arial Narrow"/>
          <w:bCs/>
        </w:rPr>
        <w:t>Ruska</w:t>
      </w:r>
      <w:r w:rsidRPr="00CE357F">
        <w:rPr>
          <w:rFonts w:ascii="Arial Narrow" w:hAnsi="Arial Narrow"/>
          <w:bCs/>
        </w:rPr>
        <w:t xml:space="preserve"> (</w:t>
      </w:r>
      <w:r w:rsidR="004B19A8">
        <w:rPr>
          <w:rFonts w:ascii="Arial Narrow" w:hAnsi="Arial Narrow"/>
          <w:bCs/>
        </w:rPr>
        <w:t>4</w:t>
      </w:r>
      <w:r w:rsidRPr="00CE357F">
        <w:rPr>
          <w:rFonts w:ascii="Arial Narrow" w:hAnsi="Arial Narrow"/>
          <w:bCs/>
        </w:rPr>
        <w:t>,</w:t>
      </w:r>
      <w:r w:rsidR="004B19A8">
        <w:rPr>
          <w:rFonts w:ascii="Arial Narrow" w:hAnsi="Arial Narrow"/>
          <w:bCs/>
        </w:rPr>
        <w:t>9</w:t>
      </w:r>
      <w:r w:rsidRPr="00CE357F">
        <w:rPr>
          <w:rFonts w:ascii="Arial Narrow" w:hAnsi="Arial Narrow"/>
          <w:bCs/>
        </w:rPr>
        <w:t xml:space="preserve"> %).</w:t>
      </w:r>
      <w:r w:rsidR="004B19A8">
        <w:rPr>
          <w:rFonts w:ascii="Arial Narrow" w:hAnsi="Arial Narrow"/>
          <w:bCs/>
        </w:rPr>
        <w:t xml:space="preserve"> </w:t>
      </w:r>
      <w:r w:rsidR="004B19A8" w:rsidRPr="00AC0E8E">
        <w:rPr>
          <w:rFonts w:ascii="Arial Narrow" w:hAnsi="Arial Narrow"/>
          <w:bCs/>
        </w:rPr>
        <w:t xml:space="preserve">Nejčastější státní příslušnosti pocházející ze </w:t>
      </w:r>
      <w:r w:rsidR="004B19A8">
        <w:rPr>
          <w:rFonts w:ascii="Arial Narrow" w:hAnsi="Arial Narrow"/>
          <w:bCs/>
        </w:rPr>
        <w:t xml:space="preserve">třetích </w:t>
      </w:r>
      <w:r w:rsidR="004B19A8" w:rsidRPr="00AC0E8E">
        <w:rPr>
          <w:rFonts w:ascii="Arial Narrow" w:hAnsi="Arial Narrow"/>
          <w:bCs/>
        </w:rPr>
        <w:t xml:space="preserve">zemí, které k 31. 12. 2022 žily na území České republiky, tvořilo </w:t>
      </w:r>
      <w:r w:rsidRPr="00CE357F">
        <w:rPr>
          <w:rFonts w:ascii="Arial Narrow" w:hAnsi="Arial Narrow"/>
          <w:bCs/>
        </w:rPr>
        <w:t xml:space="preserve">10 zemí – </w:t>
      </w:r>
      <w:r w:rsidR="002A322C" w:rsidRPr="00CE357F">
        <w:rPr>
          <w:rFonts w:ascii="Arial Narrow" w:hAnsi="Arial Narrow"/>
          <w:bCs/>
        </w:rPr>
        <w:t>Ukrajin</w:t>
      </w:r>
      <w:r w:rsidR="004B19A8">
        <w:rPr>
          <w:rFonts w:ascii="Arial Narrow" w:hAnsi="Arial Narrow"/>
          <w:bCs/>
        </w:rPr>
        <w:t>a</w:t>
      </w:r>
      <w:r w:rsidR="002A322C" w:rsidRPr="00CE357F">
        <w:rPr>
          <w:rFonts w:ascii="Arial Narrow" w:hAnsi="Arial Narrow"/>
          <w:bCs/>
        </w:rPr>
        <w:t>, Vietnam, Rusk</w:t>
      </w:r>
      <w:r w:rsidR="004B19A8">
        <w:rPr>
          <w:rFonts w:ascii="Arial Narrow" w:hAnsi="Arial Narrow"/>
          <w:bCs/>
        </w:rPr>
        <w:t>o</w:t>
      </w:r>
      <w:r w:rsidR="002A322C" w:rsidRPr="00CE357F">
        <w:rPr>
          <w:rFonts w:ascii="Arial Narrow" w:hAnsi="Arial Narrow"/>
          <w:bCs/>
        </w:rPr>
        <w:t>, Mongolsk</w:t>
      </w:r>
      <w:r w:rsidR="004B19A8">
        <w:rPr>
          <w:rFonts w:ascii="Arial Narrow" w:hAnsi="Arial Narrow"/>
          <w:bCs/>
        </w:rPr>
        <w:t>o</w:t>
      </w:r>
      <w:r w:rsidR="002A322C" w:rsidRPr="00CE357F">
        <w:rPr>
          <w:rFonts w:ascii="Arial Narrow" w:hAnsi="Arial Narrow"/>
          <w:bCs/>
        </w:rPr>
        <w:t>, USA, Čín</w:t>
      </w:r>
      <w:r w:rsidR="004B19A8">
        <w:rPr>
          <w:rFonts w:ascii="Arial Narrow" w:hAnsi="Arial Narrow"/>
          <w:bCs/>
        </w:rPr>
        <w:t>a</w:t>
      </w:r>
      <w:r w:rsidR="002A322C" w:rsidRPr="00CE357F">
        <w:rPr>
          <w:rFonts w:ascii="Arial Narrow" w:hAnsi="Arial Narrow"/>
          <w:bCs/>
        </w:rPr>
        <w:t>, Srbsk</w:t>
      </w:r>
      <w:r w:rsidR="004B19A8">
        <w:rPr>
          <w:rFonts w:ascii="Arial Narrow" w:hAnsi="Arial Narrow"/>
          <w:bCs/>
        </w:rPr>
        <w:t>o</w:t>
      </w:r>
      <w:r w:rsidR="002A322C" w:rsidRPr="00CE357F">
        <w:rPr>
          <w:rFonts w:ascii="Arial Narrow" w:hAnsi="Arial Narrow"/>
          <w:bCs/>
        </w:rPr>
        <w:t>, Bělorusk</w:t>
      </w:r>
      <w:r w:rsidR="004B19A8">
        <w:rPr>
          <w:rFonts w:ascii="Arial Narrow" w:hAnsi="Arial Narrow"/>
          <w:bCs/>
        </w:rPr>
        <w:t>o</w:t>
      </w:r>
      <w:r w:rsidR="002A322C" w:rsidRPr="00CE357F">
        <w:rPr>
          <w:rFonts w:ascii="Arial Narrow" w:hAnsi="Arial Narrow"/>
          <w:bCs/>
        </w:rPr>
        <w:t>, Moldavsk</w:t>
      </w:r>
      <w:r w:rsidR="004B19A8">
        <w:rPr>
          <w:rFonts w:ascii="Arial Narrow" w:hAnsi="Arial Narrow"/>
          <w:bCs/>
        </w:rPr>
        <w:t>o</w:t>
      </w:r>
      <w:r w:rsidR="002A322C" w:rsidRPr="00CE357F">
        <w:rPr>
          <w:rFonts w:ascii="Arial Narrow" w:hAnsi="Arial Narrow"/>
          <w:bCs/>
        </w:rPr>
        <w:t xml:space="preserve"> a Kazachstán</w:t>
      </w:r>
      <w:r w:rsidR="005263EF">
        <w:rPr>
          <w:rFonts w:ascii="Arial Narrow" w:hAnsi="Arial Narrow"/>
          <w:bCs/>
        </w:rPr>
        <w:t xml:space="preserve"> (graf č. 10)</w:t>
      </w:r>
      <w:r w:rsidR="002A322C" w:rsidRPr="00CE357F">
        <w:rPr>
          <w:rFonts w:ascii="Arial Narrow" w:hAnsi="Arial Narrow"/>
          <w:bCs/>
        </w:rPr>
        <w:t xml:space="preserve">. </w:t>
      </w:r>
      <w:r w:rsidRPr="00CE357F">
        <w:rPr>
          <w:rFonts w:ascii="Arial Narrow" w:hAnsi="Arial Narrow"/>
          <w:bCs/>
        </w:rPr>
        <w:t xml:space="preserve"> </w:t>
      </w:r>
    </w:p>
    <w:p w14:paraId="7CCB627F" w14:textId="2271847A" w:rsidR="005E0A3F" w:rsidRPr="00CE357F" w:rsidRDefault="005E0A3F" w:rsidP="00CC76A0">
      <w:pPr>
        <w:spacing w:before="240" w:after="240" w:line="276" w:lineRule="auto"/>
        <w:jc w:val="both"/>
        <w:rPr>
          <w:rFonts w:ascii="Arial Narrow" w:hAnsi="Arial Narrow"/>
          <w:bCs/>
        </w:rPr>
      </w:pPr>
      <w:r w:rsidRPr="00173E7B">
        <w:rPr>
          <w:rFonts w:ascii="Arial Narrow" w:hAnsi="Arial Narrow"/>
          <w:bCs/>
        </w:rPr>
        <w:t xml:space="preserve">Při pohledu na rozložení skupin osob dle pohlaví vidíme, že zvláště u osob s ukrajinskou národností je patrná převaha podílu žen (56,6 %) nad muži (43,4 %). Jedná se o </w:t>
      </w:r>
      <w:r w:rsidR="00BD219A" w:rsidRPr="00173E7B">
        <w:rPr>
          <w:rFonts w:ascii="Arial Narrow" w:hAnsi="Arial Narrow"/>
          <w:bCs/>
        </w:rPr>
        <w:t>zásadní</w:t>
      </w:r>
      <w:r w:rsidRPr="00173E7B">
        <w:rPr>
          <w:rFonts w:ascii="Arial Narrow" w:hAnsi="Arial Narrow"/>
          <w:bCs/>
        </w:rPr>
        <w:t xml:space="preserve"> proměnu poměru mužů a žen u této skupiny osob. V roce 2021 činil podíl žen </w:t>
      </w:r>
      <w:r w:rsidR="00BD219A" w:rsidRPr="00173E7B">
        <w:rPr>
          <w:rFonts w:ascii="Arial Narrow" w:hAnsi="Arial Narrow"/>
          <w:bCs/>
        </w:rPr>
        <w:t xml:space="preserve">pouze </w:t>
      </w:r>
      <w:r w:rsidRPr="00173E7B">
        <w:rPr>
          <w:rFonts w:ascii="Arial Narrow" w:hAnsi="Arial Narrow"/>
          <w:bCs/>
        </w:rPr>
        <w:t>42,95 %. Vysvětlení pro takto skokové převrácení dlouhodobě stabilního poměru je možno spatřovat ve specifické skupině příchozích občanů Ukrajiny do ČR v souvislosti s ruskou agresí a faktem, že v této skupině výrazně převažovaly ženy.</w:t>
      </w:r>
    </w:p>
    <w:p w14:paraId="75207D93" w14:textId="75272E99" w:rsidR="009014D2" w:rsidRDefault="002A322C" w:rsidP="002A322C">
      <w:pPr>
        <w:pStyle w:val="Titulek"/>
        <w:keepNext/>
        <w:spacing w:after="0"/>
        <w:jc w:val="both"/>
        <w:rPr>
          <w:rFonts w:ascii="Arial Narrow" w:hAnsi="Arial Narrow"/>
          <w:color w:val="auto"/>
          <w:sz w:val="20"/>
          <w:szCs w:val="20"/>
        </w:rPr>
      </w:pPr>
      <w:bookmarkStart w:id="114" w:name="_Toc94443715"/>
      <w:bookmarkStart w:id="115" w:name="_Toc136428855"/>
      <w:r w:rsidRPr="7CC7BF57">
        <w:rPr>
          <w:rFonts w:ascii="Arial Narrow" w:hAnsi="Arial Narrow"/>
          <w:color w:val="auto"/>
          <w:sz w:val="20"/>
          <w:szCs w:val="20"/>
        </w:rPr>
        <w:t xml:space="preserve">Graf </w:t>
      </w:r>
      <w:r w:rsidRPr="7CC7BF57">
        <w:rPr>
          <w:rFonts w:ascii="Arial Narrow" w:hAnsi="Arial Narrow"/>
          <w:color w:val="auto"/>
          <w:sz w:val="20"/>
          <w:szCs w:val="20"/>
        </w:rPr>
        <w:fldChar w:fldCharType="begin"/>
      </w:r>
      <w:r w:rsidRPr="7CC7BF57">
        <w:rPr>
          <w:rFonts w:ascii="Arial Narrow" w:hAnsi="Arial Narrow"/>
          <w:color w:val="auto"/>
          <w:sz w:val="20"/>
          <w:szCs w:val="20"/>
        </w:rPr>
        <w:instrText xml:space="preserve"> SEQ Graf \* ARABIC </w:instrText>
      </w:r>
      <w:r w:rsidRPr="7CC7BF57">
        <w:rPr>
          <w:rFonts w:ascii="Arial Narrow" w:hAnsi="Arial Narrow"/>
          <w:color w:val="auto"/>
          <w:sz w:val="20"/>
          <w:szCs w:val="20"/>
        </w:rPr>
        <w:fldChar w:fldCharType="separate"/>
      </w:r>
      <w:r w:rsidR="009F49C8">
        <w:rPr>
          <w:rFonts w:ascii="Arial Narrow" w:hAnsi="Arial Narrow"/>
          <w:noProof/>
          <w:color w:val="auto"/>
          <w:sz w:val="20"/>
          <w:szCs w:val="20"/>
        </w:rPr>
        <w:t>11</w:t>
      </w:r>
      <w:r w:rsidRPr="7CC7BF57">
        <w:rPr>
          <w:rFonts w:ascii="Arial Narrow" w:hAnsi="Arial Narrow"/>
          <w:color w:val="auto"/>
          <w:sz w:val="20"/>
          <w:szCs w:val="20"/>
        </w:rPr>
        <w:fldChar w:fldCharType="end"/>
      </w:r>
      <w:r w:rsidRPr="7CC7BF57">
        <w:rPr>
          <w:rFonts w:ascii="Arial Narrow" w:hAnsi="Arial Narrow"/>
          <w:color w:val="auto"/>
          <w:sz w:val="20"/>
          <w:szCs w:val="20"/>
        </w:rPr>
        <w:t>: Občané třetích zemí žijící v České republice dle národnosti a pohlaví k 31. 12. 202</w:t>
      </w:r>
      <w:bookmarkEnd w:id="114"/>
      <w:r w:rsidR="004B19A8" w:rsidRPr="7CC7BF57">
        <w:rPr>
          <w:rFonts w:ascii="Arial Narrow" w:hAnsi="Arial Narrow"/>
          <w:color w:val="auto"/>
          <w:sz w:val="20"/>
          <w:szCs w:val="20"/>
        </w:rPr>
        <w:t>2</w:t>
      </w:r>
      <w:bookmarkEnd w:id="115"/>
    </w:p>
    <w:p w14:paraId="659DED0E" w14:textId="769C1DE8" w:rsidR="004B19A8" w:rsidRPr="004B19A8" w:rsidRDefault="004B19A8" w:rsidP="004B19A8">
      <w:r w:rsidRPr="00CE357F">
        <w:rPr>
          <w:rFonts w:ascii="Arial Narrow" w:hAnsi="Arial Narrow"/>
          <w:bCs/>
          <w:noProof/>
          <w:lang w:eastAsia="cs-CZ"/>
        </w:rPr>
        <w:drawing>
          <wp:inline distT="0" distB="0" distL="0" distR="0" wp14:anchorId="5E3435BB" wp14:editId="79B4AFA7">
            <wp:extent cx="5760720" cy="2886075"/>
            <wp:effectExtent l="0" t="0" r="0" b="0"/>
            <wp:docPr id="2122" name="Graf 2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61644B" w14:textId="178D98A3" w:rsidR="002A322C" w:rsidRPr="00CE357F" w:rsidRDefault="002A322C" w:rsidP="002A322C">
      <w:pPr>
        <w:spacing w:line="276" w:lineRule="auto"/>
        <w:jc w:val="both"/>
        <w:rPr>
          <w:rFonts w:ascii="Arial Narrow" w:hAnsi="Arial Narrow"/>
          <w:bCs/>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4B19A8">
        <w:rPr>
          <w:rFonts w:ascii="Arial Narrow" w:hAnsi="Arial Narrow"/>
          <w:sz w:val="20"/>
          <w:szCs w:val="20"/>
        </w:rPr>
        <w:t>2</w:t>
      </w:r>
      <w:r w:rsidRPr="00CE357F">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bookmarkEnd w:id="101"/>
    <w:p w14:paraId="46E3DFC1" w14:textId="77777777" w:rsidR="00AE4EE1" w:rsidRPr="00CE357F" w:rsidRDefault="00AE4EE1" w:rsidP="00AE4EE1">
      <w:pPr>
        <w:spacing w:line="276" w:lineRule="auto"/>
        <w:rPr>
          <w:rFonts w:ascii="Arial Narrow" w:hAnsi="Arial Narrow"/>
          <w:b/>
          <w:color w:val="C00000"/>
          <w:highlight w:val="yellow"/>
        </w:rPr>
      </w:pPr>
    </w:p>
    <w:p w14:paraId="7D6DDF73" w14:textId="77777777" w:rsidR="009014D2" w:rsidRPr="00CE357F" w:rsidRDefault="009014D2" w:rsidP="00AE4EE1">
      <w:pPr>
        <w:spacing w:line="276" w:lineRule="auto"/>
        <w:rPr>
          <w:rFonts w:ascii="Arial Narrow" w:hAnsi="Arial Narrow"/>
          <w:b/>
          <w:color w:val="2F5496" w:themeColor="accent1" w:themeShade="BF"/>
        </w:rPr>
      </w:pPr>
    </w:p>
    <w:p w14:paraId="0CD6F13D" w14:textId="42BD83F7" w:rsidR="00AE4EE1" w:rsidRPr="00CE357F" w:rsidRDefault="00AE4EE1" w:rsidP="00AE4EE1">
      <w:pPr>
        <w:jc w:val="both"/>
        <w:rPr>
          <w:rFonts w:ascii="Arial Narrow" w:hAnsi="Arial Narrow"/>
          <w:b/>
          <w:bCs/>
          <w:color w:val="C00000"/>
        </w:rPr>
      </w:pPr>
      <w:r w:rsidRPr="00CE357F">
        <w:rPr>
          <w:rFonts w:ascii="Arial Narrow" w:hAnsi="Arial Narrow"/>
          <w:b/>
          <w:bCs/>
          <w:color w:val="C00000"/>
        </w:rPr>
        <w:lastRenderedPageBreak/>
        <w:t>Osoby s jinou než českou státní příslušností v</w:t>
      </w:r>
      <w:r w:rsidR="009014D2" w:rsidRPr="00CE357F">
        <w:rPr>
          <w:rFonts w:ascii="Arial Narrow" w:hAnsi="Arial Narrow"/>
          <w:b/>
          <w:bCs/>
          <w:color w:val="C00000"/>
        </w:rPr>
        <w:t> Jihomoravském kraji</w:t>
      </w:r>
      <w:r w:rsidRPr="00CE357F">
        <w:rPr>
          <w:rFonts w:ascii="Arial Narrow" w:hAnsi="Arial Narrow"/>
          <w:b/>
          <w:bCs/>
          <w:color w:val="C00000"/>
        </w:rPr>
        <w:t xml:space="preserve"> v letech 2005</w:t>
      </w:r>
      <w:r w:rsidR="00BB3D9D" w:rsidRPr="00CE357F">
        <w:rPr>
          <w:rFonts w:ascii="Arial Narrow" w:hAnsi="Arial Narrow"/>
          <w:b/>
          <w:bCs/>
          <w:color w:val="C00000"/>
        </w:rPr>
        <w:t>–</w:t>
      </w:r>
      <w:r w:rsidRPr="00CE357F">
        <w:rPr>
          <w:rFonts w:ascii="Arial Narrow" w:hAnsi="Arial Narrow"/>
          <w:b/>
          <w:bCs/>
          <w:color w:val="C00000"/>
        </w:rPr>
        <w:t>202</w:t>
      </w:r>
      <w:r w:rsidR="004B19A8">
        <w:rPr>
          <w:rFonts w:ascii="Arial Narrow" w:hAnsi="Arial Narrow"/>
          <w:b/>
          <w:bCs/>
          <w:color w:val="C00000"/>
        </w:rPr>
        <w:t>2</w:t>
      </w:r>
      <w:r w:rsidRPr="00CE357F">
        <w:rPr>
          <w:rFonts w:ascii="Arial Narrow" w:hAnsi="Arial Narrow"/>
          <w:b/>
          <w:bCs/>
          <w:color w:val="C00000"/>
        </w:rPr>
        <w:t xml:space="preserve"> podle státní příslušnosti</w:t>
      </w:r>
    </w:p>
    <w:p w14:paraId="05943083" w14:textId="2115C0DF" w:rsidR="002A322C" w:rsidRPr="00CE357F" w:rsidRDefault="002A322C" w:rsidP="00AE4EE1">
      <w:pPr>
        <w:jc w:val="both"/>
        <w:rPr>
          <w:rFonts w:ascii="Arial Narrow" w:hAnsi="Arial Narrow"/>
          <w:b/>
          <w:bCs/>
          <w:color w:val="C00000"/>
        </w:rPr>
      </w:pPr>
    </w:p>
    <w:p w14:paraId="7D273837" w14:textId="47F485C5" w:rsidR="00BD219A" w:rsidRPr="00CE357F" w:rsidRDefault="00EF6A55" w:rsidP="005263EF">
      <w:pPr>
        <w:spacing w:after="240" w:line="276" w:lineRule="auto"/>
        <w:jc w:val="both"/>
        <w:rPr>
          <w:rFonts w:ascii="Arial Narrow" w:hAnsi="Arial Narrow"/>
          <w:bCs/>
        </w:rPr>
      </w:pPr>
      <w:bookmarkStart w:id="116" w:name="_Toc94443716"/>
      <w:r w:rsidRPr="00EF6A55">
        <w:rPr>
          <w:rFonts w:ascii="Arial Narrow" w:hAnsi="Arial Narrow"/>
          <w:bCs/>
        </w:rPr>
        <w:t xml:space="preserve">K 31. 12. 2022 žilo na území Jihomoravského kraje celkem 111 130 osob s jinou než českou státní příslušností (včetně azylantů). </w:t>
      </w:r>
      <w:bookmarkStart w:id="117" w:name="_Hlk131513571"/>
      <w:r w:rsidRPr="00EF6A55">
        <w:rPr>
          <w:rFonts w:ascii="Arial Narrow" w:hAnsi="Arial Narrow"/>
          <w:bCs/>
        </w:rPr>
        <w:t xml:space="preserve">Nadpoloviční většinu osob s jinou </w:t>
      </w:r>
      <w:r w:rsidR="002554E4">
        <w:rPr>
          <w:rFonts w:ascii="Arial Narrow" w:hAnsi="Arial Narrow"/>
          <w:bCs/>
        </w:rPr>
        <w:t xml:space="preserve">než českou </w:t>
      </w:r>
      <w:r w:rsidRPr="00EF6A55">
        <w:rPr>
          <w:rFonts w:ascii="Arial Narrow" w:hAnsi="Arial Narrow"/>
          <w:bCs/>
        </w:rPr>
        <w:t xml:space="preserve">státní příslušností v Jihomoravském kraji tvořili Ukrajinci (56,3 %). Dále jsou v JMK významněji přítomni občané Slovenska (14,1 %,) Vietnamu (4,5 %), a Ruska (3 %). </w:t>
      </w:r>
      <w:bookmarkEnd w:id="117"/>
      <w:r w:rsidRPr="00EF6A55">
        <w:rPr>
          <w:rFonts w:ascii="Arial Narrow" w:hAnsi="Arial Narrow"/>
          <w:bCs/>
        </w:rPr>
        <w:t>Občané těchto čtyř států tvořili k datu 31. 12. 2022 celkem 77,4 % všech osob s jinou než českou státní příslušností žijících na území Jihomoravského kraje. Mezi další významně zastoupené skupiny občanů v Jihomoravském kraji patřili k 31. 12. 2022 také občané Rumunska (1,2 %), Bulharska (0,9 %) a Polska (0,9 %).</w:t>
      </w:r>
      <w:r w:rsidR="005263EF">
        <w:rPr>
          <w:rFonts w:ascii="Arial Narrow" w:hAnsi="Arial Narrow"/>
          <w:bCs/>
        </w:rPr>
        <w:t xml:space="preserve"> </w:t>
      </w:r>
      <w:r w:rsidRPr="005263EF">
        <w:rPr>
          <w:rFonts w:ascii="Arial Narrow" w:hAnsi="Arial Narrow"/>
          <w:bCs/>
          <w:color w:val="000000" w:themeColor="text1"/>
        </w:rPr>
        <w:t>Osoby s jinou než českou státní příslušností žijící na území Jihomoravského kraje k 31. 12. 2022 podle 30 nejčastějších zemí původu podrobně dokumentuje graf</w:t>
      </w:r>
      <w:r w:rsidR="005263EF" w:rsidRPr="005263EF">
        <w:rPr>
          <w:rFonts w:ascii="Arial Narrow" w:hAnsi="Arial Narrow"/>
          <w:bCs/>
          <w:color w:val="000000" w:themeColor="text1"/>
        </w:rPr>
        <w:t xml:space="preserve"> č. 12</w:t>
      </w:r>
      <w:r w:rsidRPr="005263EF">
        <w:rPr>
          <w:rFonts w:ascii="Arial Narrow" w:hAnsi="Arial Narrow"/>
          <w:bCs/>
          <w:color w:val="000000" w:themeColor="text1"/>
        </w:rPr>
        <w:t xml:space="preserve">. </w:t>
      </w:r>
    </w:p>
    <w:p w14:paraId="4C478ABC" w14:textId="1A2929FF" w:rsidR="00AE4EE1" w:rsidRPr="00CE357F" w:rsidRDefault="0C441AC9" w:rsidP="00BD219A">
      <w:pPr>
        <w:pStyle w:val="Titulek"/>
        <w:keepNext/>
        <w:spacing w:after="0"/>
        <w:jc w:val="both"/>
        <w:rPr>
          <w:rFonts w:ascii="Arial Narrow" w:hAnsi="Arial Narrow"/>
        </w:rPr>
      </w:pPr>
      <w:bookmarkStart w:id="118" w:name="_Toc136428856"/>
      <w:r w:rsidRPr="00173E7B">
        <w:rPr>
          <w:rFonts w:ascii="Arial Narrow" w:hAnsi="Arial Narrow"/>
          <w:color w:val="auto"/>
          <w:sz w:val="20"/>
          <w:szCs w:val="20"/>
        </w:rPr>
        <w:t xml:space="preserve">Graf </w:t>
      </w:r>
      <w:r w:rsidR="002A322C" w:rsidRPr="00173E7B">
        <w:rPr>
          <w:rFonts w:ascii="Arial Narrow" w:hAnsi="Arial Narrow"/>
          <w:color w:val="auto"/>
          <w:sz w:val="20"/>
          <w:szCs w:val="20"/>
        </w:rPr>
        <w:fldChar w:fldCharType="begin"/>
      </w:r>
      <w:r w:rsidR="002A322C" w:rsidRPr="00173E7B">
        <w:rPr>
          <w:rFonts w:ascii="Arial Narrow" w:hAnsi="Arial Narrow"/>
          <w:color w:val="auto"/>
          <w:sz w:val="20"/>
          <w:szCs w:val="20"/>
        </w:rPr>
        <w:instrText xml:space="preserve"> SEQ Graf \* ARABIC </w:instrText>
      </w:r>
      <w:r w:rsidR="002A322C"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12</w:t>
      </w:r>
      <w:r w:rsidR="002A322C" w:rsidRPr="00173E7B">
        <w:rPr>
          <w:rFonts w:ascii="Arial Narrow" w:hAnsi="Arial Narrow"/>
          <w:color w:val="auto"/>
          <w:sz w:val="20"/>
          <w:szCs w:val="20"/>
        </w:rPr>
        <w:fldChar w:fldCharType="end"/>
      </w:r>
      <w:r w:rsidRPr="00173E7B">
        <w:rPr>
          <w:rFonts w:ascii="Arial Narrow" w:hAnsi="Arial Narrow"/>
          <w:color w:val="auto"/>
          <w:sz w:val="20"/>
          <w:szCs w:val="20"/>
        </w:rPr>
        <w:t xml:space="preserve">: </w:t>
      </w:r>
      <w:bookmarkEnd w:id="116"/>
      <w:r w:rsidR="00BD219A" w:rsidRPr="00173E7B">
        <w:rPr>
          <w:rFonts w:ascii="Arial Narrow" w:hAnsi="Arial Narrow"/>
          <w:color w:val="auto"/>
          <w:sz w:val="20"/>
          <w:szCs w:val="20"/>
        </w:rPr>
        <w:t>Osoby s jinou než českou státní příslušností v Jihomoravském kraji k 31. 12. 2022 – 30 nejčastějších zemí původu</w:t>
      </w:r>
      <w:r w:rsidR="00BD219A" w:rsidRPr="00BD219A">
        <w:rPr>
          <w:rFonts w:ascii="Arial Narrow" w:hAnsi="Arial Narrow"/>
          <w:color w:val="auto"/>
          <w:sz w:val="20"/>
          <w:szCs w:val="20"/>
        </w:rPr>
        <w:t xml:space="preserve"> </w:t>
      </w:r>
      <w:r w:rsidR="00AE4EE1" w:rsidRPr="00CE357F">
        <w:rPr>
          <w:rFonts w:ascii="Arial Narrow" w:hAnsi="Arial Narrow"/>
          <w:noProof/>
          <w:lang w:eastAsia="cs-CZ"/>
        </w:rPr>
        <w:drawing>
          <wp:anchor distT="0" distB="0" distL="114300" distR="114300" simplePos="0" relativeHeight="251643392" behindDoc="0" locked="0" layoutInCell="1" allowOverlap="1" wp14:anchorId="3337D7B8" wp14:editId="16F80F7F">
            <wp:simplePos x="0" y="0"/>
            <wp:positionH relativeFrom="column">
              <wp:posOffset>2623820</wp:posOffset>
            </wp:positionH>
            <wp:positionV relativeFrom="paragraph">
              <wp:posOffset>3601720</wp:posOffset>
            </wp:positionV>
            <wp:extent cx="2925793" cy="2179248"/>
            <wp:effectExtent l="38100" t="57150" r="103505" b="107315"/>
            <wp:wrapNone/>
            <wp:docPr id="2115" name="Diagram 2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EF6A55" w:rsidRPr="00CE357F">
        <w:rPr>
          <w:rFonts w:ascii="Arial Narrow" w:hAnsi="Arial Narrow"/>
          <w:noProof/>
          <w:lang w:eastAsia="cs-CZ"/>
        </w:rPr>
        <w:drawing>
          <wp:inline distT="0" distB="0" distL="0" distR="0" wp14:anchorId="5757AADF" wp14:editId="2C3A65C4">
            <wp:extent cx="5826642" cy="5635256"/>
            <wp:effectExtent l="0" t="0" r="3175" b="3810"/>
            <wp:docPr id="2110" name="Graf 2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18"/>
    </w:p>
    <w:p w14:paraId="3A2A010D" w14:textId="575EE10D" w:rsidR="00AE4EE1" w:rsidRPr="00BD219A" w:rsidRDefault="0014086F" w:rsidP="00BD219A">
      <w:pPr>
        <w:spacing w:line="276" w:lineRule="auto"/>
        <w:jc w:val="both"/>
        <w:rPr>
          <w:rFonts w:ascii="Arial Narrow" w:hAnsi="Arial Narrow"/>
          <w:bCs/>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EF6A55">
        <w:rPr>
          <w:rFonts w:ascii="Arial Narrow" w:hAnsi="Arial Narrow"/>
          <w:sz w:val="20"/>
          <w:szCs w:val="20"/>
        </w:rPr>
        <w:t>2</w:t>
      </w:r>
      <w:r w:rsidRPr="00CE357F">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32C5AB80" w14:textId="77777777" w:rsidR="00AE4EE1" w:rsidRPr="00CE357F" w:rsidRDefault="00AE4EE1" w:rsidP="00AE4EE1">
      <w:pPr>
        <w:spacing w:line="276" w:lineRule="auto"/>
        <w:rPr>
          <w:rFonts w:ascii="Arial Narrow" w:hAnsi="Arial Narrow"/>
          <w:b/>
          <w:color w:val="2F5496" w:themeColor="accent1" w:themeShade="BF"/>
        </w:rPr>
      </w:pPr>
    </w:p>
    <w:p w14:paraId="08C85DE9" w14:textId="77777777" w:rsidR="00B85D74" w:rsidRPr="00CE357F" w:rsidRDefault="00B85D74" w:rsidP="001852CC">
      <w:pPr>
        <w:spacing w:after="240" w:line="276" w:lineRule="auto"/>
        <w:jc w:val="both"/>
        <w:rPr>
          <w:rFonts w:ascii="Arial Narrow" w:hAnsi="Arial Narrow"/>
          <w:b/>
          <w:u w:val="single"/>
        </w:rPr>
      </w:pPr>
      <w:r w:rsidRPr="00CE357F">
        <w:rPr>
          <w:rFonts w:ascii="Arial Narrow" w:hAnsi="Arial Narrow"/>
          <w:b/>
          <w:u w:val="single"/>
        </w:rPr>
        <w:lastRenderedPageBreak/>
        <w:t>Občané Slovenska v České republice a v Jihomoravském kraji</w:t>
      </w:r>
    </w:p>
    <w:p w14:paraId="532EBCF2" w14:textId="08EACBC9" w:rsidR="002554E4" w:rsidRPr="002554E4" w:rsidRDefault="7A35B1F1" w:rsidP="2460258F">
      <w:pPr>
        <w:spacing w:after="240" w:line="276" w:lineRule="auto"/>
        <w:jc w:val="both"/>
        <w:rPr>
          <w:rFonts w:ascii="Arial Narrow" w:hAnsi="Arial Narrow"/>
        </w:rPr>
      </w:pPr>
      <w:bookmarkStart w:id="119" w:name="_Toc94443717"/>
      <w:r w:rsidRPr="00173E7B">
        <w:rPr>
          <w:rFonts w:ascii="Arial Narrow" w:hAnsi="Arial Narrow"/>
        </w:rPr>
        <w:t xml:space="preserve">Občané Slovenska tvořili k závěru roku 2022 </w:t>
      </w:r>
      <w:r w:rsidR="00726A57" w:rsidRPr="00173E7B">
        <w:rPr>
          <w:rFonts w:ascii="Arial Narrow" w:hAnsi="Arial Narrow"/>
        </w:rPr>
        <w:t xml:space="preserve">celkem </w:t>
      </w:r>
      <w:r w:rsidRPr="00173E7B">
        <w:rPr>
          <w:rFonts w:ascii="Arial Narrow" w:hAnsi="Arial Narrow"/>
        </w:rPr>
        <w:t xml:space="preserve">14,1 % osob s jinou než českou státní příslušností žijících v Jihomoravském kraji. </w:t>
      </w:r>
      <w:r w:rsidR="00726A57" w:rsidRPr="00173E7B">
        <w:rPr>
          <w:rFonts w:ascii="Arial Narrow" w:hAnsi="Arial Narrow"/>
        </w:rPr>
        <w:t xml:space="preserve">Podíl je oproti předchozímu vývoji, kdy dosahoval hodnot až 26 % všech cizinců, v současnosti výrazně nižší. Tato skutečnost je dána výrazným navýšením počtu osob ukrajinské národnosti. Celkový počet občanů Slovenska zůstává v JMK </w:t>
      </w:r>
      <w:r w:rsidR="00574025" w:rsidRPr="00173E7B">
        <w:rPr>
          <w:rFonts w:ascii="Arial Narrow" w:hAnsi="Arial Narrow"/>
        </w:rPr>
        <w:t xml:space="preserve">poměrně </w:t>
      </w:r>
      <w:r w:rsidR="00726A57" w:rsidRPr="00173E7B">
        <w:rPr>
          <w:rFonts w:ascii="Arial Narrow" w:hAnsi="Arial Narrow"/>
        </w:rPr>
        <w:t>stabilní a pohybuje se okolo 15</w:t>
      </w:r>
      <w:r w:rsidR="00A75CDE" w:rsidRPr="00173E7B">
        <w:rPr>
          <w:rFonts w:ascii="Arial Narrow" w:hAnsi="Arial Narrow"/>
        </w:rPr>
        <w:t xml:space="preserve"> 0</w:t>
      </w:r>
      <w:r w:rsidR="00726A57" w:rsidRPr="00173E7B">
        <w:rPr>
          <w:rFonts w:ascii="Arial Narrow" w:hAnsi="Arial Narrow"/>
        </w:rPr>
        <w:t>00 občanů</w:t>
      </w:r>
      <w:r w:rsidR="008B0630" w:rsidRPr="00173E7B">
        <w:rPr>
          <w:rFonts w:ascii="Arial Narrow" w:hAnsi="Arial Narrow"/>
        </w:rPr>
        <w:t xml:space="preserve">, roce 2022 </w:t>
      </w:r>
      <w:r w:rsidR="00574025" w:rsidRPr="00173E7B">
        <w:rPr>
          <w:rFonts w:ascii="Arial Narrow" w:hAnsi="Arial Narrow"/>
        </w:rPr>
        <w:t xml:space="preserve">byl konkrétně 15 715 a </w:t>
      </w:r>
      <w:r w:rsidR="008B0630" w:rsidRPr="00173E7B">
        <w:rPr>
          <w:rFonts w:ascii="Arial Narrow" w:hAnsi="Arial Narrow"/>
        </w:rPr>
        <w:t>tvořil 1,29 %</w:t>
      </w:r>
      <w:r w:rsidR="00574025" w:rsidRPr="00173E7B">
        <w:rPr>
          <w:rFonts w:ascii="Arial Narrow" w:hAnsi="Arial Narrow"/>
        </w:rPr>
        <w:t xml:space="preserve"> všech občanů JMK</w:t>
      </w:r>
      <w:r w:rsidR="00726A57" w:rsidRPr="00173E7B">
        <w:rPr>
          <w:rFonts w:ascii="Arial Narrow" w:hAnsi="Arial Narrow"/>
        </w:rPr>
        <w:t>.</w:t>
      </w:r>
      <w:r w:rsidR="00726A57" w:rsidRPr="00726A57">
        <w:rPr>
          <w:rFonts w:ascii="Arial Narrow" w:hAnsi="Arial Narrow"/>
        </w:rPr>
        <w:t xml:space="preserve"> </w:t>
      </w:r>
    </w:p>
    <w:p w14:paraId="43137D16" w14:textId="597BEA76" w:rsidR="002554E4" w:rsidRPr="002554E4" w:rsidRDefault="002554E4" w:rsidP="005263EF">
      <w:pPr>
        <w:spacing w:after="240" w:line="276" w:lineRule="auto"/>
        <w:jc w:val="both"/>
        <w:rPr>
          <w:rFonts w:ascii="Arial Narrow" w:hAnsi="Arial Narrow"/>
          <w:bCs/>
        </w:rPr>
      </w:pPr>
      <w:bookmarkStart w:id="120" w:name="_Hlk95484971"/>
      <w:r w:rsidRPr="002554E4">
        <w:rPr>
          <w:rFonts w:ascii="Arial Narrow" w:hAnsi="Arial Narrow"/>
          <w:bCs/>
        </w:rPr>
        <w:t>Podíl občanů Slovenska žijících v Jihomoravském kraji je dlouhodobě vyšší než podíl občanů Slovenska na celkovém počtu osob s jinou než českou státní příslušností žijících na území celé České republiky</w:t>
      </w:r>
      <w:r w:rsidR="005263EF">
        <w:rPr>
          <w:rFonts w:ascii="Arial Narrow" w:hAnsi="Arial Narrow"/>
          <w:bCs/>
        </w:rPr>
        <w:t xml:space="preserve"> (zobrazuje graf č. 13)</w:t>
      </w:r>
      <w:r w:rsidRPr="002554E4">
        <w:rPr>
          <w:rFonts w:ascii="Arial Narrow" w:hAnsi="Arial Narrow"/>
          <w:bCs/>
        </w:rPr>
        <w:t xml:space="preserve">. </w:t>
      </w:r>
      <w:bookmarkEnd w:id="120"/>
      <w:r w:rsidRPr="002554E4">
        <w:rPr>
          <w:rFonts w:ascii="Arial Narrow" w:hAnsi="Arial Narrow"/>
          <w:bCs/>
        </w:rPr>
        <w:t xml:space="preserve">Občané Slovenska tvořili k 31. 12. 2022 zhruba 1/10 všech osob s jinou než českou státní příslušností žijících v České republice. Podobně jako v případě Jihomoravského kraje, mezi lety 2010 a 2015 došlo k nárůstu tohoto podílu z 16,9 % v roce 2010 na 21,9 % v roce 2015. </w:t>
      </w:r>
      <w:bookmarkStart w:id="121" w:name="_Hlk95484994"/>
      <w:r w:rsidRPr="002554E4">
        <w:rPr>
          <w:rFonts w:ascii="Arial Narrow" w:hAnsi="Arial Narrow"/>
          <w:bCs/>
        </w:rPr>
        <w:t xml:space="preserve">Zatímco v případě Jihomoravského kraje podíl občanů Slovenska od roku 2015 do 2020 zůstával poměrně stabilní, v rámci celorepublikového průměru dlouhodobě mírně klesá. V roce 2021 podíl Slováků výrazněji klesnul na 17,4 % a v roce 2022 se i v důsledku příchodu Ukrajinských </w:t>
      </w:r>
      <w:r w:rsidR="008F50EF">
        <w:rPr>
          <w:rFonts w:ascii="Arial Narrow" w:hAnsi="Arial Narrow"/>
          <w:bCs/>
        </w:rPr>
        <w:t>občanů</w:t>
      </w:r>
      <w:r w:rsidRPr="002554E4">
        <w:rPr>
          <w:rFonts w:ascii="Arial Narrow" w:hAnsi="Arial Narrow"/>
          <w:bCs/>
        </w:rPr>
        <w:t xml:space="preserve"> dostal na úroveň 10,5 %.</w:t>
      </w:r>
    </w:p>
    <w:p w14:paraId="16008191" w14:textId="3C7B2689" w:rsidR="00AE4EE1" w:rsidRPr="00CE357F" w:rsidRDefault="002F7B6D" w:rsidP="002F7B6D">
      <w:pPr>
        <w:pStyle w:val="Titulek"/>
        <w:keepNext/>
        <w:spacing w:after="0"/>
        <w:jc w:val="both"/>
        <w:rPr>
          <w:rFonts w:ascii="Arial Narrow" w:hAnsi="Arial Narrow"/>
          <w:sz w:val="20"/>
          <w:szCs w:val="20"/>
        </w:rPr>
      </w:pPr>
      <w:bookmarkStart w:id="122" w:name="_Toc136428857"/>
      <w:bookmarkEnd w:id="121"/>
      <w:r w:rsidRPr="00CE357F">
        <w:rPr>
          <w:rFonts w:ascii="Arial Narrow" w:hAnsi="Arial Narrow"/>
          <w:color w:val="auto"/>
          <w:sz w:val="20"/>
          <w:szCs w:val="20"/>
        </w:rPr>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13</w:t>
      </w:r>
      <w:r w:rsidR="00B63C25">
        <w:rPr>
          <w:rFonts w:ascii="Arial Narrow" w:hAnsi="Arial Narrow"/>
          <w:color w:val="auto"/>
          <w:sz w:val="20"/>
          <w:szCs w:val="20"/>
        </w:rPr>
        <w:fldChar w:fldCharType="end"/>
      </w:r>
      <w:r w:rsidRPr="00CE357F">
        <w:rPr>
          <w:rFonts w:ascii="Arial Narrow" w:hAnsi="Arial Narrow"/>
          <w:color w:val="auto"/>
          <w:sz w:val="20"/>
          <w:szCs w:val="20"/>
        </w:rPr>
        <w:t>: Podíl občanů Slovenska na celkovém počtu osob s jinou než českou státní příslušností v ČR a v JMK v letech 2010–202</w:t>
      </w:r>
      <w:bookmarkEnd w:id="119"/>
      <w:r w:rsidR="002554E4">
        <w:rPr>
          <w:rFonts w:ascii="Arial Narrow" w:hAnsi="Arial Narrow"/>
          <w:color w:val="auto"/>
          <w:sz w:val="20"/>
          <w:szCs w:val="20"/>
        </w:rPr>
        <w:t>2</w:t>
      </w:r>
      <w:bookmarkEnd w:id="122"/>
    </w:p>
    <w:p w14:paraId="2C776441" w14:textId="4F6AC187" w:rsidR="00AE4EE1" w:rsidRPr="00CE357F" w:rsidRDefault="002554E4" w:rsidP="7CC7BF57">
      <w:pPr>
        <w:spacing w:line="276" w:lineRule="auto"/>
        <w:rPr>
          <w:rFonts w:ascii="Arial Narrow" w:hAnsi="Arial Narrow"/>
          <w:b/>
          <w:bCs/>
          <w:color w:val="2F5496" w:themeColor="accent1" w:themeShade="BF"/>
        </w:rPr>
      </w:pPr>
      <w:r w:rsidRPr="00CE357F">
        <w:rPr>
          <w:rFonts w:ascii="Arial Narrow" w:hAnsi="Arial Narrow"/>
          <w:bCs/>
          <w:noProof/>
          <w:lang w:eastAsia="cs-CZ"/>
        </w:rPr>
        <w:drawing>
          <wp:inline distT="0" distB="0" distL="0" distR="0" wp14:anchorId="4D8F3D45" wp14:editId="4554F426">
            <wp:extent cx="5760720" cy="4253023"/>
            <wp:effectExtent l="0" t="0" r="0" b="0"/>
            <wp:docPr id="2116" name="Graf 2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23BD22" w14:textId="3A978E27" w:rsidR="002F7B6D" w:rsidRPr="00CE357F" w:rsidRDefault="002F7B6D" w:rsidP="002F7B6D">
      <w:pPr>
        <w:spacing w:line="276" w:lineRule="auto"/>
        <w:jc w:val="both"/>
        <w:rPr>
          <w:rFonts w:ascii="Arial Narrow" w:hAnsi="Arial Narrow"/>
          <w:bCs/>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2554E4">
        <w:rPr>
          <w:rFonts w:ascii="Arial Narrow" w:hAnsi="Arial Narrow"/>
          <w:sz w:val="20"/>
          <w:szCs w:val="20"/>
        </w:rPr>
        <w:t>2</w:t>
      </w:r>
      <w:r w:rsidRPr="00CE357F">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7B4DDD83" w14:textId="77777777" w:rsidR="00AE4EE1" w:rsidRPr="00CE357F" w:rsidRDefault="00AE4EE1" w:rsidP="00AE4EE1">
      <w:pPr>
        <w:spacing w:line="276" w:lineRule="auto"/>
        <w:rPr>
          <w:rFonts w:ascii="Arial Narrow" w:hAnsi="Arial Narrow"/>
          <w:b/>
          <w:color w:val="2F5496" w:themeColor="accent1" w:themeShade="BF"/>
        </w:rPr>
      </w:pPr>
    </w:p>
    <w:p w14:paraId="2FC25926" w14:textId="506A89AC" w:rsidR="0062443C" w:rsidRPr="00173E7B" w:rsidRDefault="00F44689" w:rsidP="00DF0089">
      <w:pPr>
        <w:spacing w:after="120" w:line="276" w:lineRule="auto"/>
        <w:jc w:val="both"/>
        <w:rPr>
          <w:rFonts w:ascii="Arial Narrow" w:hAnsi="Arial Narrow"/>
          <w:bCs/>
        </w:rPr>
      </w:pPr>
      <w:r w:rsidRPr="00CE357F">
        <w:rPr>
          <w:rFonts w:ascii="Arial Narrow" w:hAnsi="Arial Narrow"/>
          <w:bCs/>
        </w:rPr>
        <w:t>Z hlediska rozmístění občanů Slovenska na území České republiky, potažmo J</w:t>
      </w:r>
      <w:r w:rsidR="002D4D09" w:rsidRPr="00CE357F">
        <w:rPr>
          <w:rFonts w:ascii="Arial Narrow" w:hAnsi="Arial Narrow"/>
          <w:bCs/>
        </w:rPr>
        <w:t>ihomoravského kraje</w:t>
      </w:r>
      <w:r w:rsidR="00A76A9A">
        <w:rPr>
          <w:rFonts w:ascii="Arial Narrow" w:hAnsi="Arial Narrow"/>
          <w:bCs/>
        </w:rPr>
        <w:t>,</w:t>
      </w:r>
      <w:r w:rsidR="002D4D09" w:rsidRPr="00CE357F">
        <w:rPr>
          <w:rFonts w:ascii="Arial Narrow" w:hAnsi="Arial Narrow"/>
          <w:bCs/>
        </w:rPr>
        <w:t xml:space="preserve"> byla </w:t>
      </w:r>
      <w:r w:rsidR="00F00328">
        <w:rPr>
          <w:rFonts w:ascii="Arial Narrow" w:hAnsi="Arial Narrow"/>
          <w:bCs/>
        </w:rPr>
        <w:br/>
      </w:r>
      <w:r w:rsidR="002D4D09" w:rsidRPr="00CE357F">
        <w:rPr>
          <w:rFonts w:ascii="Arial Narrow" w:hAnsi="Arial Narrow"/>
          <w:bCs/>
        </w:rPr>
        <w:t>k 31. 12. 202</w:t>
      </w:r>
      <w:r w:rsidR="00A76A9A">
        <w:rPr>
          <w:rFonts w:ascii="Arial Narrow" w:hAnsi="Arial Narrow"/>
          <w:bCs/>
        </w:rPr>
        <w:t>1</w:t>
      </w:r>
      <w:r w:rsidR="002D4D09" w:rsidRPr="00CE357F">
        <w:rPr>
          <w:rFonts w:ascii="Arial Narrow" w:hAnsi="Arial Narrow"/>
          <w:bCs/>
        </w:rPr>
        <w:t xml:space="preserve"> evidována</w:t>
      </w:r>
      <w:r w:rsidR="0062443C" w:rsidRPr="00CE357F">
        <w:rPr>
          <w:rFonts w:ascii="Arial Narrow" w:hAnsi="Arial Narrow"/>
          <w:bCs/>
        </w:rPr>
        <w:t xml:space="preserve"> nejvyšší koncentrace občanů Slovenska tradičně na území Prahy a Středočeského kraje. </w:t>
      </w:r>
      <w:r w:rsidR="002D4D09" w:rsidRPr="00CE357F">
        <w:rPr>
          <w:rFonts w:ascii="Arial Narrow" w:hAnsi="Arial Narrow"/>
          <w:bCs/>
        </w:rPr>
        <w:lastRenderedPageBreak/>
        <w:t>Vysoký podíl občanů Slovenska byl k tomuto datu</w:t>
      </w:r>
      <w:r w:rsidR="0062443C" w:rsidRPr="00CE357F">
        <w:rPr>
          <w:rFonts w:ascii="Arial Narrow" w:hAnsi="Arial Narrow"/>
          <w:bCs/>
        </w:rPr>
        <w:t xml:space="preserve"> také v Jihomoravském kraji (okres Brno-město a Brno-venkov), dále pak v příhraničních oblastech České a Slovenské republiky</w:t>
      </w:r>
      <w:r w:rsidR="005263EF">
        <w:rPr>
          <w:rFonts w:ascii="Arial Narrow" w:hAnsi="Arial Narrow"/>
          <w:bCs/>
        </w:rPr>
        <w:t xml:space="preserve"> (obrázek č. 2)</w:t>
      </w:r>
      <w:r w:rsidR="0062443C" w:rsidRPr="00CE357F">
        <w:rPr>
          <w:rFonts w:ascii="Arial Narrow" w:hAnsi="Arial Narrow"/>
          <w:bCs/>
        </w:rPr>
        <w:t xml:space="preserve">. </w:t>
      </w:r>
      <w:r w:rsidR="005263EF" w:rsidRPr="00173E7B">
        <w:rPr>
          <w:rFonts w:ascii="Arial Narrow" w:hAnsi="Arial Narrow"/>
          <w:bCs/>
          <w:color w:val="000000" w:themeColor="text1"/>
        </w:rPr>
        <w:t xml:space="preserve">Aktualizováno k </w:t>
      </w:r>
      <w:r w:rsidR="0062443C" w:rsidRPr="00173E7B">
        <w:rPr>
          <w:rFonts w:ascii="Arial Narrow" w:hAnsi="Arial Narrow"/>
          <w:color w:val="000000" w:themeColor="text1"/>
        </w:rPr>
        <w:t>31. 12. 202</w:t>
      </w:r>
      <w:r w:rsidR="00A76A9A" w:rsidRPr="00173E7B">
        <w:rPr>
          <w:rFonts w:ascii="Arial Narrow" w:hAnsi="Arial Narrow"/>
          <w:color w:val="000000" w:themeColor="text1"/>
        </w:rPr>
        <w:t>1</w:t>
      </w:r>
      <w:r w:rsidR="005263EF" w:rsidRPr="00173E7B">
        <w:rPr>
          <w:rFonts w:ascii="Arial Narrow" w:hAnsi="Arial Narrow"/>
          <w:color w:val="000000" w:themeColor="text1"/>
        </w:rPr>
        <w:t>.</w:t>
      </w:r>
      <w:r w:rsidR="00F00328" w:rsidRPr="00173E7B">
        <w:rPr>
          <w:rStyle w:val="Znakapoznpodarou"/>
          <w:rFonts w:ascii="Arial Narrow" w:hAnsi="Arial Narrow"/>
          <w:color w:val="000000" w:themeColor="text1"/>
        </w:rPr>
        <w:footnoteReference w:id="8"/>
      </w:r>
    </w:p>
    <w:p w14:paraId="057EFE99" w14:textId="6B30137B" w:rsidR="00A76A9A" w:rsidRPr="00A76A9A" w:rsidRDefault="00A76A9A" w:rsidP="00A76A9A">
      <w:pPr>
        <w:pStyle w:val="Titulek"/>
        <w:keepNext/>
        <w:spacing w:after="0"/>
        <w:rPr>
          <w:rFonts w:ascii="Arial Narrow" w:hAnsi="Arial Narrow"/>
          <w:color w:val="auto"/>
          <w:sz w:val="20"/>
          <w:szCs w:val="20"/>
        </w:rPr>
      </w:pPr>
      <w:bookmarkStart w:id="123" w:name="_Toc136429286"/>
      <w:r w:rsidRPr="00173E7B">
        <w:rPr>
          <w:rFonts w:ascii="Arial Narrow" w:hAnsi="Arial Narrow"/>
          <w:color w:val="auto"/>
          <w:sz w:val="20"/>
          <w:szCs w:val="20"/>
        </w:rPr>
        <w:t xml:space="preserve">Obrázek </w:t>
      </w:r>
      <w:r w:rsidRPr="00173E7B">
        <w:rPr>
          <w:rFonts w:ascii="Arial Narrow" w:hAnsi="Arial Narrow"/>
          <w:color w:val="auto"/>
          <w:sz w:val="20"/>
          <w:szCs w:val="20"/>
        </w:rPr>
        <w:fldChar w:fldCharType="begin"/>
      </w:r>
      <w:r w:rsidRPr="00173E7B">
        <w:rPr>
          <w:rFonts w:ascii="Arial Narrow" w:hAnsi="Arial Narrow"/>
          <w:color w:val="auto"/>
          <w:sz w:val="20"/>
          <w:szCs w:val="20"/>
        </w:rPr>
        <w:instrText xml:space="preserve"> SEQ Obrázek \* ARABIC </w:instrText>
      </w:r>
      <w:r w:rsidRPr="00173E7B">
        <w:rPr>
          <w:rFonts w:ascii="Arial Narrow" w:hAnsi="Arial Narrow"/>
          <w:color w:val="auto"/>
          <w:sz w:val="20"/>
          <w:szCs w:val="20"/>
        </w:rPr>
        <w:fldChar w:fldCharType="separate"/>
      </w:r>
      <w:r w:rsidR="00247DE3" w:rsidRPr="00173E7B">
        <w:rPr>
          <w:rFonts w:ascii="Arial Narrow" w:hAnsi="Arial Narrow"/>
          <w:noProof/>
          <w:color w:val="auto"/>
          <w:sz w:val="20"/>
          <w:szCs w:val="20"/>
        </w:rPr>
        <w:t>2</w:t>
      </w:r>
      <w:r w:rsidRPr="00173E7B">
        <w:rPr>
          <w:rFonts w:ascii="Arial Narrow" w:hAnsi="Arial Narrow"/>
          <w:color w:val="auto"/>
          <w:sz w:val="20"/>
          <w:szCs w:val="20"/>
        </w:rPr>
        <w:fldChar w:fldCharType="end"/>
      </w:r>
      <w:r w:rsidRPr="00173E7B">
        <w:rPr>
          <w:rFonts w:ascii="Arial Narrow" w:hAnsi="Arial Narrow"/>
          <w:color w:val="auto"/>
          <w:sz w:val="20"/>
          <w:szCs w:val="20"/>
        </w:rPr>
        <w:t>: Rozmístění občanů Slovenska na území České republiky k 31. 12. 2021.</w:t>
      </w:r>
      <w:bookmarkEnd w:id="123"/>
    </w:p>
    <w:p w14:paraId="54D90EAE" w14:textId="35B7F14A" w:rsidR="00E23E3A" w:rsidRPr="00CE357F" w:rsidRDefault="00A76A9A" w:rsidP="00E23E3A">
      <w:pPr>
        <w:pStyle w:val="Titulek"/>
        <w:keepNext/>
        <w:rPr>
          <w:rFonts w:ascii="Arial Narrow" w:hAnsi="Arial Narrow"/>
          <w:color w:val="auto"/>
          <w:sz w:val="20"/>
        </w:rPr>
      </w:pPr>
      <w:r w:rsidRPr="00F2616E">
        <w:rPr>
          <w:noProof/>
          <w:lang w:eastAsia="cs-CZ"/>
        </w:rPr>
        <w:drawing>
          <wp:inline distT="0" distB="0" distL="0" distR="0" wp14:anchorId="7003B6C6" wp14:editId="5CAFC58C">
            <wp:extent cx="5760720" cy="3844290"/>
            <wp:effectExtent l="0" t="0" r="0" b="3810"/>
            <wp:docPr id="17073660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66008" name=""/>
                    <pic:cNvPicPr/>
                  </pic:nvPicPr>
                  <pic:blipFill>
                    <a:blip r:embed="rId45"/>
                    <a:stretch>
                      <a:fillRect/>
                    </a:stretch>
                  </pic:blipFill>
                  <pic:spPr>
                    <a:xfrm>
                      <a:off x="0" y="0"/>
                      <a:ext cx="5760720" cy="3844290"/>
                    </a:xfrm>
                    <a:prstGeom prst="rect">
                      <a:avLst/>
                    </a:prstGeom>
                  </pic:spPr>
                </pic:pic>
              </a:graphicData>
            </a:graphic>
          </wp:inline>
        </w:drawing>
      </w:r>
    </w:p>
    <w:p w14:paraId="5EA390D6" w14:textId="4ED9427F" w:rsidR="00E23E3A" w:rsidRPr="00CE357F" w:rsidRDefault="00E23E3A" w:rsidP="00E23E3A">
      <w:pPr>
        <w:spacing w:line="276" w:lineRule="auto"/>
        <w:jc w:val="both"/>
        <w:rPr>
          <w:rFonts w:ascii="Arial Narrow" w:hAnsi="Arial Narrow"/>
          <w:bCs/>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A76A9A">
        <w:rPr>
          <w:rFonts w:ascii="Arial Narrow" w:hAnsi="Arial Narrow"/>
          <w:sz w:val="20"/>
          <w:szCs w:val="20"/>
        </w:rPr>
        <w:t>1</w:t>
      </w:r>
      <w:r w:rsidRPr="00CE357F">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sz w:val="20"/>
          <w:szCs w:val="20"/>
        </w:rPr>
        <w:tab/>
      </w:r>
    </w:p>
    <w:p w14:paraId="70DEF134" w14:textId="77777777" w:rsidR="00E23E3A" w:rsidRPr="00CE357F" w:rsidRDefault="00E23E3A" w:rsidP="0056626A">
      <w:pPr>
        <w:spacing w:line="276" w:lineRule="auto"/>
        <w:rPr>
          <w:rFonts w:ascii="Arial Narrow" w:hAnsi="Arial Narrow"/>
          <w:b/>
          <w:noProof/>
          <w:color w:val="2F5496" w:themeColor="accent1" w:themeShade="BF"/>
          <w:lang w:eastAsia="cs-CZ"/>
        </w:rPr>
      </w:pPr>
    </w:p>
    <w:p w14:paraId="7D3A1F49" w14:textId="313A176C" w:rsidR="00AE4EE1" w:rsidRPr="00CE357F" w:rsidRDefault="00AE4EE1" w:rsidP="00E23E3A">
      <w:pPr>
        <w:spacing w:line="276" w:lineRule="auto"/>
        <w:jc w:val="center"/>
        <w:rPr>
          <w:rFonts w:ascii="Arial Narrow" w:hAnsi="Arial Narrow"/>
          <w:b/>
          <w:color w:val="2F5496" w:themeColor="accent1" w:themeShade="BF"/>
        </w:rPr>
      </w:pPr>
    </w:p>
    <w:p w14:paraId="38B9D075" w14:textId="77777777" w:rsidR="00B85D74" w:rsidRPr="00CE357F" w:rsidRDefault="00B85D74" w:rsidP="00071A17">
      <w:pPr>
        <w:spacing w:after="240" w:line="276" w:lineRule="auto"/>
        <w:jc w:val="both"/>
        <w:rPr>
          <w:rFonts w:ascii="Arial Narrow" w:hAnsi="Arial Narrow"/>
          <w:b/>
          <w:u w:val="single"/>
        </w:rPr>
      </w:pPr>
      <w:r w:rsidRPr="00CE357F">
        <w:rPr>
          <w:rFonts w:ascii="Arial Narrow" w:hAnsi="Arial Narrow"/>
          <w:b/>
          <w:u w:val="single"/>
        </w:rPr>
        <w:t>Občané Ukrajiny v České republice a v Jihomoravském kraji</w:t>
      </w:r>
    </w:p>
    <w:p w14:paraId="48D539DA" w14:textId="12225D89" w:rsidR="00071A17" w:rsidRPr="00CE357F" w:rsidRDefault="00071A17" w:rsidP="005369EA">
      <w:pPr>
        <w:spacing w:after="120" w:line="276" w:lineRule="auto"/>
        <w:jc w:val="both"/>
        <w:rPr>
          <w:rFonts w:ascii="Arial Narrow" w:hAnsi="Arial Narrow"/>
          <w:bCs/>
        </w:rPr>
      </w:pPr>
      <w:bookmarkStart w:id="124" w:name="_Hlk95485332"/>
      <w:r w:rsidRPr="00CE357F">
        <w:rPr>
          <w:rFonts w:ascii="Arial Narrow" w:hAnsi="Arial Narrow"/>
          <w:bCs/>
        </w:rPr>
        <w:t xml:space="preserve">Občané Ukrajiny tvořili k 31. 12. </w:t>
      </w:r>
      <w:r w:rsidR="00F00328" w:rsidRPr="00F00328">
        <w:rPr>
          <w:rFonts w:ascii="Arial Narrow" w:hAnsi="Arial Narrow"/>
          <w:bCs/>
        </w:rPr>
        <w:t>2022 více než polovinu osob</w:t>
      </w:r>
      <w:r w:rsidR="00F00328" w:rsidRPr="00CE357F">
        <w:rPr>
          <w:rFonts w:ascii="Arial Narrow" w:hAnsi="Arial Narrow"/>
          <w:bCs/>
        </w:rPr>
        <w:t xml:space="preserve"> </w:t>
      </w:r>
      <w:r w:rsidRPr="00CE357F">
        <w:rPr>
          <w:rFonts w:ascii="Arial Narrow" w:hAnsi="Arial Narrow"/>
          <w:bCs/>
        </w:rPr>
        <w:t xml:space="preserve">s jinou než českou státní příslušností žijících v Jihomoravském kraji. </w:t>
      </w:r>
      <w:bookmarkEnd w:id="124"/>
      <w:r w:rsidRPr="00CE357F">
        <w:rPr>
          <w:rFonts w:ascii="Arial Narrow" w:hAnsi="Arial Narrow"/>
          <w:bCs/>
        </w:rPr>
        <w:t>Podíváme-li se na vývoj podílu občanů Ukrajiny na celkovém počtu těchto osob žijících v </w:t>
      </w:r>
      <w:r w:rsidR="00A76A9A">
        <w:rPr>
          <w:rFonts w:ascii="Arial Narrow" w:hAnsi="Arial Narrow"/>
          <w:bCs/>
        </w:rPr>
        <w:t>JMK</w:t>
      </w:r>
      <w:r w:rsidRPr="00CE357F">
        <w:rPr>
          <w:rFonts w:ascii="Arial Narrow" w:hAnsi="Arial Narrow"/>
          <w:bCs/>
        </w:rPr>
        <w:t xml:space="preserve">, mezi lety 2010 a 2017 podíl občanů Ukrajiny výrazně </w:t>
      </w:r>
      <w:r w:rsidR="00F00328">
        <w:rPr>
          <w:rFonts w:ascii="Arial Narrow" w:hAnsi="Arial Narrow"/>
          <w:bCs/>
        </w:rPr>
        <w:t>klesal</w:t>
      </w:r>
      <w:r w:rsidRPr="00CE357F">
        <w:rPr>
          <w:rFonts w:ascii="Arial Narrow" w:hAnsi="Arial Narrow"/>
          <w:bCs/>
        </w:rPr>
        <w:t>.</w:t>
      </w:r>
    </w:p>
    <w:p w14:paraId="3FB05C20" w14:textId="001BD44F" w:rsidR="00071A17" w:rsidRPr="00CE357F" w:rsidRDefault="00071A17" w:rsidP="005369EA">
      <w:pPr>
        <w:spacing w:after="120" w:line="276" w:lineRule="auto"/>
        <w:jc w:val="both"/>
        <w:rPr>
          <w:rFonts w:ascii="Arial Narrow" w:hAnsi="Arial Narrow"/>
          <w:bCs/>
        </w:rPr>
      </w:pPr>
      <w:r w:rsidRPr="00CE357F">
        <w:rPr>
          <w:rFonts w:ascii="Arial Narrow" w:hAnsi="Arial Narrow"/>
          <w:bCs/>
        </w:rPr>
        <w:t>Zatímco v roce 2010 tvořili občané Ukrajiny 34,1 % všech osob s jinou než českou státní příslušností žijících v Jihomoravském kraji, v roce 2017 to bylo 22,4 %. Od roku 201</w:t>
      </w:r>
      <w:r w:rsidR="00EF74F4">
        <w:rPr>
          <w:rFonts w:ascii="Arial Narrow" w:hAnsi="Arial Narrow"/>
          <w:bCs/>
        </w:rPr>
        <w:t>7</w:t>
      </w:r>
      <w:r w:rsidRPr="00CE357F">
        <w:rPr>
          <w:rFonts w:ascii="Arial Narrow" w:hAnsi="Arial Narrow"/>
          <w:bCs/>
        </w:rPr>
        <w:t xml:space="preserve"> do současnosti podíl občanů Ukrajiny na celkovém počtu osob s jinou než českou státní příslušností žijících v Jihomoravském kraj opět pomalu narůstá.</w:t>
      </w:r>
    </w:p>
    <w:p w14:paraId="7CEA64FD" w14:textId="35F6AF76" w:rsidR="00F00328" w:rsidRPr="00A76A9A" w:rsidRDefault="18086FC2" w:rsidP="005369EA">
      <w:pPr>
        <w:spacing w:after="120" w:line="276" w:lineRule="auto"/>
        <w:jc w:val="both"/>
        <w:rPr>
          <w:rFonts w:ascii="Arial Narrow" w:hAnsi="Arial Narrow"/>
        </w:rPr>
      </w:pPr>
      <w:r w:rsidRPr="2460258F">
        <w:rPr>
          <w:rFonts w:ascii="Arial Narrow" w:hAnsi="Arial Narrow"/>
        </w:rPr>
        <w:t xml:space="preserve">Podíl občanů Ukrajiny žijících v Jihomoravském kraji byl zejména mezi lety 2010 a 2013 výrazně vyšší než podíl občanů Slovenska na celkovém počtu osob s jinou než českou státní příslušností žijících na území celé České republiky. Rozdíl mezi celorepublikovým podílem a podílem v Jihomoravském kraji se ale dlouhodobě snižoval a v roce 2017 se téměř vyrovnal. </w:t>
      </w:r>
      <w:bookmarkStart w:id="125" w:name="_Hlk95485319"/>
      <w:r w:rsidRPr="2460258F">
        <w:rPr>
          <w:rFonts w:ascii="Arial Narrow" w:hAnsi="Arial Narrow"/>
        </w:rPr>
        <w:t xml:space="preserve">Zatímco podíl občanů Ukrajiny na celkovém počtu osob s jinou než českou státní příslušností žijících v Jihomoravském kraji narůstá jen velmi pozvolna, v rámci </w:t>
      </w:r>
      <w:r w:rsidR="3FA6CB22" w:rsidRPr="2460258F">
        <w:rPr>
          <w:rFonts w:ascii="Arial Narrow" w:hAnsi="Arial Narrow"/>
        </w:rPr>
        <w:t>celé České republiky je nárůst podílu občanů Ukrajiny výraznější. Mezi lety 2017 a 2020 se jejich podíl zvýšil o 3,8 %.</w:t>
      </w:r>
    </w:p>
    <w:p w14:paraId="70A9CDDA" w14:textId="09584F29" w:rsidR="00F00328" w:rsidRPr="00173E7B" w:rsidRDefault="3D1F41D4" w:rsidP="2460258F">
      <w:pPr>
        <w:spacing w:after="120" w:line="276" w:lineRule="auto"/>
        <w:jc w:val="both"/>
        <w:rPr>
          <w:rFonts w:ascii="Arial Narrow" w:hAnsi="Arial Narrow"/>
        </w:rPr>
      </w:pPr>
      <w:r w:rsidRPr="00173E7B">
        <w:rPr>
          <w:rFonts w:ascii="Arial Narrow" w:hAnsi="Arial Narrow"/>
        </w:rPr>
        <w:lastRenderedPageBreak/>
        <w:t xml:space="preserve">Podíl Ukrajinců </w:t>
      </w:r>
      <w:r w:rsidR="00574025" w:rsidRPr="00173E7B">
        <w:rPr>
          <w:rFonts w:ascii="Arial Narrow" w:hAnsi="Arial Narrow"/>
        </w:rPr>
        <w:t xml:space="preserve">na celkovém počtu osob s jinou než českou státní příslušností </w:t>
      </w:r>
      <w:r w:rsidRPr="00173E7B">
        <w:rPr>
          <w:rFonts w:ascii="Arial Narrow" w:hAnsi="Arial Narrow"/>
        </w:rPr>
        <w:t xml:space="preserve">dramaticky vzrostl v roce 2022, kdy se více než zdvojnásobil oproti roku 2021. V Jihomoravském kraji k 31. 12. 2022 </w:t>
      </w:r>
      <w:r w:rsidR="00574025" w:rsidRPr="00173E7B">
        <w:rPr>
          <w:rFonts w:ascii="Arial Narrow" w:hAnsi="Arial Narrow"/>
        </w:rPr>
        <w:t>byl tento podíl</w:t>
      </w:r>
      <w:r w:rsidRPr="00173E7B">
        <w:rPr>
          <w:rFonts w:ascii="Arial Narrow" w:hAnsi="Arial Narrow"/>
        </w:rPr>
        <w:t xml:space="preserve"> celkem 56,3 %</w:t>
      </w:r>
      <w:r w:rsidR="005263EF" w:rsidRPr="00173E7B">
        <w:rPr>
          <w:rFonts w:ascii="Arial Narrow" w:hAnsi="Arial Narrow"/>
        </w:rPr>
        <w:t xml:space="preserve"> (graf č. 14)</w:t>
      </w:r>
      <w:r w:rsidRPr="00173E7B">
        <w:rPr>
          <w:rFonts w:ascii="Arial Narrow" w:hAnsi="Arial Narrow"/>
        </w:rPr>
        <w:t>.</w:t>
      </w:r>
      <w:r w:rsidR="00574025" w:rsidRPr="00173E7B">
        <w:rPr>
          <w:rFonts w:ascii="Arial Narrow" w:hAnsi="Arial Narrow"/>
        </w:rPr>
        <w:t xml:space="preserve"> Celkový podíl ze všech obyvatel JMK vzrostl mezi lety 2021 a 2022 o 3,65 % (2021 – 1,49 %, 2022 – 5,14 %).</w:t>
      </w:r>
      <w:r w:rsidR="00493306" w:rsidRPr="00173E7B">
        <w:rPr>
          <w:rFonts w:ascii="Arial Narrow" w:hAnsi="Arial Narrow"/>
        </w:rPr>
        <w:t xml:space="preserve"> Zatímco v roce 2021 bylo v ČR 196 637 Ukrajinců, v roce 2022 počet rapidně stoupl na 635 857. Výrazný nárůst byl také přímo v JMK, a to z</w:t>
      </w:r>
      <w:r w:rsidR="00BE259C" w:rsidRPr="00173E7B">
        <w:rPr>
          <w:rFonts w:ascii="Arial Narrow" w:hAnsi="Arial Narrow"/>
        </w:rPr>
        <w:t>e 17 618 osob s ukrajinskou státní příslušností v roce 2021 na 62 574 osob v roce 2022.</w:t>
      </w:r>
      <w:r w:rsidR="00493306" w:rsidRPr="00173E7B">
        <w:rPr>
          <w:rFonts w:ascii="Arial Narrow" w:hAnsi="Arial Narrow"/>
        </w:rPr>
        <w:t xml:space="preserve"> </w:t>
      </w:r>
    </w:p>
    <w:p w14:paraId="5DA6F47A" w14:textId="3E61D015" w:rsidR="002F7B6D" w:rsidRPr="00173E7B" w:rsidRDefault="002F7B6D" w:rsidP="002F7B6D">
      <w:pPr>
        <w:pStyle w:val="Titulek"/>
        <w:keepNext/>
        <w:spacing w:after="0"/>
        <w:jc w:val="both"/>
        <w:rPr>
          <w:rFonts w:ascii="Arial Narrow" w:hAnsi="Arial Narrow"/>
          <w:sz w:val="20"/>
          <w:szCs w:val="20"/>
        </w:rPr>
      </w:pPr>
      <w:bookmarkStart w:id="126" w:name="_Toc94443718"/>
      <w:bookmarkStart w:id="127" w:name="_Toc136428858"/>
      <w:bookmarkEnd w:id="125"/>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14</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Podíl občanů Ukrajiny na celkovém počtu osob s jinou než českou státní příslušností v ČR a v JMK v letech 2010–202</w:t>
      </w:r>
      <w:bookmarkEnd w:id="126"/>
      <w:r w:rsidR="00F00328" w:rsidRPr="00173E7B">
        <w:rPr>
          <w:rFonts w:ascii="Arial Narrow" w:hAnsi="Arial Narrow"/>
          <w:color w:val="auto"/>
          <w:sz w:val="20"/>
          <w:szCs w:val="20"/>
        </w:rPr>
        <w:t>2</w:t>
      </w:r>
      <w:bookmarkEnd w:id="127"/>
    </w:p>
    <w:p w14:paraId="5186CDCC" w14:textId="5E2D3977" w:rsidR="00AE4EE1" w:rsidRPr="00173E7B" w:rsidRDefault="00F00328" w:rsidP="7CC7BF57">
      <w:pPr>
        <w:spacing w:line="276" w:lineRule="auto"/>
        <w:rPr>
          <w:rFonts w:ascii="Arial Narrow" w:hAnsi="Arial Narrow"/>
          <w:b/>
          <w:bCs/>
          <w:color w:val="2F5496" w:themeColor="accent1" w:themeShade="BF"/>
        </w:rPr>
      </w:pPr>
      <w:r w:rsidRPr="00173E7B">
        <w:rPr>
          <w:rFonts w:ascii="Arial Narrow" w:hAnsi="Arial Narrow"/>
          <w:bCs/>
          <w:noProof/>
          <w:lang w:eastAsia="cs-CZ"/>
        </w:rPr>
        <w:drawing>
          <wp:inline distT="0" distB="0" distL="0" distR="0" wp14:anchorId="08027827" wp14:editId="1DF23424">
            <wp:extent cx="5760720" cy="5486400"/>
            <wp:effectExtent l="0" t="0" r="0" b="0"/>
            <wp:docPr id="2113" name="Graf 2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E798C8" w14:textId="41DECDB8" w:rsidR="002F7B6D" w:rsidRPr="00173E7B" w:rsidRDefault="002F7B6D" w:rsidP="002F7B6D">
      <w:pPr>
        <w:spacing w:line="276" w:lineRule="auto"/>
        <w:jc w:val="both"/>
        <w:rPr>
          <w:rFonts w:ascii="Arial Narrow" w:hAnsi="Arial Narrow"/>
          <w:bCs/>
        </w:rPr>
      </w:pPr>
      <w:r w:rsidRPr="00173E7B">
        <w:rPr>
          <w:rFonts w:ascii="Arial Narrow" w:hAnsi="Arial Narrow"/>
          <w:sz w:val="20"/>
          <w:szCs w:val="20"/>
        </w:rPr>
        <w:t xml:space="preserve">Zdroj: </w:t>
      </w:r>
      <w:r w:rsidRPr="00173E7B">
        <w:rPr>
          <w:rFonts w:ascii="Arial Narrow" w:eastAsia="Times New Roman" w:hAnsi="Arial Narrow" w:cs="Arial"/>
          <w:color w:val="000000"/>
          <w:sz w:val="20"/>
          <w:szCs w:val="20"/>
          <w:lang w:eastAsia="cs-CZ"/>
        </w:rPr>
        <w:t>Český statistický úřad</w:t>
      </w:r>
      <w:r w:rsidRPr="00173E7B">
        <w:rPr>
          <w:rFonts w:ascii="Arial Narrow" w:hAnsi="Arial Narrow"/>
          <w:sz w:val="20"/>
          <w:szCs w:val="20"/>
        </w:rPr>
        <w:t xml:space="preserve"> (data platná k 31. 12. 202</w:t>
      </w:r>
      <w:r w:rsidR="00F00328" w:rsidRPr="00173E7B">
        <w:rPr>
          <w:rFonts w:ascii="Arial Narrow" w:hAnsi="Arial Narrow"/>
          <w:sz w:val="20"/>
          <w:szCs w:val="20"/>
        </w:rPr>
        <w:t>2</w:t>
      </w:r>
      <w:r w:rsidRPr="00173E7B">
        <w:rPr>
          <w:rFonts w:ascii="Arial Narrow" w:hAnsi="Arial Narrow"/>
          <w:sz w:val="20"/>
          <w:szCs w:val="20"/>
        </w:rPr>
        <w:t>)</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w:t>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s.r.o.</w:t>
      </w:r>
    </w:p>
    <w:p w14:paraId="69CDBB59" w14:textId="31091270" w:rsidR="00AE4EE1" w:rsidRPr="00173E7B" w:rsidRDefault="00AE4EE1" w:rsidP="002F7B6D">
      <w:pPr>
        <w:spacing w:line="276" w:lineRule="auto"/>
        <w:jc w:val="center"/>
        <w:rPr>
          <w:rFonts w:ascii="Arial Narrow" w:hAnsi="Arial Narrow"/>
          <w:b/>
          <w:noProof/>
          <w:color w:val="2F5496" w:themeColor="accent1" w:themeShade="BF"/>
          <w:lang w:eastAsia="cs-CZ"/>
        </w:rPr>
      </w:pPr>
    </w:p>
    <w:p w14:paraId="2498D654" w14:textId="744D82F9" w:rsidR="00B312ED" w:rsidRPr="00173E7B" w:rsidRDefault="3FA6CB22" w:rsidP="2460258F">
      <w:pPr>
        <w:spacing w:after="120" w:line="276" w:lineRule="auto"/>
        <w:jc w:val="both"/>
        <w:rPr>
          <w:rFonts w:ascii="Arial Narrow" w:hAnsi="Arial Narrow"/>
        </w:rPr>
      </w:pPr>
      <w:r w:rsidRPr="00173E7B">
        <w:rPr>
          <w:rFonts w:ascii="Arial Narrow" w:hAnsi="Arial Narrow"/>
        </w:rPr>
        <w:t xml:space="preserve">Z hlediska rozmístění občanů </w:t>
      </w:r>
      <w:r w:rsidR="6ADBF774" w:rsidRPr="00173E7B">
        <w:rPr>
          <w:rFonts w:ascii="Arial Narrow" w:hAnsi="Arial Narrow"/>
        </w:rPr>
        <w:t>Ukrajiny</w:t>
      </w:r>
      <w:r w:rsidRPr="00173E7B">
        <w:rPr>
          <w:rFonts w:ascii="Arial Narrow" w:hAnsi="Arial Narrow"/>
        </w:rPr>
        <w:t xml:space="preserve"> na území České republiky, potažmo J</w:t>
      </w:r>
      <w:r w:rsidR="4187710D" w:rsidRPr="00173E7B">
        <w:rPr>
          <w:rFonts w:ascii="Arial Narrow" w:hAnsi="Arial Narrow"/>
        </w:rPr>
        <w:t>ihomoravského kraje byla k </w:t>
      </w:r>
      <w:r w:rsidR="00B312ED" w:rsidRPr="00173E7B">
        <w:br/>
      </w:r>
      <w:r w:rsidR="4187710D" w:rsidRPr="00173E7B">
        <w:rPr>
          <w:rFonts w:ascii="Arial Narrow" w:hAnsi="Arial Narrow"/>
        </w:rPr>
        <w:t>31. 12.</w:t>
      </w:r>
      <w:r w:rsidR="26710354" w:rsidRPr="00173E7B">
        <w:rPr>
          <w:rFonts w:ascii="Arial Narrow" w:hAnsi="Arial Narrow"/>
        </w:rPr>
        <w:t xml:space="preserve"> </w:t>
      </w:r>
      <w:r w:rsidR="4187710D" w:rsidRPr="00173E7B">
        <w:rPr>
          <w:rFonts w:ascii="Arial Narrow" w:hAnsi="Arial Narrow"/>
        </w:rPr>
        <w:t>202</w:t>
      </w:r>
      <w:r w:rsidR="00917910" w:rsidRPr="00173E7B">
        <w:rPr>
          <w:rFonts w:ascii="Arial Narrow" w:hAnsi="Arial Narrow"/>
        </w:rPr>
        <w:t>1</w:t>
      </w:r>
      <w:r w:rsidR="4187710D" w:rsidRPr="00173E7B">
        <w:rPr>
          <w:rFonts w:ascii="Arial Narrow" w:hAnsi="Arial Narrow"/>
        </w:rPr>
        <w:t xml:space="preserve"> evidována</w:t>
      </w:r>
      <w:r w:rsidRPr="00173E7B">
        <w:rPr>
          <w:rFonts w:ascii="Arial Narrow" w:hAnsi="Arial Narrow"/>
        </w:rPr>
        <w:t xml:space="preserve"> nejvyšší koncentrace občanů Ukrajiny tradičně na území Prahy</w:t>
      </w:r>
      <w:r w:rsidR="26710354" w:rsidRPr="00173E7B">
        <w:rPr>
          <w:rFonts w:ascii="Arial Narrow" w:hAnsi="Arial Narrow"/>
        </w:rPr>
        <w:t xml:space="preserve"> a</w:t>
      </w:r>
      <w:r w:rsidRPr="00173E7B">
        <w:rPr>
          <w:rFonts w:ascii="Arial Narrow" w:hAnsi="Arial Narrow"/>
        </w:rPr>
        <w:t xml:space="preserve"> Středočeského kraje, a to z hlediska všech jeho okresů. Vysoký podíl občanů Ukrajiny </w:t>
      </w:r>
      <w:r w:rsidR="4187710D" w:rsidRPr="00173E7B">
        <w:rPr>
          <w:rFonts w:ascii="Arial Narrow" w:hAnsi="Arial Narrow"/>
        </w:rPr>
        <w:t xml:space="preserve">byl k tomuto datu </w:t>
      </w:r>
      <w:r w:rsidRPr="00173E7B">
        <w:rPr>
          <w:rFonts w:ascii="Arial Narrow" w:hAnsi="Arial Narrow"/>
        </w:rPr>
        <w:t xml:space="preserve">také v Jihomoravském kraji (okres Brno-město a Brno-venkov), dále pak v okrese České Budějovice, Karlovy Vary, Liberec, Hradec Králové a Pardubice. </w:t>
      </w:r>
    </w:p>
    <w:p w14:paraId="181FC57A" w14:textId="158588CA" w:rsidR="002D45A0" w:rsidRPr="00173E7B" w:rsidRDefault="002D45A0" w:rsidP="003F6E2F">
      <w:pPr>
        <w:spacing w:after="120" w:line="276" w:lineRule="auto"/>
        <w:jc w:val="both"/>
        <w:rPr>
          <w:rFonts w:ascii="Arial Narrow" w:hAnsi="Arial Narrow"/>
          <w:bCs/>
        </w:rPr>
      </w:pPr>
      <w:r w:rsidRPr="00173E7B">
        <w:rPr>
          <w:rFonts w:ascii="Arial Narrow" w:hAnsi="Arial Narrow"/>
          <w:bCs/>
        </w:rPr>
        <w:lastRenderedPageBreak/>
        <w:t xml:space="preserve">V souvislosti s rusko-ukrajinským konfliktem vydává Ministerstvo vnitra pravidelně aktualizovaná data, která ukazují počty </w:t>
      </w:r>
      <w:r w:rsidR="008F50EF" w:rsidRPr="00173E7B">
        <w:rPr>
          <w:rFonts w:ascii="Arial Narrow" w:hAnsi="Arial Narrow"/>
          <w:bCs/>
        </w:rPr>
        <w:t xml:space="preserve">osob z </w:t>
      </w:r>
      <w:proofErr w:type="spellStart"/>
      <w:r w:rsidR="008F50EF" w:rsidRPr="00173E7B">
        <w:rPr>
          <w:rFonts w:ascii="Arial Narrow" w:hAnsi="Arial Narrow"/>
          <w:bCs/>
        </w:rPr>
        <w:t>Ukajiny</w:t>
      </w:r>
      <w:proofErr w:type="spellEnd"/>
      <w:r w:rsidRPr="00173E7B">
        <w:rPr>
          <w:rFonts w:ascii="Arial Narrow" w:hAnsi="Arial Narrow"/>
          <w:bCs/>
        </w:rPr>
        <w:t xml:space="preserve">, kteří jsou nahlášení a získali oficiální oprávnění k pobytu. </w:t>
      </w:r>
    </w:p>
    <w:p w14:paraId="49EE5F4D" w14:textId="396F5FC0" w:rsidR="00917910" w:rsidRPr="00173E7B" w:rsidRDefault="00917910" w:rsidP="002D45A0">
      <w:pPr>
        <w:spacing w:after="120" w:line="276" w:lineRule="auto"/>
        <w:jc w:val="both"/>
        <w:rPr>
          <w:rFonts w:ascii="Arial Narrow" w:hAnsi="Arial Narrow"/>
        </w:rPr>
      </w:pPr>
      <w:r w:rsidRPr="00173E7B">
        <w:rPr>
          <w:rFonts w:ascii="Arial Narrow" w:hAnsi="Arial Narrow"/>
        </w:rPr>
        <w:t>Rozmístění počtu osob s ukrajinskou státní příslušností v roce 2021 podrobně dokumentuje následující mapa</w:t>
      </w:r>
      <w:r w:rsidR="007D120B" w:rsidRPr="00173E7B">
        <w:rPr>
          <w:rFonts w:ascii="Arial Narrow" w:hAnsi="Arial Narrow"/>
        </w:rPr>
        <w:t xml:space="preserve"> (</w:t>
      </w:r>
      <w:r w:rsidR="007D120B" w:rsidRPr="00173E7B">
        <w:rPr>
          <w:rFonts w:ascii="Arial Narrow" w:hAnsi="Arial Narrow"/>
          <w:color w:val="000000" w:themeColor="text1"/>
        </w:rPr>
        <w:t xml:space="preserve">obrázek č. </w:t>
      </w:r>
      <w:r w:rsidR="005263EF" w:rsidRPr="00173E7B">
        <w:rPr>
          <w:rFonts w:ascii="Arial Narrow" w:hAnsi="Arial Narrow"/>
          <w:color w:val="000000" w:themeColor="text1"/>
        </w:rPr>
        <w:t>3</w:t>
      </w:r>
      <w:r w:rsidR="007D120B" w:rsidRPr="00173E7B">
        <w:rPr>
          <w:rFonts w:ascii="Arial Narrow" w:hAnsi="Arial Narrow"/>
          <w:color w:val="000000" w:themeColor="text1"/>
        </w:rPr>
        <w:t>)</w:t>
      </w:r>
      <w:r w:rsidRPr="00173E7B">
        <w:rPr>
          <w:rFonts w:ascii="Arial Narrow" w:hAnsi="Arial Narrow"/>
          <w:color w:val="000000" w:themeColor="text1"/>
        </w:rPr>
        <w:t xml:space="preserve">. </w:t>
      </w:r>
      <w:r w:rsidRPr="00173E7B">
        <w:rPr>
          <w:rFonts w:ascii="Arial Narrow" w:hAnsi="Arial Narrow"/>
        </w:rPr>
        <w:t>Český statistický úřad v době vyhotovení této analýzy nevydal ročenku za rok 2022, která by podrobně mapovala změny v rozložení osob ukrajinské národnosti v ČR v souvislosti s ruskou agresí.</w:t>
      </w:r>
    </w:p>
    <w:p w14:paraId="2F5371BC" w14:textId="7D0AFA38" w:rsidR="00B312ED" w:rsidRPr="00173E7B" w:rsidRDefault="00B312ED" w:rsidP="002D45A0">
      <w:pPr>
        <w:spacing w:after="120" w:line="276" w:lineRule="auto"/>
        <w:jc w:val="both"/>
        <w:rPr>
          <w:rFonts w:ascii="Arial Narrow" w:hAnsi="Arial Narrow"/>
          <w:color w:val="2F5496" w:themeColor="accent1" w:themeShade="BF"/>
        </w:rPr>
      </w:pPr>
      <w:bookmarkStart w:id="128" w:name="_Toc136429287"/>
      <w:r w:rsidRPr="00173E7B">
        <w:rPr>
          <w:rFonts w:ascii="Arial Narrow" w:hAnsi="Arial Narrow"/>
          <w:b/>
          <w:sz w:val="20"/>
        </w:rPr>
        <w:t xml:space="preserve">Obrázek </w:t>
      </w:r>
      <w:r w:rsidR="00A949BB" w:rsidRPr="00173E7B">
        <w:rPr>
          <w:rFonts w:ascii="Arial Narrow" w:hAnsi="Arial Narrow"/>
          <w:b/>
          <w:sz w:val="20"/>
        </w:rPr>
        <w:fldChar w:fldCharType="begin"/>
      </w:r>
      <w:r w:rsidR="00A949BB" w:rsidRPr="00173E7B">
        <w:rPr>
          <w:rFonts w:ascii="Arial Narrow" w:hAnsi="Arial Narrow"/>
          <w:b/>
          <w:sz w:val="20"/>
        </w:rPr>
        <w:instrText xml:space="preserve"> SEQ Obrázek \* ARABIC </w:instrText>
      </w:r>
      <w:r w:rsidR="00A949BB" w:rsidRPr="00173E7B">
        <w:rPr>
          <w:rFonts w:ascii="Arial Narrow" w:hAnsi="Arial Narrow"/>
          <w:b/>
          <w:sz w:val="20"/>
        </w:rPr>
        <w:fldChar w:fldCharType="separate"/>
      </w:r>
      <w:r w:rsidR="00247DE3" w:rsidRPr="00173E7B">
        <w:rPr>
          <w:rFonts w:ascii="Arial Narrow" w:hAnsi="Arial Narrow"/>
          <w:b/>
          <w:noProof/>
          <w:sz w:val="20"/>
        </w:rPr>
        <w:t>3</w:t>
      </w:r>
      <w:r w:rsidR="00A949BB" w:rsidRPr="00173E7B">
        <w:rPr>
          <w:rFonts w:ascii="Arial Narrow" w:hAnsi="Arial Narrow"/>
          <w:b/>
          <w:sz w:val="20"/>
        </w:rPr>
        <w:fldChar w:fldCharType="end"/>
      </w:r>
      <w:r w:rsidRPr="00173E7B">
        <w:rPr>
          <w:rFonts w:ascii="Arial Narrow" w:hAnsi="Arial Narrow"/>
          <w:b/>
          <w:sz w:val="20"/>
        </w:rPr>
        <w:t>: Rozmístění občanů Ukrajiny na území České republiky k</w:t>
      </w:r>
      <w:r w:rsidR="002D45A0" w:rsidRPr="00173E7B">
        <w:rPr>
          <w:rFonts w:ascii="Arial Narrow" w:hAnsi="Arial Narrow"/>
          <w:b/>
          <w:sz w:val="20"/>
        </w:rPr>
        <w:t> </w:t>
      </w:r>
      <w:r w:rsidR="00917910" w:rsidRPr="00173E7B">
        <w:rPr>
          <w:rFonts w:ascii="Arial Narrow" w:hAnsi="Arial Narrow"/>
          <w:b/>
          <w:sz w:val="20"/>
        </w:rPr>
        <w:t>31</w:t>
      </w:r>
      <w:r w:rsidR="002D45A0" w:rsidRPr="00173E7B">
        <w:rPr>
          <w:rFonts w:ascii="Arial Narrow" w:hAnsi="Arial Narrow"/>
          <w:b/>
          <w:sz w:val="20"/>
        </w:rPr>
        <w:t xml:space="preserve">. </w:t>
      </w:r>
      <w:r w:rsidR="00917910" w:rsidRPr="00173E7B">
        <w:rPr>
          <w:rFonts w:ascii="Arial Narrow" w:hAnsi="Arial Narrow"/>
          <w:b/>
          <w:sz w:val="20"/>
        </w:rPr>
        <w:t>12</w:t>
      </w:r>
      <w:r w:rsidR="002D45A0" w:rsidRPr="00173E7B">
        <w:rPr>
          <w:rFonts w:ascii="Arial Narrow" w:hAnsi="Arial Narrow"/>
          <w:b/>
          <w:sz w:val="20"/>
        </w:rPr>
        <w:t>. 202</w:t>
      </w:r>
      <w:r w:rsidR="00917910" w:rsidRPr="00173E7B">
        <w:rPr>
          <w:rFonts w:ascii="Arial Narrow" w:hAnsi="Arial Narrow"/>
          <w:b/>
          <w:sz w:val="20"/>
        </w:rPr>
        <w:t>1</w:t>
      </w:r>
      <w:bookmarkEnd w:id="128"/>
    </w:p>
    <w:p w14:paraId="7AE9EDC1" w14:textId="634126FE" w:rsidR="00934C1B" w:rsidRPr="00173E7B" w:rsidRDefault="00917910" w:rsidP="00934C1B">
      <w:pPr>
        <w:spacing w:line="276" w:lineRule="auto"/>
        <w:rPr>
          <w:rFonts w:ascii="Arial Narrow" w:hAnsi="Arial Narrow"/>
          <w:b/>
          <w:noProof/>
          <w:color w:val="2F5496" w:themeColor="accent1" w:themeShade="BF"/>
          <w:lang w:eastAsia="cs-CZ"/>
        </w:rPr>
      </w:pPr>
      <w:r w:rsidRPr="00173E7B">
        <w:rPr>
          <w:rFonts w:ascii="Arial Narrow" w:hAnsi="Arial Narrow"/>
          <w:b/>
          <w:noProof/>
          <w:color w:val="2F5496" w:themeColor="accent1" w:themeShade="BF"/>
          <w:lang w:eastAsia="cs-CZ"/>
        </w:rPr>
        <w:drawing>
          <wp:inline distT="0" distB="0" distL="0" distR="0" wp14:anchorId="2E400F85" wp14:editId="5581D290">
            <wp:extent cx="5656521" cy="3903910"/>
            <wp:effectExtent l="0" t="0" r="1905" b="1905"/>
            <wp:docPr id="19797011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01180" name=""/>
                    <pic:cNvPicPr/>
                  </pic:nvPicPr>
                  <pic:blipFill rotWithShape="1">
                    <a:blip r:embed="rId47"/>
                    <a:srcRect t="9607" r="7573"/>
                    <a:stretch/>
                  </pic:blipFill>
                  <pic:spPr bwMode="auto">
                    <a:xfrm>
                      <a:off x="0" y="0"/>
                      <a:ext cx="5663184" cy="3908509"/>
                    </a:xfrm>
                    <a:prstGeom prst="rect">
                      <a:avLst/>
                    </a:prstGeom>
                    <a:ln>
                      <a:noFill/>
                    </a:ln>
                    <a:extLst>
                      <a:ext uri="{53640926-AAD7-44D8-BBD7-CCE9431645EC}">
                        <a14:shadowObscured xmlns:a14="http://schemas.microsoft.com/office/drawing/2010/main"/>
                      </a:ext>
                    </a:extLst>
                  </pic:spPr>
                </pic:pic>
              </a:graphicData>
            </a:graphic>
          </wp:inline>
        </w:drawing>
      </w:r>
    </w:p>
    <w:p w14:paraId="12F6F85C" w14:textId="6245D963" w:rsidR="00252123" w:rsidRPr="00173E7B" w:rsidRDefault="00B312ED" w:rsidP="002D45A0">
      <w:pPr>
        <w:spacing w:line="276" w:lineRule="auto"/>
        <w:jc w:val="both"/>
        <w:rPr>
          <w:rFonts w:ascii="Arial Narrow" w:hAnsi="Arial Narrow"/>
          <w:sz w:val="20"/>
          <w:szCs w:val="20"/>
        </w:rPr>
      </w:pPr>
      <w:r w:rsidRPr="00173E7B">
        <w:rPr>
          <w:rFonts w:ascii="Arial Narrow" w:hAnsi="Arial Narrow"/>
          <w:sz w:val="20"/>
          <w:szCs w:val="20"/>
        </w:rPr>
        <w:t xml:space="preserve">Zdroj: </w:t>
      </w:r>
      <w:r w:rsidR="00917910" w:rsidRPr="00173E7B">
        <w:rPr>
          <w:rFonts w:ascii="Arial Narrow" w:eastAsia="Times New Roman" w:hAnsi="Arial Narrow" w:cs="Arial"/>
          <w:color w:val="000000"/>
          <w:sz w:val="20"/>
          <w:szCs w:val="20"/>
          <w:lang w:eastAsia="cs-CZ"/>
        </w:rPr>
        <w:t>Český statistický úřad</w:t>
      </w:r>
      <w:r w:rsidR="00917910" w:rsidRPr="00173E7B">
        <w:rPr>
          <w:rFonts w:ascii="Arial Narrow" w:hAnsi="Arial Narrow"/>
          <w:sz w:val="20"/>
          <w:szCs w:val="20"/>
        </w:rPr>
        <w:t xml:space="preserve"> (data platná k 31. 12. 2021)</w:t>
      </w:r>
      <w:r w:rsidRPr="00173E7B">
        <w:rPr>
          <w:rFonts w:ascii="Arial Narrow" w:hAnsi="Arial Narrow"/>
          <w:sz w:val="20"/>
          <w:szCs w:val="20"/>
        </w:rPr>
        <w:tab/>
      </w:r>
    </w:p>
    <w:p w14:paraId="22AA3391" w14:textId="77777777" w:rsidR="00252123" w:rsidRPr="00173E7B" w:rsidRDefault="00252123" w:rsidP="002D45A0">
      <w:pPr>
        <w:spacing w:line="276" w:lineRule="auto"/>
        <w:jc w:val="both"/>
        <w:rPr>
          <w:rFonts w:ascii="Arial Narrow" w:hAnsi="Arial Narrow"/>
          <w:sz w:val="20"/>
          <w:szCs w:val="20"/>
        </w:rPr>
      </w:pPr>
    </w:p>
    <w:p w14:paraId="548C6748" w14:textId="00B90D2A" w:rsidR="00AE4EE1" w:rsidRPr="00173E7B" w:rsidRDefault="002D45A0" w:rsidP="005263EF">
      <w:pPr>
        <w:spacing w:line="276" w:lineRule="auto"/>
        <w:jc w:val="both"/>
        <w:rPr>
          <w:rFonts w:ascii="Arial Narrow" w:hAnsi="Arial Narrow"/>
          <w:bCs/>
        </w:rPr>
      </w:pP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r>
      <w:r w:rsidR="00B312ED" w:rsidRPr="00173E7B">
        <w:rPr>
          <w:rFonts w:ascii="Arial Narrow" w:hAnsi="Arial Narrow"/>
          <w:sz w:val="20"/>
          <w:szCs w:val="20"/>
        </w:rPr>
        <w:tab/>
      </w:r>
      <w:r w:rsidR="00B312ED" w:rsidRPr="00173E7B">
        <w:rPr>
          <w:rFonts w:ascii="Arial Narrow" w:hAnsi="Arial Narrow"/>
          <w:sz w:val="20"/>
          <w:szCs w:val="20"/>
        </w:rPr>
        <w:tab/>
        <w:t xml:space="preserve">          </w:t>
      </w:r>
      <w:r w:rsidR="00B312ED" w:rsidRPr="00173E7B">
        <w:rPr>
          <w:rFonts w:ascii="Arial Narrow" w:hAnsi="Arial Narrow"/>
          <w:sz w:val="20"/>
          <w:szCs w:val="20"/>
        </w:rPr>
        <w:tab/>
      </w:r>
    </w:p>
    <w:p w14:paraId="5BFD3119" w14:textId="77777777" w:rsidR="00B85D74" w:rsidRPr="00173E7B" w:rsidRDefault="00B85D74" w:rsidP="00B85D74">
      <w:pPr>
        <w:spacing w:after="120" w:line="276" w:lineRule="auto"/>
        <w:jc w:val="both"/>
        <w:rPr>
          <w:rFonts w:ascii="Arial Narrow" w:hAnsi="Arial Narrow"/>
          <w:b/>
          <w:u w:val="single"/>
        </w:rPr>
      </w:pPr>
      <w:r w:rsidRPr="00173E7B">
        <w:rPr>
          <w:rFonts w:ascii="Arial Narrow" w:hAnsi="Arial Narrow"/>
          <w:b/>
          <w:u w:val="single"/>
        </w:rPr>
        <w:t>Občané Vietnamu v České republice a v Jihomoravském kraji</w:t>
      </w:r>
    </w:p>
    <w:p w14:paraId="31AB275A" w14:textId="2A7C5F85" w:rsidR="00143A60" w:rsidRPr="00173E7B" w:rsidRDefault="00A424A4" w:rsidP="00B85D74">
      <w:pPr>
        <w:spacing w:after="120" w:line="276" w:lineRule="auto"/>
        <w:jc w:val="both"/>
        <w:rPr>
          <w:rFonts w:ascii="Arial Narrow" w:hAnsi="Arial Narrow"/>
          <w:bCs/>
        </w:rPr>
      </w:pPr>
      <w:bookmarkStart w:id="129" w:name="_Hlk95485512"/>
      <w:r w:rsidRPr="00173E7B">
        <w:rPr>
          <w:rFonts w:ascii="Arial Narrow" w:hAnsi="Arial Narrow"/>
          <w:bCs/>
        </w:rPr>
        <w:t xml:space="preserve">Zatímco podíl občanů Slovenska a Ukrajiny na celkovém počtu osob s jinou než českou státní příslušností v Jihomoravském kraji je v posledních letech stabilní, či mírně narůstá, v případně občanů Vietnamu lze pozorovat dlouhodobý pokles jejich podílů na celkovém počtu osob s jinou než českou státní příslušností, a to jak z hlediska celé České republiky, tak v rámci Jihomoravského kraje. </w:t>
      </w:r>
      <w:bookmarkStart w:id="130" w:name="_Hlk95485520"/>
      <w:bookmarkEnd w:id="129"/>
      <w:r w:rsidRPr="00173E7B">
        <w:rPr>
          <w:rFonts w:ascii="Arial Narrow" w:hAnsi="Arial Narrow"/>
          <w:bCs/>
        </w:rPr>
        <w:t xml:space="preserve">Zatímco v roce 2010 tvořili občané Vietnamu 12,8 % všech osob s jinou než českou státní příslušností v Jihomoravském kraji, v roce 2020 to bylo 8,2 %. </w:t>
      </w:r>
      <w:bookmarkEnd w:id="130"/>
      <w:r w:rsidRPr="00173E7B">
        <w:rPr>
          <w:rFonts w:ascii="Arial Narrow" w:hAnsi="Arial Narrow"/>
          <w:bCs/>
        </w:rPr>
        <w:t>Tento trend je charakteristický pro celou Českou republiku. Zatímco v roce 2010 tvořili občané Vietnamu 14,2 % všech osob s jinou než českou státní příslušností v České republice, v roce 2020 to bylo 8,2 %.</w:t>
      </w:r>
    </w:p>
    <w:p w14:paraId="60054B44" w14:textId="12BFABBA" w:rsidR="00907927" w:rsidRPr="00173E7B" w:rsidRDefault="00907927" w:rsidP="00907927">
      <w:pPr>
        <w:spacing w:after="120" w:line="276" w:lineRule="auto"/>
        <w:jc w:val="both"/>
        <w:rPr>
          <w:rFonts w:ascii="Arial Narrow" w:hAnsi="Arial Narrow"/>
          <w:bCs/>
        </w:rPr>
      </w:pPr>
      <w:r w:rsidRPr="00173E7B">
        <w:rPr>
          <w:rFonts w:ascii="Arial Narrow" w:hAnsi="Arial Narrow"/>
          <w:bCs/>
        </w:rPr>
        <w:t>V roce 2021 pokračoval na území JMK klesající trend počtu osob vietnamské národnosti. V celorepublikovém kontextu se dá hovořit o stagnaci na úrovni 9,8 %</w:t>
      </w:r>
      <w:r w:rsidR="00574025" w:rsidRPr="00173E7B">
        <w:rPr>
          <w:rFonts w:ascii="Arial Narrow" w:hAnsi="Arial Narrow"/>
          <w:bCs/>
        </w:rPr>
        <w:t xml:space="preserve"> ze všech osob s jinou než českou státní příslušností v ČR</w:t>
      </w:r>
      <w:r w:rsidRPr="00173E7B">
        <w:rPr>
          <w:rFonts w:ascii="Arial Narrow" w:hAnsi="Arial Narrow"/>
          <w:bCs/>
        </w:rPr>
        <w:t xml:space="preserve">. V roce 2022 je patrný všeobecný pokles podílu počtu osob hlásících se k vietnamské státní příslušnosti. K 31. 12. 2022 tvořil podíl vietnamské národnosti </w:t>
      </w:r>
      <w:r w:rsidR="00574025" w:rsidRPr="00173E7B">
        <w:rPr>
          <w:rFonts w:ascii="Arial Narrow" w:hAnsi="Arial Narrow"/>
          <w:bCs/>
        </w:rPr>
        <w:t xml:space="preserve">mezi osobami s jinou než českou státní příslušností </w:t>
      </w:r>
      <w:r w:rsidRPr="00173E7B">
        <w:rPr>
          <w:rFonts w:ascii="Arial Narrow" w:hAnsi="Arial Narrow"/>
          <w:bCs/>
        </w:rPr>
        <w:t xml:space="preserve">v Jihomoravském kraji 4,5 % a v ČR </w:t>
      </w:r>
      <w:r w:rsidR="00574025" w:rsidRPr="00173E7B">
        <w:rPr>
          <w:rFonts w:ascii="Arial Narrow" w:hAnsi="Arial Narrow"/>
          <w:bCs/>
        </w:rPr>
        <w:t>byl</w:t>
      </w:r>
      <w:r w:rsidRPr="00173E7B">
        <w:rPr>
          <w:rFonts w:ascii="Arial Narrow" w:hAnsi="Arial Narrow"/>
          <w:bCs/>
        </w:rPr>
        <w:t xml:space="preserve"> podíl na úrovni 5,9 %</w:t>
      </w:r>
      <w:r w:rsidR="005263EF" w:rsidRPr="00173E7B">
        <w:rPr>
          <w:rFonts w:ascii="Arial Narrow" w:hAnsi="Arial Narrow"/>
          <w:bCs/>
        </w:rPr>
        <w:t xml:space="preserve"> (graf č. 15)</w:t>
      </w:r>
      <w:r w:rsidRPr="00173E7B">
        <w:rPr>
          <w:rFonts w:ascii="Arial Narrow" w:hAnsi="Arial Narrow"/>
          <w:bCs/>
        </w:rPr>
        <w:t>.</w:t>
      </w:r>
      <w:r w:rsidR="00574025" w:rsidRPr="00173E7B">
        <w:rPr>
          <w:rFonts w:ascii="Arial Narrow" w:hAnsi="Arial Narrow"/>
          <w:bCs/>
        </w:rPr>
        <w:t xml:space="preserve"> Vliv má v tomto ohledu příchod velkého počtu osob s ukrajinskou </w:t>
      </w:r>
      <w:r w:rsidR="00574025" w:rsidRPr="00173E7B">
        <w:rPr>
          <w:rFonts w:ascii="Arial Narrow" w:hAnsi="Arial Narrow"/>
          <w:bCs/>
        </w:rPr>
        <w:lastRenderedPageBreak/>
        <w:t xml:space="preserve">státní příslušností v důsledku konfliktu na Ukrajině. Celkové počty (reálná čísla) Vietnamců </w:t>
      </w:r>
      <w:r w:rsidR="00C31DC7" w:rsidRPr="00173E7B">
        <w:rPr>
          <w:rFonts w:ascii="Arial Narrow" w:hAnsi="Arial Narrow"/>
          <w:bCs/>
        </w:rPr>
        <w:t>v ČR i JMK stabilně pozvolna narůstají</w:t>
      </w:r>
      <w:r w:rsidR="00574025" w:rsidRPr="00173E7B">
        <w:rPr>
          <w:rFonts w:ascii="Arial Narrow" w:hAnsi="Arial Narrow"/>
          <w:bCs/>
        </w:rPr>
        <w:t>.</w:t>
      </w:r>
      <w:r w:rsidR="00C31DC7" w:rsidRPr="00173E7B">
        <w:rPr>
          <w:rFonts w:ascii="Arial Narrow" w:hAnsi="Arial Narrow"/>
          <w:bCs/>
        </w:rPr>
        <w:t xml:space="preserve"> V ČR bylo v roce 2020 celkem 62 842 Vietnamců, v roce 2021 to bylo 64 808 a v roce 2022 už 66 297. V JMK bylo v roce 2020 celkem 4 810 Vietnamců, v roce 2021 to bylo 4 959 a v roce 2022 už 5 002.  </w:t>
      </w:r>
      <w:r w:rsidR="00574025" w:rsidRPr="00173E7B">
        <w:rPr>
          <w:rFonts w:ascii="Arial Narrow" w:hAnsi="Arial Narrow"/>
          <w:bCs/>
        </w:rPr>
        <w:t xml:space="preserve"> </w:t>
      </w:r>
    </w:p>
    <w:p w14:paraId="57EFC20F" w14:textId="36C1BFF8" w:rsidR="00AE4EE1" w:rsidRPr="00173E7B" w:rsidRDefault="002F7B6D" w:rsidP="002F7B6D">
      <w:pPr>
        <w:pStyle w:val="Titulek"/>
        <w:keepNext/>
        <w:spacing w:after="0"/>
        <w:jc w:val="both"/>
        <w:rPr>
          <w:rFonts w:ascii="Arial Narrow" w:hAnsi="Arial Narrow"/>
          <w:sz w:val="20"/>
          <w:szCs w:val="20"/>
        </w:rPr>
      </w:pPr>
      <w:bookmarkStart w:id="131" w:name="_Toc94443719"/>
      <w:bookmarkStart w:id="132" w:name="_Toc136428859"/>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15</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Podíl občanů Vietnamu na celkovém počtu osob s jinou než českou státní příslušností v ČR a v JMK v letech 2010–202</w:t>
      </w:r>
      <w:bookmarkEnd w:id="131"/>
      <w:r w:rsidR="00907927" w:rsidRPr="00173E7B">
        <w:rPr>
          <w:rFonts w:ascii="Arial Narrow" w:hAnsi="Arial Narrow"/>
          <w:color w:val="auto"/>
          <w:sz w:val="20"/>
          <w:szCs w:val="20"/>
        </w:rPr>
        <w:t>2</w:t>
      </w:r>
      <w:bookmarkEnd w:id="132"/>
    </w:p>
    <w:p w14:paraId="23F49743" w14:textId="581E48E5" w:rsidR="00AE4EE1" w:rsidRPr="00173E7B" w:rsidRDefault="00907927" w:rsidP="7CC7BF57">
      <w:pPr>
        <w:spacing w:line="276" w:lineRule="auto"/>
        <w:rPr>
          <w:rFonts w:ascii="Arial Narrow" w:hAnsi="Arial Narrow"/>
          <w:b/>
          <w:bCs/>
          <w:color w:val="2F5496" w:themeColor="accent1" w:themeShade="BF"/>
        </w:rPr>
      </w:pPr>
      <w:r w:rsidRPr="00173E7B">
        <w:rPr>
          <w:rFonts w:ascii="Arial Narrow" w:hAnsi="Arial Narrow"/>
          <w:bCs/>
          <w:noProof/>
          <w:lang w:eastAsia="cs-CZ"/>
        </w:rPr>
        <w:drawing>
          <wp:inline distT="0" distB="0" distL="0" distR="0" wp14:anchorId="1CDF5CA0" wp14:editId="6EC93D92">
            <wp:extent cx="5760720" cy="5048250"/>
            <wp:effectExtent l="0" t="0" r="0" b="0"/>
            <wp:docPr id="2117" name="Graf 2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2CF390" w14:textId="3356ED42" w:rsidR="002F7B6D" w:rsidRPr="00173E7B" w:rsidRDefault="002F7B6D" w:rsidP="00143A60">
      <w:pPr>
        <w:spacing w:line="276" w:lineRule="auto"/>
        <w:jc w:val="both"/>
        <w:rPr>
          <w:rFonts w:ascii="Arial Narrow" w:hAnsi="Arial Narrow"/>
          <w:bCs/>
        </w:rPr>
      </w:pPr>
      <w:r w:rsidRPr="00173E7B">
        <w:rPr>
          <w:rFonts w:ascii="Arial Narrow" w:hAnsi="Arial Narrow"/>
          <w:sz w:val="20"/>
          <w:szCs w:val="20"/>
        </w:rPr>
        <w:t xml:space="preserve">Zdroj: </w:t>
      </w:r>
      <w:r w:rsidRPr="00173E7B">
        <w:rPr>
          <w:rFonts w:ascii="Arial Narrow" w:eastAsia="Times New Roman" w:hAnsi="Arial Narrow" w:cs="Arial"/>
          <w:color w:val="000000"/>
          <w:sz w:val="20"/>
          <w:szCs w:val="20"/>
          <w:lang w:eastAsia="cs-CZ"/>
        </w:rPr>
        <w:t>Český statistický úřad</w:t>
      </w:r>
      <w:r w:rsidRPr="00173E7B">
        <w:rPr>
          <w:rFonts w:ascii="Arial Narrow" w:hAnsi="Arial Narrow"/>
          <w:sz w:val="20"/>
          <w:szCs w:val="20"/>
        </w:rPr>
        <w:t xml:space="preserve"> (data platná k 31. 12. 202</w:t>
      </w:r>
      <w:r w:rsidR="006C5C42" w:rsidRPr="00173E7B">
        <w:rPr>
          <w:rFonts w:ascii="Arial Narrow" w:hAnsi="Arial Narrow"/>
          <w:sz w:val="20"/>
          <w:szCs w:val="20"/>
        </w:rPr>
        <w:t>2</w:t>
      </w:r>
      <w:r w:rsidRPr="00173E7B">
        <w:rPr>
          <w:rFonts w:ascii="Arial Narrow" w:hAnsi="Arial Narrow"/>
          <w:sz w:val="20"/>
          <w:szCs w:val="20"/>
        </w:rPr>
        <w:t>)</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w:t>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s.r.o.</w:t>
      </w:r>
    </w:p>
    <w:p w14:paraId="22816A60" w14:textId="77777777" w:rsidR="001B603B" w:rsidRPr="00173E7B" w:rsidRDefault="001B603B" w:rsidP="003F6E2F">
      <w:pPr>
        <w:spacing w:after="120" w:line="276" w:lineRule="auto"/>
        <w:jc w:val="both"/>
        <w:rPr>
          <w:rFonts w:ascii="Arial Narrow" w:hAnsi="Arial Narrow"/>
          <w:bCs/>
        </w:rPr>
      </w:pPr>
    </w:p>
    <w:p w14:paraId="50697824" w14:textId="4D7E8746" w:rsidR="00A424A4" w:rsidRPr="00173E7B" w:rsidRDefault="00771D89" w:rsidP="003F6E2F">
      <w:pPr>
        <w:spacing w:after="120" w:line="276" w:lineRule="auto"/>
        <w:jc w:val="both"/>
        <w:rPr>
          <w:rFonts w:ascii="Arial Narrow" w:hAnsi="Arial Narrow"/>
          <w:bCs/>
          <w:color w:val="000000" w:themeColor="text1"/>
        </w:rPr>
      </w:pPr>
      <w:r w:rsidRPr="00173E7B">
        <w:rPr>
          <w:rFonts w:ascii="Arial Narrow" w:hAnsi="Arial Narrow"/>
          <w:bCs/>
        </w:rPr>
        <w:t>Z hlediska rozmístění občanů Vietnamu na území České republiky, potažmo Jihomoravského kraje byla k 31. 12. 202</w:t>
      </w:r>
      <w:r w:rsidR="001B603B" w:rsidRPr="00173E7B">
        <w:rPr>
          <w:rFonts w:ascii="Arial Narrow" w:hAnsi="Arial Narrow"/>
          <w:bCs/>
        </w:rPr>
        <w:t>1</w:t>
      </w:r>
      <w:r w:rsidRPr="00173E7B">
        <w:rPr>
          <w:rFonts w:ascii="Arial Narrow" w:hAnsi="Arial Narrow"/>
          <w:bCs/>
        </w:rPr>
        <w:t xml:space="preserve"> nejvyšší koncentrace občanů Vietnamu evidována zejména v příhraničních okresech na pomezí České republiky a N</w:t>
      </w:r>
      <w:r w:rsidR="00ED41C4" w:rsidRPr="00173E7B">
        <w:rPr>
          <w:rFonts w:ascii="Arial Narrow" w:hAnsi="Arial Narrow"/>
          <w:bCs/>
        </w:rPr>
        <w:t>ěmecka. Vysoký podíl občanů Vie</w:t>
      </w:r>
      <w:r w:rsidRPr="00173E7B">
        <w:rPr>
          <w:rFonts w:ascii="Arial Narrow" w:hAnsi="Arial Narrow"/>
          <w:bCs/>
        </w:rPr>
        <w:t>t</w:t>
      </w:r>
      <w:r w:rsidR="00ED41C4" w:rsidRPr="00173E7B">
        <w:rPr>
          <w:rFonts w:ascii="Arial Narrow" w:hAnsi="Arial Narrow"/>
          <w:bCs/>
        </w:rPr>
        <w:t>n</w:t>
      </w:r>
      <w:r w:rsidRPr="00173E7B">
        <w:rPr>
          <w:rFonts w:ascii="Arial Narrow" w:hAnsi="Arial Narrow"/>
          <w:bCs/>
        </w:rPr>
        <w:t>amu byl k tomuto datu také v okresech Praha, Brno-město a Ostrava.</w:t>
      </w:r>
      <w:r w:rsidR="005263EF" w:rsidRPr="00173E7B">
        <w:rPr>
          <w:rFonts w:ascii="Arial Narrow" w:hAnsi="Arial Narrow"/>
          <w:bCs/>
        </w:rPr>
        <w:t xml:space="preserve"> </w:t>
      </w:r>
      <w:r w:rsidRPr="00173E7B">
        <w:rPr>
          <w:rFonts w:ascii="Arial Narrow" w:hAnsi="Arial Narrow"/>
          <w:bCs/>
          <w:color w:val="000000" w:themeColor="text1"/>
        </w:rPr>
        <w:t>Rozmístění občanů Vietnamu na území České republiky k 31. 12. 202</w:t>
      </w:r>
      <w:r w:rsidR="001B603B" w:rsidRPr="00173E7B">
        <w:rPr>
          <w:rFonts w:ascii="Arial Narrow" w:hAnsi="Arial Narrow"/>
          <w:bCs/>
          <w:color w:val="000000" w:themeColor="text1"/>
        </w:rPr>
        <w:t>1</w:t>
      </w:r>
      <w:r w:rsidRPr="00173E7B">
        <w:rPr>
          <w:rFonts w:ascii="Arial Narrow" w:hAnsi="Arial Narrow"/>
          <w:bCs/>
          <w:color w:val="000000" w:themeColor="text1"/>
        </w:rPr>
        <w:t xml:space="preserve"> podle okresů podrobně dokumentuje následující mapa</w:t>
      </w:r>
      <w:r w:rsidR="005263EF" w:rsidRPr="00173E7B">
        <w:rPr>
          <w:rFonts w:ascii="Arial Narrow" w:hAnsi="Arial Narrow"/>
          <w:bCs/>
          <w:color w:val="000000" w:themeColor="text1"/>
        </w:rPr>
        <w:t xml:space="preserve"> (obrázek č. 4)</w:t>
      </w:r>
      <w:r w:rsidR="001B603B" w:rsidRPr="00173E7B">
        <w:rPr>
          <w:rFonts w:ascii="Arial Narrow" w:hAnsi="Arial Narrow"/>
          <w:bCs/>
          <w:color w:val="000000" w:themeColor="text1"/>
        </w:rPr>
        <w:t>.</w:t>
      </w:r>
      <w:r w:rsidR="00DB3612" w:rsidRPr="00173E7B">
        <w:rPr>
          <w:rStyle w:val="Znakapoznpodarou"/>
          <w:rFonts w:ascii="Arial Narrow" w:hAnsi="Arial Narrow"/>
          <w:bCs/>
          <w:color w:val="000000" w:themeColor="text1"/>
        </w:rPr>
        <w:footnoteReference w:id="9"/>
      </w:r>
    </w:p>
    <w:p w14:paraId="0613E7D0" w14:textId="77777777" w:rsidR="005263EF" w:rsidRDefault="005263EF" w:rsidP="003F6E2F">
      <w:pPr>
        <w:spacing w:after="120" w:line="276" w:lineRule="auto"/>
        <w:jc w:val="both"/>
        <w:rPr>
          <w:rFonts w:ascii="Arial Narrow" w:hAnsi="Arial Narrow"/>
          <w:bCs/>
        </w:rPr>
      </w:pPr>
    </w:p>
    <w:p w14:paraId="416E0A6E" w14:textId="77777777" w:rsidR="00173E7B" w:rsidRPr="00173E7B" w:rsidRDefault="00173E7B" w:rsidP="003F6E2F">
      <w:pPr>
        <w:spacing w:after="120" w:line="276" w:lineRule="auto"/>
        <w:jc w:val="both"/>
        <w:rPr>
          <w:rFonts w:ascii="Arial Narrow" w:hAnsi="Arial Narrow"/>
          <w:bCs/>
        </w:rPr>
      </w:pPr>
    </w:p>
    <w:p w14:paraId="7932D471" w14:textId="4CC302B8" w:rsidR="00A424A4" w:rsidRPr="00CE357F" w:rsidRDefault="00771D89" w:rsidP="00771D89">
      <w:pPr>
        <w:spacing w:line="276" w:lineRule="auto"/>
        <w:rPr>
          <w:rFonts w:ascii="Arial Narrow" w:hAnsi="Arial Narrow"/>
          <w:b/>
          <w:noProof/>
          <w:color w:val="2F5496" w:themeColor="accent1" w:themeShade="BF"/>
          <w:lang w:eastAsia="cs-CZ"/>
        </w:rPr>
      </w:pPr>
      <w:bookmarkStart w:id="133" w:name="_Toc136429288"/>
      <w:r w:rsidRPr="00173E7B">
        <w:rPr>
          <w:rFonts w:ascii="Arial Narrow" w:hAnsi="Arial Narrow"/>
          <w:b/>
          <w:sz w:val="20"/>
        </w:rPr>
        <w:lastRenderedPageBreak/>
        <w:t xml:space="preserve">Obrázek </w:t>
      </w:r>
      <w:r w:rsidR="00A949BB" w:rsidRPr="00173E7B">
        <w:rPr>
          <w:rFonts w:ascii="Arial Narrow" w:hAnsi="Arial Narrow"/>
          <w:b/>
          <w:sz w:val="20"/>
        </w:rPr>
        <w:fldChar w:fldCharType="begin"/>
      </w:r>
      <w:r w:rsidR="00A949BB" w:rsidRPr="00173E7B">
        <w:rPr>
          <w:rFonts w:ascii="Arial Narrow" w:hAnsi="Arial Narrow"/>
          <w:b/>
          <w:sz w:val="20"/>
        </w:rPr>
        <w:instrText xml:space="preserve"> SEQ Obrázek \* ARABIC </w:instrText>
      </w:r>
      <w:r w:rsidR="00A949BB" w:rsidRPr="00173E7B">
        <w:rPr>
          <w:rFonts w:ascii="Arial Narrow" w:hAnsi="Arial Narrow"/>
          <w:b/>
          <w:sz w:val="20"/>
        </w:rPr>
        <w:fldChar w:fldCharType="separate"/>
      </w:r>
      <w:r w:rsidR="00247DE3" w:rsidRPr="00173E7B">
        <w:rPr>
          <w:rFonts w:ascii="Arial Narrow" w:hAnsi="Arial Narrow"/>
          <w:b/>
          <w:noProof/>
          <w:sz w:val="20"/>
        </w:rPr>
        <w:t>4</w:t>
      </w:r>
      <w:r w:rsidR="00A949BB" w:rsidRPr="00173E7B">
        <w:rPr>
          <w:rFonts w:ascii="Arial Narrow" w:hAnsi="Arial Narrow"/>
          <w:b/>
          <w:sz w:val="20"/>
        </w:rPr>
        <w:fldChar w:fldCharType="end"/>
      </w:r>
      <w:r w:rsidRPr="00173E7B">
        <w:rPr>
          <w:rFonts w:ascii="Arial Narrow" w:hAnsi="Arial Narrow"/>
          <w:b/>
          <w:sz w:val="20"/>
        </w:rPr>
        <w:t>: Rozmístění občanů Vietnamu na území České republiky k 31. 12. 202</w:t>
      </w:r>
      <w:r w:rsidR="001B603B" w:rsidRPr="00173E7B">
        <w:rPr>
          <w:rFonts w:ascii="Arial Narrow" w:hAnsi="Arial Narrow"/>
          <w:b/>
          <w:sz w:val="20"/>
        </w:rPr>
        <w:t>1</w:t>
      </w:r>
      <w:bookmarkEnd w:id="133"/>
    </w:p>
    <w:p w14:paraId="2E0CEB50" w14:textId="44A33AF6" w:rsidR="00A424A4" w:rsidRPr="00CE357F" w:rsidRDefault="001B603B" w:rsidP="001B603B">
      <w:pPr>
        <w:spacing w:line="276" w:lineRule="auto"/>
        <w:rPr>
          <w:rFonts w:ascii="Arial Narrow" w:hAnsi="Arial Narrow"/>
          <w:b/>
          <w:color w:val="2F5496" w:themeColor="accent1" w:themeShade="BF"/>
        </w:rPr>
      </w:pPr>
      <w:r w:rsidRPr="005712E6">
        <w:rPr>
          <w:rFonts w:ascii="Arial Narrow" w:hAnsi="Arial Narrow"/>
          <w:b/>
          <w:noProof/>
          <w:color w:val="2F5496" w:themeColor="accent1" w:themeShade="BF"/>
          <w:lang w:eastAsia="cs-CZ"/>
        </w:rPr>
        <w:drawing>
          <wp:inline distT="0" distB="0" distL="0" distR="0" wp14:anchorId="4519DA11" wp14:editId="4BE04E6F">
            <wp:extent cx="5890438" cy="3861379"/>
            <wp:effectExtent l="0" t="0" r="0" b="6350"/>
            <wp:docPr id="8755096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09603" name=""/>
                    <pic:cNvPicPr/>
                  </pic:nvPicPr>
                  <pic:blipFill>
                    <a:blip r:embed="rId49"/>
                    <a:stretch>
                      <a:fillRect/>
                    </a:stretch>
                  </pic:blipFill>
                  <pic:spPr>
                    <a:xfrm>
                      <a:off x="0" y="0"/>
                      <a:ext cx="5893740" cy="3863543"/>
                    </a:xfrm>
                    <a:prstGeom prst="rect">
                      <a:avLst/>
                    </a:prstGeom>
                  </pic:spPr>
                </pic:pic>
              </a:graphicData>
            </a:graphic>
          </wp:inline>
        </w:drawing>
      </w:r>
    </w:p>
    <w:p w14:paraId="6B661220" w14:textId="521AEF84" w:rsidR="00771D89" w:rsidRPr="00CE357F" w:rsidRDefault="00771D89" w:rsidP="00771D89">
      <w:pPr>
        <w:spacing w:line="276" w:lineRule="auto"/>
        <w:jc w:val="both"/>
        <w:rPr>
          <w:rFonts w:ascii="Arial Narrow" w:hAnsi="Arial Narrow"/>
          <w:bCs/>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1B603B">
        <w:rPr>
          <w:rFonts w:ascii="Arial Narrow" w:hAnsi="Arial Narrow"/>
          <w:sz w:val="20"/>
          <w:szCs w:val="20"/>
        </w:rPr>
        <w:t>1</w:t>
      </w:r>
      <w:r w:rsidRPr="00CE357F">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sz w:val="20"/>
          <w:szCs w:val="20"/>
        </w:rPr>
        <w:tab/>
      </w:r>
    </w:p>
    <w:p w14:paraId="2FA6C99C" w14:textId="77777777" w:rsidR="00771D89" w:rsidRPr="00CE357F" w:rsidRDefault="00771D89" w:rsidP="00771D89">
      <w:pPr>
        <w:spacing w:line="276" w:lineRule="auto"/>
        <w:jc w:val="center"/>
        <w:rPr>
          <w:rFonts w:ascii="Arial Narrow" w:hAnsi="Arial Narrow"/>
          <w:b/>
          <w:noProof/>
          <w:color w:val="2F5496" w:themeColor="accent1" w:themeShade="BF"/>
          <w:lang w:eastAsia="cs-CZ"/>
        </w:rPr>
      </w:pPr>
    </w:p>
    <w:p w14:paraId="64447567" w14:textId="77777777" w:rsidR="0062443C" w:rsidRPr="00CE357F" w:rsidRDefault="0062443C" w:rsidP="00AE4EE1">
      <w:pPr>
        <w:spacing w:line="276" w:lineRule="auto"/>
        <w:rPr>
          <w:rFonts w:ascii="Arial Narrow" w:hAnsi="Arial Narrow"/>
          <w:b/>
          <w:color w:val="C00000"/>
        </w:rPr>
      </w:pPr>
    </w:p>
    <w:p w14:paraId="1F8D9C77" w14:textId="77777777" w:rsidR="00B85D74" w:rsidRPr="00CE357F" w:rsidRDefault="00B85D74" w:rsidP="00B85D74">
      <w:pPr>
        <w:spacing w:after="120" w:line="276" w:lineRule="auto"/>
        <w:jc w:val="both"/>
        <w:rPr>
          <w:rFonts w:ascii="Arial Narrow" w:hAnsi="Arial Narrow"/>
          <w:b/>
          <w:u w:val="single"/>
        </w:rPr>
      </w:pPr>
      <w:r w:rsidRPr="00CE357F">
        <w:rPr>
          <w:rFonts w:ascii="Arial Narrow" w:hAnsi="Arial Narrow"/>
          <w:b/>
          <w:u w:val="single"/>
        </w:rPr>
        <w:t>Občané Ruska v České republice a v Jihomoravském kraji</w:t>
      </w:r>
    </w:p>
    <w:p w14:paraId="2F1AED93" w14:textId="17104B9F" w:rsidR="002D4D09" w:rsidRDefault="002D4D09" w:rsidP="00B85D74">
      <w:pPr>
        <w:spacing w:after="120" w:line="276" w:lineRule="auto"/>
        <w:jc w:val="both"/>
        <w:rPr>
          <w:rFonts w:ascii="Arial Narrow" w:hAnsi="Arial Narrow"/>
          <w:bCs/>
        </w:rPr>
      </w:pPr>
      <w:bookmarkStart w:id="134" w:name="_Hlk95485705"/>
      <w:r w:rsidRPr="00CE357F">
        <w:rPr>
          <w:rFonts w:ascii="Arial Narrow" w:hAnsi="Arial Narrow"/>
          <w:bCs/>
        </w:rPr>
        <w:t xml:space="preserve">Občané Ruska jsou 4. nejčastější skupinou mezi osobami s jinou než českou státní příslušností v České republice i Jihomoravském kraji. Z hlediska celé České republiky se podíl počtu občanů Ruska mezi lety 2010 a 2020 pohybuje stabilně v rozmezí 6,6 – 7,5 %. V Jihomoravském kraji podíl občanů Ruska meziročně narůstá. Zatímco v roce 2010 tvořili občané Ruska 2,8 % všech osob s jinou než českou státní příslušností v Jihomoravském kraji, v roce 2020 to bylo již 5,1 %. </w:t>
      </w:r>
    </w:p>
    <w:p w14:paraId="6731C9D5" w14:textId="3B44FF1A" w:rsidR="00B866A0" w:rsidRPr="00CE357F" w:rsidRDefault="00B866A0" w:rsidP="00B85D74">
      <w:pPr>
        <w:spacing w:after="120" w:line="276" w:lineRule="auto"/>
        <w:jc w:val="both"/>
        <w:rPr>
          <w:rFonts w:ascii="Arial Narrow" w:hAnsi="Arial Narrow"/>
          <w:bCs/>
        </w:rPr>
      </w:pPr>
      <w:r>
        <w:rPr>
          <w:rFonts w:ascii="Arial Narrow" w:hAnsi="Arial Narrow"/>
          <w:bCs/>
        </w:rPr>
        <w:t>V roce</w:t>
      </w:r>
      <w:r w:rsidRPr="00B866A0">
        <w:rPr>
          <w:rFonts w:ascii="Arial Narrow" w:hAnsi="Arial Narrow"/>
          <w:bCs/>
        </w:rPr>
        <w:t xml:space="preserve"> 2021 </w:t>
      </w:r>
      <w:r>
        <w:rPr>
          <w:rFonts w:ascii="Arial Narrow" w:hAnsi="Arial Narrow"/>
          <w:bCs/>
        </w:rPr>
        <w:t>pokračoval trend</w:t>
      </w:r>
      <w:r w:rsidRPr="00B866A0">
        <w:rPr>
          <w:rFonts w:ascii="Arial Narrow" w:hAnsi="Arial Narrow"/>
          <w:bCs/>
        </w:rPr>
        <w:t xml:space="preserve"> navyšování podílu osob hlásících se k </w:t>
      </w:r>
      <w:r>
        <w:rPr>
          <w:rFonts w:ascii="Arial Narrow" w:hAnsi="Arial Narrow"/>
          <w:bCs/>
        </w:rPr>
        <w:t>r</w:t>
      </w:r>
      <w:r w:rsidRPr="00B866A0">
        <w:rPr>
          <w:rFonts w:ascii="Arial Narrow" w:hAnsi="Arial Narrow"/>
          <w:bCs/>
        </w:rPr>
        <w:t>uské státní příslušnosti</w:t>
      </w:r>
      <w:r w:rsidR="00C31DC7">
        <w:rPr>
          <w:rFonts w:ascii="Arial Narrow" w:hAnsi="Arial Narrow"/>
          <w:bCs/>
        </w:rPr>
        <w:t xml:space="preserve"> na všech osobách s jinou než českou státní příslušností</w:t>
      </w:r>
      <w:r w:rsidRPr="00B866A0">
        <w:rPr>
          <w:rFonts w:ascii="Arial Narrow" w:hAnsi="Arial Narrow"/>
          <w:bCs/>
        </w:rPr>
        <w:t>.</w:t>
      </w:r>
      <w:r w:rsidR="00C31DC7">
        <w:rPr>
          <w:rFonts w:ascii="Arial Narrow" w:hAnsi="Arial Narrow"/>
          <w:bCs/>
        </w:rPr>
        <w:t xml:space="preserve"> </w:t>
      </w:r>
      <w:r w:rsidRPr="00B866A0">
        <w:rPr>
          <w:rFonts w:ascii="Arial Narrow" w:hAnsi="Arial Narrow"/>
          <w:bCs/>
        </w:rPr>
        <w:t>V</w:t>
      </w:r>
      <w:r>
        <w:rPr>
          <w:rFonts w:ascii="Arial Narrow" w:hAnsi="Arial Narrow"/>
          <w:bCs/>
        </w:rPr>
        <w:t> </w:t>
      </w:r>
      <w:r w:rsidRPr="00B866A0">
        <w:rPr>
          <w:rFonts w:ascii="Arial Narrow" w:hAnsi="Arial Narrow"/>
          <w:bCs/>
        </w:rPr>
        <w:t>J</w:t>
      </w:r>
      <w:r>
        <w:rPr>
          <w:rFonts w:ascii="Arial Narrow" w:hAnsi="Arial Narrow"/>
          <w:bCs/>
        </w:rPr>
        <w:t>ihomoravském kraji</w:t>
      </w:r>
      <w:r w:rsidRPr="00B866A0">
        <w:rPr>
          <w:rFonts w:ascii="Arial Narrow" w:hAnsi="Arial Narrow"/>
          <w:bCs/>
        </w:rPr>
        <w:t xml:space="preserve"> podíl zmíněných osob činil 5,7 % a v celorepublikovém kontextu 6,9 %. Výrazný propad podílu </w:t>
      </w:r>
      <w:r w:rsidR="00C31DC7">
        <w:rPr>
          <w:rFonts w:ascii="Arial Narrow" w:hAnsi="Arial Narrow"/>
          <w:bCs/>
        </w:rPr>
        <w:t>Rusů</w:t>
      </w:r>
      <w:r w:rsidRPr="00B866A0">
        <w:rPr>
          <w:rFonts w:ascii="Arial Narrow" w:hAnsi="Arial Narrow"/>
          <w:bCs/>
        </w:rPr>
        <w:t xml:space="preserve"> </w:t>
      </w:r>
      <w:r w:rsidR="00C31DC7">
        <w:rPr>
          <w:rFonts w:ascii="Arial Narrow" w:hAnsi="Arial Narrow"/>
          <w:bCs/>
        </w:rPr>
        <w:t xml:space="preserve">v rámci všech osob s jinou než českou státní příslušností </w:t>
      </w:r>
      <w:r>
        <w:rPr>
          <w:rFonts w:ascii="Arial Narrow" w:hAnsi="Arial Narrow"/>
          <w:bCs/>
        </w:rPr>
        <w:t>byl</w:t>
      </w:r>
      <w:r w:rsidRPr="00B866A0">
        <w:rPr>
          <w:rFonts w:ascii="Arial Narrow" w:hAnsi="Arial Narrow"/>
          <w:bCs/>
        </w:rPr>
        <w:t xml:space="preserve"> v roce 2022. Na území </w:t>
      </w:r>
      <w:r>
        <w:rPr>
          <w:rFonts w:ascii="Arial Narrow" w:hAnsi="Arial Narrow"/>
          <w:bCs/>
        </w:rPr>
        <w:t>J</w:t>
      </w:r>
      <w:r w:rsidRPr="00B866A0">
        <w:rPr>
          <w:rFonts w:ascii="Arial Narrow" w:hAnsi="Arial Narrow"/>
          <w:bCs/>
        </w:rPr>
        <w:t>ihomoravského kraje byl k 31. 12. 2022 podíl Rusů</w:t>
      </w:r>
      <w:r w:rsidR="00C31DC7">
        <w:rPr>
          <w:rFonts w:ascii="Arial Narrow" w:hAnsi="Arial Narrow"/>
          <w:bCs/>
        </w:rPr>
        <w:t xml:space="preserve"> mezi osobami s jinou než českou státní příslušností</w:t>
      </w:r>
      <w:r w:rsidRPr="00B866A0">
        <w:rPr>
          <w:rFonts w:ascii="Arial Narrow" w:hAnsi="Arial Narrow"/>
          <w:bCs/>
        </w:rPr>
        <w:t xml:space="preserve"> 3,3 %. Na území celé ČR pak podíl činil 3,9</w:t>
      </w:r>
      <w:r>
        <w:rPr>
          <w:rFonts w:ascii="Arial Narrow" w:hAnsi="Arial Narrow"/>
          <w:bCs/>
        </w:rPr>
        <w:t xml:space="preserve"> %</w:t>
      </w:r>
      <w:r w:rsidRPr="00B866A0">
        <w:rPr>
          <w:rFonts w:ascii="Arial Narrow" w:hAnsi="Arial Narrow"/>
          <w:bCs/>
        </w:rPr>
        <w:t>. V kontextu vývoje v předchozím roce tedy propad na území JMK činí 2,4 %; v celé ČR pak 3 %</w:t>
      </w:r>
      <w:r w:rsidR="005263EF">
        <w:rPr>
          <w:rFonts w:ascii="Arial Narrow" w:hAnsi="Arial Narrow"/>
          <w:bCs/>
        </w:rPr>
        <w:t xml:space="preserve"> (graf č. 16</w:t>
      </w:r>
      <w:r w:rsidR="005263EF" w:rsidRPr="00173E7B">
        <w:rPr>
          <w:rFonts w:ascii="Arial Narrow" w:hAnsi="Arial Narrow"/>
          <w:bCs/>
        </w:rPr>
        <w:t>)</w:t>
      </w:r>
      <w:r w:rsidRPr="00173E7B">
        <w:rPr>
          <w:rFonts w:ascii="Arial Narrow" w:hAnsi="Arial Narrow"/>
          <w:bCs/>
        </w:rPr>
        <w:t>.</w:t>
      </w:r>
      <w:r w:rsidR="00C31DC7" w:rsidRPr="00173E7B">
        <w:rPr>
          <w:rFonts w:ascii="Arial Narrow" w:hAnsi="Arial Narrow"/>
          <w:bCs/>
        </w:rPr>
        <w:t xml:space="preserve"> Tento propad v podílech není dán pouze navýšením </w:t>
      </w:r>
      <w:r w:rsidR="005A2E99" w:rsidRPr="00173E7B">
        <w:rPr>
          <w:rFonts w:ascii="Arial Narrow" w:hAnsi="Arial Narrow"/>
          <w:bCs/>
        </w:rPr>
        <w:t>počtu Ukrajinců, ale také reálným úbytkem počtu osob s ruskou státní příslušností v ČR i v JMK. Zatímco v roce 2021 bylo v ČR 45 154 Rusů, v roce 2022 jejich počet klesl o 1 856 osob na 43 298. Pokles počtu Rusů byl mezi těmito roky v JMK, a to z 3 622 v roce 2021 na 3 305 v roce 2022.</w:t>
      </w:r>
    </w:p>
    <w:p w14:paraId="65B7F310" w14:textId="24E52ADC" w:rsidR="00AE4EE1" w:rsidRPr="00CE357F" w:rsidRDefault="00143A60" w:rsidP="00143A60">
      <w:pPr>
        <w:pStyle w:val="Titulek"/>
        <w:keepNext/>
        <w:spacing w:after="0"/>
        <w:jc w:val="both"/>
        <w:rPr>
          <w:rFonts w:ascii="Arial Narrow" w:hAnsi="Arial Narrow"/>
          <w:sz w:val="20"/>
          <w:szCs w:val="20"/>
        </w:rPr>
      </w:pPr>
      <w:bookmarkStart w:id="135" w:name="_Toc94443720"/>
      <w:bookmarkStart w:id="136" w:name="_Toc136428860"/>
      <w:bookmarkEnd w:id="134"/>
      <w:r w:rsidRPr="00CE357F">
        <w:rPr>
          <w:rFonts w:ascii="Arial Narrow" w:hAnsi="Arial Narrow"/>
          <w:color w:val="auto"/>
          <w:sz w:val="20"/>
          <w:szCs w:val="20"/>
        </w:rPr>
        <w:lastRenderedPageBreak/>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16</w:t>
      </w:r>
      <w:r w:rsidR="00B63C25">
        <w:rPr>
          <w:rFonts w:ascii="Arial Narrow" w:hAnsi="Arial Narrow"/>
          <w:color w:val="auto"/>
          <w:sz w:val="20"/>
          <w:szCs w:val="20"/>
        </w:rPr>
        <w:fldChar w:fldCharType="end"/>
      </w:r>
      <w:r w:rsidRPr="00CE357F">
        <w:rPr>
          <w:rFonts w:ascii="Arial Narrow" w:hAnsi="Arial Narrow"/>
          <w:color w:val="auto"/>
          <w:sz w:val="20"/>
          <w:szCs w:val="20"/>
        </w:rPr>
        <w:t>: Podíl občanů Ruska na celkovém počtu osob s jinou než českou státní příslušností v ČR a v JMK v letech 2010–202</w:t>
      </w:r>
      <w:bookmarkEnd w:id="135"/>
      <w:r w:rsidR="00B866A0">
        <w:rPr>
          <w:rFonts w:ascii="Arial Narrow" w:hAnsi="Arial Narrow"/>
          <w:color w:val="auto"/>
          <w:sz w:val="20"/>
          <w:szCs w:val="20"/>
        </w:rPr>
        <w:t>2</w:t>
      </w:r>
      <w:bookmarkEnd w:id="136"/>
    </w:p>
    <w:p w14:paraId="5CF49424" w14:textId="4C269F0E" w:rsidR="00AE4EE1" w:rsidRPr="00CE357F" w:rsidRDefault="00B866A0" w:rsidP="7CC7BF57">
      <w:pPr>
        <w:spacing w:line="276" w:lineRule="auto"/>
        <w:rPr>
          <w:rFonts w:ascii="Arial Narrow" w:hAnsi="Arial Narrow"/>
          <w:b/>
          <w:bCs/>
          <w:color w:val="2F5496" w:themeColor="accent1" w:themeShade="BF"/>
        </w:rPr>
      </w:pPr>
      <w:r w:rsidRPr="00CE357F">
        <w:rPr>
          <w:rFonts w:ascii="Arial Narrow" w:hAnsi="Arial Narrow"/>
          <w:bCs/>
          <w:noProof/>
          <w:lang w:eastAsia="cs-CZ"/>
        </w:rPr>
        <w:drawing>
          <wp:inline distT="0" distB="0" distL="0" distR="0" wp14:anchorId="00B0B6FA" wp14:editId="1B3748FC">
            <wp:extent cx="5760720" cy="4861560"/>
            <wp:effectExtent l="0" t="0" r="0" b="0"/>
            <wp:docPr id="2119" name="Graf 2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E40611" w14:textId="06702061" w:rsidR="00AE4EE1" w:rsidRPr="00CE357F" w:rsidRDefault="00143A60" w:rsidP="00143A60">
      <w:pPr>
        <w:spacing w:line="276" w:lineRule="auto"/>
        <w:jc w:val="both"/>
        <w:rPr>
          <w:rFonts w:ascii="Arial Narrow" w:hAnsi="Arial Narrow"/>
          <w:sz w:val="20"/>
          <w:szCs w:val="20"/>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 202</w:t>
      </w:r>
      <w:r w:rsidR="00B866A0">
        <w:rPr>
          <w:rFonts w:ascii="Arial Narrow" w:hAnsi="Arial Narrow"/>
          <w:sz w:val="20"/>
          <w:szCs w:val="20"/>
        </w:rPr>
        <w:t>2</w:t>
      </w:r>
      <w:r w:rsidRPr="00CE357F">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1B60ED16" w14:textId="77777777" w:rsidR="00DC3CDC" w:rsidRPr="00CE357F" w:rsidRDefault="00DC3CDC" w:rsidP="00143A60">
      <w:pPr>
        <w:spacing w:line="276" w:lineRule="auto"/>
        <w:jc w:val="both"/>
        <w:rPr>
          <w:rFonts w:ascii="Arial Narrow" w:hAnsi="Arial Narrow"/>
          <w:sz w:val="20"/>
          <w:szCs w:val="20"/>
        </w:rPr>
      </w:pPr>
    </w:p>
    <w:p w14:paraId="3CBBB9AA" w14:textId="43402A37" w:rsidR="002D4D09" w:rsidRPr="005263EF" w:rsidRDefault="002D4D09" w:rsidP="003F6E2F">
      <w:pPr>
        <w:spacing w:after="120" w:line="276" w:lineRule="auto"/>
        <w:jc w:val="both"/>
        <w:rPr>
          <w:rFonts w:ascii="Arial Narrow" w:hAnsi="Arial Narrow"/>
          <w:bCs/>
        </w:rPr>
      </w:pPr>
      <w:r w:rsidRPr="00CE357F">
        <w:rPr>
          <w:rFonts w:ascii="Arial Narrow" w:hAnsi="Arial Narrow"/>
          <w:bCs/>
        </w:rPr>
        <w:t>Z hlediska rozmístění občanů Ruska na území České republiky, potažmo Jihomoravského kraje byla k 31. 12. 202</w:t>
      </w:r>
      <w:r w:rsidR="007D120B">
        <w:rPr>
          <w:rFonts w:ascii="Arial Narrow" w:hAnsi="Arial Narrow"/>
          <w:bCs/>
        </w:rPr>
        <w:t>1</w:t>
      </w:r>
      <w:r w:rsidRPr="00CE357F">
        <w:rPr>
          <w:rFonts w:ascii="Arial Narrow" w:hAnsi="Arial Narrow"/>
          <w:bCs/>
        </w:rPr>
        <w:t xml:space="preserve"> nejvyšší koncentrace občanů Ruska evidována zejména v Praze a okolních ok</w:t>
      </w:r>
      <w:r w:rsidR="003C5FC2" w:rsidRPr="00CE357F">
        <w:rPr>
          <w:rFonts w:ascii="Arial Narrow" w:hAnsi="Arial Narrow"/>
          <w:bCs/>
        </w:rPr>
        <w:t>resech. Vysoký podíl občanů Vie</w:t>
      </w:r>
      <w:r w:rsidRPr="00CE357F">
        <w:rPr>
          <w:rFonts w:ascii="Arial Narrow" w:hAnsi="Arial Narrow"/>
          <w:bCs/>
        </w:rPr>
        <w:t>t</w:t>
      </w:r>
      <w:r w:rsidR="003C5FC2" w:rsidRPr="00CE357F">
        <w:rPr>
          <w:rFonts w:ascii="Arial Narrow" w:hAnsi="Arial Narrow"/>
          <w:bCs/>
        </w:rPr>
        <w:t>n</w:t>
      </w:r>
      <w:r w:rsidRPr="00CE357F">
        <w:rPr>
          <w:rFonts w:ascii="Arial Narrow" w:hAnsi="Arial Narrow"/>
          <w:bCs/>
        </w:rPr>
        <w:t>amu byl k tomuto datu také v okresech Karlovy Vary, Brno-město, Ostrava a České Budějovice.</w:t>
      </w:r>
      <w:r w:rsidR="005263EF">
        <w:rPr>
          <w:rFonts w:ascii="Arial Narrow" w:hAnsi="Arial Narrow"/>
          <w:bCs/>
        </w:rPr>
        <w:t xml:space="preserve"> </w:t>
      </w:r>
      <w:r w:rsidRPr="005263EF">
        <w:rPr>
          <w:rFonts w:ascii="Arial Narrow" w:hAnsi="Arial Narrow"/>
          <w:bCs/>
          <w:color w:val="000000" w:themeColor="text1"/>
        </w:rPr>
        <w:t>Rozmístění občanů Ruska na území České republiky k 31. 12. 202</w:t>
      </w:r>
      <w:r w:rsidR="007D120B" w:rsidRPr="005263EF">
        <w:rPr>
          <w:rFonts w:ascii="Arial Narrow" w:hAnsi="Arial Narrow"/>
          <w:bCs/>
          <w:color w:val="000000" w:themeColor="text1"/>
        </w:rPr>
        <w:t>1</w:t>
      </w:r>
      <w:r w:rsidRPr="005263EF">
        <w:rPr>
          <w:rFonts w:ascii="Arial Narrow" w:hAnsi="Arial Narrow"/>
          <w:bCs/>
          <w:color w:val="000000" w:themeColor="text1"/>
        </w:rPr>
        <w:t xml:space="preserve"> podle okresů podrobně dokumentuje následující mapa</w:t>
      </w:r>
      <w:r w:rsidR="005263EF" w:rsidRPr="005263EF">
        <w:rPr>
          <w:rFonts w:ascii="Arial Narrow" w:hAnsi="Arial Narrow"/>
          <w:bCs/>
          <w:color w:val="000000" w:themeColor="text1"/>
        </w:rPr>
        <w:t xml:space="preserve"> (obrázek č. 5)</w:t>
      </w:r>
      <w:r w:rsidR="007D120B" w:rsidRPr="005263EF">
        <w:rPr>
          <w:rFonts w:ascii="Arial Narrow" w:hAnsi="Arial Narrow"/>
          <w:bCs/>
          <w:color w:val="000000" w:themeColor="text1"/>
        </w:rPr>
        <w:t>.</w:t>
      </w:r>
      <w:r w:rsidR="00A91E35" w:rsidRPr="005263EF">
        <w:rPr>
          <w:rStyle w:val="Znakapoznpodarou"/>
          <w:rFonts w:ascii="Arial Narrow" w:hAnsi="Arial Narrow"/>
          <w:bCs/>
          <w:color w:val="000000" w:themeColor="text1"/>
        </w:rPr>
        <w:footnoteReference w:id="10"/>
      </w:r>
    </w:p>
    <w:p w14:paraId="2EE79208" w14:textId="06EA9ADB" w:rsidR="002D4D09" w:rsidRPr="00CE357F" w:rsidRDefault="002D4D09" w:rsidP="002D4D09">
      <w:pPr>
        <w:spacing w:line="276" w:lineRule="auto"/>
        <w:jc w:val="center"/>
        <w:rPr>
          <w:rFonts w:ascii="Arial Narrow" w:hAnsi="Arial Narrow"/>
          <w:b/>
          <w:noProof/>
          <w:color w:val="2F5496" w:themeColor="accent1" w:themeShade="BF"/>
          <w:lang w:eastAsia="cs-CZ"/>
        </w:rPr>
      </w:pPr>
    </w:p>
    <w:p w14:paraId="7143778E" w14:textId="444E8509" w:rsidR="003F6E2F" w:rsidRPr="00CE357F" w:rsidRDefault="003F6E2F" w:rsidP="002D4D09">
      <w:pPr>
        <w:spacing w:line="276" w:lineRule="auto"/>
        <w:jc w:val="center"/>
        <w:rPr>
          <w:rFonts w:ascii="Arial Narrow" w:hAnsi="Arial Narrow"/>
          <w:b/>
          <w:noProof/>
          <w:color w:val="2F5496" w:themeColor="accent1" w:themeShade="BF"/>
          <w:lang w:eastAsia="cs-CZ"/>
        </w:rPr>
      </w:pPr>
    </w:p>
    <w:p w14:paraId="13528D41" w14:textId="6101A810" w:rsidR="003F6E2F" w:rsidRPr="00CE357F" w:rsidRDefault="003F6E2F" w:rsidP="002D4D09">
      <w:pPr>
        <w:spacing w:line="276" w:lineRule="auto"/>
        <w:jc w:val="center"/>
        <w:rPr>
          <w:rFonts w:ascii="Arial Narrow" w:hAnsi="Arial Narrow"/>
          <w:b/>
          <w:noProof/>
          <w:color w:val="2F5496" w:themeColor="accent1" w:themeShade="BF"/>
          <w:lang w:eastAsia="cs-CZ"/>
        </w:rPr>
      </w:pPr>
    </w:p>
    <w:p w14:paraId="17996986" w14:textId="7371E8E2" w:rsidR="003F6E2F" w:rsidRPr="00CE357F" w:rsidRDefault="003F6E2F" w:rsidP="002D4D09">
      <w:pPr>
        <w:spacing w:line="276" w:lineRule="auto"/>
        <w:jc w:val="center"/>
        <w:rPr>
          <w:rFonts w:ascii="Arial Narrow" w:hAnsi="Arial Narrow"/>
          <w:b/>
          <w:noProof/>
          <w:color w:val="2F5496" w:themeColor="accent1" w:themeShade="BF"/>
          <w:lang w:eastAsia="cs-CZ"/>
        </w:rPr>
      </w:pPr>
    </w:p>
    <w:p w14:paraId="731D8368" w14:textId="1600C4FE" w:rsidR="003F6E2F" w:rsidRDefault="003F6E2F" w:rsidP="003F6E2F">
      <w:pPr>
        <w:spacing w:line="276" w:lineRule="auto"/>
        <w:rPr>
          <w:rFonts w:ascii="Arial Narrow" w:hAnsi="Arial Narrow"/>
          <w:b/>
          <w:noProof/>
          <w:color w:val="2F5496" w:themeColor="accent1" w:themeShade="BF"/>
          <w:lang w:eastAsia="cs-CZ"/>
        </w:rPr>
      </w:pPr>
    </w:p>
    <w:p w14:paraId="12975AED" w14:textId="77777777" w:rsidR="007D120B" w:rsidRDefault="007D120B" w:rsidP="003F6E2F">
      <w:pPr>
        <w:spacing w:line="276" w:lineRule="auto"/>
        <w:rPr>
          <w:rFonts w:ascii="Arial Narrow" w:hAnsi="Arial Narrow"/>
          <w:b/>
          <w:noProof/>
          <w:color w:val="2F5496" w:themeColor="accent1" w:themeShade="BF"/>
          <w:lang w:eastAsia="cs-CZ"/>
        </w:rPr>
      </w:pPr>
    </w:p>
    <w:p w14:paraId="167D1523" w14:textId="77777777" w:rsidR="005263EF" w:rsidRDefault="005263EF" w:rsidP="003F6E2F">
      <w:pPr>
        <w:spacing w:line="276" w:lineRule="auto"/>
        <w:rPr>
          <w:rFonts w:ascii="Arial Narrow" w:hAnsi="Arial Narrow"/>
          <w:b/>
          <w:noProof/>
          <w:color w:val="2F5496" w:themeColor="accent1" w:themeShade="BF"/>
          <w:lang w:eastAsia="cs-CZ"/>
        </w:rPr>
      </w:pPr>
    </w:p>
    <w:p w14:paraId="6C3D11A0" w14:textId="77777777" w:rsidR="007D120B" w:rsidRPr="00CE357F" w:rsidRDefault="007D120B" w:rsidP="003F6E2F">
      <w:pPr>
        <w:spacing w:line="276" w:lineRule="auto"/>
        <w:rPr>
          <w:rFonts w:ascii="Arial Narrow" w:hAnsi="Arial Narrow"/>
          <w:b/>
          <w:noProof/>
          <w:color w:val="2F5496" w:themeColor="accent1" w:themeShade="BF"/>
          <w:lang w:eastAsia="cs-CZ"/>
        </w:rPr>
      </w:pPr>
    </w:p>
    <w:p w14:paraId="23C12DAF" w14:textId="64DF91E2" w:rsidR="002D4D09" w:rsidRPr="00CE357F" w:rsidRDefault="002D4D09" w:rsidP="00D56D85">
      <w:pPr>
        <w:spacing w:line="276" w:lineRule="auto"/>
        <w:rPr>
          <w:rFonts w:ascii="Arial Narrow" w:hAnsi="Arial Narrow"/>
          <w:b/>
          <w:noProof/>
          <w:color w:val="2F5496" w:themeColor="accent1" w:themeShade="BF"/>
          <w:lang w:eastAsia="cs-CZ"/>
        </w:rPr>
      </w:pPr>
      <w:bookmarkStart w:id="137" w:name="_Toc136429289"/>
      <w:r w:rsidRPr="00173E7B">
        <w:rPr>
          <w:rFonts w:ascii="Arial Narrow" w:hAnsi="Arial Narrow"/>
          <w:b/>
          <w:sz w:val="20"/>
        </w:rPr>
        <w:lastRenderedPageBreak/>
        <w:t xml:space="preserve">Obrázek </w:t>
      </w:r>
      <w:r w:rsidR="00A949BB" w:rsidRPr="00173E7B">
        <w:rPr>
          <w:rFonts w:ascii="Arial Narrow" w:hAnsi="Arial Narrow"/>
          <w:b/>
          <w:sz w:val="20"/>
        </w:rPr>
        <w:fldChar w:fldCharType="begin"/>
      </w:r>
      <w:r w:rsidR="00A949BB" w:rsidRPr="00173E7B">
        <w:rPr>
          <w:rFonts w:ascii="Arial Narrow" w:hAnsi="Arial Narrow"/>
          <w:b/>
          <w:sz w:val="20"/>
        </w:rPr>
        <w:instrText xml:space="preserve"> SEQ Obrázek \* ARABIC </w:instrText>
      </w:r>
      <w:r w:rsidR="00A949BB" w:rsidRPr="00173E7B">
        <w:rPr>
          <w:rFonts w:ascii="Arial Narrow" w:hAnsi="Arial Narrow"/>
          <w:b/>
          <w:sz w:val="20"/>
        </w:rPr>
        <w:fldChar w:fldCharType="separate"/>
      </w:r>
      <w:r w:rsidR="00247DE3" w:rsidRPr="00173E7B">
        <w:rPr>
          <w:rFonts w:ascii="Arial Narrow" w:hAnsi="Arial Narrow"/>
          <w:b/>
          <w:noProof/>
          <w:sz w:val="20"/>
        </w:rPr>
        <w:t>5</w:t>
      </w:r>
      <w:r w:rsidR="00A949BB" w:rsidRPr="00173E7B">
        <w:rPr>
          <w:rFonts w:ascii="Arial Narrow" w:hAnsi="Arial Narrow"/>
          <w:b/>
          <w:sz w:val="20"/>
        </w:rPr>
        <w:fldChar w:fldCharType="end"/>
      </w:r>
      <w:r w:rsidRPr="00173E7B">
        <w:rPr>
          <w:rFonts w:ascii="Arial Narrow" w:hAnsi="Arial Narrow"/>
          <w:b/>
          <w:sz w:val="20"/>
        </w:rPr>
        <w:t>: Rozmístění občanů Ruska na území České republiky k 31. 12. 202</w:t>
      </w:r>
      <w:r w:rsidR="007D120B" w:rsidRPr="00173E7B">
        <w:rPr>
          <w:rFonts w:ascii="Arial Narrow" w:hAnsi="Arial Narrow"/>
          <w:b/>
          <w:sz w:val="20"/>
        </w:rPr>
        <w:t>1</w:t>
      </w:r>
      <w:bookmarkEnd w:id="137"/>
      <w:r w:rsidRPr="00CE357F">
        <w:rPr>
          <w:rFonts w:ascii="Arial Narrow" w:hAnsi="Arial Narrow"/>
          <w:sz w:val="20"/>
          <w:szCs w:val="20"/>
        </w:rPr>
        <w:tab/>
      </w:r>
    </w:p>
    <w:p w14:paraId="0FE9B5F6" w14:textId="13F655B4" w:rsidR="007D120B" w:rsidRDefault="007D120B" w:rsidP="00143A60">
      <w:pPr>
        <w:spacing w:line="276" w:lineRule="auto"/>
        <w:jc w:val="both"/>
        <w:rPr>
          <w:rFonts w:ascii="Arial Narrow" w:hAnsi="Arial Narrow"/>
          <w:sz w:val="20"/>
          <w:szCs w:val="20"/>
        </w:rPr>
      </w:pPr>
      <w:r>
        <w:rPr>
          <w:rFonts w:ascii="Arial Narrow" w:hAnsi="Arial Narrow"/>
          <w:b/>
          <w:noProof/>
          <w:color w:val="2F5496" w:themeColor="accent1" w:themeShade="BF"/>
          <w:lang w:eastAsia="cs-CZ"/>
        </w:rPr>
        <w:drawing>
          <wp:inline distT="0" distB="0" distL="0" distR="0" wp14:anchorId="6C42A67A" wp14:editId="58E8EC27">
            <wp:extent cx="5760720" cy="4089498"/>
            <wp:effectExtent l="0" t="0" r="0" b="6350"/>
            <wp:docPr id="17500699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89498"/>
                    </a:xfrm>
                    <a:prstGeom prst="rect">
                      <a:avLst/>
                    </a:prstGeom>
                    <a:noFill/>
                  </pic:spPr>
                </pic:pic>
              </a:graphicData>
            </a:graphic>
          </wp:inline>
        </w:drawing>
      </w:r>
    </w:p>
    <w:p w14:paraId="55165DBB" w14:textId="337A2667" w:rsidR="002D4D09" w:rsidRPr="00CE357F" w:rsidRDefault="00935351" w:rsidP="00143A60">
      <w:pPr>
        <w:spacing w:line="276" w:lineRule="auto"/>
        <w:jc w:val="both"/>
        <w:rPr>
          <w:rFonts w:ascii="Arial Narrow" w:hAnsi="Arial Narrow"/>
          <w:bCs/>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sidRPr="00CE357F">
        <w:rPr>
          <w:rFonts w:ascii="Arial Narrow" w:hAnsi="Arial Narrow"/>
          <w:sz w:val="20"/>
          <w:szCs w:val="20"/>
        </w:rPr>
        <w:t xml:space="preserve"> (data platná k 31. 12</w:t>
      </w:r>
      <w:r w:rsidRPr="00BE259C">
        <w:rPr>
          <w:rFonts w:ascii="Arial Narrow" w:hAnsi="Arial Narrow"/>
          <w:sz w:val="20"/>
          <w:szCs w:val="20"/>
        </w:rPr>
        <w:t>. 202</w:t>
      </w:r>
      <w:r w:rsidR="007D120B" w:rsidRPr="00BE259C">
        <w:rPr>
          <w:rFonts w:ascii="Arial Narrow" w:hAnsi="Arial Narrow"/>
          <w:sz w:val="20"/>
          <w:szCs w:val="20"/>
        </w:rPr>
        <w:t>1</w:t>
      </w:r>
      <w:r w:rsidRPr="00BE259C">
        <w:rPr>
          <w:rFonts w:ascii="Arial Narrow" w:hAnsi="Arial Narrow"/>
          <w:sz w:val="20"/>
          <w:szCs w:val="20"/>
        </w:rPr>
        <w:t>)</w:t>
      </w:r>
      <w:r w:rsidRPr="00CE357F">
        <w:rPr>
          <w:rFonts w:ascii="Arial Narrow" w:hAnsi="Arial Narrow"/>
          <w:sz w:val="20"/>
          <w:szCs w:val="20"/>
        </w:rPr>
        <w:tab/>
      </w:r>
      <w:r w:rsidRPr="00CE357F">
        <w:rPr>
          <w:rFonts w:ascii="Arial Narrow" w:hAnsi="Arial Narrow"/>
          <w:sz w:val="20"/>
          <w:szCs w:val="20"/>
        </w:rPr>
        <w:tab/>
      </w:r>
    </w:p>
    <w:p w14:paraId="3CB5FF77" w14:textId="6E9C7DFD" w:rsidR="00B56697" w:rsidRPr="00CE357F" w:rsidRDefault="00B56697" w:rsidP="00C763F5">
      <w:pPr>
        <w:spacing w:line="276" w:lineRule="auto"/>
        <w:rPr>
          <w:rFonts w:ascii="Arial Narrow" w:hAnsi="Arial Narrow"/>
          <w:bCs/>
        </w:rPr>
      </w:pPr>
    </w:p>
    <w:p w14:paraId="2D164BC7" w14:textId="0A625BD6" w:rsidR="00B56697" w:rsidRPr="00CE357F" w:rsidRDefault="00B56697" w:rsidP="00C763F5">
      <w:pPr>
        <w:pStyle w:val="Nadpis3"/>
      </w:pPr>
      <w:bookmarkStart w:id="138" w:name="_Toc94215385"/>
      <w:bookmarkStart w:id="139" w:name="_Toc94220483"/>
      <w:bookmarkStart w:id="140" w:name="_Toc94301317"/>
      <w:bookmarkStart w:id="141" w:name="_Toc94390106"/>
      <w:bookmarkStart w:id="142" w:name="_Toc94390191"/>
      <w:bookmarkStart w:id="143" w:name="_Toc94444075"/>
      <w:bookmarkStart w:id="144" w:name="_Toc95386852"/>
      <w:bookmarkStart w:id="145" w:name="_Toc95386944"/>
      <w:bookmarkStart w:id="146" w:name="_Toc95731951"/>
      <w:bookmarkStart w:id="147" w:name="_Toc95733296"/>
      <w:bookmarkStart w:id="148" w:name="_Toc95821856"/>
      <w:bookmarkStart w:id="149" w:name="_Toc95986690"/>
      <w:bookmarkStart w:id="150" w:name="_Toc125635416"/>
      <w:bookmarkStart w:id="151" w:name="_Toc132629123"/>
      <w:bookmarkStart w:id="152" w:name="_Toc94301318"/>
      <w:bookmarkStart w:id="153" w:name="_Toc94390107"/>
      <w:bookmarkStart w:id="154" w:name="_Toc94390192"/>
      <w:bookmarkStart w:id="155" w:name="_Toc94444076"/>
      <w:bookmarkStart w:id="156" w:name="_Toc95386853"/>
      <w:bookmarkStart w:id="157" w:name="_Toc95386945"/>
      <w:bookmarkStart w:id="158" w:name="_Toc95731952"/>
      <w:bookmarkStart w:id="159" w:name="_Toc95733297"/>
      <w:bookmarkStart w:id="160" w:name="_Toc95821857"/>
      <w:bookmarkStart w:id="161" w:name="_Toc95986691"/>
      <w:bookmarkStart w:id="162" w:name="_Toc125635417"/>
      <w:bookmarkStart w:id="163" w:name="_Toc132629124"/>
      <w:bookmarkStart w:id="164" w:name="_Toc13687607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CE357F">
        <w:t xml:space="preserve">Osoby </w:t>
      </w:r>
      <w:r w:rsidR="00143A60" w:rsidRPr="00CE357F">
        <w:t>s</w:t>
      </w:r>
      <w:r w:rsidRPr="00CE357F">
        <w:t> jinou než českou státní příslušností podle pohlaví</w:t>
      </w:r>
      <w:bookmarkEnd w:id="164"/>
    </w:p>
    <w:p w14:paraId="4B65D913" w14:textId="77777777" w:rsidR="00B56697" w:rsidRPr="00CE357F" w:rsidRDefault="00B56697" w:rsidP="00B56697">
      <w:pPr>
        <w:rPr>
          <w:rFonts w:ascii="Arial Narrow" w:hAnsi="Arial Narrow"/>
        </w:rPr>
      </w:pPr>
    </w:p>
    <w:p w14:paraId="1D458832" w14:textId="6D1EF379" w:rsidR="00B56697" w:rsidRPr="00CE357F" w:rsidRDefault="00B56697" w:rsidP="00B56697">
      <w:pPr>
        <w:rPr>
          <w:rFonts w:ascii="Arial Narrow" w:hAnsi="Arial Narrow"/>
          <w:b/>
          <w:bCs/>
        </w:rPr>
      </w:pPr>
      <w:r w:rsidRPr="00CE357F">
        <w:rPr>
          <w:rFonts w:ascii="Arial Narrow" w:hAnsi="Arial Narrow"/>
          <w:b/>
          <w:bCs/>
          <w:color w:val="C00000"/>
        </w:rPr>
        <w:t>Osoby s jinou než českou státní příslušností v letech 2005-202</w:t>
      </w:r>
      <w:r w:rsidR="00A91E35">
        <w:rPr>
          <w:rFonts w:ascii="Arial Narrow" w:hAnsi="Arial Narrow"/>
          <w:b/>
          <w:bCs/>
          <w:color w:val="C00000"/>
        </w:rPr>
        <w:t>2</w:t>
      </w:r>
      <w:r w:rsidRPr="00CE357F">
        <w:rPr>
          <w:rFonts w:ascii="Arial Narrow" w:hAnsi="Arial Narrow"/>
          <w:b/>
          <w:bCs/>
          <w:color w:val="C00000"/>
        </w:rPr>
        <w:t xml:space="preserve"> v České republice podle pohlaví</w:t>
      </w:r>
    </w:p>
    <w:p w14:paraId="0F8694EC" w14:textId="77777777" w:rsidR="00B56697" w:rsidRPr="00CE357F" w:rsidRDefault="00B56697" w:rsidP="00B56697">
      <w:pPr>
        <w:rPr>
          <w:rFonts w:ascii="Arial Narrow" w:hAnsi="Arial Narrow"/>
        </w:rPr>
      </w:pPr>
    </w:p>
    <w:p w14:paraId="4769EF10" w14:textId="7814B9FF" w:rsidR="00143A60" w:rsidRPr="00CE357F" w:rsidRDefault="00A91E35" w:rsidP="00D56D85">
      <w:pPr>
        <w:spacing w:after="240" w:line="276" w:lineRule="auto"/>
        <w:jc w:val="both"/>
        <w:rPr>
          <w:rFonts w:ascii="Arial Narrow" w:hAnsi="Arial Narrow"/>
          <w:bCs/>
        </w:rPr>
      </w:pPr>
      <w:bookmarkStart w:id="165" w:name="_Hlk95485752"/>
      <w:r w:rsidRPr="00A91E35">
        <w:rPr>
          <w:rFonts w:ascii="Arial Narrow" w:hAnsi="Arial Narrow"/>
          <w:bCs/>
        </w:rPr>
        <w:t xml:space="preserve">Mezi osobami s jinou než českou státní příslušností žijícími na území České republiky dlouhodobě převažovali muži nad ženami. Podíl mužů na celkové populaci osob s jinou než českou státní příslušností se od roku 2005 do roku 2021 pohyboval průměrně okolo 58 %, podíl žen okolo 42 %. </w:t>
      </w:r>
      <w:bookmarkEnd w:id="165"/>
      <w:r w:rsidRPr="00A91E35">
        <w:rPr>
          <w:rFonts w:ascii="Arial Narrow" w:hAnsi="Arial Narrow"/>
          <w:bCs/>
        </w:rPr>
        <w:t>Změna trendu nastala v roce 2022, kdy se poměr mužů a žen v skupině osob s jinou než českou státní příslušností téměř vyrovnal. Respektive podíl žen (51,1 %) ve zmíněné skupině dokonce převýšil podíl mužů (48,9 %).</w:t>
      </w:r>
      <w:r w:rsidR="005263EF">
        <w:rPr>
          <w:rFonts w:ascii="Arial Narrow" w:hAnsi="Arial Narrow"/>
          <w:bCs/>
        </w:rPr>
        <w:t xml:space="preserve"> </w:t>
      </w:r>
      <w:r w:rsidRPr="00A91E35">
        <w:rPr>
          <w:rFonts w:ascii="Arial Narrow" w:hAnsi="Arial Narrow"/>
          <w:bCs/>
        </w:rPr>
        <w:t xml:space="preserve"> Možným faktorem změny představeného trendu je skutečnost, že se v roce 2022 výrazně změnila struktura příchozích osob s jinou než českou státní příslušností do ČR, a to především vlivem příchozích z</w:t>
      </w:r>
      <w:r w:rsidR="007A5B21">
        <w:rPr>
          <w:rFonts w:ascii="Arial Narrow" w:hAnsi="Arial Narrow"/>
          <w:bCs/>
        </w:rPr>
        <w:t> </w:t>
      </w:r>
      <w:r w:rsidRPr="00A91E35">
        <w:rPr>
          <w:rFonts w:ascii="Arial Narrow" w:hAnsi="Arial Narrow"/>
          <w:bCs/>
        </w:rPr>
        <w:t>Ukrajiny</w:t>
      </w:r>
      <w:r w:rsidR="007A5B21">
        <w:rPr>
          <w:rFonts w:ascii="Arial Narrow" w:hAnsi="Arial Narrow"/>
          <w:bCs/>
        </w:rPr>
        <w:t xml:space="preserve"> v důsledku válečného konfliktu</w:t>
      </w:r>
      <w:r w:rsidRPr="00A91E35">
        <w:rPr>
          <w:rFonts w:ascii="Arial Narrow" w:hAnsi="Arial Narrow"/>
          <w:bCs/>
        </w:rPr>
        <w:t>.</w:t>
      </w:r>
      <w:r w:rsidR="005263EF">
        <w:rPr>
          <w:rFonts w:ascii="Arial Narrow" w:hAnsi="Arial Narrow"/>
          <w:bCs/>
        </w:rPr>
        <w:t xml:space="preserve"> </w:t>
      </w:r>
      <w:r w:rsidR="00D56D85" w:rsidRPr="00CE357F">
        <w:rPr>
          <w:rFonts w:ascii="Arial Narrow" w:hAnsi="Arial Narrow"/>
          <w:bCs/>
        </w:rPr>
        <w:t>Podíl mužů a žen na celkové populaci osob s jinou než českou státní příslušností žijících na území České republiky v letech 2005-202</w:t>
      </w:r>
      <w:r>
        <w:rPr>
          <w:rFonts w:ascii="Arial Narrow" w:hAnsi="Arial Narrow"/>
          <w:bCs/>
        </w:rPr>
        <w:t>2</w:t>
      </w:r>
      <w:r w:rsidR="00D56D85" w:rsidRPr="00CE357F">
        <w:rPr>
          <w:rFonts w:ascii="Arial Narrow" w:hAnsi="Arial Narrow"/>
          <w:bCs/>
        </w:rPr>
        <w:t xml:space="preserve"> podrobně dokumentuje graf</w:t>
      </w:r>
      <w:r w:rsidR="005263EF">
        <w:rPr>
          <w:rFonts w:ascii="Arial Narrow" w:hAnsi="Arial Narrow"/>
          <w:bCs/>
        </w:rPr>
        <w:t xml:space="preserve"> č.17</w:t>
      </w:r>
      <w:r w:rsidR="00D56D85" w:rsidRPr="00CE357F">
        <w:rPr>
          <w:rFonts w:ascii="Arial Narrow" w:hAnsi="Arial Narrow"/>
          <w:bCs/>
        </w:rPr>
        <w:t>.</w:t>
      </w:r>
    </w:p>
    <w:p w14:paraId="7A7A924D" w14:textId="29D1758B" w:rsidR="004D3B83" w:rsidRPr="00CE357F" w:rsidRDefault="00143A60" w:rsidP="00143A60">
      <w:pPr>
        <w:pStyle w:val="Titulek"/>
        <w:keepNext/>
        <w:spacing w:after="0"/>
        <w:jc w:val="both"/>
        <w:rPr>
          <w:rFonts w:ascii="Arial Narrow" w:hAnsi="Arial Narrow"/>
          <w:sz w:val="20"/>
          <w:szCs w:val="20"/>
        </w:rPr>
      </w:pPr>
      <w:bookmarkStart w:id="166" w:name="_Toc94443721"/>
      <w:bookmarkStart w:id="167" w:name="_Toc136428861"/>
      <w:r w:rsidRPr="00CE357F">
        <w:rPr>
          <w:rFonts w:ascii="Arial Narrow" w:hAnsi="Arial Narrow"/>
          <w:color w:val="auto"/>
          <w:sz w:val="20"/>
          <w:szCs w:val="20"/>
        </w:rPr>
        <w:lastRenderedPageBreak/>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17</w:t>
      </w:r>
      <w:r w:rsidR="00B63C25">
        <w:rPr>
          <w:rFonts w:ascii="Arial Narrow" w:hAnsi="Arial Narrow"/>
          <w:color w:val="auto"/>
          <w:sz w:val="20"/>
          <w:szCs w:val="20"/>
        </w:rPr>
        <w:fldChar w:fldCharType="end"/>
      </w:r>
      <w:r w:rsidRPr="00CE357F">
        <w:rPr>
          <w:rFonts w:ascii="Arial Narrow" w:hAnsi="Arial Narrow"/>
          <w:color w:val="auto"/>
          <w:sz w:val="20"/>
          <w:szCs w:val="20"/>
        </w:rPr>
        <w:t>: Osoby s jinou než českou státní příslušností v České republice v letech podle pohlaví</w:t>
      </w:r>
      <w:bookmarkEnd w:id="166"/>
      <w:bookmarkEnd w:id="167"/>
    </w:p>
    <w:p w14:paraId="17F93388" w14:textId="4A1F1E03" w:rsidR="00B56697" w:rsidRPr="00CE357F" w:rsidRDefault="00A91E35" w:rsidP="00B56697">
      <w:pPr>
        <w:rPr>
          <w:rFonts w:ascii="Arial Narrow" w:hAnsi="Arial Narrow"/>
        </w:rPr>
      </w:pPr>
      <w:r w:rsidRPr="00CE357F">
        <w:rPr>
          <w:rFonts w:ascii="Arial Narrow" w:hAnsi="Arial Narrow"/>
          <w:bCs/>
          <w:noProof/>
          <w:lang w:eastAsia="cs-CZ"/>
        </w:rPr>
        <w:drawing>
          <wp:inline distT="0" distB="0" distL="0" distR="0" wp14:anchorId="26CF2631" wp14:editId="2509D5B3">
            <wp:extent cx="5737860" cy="5781675"/>
            <wp:effectExtent l="0" t="0" r="0" b="0"/>
            <wp:docPr id="2130" name="Graf 2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76606D7" w14:textId="462E62D1" w:rsidR="00143A60" w:rsidRPr="00CE357F" w:rsidRDefault="00143A60" w:rsidP="00143A60">
      <w:pPr>
        <w:spacing w:line="276" w:lineRule="auto"/>
        <w:rPr>
          <w:rFonts w:ascii="Arial Narrow" w:hAnsi="Arial Narrow"/>
        </w:rPr>
      </w:pPr>
      <w:r w:rsidRPr="00CE357F">
        <w:rPr>
          <w:rFonts w:ascii="Arial Narrow" w:hAnsi="Arial Narrow"/>
          <w:sz w:val="20"/>
          <w:szCs w:val="20"/>
        </w:rPr>
        <w:t xml:space="preserve">Zdroj: </w:t>
      </w:r>
      <w:r w:rsidR="000909E0" w:rsidRPr="00CE357F">
        <w:rPr>
          <w:rFonts w:ascii="Arial Narrow" w:eastAsia="Times New Roman" w:hAnsi="Arial Narrow" w:cs="Arial"/>
          <w:color w:val="000000"/>
          <w:sz w:val="20"/>
          <w:szCs w:val="20"/>
          <w:lang w:eastAsia="cs-CZ"/>
        </w:rPr>
        <w:t>Český statistický úřad</w:t>
      </w:r>
      <w:r w:rsidR="000909E0">
        <w:rPr>
          <w:rFonts w:ascii="Arial Narrow" w:hAnsi="Arial Narrow"/>
          <w:sz w:val="20"/>
          <w:szCs w:val="20"/>
        </w:rPr>
        <w:t xml:space="preserve"> </w:t>
      </w:r>
      <w:r w:rsidRPr="00CE357F">
        <w:rPr>
          <w:rFonts w:ascii="Arial Narrow" w:hAnsi="Arial Narrow"/>
          <w:sz w:val="20"/>
          <w:szCs w:val="20"/>
        </w:rPr>
        <w:t xml:space="preserve">(data </w:t>
      </w:r>
      <w:r w:rsidR="000909E0">
        <w:rPr>
          <w:rFonts w:ascii="Arial Narrow" w:hAnsi="Arial Narrow"/>
          <w:sz w:val="20"/>
          <w:szCs w:val="20"/>
        </w:rPr>
        <w:t xml:space="preserve">platná k 31. 12. daného roku) </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44E5FF88" w14:textId="193D0966" w:rsidR="00B56697" w:rsidRPr="00CE357F" w:rsidRDefault="00B56697" w:rsidP="00B56697">
      <w:pPr>
        <w:rPr>
          <w:rFonts w:ascii="Arial Narrow" w:hAnsi="Arial Narrow"/>
        </w:rPr>
      </w:pPr>
    </w:p>
    <w:p w14:paraId="4688D5B4" w14:textId="77777777" w:rsidR="00B56697" w:rsidRPr="00CE357F" w:rsidRDefault="00B56697" w:rsidP="00B56697">
      <w:pPr>
        <w:rPr>
          <w:rFonts w:ascii="Arial Narrow" w:hAnsi="Arial Narrow"/>
        </w:rPr>
      </w:pPr>
    </w:p>
    <w:p w14:paraId="0A7B374E" w14:textId="339B1EE2" w:rsidR="00B56697" w:rsidRPr="00CE357F" w:rsidRDefault="00B56697" w:rsidP="00B56697">
      <w:pPr>
        <w:rPr>
          <w:rFonts w:ascii="Arial Narrow" w:hAnsi="Arial Narrow"/>
          <w:b/>
          <w:bCs/>
        </w:rPr>
      </w:pPr>
      <w:r w:rsidRPr="00CE357F">
        <w:rPr>
          <w:rFonts w:ascii="Arial Narrow" w:hAnsi="Arial Narrow"/>
          <w:b/>
          <w:bCs/>
          <w:color w:val="C00000"/>
        </w:rPr>
        <w:t>Osoby s jinou než českou státní příslušností v letech 2005-202</w:t>
      </w:r>
      <w:r w:rsidR="003F74F0">
        <w:rPr>
          <w:rFonts w:ascii="Arial Narrow" w:hAnsi="Arial Narrow"/>
          <w:b/>
          <w:bCs/>
          <w:color w:val="C00000"/>
        </w:rPr>
        <w:t>2</w:t>
      </w:r>
      <w:r w:rsidRPr="00CE357F">
        <w:rPr>
          <w:rFonts w:ascii="Arial Narrow" w:hAnsi="Arial Narrow"/>
          <w:b/>
          <w:bCs/>
          <w:color w:val="C00000"/>
        </w:rPr>
        <w:t xml:space="preserve"> v Jihomoravském kraji podle pohlaví</w:t>
      </w:r>
    </w:p>
    <w:p w14:paraId="340567CE" w14:textId="77777777" w:rsidR="00B56697" w:rsidRPr="00CE357F" w:rsidRDefault="00B56697" w:rsidP="00B56697">
      <w:pPr>
        <w:rPr>
          <w:rFonts w:ascii="Arial Narrow" w:hAnsi="Arial Narrow"/>
        </w:rPr>
      </w:pPr>
    </w:p>
    <w:p w14:paraId="0D714FD2" w14:textId="31101617" w:rsidR="004463C6" w:rsidRDefault="17C995D2" w:rsidP="004463C6">
      <w:pPr>
        <w:spacing w:after="240" w:line="276" w:lineRule="auto"/>
        <w:jc w:val="both"/>
      </w:pPr>
      <w:bookmarkStart w:id="168" w:name="_Toc94443722"/>
      <w:r w:rsidRPr="2460258F">
        <w:rPr>
          <w:rFonts w:ascii="Arial Narrow" w:hAnsi="Arial Narrow"/>
        </w:rPr>
        <w:t>Z hlediska pohlaví osob s jinou než českou státní příslušností v Jihomoravském kraji</w:t>
      </w:r>
      <w:r w:rsidR="005263EF">
        <w:rPr>
          <w:rFonts w:ascii="Arial Narrow" w:hAnsi="Arial Narrow"/>
        </w:rPr>
        <w:t>, jak lze vidět v grafu č. 18,</w:t>
      </w:r>
      <w:r w:rsidRPr="2460258F">
        <w:rPr>
          <w:rFonts w:ascii="Arial Narrow" w:hAnsi="Arial Narrow"/>
        </w:rPr>
        <w:t xml:space="preserve"> </w:t>
      </w:r>
      <w:r w:rsidRPr="00173E7B">
        <w:rPr>
          <w:rFonts w:ascii="Arial Narrow" w:hAnsi="Arial Narrow"/>
        </w:rPr>
        <w:t xml:space="preserve">dlouhodobě převažovali muži (v roce 2021 se jednalo o 57,1 % mužů). </w:t>
      </w:r>
      <w:bookmarkStart w:id="169" w:name="_Hlk95485782"/>
      <w:r w:rsidRPr="00173E7B">
        <w:rPr>
          <w:rFonts w:ascii="Arial Narrow" w:hAnsi="Arial Narrow"/>
        </w:rPr>
        <w:t>Z analýzy dat je ale patrné, že podíl žen na celkovém počtu osob s jinou než českou státní příslušností</w:t>
      </w:r>
      <w:r w:rsidRPr="00173E7B">
        <w:rPr>
          <w:rFonts w:ascii="Arial Narrow" w:eastAsia="Calibri" w:hAnsi="Arial Narrow"/>
        </w:rPr>
        <w:t xml:space="preserve"> se </w:t>
      </w:r>
      <w:r w:rsidRPr="00173E7B">
        <w:rPr>
          <w:rFonts w:ascii="Arial Narrow" w:hAnsi="Arial Narrow"/>
        </w:rPr>
        <w:t>v Jihomoravském kraji</w:t>
      </w:r>
      <w:r w:rsidR="004803DA" w:rsidRPr="00173E7B">
        <w:rPr>
          <w:rFonts w:ascii="Arial Narrow" w:hAnsi="Arial Narrow"/>
        </w:rPr>
        <w:t xml:space="preserve"> </w:t>
      </w:r>
      <w:r w:rsidRPr="00173E7B">
        <w:rPr>
          <w:rFonts w:ascii="Arial Narrow" w:hAnsi="Arial Narrow"/>
        </w:rPr>
        <w:t>setrvale zvyšuje</w:t>
      </w:r>
      <w:r w:rsidR="004463C6" w:rsidRPr="00173E7B">
        <w:rPr>
          <w:rFonts w:ascii="Arial Narrow" w:hAnsi="Arial Narrow"/>
        </w:rPr>
        <w:t xml:space="preserve"> (s výjimkou roku 2017, kdy se podíl snížil o necelé procento, a následně se opět </w:t>
      </w:r>
      <w:r w:rsidR="004803DA" w:rsidRPr="00173E7B">
        <w:rPr>
          <w:rFonts w:ascii="Arial Narrow" w:hAnsi="Arial Narrow"/>
        </w:rPr>
        <w:t>každý rok navyšoval)</w:t>
      </w:r>
      <w:r w:rsidRPr="00173E7B">
        <w:rPr>
          <w:rFonts w:ascii="Arial Narrow" w:hAnsi="Arial Narrow"/>
        </w:rPr>
        <w:t>. Zatímco v roce 200</w:t>
      </w:r>
      <w:r w:rsidR="4CEA66BD" w:rsidRPr="00173E7B">
        <w:rPr>
          <w:rFonts w:ascii="Arial Narrow" w:hAnsi="Arial Narrow"/>
        </w:rPr>
        <w:t>5</w:t>
      </w:r>
      <w:r w:rsidRPr="00173E7B">
        <w:rPr>
          <w:rFonts w:ascii="Arial Narrow" w:hAnsi="Arial Narrow"/>
        </w:rPr>
        <w:t xml:space="preserve"> tvořily ženy 36,</w:t>
      </w:r>
      <w:r w:rsidR="00C763F5" w:rsidRPr="00173E7B">
        <w:rPr>
          <w:rFonts w:ascii="Arial Narrow" w:hAnsi="Arial Narrow"/>
        </w:rPr>
        <w:t>3</w:t>
      </w:r>
      <w:r w:rsidRPr="00173E7B">
        <w:rPr>
          <w:rFonts w:ascii="Arial Narrow" w:hAnsi="Arial Narrow"/>
        </w:rPr>
        <w:t xml:space="preserve"> % všech osob s jinou než českou státní příslušností</w:t>
      </w:r>
      <w:r w:rsidRPr="00173E7B">
        <w:rPr>
          <w:rFonts w:ascii="Arial Narrow" w:eastAsia="Calibri" w:hAnsi="Arial Narrow"/>
        </w:rPr>
        <w:t xml:space="preserve"> </w:t>
      </w:r>
      <w:r w:rsidRPr="00173E7B">
        <w:rPr>
          <w:rFonts w:ascii="Arial Narrow" w:hAnsi="Arial Narrow"/>
        </w:rPr>
        <w:t>v Jihomoravském kraji, v roce 2021 se jednalo již o 42,9 %. Mezi lety 200</w:t>
      </w:r>
      <w:r w:rsidR="48D6596D" w:rsidRPr="00173E7B">
        <w:rPr>
          <w:rFonts w:ascii="Arial Narrow" w:hAnsi="Arial Narrow"/>
        </w:rPr>
        <w:t>5</w:t>
      </w:r>
      <w:r w:rsidRPr="00173E7B">
        <w:rPr>
          <w:rFonts w:ascii="Arial Narrow" w:hAnsi="Arial Narrow"/>
        </w:rPr>
        <w:t xml:space="preserve"> a 2021 tak došlo k nárůstu podílu žen na celkovém počtu osob s jinou než českou státní příslušností o 6,9 %.</w:t>
      </w:r>
      <w:r w:rsidR="004463C6">
        <w:rPr>
          <w:rFonts w:ascii="Arial Narrow" w:hAnsi="Arial Narrow"/>
        </w:rPr>
        <w:t xml:space="preserve"> </w:t>
      </w:r>
    </w:p>
    <w:p w14:paraId="30106BAE" w14:textId="2DE7CB58" w:rsidR="003F74F0" w:rsidRPr="00CE357F" w:rsidRDefault="17C995D2" w:rsidP="005263EF">
      <w:pPr>
        <w:spacing w:after="240" w:line="276" w:lineRule="auto"/>
        <w:jc w:val="both"/>
        <w:rPr>
          <w:rFonts w:ascii="Arial Narrow" w:hAnsi="Arial Narrow"/>
        </w:rPr>
      </w:pPr>
      <w:r w:rsidRPr="2460258F">
        <w:rPr>
          <w:rFonts w:ascii="Arial Narrow" w:hAnsi="Arial Narrow"/>
        </w:rPr>
        <w:lastRenderedPageBreak/>
        <w:t>Skokový růst podílu žen ve skupině osob s jinou než českou státní příslušností je možno zaznamenat v </w:t>
      </w:r>
      <w:r w:rsidR="6095069B" w:rsidRPr="2460258F">
        <w:rPr>
          <w:rFonts w:ascii="Arial Narrow" w:hAnsi="Arial Narrow"/>
        </w:rPr>
        <w:t xml:space="preserve">roce </w:t>
      </w:r>
      <w:r w:rsidRPr="2460258F">
        <w:rPr>
          <w:rFonts w:ascii="Arial Narrow" w:hAnsi="Arial Narrow"/>
        </w:rPr>
        <w:t>2022, kdy podíl žen ve zmíněné skupině dosáhl v Jihomoravském kraji 51 %. Skokový rozdíl je možné vysvětlit výše představeným fenoménem změny struktury příchozích osob s jinou státní příslušností do ČR vlivem válečného konfliktu na Ukrajině,</w:t>
      </w:r>
      <w:r w:rsidR="0083573A">
        <w:rPr>
          <w:rFonts w:ascii="Arial Narrow" w:hAnsi="Arial Narrow"/>
        </w:rPr>
        <w:t xml:space="preserve"> </w:t>
      </w:r>
      <w:r w:rsidRPr="2460258F">
        <w:rPr>
          <w:rFonts w:ascii="Arial Narrow" w:hAnsi="Arial Narrow"/>
        </w:rPr>
        <w:t>který od března 2022 strukturu příchozích výrazně ovlivnil.</w:t>
      </w:r>
      <w:bookmarkEnd w:id="169"/>
      <w:r w:rsidR="005263EF">
        <w:rPr>
          <w:rFonts w:ascii="Arial Narrow" w:hAnsi="Arial Narrow"/>
        </w:rPr>
        <w:t xml:space="preserve"> </w:t>
      </w:r>
    </w:p>
    <w:p w14:paraId="1E2B61CB" w14:textId="54BB2EEF" w:rsidR="00143A60" w:rsidRPr="00CE357F" w:rsidRDefault="00143A60" w:rsidP="00143A60">
      <w:pPr>
        <w:pStyle w:val="Titulek"/>
        <w:keepNext/>
        <w:spacing w:after="0"/>
        <w:jc w:val="both"/>
        <w:rPr>
          <w:rFonts w:ascii="Arial Narrow" w:hAnsi="Arial Narrow"/>
          <w:sz w:val="20"/>
          <w:szCs w:val="20"/>
        </w:rPr>
      </w:pPr>
      <w:bookmarkStart w:id="170" w:name="_Toc136428862"/>
      <w:r w:rsidRPr="00CE357F">
        <w:rPr>
          <w:rFonts w:ascii="Arial Narrow" w:hAnsi="Arial Narrow"/>
          <w:color w:val="auto"/>
          <w:sz w:val="20"/>
          <w:szCs w:val="20"/>
        </w:rPr>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18</w:t>
      </w:r>
      <w:r w:rsidR="00B63C25">
        <w:rPr>
          <w:rFonts w:ascii="Arial Narrow" w:hAnsi="Arial Narrow"/>
          <w:color w:val="auto"/>
          <w:sz w:val="20"/>
          <w:szCs w:val="20"/>
        </w:rPr>
        <w:fldChar w:fldCharType="end"/>
      </w:r>
      <w:r w:rsidRPr="00CE357F">
        <w:rPr>
          <w:rFonts w:ascii="Arial Narrow" w:hAnsi="Arial Narrow"/>
          <w:color w:val="auto"/>
          <w:sz w:val="20"/>
          <w:szCs w:val="20"/>
        </w:rPr>
        <w:t>: Osoby s jinou než českou státní příslušností v</w:t>
      </w:r>
      <w:r w:rsidR="00BF087A">
        <w:rPr>
          <w:rFonts w:ascii="Arial Narrow" w:hAnsi="Arial Narrow"/>
          <w:color w:val="auto"/>
          <w:sz w:val="20"/>
          <w:szCs w:val="20"/>
        </w:rPr>
        <w:t> Jihomoravském kraji</w:t>
      </w:r>
      <w:r w:rsidRPr="00CE357F">
        <w:rPr>
          <w:rFonts w:ascii="Arial Narrow" w:hAnsi="Arial Narrow"/>
          <w:color w:val="auto"/>
          <w:sz w:val="20"/>
          <w:szCs w:val="20"/>
        </w:rPr>
        <w:t xml:space="preserve"> v letech podle pohlaví</w:t>
      </w:r>
      <w:bookmarkEnd w:id="168"/>
      <w:bookmarkEnd w:id="170"/>
    </w:p>
    <w:p w14:paraId="1F415ACB" w14:textId="1726E36A" w:rsidR="00B56697" w:rsidRPr="00CE357F" w:rsidRDefault="003F74F0" w:rsidP="00B56697">
      <w:pPr>
        <w:spacing w:line="276" w:lineRule="auto"/>
        <w:rPr>
          <w:rFonts w:ascii="Arial Narrow" w:hAnsi="Arial Narrow"/>
        </w:rPr>
      </w:pPr>
      <w:r w:rsidRPr="00CE357F">
        <w:rPr>
          <w:rFonts w:ascii="Arial Narrow" w:hAnsi="Arial Narrow"/>
          <w:bCs/>
          <w:noProof/>
          <w:lang w:eastAsia="cs-CZ"/>
        </w:rPr>
        <w:drawing>
          <wp:inline distT="0" distB="0" distL="0" distR="0" wp14:anchorId="49EF1706" wp14:editId="74531FE3">
            <wp:extent cx="5737860" cy="5105400"/>
            <wp:effectExtent l="0" t="0" r="0" b="0"/>
            <wp:docPr id="2064" name="Graf 2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B46AAD" w14:textId="77777777" w:rsidR="000909E0" w:rsidRPr="00CE357F" w:rsidRDefault="000909E0" w:rsidP="000909E0">
      <w:pPr>
        <w:spacing w:line="276" w:lineRule="auto"/>
        <w:rPr>
          <w:rFonts w:ascii="Arial Narrow" w:hAnsi="Arial Narrow"/>
        </w:rPr>
      </w:pPr>
      <w:r w:rsidRPr="00CE357F">
        <w:rPr>
          <w:rFonts w:ascii="Arial Narrow" w:hAnsi="Arial Narrow"/>
          <w:sz w:val="20"/>
          <w:szCs w:val="20"/>
        </w:rPr>
        <w:t xml:space="preserve">Zdroj: </w:t>
      </w:r>
      <w:r w:rsidRPr="00CE357F">
        <w:rPr>
          <w:rFonts w:ascii="Arial Narrow" w:eastAsia="Times New Roman" w:hAnsi="Arial Narrow" w:cs="Arial"/>
          <w:color w:val="000000"/>
          <w:sz w:val="20"/>
          <w:szCs w:val="20"/>
          <w:lang w:eastAsia="cs-CZ"/>
        </w:rPr>
        <w:t>Český statistický úřad</w:t>
      </w:r>
      <w:r>
        <w:rPr>
          <w:rFonts w:ascii="Arial Narrow" w:hAnsi="Arial Narrow"/>
          <w:sz w:val="20"/>
          <w:szCs w:val="20"/>
        </w:rPr>
        <w:t xml:space="preserve"> </w:t>
      </w:r>
      <w:r w:rsidRPr="00CE357F">
        <w:rPr>
          <w:rFonts w:ascii="Arial Narrow" w:hAnsi="Arial Narrow"/>
          <w:sz w:val="20"/>
          <w:szCs w:val="20"/>
        </w:rPr>
        <w:t xml:space="preserve">(data </w:t>
      </w:r>
      <w:r>
        <w:rPr>
          <w:rFonts w:ascii="Arial Narrow" w:hAnsi="Arial Narrow"/>
          <w:sz w:val="20"/>
          <w:szCs w:val="20"/>
        </w:rPr>
        <w:t xml:space="preserve">platná k 31. 12. daného roku) </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2944D86B" w14:textId="4A5D0C79" w:rsidR="00B56697" w:rsidRPr="00CE357F" w:rsidRDefault="00B56697" w:rsidP="00B56697">
      <w:pPr>
        <w:spacing w:line="276" w:lineRule="auto"/>
        <w:rPr>
          <w:rFonts w:ascii="Arial Narrow" w:hAnsi="Arial Narrow"/>
        </w:rPr>
      </w:pPr>
    </w:p>
    <w:p w14:paraId="378C2B6F" w14:textId="6670B8B3" w:rsidR="00F1264F" w:rsidRPr="00CE357F" w:rsidRDefault="00F1264F" w:rsidP="003F6E2F">
      <w:pPr>
        <w:pStyle w:val="Nadpis3"/>
        <w:ind w:left="851" w:hanging="284"/>
        <w:rPr>
          <w:rFonts w:eastAsia="Calibri"/>
        </w:rPr>
      </w:pPr>
      <w:bookmarkStart w:id="171" w:name="_Toc136876075"/>
      <w:r w:rsidRPr="00CE357F">
        <w:rPr>
          <w:rFonts w:eastAsia="Calibri"/>
        </w:rPr>
        <w:t>Osoby s jinou než českou státní příslušností podle věku</w:t>
      </w:r>
      <w:bookmarkEnd w:id="171"/>
    </w:p>
    <w:p w14:paraId="176B0822" w14:textId="77777777" w:rsidR="00F1264F" w:rsidRPr="00CE357F" w:rsidRDefault="00F1264F" w:rsidP="00F1264F">
      <w:pPr>
        <w:spacing w:line="276" w:lineRule="auto"/>
        <w:jc w:val="both"/>
        <w:rPr>
          <w:rFonts w:ascii="Arial Narrow" w:eastAsia="Calibri" w:hAnsi="Arial Narrow"/>
          <w:bCs/>
        </w:rPr>
      </w:pPr>
    </w:p>
    <w:p w14:paraId="1AF30280" w14:textId="642BB1DA" w:rsidR="002D35EA" w:rsidRPr="00CE357F" w:rsidRDefault="002D35EA" w:rsidP="002D35EA">
      <w:pPr>
        <w:rPr>
          <w:rFonts w:ascii="Arial Narrow" w:hAnsi="Arial Narrow"/>
          <w:b/>
          <w:bCs/>
        </w:rPr>
      </w:pPr>
      <w:r w:rsidRPr="00CE357F">
        <w:rPr>
          <w:rFonts w:ascii="Arial Narrow" w:hAnsi="Arial Narrow"/>
          <w:b/>
          <w:bCs/>
          <w:color w:val="C00000"/>
        </w:rPr>
        <w:t>Osoby s jinou než českou státní příslušností v letech 2005-202</w:t>
      </w:r>
      <w:r w:rsidR="005D28FD">
        <w:rPr>
          <w:rFonts w:ascii="Arial Narrow" w:hAnsi="Arial Narrow"/>
          <w:b/>
          <w:bCs/>
          <w:color w:val="C00000"/>
        </w:rPr>
        <w:t>1</w:t>
      </w:r>
      <w:r w:rsidRPr="00CE357F">
        <w:rPr>
          <w:rFonts w:ascii="Arial Narrow" w:hAnsi="Arial Narrow"/>
          <w:b/>
          <w:bCs/>
          <w:color w:val="C00000"/>
        </w:rPr>
        <w:t xml:space="preserve"> v</w:t>
      </w:r>
      <w:r w:rsidR="00E568AB" w:rsidRPr="00CE357F">
        <w:rPr>
          <w:rFonts w:ascii="Arial Narrow" w:hAnsi="Arial Narrow"/>
          <w:b/>
          <w:bCs/>
          <w:color w:val="C00000"/>
        </w:rPr>
        <w:t> České republice</w:t>
      </w:r>
      <w:r w:rsidRPr="00CE357F">
        <w:rPr>
          <w:rFonts w:ascii="Arial Narrow" w:hAnsi="Arial Narrow"/>
          <w:b/>
          <w:bCs/>
          <w:color w:val="C00000"/>
        </w:rPr>
        <w:t xml:space="preserve"> podle</w:t>
      </w:r>
      <w:r w:rsidR="00E568AB" w:rsidRPr="00CE357F">
        <w:rPr>
          <w:rFonts w:ascii="Arial Narrow" w:hAnsi="Arial Narrow"/>
          <w:b/>
          <w:bCs/>
          <w:color w:val="C00000"/>
        </w:rPr>
        <w:t xml:space="preserve"> věku</w:t>
      </w:r>
    </w:p>
    <w:p w14:paraId="3031AD61" w14:textId="77777777" w:rsidR="002D35EA" w:rsidRPr="00CE357F" w:rsidRDefault="002D35EA" w:rsidP="00F1264F">
      <w:pPr>
        <w:spacing w:line="276" w:lineRule="auto"/>
        <w:jc w:val="both"/>
        <w:rPr>
          <w:rFonts w:ascii="Arial Narrow" w:eastAsia="Calibri" w:hAnsi="Arial Narrow"/>
          <w:bCs/>
        </w:rPr>
      </w:pPr>
    </w:p>
    <w:p w14:paraId="4A9FDA38" w14:textId="3F4463CB" w:rsidR="00667DF2" w:rsidRDefault="00F1264F" w:rsidP="006A017D">
      <w:pPr>
        <w:spacing w:after="240" w:line="276" w:lineRule="auto"/>
        <w:jc w:val="both"/>
        <w:rPr>
          <w:rFonts w:ascii="Arial Narrow" w:eastAsia="Calibri" w:hAnsi="Arial Narrow"/>
          <w:bCs/>
        </w:rPr>
      </w:pPr>
      <w:bookmarkStart w:id="172" w:name="_Hlk95485803"/>
      <w:r w:rsidRPr="00CE357F">
        <w:rPr>
          <w:rFonts w:ascii="Arial Narrow" w:eastAsia="Calibri" w:hAnsi="Arial Narrow"/>
          <w:bCs/>
        </w:rPr>
        <w:t xml:space="preserve">Věková struktura </w:t>
      </w:r>
      <w:r w:rsidRPr="00CE357F">
        <w:rPr>
          <w:rFonts w:ascii="Arial Narrow" w:hAnsi="Arial Narrow"/>
        </w:rPr>
        <w:t>osob s jinou než českou státní příslušností</w:t>
      </w:r>
      <w:r w:rsidRPr="00CE357F">
        <w:rPr>
          <w:rFonts w:ascii="Arial Narrow" w:eastAsia="Calibri" w:hAnsi="Arial Narrow"/>
          <w:bCs/>
        </w:rPr>
        <w:t xml:space="preserve"> v České republice zůstává meziročně stabiln</w:t>
      </w:r>
      <w:r w:rsidRPr="005D28FD">
        <w:rPr>
          <w:rFonts w:ascii="Arial Narrow" w:eastAsia="Calibri" w:hAnsi="Arial Narrow"/>
          <w:bCs/>
        </w:rPr>
        <w:t>í.</w:t>
      </w:r>
      <w:r w:rsidRPr="005D28FD">
        <w:rPr>
          <w:rFonts w:ascii="Arial Narrow" w:eastAsia="Calibri" w:hAnsi="Arial Narrow"/>
          <w:b/>
        </w:rPr>
        <w:t xml:space="preserve"> </w:t>
      </w:r>
      <w:r w:rsidR="005D28FD">
        <w:rPr>
          <w:rFonts w:ascii="Arial Narrow" w:eastAsia="Calibri" w:hAnsi="Arial Narrow"/>
          <w:b/>
        </w:rPr>
        <w:br/>
      </w:r>
      <w:r w:rsidR="005D28FD" w:rsidRPr="005D28FD">
        <w:rPr>
          <w:rFonts w:ascii="Arial Narrow" w:eastAsia="Calibri" w:hAnsi="Arial Narrow"/>
          <w:b/>
        </w:rPr>
        <w:t>K 31. 12. 2021 bylo</w:t>
      </w:r>
      <w:r w:rsidR="005D28FD">
        <w:rPr>
          <w:rFonts w:ascii="Arial Narrow" w:eastAsia="Calibri" w:hAnsi="Arial Narrow"/>
          <w:b/>
        </w:rPr>
        <w:t xml:space="preserve"> v</w:t>
      </w:r>
      <w:r w:rsidRPr="00CE357F">
        <w:rPr>
          <w:rFonts w:ascii="Arial Narrow" w:eastAsia="Calibri" w:hAnsi="Arial Narrow"/>
          <w:b/>
        </w:rPr>
        <w:t xml:space="preserve">íce než 8 z 10 </w:t>
      </w:r>
      <w:r w:rsidRPr="00CE357F">
        <w:rPr>
          <w:rFonts w:ascii="Arial Narrow" w:hAnsi="Arial Narrow"/>
        </w:rPr>
        <w:t>osob s jinou než českou státní příslušností</w:t>
      </w:r>
      <w:r w:rsidRPr="00CE357F">
        <w:rPr>
          <w:rFonts w:ascii="Arial Narrow" w:eastAsia="Calibri" w:hAnsi="Arial Narrow"/>
          <w:bCs/>
        </w:rPr>
        <w:t xml:space="preserve"> (84,0 %) </w:t>
      </w:r>
      <w:r w:rsidRPr="00CE357F">
        <w:rPr>
          <w:rFonts w:ascii="Arial Narrow" w:eastAsia="Calibri" w:hAnsi="Arial Narrow"/>
          <w:b/>
        </w:rPr>
        <w:t>na území České republiky v produktivním věku, tj. ve věku 15</w:t>
      </w:r>
      <w:r w:rsidR="005D28FD">
        <w:rPr>
          <w:rFonts w:ascii="Arial Narrow" w:eastAsia="Calibri" w:hAnsi="Arial Narrow"/>
          <w:b/>
        </w:rPr>
        <w:t>–</w:t>
      </w:r>
      <w:r w:rsidRPr="00CE357F">
        <w:rPr>
          <w:rFonts w:ascii="Arial Narrow" w:eastAsia="Calibri" w:hAnsi="Arial Narrow"/>
          <w:b/>
        </w:rPr>
        <w:t>64 let.</w:t>
      </w:r>
      <w:r w:rsidRPr="00CE357F">
        <w:rPr>
          <w:rFonts w:ascii="Arial Narrow" w:eastAsia="Calibri" w:hAnsi="Arial Narrow"/>
          <w:bCs/>
        </w:rPr>
        <w:t xml:space="preserve"> Podobně podíl počtu dětí na celkovém počtu </w:t>
      </w:r>
      <w:r w:rsidRPr="00CE357F">
        <w:rPr>
          <w:rFonts w:ascii="Arial Narrow" w:hAnsi="Arial Narrow"/>
        </w:rPr>
        <w:t>osob s jinou než českou státní příslušností</w:t>
      </w:r>
      <w:r w:rsidRPr="00CE357F">
        <w:rPr>
          <w:rFonts w:ascii="Arial Narrow" w:eastAsia="Calibri" w:hAnsi="Arial Narrow"/>
          <w:bCs/>
        </w:rPr>
        <w:t xml:space="preserve"> se dlouhodobě pohybuje v průměru 9,62 %</w:t>
      </w:r>
      <w:r w:rsidR="005263EF">
        <w:rPr>
          <w:rFonts w:ascii="Arial Narrow" w:eastAsia="Calibri" w:hAnsi="Arial Narrow"/>
          <w:bCs/>
        </w:rPr>
        <w:t xml:space="preserve"> (graf č. 19)</w:t>
      </w:r>
      <w:r w:rsidR="005D28FD">
        <w:rPr>
          <w:rFonts w:ascii="Arial Narrow" w:eastAsia="Calibri" w:hAnsi="Arial Narrow"/>
          <w:bCs/>
        </w:rPr>
        <w:t>.</w:t>
      </w:r>
    </w:p>
    <w:p w14:paraId="1EB4D647" w14:textId="70D1001D" w:rsidR="005D28FD" w:rsidRPr="00377E54" w:rsidRDefault="005D28FD" w:rsidP="005369EA">
      <w:pPr>
        <w:shd w:val="clear" w:color="auto" w:fill="D9E2F3" w:themeFill="accent1" w:themeFillTint="33"/>
        <w:spacing w:after="240" w:line="276" w:lineRule="auto"/>
        <w:jc w:val="both"/>
        <w:rPr>
          <w:rFonts w:ascii="Arial Narrow" w:eastAsia="Calibri" w:hAnsi="Arial Narrow"/>
          <w:b/>
        </w:rPr>
      </w:pPr>
      <w:r w:rsidRPr="00377E54">
        <w:rPr>
          <w:rFonts w:ascii="Arial Narrow" w:eastAsia="Calibri" w:hAnsi="Arial Narrow"/>
          <w:b/>
        </w:rPr>
        <w:lastRenderedPageBreak/>
        <w:t xml:space="preserve">Údaje za rok 2022 nebyly k datu odevzdání aktualizované závěrečné zprávy k dispozici. Je však možné očekávat změny ve věkové struktuře osob s jinou než českou státní příslušností na území České republiky v návaznosti na migraci z důvodu konfliktu na Ukrajině.  </w:t>
      </w:r>
    </w:p>
    <w:p w14:paraId="0C650B06" w14:textId="40EFA561" w:rsidR="00415BD6" w:rsidRPr="00CE357F" w:rsidRDefault="00143A60" w:rsidP="00143A60">
      <w:pPr>
        <w:pStyle w:val="Titulek"/>
        <w:keepNext/>
        <w:spacing w:after="0"/>
        <w:jc w:val="both"/>
        <w:rPr>
          <w:rFonts w:ascii="Arial Narrow" w:hAnsi="Arial Narrow"/>
          <w:color w:val="auto"/>
          <w:sz w:val="20"/>
          <w:szCs w:val="20"/>
        </w:rPr>
      </w:pPr>
      <w:bookmarkStart w:id="173" w:name="_Toc94443723"/>
      <w:bookmarkStart w:id="174" w:name="_Toc136428863"/>
      <w:bookmarkEnd w:id="172"/>
      <w:r w:rsidRPr="00CE357F">
        <w:rPr>
          <w:rFonts w:ascii="Arial Narrow" w:hAnsi="Arial Narrow"/>
          <w:color w:val="auto"/>
          <w:sz w:val="20"/>
          <w:szCs w:val="20"/>
        </w:rPr>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5B2F6C">
        <w:rPr>
          <w:rFonts w:ascii="Arial Narrow" w:hAnsi="Arial Narrow"/>
          <w:noProof/>
          <w:color w:val="auto"/>
          <w:sz w:val="20"/>
          <w:szCs w:val="20"/>
        </w:rPr>
        <w:t>19</w:t>
      </w:r>
      <w:r w:rsidR="00B63C25">
        <w:rPr>
          <w:rFonts w:ascii="Arial Narrow" w:hAnsi="Arial Narrow"/>
          <w:color w:val="auto"/>
          <w:sz w:val="20"/>
          <w:szCs w:val="20"/>
        </w:rPr>
        <w:fldChar w:fldCharType="end"/>
      </w:r>
      <w:r w:rsidRPr="00CE357F">
        <w:rPr>
          <w:rFonts w:ascii="Arial Narrow" w:hAnsi="Arial Narrow"/>
          <w:color w:val="auto"/>
          <w:sz w:val="20"/>
          <w:szCs w:val="20"/>
        </w:rPr>
        <w:t>: Osoby s jinou než českou státní příslušností v ČR k 31. 12. 202</w:t>
      </w:r>
      <w:r w:rsidR="005D28FD">
        <w:rPr>
          <w:rFonts w:ascii="Arial Narrow" w:hAnsi="Arial Narrow"/>
          <w:color w:val="auto"/>
          <w:sz w:val="20"/>
          <w:szCs w:val="20"/>
        </w:rPr>
        <w:t>1</w:t>
      </w:r>
      <w:r w:rsidRPr="00CE357F">
        <w:rPr>
          <w:rFonts w:ascii="Arial Narrow" w:hAnsi="Arial Narrow"/>
          <w:color w:val="auto"/>
          <w:sz w:val="20"/>
          <w:szCs w:val="20"/>
        </w:rPr>
        <w:t xml:space="preserve"> podle věku</w:t>
      </w:r>
      <w:bookmarkEnd w:id="173"/>
      <w:bookmarkEnd w:id="174"/>
    </w:p>
    <w:p w14:paraId="7D6F34A1" w14:textId="787340ED" w:rsidR="00415BD6" w:rsidRPr="00CE357F" w:rsidRDefault="00415BD6" w:rsidP="7CC7BF57">
      <w:pPr>
        <w:jc w:val="both"/>
        <w:rPr>
          <w:rFonts w:ascii="Arial Narrow" w:eastAsia="Calibri" w:hAnsi="Arial Narrow"/>
        </w:rPr>
      </w:pPr>
      <w:r w:rsidRPr="00CE357F">
        <w:rPr>
          <w:rFonts w:ascii="Arial Narrow" w:eastAsia="Calibri" w:hAnsi="Arial Narrow"/>
          <w:bCs/>
          <w:noProof/>
          <w:lang w:eastAsia="cs-CZ"/>
        </w:rPr>
        <w:drawing>
          <wp:inline distT="0" distB="0" distL="0" distR="0" wp14:anchorId="788EC353" wp14:editId="31BDAA37">
            <wp:extent cx="5775960" cy="1592580"/>
            <wp:effectExtent l="0" t="0" r="15240" b="7620"/>
            <wp:docPr id="2127" name="Graf 2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9CBCAFB" w14:textId="401D08AA" w:rsidR="006A017D" w:rsidRPr="00CE357F" w:rsidRDefault="000909E0" w:rsidP="00EC14EC">
      <w:pPr>
        <w:spacing w:after="240"/>
        <w:rPr>
          <w:rFonts w:ascii="Arial Narrow" w:hAnsi="Arial Narrow"/>
        </w:rPr>
      </w:pPr>
      <w:r>
        <w:rPr>
          <w:rFonts w:ascii="Arial Narrow" w:hAnsi="Arial Narrow"/>
          <w:sz w:val="20"/>
          <w:szCs w:val="20"/>
        </w:rPr>
        <w:t>Zdroj: Český statistický úřad</w:t>
      </w:r>
      <w:r w:rsidR="00143A60" w:rsidRPr="00CE357F">
        <w:rPr>
          <w:rFonts w:ascii="Arial Narrow" w:hAnsi="Arial Narrow"/>
          <w:sz w:val="20"/>
          <w:szCs w:val="20"/>
        </w:rPr>
        <w:t xml:space="preserve"> </w:t>
      </w:r>
      <w:r>
        <w:rPr>
          <w:rFonts w:ascii="Arial Narrow" w:hAnsi="Arial Narrow"/>
          <w:sz w:val="20"/>
          <w:szCs w:val="20"/>
        </w:rPr>
        <w:t>(data platná k 31. 12. 202</w:t>
      </w:r>
      <w:r w:rsidR="00377E54">
        <w:rPr>
          <w:rFonts w:ascii="Arial Narrow" w:hAnsi="Arial Narrow"/>
          <w:sz w:val="20"/>
          <w:szCs w:val="20"/>
        </w:rPr>
        <w:t>1</w:t>
      </w:r>
      <w:r>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sidR="00143A60" w:rsidRPr="00CE357F">
        <w:rPr>
          <w:rFonts w:ascii="Arial Narrow" w:hAnsi="Arial Narrow"/>
          <w:sz w:val="20"/>
          <w:szCs w:val="20"/>
        </w:rPr>
        <w:tab/>
        <w:t xml:space="preserve"> </w:t>
      </w:r>
      <w:r w:rsidR="00143A60" w:rsidRPr="00CE357F">
        <w:rPr>
          <w:rFonts w:ascii="Arial Narrow" w:hAnsi="Arial Narrow"/>
          <w:sz w:val="20"/>
          <w:szCs w:val="20"/>
        </w:rPr>
        <w:tab/>
        <w:t xml:space="preserve">          Graf: AUGUR </w:t>
      </w:r>
      <w:proofErr w:type="spellStart"/>
      <w:r w:rsidR="00143A60" w:rsidRPr="00CE357F">
        <w:rPr>
          <w:rFonts w:ascii="Arial Narrow" w:hAnsi="Arial Narrow"/>
          <w:sz w:val="20"/>
          <w:szCs w:val="20"/>
        </w:rPr>
        <w:t>Consulting</w:t>
      </w:r>
      <w:proofErr w:type="spellEnd"/>
      <w:r w:rsidR="00143A60" w:rsidRPr="00CE357F">
        <w:rPr>
          <w:rFonts w:ascii="Arial Narrow" w:hAnsi="Arial Narrow"/>
          <w:sz w:val="20"/>
          <w:szCs w:val="20"/>
        </w:rPr>
        <w:t xml:space="preserve"> s.r.o.</w:t>
      </w:r>
    </w:p>
    <w:p w14:paraId="235BB49A" w14:textId="67314309" w:rsidR="00247DE3" w:rsidRPr="00173E7B" w:rsidRDefault="4DD8760F" w:rsidP="00247DE3">
      <w:pPr>
        <w:spacing w:after="240" w:line="276" w:lineRule="auto"/>
        <w:jc w:val="both"/>
        <w:rPr>
          <w:rFonts w:ascii="Arial Narrow" w:hAnsi="Arial Narrow"/>
        </w:rPr>
      </w:pPr>
      <w:r w:rsidRPr="2460258F">
        <w:rPr>
          <w:rFonts w:ascii="Arial Narrow" w:hAnsi="Arial Narrow"/>
        </w:rPr>
        <w:t xml:space="preserve">Srovnáme-li věkovou strukturu osob s jinou než českou státní příslušností s věkovou strukturou občanů České republiky, </w:t>
      </w:r>
      <w:r w:rsidR="461DD00E" w:rsidRPr="2460258F">
        <w:rPr>
          <w:rFonts w:ascii="Arial Narrow" w:hAnsi="Arial Narrow"/>
        </w:rPr>
        <w:t xml:space="preserve">lze konstatovat, že v běžné populaci obyvatel České republiky je výrazně nižší podíl osob v produktivním </w:t>
      </w:r>
      <w:r w:rsidR="48C5E9FD" w:rsidRPr="00173E7B">
        <w:rPr>
          <w:rFonts w:ascii="Arial Narrow" w:hAnsi="Arial Narrow"/>
        </w:rPr>
        <w:t>věku,</w:t>
      </w:r>
      <w:r w:rsidR="461DD00E" w:rsidRPr="00173E7B">
        <w:rPr>
          <w:rFonts w:ascii="Arial Narrow" w:hAnsi="Arial Narrow"/>
        </w:rPr>
        <w:t xml:space="preserve"> a </w:t>
      </w:r>
      <w:r w:rsidR="461DD00E" w:rsidRPr="00173E7B">
        <w:rPr>
          <w:rFonts w:ascii="Arial Narrow" w:hAnsi="Arial Narrow"/>
          <w:color w:val="000000" w:themeColor="text1"/>
        </w:rPr>
        <w:t>naopak výrazně vyšší podíl dětí a seniorů. Věkovou strukturu osob s jinou než českou státní příslušností</w:t>
      </w:r>
      <w:r w:rsidR="00247DE3" w:rsidRPr="00173E7B">
        <w:rPr>
          <w:rFonts w:ascii="Arial Narrow" w:hAnsi="Arial Narrow"/>
          <w:color w:val="000000" w:themeColor="text1"/>
        </w:rPr>
        <w:t xml:space="preserve"> (obrázek č. </w:t>
      </w:r>
      <w:r w:rsidR="005263EF" w:rsidRPr="00173E7B">
        <w:rPr>
          <w:rFonts w:ascii="Arial Narrow" w:hAnsi="Arial Narrow"/>
          <w:color w:val="000000" w:themeColor="text1"/>
        </w:rPr>
        <w:t>7</w:t>
      </w:r>
      <w:r w:rsidR="00247DE3" w:rsidRPr="00173E7B">
        <w:rPr>
          <w:rFonts w:ascii="Arial Narrow" w:hAnsi="Arial Narrow"/>
          <w:color w:val="000000" w:themeColor="text1"/>
        </w:rPr>
        <w:t>)</w:t>
      </w:r>
      <w:r w:rsidR="461DD00E" w:rsidRPr="00173E7B">
        <w:rPr>
          <w:rFonts w:ascii="Arial Narrow" w:hAnsi="Arial Narrow"/>
          <w:color w:val="000000" w:themeColor="text1"/>
        </w:rPr>
        <w:t xml:space="preserve"> a občanů České republiky </w:t>
      </w:r>
      <w:r w:rsidR="00247DE3" w:rsidRPr="00173E7B">
        <w:rPr>
          <w:rFonts w:ascii="Arial Narrow" w:hAnsi="Arial Narrow"/>
          <w:color w:val="000000" w:themeColor="text1"/>
        </w:rPr>
        <w:t xml:space="preserve">(obrázek č. </w:t>
      </w:r>
      <w:r w:rsidR="005263EF" w:rsidRPr="00173E7B">
        <w:rPr>
          <w:rFonts w:ascii="Arial Narrow" w:hAnsi="Arial Narrow"/>
          <w:color w:val="000000" w:themeColor="text1"/>
        </w:rPr>
        <w:t>6</w:t>
      </w:r>
      <w:r w:rsidR="00247DE3" w:rsidRPr="00173E7B">
        <w:rPr>
          <w:rFonts w:ascii="Arial Narrow" w:hAnsi="Arial Narrow"/>
          <w:color w:val="000000" w:themeColor="text1"/>
        </w:rPr>
        <w:t xml:space="preserve">) </w:t>
      </w:r>
      <w:r w:rsidR="461DD00E" w:rsidRPr="00173E7B">
        <w:rPr>
          <w:rFonts w:ascii="Arial Narrow" w:hAnsi="Arial Narrow"/>
        </w:rPr>
        <w:t xml:space="preserve">dokumentují následující věkové pyramidy. </w:t>
      </w:r>
    </w:p>
    <w:p w14:paraId="5573ADC1" w14:textId="67BDEB5B" w:rsidR="00247DE3" w:rsidRPr="00247DE3" w:rsidRDefault="00247DE3" w:rsidP="00247DE3">
      <w:pPr>
        <w:pStyle w:val="Titulek"/>
        <w:keepNext/>
        <w:spacing w:after="0"/>
        <w:jc w:val="both"/>
        <w:rPr>
          <w:rFonts w:ascii="Arial Narrow" w:hAnsi="Arial Narrow"/>
          <w:color w:val="auto"/>
          <w:sz w:val="20"/>
          <w:szCs w:val="20"/>
        </w:rPr>
      </w:pPr>
      <w:bookmarkStart w:id="175" w:name="_Toc136429290"/>
      <w:r w:rsidRPr="00173E7B">
        <w:rPr>
          <w:rFonts w:ascii="Arial Narrow" w:hAnsi="Arial Narrow"/>
          <w:color w:val="auto"/>
          <w:sz w:val="20"/>
          <w:szCs w:val="20"/>
        </w:rPr>
        <w:t xml:space="preserve">Obrázek </w:t>
      </w:r>
      <w:r w:rsidRPr="00173E7B">
        <w:rPr>
          <w:rFonts w:ascii="Arial Narrow" w:hAnsi="Arial Narrow"/>
          <w:color w:val="auto"/>
          <w:sz w:val="20"/>
          <w:szCs w:val="20"/>
        </w:rPr>
        <w:fldChar w:fldCharType="begin"/>
      </w:r>
      <w:r w:rsidRPr="00173E7B">
        <w:rPr>
          <w:rFonts w:ascii="Arial Narrow" w:hAnsi="Arial Narrow"/>
          <w:color w:val="auto"/>
          <w:sz w:val="20"/>
          <w:szCs w:val="20"/>
        </w:rPr>
        <w:instrText xml:space="preserve"> SEQ Obrázek \* ARABIC </w:instrText>
      </w:r>
      <w:r w:rsidRPr="00173E7B">
        <w:rPr>
          <w:rFonts w:ascii="Arial Narrow" w:hAnsi="Arial Narrow"/>
          <w:color w:val="auto"/>
          <w:sz w:val="20"/>
          <w:szCs w:val="20"/>
        </w:rPr>
        <w:fldChar w:fldCharType="separate"/>
      </w:r>
      <w:r w:rsidRPr="00173E7B">
        <w:rPr>
          <w:rFonts w:ascii="Arial Narrow" w:hAnsi="Arial Narrow"/>
          <w:noProof/>
          <w:color w:val="auto"/>
          <w:sz w:val="20"/>
          <w:szCs w:val="20"/>
        </w:rPr>
        <w:t>6</w:t>
      </w:r>
      <w:r w:rsidRPr="00173E7B">
        <w:rPr>
          <w:rFonts w:ascii="Arial Narrow" w:hAnsi="Arial Narrow"/>
          <w:color w:val="auto"/>
          <w:sz w:val="20"/>
          <w:szCs w:val="20"/>
        </w:rPr>
        <w:fldChar w:fldCharType="end"/>
      </w:r>
      <w:r w:rsidRPr="00173E7B">
        <w:rPr>
          <w:rFonts w:ascii="Arial Narrow" w:hAnsi="Arial Narrow"/>
          <w:color w:val="auto"/>
          <w:sz w:val="20"/>
          <w:szCs w:val="20"/>
        </w:rPr>
        <w:t>: Věková struktura obyvatelstva v České republice k 31. 12. 2021.</w:t>
      </w:r>
      <w:bookmarkEnd w:id="175"/>
    </w:p>
    <w:p w14:paraId="0CE2765A" w14:textId="34704B81" w:rsidR="00247DE3" w:rsidRPr="00247DE3" w:rsidRDefault="00247DE3" w:rsidP="00247DE3">
      <w:pPr>
        <w:spacing w:after="240" w:line="276" w:lineRule="auto"/>
        <w:jc w:val="both"/>
        <w:rPr>
          <w:rFonts w:ascii="Arial Narrow" w:hAnsi="Arial Narrow"/>
        </w:rPr>
      </w:pPr>
      <w:r w:rsidRPr="00247DE3">
        <w:rPr>
          <w:rFonts w:ascii="Arial Narrow" w:hAnsi="Arial Narrow"/>
          <w:noProof/>
          <w:lang w:eastAsia="cs-CZ"/>
        </w:rPr>
        <w:drawing>
          <wp:inline distT="0" distB="0" distL="0" distR="0" wp14:anchorId="530D6276" wp14:editId="43873776">
            <wp:extent cx="5496692" cy="3715268"/>
            <wp:effectExtent l="0" t="0" r="8890" b="0"/>
            <wp:docPr id="15385352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35233" name=""/>
                    <pic:cNvPicPr/>
                  </pic:nvPicPr>
                  <pic:blipFill>
                    <a:blip r:embed="rId55"/>
                    <a:stretch>
                      <a:fillRect/>
                    </a:stretch>
                  </pic:blipFill>
                  <pic:spPr>
                    <a:xfrm>
                      <a:off x="0" y="0"/>
                      <a:ext cx="5496692" cy="3715268"/>
                    </a:xfrm>
                    <a:prstGeom prst="rect">
                      <a:avLst/>
                    </a:prstGeom>
                  </pic:spPr>
                </pic:pic>
              </a:graphicData>
            </a:graphic>
          </wp:inline>
        </w:drawing>
      </w:r>
    </w:p>
    <w:p w14:paraId="2C17E502" w14:textId="77777777" w:rsidR="00C170AF" w:rsidRPr="00CE357F" w:rsidRDefault="00C170AF" w:rsidP="00C170AF">
      <w:pPr>
        <w:spacing w:after="240"/>
        <w:rPr>
          <w:rFonts w:ascii="Arial Narrow" w:hAnsi="Arial Narrow"/>
          <w:sz w:val="20"/>
          <w:szCs w:val="20"/>
        </w:rPr>
      </w:pPr>
      <w:r>
        <w:rPr>
          <w:rFonts w:ascii="Arial Narrow" w:hAnsi="Arial Narrow"/>
          <w:sz w:val="20"/>
          <w:szCs w:val="20"/>
        </w:rPr>
        <w:t>Zdroj: Český statistický úřad</w:t>
      </w:r>
      <w:r w:rsidRPr="00CE357F">
        <w:rPr>
          <w:rFonts w:ascii="Arial Narrow" w:hAnsi="Arial Narrow"/>
          <w:sz w:val="20"/>
          <w:szCs w:val="20"/>
        </w:rPr>
        <w:t xml:space="preserve"> (data platn</w:t>
      </w:r>
      <w:r>
        <w:rPr>
          <w:rFonts w:ascii="Arial Narrow" w:hAnsi="Arial Narrow"/>
          <w:sz w:val="20"/>
          <w:szCs w:val="20"/>
        </w:rPr>
        <w:t xml:space="preserve">á k 31. 12. 2021)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sidRPr="00CE357F">
        <w:rPr>
          <w:rFonts w:ascii="Arial Narrow" w:hAnsi="Arial Narrow"/>
          <w:sz w:val="20"/>
          <w:szCs w:val="20"/>
        </w:rPr>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6BA17524" w14:textId="77777777" w:rsidR="00C170AF" w:rsidRDefault="00C170AF" w:rsidP="00AF1C96">
      <w:pPr>
        <w:rPr>
          <w:rFonts w:ascii="Arial Narrow" w:hAnsi="Arial Narrow"/>
          <w:b/>
          <w:sz w:val="20"/>
        </w:rPr>
      </w:pPr>
    </w:p>
    <w:p w14:paraId="36208DDB" w14:textId="77777777" w:rsidR="007A31EF" w:rsidRDefault="007A31EF" w:rsidP="00AF1C96">
      <w:pPr>
        <w:rPr>
          <w:rFonts w:ascii="Arial Narrow" w:hAnsi="Arial Narrow"/>
          <w:b/>
          <w:sz w:val="20"/>
        </w:rPr>
      </w:pPr>
    </w:p>
    <w:p w14:paraId="7947968E" w14:textId="77777777" w:rsidR="007A31EF" w:rsidRDefault="007A31EF" w:rsidP="00AF1C96">
      <w:pPr>
        <w:rPr>
          <w:rFonts w:ascii="Arial Narrow" w:hAnsi="Arial Narrow"/>
          <w:b/>
          <w:sz w:val="20"/>
        </w:rPr>
      </w:pPr>
    </w:p>
    <w:p w14:paraId="735EF8F9" w14:textId="54EB8D88" w:rsidR="00AF1C96" w:rsidRDefault="00AF1C96" w:rsidP="00AF1C96">
      <w:pPr>
        <w:rPr>
          <w:rFonts w:ascii="Arial Narrow" w:hAnsi="Arial Narrow"/>
          <w:b/>
          <w:sz w:val="20"/>
        </w:rPr>
      </w:pPr>
      <w:bookmarkStart w:id="176" w:name="_Toc136429291"/>
      <w:r w:rsidRPr="00CE357F">
        <w:rPr>
          <w:rFonts w:ascii="Arial Narrow" w:hAnsi="Arial Narrow"/>
          <w:b/>
          <w:sz w:val="20"/>
        </w:rPr>
        <w:lastRenderedPageBreak/>
        <w:t xml:space="preserve">Obrázek </w:t>
      </w:r>
      <w:r w:rsidR="00A949BB">
        <w:rPr>
          <w:rFonts w:ascii="Arial Narrow" w:hAnsi="Arial Narrow"/>
          <w:b/>
          <w:sz w:val="20"/>
        </w:rPr>
        <w:fldChar w:fldCharType="begin"/>
      </w:r>
      <w:r w:rsidR="00A949BB">
        <w:rPr>
          <w:rFonts w:ascii="Arial Narrow" w:hAnsi="Arial Narrow"/>
          <w:b/>
          <w:sz w:val="20"/>
        </w:rPr>
        <w:instrText xml:space="preserve"> SEQ Obrázek \* ARABIC </w:instrText>
      </w:r>
      <w:r w:rsidR="00A949BB">
        <w:rPr>
          <w:rFonts w:ascii="Arial Narrow" w:hAnsi="Arial Narrow"/>
          <w:b/>
          <w:sz w:val="20"/>
        </w:rPr>
        <w:fldChar w:fldCharType="separate"/>
      </w:r>
      <w:r w:rsidR="00247DE3">
        <w:rPr>
          <w:rFonts w:ascii="Arial Narrow" w:hAnsi="Arial Narrow"/>
          <w:b/>
          <w:noProof/>
          <w:sz w:val="20"/>
        </w:rPr>
        <w:t>7</w:t>
      </w:r>
      <w:r w:rsidR="00A949BB">
        <w:rPr>
          <w:rFonts w:ascii="Arial Narrow" w:hAnsi="Arial Narrow"/>
          <w:b/>
          <w:sz w:val="20"/>
        </w:rPr>
        <w:fldChar w:fldCharType="end"/>
      </w:r>
      <w:r w:rsidRPr="00CE357F">
        <w:rPr>
          <w:rFonts w:ascii="Arial Narrow" w:hAnsi="Arial Narrow"/>
          <w:b/>
          <w:sz w:val="20"/>
        </w:rPr>
        <w:t xml:space="preserve">: Věková struktura osob s jinou než českou státní příslušností v České </w:t>
      </w:r>
      <w:r w:rsidR="0056626A" w:rsidRPr="00CE357F">
        <w:rPr>
          <w:rFonts w:ascii="Arial Narrow" w:hAnsi="Arial Narrow"/>
          <w:b/>
          <w:sz w:val="20"/>
        </w:rPr>
        <w:t>republice</w:t>
      </w:r>
      <w:r w:rsidRPr="00CE357F">
        <w:rPr>
          <w:rFonts w:ascii="Arial Narrow" w:hAnsi="Arial Narrow"/>
          <w:b/>
          <w:sz w:val="20"/>
        </w:rPr>
        <w:t xml:space="preserve"> k 31. 12. 202</w:t>
      </w:r>
      <w:r w:rsidR="00377E54">
        <w:rPr>
          <w:rFonts w:ascii="Arial Narrow" w:hAnsi="Arial Narrow"/>
          <w:b/>
          <w:sz w:val="20"/>
        </w:rPr>
        <w:t>1</w:t>
      </w:r>
      <w:bookmarkEnd w:id="176"/>
    </w:p>
    <w:p w14:paraId="6E0F24DC" w14:textId="68101DAF" w:rsidR="00247DE3" w:rsidRDefault="00247DE3" w:rsidP="00AF1C96">
      <w:pPr>
        <w:rPr>
          <w:rFonts w:ascii="Arial Narrow" w:hAnsi="Arial Narrow"/>
          <w:sz w:val="20"/>
          <w:szCs w:val="20"/>
        </w:rPr>
      </w:pPr>
      <w:r w:rsidRPr="00247DE3">
        <w:rPr>
          <w:rFonts w:ascii="Arial Narrow" w:hAnsi="Arial Narrow"/>
          <w:noProof/>
          <w:sz w:val="20"/>
          <w:szCs w:val="20"/>
          <w:lang w:eastAsia="cs-CZ"/>
        </w:rPr>
        <w:drawing>
          <wp:inline distT="0" distB="0" distL="0" distR="0" wp14:anchorId="4D4FB1C4" wp14:editId="05639B53">
            <wp:extent cx="5496692" cy="3715268"/>
            <wp:effectExtent l="0" t="0" r="8890" b="0"/>
            <wp:docPr id="180495367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53673" name=""/>
                    <pic:cNvPicPr/>
                  </pic:nvPicPr>
                  <pic:blipFill>
                    <a:blip r:embed="rId56"/>
                    <a:stretch>
                      <a:fillRect/>
                    </a:stretch>
                  </pic:blipFill>
                  <pic:spPr>
                    <a:xfrm>
                      <a:off x="0" y="0"/>
                      <a:ext cx="5496692" cy="3715268"/>
                    </a:xfrm>
                    <a:prstGeom prst="rect">
                      <a:avLst/>
                    </a:prstGeom>
                  </pic:spPr>
                </pic:pic>
              </a:graphicData>
            </a:graphic>
          </wp:inline>
        </w:drawing>
      </w:r>
    </w:p>
    <w:p w14:paraId="28DB5A9E" w14:textId="508A0C1B" w:rsidR="00247DE3" w:rsidRPr="00CE357F" w:rsidRDefault="000909E0" w:rsidP="00247DE3">
      <w:pPr>
        <w:spacing w:after="240"/>
        <w:rPr>
          <w:rFonts w:ascii="Arial Narrow" w:hAnsi="Arial Narrow"/>
          <w:sz w:val="20"/>
          <w:szCs w:val="20"/>
        </w:rPr>
      </w:pPr>
      <w:r>
        <w:rPr>
          <w:rFonts w:ascii="Arial Narrow" w:hAnsi="Arial Narrow"/>
          <w:sz w:val="20"/>
          <w:szCs w:val="20"/>
        </w:rPr>
        <w:t>Zdroj: Český statistický úřad</w:t>
      </w:r>
      <w:r w:rsidR="00AF1C96" w:rsidRPr="00CE357F">
        <w:rPr>
          <w:rFonts w:ascii="Arial Narrow" w:hAnsi="Arial Narrow"/>
          <w:sz w:val="20"/>
          <w:szCs w:val="20"/>
        </w:rPr>
        <w:t xml:space="preserve"> (data platn</w:t>
      </w:r>
      <w:r>
        <w:rPr>
          <w:rFonts w:ascii="Arial Narrow" w:hAnsi="Arial Narrow"/>
          <w:sz w:val="20"/>
          <w:szCs w:val="20"/>
        </w:rPr>
        <w:t>á k 31. 12. 202</w:t>
      </w:r>
      <w:r w:rsidR="00377E54">
        <w:rPr>
          <w:rFonts w:ascii="Arial Narrow" w:hAnsi="Arial Narrow"/>
          <w:sz w:val="20"/>
          <w:szCs w:val="20"/>
        </w:rPr>
        <w:t>1</w:t>
      </w:r>
      <w:r>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sidR="00AF1C96" w:rsidRPr="00CE357F">
        <w:rPr>
          <w:rFonts w:ascii="Arial Narrow" w:hAnsi="Arial Narrow"/>
          <w:sz w:val="20"/>
          <w:szCs w:val="20"/>
        </w:rPr>
        <w:t xml:space="preserve">  Graf: AUGUR </w:t>
      </w:r>
      <w:proofErr w:type="spellStart"/>
      <w:r w:rsidR="00AF1C96" w:rsidRPr="00CE357F">
        <w:rPr>
          <w:rFonts w:ascii="Arial Narrow" w:hAnsi="Arial Narrow"/>
          <w:sz w:val="20"/>
          <w:szCs w:val="20"/>
        </w:rPr>
        <w:t>Consulting</w:t>
      </w:r>
      <w:proofErr w:type="spellEnd"/>
      <w:r w:rsidR="00AF1C96" w:rsidRPr="00CE357F">
        <w:rPr>
          <w:rFonts w:ascii="Arial Narrow" w:hAnsi="Arial Narrow"/>
          <w:sz w:val="20"/>
          <w:szCs w:val="20"/>
        </w:rPr>
        <w:t xml:space="preserve"> s.r.o.</w:t>
      </w:r>
    </w:p>
    <w:p w14:paraId="3B83A6E0" w14:textId="56DE58D2" w:rsidR="009745F0" w:rsidRPr="00173E7B" w:rsidRDefault="25139A0C" w:rsidP="2460258F">
      <w:pPr>
        <w:spacing w:before="240" w:after="240" w:line="276" w:lineRule="auto"/>
        <w:jc w:val="both"/>
        <w:rPr>
          <w:rFonts w:ascii="Arial Narrow" w:eastAsia="Calibri" w:hAnsi="Arial Narrow"/>
        </w:rPr>
      </w:pPr>
      <w:r w:rsidRPr="00173E7B">
        <w:rPr>
          <w:rFonts w:ascii="Arial Narrow" w:eastAsia="Calibri" w:hAnsi="Arial Narrow"/>
        </w:rPr>
        <w:t xml:space="preserve">Mezi lety 2005 a 2021 se podíl </w:t>
      </w:r>
      <w:r w:rsidR="00B82989" w:rsidRPr="00173E7B">
        <w:rPr>
          <w:rFonts w:ascii="Arial Narrow" w:eastAsia="Calibri" w:hAnsi="Arial Narrow"/>
        </w:rPr>
        <w:t>cizinců na populaci obyvatel v ČR zvýšil téměř o 4 %, zatímco v roce 2005 činil pouze 2,7 %, v roce 2021 to bylo již 6,3 %.  Podíl d</w:t>
      </w:r>
      <w:r w:rsidRPr="00173E7B">
        <w:rPr>
          <w:rFonts w:ascii="Arial Narrow" w:eastAsia="Calibri" w:hAnsi="Arial Narrow"/>
        </w:rPr>
        <w:t xml:space="preserve">ětí ve věku 0-14 let na celkovém počtu </w:t>
      </w:r>
      <w:r w:rsidRPr="00173E7B">
        <w:rPr>
          <w:rFonts w:ascii="Arial Narrow" w:hAnsi="Arial Narrow"/>
        </w:rPr>
        <w:t>osob s jinou než českou státní příslušností</w:t>
      </w:r>
      <w:r w:rsidRPr="00173E7B">
        <w:rPr>
          <w:rFonts w:ascii="Arial Narrow" w:eastAsia="Calibri" w:hAnsi="Arial Narrow"/>
        </w:rPr>
        <w:t xml:space="preserve"> v České republice </w:t>
      </w:r>
      <w:r w:rsidR="00B82989" w:rsidRPr="00173E7B">
        <w:rPr>
          <w:rFonts w:ascii="Arial Narrow" w:eastAsia="Calibri" w:hAnsi="Arial Narrow"/>
        </w:rPr>
        <w:t xml:space="preserve">v tomto období </w:t>
      </w:r>
      <w:r w:rsidRPr="00173E7B">
        <w:rPr>
          <w:rFonts w:ascii="Arial Narrow" w:eastAsia="Calibri" w:hAnsi="Arial Narrow"/>
        </w:rPr>
        <w:t xml:space="preserve">zvýšil o 1,9 %, zatímco počet </w:t>
      </w:r>
      <w:r w:rsidRPr="00173E7B">
        <w:rPr>
          <w:rFonts w:ascii="Arial Narrow" w:hAnsi="Arial Narrow"/>
        </w:rPr>
        <w:t>osob s jinou než českou státní příslušností</w:t>
      </w:r>
      <w:r w:rsidRPr="00173E7B">
        <w:rPr>
          <w:rFonts w:ascii="Arial Narrow" w:eastAsia="Calibri" w:hAnsi="Arial Narrow"/>
        </w:rPr>
        <w:t xml:space="preserve"> v seniorském věku, tj. 65 let a více se za stejné časové období zdvojnásobil. </w:t>
      </w:r>
      <w:r w:rsidR="005A032F" w:rsidRPr="00173E7B">
        <w:rPr>
          <w:rFonts w:ascii="Arial Narrow" w:eastAsia="Calibri" w:hAnsi="Arial Narrow"/>
        </w:rPr>
        <w:t xml:space="preserve"> </w:t>
      </w:r>
      <w:r w:rsidRPr="00173E7B">
        <w:rPr>
          <w:rFonts w:ascii="Arial Narrow" w:eastAsia="Calibri" w:hAnsi="Arial Narrow"/>
        </w:rPr>
        <w:t xml:space="preserve">Zatímco v roce 2005 tvořily </w:t>
      </w:r>
      <w:r w:rsidRPr="00173E7B">
        <w:rPr>
          <w:rFonts w:ascii="Arial Narrow" w:hAnsi="Arial Narrow"/>
        </w:rPr>
        <w:t>osoby s jinou než českou státní příslušností</w:t>
      </w:r>
      <w:r w:rsidRPr="00173E7B">
        <w:rPr>
          <w:rFonts w:ascii="Arial Narrow" w:eastAsia="Calibri" w:hAnsi="Arial Narrow"/>
        </w:rPr>
        <w:t xml:space="preserve">-senioři 2,9 % všech </w:t>
      </w:r>
      <w:r w:rsidRPr="00173E7B">
        <w:rPr>
          <w:rFonts w:ascii="Arial Narrow" w:hAnsi="Arial Narrow"/>
        </w:rPr>
        <w:t>osob s jinou než českou státní příslušností</w:t>
      </w:r>
      <w:r w:rsidRPr="00173E7B">
        <w:rPr>
          <w:rFonts w:ascii="Arial Narrow" w:eastAsia="Calibri" w:hAnsi="Arial Narrow"/>
        </w:rPr>
        <w:t xml:space="preserve"> v České republice, v roce 2021 to bylo již 5,5 %</w:t>
      </w:r>
      <w:r w:rsidR="005263EF" w:rsidRPr="00173E7B">
        <w:rPr>
          <w:rFonts w:ascii="Arial Narrow" w:eastAsia="Calibri" w:hAnsi="Arial Narrow"/>
        </w:rPr>
        <w:t xml:space="preserve"> (graf č. 20)</w:t>
      </w:r>
      <w:r w:rsidRPr="00173E7B">
        <w:rPr>
          <w:rFonts w:ascii="Arial Narrow" w:eastAsia="Calibri" w:hAnsi="Arial Narrow"/>
        </w:rPr>
        <w:t xml:space="preserve">. </w:t>
      </w:r>
    </w:p>
    <w:p w14:paraId="51930EC6" w14:textId="70666E02" w:rsidR="009745F0" w:rsidRPr="00173E7B" w:rsidRDefault="009745F0" w:rsidP="009745F0">
      <w:pPr>
        <w:spacing w:before="240" w:after="240" w:line="276" w:lineRule="auto"/>
        <w:jc w:val="both"/>
        <w:rPr>
          <w:rFonts w:ascii="Arial Narrow" w:eastAsia="Calibri" w:hAnsi="Arial Narrow"/>
          <w:bCs/>
        </w:rPr>
      </w:pPr>
      <w:r w:rsidRPr="00173E7B">
        <w:rPr>
          <w:rFonts w:ascii="Arial Narrow" w:eastAsia="Calibri" w:hAnsi="Arial Narrow"/>
          <w:bCs/>
        </w:rPr>
        <w:t xml:space="preserve">S ohledem na výše uvedené poznatky, které dokládají, že v roce 2022 došlo vlivem války na Ukrajině k výrazným změnám ve složení příchozích osob s jinou než českou státní příslušností do ČR, lze předpokládat, že v roce 2022 došlo k výraznějším změnám v představované věkové struktuře. Veřejně dostupná data za rok 2022 nebyla v době </w:t>
      </w:r>
      <w:r w:rsidR="00217B45" w:rsidRPr="00173E7B">
        <w:rPr>
          <w:rFonts w:ascii="Arial Narrow" w:eastAsia="Calibri" w:hAnsi="Arial Narrow"/>
          <w:bCs/>
        </w:rPr>
        <w:t>odevzdání</w:t>
      </w:r>
      <w:r w:rsidRPr="00173E7B">
        <w:rPr>
          <w:rFonts w:ascii="Arial Narrow" w:eastAsia="Calibri" w:hAnsi="Arial Narrow"/>
          <w:bCs/>
        </w:rPr>
        <w:t xml:space="preserve"> této</w:t>
      </w:r>
      <w:r w:rsidR="00217B45" w:rsidRPr="00173E7B">
        <w:rPr>
          <w:rFonts w:ascii="Arial Narrow" w:eastAsia="Calibri" w:hAnsi="Arial Narrow"/>
          <w:bCs/>
        </w:rPr>
        <w:t xml:space="preserve"> aktualizované</w:t>
      </w:r>
      <w:r w:rsidRPr="00173E7B">
        <w:rPr>
          <w:rFonts w:ascii="Arial Narrow" w:eastAsia="Calibri" w:hAnsi="Arial Narrow"/>
          <w:bCs/>
        </w:rPr>
        <w:t xml:space="preserve"> zprávy k dispozici.</w:t>
      </w:r>
    </w:p>
    <w:p w14:paraId="0E63FFEC" w14:textId="4162A543" w:rsidR="00F1264F" w:rsidRPr="00173E7B" w:rsidRDefault="006316EC" w:rsidP="006316EC">
      <w:pPr>
        <w:pStyle w:val="Titulek"/>
        <w:keepNext/>
        <w:spacing w:after="0"/>
        <w:jc w:val="both"/>
        <w:rPr>
          <w:rFonts w:ascii="Arial Narrow" w:hAnsi="Arial Narrow"/>
          <w:color w:val="auto"/>
          <w:sz w:val="20"/>
          <w:szCs w:val="20"/>
        </w:rPr>
      </w:pPr>
      <w:bookmarkStart w:id="177" w:name="_Toc94443724"/>
      <w:bookmarkStart w:id="178" w:name="_Toc136428864"/>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5B2F6C" w:rsidRPr="00173E7B">
        <w:rPr>
          <w:rFonts w:ascii="Arial Narrow" w:hAnsi="Arial Narrow"/>
          <w:noProof/>
          <w:color w:val="auto"/>
          <w:sz w:val="20"/>
          <w:szCs w:val="20"/>
        </w:rPr>
        <w:t>20</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Věková struktura osob s jinou než českou státní příslušností v jednotlivých letech</w:t>
      </w:r>
      <w:bookmarkEnd w:id="177"/>
      <w:bookmarkEnd w:id="178"/>
    </w:p>
    <w:p w14:paraId="2D5DC0A6" w14:textId="05D88576" w:rsidR="00F1264F" w:rsidRPr="00173E7B" w:rsidRDefault="009745F0" w:rsidP="7CC7BF57">
      <w:pPr>
        <w:spacing w:line="276" w:lineRule="auto"/>
        <w:rPr>
          <w:rFonts w:ascii="Arial Narrow" w:eastAsia="Calibri" w:hAnsi="Arial Narrow"/>
        </w:rPr>
      </w:pPr>
      <w:r w:rsidRPr="00173E7B">
        <w:rPr>
          <w:rFonts w:ascii="Arial Narrow" w:eastAsia="Calibri" w:hAnsi="Arial Narrow"/>
          <w:bCs/>
          <w:noProof/>
          <w:lang w:eastAsia="cs-CZ"/>
        </w:rPr>
        <w:drawing>
          <wp:inline distT="0" distB="0" distL="0" distR="0" wp14:anchorId="5E84B357" wp14:editId="4AF6383B">
            <wp:extent cx="5760720" cy="1796903"/>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430119D" w14:textId="7DB3F9C9" w:rsidR="00F1264F" w:rsidRPr="00173E7B" w:rsidRDefault="000909E0" w:rsidP="00F1264F">
      <w:pPr>
        <w:spacing w:line="276" w:lineRule="auto"/>
        <w:rPr>
          <w:rFonts w:ascii="Arial Narrow" w:hAnsi="Arial Narrow"/>
          <w:sz w:val="20"/>
          <w:szCs w:val="20"/>
        </w:rPr>
      </w:pPr>
      <w:r w:rsidRPr="00173E7B">
        <w:rPr>
          <w:rFonts w:ascii="Arial Narrow" w:hAnsi="Arial Narrow"/>
          <w:sz w:val="20"/>
          <w:szCs w:val="20"/>
        </w:rPr>
        <w:t>Zdroj: Český statistický úřad</w:t>
      </w:r>
      <w:r w:rsidR="006316EC" w:rsidRPr="00173E7B">
        <w:rPr>
          <w:rFonts w:ascii="Arial Narrow" w:hAnsi="Arial Narrow"/>
          <w:sz w:val="20"/>
          <w:szCs w:val="20"/>
        </w:rPr>
        <w:t xml:space="preserve"> (data platná k 31. 12. 202</w:t>
      </w:r>
      <w:r w:rsidR="009745F0" w:rsidRPr="00173E7B">
        <w:rPr>
          <w:rFonts w:ascii="Arial Narrow" w:hAnsi="Arial Narrow"/>
          <w:sz w:val="20"/>
          <w:szCs w:val="20"/>
        </w:rPr>
        <w:t>1</w:t>
      </w:r>
      <w:r w:rsidR="006316EC" w:rsidRPr="00173E7B">
        <w:rPr>
          <w:rFonts w:ascii="Arial Narrow" w:hAnsi="Arial Narrow"/>
          <w:sz w:val="20"/>
          <w:szCs w:val="20"/>
        </w:rPr>
        <w:t xml:space="preserve">) </w:t>
      </w:r>
      <w:r w:rsidR="006316EC" w:rsidRPr="00173E7B">
        <w:rPr>
          <w:rFonts w:ascii="Arial Narrow" w:hAnsi="Arial Narrow"/>
          <w:sz w:val="20"/>
          <w:szCs w:val="20"/>
        </w:rPr>
        <w:tab/>
      </w:r>
      <w:r w:rsidR="006316EC" w:rsidRPr="00173E7B">
        <w:rPr>
          <w:rFonts w:ascii="Arial Narrow" w:hAnsi="Arial Narrow"/>
          <w:sz w:val="20"/>
          <w:szCs w:val="20"/>
        </w:rPr>
        <w:tab/>
      </w:r>
      <w:r w:rsidR="006316EC" w:rsidRPr="00173E7B">
        <w:rPr>
          <w:rFonts w:ascii="Arial Narrow" w:hAnsi="Arial Narrow"/>
          <w:sz w:val="20"/>
          <w:szCs w:val="20"/>
        </w:rPr>
        <w:tab/>
        <w:t xml:space="preserve"> </w:t>
      </w:r>
      <w:r w:rsidR="006316EC" w:rsidRPr="00173E7B">
        <w:rPr>
          <w:rFonts w:ascii="Arial Narrow" w:hAnsi="Arial Narrow"/>
          <w:sz w:val="20"/>
          <w:szCs w:val="20"/>
        </w:rPr>
        <w:tab/>
        <w:t xml:space="preserve">          Graf: AUGUR </w:t>
      </w:r>
      <w:proofErr w:type="spellStart"/>
      <w:r w:rsidR="006316EC" w:rsidRPr="00173E7B">
        <w:rPr>
          <w:rFonts w:ascii="Arial Narrow" w:hAnsi="Arial Narrow"/>
          <w:sz w:val="20"/>
          <w:szCs w:val="20"/>
        </w:rPr>
        <w:t>Consulting</w:t>
      </w:r>
      <w:proofErr w:type="spellEnd"/>
      <w:r w:rsidR="0056626A" w:rsidRPr="00173E7B">
        <w:rPr>
          <w:rFonts w:ascii="Arial Narrow" w:hAnsi="Arial Narrow"/>
          <w:sz w:val="20"/>
          <w:szCs w:val="20"/>
        </w:rPr>
        <w:t xml:space="preserve"> </w:t>
      </w:r>
      <w:proofErr w:type="spellStart"/>
      <w:r w:rsidR="006316EC" w:rsidRPr="00173E7B">
        <w:rPr>
          <w:rFonts w:ascii="Arial Narrow" w:hAnsi="Arial Narrow"/>
          <w:sz w:val="20"/>
          <w:szCs w:val="20"/>
        </w:rPr>
        <w:t>s.r.o</w:t>
      </w:r>
      <w:proofErr w:type="spellEnd"/>
    </w:p>
    <w:p w14:paraId="35C08F74" w14:textId="77777777" w:rsidR="006316EC" w:rsidRPr="00173E7B" w:rsidRDefault="006316EC" w:rsidP="00F1264F">
      <w:pPr>
        <w:spacing w:line="276" w:lineRule="auto"/>
        <w:rPr>
          <w:rFonts w:ascii="Arial Narrow" w:hAnsi="Arial Narrow"/>
          <w:b/>
          <w:color w:val="C00000"/>
        </w:rPr>
      </w:pPr>
    </w:p>
    <w:p w14:paraId="5999B3A0" w14:textId="28391341" w:rsidR="002D35EA" w:rsidRPr="00173E7B" w:rsidRDefault="006316EC" w:rsidP="00F34FE0">
      <w:pPr>
        <w:spacing w:line="276" w:lineRule="auto"/>
        <w:jc w:val="both"/>
        <w:rPr>
          <w:rFonts w:ascii="Arial Narrow" w:hAnsi="Arial Narrow"/>
        </w:rPr>
      </w:pPr>
      <w:r w:rsidRPr="00173E7B">
        <w:rPr>
          <w:rFonts w:ascii="Arial Narrow" w:hAnsi="Arial Narrow"/>
        </w:rPr>
        <w:t>Podíváme-li se na vývoj</w:t>
      </w:r>
      <w:r w:rsidR="00F34FE0" w:rsidRPr="00173E7B">
        <w:rPr>
          <w:rFonts w:ascii="Arial Narrow" w:hAnsi="Arial Narrow"/>
        </w:rPr>
        <w:t xml:space="preserve"> věkové struktury osob s jinou než českou státní příslušností</w:t>
      </w:r>
      <w:r w:rsidR="00F34FE0" w:rsidRPr="00173E7B">
        <w:rPr>
          <w:rFonts w:ascii="Arial Narrow" w:eastAsia="Calibri" w:hAnsi="Arial Narrow"/>
          <w:bCs/>
        </w:rPr>
        <w:t xml:space="preserve"> v České republice podle pohlaví</w:t>
      </w:r>
      <w:r w:rsidR="00F34FE0" w:rsidRPr="00173E7B">
        <w:rPr>
          <w:rFonts w:ascii="Arial Narrow" w:hAnsi="Arial Narrow"/>
        </w:rPr>
        <w:t>, mezi lety 2005 a 202</w:t>
      </w:r>
      <w:r w:rsidR="00217B45" w:rsidRPr="00173E7B">
        <w:rPr>
          <w:rFonts w:ascii="Arial Narrow" w:hAnsi="Arial Narrow"/>
        </w:rPr>
        <w:t>1</w:t>
      </w:r>
      <w:r w:rsidR="00F34FE0" w:rsidRPr="00173E7B">
        <w:rPr>
          <w:rFonts w:ascii="Arial Narrow" w:hAnsi="Arial Narrow"/>
        </w:rPr>
        <w:t xml:space="preserve"> nejsou zaznamenány významné změny. </w:t>
      </w:r>
    </w:p>
    <w:p w14:paraId="4B753CCB" w14:textId="39512815" w:rsidR="00217B45" w:rsidRPr="00173E7B" w:rsidRDefault="00217B45" w:rsidP="00217B45">
      <w:pPr>
        <w:spacing w:before="240" w:line="276" w:lineRule="auto"/>
        <w:jc w:val="both"/>
        <w:rPr>
          <w:rFonts w:ascii="Arial Narrow" w:eastAsia="Calibri" w:hAnsi="Arial Narrow"/>
          <w:bCs/>
        </w:rPr>
      </w:pPr>
      <w:r w:rsidRPr="00173E7B">
        <w:rPr>
          <w:rFonts w:ascii="Arial Narrow" w:eastAsia="Calibri" w:hAnsi="Arial Narrow"/>
          <w:bCs/>
        </w:rPr>
        <w:t xml:space="preserve">Mezi lety 2005 a 2021 se podíl dětí-žen ve věku 0-15 let na celkovém počtu </w:t>
      </w:r>
      <w:r w:rsidRPr="00173E7B">
        <w:rPr>
          <w:rFonts w:ascii="Arial Narrow" w:hAnsi="Arial Narrow"/>
        </w:rPr>
        <w:t>osob s jinou než českou státní příslušností</w:t>
      </w:r>
      <w:r w:rsidRPr="00173E7B">
        <w:rPr>
          <w:rFonts w:ascii="Arial Narrow" w:eastAsia="Calibri" w:hAnsi="Arial Narrow"/>
          <w:bCs/>
        </w:rPr>
        <w:t xml:space="preserve"> v České republice zvýšil o 0,7 % a počet </w:t>
      </w:r>
      <w:r w:rsidRPr="00173E7B">
        <w:rPr>
          <w:rFonts w:ascii="Arial Narrow" w:hAnsi="Arial Narrow"/>
        </w:rPr>
        <w:t>žen s jinou než českou státní příslušností</w:t>
      </w:r>
      <w:r w:rsidRPr="00173E7B">
        <w:rPr>
          <w:rFonts w:ascii="Arial Narrow" w:eastAsia="Calibri" w:hAnsi="Arial Narrow"/>
          <w:bCs/>
        </w:rPr>
        <w:t xml:space="preserve"> v seniorském věku, tj. 65 let a více o 1,1 %. Podíl žen v produktivním věku, tj. ve věku 15-64 let se mezi lety 2005 a 2021 zvýšil 1 %. Zatímco v roce 2005 tvořily ženy s jinou než českou státní příslušností v produktivním věku celkem 34,7 % všech těchto osob, v roce 2021 to bylo 35,7 %</w:t>
      </w:r>
      <w:r w:rsidR="007226E2" w:rsidRPr="00173E7B">
        <w:rPr>
          <w:rFonts w:ascii="Arial Narrow" w:eastAsia="Calibri" w:hAnsi="Arial Narrow"/>
          <w:bCs/>
        </w:rPr>
        <w:t xml:space="preserve"> (graf č. 21)</w:t>
      </w:r>
      <w:r w:rsidRPr="00173E7B">
        <w:rPr>
          <w:rFonts w:ascii="Arial Narrow" w:eastAsia="Calibri" w:hAnsi="Arial Narrow"/>
          <w:bCs/>
        </w:rPr>
        <w:t xml:space="preserve">. </w:t>
      </w:r>
    </w:p>
    <w:p w14:paraId="52E4BB87" w14:textId="3BC7368E" w:rsidR="00217B45" w:rsidRPr="00173E7B" w:rsidRDefault="07BA6EB1" w:rsidP="2460258F">
      <w:pPr>
        <w:spacing w:before="240" w:line="276" w:lineRule="auto"/>
        <w:jc w:val="both"/>
        <w:rPr>
          <w:rFonts w:ascii="Arial Narrow" w:eastAsia="Calibri" w:hAnsi="Arial Narrow"/>
        </w:rPr>
      </w:pPr>
      <w:r w:rsidRPr="00173E7B">
        <w:rPr>
          <w:rFonts w:ascii="Arial Narrow" w:eastAsia="Calibri" w:hAnsi="Arial Narrow"/>
        </w:rPr>
        <w:t xml:space="preserve">S ohledem na výše uvedené grafy </w:t>
      </w:r>
      <w:r w:rsidR="00587629" w:rsidRPr="00173E7B">
        <w:rPr>
          <w:rFonts w:ascii="Arial Narrow" w:eastAsia="Calibri" w:hAnsi="Arial Narrow"/>
          <w:color w:val="000000" w:themeColor="text1"/>
        </w:rPr>
        <w:t>(č. 1</w:t>
      </w:r>
      <w:r w:rsidR="007226E2" w:rsidRPr="00173E7B">
        <w:rPr>
          <w:rFonts w:ascii="Arial Narrow" w:eastAsia="Calibri" w:hAnsi="Arial Narrow"/>
          <w:color w:val="000000" w:themeColor="text1"/>
        </w:rPr>
        <w:t>1</w:t>
      </w:r>
      <w:r w:rsidR="00587629" w:rsidRPr="00173E7B">
        <w:rPr>
          <w:rFonts w:ascii="Arial Narrow" w:eastAsia="Calibri" w:hAnsi="Arial Narrow"/>
          <w:color w:val="000000" w:themeColor="text1"/>
        </w:rPr>
        <w:t>, 1</w:t>
      </w:r>
      <w:r w:rsidR="007226E2" w:rsidRPr="00173E7B">
        <w:rPr>
          <w:rFonts w:ascii="Arial Narrow" w:eastAsia="Calibri" w:hAnsi="Arial Narrow"/>
          <w:color w:val="000000" w:themeColor="text1"/>
        </w:rPr>
        <w:t>7</w:t>
      </w:r>
      <w:r w:rsidR="00587629" w:rsidRPr="00173E7B">
        <w:rPr>
          <w:rFonts w:ascii="Arial Narrow" w:eastAsia="Calibri" w:hAnsi="Arial Narrow"/>
          <w:color w:val="000000" w:themeColor="text1"/>
        </w:rPr>
        <w:t xml:space="preserve"> a 1</w:t>
      </w:r>
      <w:r w:rsidR="005263EF" w:rsidRPr="00173E7B">
        <w:rPr>
          <w:rFonts w:ascii="Arial Narrow" w:eastAsia="Calibri" w:hAnsi="Arial Narrow"/>
          <w:color w:val="000000" w:themeColor="text1"/>
        </w:rPr>
        <w:t>8</w:t>
      </w:r>
      <w:r w:rsidR="00587629" w:rsidRPr="00173E7B">
        <w:rPr>
          <w:rFonts w:ascii="Arial Narrow" w:eastAsia="Calibri" w:hAnsi="Arial Narrow"/>
          <w:color w:val="000000" w:themeColor="text1"/>
        </w:rPr>
        <w:t xml:space="preserve">) </w:t>
      </w:r>
      <w:r w:rsidRPr="00173E7B">
        <w:rPr>
          <w:rFonts w:ascii="Arial Narrow" w:eastAsia="Calibri" w:hAnsi="Arial Narrow"/>
        </w:rPr>
        <w:t>zachycující skokový nárůst podílu žen ve skupině osob s jinou než českou státní příslušností lze předpokládat, že v roce 2022 došlo také k výraznějším změnám v jejich věkové struktuře. Veřejně dostupná data za rok 2022 nebyla v době odevzdání této aktualizované zprávy k dispozici.</w:t>
      </w:r>
    </w:p>
    <w:p w14:paraId="12815E3C" w14:textId="7DC6686C" w:rsidR="00F34FE0" w:rsidRPr="00173E7B" w:rsidRDefault="00F34FE0" w:rsidP="00F34FE0">
      <w:pPr>
        <w:spacing w:line="276" w:lineRule="auto"/>
        <w:jc w:val="both"/>
        <w:rPr>
          <w:rFonts w:ascii="Arial Narrow" w:hAnsi="Arial Narrow"/>
        </w:rPr>
      </w:pPr>
    </w:p>
    <w:p w14:paraId="126E44AD" w14:textId="4B48DA8C" w:rsidR="00CD500D" w:rsidRPr="00173E7B" w:rsidRDefault="00F34FE0" w:rsidP="00CD500D">
      <w:pPr>
        <w:pStyle w:val="Titulek"/>
        <w:keepNext/>
        <w:spacing w:after="0"/>
        <w:jc w:val="both"/>
        <w:rPr>
          <w:rFonts w:ascii="Arial Narrow" w:hAnsi="Arial Narrow"/>
          <w:color w:val="auto"/>
          <w:sz w:val="20"/>
          <w:szCs w:val="20"/>
        </w:rPr>
      </w:pPr>
      <w:bookmarkStart w:id="179" w:name="_Toc94443725"/>
      <w:bookmarkStart w:id="180" w:name="_Toc136428865"/>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5B2F6C" w:rsidRPr="00173E7B">
        <w:rPr>
          <w:rFonts w:ascii="Arial Narrow" w:hAnsi="Arial Narrow"/>
          <w:noProof/>
          <w:color w:val="auto"/>
          <w:sz w:val="20"/>
          <w:szCs w:val="20"/>
        </w:rPr>
        <w:t>21</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Vývoj podílu žen na celkovém počtu osob s ji</w:t>
      </w:r>
      <w:r w:rsidR="002D35EA" w:rsidRPr="00173E7B">
        <w:rPr>
          <w:rFonts w:ascii="Arial Narrow" w:hAnsi="Arial Narrow"/>
          <w:color w:val="auto"/>
          <w:sz w:val="20"/>
          <w:szCs w:val="20"/>
        </w:rPr>
        <w:t>nou</w:t>
      </w:r>
      <w:r w:rsidRPr="00173E7B">
        <w:rPr>
          <w:rFonts w:ascii="Arial Narrow" w:hAnsi="Arial Narrow"/>
          <w:color w:val="auto"/>
          <w:sz w:val="20"/>
          <w:szCs w:val="20"/>
        </w:rPr>
        <w:t xml:space="preserve"> než česk</w:t>
      </w:r>
      <w:r w:rsidR="002D35EA" w:rsidRPr="00173E7B">
        <w:rPr>
          <w:rFonts w:ascii="Arial Narrow" w:hAnsi="Arial Narrow"/>
          <w:color w:val="auto"/>
          <w:sz w:val="20"/>
          <w:szCs w:val="20"/>
        </w:rPr>
        <w:t>ou</w:t>
      </w:r>
      <w:r w:rsidRPr="00173E7B">
        <w:rPr>
          <w:rFonts w:ascii="Arial Narrow" w:hAnsi="Arial Narrow"/>
          <w:color w:val="auto"/>
          <w:sz w:val="20"/>
          <w:szCs w:val="20"/>
        </w:rPr>
        <w:t xml:space="preserve"> státní </w:t>
      </w:r>
      <w:r w:rsidR="002D35EA" w:rsidRPr="00173E7B">
        <w:rPr>
          <w:rFonts w:ascii="Arial Narrow" w:hAnsi="Arial Narrow"/>
          <w:color w:val="auto"/>
          <w:sz w:val="20"/>
          <w:szCs w:val="20"/>
        </w:rPr>
        <w:t>příslušností</w:t>
      </w:r>
      <w:r w:rsidRPr="00173E7B">
        <w:rPr>
          <w:rFonts w:ascii="Arial Narrow" w:hAnsi="Arial Narrow"/>
          <w:color w:val="auto"/>
          <w:sz w:val="20"/>
          <w:szCs w:val="20"/>
        </w:rPr>
        <w:t xml:space="preserve"> podle věku v letech 2005-202</w:t>
      </w:r>
      <w:bookmarkEnd w:id="179"/>
      <w:r w:rsidR="00217B45" w:rsidRPr="00173E7B">
        <w:rPr>
          <w:rFonts w:ascii="Arial Narrow" w:hAnsi="Arial Narrow"/>
          <w:color w:val="auto"/>
          <w:sz w:val="20"/>
          <w:szCs w:val="20"/>
        </w:rPr>
        <w:t>1</w:t>
      </w:r>
      <w:bookmarkEnd w:id="180"/>
    </w:p>
    <w:p w14:paraId="45579B05" w14:textId="3CD40370" w:rsidR="00F1264F" w:rsidRPr="00173E7B" w:rsidRDefault="00217B45" w:rsidP="7CC7BF57">
      <w:pPr>
        <w:spacing w:line="276" w:lineRule="auto"/>
        <w:jc w:val="both"/>
        <w:rPr>
          <w:rFonts w:ascii="Arial Narrow" w:hAnsi="Arial Narrow"/>
          <w:noProof/>
        </w:rPr>
      </w:pPr>
      <w:r w:rsidRPr="00173E7B">
        <w:rPr>
          <w:noProof/>
          <w:lang w:eastAsia="cs-CZ"/>
        </w:rPr>
        <w:drawing>
          <wp:inline distT="0" distB="0" distL="0" distR="0" wp14:anchorId="2C94B3D5" wp14:editId="53501232">
            <wp:extent cx="5760720" cy="3229610"/>
            <wp:effectExtent l="0" t="0" r="11430" b="889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BC2E86" w14:textId="77777777" w:rsidR="007226E2" w:rsidRPr="00173E7B" w:rsidRDefault="000909E0" w:rsidP="007226E2">
      <w:pPr>
        <w:spacing w:after="240" w:line="276" w:lineRule="auto"/>
        <w:rPr>
          <w:rFonts w:ascii="Arial Narrow" w:hAnsi="Arial Narrow"/>
          <w:sz w:val="20"/>
          <w:szCs w:val="20"/>
        </w:rPr>
      </w:pPr>
      <w:r w:rsidRPr="00173E7B">
        <w:rPr>
          <w:rFonts w:ascii="Arial Narrow" w:hAnsi="Arial Narrow"/>
          <w:sz w:val="20"/>
          <w:szCs w:val="20"/>
        </w:rPr>
        <w:t>Zdroj: Český statistický úřad</w:t>
      </w:r>
      <w:r w:rsidR="002D35EA" w:rsidRPr="00173E7B">
        <w:rPr>
          <w:rFonts w:ascii="Arial Narrow" w:hAnsi="Arial Narrow"/>
          <w:sz w:val="20"/>
          <w:szCs w:val="20"/>
        </w:rPr>
        <w:t xml:space="preserve"> (data platná k 31. 12. daného roku) </w:t>
      </w:r>
      <w:r w:rsidR="002D35EA" w:rsidRPr="00173E7B">
        <w:rPr>
          <w:rFonts w:ascii="Arial Narrow" w:hAnsi="Arial Narrow"/>
          <w:sz w:val="20"/>
          <w:szCs w:val="20"/>
        </w:rPr>
        <w:tab/>
      </w:r>
      <w:r w:rsidR="002D35EA" w:rsidRPr="00173E7B">
        <w:rPr>
          <w:rFonts w:ascii="Arial Narrow" w:hAnsi="Arial Narrow"/>
          <w:sz w:val="20"/>
          <w:szCs w:val="20"/>
        </w:rPr>
        <w:tab/>
        <w:t xml:space="preserve"> </w:t>
      </w:r>
      <w:r w:rsidR="002D35EA" w:rsidRPr="00173E7B">
        <w:rPr>
          <w:rFonts w:ascii="Arial Narrow" w:hAnsi="Arial Narrow"/>
          <w:sz w:val="20"/>
          <w:szCs w:val="20"/>
        </w:rPr>
        <w:tab/>
        <w:t xml:space="preserve">          Graf: AUGUR </w:t>
      </w:r>
      <w:proofErr w:type="spellStart"/>
      <w:r w:rsidR="002D35EA" w:rsidRPr="00173E7B">
        <w:rPr>
          <w:rFonts w:ascii="Arial Narrow" w:hAnsi="Arial Narrow"/>
          <w:sz w:val="20"/>
          <w:szCs w:val="20"/>
        </w:rPr>
        <w:t>Consulting</w:t>
      </w:r>
      <w:proofErr w:type="spellEnd"/>
      <w:r w:rsidR="002D35EA" w:rsidRPr="00173E7B">
        <w:rPr>
          <w:rFonts w:ascii="Arial Narrow" w:hAnsi="Arial Narrow"/>
          <w:sz w:val="20"/>
          <w:szCs w:val="20"/>
        </w:rPr>
        <w:t xml:space="preserve"> </w:t>
      </w:r>
      <w:proofErr w:type="spellStart"/>
      <w:r w:rsidR="002D35EA" w:rsidRPr="00173E7B">
        <w:rPr>
          <w:rFonts w:ascii="Arial Narrow" w:hAnsi="Arial Narrow"/>
          <w:sz w:val="20"/>
          <w:szCs w:val="20"/>
        </w:rPr>
        <w:t>s.r.o</w:t>
      </w:r>
      <w:proofErr w:type="spellEnd"/>
    </w:p>
    <w:p w14:paraId="71210E8E" w14:textId="70BF9E91" w:rsidR="0059493A" w:rsidRPr="00173E7B" w:rsidRDefault="0059493A" w:rsidP="007226E2">
      <w:pPr>
        <w:spacing w:line="276" w:lineRule="auto"/>
        <w:jc w:val="both"/>
        <w:rPr>
          <w:rFonts w:ascii="Arial Narrow" w:eastAsia="Calibri" w:hAnsi="Arial Narrow"/>
          <w:bCs/>
        </w:rPr>
      </w:pPr>
      <w:r w:rsidRPr="00173E7B">
        <w:rPr>
          <w:rFonts w:ascii="Arial Narrow" w:eastAsia="Calibri" w:hAnsi="Arial Narrow"/>
        </w:rPr>
        <w:t>Mezi lety 2005 a 2021 se podíl dětí-mužů ve věku 0-15 let na celkovém počtu osob s jinou než českou státní příslušností v České republice zvýšil o 0,9 % a podíl mužů s jinou než českou státní příslušností v seniorském věku, tj. 65 a více let o 1,5 %. Podíl mužů v produktivním věku, tj. ve věku 15-64 let se mezi lety 2005 a 2021 snížil o 5,5 %</w:t>
      </w:r>
      <w:r w:rsidR="007226E2" w:rsidRPr="00173E7B">
        <w:rPr>
          <w:rFonts w:ascii="Arial Narrow" w:eastAsia="Calibri" w:hAnsi="Arial Narrow"/>
        </w:rPr>
        <w:t xml:space="preserve"> (graf č. 22).</w:t>
      </w:r>
    </w:p>
    <w:p w14:paraId="00E82E89" w14:textId="02331C63" w:rsidR="002D35EA" w:rsidRPr="00173E7B" w:rsidRDefault="07BA6EB1" w:rsidP="007226E2">
      <w:pPr>
        <w:spacing w:before="240" w:line="276" w:lineRule="auto"/>
        <w:jc w:val="both"/>
        <w:rPr>
          <w:rFonts w:ascii="Arial Narrow" w:eastAsia="Calibri" w:hAnsi="Arial Narrow"/>
        </w:rPr>
      </w:pPr>
      <w:r w:rsidRPr="00173E7B">
        <w:rPr>
          <w:rFonts w:ascii="Arial Narrow" w:eastAsia="Calibri" w:hAnsi="Arial Narrow"/>
        </w:rPr>
        <w:t>S ohledem na výše uvedené grafy zachycující skokový nárůst podílu žen ve skupině osob s jinou než českou státní příslušností lze předpokládat, že v roce 2022 došlo také k výraznější změn</w:t>
      </w:r>
      <w:r w:rsidR="0059493A" w:rsidRPr="00173E7B">
        <w:rPr>
          <w:rFonts w:ascii="Arial Narrow" w:eastAsia="Calibri" w:hAnsi="Arial Narrow"/>
        </w:rPr>
        <w:t xml:space="preserve">ě </w:t>
      </w:r>
      <w:r w:rsidRPr="00173E7B">
        <w:rPr>
          <w:rFonts w:ascii="Arial Narrow" w:eastAsia="Calibri" w:hAnsi="Arial Narrow"/>
        </w:rPr>
        <w:t>v</w:t>
      </w:r>
      <w:r w:rsidR="0059493A" w:rsidRPr="00173E7B">
        <w:rPr>
          <w:rFonts w:ascii="Arial Narrow" w:eastAsia="Calibri" w:hAnsi="Arial Narrow"/>
        </w:rPr>
        <w:t>e</w:t>
      </w:r>
      <w:r w:rsidRPr="00173E7B">
        <w:rPr>
          <w:rFonts w:ascii="Arial Narrow" w:eastAsia="Calibri" w:hAnsi="Arial Narrow"/>
        </w:rPr>
        <w:t xml:space="preserve"> věkové struktuře</w:t>
      </w:r>
      <w:r w:rsidR="0059493A" w:rsidRPr="00173E7B">
        <w:rPr>
          <w:rFonts w:ascii="Arial Narrow" w:eastAsia="Calibri" w:hAnsi="Arial Narrow"/>
        </w:rPr>
        <w:t xml:space="preserve"> mužů</w:t>
      </w:r>
      <w:r w:rsidRPr="00173E7B">
        <w:rPr>
          <w:rFonts w:ascii="Arial Narrow" w:eastAsia="Calibri" w:hAnsi="Arial Narrow"/>
        </w:rPr>
        <w:t>. Veřejně dostupná data za rok 2022 nebyla v době odevzdání této aktualizované zprávy k dispozici.</w:t>
      </w:r>
    </w:p>
    <w:p w14:paraId="4E0DCA11" w14:textId="6E0E8672" w:rsidR="00F1264F" w:rsidRDefault="002D35EA" w:rsidP="002D35EA">
      <w:pPr>
        <w:pStyle w:val="Titulek"/>
        <w:keepNext/>
        <w:spacing w:after="0"/>
        <w:jc w:val="both"/>
        <w:rPr>
          <w:rFonts w:ascii="Arial Narrow" w:hAnsi="Arial Narrow"/>
          <w:color w:val="auto"/>
          <w:sz w:val="20"/>
          <w:szCs w:val="20"/>
        </w:rPr>
      </w:pPr>
      <w:bookmarkStart w:id="181" w:name="_Toc94443726"/>
      <w:bookmarkStart w:id="182" w:name="_Toc136428866"/>
      <w:r w:rsidRPr="00CE357F">
        <w:rPr>
          <w:rFonts w:ascii="Arial Narrow" w:hAnsi="Arial Narrow"/>
          <w:color w:val="auto"/>
          <w:sz w:val="20"/>
          <w:szCs w:val="20"/>
        </w:rPr>
        <w:lastRenderedPageBreak/>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22</w:t>
      </w:r>
      <w:r w:rsidR="00B63C25">
        <w:rPr>
          <w:rFonts w:ascii="Arial Narrow" w:hAnsi="Arial Narrow"/>
          <w:color w:val="auto"/>
          <w:sz w:val="20"/>
          <w:szCs w:val="20"/>
        </w:rPr>
        <w:fldChar w:fldCharType="end"/>
      </w:r>
      <w:r w:rsidRPr="00CE357F">
        <w:rPr>
          <w:rFonts w:ascii="Arial Narrow" w:hAnsi="Arial Narrow"/>
          <w:color w:val="auto"/>
          <w:sz w:val="20"/>
          <w:szCs w:val="20"/>
        </w:rPr>
        <w:t>: Vývoj podílu mužů na celkovém počtu osob s jinou než českou státní příslušností podle věku v letech 2005</w:t>
      </w:r>
      <w:r w:rsidR="003F6E2F" w:rsidRPr="00CE357F">
        <w:rPr>
          <w:rFonts w:ascii="Arial Narrow" w:hAnsi="Arial Narrow"/>
          <w:color w:val="auto"/>
          <w:sz w:val="20"/>
          <w:szCs w:val="20"/>
        </w:rPr>
        <w:t>–</w:t>
      </w:r>
      <w:r w:rsidRPr="00CE357F">
        <w:rPr>
          <w:rFonts w:ascii="Arial Narrow" w:hAnsi="Arial Narrow"/>
          <w:color w:val="auto"/>
          <w:sz w:val="20"/>
          <w:szCs w:val="20"/>
        </w:rPr>
        <w:t>202</w:t>
      </w:r>
      <w:bookmarkEnd w:id="181"/>
      <w:r w:rsidR="005369EA">
        <w:rPr>
          <w:rFonts w:ascii="Arial Narrow" w:hAnsi="Arial Narrow"/>
          <w:color w:val="auto"/>
          <w:sz w:val="20"/>
          <w:szCs w:val="20"/>
        </w:rPr>
        <w:t>1</w:t>
      </w:r>
      <w:bookmarkEnd w:id="182"/>
    </w:p>
    <w:p w14:paraId="020DBAC2" w14:textId="72114668" w:rsidR="00F1264F" w:rsidRPr="00CE357F" w:rsidRDefault="00FB4894" w:rsidP="7CC7BF57">
      <w:pPr>
        <w:spacing w:line="276" w:lineRule="auto"/>
        <w:jc w:val="both"/>
        <w:rPr>
          <w:rFonts w:ascii="Arial Narrow" w:hAnsi="Arial Narrow"/>
          <w:noProof/>
        </w:rPr>
      </w:pPr>
      <w:r w:rsidRPr="00CE357F">
        <w:rPr>
          <w:rFonts w:ascii="Arial Narrow" w:hAnsi="Arial Narrow"/>
          <w:bCs/>
          <w:noProof/>
          <w:lang w:eastAsia="cs-CZ"/>
        </w:rPr>
        <w:drawing>
          <wp:inline distT="0" distB="0" distL="0" distR="0" wp14:anchorId="1BC6F97F" wp14:editId="48D2A1B8">
            <wp:extent cx="5760720" cy="2872105"/>
            <wp:effectExtent l="0" t="0" r="11430" b="444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88FEA41" w14:textId="59AEAF34" w:rsidR="002D35EA" w:rsidRPr="00CE357F" w:rsidRDefault="000909E0" w:rsidP="002D35EA">
      <w:pPr>
        <w:spacing w:line="276" w:lineRule="auto"/>
        <w:rPr>
          <w:rFonts w:ascii="Arial Narrow" w:eastAsia="Calibri" w:hAnsi="Arial Narrow"/>
          <w:bCs/>
        </w:rPr>
      </w:pPr>
      <w:r>
        <w:rPr>
          <w:rFonts w:ascii="Arial Narrow" w:hAnsi="Arial Narrow"/>
          <w:sz w:val="20"/>
          <w:szCs w:val="20"/>
        </w:rPr>
        <w:t>Zdroj: Český statistický úřad</w:t>
      </w:r>
      <w:r w:rsidR="002D35EA" w:rsidRPr="00CE357F">
        <w:rPr>
          <w:rFonts w:ascii="Arial Narrow" w:hAnsi="Arial Narrow"/>
          <w:sz w:val="20"/>
          <w:szCs w:val="20"/>
        </w:rPr>
        <w:t xml:space="preserve"> (data platná k 31. 12. daného roku) </w:t>
      </w:r>
      <w:r w:rsidR="002D35EA" w:rsidRPr="00CE357F">
        <w:rPr>
          <w:rFonts w:ascii="Arial Narrow" w:hAnsi="Arial Narrow"/>
          <w:sz w:val="20"/>
          <w:szCs w:val="20"/>
        </w:rPr>
        <w:tab/>
      </w:r>
      <w:r w:rsidR="002D35EA" w:rsidRPr="00CE357F">
        <w:rPr>
          <w:rFonts w:ascii="Arial Narrow" w:hAnsi="Arial Narrow"/>
          <w:sz w:val="20"/>
          <w:szCs w:val="20"/>
        </w:rPr>
        <w:tab/>
      </w:r>
      <w:r w:rsidR="002D35EA" w:rsidRPr="00CE357F">
        <w:rPr>
          <w:rFonts w:ascii="Arial Narrow" w:hAnsi="Arial Narrow"/>
          <w:sz w:val="20"/>
          <w:szCs w:val="20"/>
        </w:rPr>
        <w:tab/>
        <w:t xml:space="preserve">          Graf: AUGUR </w:t>
      </w:r>
      <w:proofErr w:type="spellStart"/>
      <w:r w:rsidR="002D35EA" w:rsidRPr="00CE357F">
        <w:rPr>
          <w:rFonts w:ascii="Arial Narrow" w:hAnsi="Arial Narrow"/>
          <w:sz w:val="20"/>
          <w:szCs w:val="20"/>
        </w:rPr>
        <w:t>Consulting</w:t>
      </w:r>
      <w:proofErr w:type="spellEnd"/>
      <w:r w:rsidR="002D35EA" w:rsidRPr="00CE357F">
        <w:rPr>
          <w:rFonts w:ascii="Arial Narrow" w:hAnsi="Arial Narrow"/>
          <w:sz w:val="20"/>
          <w:szCs w:val="20"/>
        </w:rPr>
        <w:t xml:space="preserve"> </w:t>
      </w:r>
      <w:proofErr w:type="spellStart"/>
      <w:r w:rsidR="002D35EA" w:rsidRPr="00CE357F">
        <w:rPr>
          <w:rFonts w:ascii="Arial Narrow" w:hAnsi="Arial Narrow"/>
          <w:sz w:val="20"/>
          <w:szCs w:val="20"/>
        </w:rPr>
        <w:t>s.r.o</w:t>
      </w:r>
      <w:proofErr w:type="spellEnd"/>
    </w:p>
    <w:p w14:paraId="2F9E555F" w14:textId="77777777" w:rsidR="00F1264F" w:rsidRPr="00CE357F" w:rsidRDefault="00F1264F" w:rsidP="00F1264F">
      <w:pPr>
        <w:spacing w:line="276" w:lineRule="auto"/>
        <w:jc w:val="both"/>
        <w:rPr>
          <w:rFonts w:ascii="Arial Narrow" w:hAnsi="Arial Narrow"/>
          <w:bCs/>
          <w:noProof/>
        </w:rPr>
      </w:pPr>
    </w:p>
    <w:p w14:paraId="1FFB871E" w14:textId="7A1EA7B1" w:rsidR="00E568AB" w:rsidRPr="00CE357F" w:rsidRDefault="00E568AB" w:rsidP="00E568AB">
      <w:pPr>
        <w:rPr>
          <w:rFonts w:ascii="Arial Narrow" w:hAnsi="Arial Narrow"/>
          <w:b/>
          <w:bCs/>
        </w:rPr>
      </w:pPr>
      <w:r w:rsidRPr="00CE357F">
        <w:rPr>
          <w:rFonts w:ascii="Arial Narrow" w:hAnsi="Arial Narrow"/>
          <w:b/>
          <w:bCs/>
          <w:color w:val="C00000"/>
        </w:rPr>
        <w:t>Osoby s jinou než českou státní příslušností v letech 2005-202</w:t>
      </w:r>
      <w:r w:rsidR="00A013FD">
        <w:rPr>
          <w:rFonts w:ascii="Arial Narrow" w:hAnsi="Arial Narrow"/>
          <w:b/>
          <w:bCs/>
          <w:color w:val="C00000"/>
        </w:rPr>
        <w:t>1</w:t>
      </w:r>
      <w:r w:rsidRPr="00CE357F">
        <w:rPr>
          <w:rFonts w:ascii="Arial Narrow" w:hAnsi="Arial Narrow"/>
          <w:b/>
          <w:bCs/>
          <w:color w:val="C00000"/>
        </w:rPr>
        <w:t xml:space="preserve"> v Jihomoravském kraji podle věku</w:t>
      </w:r>
    </w:p>
    <w:p w14:paraId="00FA5E2D" w14:textId="77777777" w:rsidR="00E568AB" w:rsidRPr="00CE357F" w:rsidRDefault="00E568AB" w:rsidP="00F1264F">
      <w:pPr>
        <w:spacing w:line="276" w:lineRule="auto"/>
        <w:jc w:val="both"/>
        <w:rPr>
          <w:rFonts w:ascii="Arial Narrow" w:hAnsi="Arial Narrow"/>
          <w:bCs/>
          <w:noProof/>
        </w:rPr>
      </w:pPr>
    </w:p>
    <w:p w14:paraId="49B6AD89" w14:textId="58F1A004" w:rsidR="00E81FC9" w:rsidRPr="00CE357F" w:rsidRDefault="00747333" w:rsidP="003F6E2F">
      <w:pPr>
        <w:spacing w:after="120" w:line="276" w:lineRule="auto"/>
        <w:jc w:val="both"/>
        <w:rPr>
          <w:rFonts w:ascii="Arial Narrow" w:hAnsi="Arial Narrow"/>
          <w:bCs/>
          <w:noProof/>
        </w:rPr>
      </w:pPr>
      <w:bookmarkStart w:id="183" w:name="_Hlk95485844"/>
      <w:r w:rsidRPr="00CE357F">
        <w:rPr>
          <w:rFonts w:ascii="Arial Narrow" w:hAnsi="Arial Narrow"/>
          <w:bCs/>
          <w:noProof/>
        </w:rPr>
        <w:t xml:space="preserve">Podíváme-li se na dostupná data týkající se věkové struktury osob s jinou než českou státní příslušností na území Jihomoravského kraje, </w:t>
      </w:r>
      <w:r w:rsidR="00443B0E" w:rsidRPr="00CE357F">
        <w:rPr>
          <w:rFonts w:ascii="Arial Narrow" w:hAnsi="Arial Narrow"/>
          <w:bCs/>
          <w:noProof/>
        </w:rPr>
        <w:t>oproti celorepublikovému průměru žije na území Jihomoravského kraje vyšší podíl osob v produktivním věku, který se však meziročně snižuje. Zatímco v roce 2005 bylo 90,7 % všech osob s jinou než českou státní příslušností žijících na území Jihomoravského kraje v produktivním věku, v roce 202</w:t>
      </w:r>
      <w:r w:rsidR="00A013FD">
        <w:rPr>
          <w:rFonts w:ascii="Arial Narrow" w:hAnsi="Arial Narrow"/>
          <w:bCs/>
          <w:noProof/>
        </w:rPr>
        <w:t>1</w:t>
      </w:r>
      <w:r w:rsidR="00443B0E" w:rsidRPr="00CE357F">
        <w:rPr>
          <w:rFonts w:ascii="Arial Narrow" w:hAnsi="Arial Narrow"/>
          <w:bCs/>
          <w:noProof/>
        </w:rPr>
        <w:t xml:space="preserve"> to bylo </w:t>
      </w:r>
      <w:r w:rsidR="00A013FD">
        <w:rPr>
          <w:rFonts w:ascii="Arial Narrow" w:hAnsi="Arial Narrow"/>
          <w:bCs/>
          <w:noProof/>
        </w:rPr>
        <w:br/>
      </w:r>
      <w:r w:rsidR="00443B0E" w:rsidRPr="00CE357F">
        <w:rPr>
          <w:rFonts w:ascii="Arial Narrow" w:hAnsi="Arial Narrow"/>
          <w:bCs/>
          <w:noProof/>
        </w:rPr>
        <w:t>8</w:t>
      </w:r>
      <w:r w:rsidR="00A013FD">
        <w:rPr>
          <w:rFonts w:ascii="Arial Narrow" w:hAnsi="Arial Narrow"/>
          <w:bCs/>
          <w:noProof/>
        </w:rPr>
        <w:t>7</w:t>
      </w:r>
      <w:r w:rsidR="00443B0E" w:rsidRPr="00CE357F">
        <w:rPr>
          <w:rFonts w:ascii="Arial Narrow" w:hAnsi="Arial Narrow"/>
          <w:bCs/>
          <w:noProof/>
        </w:rPr>
        <w:t>,</w:t>
      </w:r>
      <w:r w:rsidR="00A013FD">
        <w:rPr>
          <w:rFonts w:ascii="Arial Narrow" w:hAnsi="Arial Narrow"/>
          <w:bCs/>
          <w:noProof/>
        </w:rPr>
        <w:t>3</w:t>
      </w:r>
      <w:r w:rsidR="00443B0E" w:rsidRPr="00CE357F">
        <w:rPr>
          <w:rFonts w:ascii="Arial Narrow" w:hAnsi="Arial Narrow"/>
          <w:bCs/>
          <w:noProof/>
        </w:rPr>
        <w:t xml:space="preserve"> %</w:t>
      </w:r>
      <w:r w:rsidR="00E81FC9" w:rsidRPr="00CE357F">
        <w:rPr>
          <w:rFonts w:ascii="Arial Narrow" w:hAnsi="Arial Narrow"/>
          <w:bCs/>
          <w:noProof/>
        </w:rPr>
        <w:t xml:space="preserve">. Rychlost nárůstu podílu dětí a osob v seniorském věku s jinou než českou státní příslušností v Jihomoravském kraji je srovnatelná s nárůstem podílu těchto skupin z hlediska celorepublikového průměru. </w:t>
      </w:r>
    </w:p>
    <w:bookmarkEnd w:id="183"/>
    <w:p w14:paraId="38BF2D8B" w14:textId="1FBCFA93" w:rsidR="001C34E6" w:rsidRPr="00CE357F" w:rsidRDefault="00E81FC9" w:rsidP="00A12884">
      <w:pPr>
        <w:spacing w:after="120" w:line="276" w:lineRule="auto"/>
        <w:jc w:val="both"/>
        <w:rPr>
          <w:rFonts w:ascii="Arial Narrow" w:hAnsi="Arial Narrow"/>
          <w:bCs/>
          <w:noProof/>
        </w:rPr>
      </w:pPr>
      <w:r w:rsidRPr="00CE357F">
        <w:rPr>
          <w:rFonts w:ascii="Arial Narrow" w:hAnsi="Arial Narrow"/>
          <w:bCs/>
          <w:noProof/>
        </w:rPr>
        <w:t>Věkovou strukturu osob s jinou než českou státní příslušností v Jihomoravském kraji v jednotlivých letech dokumentují následující grafy</w:t>
      </w:r>
      <w:r w:rsidR="007226E2">
        <w:rPr>
          <w:rFonts w:ascii="Arial Narrow" w:hAnsi="Arial Narrow"/>
          <w:bCs/>
          <w:noProof/>
        </w:rPr>
        <w:t xml:space="preserve"> č. 23 a 24</w:t>
      </w:r>
      <w:r w:rsidRPr="00CE357F">
        <w:rPr>
          <w:rFonts w:ascii="Arial Narrow" w:hAnsi="Arial Narrow"/>
          <w:bCs/>
          <w:noProof/>
        </w:rPr>
        <w:t>.</w:t>
      </w:r>
    </w:p>
    <w:p w14:paraId="395DF85B" w14:textId="41E77484" w:rsidR="001C34E6" w:rsidRPr="00CE357F" w:rsidRDefault="00E568AB" w:rsidP="00E568AB">
      <w:pPr>
        <w:pStyle w:val="Titulek"/>
        <w:keepNext/>
        <w:spacing w:after="0"/>
        <w:jc w:val="both"/>
        <w:rPr>
          <w:rFonts w:ascii="Arial Narrow" w:hAnsi="Arial Narrow"/>
          <w:sz w:val="20"/>
          <w:szCs w:val="20"/>
        </w:rPr>
      </w:pPr>
      <w:bookmarkStart w:id="184" w:name="_Toc94443727"/>
      <w:bookmarkStart w:id="185" w:name="_Toc136428867"/>
      <w:r w:rsidRPr="00CE357F">
        <w:rPr>
          <w:rFonts w:ascii="Arial Narrow" w:hAnsi="Arial Narrow"/>
          <w:color w:val="auto"/>
          <w:sz w:val="20"/>
          <w:szCs w:val="20"/>
        </w:rPr>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23</w:t>
      </w:r>
      <w:r w:rsidR="00B63C25">
        <w:rPr>
          <w:rFonts w:ascii="Arial Narrow" w:hAnsi="Arial Narrow"/>
          <w:color w:val="auto"/>
          <w:sz w:val="20"/>
          <w:szCs w:val="20"/>
        </w:rPr>
        <w:fldChar w:fldCharType="end"/>
      </w:r>
      <w:r w:rsidRPr="00CE357F">
        <w:rPr>
          <w:rFonts w:ascii="Arial Narrow" w:hAnsi="Arial Narrow"/>
          <w:color w:val="auto"/>
          <w:sz w:val="20"/>
          <w:szCs w:val="20"/>
        </w:rPr>
        <w:t>: Věková struktura osob s jinou než českou státní příslušností v Jihomoravském kraji v jednotlivých letech</w:t>
      </w:r>
      <w:bookmarkEnd w:id="184"/>
      <w:bookmarkEnd w:id="185"/>
    </w:p>
    <w:p w14:paraId="56C259F5" w14:textId="2E05D729" w:rsidR="001C34E6" w:rsidRPr="00CE357F" w:rsidRDefault="00A013FD" w:rsidP="7CC7BF57">
      <w:pPr>
        <w:spacing w:line="276" w:lineRule="auto"/>
        <w:jc w:val="both"/>
        <w:rPr>
          <w:rFonts w:ascii="Arial Narrow" w:hAnsi="Arial Narrow"/>
          <w:noProof/>
        </w:rPr>
      </w:pPr>
      <w:r w:rsidRPr="00CE357F">
        <w:rPr>
          <w:rFonts w:ascii="Arial Narrow" w:eastAsia="Calibri" w:hAnsi="Arial Narrow"/>
          <w:bCs/>
          <w:noProof/>
          <w:lang w:eastAsia="cs-CZ"/>
        </w:rPr>
        <w:drawing>
          <wp:inline distT="0" distB="0" distL="0" distR="0" wp14:anchorId="311C0428" wp14:editId="3310BD76">
            <wp:extent cx="5760720" cy="2552700"/>
            <wp:effectExtent l="0" t="0" r="0" b="0"/>
            <wp:docPr id="2128" name="Graf 2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0B8C4F9" w14:textId="6890506E" w:rsidR="00E568AB" w:rsidRDefault="00E568AB" w:rsidP="00CD500D">
      <w:pPr>
        <w:spacing w:after="240" w:line="276" w:lineRule="auto"/>
        <w:rPr>
          <w:rFonts w:ascii="Arial Narrow" w:hAnsi="Arial Narrow"/>
          <w:sz w:val="20"/>
          <w:szCs w:val="20"/>
        </w:rPr>
      </w:pPr>
      <w:r w:rsidRPr="00CE357F">
        <w:rPr>
          <w:rFonts w:ascii="Arial Narrow" w:hAnsi="Arial Narrow"/>
          <w:sz w:val="20"/>
          <w:szCs w:val="20"/>
        </w:rPr>
        <w:t>Zdroj: Č</w:t>
      </w:r>
      <w:r w:rsidR="000909E0">
        <w:rPr>
          <w:rFonts w:ascii="Arial Narrow" w:hAnsi="Arial Narrow"/>
          <w:sz w:val="20"/>
          <w:szCs w:val="20"/>
        </w:rPr>
        <w:t>eský statistický úřad</w:t>
      </w:r>
      <w:r w:rsidRPr="00CE357F">
        <w:rPr>
          <w:rFonts w:ascii="Arial Narrow" w:hAnsi="Arial Narrow"/>
          <w:sz w:val="20"/>
          <w:szCs w:val="20"/>
        </w:rPr>
        <w:t xml:space="preserve"> (data platná k 31. 12. daného roku) </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w:t>
      </w:r>
      <w:proofErr w:type="spellStart"/>
      <w:r w:rsidRPr="00CE357F">
        <w:rPr>
          <w:rFonts w:ascii="Arial Narrow" w:hAnsi="Arial Narrow"/>
          <w:sz w:val="20"/>
          <w:szCs w:val="20"/>
        </w:rPr>
        <w:t>s.r.o</w:t>
      </w:r>
      <w:proofErr w:type="spellEnd"/>
    </w:p>
    <w:p w14:paraId="222386DE" w14:textId="5AAE8618" w:rsidR="001C34E6" w:rsidRPr="00CE357F" w:rsidRDefault="00E568AB" w:rsidP="00E568AB">
      <w:pPr>
        <w:pStyle w:val="Titulek"/>
        <w:keepNext/>
        <w:spacing w:after="0"/>
        <w:jc w:val="both"/>
        <w:rPr>
          <w:rFonts w:ascii="Arial Narrow" w:hAnsi="Arial Narrow"/>
          <w:sz w:val="20"/>
          <w:szCs w:val="20"/>
        </w:rPr>
      </w:pPr>
      <w:bookmarkStart w:id="186" w:name="_Toc94443728"/>
      <w:bookmarkStart w:id="187" w:name="_Toc136428868"/>
      <w:r w:rsidRPr="00CE357F">
        <w:rPr>
          <w:rFonts w:ascii="Arial Narrow" w:hAnsi="Arial Narrow"/>
          <w:color w:val="auto"/>
          <w:sz w:val="20"/>
          <w:szCs w:val="20"/>
        </w:rPr>
        <w:lastRenderedPageBreak/>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24</w:t>
      </w:r>
      <w:r w:rsidR="00B63C25">
        <w:rPr>
          <w:rFonts w:ascii="Arial Narrow" w:hAnsi="Arial Narrow"/>
          <w:color w:val="auto"/>
          <w:sz w:val="20"/>
          <w:szCs w:val="20"/>
        </w:rPr>
        <w:fldChar w:fldCharType="end"/>
      </w:r>
      <w:r w:rsidRPr="00CE357F">
        <w:rPr>
          <w:rFonts w:ascii="Arial Narrow" w:hAnsi="Arial Narrow"/>
          <w:color w:val="auto"/>
          <w:sz w:val="20"/>
          <w:szCs w:val="20"/>
        </w:rPr>
        <w:t xml:space="preserve">: Vývoj podílu osob s jinou než českou státní </w:t>
      </w:r>
      <w:r w:rsidR="003F6E2F" w:rsidRPr="00CE357F">
        <w:rPr>
          <w:rFonts w:ascii="Arial Narrow" w:hAnsi="Arial Narrow"/>
          <w:color w:val="auto"/>
          <w:sz w:val="20"/>
          <w:szCs w:val="20"/>
        </w:rPr>
        <w:t>příslušností</w:t>
      </w:r>
      <w:r w:rsidRPr="00CE357F">
        <w:rPr>
          <w:rFonts w:ascii="Arial Narrow" w:hAnsi="Arial Narrow"/>
          <w:color w:val="auto"/>
          <w:sz w:val="20"/>
          <w:szCs w:val="20"/>
        </w:rPr>
        <w:t xml:space="preserve"> v Jihomoravském kraji na celkovém počtu těchto osob v letech 2005</w:t>
      </w:r>
      <w:r w:rsidR="003F6E2F" w:rsidRPr="00CE357F">
        <w:rPr>
          <w:rFonts w:ascii="Arial Narrow" w:hAnsi="Arial Narrow"/>
          <w:color w:val="auto"/>
          <w:sz w:val="20"/>
          <w:szCs w:val="20"/>
        </w:rPr>
        <w:t>–</w:t>
      </w:r>
      <w:r w:rsidRPr="00CE357F">
        <w:rPr>
          <w:rFonts w:ascii="Arial Narrow" w:hAnsi="Arial Narrow"/>
          <w:color w:val="auto"/>
          <w:sz w:val="20"/>
          <w:szCs w:val="20"/>
        </w:rPr>
        <w:t>202</w:t>
      </w:r>
      <w:bookmarkEnd w:id="186"/>
      <w:r w:rsidR="00A013FD">
        <w:rPr>
          <w:rFonts w:ascii="Arial Narrow" w:hAnsi="Arial Narrow"/>
          <w:color w:val="auto"/>
          <w:sz w:val="20"/>
          <w:szCs w:val="20"/>
        </w:rPr>
        <w:t>1</w:t>
      </w:r>
      <w:bookmarkEnd w:id="187"/>
    </w:p>
    <w:p w14:paraId="516C5404" w14:textId="1D34343A" w:rsidR="001C34E6" w:rsidRPr="00CE357F" w:rsidRDefault="00A013FD" w:rsidP="7CC7BF57">
      <w:pPr>
        <w:spacing w:line="276" w:lineRule="auto"/>
        <w:jc w:val="both"/>
        <w:rPr>
          <w:rFonts w:ascii="Arial Narrow" w:hAnsi="Arial Narrow"/>
          <w:noProof/>
        </w:rPr>
      </w:pPr>
      <w:r w:rsidRPr="00CE357F">
        <w:rPr>
          <w:rFonts w:ascii="Arial Narrow" w:hAnsi="Arial Narrow"/>
          <w:bCs/>
          <w:noProof/>
          <w:lang w:eastAsia="cs-CZ"/>
        </w:rPr>
        <w:drawing>
          <wp:inline distT="0" distB="0" distL="0" distR="0" wp14:anchorId="76C45C2D" wp14:editId="2B48B0B8">
            <wp:extent cx="5760720" cy="3104318"/>
            <wp:effectExtent l="0" t="0" r="11430" b="1270"/>
            <wp:docPr id="2129" name="Graf 2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CC34D3" w14:textId="44E8E5B4" w:rsidR="00AF1C96" w:rsidRPr="00CE357F" w:rsidRDefault="000909E0" w:rsidP="00FD7458">
      <w:pPr>
        <w:spacing w:after="240" w:line="276" w:lineRule="auto"/>
        <w:rPr>
          <w:rFonts w:ascii="Arial Narrow" w:hAnsi="Arial Narrow"/>
          <w:sz w:val="20"/>
          <w:szCs w:val="20"/>
        </w:rPr>
      </w:pPr>
      <w:r>
        <w:rPr>
          <w:rFonts w:ascii="Arial Narrow" w:hAnsi="Arial Narrow"/>
          <w:sz w:val="20"/>
          <w:szCs w:val="20"/>
        </w:rPr>
        <w:t>Zdroj: Český statistický úřad</w:t>
      </w:r>
      <w:r w:rsidR="00E568AB" w:rsidRPr="00CE357F">
        <w:rPr>
          <w:rFonts w:ascii="Arial Narrow" w:hAnsi="Arial Narrow"/>
          <w:sz w:val="20"/>
          <w:szCs w:val="20"/>
        </w:rPr>
        <w:t xml:space="preserve"> (data </w:t>
      </w:r>
      <w:r>
        <w:rPr>
          <w:rFonts w:ascii="Arial Narrow" w:hAnsi="Arial Narrow"/>
          <w:sz w:val="20"/>
          <w:szCs w:val="20"/>
        </w:rPr>
        <w:t xml:space="preserve">platná k 31. 12. daného roku) </w:t>
      </w:r>
      <w:r>
        <w:rPr>
          <w:rFonts w:ascii="Arial Narrow" w:hAnsi="Arial Narrow"/>
          <w:sz w:val="20"/>
          <w:szCs w:val="20"/>
        </w:rPr>
        <w:tab/>
      </w:r>
      <w:r w:rsidR="00E568AB" w:rsidRPr="00CE357F">
        <w:rPr>
          <w:rFonts w:ascii="Arial Narrow" w:hAnsi="Arial Narrow"/>
          <w:sz w:val="20"/>
          <w:szCs w:val="20"/>
        </w:rPr>
        <w:tab/>
        <w:t xml:space="preserve"> </w:t>
      </w:r>
      <w:r w:rsidR="00E568AB" w:rsidRPr="00CE357F">
        <w:rPr>
          <w:rFonts w:ascii="Arial Narrow" w:hAnsi="Arial Narrow"/>
          <w:sz w:val="20"/>
          <w:szCs w:val="20"/>
        </w:rPr>
        <w:tab/>
        <w:t xml:space="preserve">          Graf: AUGUR </w:t>
      </w:r>
      <w:proofErr w:type="spellStart"/>
      <w:r w:rsidR="00E568AB" w:rsidRPr="00CE357F">
        <w:rPr>
          <w:rFonts w:ascii="Arial Narrow" w:hAnsi="Arial Narrow"/>
          <w:sz w:val="20"/>
          <w:szCs w:val="20"/>
        </w:rPr>
        <w:t>Consulting</w:t>
      </w:r>
      <w:proofErr w:type="spellEnd"/>
      <w:r w:rsidR="00E568AB" w:rsidRPr="00CE357F">
        <w:rPr>
          <w:rFonts w:ascii="Arial Narrow" w:hAnsi="Arial Narrow"/>
          <w:sz w:val="20"/>
          <w:szCs w:val="20"/>
        </w:rPr>
        <w:t xml:space="preserve"> </w:t>
      </w:r>
      <w:proofErr w:type="spellStart"/>
      <w:r w:rsidR="00E568AB" w:rsidRPr="00CE357F">
        <w:rPr>
          <w:rFonts w:ascii="Arial Narrow" w:hAnsi="Arial Narrow"/>
          <w:sz w:val="20"/>
          <w:szCs w:val="20"/>
        </w:rPr>
        <w:t>s.r.o</w:t>
      </w:r>
      <w:proofErr w:type="spellEnd"/>
    </w:p>
    <w:p w14:paraId="115B53B6" w14:textId="77777777" w:rsidR="00A013FD" w:rsidRPr="00A013FD" w:rsidRDefault="00A013FD" w:rsidP="00A013FD">
      <w:pPr>
        <w:spacing w:after="240" w:line="276" w:lineRule="auto"/>
        <w:jc w:val="both"/>
        <w:rPr>
          <w:rFonts w:ascii="Arial Narrow" w:eastAsia="Calibri" w:hAnsi="Arial Narrow"/>
          <w:b/>
        </w:rPr>
      </w:pPr>
      <w:r w:rsidRPr="00377E54">
        <w:rPr>
          <w:rFonts w:ascii="Arial Narrow" w:eastAsia="Calibri" w:hAnsi="Arial Narrow"/>
          <w:b/>
        </w:rPr>
        <w:t xml:space="preserve">Údaje za rok 2022 nebyly k datu odevzdání aktualizované závěrečné zprávy k dispozici. Je však možné očekávat změny ve věkové struktuře osob s jinou než českou státní příslušností na území </w:t>
      </w:r>
      <w:r>
        <w:rPr>
          <w:rFonts w:ascii="Arial Narrow" w:eastAsia="Calibri" w:hAnsi="Arial Narrow"/>
          <w:b/>
        </w:rPr>
        <w:t>Jihomoravského kraje</w:t>
      </w:r>
      <w:r w:rsidRPr="00377E54">
        <w:rPr>
          <w:rFonts w:ascii="Arial Narrow" w:eastAsia="Calibri" w:hAnsi="Arial Narrow"/>
          <w:b/>
        </w:rPr>
        <w:t xml:space="preserve"> v návaznosti na migraci z důvodu konfliktu na Ukrajině.  </w:t>
      </w:r>
    </w:p>
    <w:p w14:paraId="2F1BD00D" w14:textId="40442589" w:rsidR="003F6E2F" w:rsidRPr="00173E7B" w:rsidRDefault="461DD00E" w:rsidP="003F6E2F">
      <w:pPr>
        <w:spacing w:after="120" w:line="276" w:lineRule="auto"/>
        <w:jc w:val="both"/>
        <w:rPr>
          <w:rFonts w:ascii="Arial Narrow" w:hAnsi="Arial Narrow"/>
        </w:rPr>
      </w:pPr>
      <w:r w:rsidRPr="00173E7B">
        <w:rPr>
          <w:rFonts w:ascii="Arial Narrow" w:hAnsi="Arial Narrow"/>
        </w:rPr>
        <w:t>Podíváme-li se na průměrný věk osob s jinou než českou státní příslušností žijících na území České republiky a Jihomoravského kraje, nejvyšší průměrný věk u této skupiny osob byl k 31. 12. 202</w:t>
      </w:r>
      <w:r w:rsidR="00CD500D" w:rsidRPr="00173E7B">
        <w:rPr>
          <w:rFonts w:ascii="Arial Narrow" w:hAnsi="Arial Narrow"/>
        </w:rPr>
        <w:t>1</w:t>
      </w:r>
      <w:r w:rsidRPr="00173E7B">
        <w:rPr>
          <w:rFonts w:ascii="Arial Narrow" w:hAnsi="Arial Narrow"/>
        </w:rPr>
        <w:t xml:space="preserve"> zaznamenán v příhraničních okresech</w:t>
      </w:r>
      <w:r w:rsidR="1DA9DFCC" w:rsidRPr="00173E7B">
        <w:rPr>
          <w:rFonts w:ascii="Arial Narrow" w:hAnsi="Arial Narrow"/>
        </w:rPr>
        <w:t xml:space="preserve"> České republiky. </w:t>
      </w:r>
    </w:p>
    <w:p w14:paraId="0F53D51D" w14:textId="22B4FB75" w:rsidR="003F6E2F" w:rsidRPr="00173E7B" w:rsidRDefault="1DA9DFCC" w:rsidP="003F6E2F">
      <w:pPr>
        <w:spacing w:after="120" w:line="276" w:lineRule="auto"/>
        <w:jc w:val="both"/>
        <w:rPr>
          <w:rFonts w:ascii="Arial Narrow" w:hAnsi="Arial Narrow"/>
        </w:rPr>
      </w:pPr>
      <w:r w:rsidRPr="00173E7B">
        <w:rPr>
          <w:rFonts w:ascii="Arial Narrow" w:hAnsi="Arial Narrow"/>
        </w:rPr>
        <w:t xml:space="preserve">V rámci Jihomoravského kraje byl k tomuto datu evidován různý průměrný věk osob s jinou než českou státní příslušností v rámci jednotlivých okresů. </w:t>
      </w:r>
      <w:bookmarkStart w:id="188" w:name="_Hlk95485992"/>
      <w:r w:rsidRPr="00173E7B">
        <w:rPr>
          <w:rFonts w:ascii="Arial Narrow" w:hAnsi="Arial Narrow"/>
        </w:rPr>
        <w:t xml:space="preserve">Okres Brno-město patří k okresům s nejnižším průměrným věkem této skupiny obyvatel, tj. méně než 36 let. </w:t>
      </w:r>
      <w:r w:rsidR="6D774346" w:rsidRPr="00173E7B">
        <w:rPr>
          <w:rFonts w:ascii="Arial Narrow" w:hAnsi="Arial Narrow"/>
        </w:rPr>
        <w:t>K 31. 12. 202</w:t>
      </w:r>
      <w:r w:rsidR="00CD500D" w:rsidRPr="00173E7B">
        <w:rPr>
          <w:rFonts w:ascii="Arial Narrow" w:hAnsi="Arial Narrow"/>
        </w:rPr>
        <w:t>1</w:t>
      </w:r>
      <w:r w:rsidR="6D774346" w:rsidRPr="00173E7B">
        <w:rPr>
          <w:rFonts w:ascii="Arial Narrow" w:hAnsi="Arial Narrow"/>
        </w:rPr>
        <w:t xml:space="preserve"> byl okres Brno-město evidován jako okres s nejnižším průměrným věkem (34,</w:t>
      </w:r>
      <w:r w:rsidR="00CD500D" w:rsidRPr="00173E7B">
        <w:rPr>
          <w:rFonts w:ascii="Arial Narrow" w:hAnsi="Arial Narrow"/>
        </w:rPr>
        <w:t>5</w:t>
      </w:r>
      <w:r w:rsidR="6D774346" w:rsidRPr="00173E7B">
        <w:rPr>
          <w:rFonts w:ascii="Arial Narrow" w:hAnsi="Arial Narrow"/>
        </w:rPr>
        <w:t xml:space="preserve"> </w:t>
      </w:r>
      <w:r w:rsidR="00E1651D" w:rsidRPr="00173E7B">
        <w:rPr>
          <w:rFonts w:ascii="Arial Narrow" w:hAnsi="Arial Narrow"/>
        </w:rPr>
        <w:t>let</w:t>
      </w:r>
      <w:r w:rsidR="6D774346" w:rsidRPr="00173E7B">
        <w:rPr>
          <w:rFonts w:ascii="Arial Narrow" w:hAnsi="Arial Narrow"/>
        </w:rPr>
        <w:t xml:space="preserve">) osob s jinou než českou státní příslušností v rámci srovnání se všemi okresy České republiky. </w:t>
      </w:r>
      <w:bookmarkEnd w:id="188"/>
      <w:r w:rsidRPr="00173E7B">
        <w:rPr>
          <w:rFonts w:ascii="Arial Narrow" w:hAnsi="Arial Narrow"/>
        </w:rPr>
        <w:t>Okresy Brno-venkov a Blansko evidují průměrný věk této skupiny osob 36,01 – 38,00 let. Ve středních hodnotách, tedy s průměrným věkem 38,01-40,00 let, byl evidován okres Vyškov. V příhraničních okresech Znojmo, Břeclav a Hodonín byl evidován průměr</w:t>
      </w:r>
      <w:r w:rsidR="6D774346" w:rsidRPr="00173E7B">
        <w:rPr>
          <w:rFonts w:ascii="Arial Narrow" w:hAnsi="Arial Narrow"/>
        </w:rPr>
        <w:t>ný věk 40,01-42,00 let, tedy o 5</w:t>
      </w:r>
      <w:r w:rsidRPr="00173E7B">
        <w:rPr>
          <w:rFonts w:ascii="Arial Narrow" w:hAnsi="Arial Narrow"/>
        </w:rPr>
        <w:t xml:space="preserve"> a více let více než například v rámci okresu Brno-město</w:t>
      </w:r>
      <w:r w:rsidR="007226E2" w:rsidRPr="00173E7B">
        <w:rPr>
          <w:rFonts w:ascii="Arial Narrow" w:hAnsi="Arial Narrow"/>
        </w:rPr>
        <w:t xml:space="preserve"> (obrázek č. 8)</w:t>
      </w:r>
      <w:r w:rsidRPr="00173E7B">
        <w:rPr>
          <w:rFonts w:ascii="Arial Narrow" w:hAnsi="Arial Narrow"/>
        </w:rPr>
        <w:t xml:space="preserve">. </w:t>
      </w:r>
    </w:p>
    <w:p w14:paraId="7771D94B" w14:textId="05771691" w:rsidR="003F6E2F" w:rsidRPr="00173E7B" w:rsidRDefault="00E5297A" w:rsidP="00CD500D">
      <w:pPr>
        <w:spacing w:after="120" w:line="276" w:lineRule="auto"/>
        <w:jc w:val="both"/>
        <w:rPr>
          <w:rFonts w:ascii="Arial Narrow" w:hAnsi="Arial Narrow"/>
        </w:rPr>
      </w:pPr>
      <w:r w:rsidRPr="00173E7B">
        <w:rPr>
          <w:rFonts w:ascii="Arial Narrow" w:hAnsi="Arial Narrow"/>
        </w:rPr>
        <w:t>Průměrný věk osob s jinou než českou státní příslušností dle jednotlivých okresů České republiky</w:t>
      </w:r>
      <w:r w:rsidR="00BB2FBA" w:rsidRPr="00173E7B">
        <w:rPr>
          <w:rFonts w:ascii="Arial Narrow" w:hAnsi="Arial Narrow"/>
        </w:rPr>
        <w:t xml:space="preserve"> a Jihomoravského kraje</w:t>
      </w:r>
      <w:r w:rsidR="00A013FD" w:rsidRPr="00173E7B">
        <w:rPr>
          <w:rFonts w:ascii="Arial Narrow" w:hAnsi="Arial Narrow"/>
        </w:rPr>
        <w:t xml:space="preserve"> v roce 2021</w:t>
      </w:r>
      <w:r w:rsidRPr="00173E7B">
        <w:rPr>
          <w:rFonts w:ascii="Arial Narrow" w:hAnsi="Arial Narrow"/>
        </w:rPr>
        <w:t xml:space="preserve"> podrobně dokumentu</w:t>
      </w:r>
      <w:r w:rsidR="00BB2FBA" w:rsidRPr="00173E7B">
        <w:rPr>
          <w:rFonts w:ascii="Arial Narrow" w:hAnsi="Arial Narrow"/>
        </w:rPr>
        <w:t>jí</w:t>
      </w:r>
      <w:r w:rsidRPr="00173E7B">
        <w:rPr>
          <w:rFonts w:ascii="Arial Narrow" w:hAnsi="Arial Narrow"/>
        </w:rPr>
        <w:t xml:space="preserve"> následující map</w:t>
      </w:r>
      <w:r w:rsidR="00BB2FBA" w:rsidRPr="00173E7B">
        <w:rPr>
          <w:rFonts w:ascii="Arial Narrow" w:hAnsi="Arial Narrow"/>
        </w:rPr>
        <w:t>y</w:t>
      </w:r>
      <w:r w:rsidRPr="00173E7B">
        <w:rPr>
          <w:rFonts w:ascii="Arial Narrow" w:hAnsi="Arial Narrow"/>
        </w:rPr>
        <w:t>.</w:t>
      </w:r>
      <w:r w:rsidR="00A013FD" w:rsidRPr="00173E7B">
        <w:rPr>
          <w:rFonts w:ascii="Arial Narrow" w:hAnsi="Arial Narrow"/>
        </w:rPr>
        <w:t xml:space="preserve"> Údaje za rok 2022 nebyly k datu odevzdání aktualizované závěrečné zprávy k dispozici.</w:t>
      </w:r>
    </w:p>
    <w:p w14:paraId="175D2E12" w14:textId="77777777" w:rsidR="007226E2" w:rsidRPr="00173E7B" w:rsidRDefault="007226E2" w:rsidP="2645E051">
      <w:pPr>
        <w:rPr>
          <w:rFonts w:ascii="Arial Narrow" w:hAnsi="Arial Narrow"/>
          <w:b/>
          <w:bCs/>
          <w:sz w:val="20"/>
          <w:szCs w:val="20"/>
        </w:rPr>
      </w:pPr>
      <w:bookmarkStart w:id="189" w:name="_Toc136429292"/>
    </w:p>
    <w:p w14:paraId="2E6FB10C" w14:textId="77777777" w:rsidR="007226E2" w:rsidRPr="00173E7B" w:rsidRDefault="007226E2" w:rsidP="2645E051">
      <w:pPr>
        <w:rPr>
          <w:rFonts w:ascii="Arial Narrow" w:hAnsi="Arial Narrow"/>
          <w:b/>
          <w:bCs/>
          <w:sz w:val="20"/>
          <w:szCs w:val="20"/>
        </w:rPr>
      </w:pPr>
    </w:p>
    <w:p w14:paraId="16138115" w14:textId="77777777" w:rsidR="007226E2" w:rsidRPr="00173E7B" w:rsidRDefault="007226E2" w:rsidP="2645E051">
      <w:pPr>
        <w:rPr>
          <w:rFonts w:ascii="Arial Narrow" w:hAnsi="Arial Narrow"/>
          <w:b/>
          <w:bCs/>
          <w:sz w:val="20"/>
          <w:szCs w:val="20"/>
        </w:rPr>
      </w:pPr>
    </w:p>
    <w:p w14:paraId="45CC6D83" w14:textId="77777777" w:rsidR="007226E2" w:rsidRPr="00173E7B" w:rsidRDefault="007226E2" w:rsidP="2645E051">
      <w:pPr>
        <w:rPr>
          <w:rFonts w:ascii="Arial Narrow" w:hAnsi="Arial Narrow"/>
          <w:b/>
          <w:bCs/>
          <w:sz w:val="20"/>
          <w:szCs w:val="20"/>
        </w:rPr>
      </w:pPr>
    </w:p>
    <w:p w14:paraId="575FB806" w14:textId="77777777" w:rsidR="007226E2" w:rsidRPr="00173E7B" w:rsidRDefault="007226E2" w:rsidP="2645E051">
      <w:pPr>
        <w:rPr>
          <w:rFonts w:ascii="Arial Narrow" w:hAnsi="Arial Narrow"/>
          <w:b/>
          <w:bCs/>
          <w:sz w:val="20"/>
          <w:szCs w:val="20"/>
        </w:rPr>
      </w:pPr>
    </w:p>
    <w:p w14:paraId="0AAD99E6" w14:textId="77777777" w:rsidR="007226E2" w:rsidRPr="00173E7B" w:rsidRDefault="007226E2" w:rsidP="2645E051">
      <w:pPr>
        <w:rPr>
          <w:rFonts w:ascii="Arial Narrow" w:hAnsi="Arial Narrow"/>
          <w:b/>
          <w:bCs/>
          <w:sz w:val="20"/>
          <w:szCs w:val="20"/>
        </w:rPr>
      </w:pPr>
    </w:p>
    <w:p w14:paraId="31756651" w14:textId="77777777" w:rsidR="007226E2" w:rsidRPr="00173E7B" w:rsidRDefault="007226E2" w:rsidP="2645E051">
      <w:pPr>
        <w:rPr>
          <w:rFonts w:ascii="Arial Narrow" w:hAnsi="Arial Narrow"/>
          <w:b/>
          <w:bCs/>
          <w:sz w:val="20"/>
          <w:szCs w:val="20"/>
        </w:rPr>
      </w:pPr>
    </w:p>
    <w:p w14:paraId="43598B34" w14:textId="77777777" w:rsidR="007226E2" w:rsidRPr="00173E7B" w:rsidRDefault="007226E2" w:rsidP="2645E051">
      <w:pPr>
        <w:rPr>
          <w:rFonts w:ascii="Arial Narrow" w:hAnsi="Arial Narrow"/>
          <w:b/>
          <w:bCs/>
          <w:sz w:val="20"/>
          <w:szCs w:val="20"/>
        </w:rPr>
      </w:pPr>
    </w:p>
    <w:p w14:paraId="2A18679E" w14:textId="7FE30591" w:rsidR="00E5297A" w:rsidRDefault="00E5297A" w:rsidP="2645E051">
      <w:pPr>
        <w:rPr>
          <w:rFonts w:ascii="Arial Narrow" w:hAnsi="Arial Narrow"/>
          <w:b/>
          <w:bCs/>
          <w:sz w:val="20"/>
          <w:szCs w:val="20"/>
        </w:rPr>
      </w:pPr>
      <w:r w:rsidRPr="00173E7B">
        <w:rPr>
          <w:rFonts w:ascii="Arial Narrow" w:hAnsi="Arial Narrow"/>
          <w:b/>
          <w:bCs/>
          <w:sz w:val="20"/>
          <w:szCs w:val="20"/>
        </w:rPr>
        <w:lastRenderedPageBreak/>
        <w:t xml:space="preserve">Obrázek </w:t>
      </w:r>
      <w:r w:rsidRPr="00173E7B">
        <w:rPr>
          <w:rFonts w:ascii="Arial Narrow" w:hAnsi="Arial Narrow"/>
          <w:b/>
          <w:bCs/>
          <w:sz w:val="20"/>
          <w:szCs w:val="20"/>
        </w:rPr>
        <w:fldChar w:fldCharType="begin"/>
      </w:r>
      <w:r w:rsidRPr="00173E7B">
        <w:rPr>
          <w:rFonts w:ascii="Arial Narrow" w:hAnsi="Arial Narrow"/>
          <w:b/>
          <w:bCs/>
          <w:sz w:val="20"/>
          <w:szCs w:val="20"/>
        </w:rPr>
        <w:instrText xml:space="preserve"> SEQ Obrázek \* ARABIC </w:instrText>
      </w:r>
      <w:r w:rsidRPr="00173E7B">
        <w:rPr>
          <w:rFonts w:ascii="Arial Narrow" w:hAnsi="Arial Narrow"/>
          <w:b/>
          <w:bCs/>
          <w:sz w:val="20"/>
          <w:szCs w:val="20"/>
        </w:rPr>
        <w:fldChar w:fldCharType="separate"/>
      </w:r>
      <w:r w:rsidR="005B2F6C" w:rsidRPr="00173E7B">
        <w:rPr>
          <w:rFonts w:ascii="Arial Narrow" w:hAnsi="Arial Narrow"/>
          <w:b/>
          <w:bCs/>
          <w:noProof/>
          <w:sz w:val="20"/>
          <w:szCs w:val="20"/>
        </w:rPr>
        <w:t>8</w:t>
      </w:r>
      <w:r w:rsidRPr="00173E7B">
        <w:rPr>
          <w:rFonts w:ascii="Arial Narrow" w:hAnsi="Arial Narrow"/>
          <w:b/>
          <w:bCs/>
          <w:sz w:val="20"/>
          <w:szCs w:val="20"/>
        </w:rPr>
        <w:fldChar w:fldCharType="end"/>
      </w:r>
      <w:r w:rsidRPr="00173E7B">
        <w:rPr>
          <w:rFonts w:ascii="Arial Narrow" w:hAnsi="Arial Narrow"/>
          <w:b/>
          <w:bCs/>
          <w:sz w:val="20"/>
          <w:szCs w:val="20"/>
        </w:rPr>
        <w:t>: Průměrný věk osob s jinou než českou státní příslušností dle okresů ČR k 31. 12. 202</w:t>
      </w:r>
      <w:r w:rsidR="00CD500D" w:rsidRPr="00173E7B">
        <w:rPr>
          <w:rFonts w:ascii="Arial Narrow" w:hAnsi="Arial Narrow"/>
          <w:b/>
          <w:bCs/>
          <w:sz w:val="20"/>
          <w:szCs w:val="20"/>
        </w:rPr>
        <w:t>1</w:t>
      </w:r>
      <w:bookmarkEnd w:id="189"/>
    </w:p>
    <w:p w14:paraId="136D6646" w14:textId="21701C05" w:rsidR="00AF1C96" w:rsidRPr="00CD500D" w:rsidRDefault="00CD500D" w:rsidP="00CD500D">
      <w:pPr>
        <w:rPr>
          <w:rFonts w:ascii="Arial Narrow" w:hAnsi="Arial Narrow"/>
          <w:b/>
          <w:bCs/>
          <w:noProof/>
          <w:color w:val="2F5496" w:themeColor="accent1" w:themeShade="BF"/>
          <w:lang w:eastAsia="cs-CZ"/>
        </w:rPr>
      </w:pPr>
      <w:r w:rsidRPr="00CA4A19">
        <w:rPr>
          <w:rFonts w:ascii="Arial Narrow" w:hAnsi="Arial Narrow"/>
          <w:noProof/>
          <w:sz w:val="20"/>
          <w:szCs w:val="20"/>
          <w:lang w:eastAsia="cs-CZ"/>
        </w:rPr>
        <w:drawing>
          <wp:inline distT="0" distB="0" distL="0" distR="0" wp14:anchorId="17D76BF4" wp14:editId="414CAF0F">
            <wp:extent cx="5760720" cy="3893820"/>
            <wp:effectExtent l="0" t="0" r="0" b="0"/>
            <wp:docPr id="9837763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76332" name=""/>
                    <pic:cNvPicPr/>
                  </pic:nvPicPr>
                  <pic:blipFill>
                    <a:blip r:embed="rId62"/>
                    <a:stretch>
                      <a:fillRect/>
                    </a:stretch>
                  </pic:blipFill>
                  <pic:spPr>
                    <a:xfrm>
                      <a:off x="0" y="0"/>
                      <a:ext cx="5760720" cy="3893820"/>
                    </a:xfrm>
                    <a:prstGeom prst="rect">
                      <a:avLst/>
                    </a:prstGeom>
                  </pic:spPr>
                </pic:pic>
              </a:graphicData>
            </a:graphic>
          </wp:inline>
        </w:drawing>
      </w:r>
    </w:p>
    <w:p w14:paraId="09C6BF23" w14:textId="2BB74347" w:rsidR="00AF1C96" w:rsidRPr="00CE357F" w:rsidRDefault="000909E0" w:rsidP="00FA1902">
      <w:pPr>
        <w:spacing w:line="276" w:lineRule="auto"/>
        <w:rPr>
          <w:rFonts w:ascii="Arial Narrow" w:hAnsi="Arial Narrow"/>
          <w:sz w:val="20"/>
          <w:szCs w:val="20"/>
        </w:rPr>
      </w:pPr>
      <w:r>
        <w:rPr>
          <w:rFonts w:ascii="Arial Narrow" w:hAnsi="Arial Narrow"/>
          <w:sz w:val="20"/>
          <w:szCs w:val="20"/>
        </w:rPr>
        <w:t>Zdroj: Český statistický úřad</w:t>
      </w:r>
      <w:r w:rsidR="00E5297A" w:rsidRPr="00CE357F">
        <w:rPr>
          <w:rFonts w:ascii="Arial Narrow" w:hAnsi="Arial Narrow"/>
          <w:sz w:val="20"/>
          <w:szCs w:val="20"/>
        </w:rPr>
        <w:t xml:space="preserve"> (data platná k 31. 12. 202</w:t>
      </w:r>
      <w:r w:rsidR="00CD500D">
        <w:rPr>
          <w:rFonts w:ascii="Arial Narrow" w:hAnsi="Arial Narrow"/>
          <w:sz w:val="20"/>
          <w:szCs w:val="20"/>
        </w:rPr>
        <w:t>1</w:t>
      </w:r>
      <w:r w:rsidR="00E5297A" w:rsidRPr="00CE357F">
        <w:rPr>
          <w:rFonts w:ascii="Arial Narrow" w:hAnsi="Arial Narrow"/>
          <w:sz w:val="20"/>
          <w:szCs w:val="20"/>
        </w:rPr>
        <w:t>)</w:t>
      </w:r>
    </w:p>
    <w:p w14:paraId="39D9EB51" w14:textId="77777777" w:rsidR="003F6E2F" w:rsidRPr="00CE357F" w:rsidRDefault="003F6E2F" w:rsidP="00FA1902">
      <w:pPr>
        <w:spacing w:line="276" w:lineRule="auto"/>
        <w:rPr>
          <w:rFonts w:ascii="Arial Narrow" w:hAnsi="Arial Narrow"/>
          <w:sz w:val="20"/>
          <w:szCs w:val="20"/>
        </w:rPr>
      </w:pPr>
    </w:p>
    <w:p w14:paraId="1F7A1912" w14:textId="04EC5E18" w:rsidR="00F1264F" w:rsidRPr="00CE357F" w:rsidRDefault="00FA1902" w:rsidP="00856205">
      <w:pPr>
        <w:pStyle w:val="Nadpis3"/>
      </w:pPr>
      <w:bookmarkStart w:id="190" w:name="_Toc136876076"/>
      <w:r w:rsidRPr="00CE357F">
        <w:t>Osoby s jin</w:t>
      </w:r>
      <w:r w:rsidR="00F1264F" w:rsidRPr="00CE357F">
        <w:t>ou než českou státní příslušností podle kategorie pobytu</w:t>
      </w:r>
      <w:bookmarkEnd w:id="190"/>
    </w:p>
    <w:p w14:paraId="2A2098D7" w14:textId="77777777" w:rsidR="00F1264F" w:rsidRPr="00CE357F" w:rsidRDefault="00F1264F" w:rsidP="00F1264F">
      <w:pPr>
        <w:rPr>
          <w:rFonts w:ascii="Arial Narrow" w:hAnsi="Arial Narrow"/>
        </w:rPr>
      </w:pPr>
    </w:p>
    <w:p w14:paraId="23DB6E32" w14:textId="77777777" w:rsidR="00E41360" w:rsidRDefault="00E41360" w:rsidP="00F1264F">
      <w:pPr>
        <w:spacing w:line="276" w:lineRule="auto"/>
        <w:rPr>
          <w:rFonts w:ascii="Arial Narrow" w:hAnsi="Arial Narrow"/>
          <w:bCs/>
        </w:rPr>
      </w:pPr>
    </w:p>
    <w:p w14:paraId="059FC614" w14:textId="77777777" w:rsidR="003B0497" w:rsidRDefault="003252FD" w:rsidP="003B0497">
      <w:pPr>
        <w:spacing w:after="120" w:line="276" w:lineRule="auto"/>
        <w:jc w:val="both"/>
        <w:rPr>
          <w:rFonts w:ascii="Arial Narrow" w:hAnsi="Arial Narrow"/>
          <w:bCs/>
        </w:rPr>
      </w:pPr>
      <w:r w:rsidRPr="00AE66E1">
        <w:rPr>
          <w:rFonts w:ascii="Arial Narrow" w:hAnsi="Arial Narrow"/>
          <w:bCs/>
        </w:rPr>
        <w:t xml:space="preserve">Mezi legálně pobývající cizince jsou podle zákona č. 326/199 Sb., o pobytu cizinců, ve znění pozdějších úprav, zahrnuti jak občané tzv. třetích zemí, tak občané EU, kteří získali v České republice povolení k </w:t>
      </w:r>
      <w:r w:rsidRPr="003252FD">
        <w:rPr>
          <w:rFonts w:ascii="Arial Narrow" w:hAnsi="Arial Narrow"/>
          <w:b/>
        </w:rPr>
        <w:t>trvalému pobytu</w:t>
      </w:r>
      <w:r w:rsidRPr="00AE66E1">
        <w:rPr>
          <w:rFonts w:ascii="Arial Narrow" w:hAnsi="Arial Narrow"/>
          <w:bCs/>
        </w:rPr>
        <w:t xml:space="preserve">, občané třetích zemí s </w:t>
      </w:r>
      <w:r w:rsidRPr="003252FD">
        <w:rPr>
          <w:rFonts w:ascii="Arial Narrow" w:hAnsi="Arial Narrow"/>
          <w:b/>
        </w:rPr>
        <w:t>dlouhodobými vízy</w:t>
      </w:r>
      <w:r w:rsidRPr="00AE66E1">
        <w:rPr>
          <w:rFonts w:ascii="Arial Narrow" w:hAnsi="Arial Narrow"/>
          <w:bCs/>
        </w:rPr>
        <w:t xml:space="preserve"> nebo </w:t>
      </w:r>
      <w:r w:rsidRPr="003252FD">
        <w:rPr>
          <w:rFonts w:ascii="Arial Narrow" w:hAnsi="Arial Narrow"/>
          <w:b/>
        </w:rPr>
        <w:t>dlouhodobým pobytem</w:t>
      </w:r>
      <w:r w:rsidRPr="00AE66E1">
        <w:rPr>
          <w:rFonts w:ascii="Arial Narrow" w:hAnsi="Arial Narrow"/>
          <w:bCs/>
        </w:rPr>
        <w:t xml:space="preserve">, jakož i občané EU a jejich rodinní příslušníci s registrovaným </w:t>
      </w:r>
      <w:r w:rsidRPr="003252FD">
        <w:rPr>
          <w:rFonts w:ascii="Arial Narrow" w:hAnsi="Arial Narrow"/>
          <w:b/>
        </w:rPr>
        <w:t>přechodným pobytem</w:t>
      </w:r>
      <w:r w:rsidRPr="00AE66E1">
        <w:rPr>
          <w:rFonts w:ascii="Arial Narrow" w:hAnsi="Arial Narrow"/>
          <w:bCs/>
        </w:rPr>
        <w:t>.</w:t>
      </w:r>
    </w:p>
    <w:p w14:paraId="358A79E5" w14:textId="2AE4643E" w:rsidR="003252FD" w:rsidRPr="003B0497" w:rsidRDefault="003252FD" w:rsidP="003B0497">
      <w:pPr>
        <w:spacing w:after="120" w:line="276" w:lineRule="auto"/>
        <w:jc w:val="both"/>
        <w:rPr>
          <w:rFonts w:ascii="Arial Narrow" w:hAnsi="Arial Narrow"/>
          <w:bCs/>
        </w:rPr>
      </w:pPr>
      <w:r w:rsidRPr="003252FD">
        <w:rPr>
          <w:rFonts w:ascii="Arial Narrow" w:hAnsi="Arial Narrow"/>
          <w:bCs/>
        </w:rPr>
        <w:t xml:space="preserve">Každý, kdo je v zemi původu pronásledován, může po příchodu do České republiky požádat o </w:t>
      </w:r>
      <w:r w:rsidRPr="003252FD">
        <w:rPr>
          <w:rFonts w:ascii="Arial Narrow" w:hAnsi="Arial Narrow"/>
          <w:b/>
        </w:rPr>
        <w:t>mezinárodní ochranu</w:t>
      </w:r>
      <w:r>
        <w:rPr>
          <w:rFonts w:ascii="Arial Narrow" w:hAnsi="Arial Narrow"/>
          <w:bCs/>
        </w:rPr>
        <w:t>. Ta j</w:t>
      </w:r>
      <w:r w:rsidRPr="003252FD">
        <w:rPr>
          <w:rFonts w:ascii="Arial Narrow" w:hAnsi="Arial Narrow"/>
          <w:bCs/>
        </w:rPr>
        <w:t>e udělena formou azylu nebo doplňkové ochrany.</w:t>
      </w:r>
      <w:r>
        <w:rPr>
          <w:rFonts w:ascii="Arial Narrow" w:hAnsi="Arial Narrow"/>
          <w:bCs/>
        </w:rPr>
        <w:t xml:space="preserve"> </w:t>
      </w:r>
      <w:r w:rsidRPr="003252FD">
        <w:rPr>
          <w:rFonts w:ascii="Arial Narrow" w:hAnsi="Arial Narrow"/>
          <w:bCs/>
        </w:rPr>
        <w:t>Doplňková ochrana je na rozdíl od azylu udělována na dobu určitou</w:t>
      </w:r>
      <w:r>
        <w:rPr>
          <w:rFonts w:ascii="Arial Narrow" w:hAnsi="Arial Narrow"/>
          <w:bCs/>
        </w:rPr>
        <w:t>. P</w:t>
      </w:r>
      <w:r w:rsidRPr="003252FD">
        <w:rPr>
          <w:rFonts w:ascii="Arial Narrow" w:hAnsi="Arial Narrow"/>
          <w:bCs/>
        </w:rPr>
        <w:t xml:space="preserve">o této době je přezkoumáváno, zda trvají důvody, pro které byla udělena. V případě, že důvody trvají, její platnost </w:t>
      </w:r>
      <w:r>
        <w:rPr>
          <w:rFonts w:ascii="Arial Narrow" w:hAnsi="Arial Narrow"/>
          <w:bCs/>
        </w:rPr>
        <w:t xml:space="preserve">je </w:t>
      </w:r>
      <w:r w:rsidRPr="003252FD">
        <w:rPr>
          <w:rFonts w:ascii="Arial Narrow" w:hAnsi="Arial Narrow"/>
          <w:bCs/>
        </w:rPr>
        <w:t>prodloužena.</w:t>
      </w:r>
      <w:r w:rsidR="00F16D8B">
        <w:rPr>
          <w:rFonts w:ascii="Arial Narrow" w:hAnsi="Arial Narrow"/>
          <w:bCs/>
        </w:rPr>
        <w:t xml:space="preserve"> Kromě mezinárodní ochrany může být v České republice požádáno také o dočasnou ochranu. </w:t>
      </w:r>
      <w:r w:rsidR="00F16D8B" w:rsidRPr="00F16D8B">
        <w:rPr>
          <w:rFonts w:ascii="Arial Narrow" w:hAnsi="Arial Narrow"/>
          <w:b/>
        </w:rPr>
        <w:t>Dočasná ochrana</w:t>
      </w:r>
      <w:r w:rsidR="00F16D8B" w:rsidRPr="00F16D8B">
        <w:rPr>
          <w:rFonts w:ascii="Arial Narrow" w:hAnsi="Arial Narrow"/>
          <w:bCs/>
        </w:rPr>
        <w:t xml:space="preserve"> </w:t>
      </w:r>
      <w:r w:rsidR="00F16D8B">
        <w:rPr>
          <w:rFonts w:ascii="Arial Narrow" w:hAnsi="Arial Narrow"/>
          <w:bCs/>
        </w:rPr>
        <w:t xml:space="preserve">je </w:t>
      </w:r>
      <w:r w:rsidR="00F16D8B" w:rsidRPr="00F16D8B">
        <w:rPr>
          <w:rFonts w:ascii="Arial Narrow" w:hAnsi="Arial Narrow"/>
          <w:bCs/>
        </w:rPr>
        <w:t>ochranný institut výjimečné povahy existující vedle mezinárodní ochrany. Smyslem je rychle a účinně reagovat na hromadné přílivy vysídlených osob ze třetích zemí, které se nemohou vrátit do země svého původu. Může se jednat o osoby, které u</w:t>
      </w:r>
      <w:r w:rsidR="007A5B21">
        <w:rPr>
          <w:rFonts w:ascii="Arial Narrow" w:hAnsi="Arial Narrow"/>
          <w:bCs/>
        </w:rPr>
        <w:t>tekly</w:t>
      </w:r>
      <w:r w:rsidR="00F16D8B" w:rsidRPr="00F16D8B">
        <w:rPr>
          <w:rFonts w:ascii="Arial Narrow" w:hAnsi="Arial Narrow"/>
          <w:bCs/>
        </w:rPr>
        <w:t xml:space="preserve"> z oblastí ozbrojených konfliktů nebo endemického násilí, nebo osoby, kterým vážně hrozí systematické nebo obecné porušování lidských práv, či osoby, které se staly oběťmi takového porušování lidských práv</w:t>
      </w:r>
      <w:r w:rsidR="00F16D8B">
        <w:rPr>
          <w:rFonts w:ascii="Arial Narrow" w:hAnsi="Arial Narrow"/>
          <w:bCs/>
        </w:rPr>
        <w:t>.</w:t>
      </w:r>
    </w:p>
    <w:p w14:paraId="28498F92" w14:textId="7BAD008D" w:rsidR="00D0534E" w:rsidRDefault="00F1264F" w:rsidP="00F16D8B">
      <w:pPr>
        <w:spacing w:after="120" w:line="276" w:lineRule="auto"/>
        <w:jc w:val="both"/>
        <w:rPr>
          <w:rFonts w:ascii="Arial Narrow" w:hAnsi="Arial Narrow"/>
          <w:bCs/>
        </w:rPr>
      </w:pPr>
      <w:r w:rsidRPr="00CE357F">
        <w:rPr>
          <w:rFonts w:ascii="Arial Narrow" w:hAnsi="Arial Narrow"/>
          <w:bCs/>
        </w:rPr>
        <w:t xml:space="preserve">K 31. 12. 2020 žilo na území České republiky celkem 634 790 osob s jinou než českou státní příslušností </w:t>
      </w:r>
      <w:r w:rsidR="00F16D8B">
        <w:rPr>
          <w:rFonts w:ascii="Arial Narrow" w:hAnsi="Arial Narrow"/>
          <w:bCs/>
        </w:rPr>
        <w:t>(včetně azylantů)</w:t>
      </w:r>
      <w:r w:rsidR="00F16D8B" w:rsidRPr="00D0534E">
        <w:rPr>
          <w:rFonts w:ascii="Arial Narrow" w:hAnsi="Arial Narrow"/>
          <w:bCs/>
        </w:rPr>
        <w:t>,</w:t>
      </w:r>
      <w:r w:rsidRPr="00CE357F">
        <w:rPr>
          <w:rFonts w:ascii="Arial Narrow" w:hAnsi="Arial Narrow"/>
          <w:bCs/>
        </w:rPr>
        <w:t xml:space="preserve"> z toho mělo 51,2 % </w:t>
      </w:r>
      <w:r w:rsidR="00AE66E1" w:rsidRPr="00CE357F">
        <w:rPr>
          <w:rFonts w:ascii="Arial Narrow" w:hAnsi="Arial Narrow"/>
          <w:bCs/>
        </w:rPr>
        <w:t xml:space="preserve">těchto osob </w:t>
      </w:r>
      <w:r w:rsidRPr="00CE357F">
        <w:rPr>
          <w:rFonts w:ascii="Arial Narrow" w:hAnsi="Arial Narrow"/>
          <w:bCs/>
        </w:rPr>
        <w:t>trvalý pobyt</w:t>
      </w:r>
      <w:r w:rsidR="00AE66E1">
        <w:rPr>
          <w:rFonts w:ascii="Arial Narrow" w:hAnsi="Arial Narrow"/>
          <w:bCs/>
        </w:rPr>
        <w:t xml:space="preserve"> </w:t>
      </w:r>
      <w:r w:rsidR="00AE66E1" w:rsidRPr="00CE357F">
        <w:rPr>
          <w:rFonts w:ascii="Arial Narrow" w:hAnsi="Arial Narrow"/>
          <w:bCs/>
        </w:rPr>
        <w:t xml:space="preserve">48,8 % těchto osob </w:t>
      </w:r>
      <w:r w:rsidR="00AE66E1">
        <w:rPr>
          <w:rFonts w:ascii="Arial Narrow" w:hAnsi="Arial Narrow"/>
          <w:bCs/>
        </w:rPr>
        <w:t xml:space="preserve">jiný druh pobytu. </w:t>
      </w:r>
    </w:p>
    <w:p w14:paraId="69C4A2B9" w14:textId="77777777" w:rsidR="00F26E6D" w:rsidRDefault="00D0534E" w:rsidP="003B0497">
      <w:pPr>
        <w:shd w:val="clear" w:color="auto" w:fill="D9E2F3" w:themeFill="accent1" w:themeFillTint="33"/>
        <w:spacing w:after="120" w:line="276" w:lineRule="auto"/>
        <w:jc w:val="both"/>
        <w:rPr>
          <w:rFonts w:ascii="Arial Narrow" w:hAnsi="Arial Narrow"/>
          <w:bCs/>
        </w:rPr>
      </w:pPr>
      <w:r w:rsidRPr="00D0534E">
        <w:rPr>
          <w:rFonts w:ascii="Arial Narrow" w:hAnsi="Arial Narrow"/>
          <w:bCs/>
        </w:rPr>
        <w:lastRenderedPageBreak/>
        <w:t>O dva roky později se situace značně proměnila. Na území České republiky legálně žilo k 31. 12. 2022 celkem 1 116 154 osob s jinou než českou státní příslušností</w:t>
      </w:r>
      <w:r w:rsidR="00F16D8B">
        <w:rPr>
          <w:rFonts w:ascii="Arial Narrow" w:hAnsi="Arial Narrow"/>
          <w:bCs/>
        </w:rPr>
        <w:t xml:space="preserve"> (včetně osob využívajících mezinárodní a dočasnou ochranu)</w:t>
      </w:r>
      <w:r w:rsidRPr="00D0534E">
        <w:rPr>
          <w:rFonts w:ascii="Arial Narrow" w:hAnsi="Arial Narrow"/>
          <w:bCs/>
        </w:rPr>
        <w:t xml:space="preserve">, z čehož </w:t>
      </w:r>
      <w:r w:rsidR="00AE66E1" w:rsidRPr="00D0534E">
        <w:rPr>
          <w:rFonts w:ascii="Arial Narrow" w:hAnsi="Arial Narrow"/>
          <w:bCs/>
        </w:rPr>
        <w:t>30 %</w:t>
      </w:r>
      <w:r w:rsidR="00AE66E1">
        <w:rPr>
          <w:rFonts w:ascii="Arial Narrow" w:hAnsi="Arial Narrow"/>
          <w:bCs/>
        </w:rPr>
        <w:t xml:space="preserve"> tvořily</w:t>
      </w:r>
      <w:r w:rsidR="00AE66E1" w:rsidRPr="00D0534E">
        <w:rPr>
          <w:rFonts w:ascii="Arial Narrow" w:hAnsi="Arial Narrow"/>
          <w:bCs/>
        </w:rPr>
        <w:t xml:space="preserve"> osoby s trvalým pobytem</w:t>
      </w:r>
      <w:r w:rsidR="00AE66E1">
        <w:rPr>
          <w:rFonts w:ascii="Arial Narrow" w:hAnsi="Arial Narrow"/>
          <w:bCs/>
        </w:rPr>
        <w:t xml:space="preserve"> a </w:t>
      </w:r>
      <w:r w:rsidRPr="00D0534E">
        <w:rPr>
          <w:rFonts w:ascii="Arial Narrow" w:hAnsi="Arial Narrow"/>
          <w:bCs/>
        </w:rPr>
        <w:t>70 % tvořily osoby s</w:t>
      </w:r>
      <w:r w:rsidR="00AE66E1">
        <w:rPr>
          <w:rFonts w:ascii="Arial Narrow" w:hAnsi="Arial Narrow"/>
          <w:bCs/>
        </w:rPr>
        <w:t xml:space="preserve"> jiným druhem pobytu. </w:t>
      </w:r>
    </w:p>
    <w:p w14:paraId="221D0012" w14:textId="19A208D9" w:rsidR="00D0534E" w:rsidRPr="00173E7B" w:rsidRDefault="31562E84" w:rsidP="7CC7BF57">
      <w:pPr>
        <w:shd w:val="clear" w:color="auto" w:fill="D9E2F3" w:themeFill="accent1" w:themeFillTint="33"/>
        <w:spacing w:after="120" w:line="276" w:lineRule="auto"/>
        <w:jc w:val="both"/>
        <w:rPr>
          <w:rFonts w:ascii="Arial Narrow" w:hAnsi="Arial Narrow"/>
        </w:rPr>
      </w:pPr>
      <w:r w:rsidRPr="7CC7BF57">
        <w:rPr>
          <w:rFonts w:ascii="Arial Narrow" w:hAnsi="Arial Narrow"/>
        </w:rPr>
        <w:t>Celkem bylo v roce 2022 evidováno 1 689 žádostí o mezinárodní ochranu. Z toho byl</w:t>
      </w:r>
      <w:r w:rsidR="004E4899">
        <w:rPr>
          <w:rFonts w:ascii="Arial Narrow" w:hAnsi="Arial Narrow"/>
        </w:rPr>
        <w:t>y</w:t>
      </w:r>
      <w:r w:rsidRPr="7CC7BF57">
        <w:rPr>
          <w:rFonts w:ascii="Arial Narrow" w:hAnsi="Arial Narrow"/>
        </w:rPr>
        <w:t xml:space="preserve"> azyl nebo doplňková ochrana uděleny celkem 481 lidem.</w:t>
      </w:r>
      <w:r w:rsidR="004E4899" w:rsidRPr="004E4899">
        <w:t xml:space="preserve"> </w:t>
      </w:r>
      <w:r w:rsidR="004E4899" w:rsidRPr="00173E7B">
        <w:rPr>
          <w:rFonts w:ascii="Arial Narrow" w:hAnsi="Arial Narrow"/>
        </w:rPr>
        <w:t>Za výrazným nárůstem počtu cizinců na území ČR stojí příchod většího počtu občanů Ukrajiny v důsledku vypuknutí válečného konfliktu. Většině občanů Ukrajiny, kteří přišli v rámci vypuknutí válečného konfliktu (během roků 2022 a 2023) byla udělena tzv. dočasná ochrana</w:t>
      </w:r>
      <w:r w:rsidRPr="00173E7B">
        <w:rPr>
          <w:rFonts w:ascii="Arial Narrow" w:hAnsi="Arial Narrow"/>
        </w:rPr>
        <w:t>.</w:t>
      </w:r>
      <w:r w:rsidR="00C42737" w:rsidRPr="00173E7B">
        <w:rPr>
          <w:rStyle w:val="Znakapoznpodarou"/>
          <w:rFonts w:ascii="Arial Narrow" w:hAnsi="Arial Narrow"/>
        </w:rPr>
        <w:footnoteReference w:id="11"/>
      </w:r>
      <w:r w:rsidRPr="00173E7B">
        <w:rPr>
          <w:rFonts w:ascii="Arial Narrow" w:hAnsi="Arial Narrow"/>
        </w:rPr>
        <w:t xml:space="preserve"> Ke konci roku 2022 bylo v České republice vydáno celkem 473 216 dočasných ochran</w:t>
      </w:r>
      <w:r w:rsidR="004E4899" w:rsidRPr="00173E7B">
        <w:rPr>
          <w:rFonts w:ascii="Arial Narrow" w:hAnsi="Arial Narrow"/>
        </w:rPr>
        <w:t>.</w:t>
      </w:r>
      <w:r w:rsidR="003B0497" w:rsidRPr="00173E7B">
        <w:rPr>
          <w:rStyle w:val="Znakapoznpodarou"/>
          <w:rFonts w:ascii="Arial Narrow" w:hAnsi="Arial Narrow"/>
          <w:sz w:val="20"/>
          <w:szCs w:val="20"/>
        </w:rPr>
        <w:footnoteReference w:id="12"/>
      </w:r>
      <w:r w:rsidR="00011695" w:rsidRPr="00173E7B">
        <w:rPr>
          <w:rFonts w:ascii="Arial Narrow" w:hAnsi="Arial Narrow"/>
        </w:rPr>
        <w:t xml:space="preserve"> Podle dat UNHCR</w:t>
      </w:r>
      <w:r w:rsidR="00011695" w:rsidRPr="00173E7B">
        <w:rPr>
          <w:rStyle w:val="Znakapoznpodarou"/>
          <w:rFonts w:ascii="Arial Narrow" w:hAnsi="Arial Narrow"/>
        </w:rPr>
        <w:footnoteReference w:id="13"/>
      </w:r>
      <w:r w:rsidR="00011695" w:rsidRPr="00173E7B">
        <w:rPr>
          <w:rFonts w:ascii="Arial Narrow" w:hAnsi="Arial Narrow"/>
        </w:rPr>
        <w:t xml:space="preserve"> </w:t>
      </w:r>
      <w:r w:rsidR="00BE2166" w:rsidRPr="00173E7B">
        <w:rPr>
          <w:rFonts w:ascii="Arial Narrow" w:hAnsi="Arial Narrow"/>
        </w:rPr>
        <w:t xml:space="preserve">k 14. 5. 2023 bylo dočasných ochran v ČR vydáno již 519 964 (odpovídá </w:t>
      </w:r>
      <w:r w:rsidR="008F4C54" w:rsidRPr="00173E7B">
        <w:rPr>
          <w:rFonts w:ascii="Arial Narrow" w:hAnsi="Arial Narrow"/>
        </w:rPr>
        <w:t>necelým</w:t>
      </w:r>
      <w:r w:rsidR="00BE2166" w:rsidRPr="00173E7B">
        <w:rPr>
          <w:rFonts w:ascii="Arial Narrow" w:hAnsi="Arial Narrow"/>
        </w:rPr>
        <w:t xml:space="preserve"> 5 % obyvatel ČR </w:t>
      </w:r>
      <w:r w:rsidR="008F4C54" w:rsidRPr="00173E7B">
        <w:rPr>
          <w:rFonts w:ascii="Arial Narrow" w:hAnsi="Arial Narrow"/>
        </w:rPr>
        <w:t>na konci roku</w:t>
      </w:r>
      <w:r w:rsidR="00BE2166" w:rsidRPr="00173E7B">
        <w:rPr>
          <w:rFonts w:ascii="Arial Narrow" w:hAnsi="Arial Narrow"/>
        </w:rPr>
        <w:t xml:space="preserve"> 2022). V porovnání s našimi sousedy ke květnu 2023 – Německo vydalo 945 218 DO</w:t>
      </w:r>
      <w:r w:rsidR="008F4C54" w:rsidRPr="00173E7B">
        <w:rPr>
          <w:rFonts w:ascii="Arial Narrow" w:hAnsi="Arial Narrow"/>
        </w:rPr>
        <w:t xml:space="preserve"> (odpovídá cca 1 % obyvatel Německa v roce 2022)</w:t>
      </w:r>
      <w:r w:rsidR="00BE2166" w:rsidRPr="00173E7B">
        <w:rPr>
          <w:rFonts w:ascii="Arial Narrow" w:hAnsi="Arial Narrow"/>
        </w:rPr>
        <w:t>, Rakousko 97 047 DO</w:t>
      </w:r>
      <w:r w:rsidR="008F4C54" w:rsidRPr="00173E7B">
        <w:rPr>
          <w:rFonts w:ascii="Arial Narrow" w:hAnsi="Arial Narrow"/>
        </w:rPr>
        <w:t xml:space="preserve"> (odpovídá cca 1 % obyvatel Rakouska v roce 2022)</w:t>
      </w:r>
      <w:r w:rsidR="00BE2166" w:rsidRPr="00173E7B">
        <w:rPr>
          <w:rFonts w:ascii="Arial Narrow" w:hAnsi="Arial Narrow"/>
        </w:rPr>
        <w:t>, Polsko 1 605 738 DO</w:t>
      </w:r>
      <w:r w:rsidR="008F4C54" w:rsidRPr="00173E7B">
        <w:rPr>
          <w:rFonts w:ascii="Arial Narrow" w:hAnsi="Arial Narrow"/>
        </w:rPr>
        <w:t xml:space="preserve"> (odpovídá cca 4 % obyvatel Polska v roce 2022)</w:t>
      </w:r>
      <w:r w:rsidR="00BE2166" w:rsidRPr="00173E7B">
        <w:rPr>
          <w:rFonts w:ascii="Arial Narrow" w:hAnsi="Arial Narrow"/>
        </w:rPr>
        <w:t xml:space="preserve"> a Slovensko 116 718 DO</w:t>
      </w:r>
      <w:r w:rsidR="008F4C54" w:rsidRPr="00173E7B">
        <w:rPr>
          <w:rFonts w:ascii="Arial Narrow" w:hAnsi="Arial Narrow"/>
        </w:rPr>
        <w:t xml:space="preserve"> (odpovídá cca 2 % obyvatel Slovenska v roce 2022)</w:t>
      </w:r>
      <w:r w:rsidR="00BE2166" w:rsidRPr="00173E7B">
        <w:rPr>
          <w:rFonts w:ascii="Arial Narrow" w:hAnsi="Arial Narrow"/>
        </w:rPr>
        <w:t xml:space="preserve">. </w:t>
      </w:r>
      <w:r w:rsidR="008F4C54" w:rsidRPr="00173E7B">
        <w:rPr>
          <w:rFonts w:ascii="Arial Narrow" w:hAnsi="Arial Narrow"/>
        </w:rPr>
        <w:t>V porovnání se situací v Evropě v letech 2015</w:t>
      </w:r>
      <w:r w:rsidR="00665D4D" w:rsidRPr="00173E7B">
        <w:rPr>
          <w:rFonts w:ascii="Arial Narrow" w:hAnsi="Arial Narrow"/>
        </w:rPr>
        <w:t xml:space="preserve">-2016 v kontextu války v Sýrii, kdy byla ČR velmi uzavřená, je nyní zemí velice otevřenou a přijala velké množství občanů Ukrajiny v souvislosti s válkou na Ukrajině. </w:t>
      </w:r>
    </w:p>
    <w:p w14:paraId="319BB780" w14:textId="77777777" w:rsidR="00F1264F" w:rsidRPr="00173E7B" w:rsidRDefault="00F1264F" w:rsidP="00F1264F">
      <w:pPr>
        <w:spacing w:line="276" w:lineRule="auto"/>
        <w:rPr>
          <w:rFonts w:ascii="Arial Narrow" w:hAnsi="Arial Narrow"/>
          <w:bCs/>
        </w:rPr>
      </w:pPr>
    </w:p>
    <w:p w14:paraId="3DDB7361" w14:textId="77777777" w:rsidR="00F1264F" w:rsidRPr="00173E7B" w:rsidRDefault="00F1264F" w:rsidP="00F1264F">
      <w:pPr>
        <w:spacing w:after="240" w:line="276" w:lineRule="auto"/>
        <w:rPr>
          <w:rFonts w:ascii="Arial Narrow" w:hAnsi="Arial Narrow"/>
          <w:b/>
          <w:color w:val="C00000"/>
        </w:rPr>
      </w:pPr>
      <w:r w:rsidRPr="00173E7B">
        <w:rPr>
          <w:rFonts w:ascii="Arial Narrow" w:hAnsi="Arial Narrow"/>
          <w:b/>
          <w:color w:val="C00000"/>
        </w:rPr>
        <w:t xml:space="preserve">Osoby ze zemí EU dle kategorie pobytu </w:t>
      </w:r>
    </w:p>
    <w:p w14:paraId="7728398A" w14:textId="17CFED38" w:rsidR="00E41360" w:rsidRPr="00173E7B" w:rsidRDefault="00E41360" w:rsidP="00E41360">
      <w:pPr>
        <w:spacing w:after="120" w:line="276" w:lineRule="auto"/>
        <w:jc w:val="both"/>
        <w:rPr>
          <w:rFonts w:ascii="Arial Narrow" w:hAnsi="Arial Narrow"/>
          <w:bCs/>
          <w:color w:val="FF0000"/>
        </w:rPr>
      </w:pPr>
      <w:r w:rsidRPr="00173E7B">
        <w:rPr>
          <w:rFonts w:ascii="Arial Narrow" w:hAnsi="Arial Narrow"/>
          <w:bCs/>
        </w:rPr>
        <w:t>S ohledem na princip volného pohybu osob a pracovní síly mohou občané EU/EHP/Švýcarska pobývat na území ČR bez víza či jiného povolení pouze na základě svého cestovního dokladu či průkazu totožnosti</w:t>
      </w:r>
      <w:r w:rsidR="0076276F" w:rsidRPr="00173E7B">
        <w:rPr>
          <w:rFonts w:ascii="Arial Narrow" w:hAnsi="Arial Narrow"/>
          <w:bCs/>
        </w:rPr>
        <w:t>, a to po neomezenou dobu.</w:t>
      </w:r>
      <w:r w:rsidR="00E87BFC" w:rsidRPr="00173E7B">
        <w:rPr>
          <w:rFonts w:ascii="Arial Narrow" w:hAnsi="Arial Narrow"/>
          <w:bCs/>
        </w:rPr>
        <w:t xml:space="preserve"> </w:t>
      </w:r>
      <w:r w:rsidRPr="00173E7B">
        <w:rPr>
          <w:rFonts w:ascii="Arial Narrow" w:hAnsi="Arial Narrow"/>
          <w:bCs/>
        </w:rPr>
        <w:t xml:space="preserve">Občané EU a jejich rodinní příslušníci jsou </w:t>
      </w:r>
      <w:r w:rsidR="00E87BFC" w:rsidRPr="00173E7B">
        <w:rPr>
          <w:rFonts w:ascii="Arial Narrow" w:hAnsi="Arial Narrow"/>
          <w:bCs/>
        </w:rPr>
        <w:t xml:space="preserve">však </w:t>
      </w:r>
      <w:r w:rsidRPr="00173E7B">
        <w:rPr>
          <w:rFonts w:ascii="Arial Narrow" w:hAnsi="Arial Narrow"/>
          <w:bCs/>
        </w:rPr>
        <w:t>povinni</w:t>
      </w:r>
      <w:r w:rsidR="0076276F" w:rsidRPr="00173E7B">
        <w:rPr>
          <w:rFonts w:ascii="Arial Narrow" w:hAnsi="Arial Narrow"/>
          <w:bCs/>
        </w:rPr>
        <w:t xml:space="preserve"> se</w:t>
      </w:r>
      <w:r w:rsidR="00E87BFC" w:rsidRPr="00173E7B">
        <w:rPr>
          <w:rFonts w:ascii="Arial Narrow" w:hAnsi="Arial Narrow"/>
          <w:bCs/>
        </w:rPr>
        <w:t xml:space="preserve">, </w:t>
      </w:r>
      <w:r w:rsidRPr="00173E7B">
        <w:rPr>
          <w:rFonts w:ascii="Arial Narrow" w:hAnsi="Arial Narrow"/>
          <w:bCs/>
        </w:rPr>
        <w:t>v případě, že hodlají na území ČR pobývat po dobu delší než 30 dnů, ohlásit inspektorátu cizinecké policie, a to do 30 dnů ode dne vstupu na území.</w:t>
      </w:r>
      <w:r w:rsidR="0076276F" w:rsidRPr="00173E7B">
        <w:rPr>
          <w:rStyle w:val="Znakapoznpodarou"/>
          <w:rFonts w:ascii="Arial Narrow" w:hAnsi="Arial Narrow"/>
          <w:bCs/>
        </w:rPr>
        <w:footnoteReference w:id="14"/>
      </w:r>
    </w:p>
    <w:p w14:paraId="696DDE29" w14:textId="20BAF362" w:rsidR="00E41360" w:rsidRPr="00173E7B" w:rsidRDefault="00E87BFC" w:rsidP="003F6E2F">
      <w:pPr>
        <w:spacing w:after="120" w:line="276" w:lineRule="auto"/>
        <w:jc w:val="both"/>
        <w:rPr>
          <w:rFonts w:ascii="Arial Narrow" w:hAnsi="Arial Narrow"/>
          <w:bCs/>
        </w:rPr>
      </w:pPr>
      <w:r w:rsidRPr="00173E7B">
        <w:rPr>
          <w:rFonts w:ascii="Arial Narrow" w:hAnsi="Arial Narrow"/>
          <w:bCs/>
        </w:rPr>
        <w:t xml:space="preserve">Občané ze zemí EU/EHP/Švýcarska mohou taktéž, v případě splnění daných podmínek, získat povolení k trvalému pobytu na území České republiky. Nejčastěji se jedná o situace, kdy daná osoba žije na území České republiky dlouhodobě, tj. více než 5 let nepřetržitého přechodného pobytu. </w:t>
      </w:r>
    </w:p>
    <w:p w14:paraId="17F73E13" w14:textId="242FB35F" w:rsidR="00D0534E" w:rsidRPr="00173E7B" w:rsidRDefault="003252FD" w:rsidP="2460258F">
      <w:pPr>
        <w:spacing w:after="120" w:line="276" w:lineRule="auto"/>
        <w:jc w:val="both"/>
        <w:rPr>
          <w:rFonts w:ascii="Arial Narrow" w:hAnsi="Arial Narrow"/>
        </w:rPr>
      </w:pPr>
      <w:r w:rsidRPr="00173E7B">
        <w:rPr>
          <w:rFonts w:ascii="Arial Narrow" w:hAnsi="Arial Narrow"/>
          <w:bCs/>
        </w:rPr>
        <w:br/>
      </w:r>
      <w:r w:rsidR="20FE23F1" w:rsidRPr="00173E7B">
        <w:rPr>
          <w:rFonts w:ascii="Arial Narrow" w:hAnsi="Arial Narrow"/>
        </w:rPr>
        <w:t xml:space="preserve">K 31. 12. 2022 žilo v České republice celkem 226 426 osob ze zemí EU, z nichž </w:t>
      </w:r>
      <w:r w:rsidR="4885E47E" w:rsidRPr="00173E7B">
        <w:rPr>
          <w:rFonts w:ascii="Arial Narrow" w:hAnsi="Arial Narrow"/>
        </w:rPr>
        <w:t xml:space="preserve">106 102 osob mělo v České republice trvalý pobyt a </w:t>
      </w:r>
      <w:r w:rsidR="20FE23F1" w:rsidRPr="00173E7B">
        <w:rPr>
          <w:rFonts w:ascii="Arial Narrow" w:hAnsi="Arial Narrow"/>
        </w:rPr>
        <w:t xml:space="preserve">120 324 osob mělo v České republice </w:t>
      </w:r>
      <w:r w:rsidR="4885E47E" w:rsidRPr="00173E7B">
        <w:rPr>
          <w:rFonts w:ascii="Arial Narrow" w:hAnsi="Arial Narrow"/>
        </w:rPr>
        <w:t>jiný druh pobytu</w:t>
      </w:r>
      <w:r w:rsidR="20FE23F1" w:rsidRPr="00173E7B">
        <w:rPr>
          <w:rFonts w:ascii="Arial Narrow" w:hAnsi="Arial Narrow"/>
        </w:rPr>
        <w:t xml:space="preserve">. </w:t>
      </w:r>
      <w:r w:rsidR="4885E47E" w:rsidRPr="00173E7B">
        <w:rPr>
          <w:rFonts w:ascii="Arial Narrow" w:hAnsi="Arial Narrow"/>
        </w:rPr>
        <w:t>Z celkového počtu 106 102 osob, které měly na území České republiky trvalý pobyt, bylo 54 891 mužů (51,7 %) a 51 211 žen (</w:t>
      </w:r>
      <w:r w:rsidR="004E4899" w:rsidRPr="00173E7B">
        <w:rPr>
          <w:rFonts w:ascii="Arial Narrow" w:hAnsi="Arial Narrow"/>
        </w:rPr>
        <w:t>48</w:t>
      </w:r>
      <w:r w:rsidR="4885E47E" w:rsidRPr="00173E7B">
        <w:rPr>
          <w:rFonts w:ascii="Arial Narrow" w:hAnsi="Arial Narrow"/>
        </w:rPr>
        <w:t>,</w:t>
      </w:r>
      <w:r w:rsidR="004E4899" w:rsidRPr="00173E7B">
        <w:rPr>
          <w:rFonts w:ascii="Arial Narrow" w:hAnsi="Arial Narrow"/>
        </w:rPr>
        <w:t>2</w:t>
      </w:r>
      <w:r w:rsidR="4885E47E" w:rsidRPr="00173E7B">
        <w:rPr>
          <w:rFonts w:ascii="Arial Narrow" w:hAnsi="Arial Narrow"/>
        </w:rPr>
        <w:t xml:space="preserve"> %). </w:t>
      </w:r>
      <w:r w:rsidR="20FE23F1" w:rsidRPr="00173E7B">
        <w:rPr>
          <w:rFonts w:ascii="Arial Narrow" w:hAnsi="Arial Narrow"/>
        </w:rPr>
        <w:t xml:space="preserve">Z celkového počtu 120 324 osob, které měly na území České republiky </w:t>
      </w:r>
      <w:r w:rsidR="4885E47E" w:rsidRPr="00173E7B">
        <w:rPr>
          <w:rFonts w:ascii="Arial Narrow" w:hAnsi="Arial Narrow"/>
        </w:rPr>
        <w:t>jiný druh pobytu</w:t>
      </w:r>
      <w:r w:rsidR="20FE23F1" w:rsidRPr="00173E7B">
        <w:rPr>
          <w:rFonts w:ascii="Arial Narrow" w:hAnsi="Arial Narrow"/>
        </w:rPr>
        <w:t xml:space="preserve">, bylo 75 306 mužů (62,6 %) a 45 018 žen (37,4 %). </w:t>
      </w:r>
      <w:r w:rsidR="4885E47E" w:rsidRPr="00173E7B">
        <w:rPr>
          <w:rFonts w:ascii="Arial Narrow" w:hAnsi="Arial Narrow"/>
        </w:rPr>
        <w:t xml:space="preserve"> </w:t>
      </w:r>
    </w:p>
    <w:p w14:paraId="403EDDF5" w14:textId="362F45B8" w:rsidR="00E568AB" w:rsidRPr="00CE357F" w:rsidRDefault="00F1264F" w:rsidP="00D0534E">
      <w:pPr>
        <w:spacing w:after="120" w:line="276" w:lineRule="auto"/>
        <w:jc w:val="both"/>
        <w:rPr>
          <w:rFonts w:ascii="Arial Narrow" w:hAnsi="Arial Narrow"/>
          <w:bCs/>
        </w:rPr>
      </w:pPr>
      <w:r w:rsidRPr="00173E7B">
        <w:rPr>
          <w:rFonts w:ascii="Arial Narrow" w:hAnsi="Arial Narrow"/>
          <w:bCs/>
        </w:rPr>
        <w:t>Osoby s jinou než českou státní příslušností ze zemí EU (</w:t>
      </w:r>
      <w:r w:rsidR="00D0534E" w:rsidRPr="00173E7B">
        <w:rPr>
          <w:rFonts w:ascii="Arial Narrow" w:hAnsi="Arial Narrow"/>
          <w:bCs/>
        </w:rPr>
        <w:t>10</w:t>
      </w:r>
      <w:r w:rsidRPr="00173E7B">
        <w:rPr>
          <w:rFonts w:ascii="Arial Narrow" w:hAnsi="Arial Narrow"/>
          <w:bCs/>
        </w:rPr>
        <w:t xml:space="preserve"> nejčastějších národností) podle kategorie pobytu podrobně dokumentuje následující graf</w:t>
      </w:r>
      <w:r w:rsidR="007226E2" w:rsidRPr="00173E7B">
        <w:rPr>
          <w:rFonts w:ascii="Arial Narrow" w:hAnsi="Arial Narrow"/>
          <w:bCs/>
        </w:rPr>
        <w:t xml:space="preserve"> č. 25</w:t>
      </w:r>
      <w:r w:rsidRPr="00173E7B">
        <w:rPr>
          <w:rFonts w:ascii="Arial Narrow" w:hAnsi="Arial Narrow"/>
          <w:bCs/>
        </w:rPr>
        <w:t>.</w:t>
      </w:r>
      <w:r w:rsidR="00D0534E" w:rsidRPr="00173E7B">
        <w:rPr>
          <w:rFonts w:ascii="Arial Narrow" w:hAnsi="Arial Narrow"/>
          <w:bCs/>
        </w:rPr>
        <w:t xml:space="preserve"> Mezi tyto země byla zařazena také Velká Británie</w:t>
      </w:r>
      <w:r w:rsidR="00735D64" w:rsidRPr="00173E7B">
        <w:rPr>
          <w:rFonts w:ascii="Arial Narrow" w:hAnsi="Arial Narrow"/>
          <w:bCs/>
        </w:rPr>
        <w:t xml:space="preserve">, přestože se od </w:t>
      </w:r>
      <w:r w:rsidR="00735D64" w:rsidRPr="00173E7B">
        <w:rPr>
          <w:rFonts w:ascii="Arial Narrow" w:hAnsi="Arial Narrow"/>
          <w:bCs/>
        </w:rPr>
        <w:br/>
        <w:t xml:space="preserve">31. 1. 2020 nejedná o člena Evropské </w:t>
      </w:r>
      <w:r w:rsidR="00B80715" w:rsidRPr="00173E7B">
        <w:rPr>
          <w:rFonts w:ascii="Arial Narrow" w:hAnsi="Arial Narrow"/>
          <w:bCs/>
        </w:rPr>
        <w:t>u</w:t>
      </w:r>
      <w:r w:rsidR="00735D64" w:rsidRPr="00173E7B">
        <w:rPr>
          <w:rFonts w:ascii="Arial Narrow" w:hAnsi="Arial Narrow"/>
          <w:bCs/>
        </w:rPr>
        <w:t>nie</w:t>
      </w:r>
      <w:r w:rsidR="00D0534E" w:rsidRPr="00173E7B">
        <w:rPr>
          <w:rFonts w:ascii="Arial Narrow" w:hAnsi="Arial Narrow"/>
          <w:bCs/>
        </w:rPr>
        <w:t>.</w:t>
      </w:r>
      <w:r w:rsidR="00D0534E">
        <w:rPr>
          <w:rFonts w:ascii="Arial Narrow" w:hAnsi="Arial Narrow"/>
          <w:bCs/>
        </w:rPr>
        <w:t xml:space="preserve"> </w:t>
      </w:r>
    </w:p>
    <w:p w14:paraId="2049091D" w14:textId="5E1AE8A4" w:rsidR="00F1264F" w:rsidRPr="00CE357F" w:rsidRDefault="00E568AB" w:rsidP="00E568AB">
      <w:pPr>
        <w:pStyle w:val="Titulek"/>
        <w:keepNext/>
        <w:spacing w:after="0"/>
        <w:jc w:val="both"/>
        <w:rPr>
          <w:rFonts w:ascii="Arial Narrow" w:hAnsi="Arial Narrow"/>
          <w:color w:val="auto"/>
          <w:sz w:val="20"/>
          <w:szCs w:val="20"/>
        </w:rPr>
      </w:pPr>
      <w:bookmarkStart w:id="194" w:name="_Toc94443729"/>
      <w:bookmarkStart w:id="195" w:name="_Toc136428869"/>
      <w:r w:rsidRPr="00CE357F">
        <w:rPr>
          <w:rFonts w:ascii="Arial Narrow" w:hAnsi="Arial Narrow"/>
          <w:color w:val="auto"/>
          <w:sz w:val="20"/>
          <w:szCs w:val="20"/>
        </w:rPr>
        <w:lastRenderedPageBreak/>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25</w:t>
      </w:r>
      <w:r w:rsidR="00B63C25">
        <w:rPr>
          <w:rFonts w:ascii="Arial Narrow" w:hAnsi="Arial Narrow"/>
          <w:color w:val="auto"/>
          <w:sz w:val="20"/>
          <w:szCs w:val="20"/>
        </w:rPr>
        <w:fldChar w:fldCharType="end"/>
      </w:r>
      <w:r w:rsidRPr="00CE357F">
        <w:rPr>
          <w:rFonts w:ascii="Arial Narrow" w:hAnsi="Arial Narrow"/>
          <w:color w:val="auto"/>
          <w:sz w:val="20"/>
          <w:szCs w:val="20"/>
        </w:rPr>
        <w:t>: Osoby ze zemí EU dle kategorie pobytu k 31. 12. 202</w:t>
      </w:r>
      <w:r w:rsidR="00D0534E">
        <w:rPr>
          <w:rFonts w:ascii="Arial Narrow" w:hAnsi="Arial Narrow"/>
          <w:color w:val="auto"/>
          <w:sz w:val="20"/>
          <w:szCs w:val="20"/>
        </w:rPr>
        <w:t>2</w:t>
      </w:r>
      <w:r w:rsidRPr="00CE357F">
        <w:rPr>
          <w:rFonts w:ascii="Arial Narrow" w:hAnsi="Arial Narrow"/>
          <w:color w:val="auto"/>
          <w:sz w:val="20"/>
          <w:szCs w:val="20"/>
        </w:rPr>
        <w:t xml:space="preserve"> - TOP </w:t>
      </w:r>
      <w:r w:rsidR="00D0534E">
        <w:rPr>
          <w:rFonts w:ascii="Arial Narrow" w:hAnsi="Arial Narrow"/>
          <w:color w:val="auto"/>
          <w:sz w:val="20"/>
          <w:szCs w:val="20"/>
        </w:rPr>
        <w:t>10</w:t>
      </w:r>
      <w:r w:rsidRPr="00CE357F">
        <w:rPr>
          <w:rFonts w:ascii="Arial Narrow" w:hAnsi="Arial Narrow"/>
          <w:color w:val="auto"/>
          <w:sz w:val="20"/>
          <w:szCs w:val="20"/>
        </w:rPr>
        <w:t xml:space="preserve"> zemí</w:t>
      </w:r>
      <w:bookmarkEnd w:id="194"/>
      <w:bookmarkEnd w:id="195"/>
    </w:p>
    <w:p w14:paraId="2CEF5821" w14:textId="2E0DD1B3" w:rsidR="00F1264F" w:rsidRPr="00CE357F" w:rsidRDefault="00D0534E" w:rsidP="7CC7BF57">
      <w:pPr>
        <w:spacing w:line="276" w:lineRule="auto"/>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inline distT="0" distB="0" distL="0" distR="0" wp14:anchorId="63327A78" wp14:editId="44B1AD32">
            <wp:extent cx="5760720" cy="2743200"/>
            <wp:effectExtent l="0" t="0" r="0" b="0"/>
            <wp:docPr id="2114" name="Graf 2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2054DE4" w14:textId="79CCFC67" w:rsidR="00E568AB" w:rsidRDefault="00E568AB" w:rsidP="00E568AB">
      <w:pPr>
        <w:spacing w:line="276" w:lineRule="auto"/>
        <w:rPr>
          <w:rFonts w:ascii="Arial Narrow" w:hAnsi="Arial Narrow"/>
          <w:sz w:val="20"/>
          <w:szCs w:val="20"/>
        </w:rPr>
      </w:pPr>
      <w:r w:rsidRPr="00CE357F">
        <w:rPr>
          <w:rFonts w:ascii="Arial Narrow" w:hAnsi="Arial Narrow"/>
          <w:sz w:val="20"/>
          <w:szCs w:val="20"/>
        </w:rPr>
        <w:t xml:space="preserve">Zdroj: </w:t>
      </w:r>
      <w:r w:rsidR="00AC736A">
        <w:rPr>
          <w:rFonts w:ascii="Arial Narrow" w:hAnsi="Arial Narrow"/>
          <w:sz w:val="20"/>
          <w:szCs w:val="20"/>
        </w:rPr>
        <w:t>Cizinecký informační systém</w:t>
      </w:r>
      <w:r w:rsidR="00AC736A">
        <w:rPr>
          <w:rFonts w:ascii="Arial Narrow" w:hAnsi="Arial Narrow"/>
          <w:sz w:val="20"/>
          <w:szCs w:val="20"/>
        </w:rPr>
        <w:tab/>
      </w:r>
      <w:r w:rsidR="00AC736A">
        <w:rPr>
          <w:rFonts w:ascii="Arial Narrow" w:hAnsi="Arial Narrow"/>
          <w:sz w:val="20"/>
          <w:szCs w:val="20"/>
        </w:rPr>
        <w:tab/>
      </w:r>
      <w:r w:rsidR="00AC736A">
        <w:rPr>
          <w:rFonts w:ascii="Arial Narrow" w:hAnsi="Arial Narrow"/>
          <w:sz w:val="20"/>
          <w:szCs w:val="20"/>
        </w:rPr>
        <w:tab/>
        <w:t xml:space="preserve"> </w:t>
      </w:r>
      <w:r w:rsidR="00AC736A">
        <w:rPr>
          <w:rFonts w:ascii="Arial Narrow" w:hAnsi="Arial Narrow"/>
          <w:sz w:val="20"/>
          <w:szCs w:val="20"/>
        </w:rPr>
        <w:tab/>
      </w:r>
      <w:r w:rsidR="00AC736A">
        <w:rPr>
          <w:rFonts w:ascii="Arial Narrow" w:hAnsi="Arial Narrow"/>
          <w:sz w:val="20"/>
          <w:szCs w:val="20"/>
        </w:rPr>
        <w:tab/>
      </w:r>
      <w:r w:rsidR="00AC736A">
        <w:rPr>
          <w:rFonts w:ascii="Arial Narrow" w:hAnsi="Arial Narrow"/>
          <w:sz w:val="20"/>
          <w:szCs w:val="20"/>
        </w:rPr>
        <w:tab/>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r w:rsidR="00E87BFC">
        <w:rPr>
          <w:rFonts w:ascii="Arial Narrow" w:hAnsi="Arial Narrow"/>
          <w:sz w:val="20"/>
          <w:szCs w:val="20"/>
        </w:rPr>
        <w:t>.</w:t>
      </w:r>
    </w:p>
    <w:p w14:paraId="77E917E7" w14:textId="77777777" w:rsidR="003252FD" w:rsidRDefault="003252FD" w:rsidP="00F1264F">
      <w:pPr>
        <w:spacing w:line="276" w:lineRule="auto"/>
        <w:rPr>
          <w:rFonts w:ascii="Arial Narrow" w:hAnsi="Arial Narrow"/>
          <w:b/>
          <w:color w:val="C00000"/>
        </w:rPr>
      </w:pPr>
    </w:p>
    <w:p w14:paraId="38E8AAD8" w14:textId="67B723E6" w:rsidR="00F1264F" w:rsidRPr="00CE357F" w:rsidRDefault="00F1264F" w:rsidP="00F1264F">
      <w:pPr>
        <w:spacing w:line="276" w:lineRule="auto"/>
        <w:rPr>
          <w:rFonts w:ascii="Arial Narrow" w:hAnsi="Arial Narrow"/>
          <w:b/>
          <w:color w:val="C00000"/>
        </w:rPr>
      </w:pPr>
      <w:r w:rsidRPr="00EA6957">
        <w:rPr>
          <w:rFonts w:ascii="Arial Narrow" w:hAnsi="Arial Narrow"/>
          <w:b/>
          <w:color w:val="C00000"/>
        </w:rPr>
        <w:t>Osoby ze třetích zemí dle kategorie pobytu</w:t>
      </w:r>
      <w:r w:rsidRPr="00CE357F">
        <w:rPr>
          <w:rFonts w:ascii="Arial Narrow" w:hAnsi="Arial Narrow"/>
          <w:b/>
          <w:color w:val="C00000"/>
        </w:rPr>
        <w:t xml:space="preserve"> </w:t>
      </w:r>
    </w:p>
    <w:p w14:paraId="50EEEBEC" w14:textId="77777777" w:rsidR="00F1264F" w:rsidRPr="00CE357F" w:rsidRDefault="00F1264F" w:rsidP="00F1264F">
      <w:pPr>
        <w:spacing w:line="276" w:lineRule="auto"/>
        <w:rPr>
          <w:rFonts w:ascii="Arial Narrow" w:hAnsi="Arial Narrow"/>
          <w:bCs/>
        </w:rPr>
      </w:pPr>
    </w:p>
    <w:p w14:paraId="6C403BD1" w14:textId="550113C3" w:rsidR="00B56C31" w:rsidRPr="00FA7BD3" w:rsidRDefault="00E87BFC" w:rsidP="00B56C31">
      <w:pPr>
        <w:spacing w:after="120" w:line="276" w:lineRule="auto"/>
        <w:jc w:val="both"/>
        <w:rPr>
          <w:rFonts w:ascii="Arial Narrow" w:hAnsi="Arial Narrow"/>
          <w:bCs/>
        </w:rPr>
      </w:pPr>
      <w:r w:rsidRPr="00FA7BD3">
        <w:rPr>
          <w:rFonts w:ascii="Arial Narrow" w:hAnsi="Arial Narrow"/>
          <w:bCs/>
        </w:rPr>
        <w:t>Osoby s jinou než českou státní příslušností pocházející ze třetích zemí</w:t>
      </w:r>
      <w:r w:rsidR="00B56C31" w:rsidRPr="00FA7BD3">
        <w:rPr>
          <w:rFonts w:ascii="Arial Narrow" w:hAnsi="Arial Narrow"/>
          <w:bCs/>
        </w:rPr>
        <w:t xml:space="preserve"> m</w:t>
      </w:r>
      <w:r w:rsidRPr="00FA7BD3">
        <w:rPr>
          <w:rFonts w:ascii="Arial Narrow" w:hAnsi="Arial Narrow"/>
          <w:bCs/>
        </w:rPr>
        <w:t>ohou</w:t>
      </w:r>
      <w:r w:rsidR="00B56C31" w:rsidRPr="00FA7BD3">
        <w:rPr>
          <w:rFonts w:ascii="Arial Narrow" w:hAnsi="Arial Narrow"/>
          <w:bCs/>
        </w:rPr>
        <w:t xml:space="preserve"> na území ČR pobývat formou přechodného, dlouhodobého a trvalého pobytu.</w:t>
      </w:r>
    </w:p>
    <w:p w14:paraId="3E412C45" w14:textId="7CE5074D" w:rsidR="00CC44CE" w:rsidRPr="00FA7BD3" w:rsidRDefault="00E87BFC" w:rsidP="00CC44CE">
      <w:pPr>
        <w:spacing w:after="120" w:line="276" w:lineRule="auto"/>
        <w:jc w:val="both"/>
        <w:rPr>
          <w:rFonts w:ascii="Arial Narrow" w:hAnsi="Arial Narrow"/>
          <w:bCs/>
        </w:rPr>
      </w:pPr>
      <w:r w:rsidRPr="00FA7BD3">
        <w:rPr>
          <w:rFonts w:ascii="Arial Narrow" w:hAnsi="Arial Narrow"/>
          <w:bCs/>
        </w:rPr>
        <w:t xml:space="preserve">Tyto osoby mohou na území České republiky </w:t>
      </w:r>
      <w:r w:rsidR="00CC44CE" w:rsidRPr="00FA7BD3">
        <w:rPr>
          <w:rFonts w:ascii="Arial Narrow" w:hAnsi="Arial Narrow"/>
          <w:b/>
        </w:rPr>
        <w:t>přechodně</w:t>
      </w:r>
      <w:r w:rsidR="00CC44CE" w:rsidRPr="00FA7BD3">
        <w:rPr>
          <w:rFonts w:ascii="Arial Narrow" w:hAnsi="Arial Narrow"/>
          <w:bCs/>
        </w:rPr>
        <w:t xml:space="preserve"> pobývat bez víza, na základě krátkodobého</w:t>
      </w:r>
      <w:r w:rsidR="00F67E03" w:rsidRPr="00FA7BD3">
        <w:rPr>
          <w:rFonts w:ascii="Arial Narrow" w:hAnsi="Arial Narrow"/>
          <w:bCs/>
        </w:rPr>
        <w:t xml:space="preserve"> či </w:t>
      </w:r>
      <w:r w:rsidR="00CC44CE" w:rsidRPr="00FA7BD3">
        <w:rPr>
          <w:rFonts w:ascii="Arial Narrow" w:hAnsi="Arial Narrow"/>
          <w:bCs/>
        </w:rPr>
        <w:t>dlouhodobého víza, povolení k dlouhodobému nebo přechodnému pobytu nebo na základě výjezdního příkazu.</w:t>
      </w:r>
    </w:p>
    <w:p w14:paraId="2D72DFD5" w14:textId="3230B1E3" w:rsidR="00B56C31" w:rsidRPr="00FA7BD3" w:rsidRDefault="008B0776" w:rsidP="003F6E2F">
      <w:pPr>
        <w:spacing w:after="120" w:line="276" w:lineRule="auto"/>
        <w:jc w:val="both"/>
        <w:rPr>
          <w:rFonts w:ascii="Arial Narrow" w:hAnsi="Arial Narrow"/>
          <w:bCs/>
        </w:rPr>
      </w:pPr>
      <w:r w:rsidRPr="00FA7BD3">
        <w:rPr>
          <w:rFonts w:ascii="Arial Narrow" w:hAnsi="Arial Narrow"/>
          <w:bCs/>
        </w:rPr>
        <w:t>Občané třetích zemí mohou</w:t>
      </w:r>
      <w:r w:rsidR="0090637A" w:rsidRPr="00FA7BD3">
        <w:rPr>
          <w:rFonts w:ascii="Arial Narrow" w:hAnsi="Arial Narrow"/>
          <w:bCs/>
        </w:rPr>
        <w:t>, podobně jako občané EU/EHP a Švýcarska,</w:t>
      </w:r>
      <w:r w:rsidRPr="00FA7BD3">
        <w:rPr>
          <w:rFonts w:ascii="Arial Narrow" w:hAnsi="Arial Narrow"/>
          <w:bCs/>
        </w:rPr>
        <w:t xml:space="preserve"> v případě splnění daných podmínek</w:t>
      </w:r>
      <w:r w:rsidR="0090637A" w:rsidRPr="00FA7BD3">
        <w:rPr>
          <w:rFonts w:ascii="Arial Narrow" w:hAnsi="Arial Narrow"/>
          <w:bCs/>
        </w:rPr>
        <w:t xml:space="preserve"> </w:t>
      </w:r>
      <w:r w:rsidRPr="00FA7BD3">
        <w:rPr>
          <w:rFonts w:ascii="Arial Narrow" w:hAnsi="Arial Narrow"/>
          <w:bCs/>
        </w:rPr>
        <w:t>získat povolení k trvalému pobytu na území České republiky</w:t>
      </w:r>
      <w:r w:rsidR="0090637A" w:rsidRPr="00FA7BD3">
        <w:rPr>
          <w:rFonts w:ascii="Arial Narrow" w:hAnsi="Arial Narrow"/>
          <w:bCs/>
        </w:rPr>
        <w:t xml:space="preserve">. </w:t>
      </w:r>
      <w:r w:rsidR="002E468D" w:rsidRPr="00FA7BD3">
        <w:rPr>
          <w:rFonts w:ascii="Arial Narrow" w:hAnsi="Arial Narrow"/>
          <w:bCs/>
        </w:rPr>
        <w:t>Na rozdíl od občanů EU/EHP/Švýcarska mohou občané třetích zemí získat povolení k trvalému pobytu i bez podmínky předchozího pobytu, a to například v případě, kdy o něj daná osoba žádá z humanitárních či jiných důvodů</w:t>
      </w:r>
      <w:r w:rsidR="00EA6957" w:rsidRPr="00FA7BD3">
        <w:rPr>
          <w:rFonts w:ascii="Arial Narrow" w:hAnsi="Arial Narrow"/>
          <w:bCs/>
        </w:rPr>
        <w:t>.</w:t>
      </w:r>
    </w:p>
    <w:p w14:paraId="2846B04A" w14:textId="67C9ADCC" w:rsidR="00F1264F" w:rsidRPr="00CE357F" w:rsidRDefault="00B80715" w:rsidP="003F6E2F">
      <w:pPr>
        <w:spacing w:after="120" w:line="276" w:lineRule="auto"/>
        <w:jc w:val="both"/>
        <w:rPr>
          <w:rFonts w:ascii="Arial Narrow" w:hAnsi="Arial Narrow"/>
          <w:bCs/>
        </w:rPr>
      </w:pPr>
      <w:r w:rsidRPr="00B80715">
        <w:rPr>
          <w:rFonts w:ascii="Arial Narrow" w:hAnsi="Arial Narrow"/>
          <w:bCs/>
        </w:rPr>
        <w:t>K 31. 12. 202</w:t>
      </w:r>
      <w:r w:rsidR="0060182E">
        <w:rPr>
          <w:rFonts w:ascii="Arial Narrow" w:hAnsi="Arial Narrow"/>
          <w:bCs/>
        </w:rPr>
        <w:t>2</w:t>
      </w:r>
      <w:r w:rsidRPr="00B80715">
        <w:rPr>
          <w:rFonts w:ascii="Arial Narrow" w:hAnsi="Arial Narrow"/>
          <w:bCs/>
        </w:rPr>
        <w:t xml:space="preserve"> žilo v České republice celkem 889 728 osob ze třetích zemí, z nichž </w:t>
      </w:r>
      <w:r w:rsidR="002521D2" w:rsidRPr="00B80715">
        <w:rPr>
          <w:rFonts w:ascii="Arial Narrow" w:hAnsi="Arial Narrow"/>
          <w:bCs/>
        </w:rPr>
        <w:t xml:space="preserve">228 052 osob </w:t>
      </w:r>
      <w:r w:rsidR="002521D2">
        <w:rPr>
          <w:rFonts w:ascii="Arial Narrow" w:hAnsi="Arial Narrow"/>
          <w:bCs/>
        </w:rPr>
        <w:t xml:space="preserve">mělo v ČR </w:t>
      </w:r>
      <w:r w:rsidR="002521D2" w:rsidRPr="00B80715">
        <w:rPr>
          <w:rFonts w:ascii="Arial Narrow" w:hAnsi="Arial Narrow"/>
          <w:bCs/>
        </w:rPr>
        <w:t xml:space="preserve">trvalý pobyt </w:t>
      </w:r>
      <w:r w:rsidR="002521D2">
        <w:rPr>
          <w:rFonts w:ascii="Arial Narrow" w:hAnsi="Arial Narrow"/>
          <w:bCs/>
        </w:rPr>
        <w:t xml:space="preserve">a </w:t>
      </w:r>
      <w:r w:rsidRPr="00B80715">
        <w:rPr>
          <w:rFonts w:ascii="Arial Narrow" w:hAnsi="Arial Narrow"/>
          <w:bCs/>
        </w:rPr>
        <w:t xml:space="preserve">661 676 osob mělo v České republice </w:t>
      </w:r>
      <w:r w:rsidR="00405543">
        <w:rPr>
          <w:rFonts w:ascii="Arial Narrow" w:hAnsi="Arial Narrow"/>
          <w:bCs/>
        </w:rPr>
        <w:t>jiný druh pobytu</w:t>
      </w:r>
      <w:r w:rsidRPr="00B80715">
        <w:rPr>
          <w:rFonts w:ascii="Arial Narrow" w:hAnsi="Arial Narrow"/>
          <w:bCs/>
        </w:rPr>
        <w:t xml:space="preserve">. </w:t>
      </w:r>
      <w:r w:rsidR="00405543" w:rsidRPr="00B80715">
        <w:rPr>
          <w:rFonts w:ascii="Arial Narrow" w:hAnsi="Arial Narrow"/>
          <w:bCs/>
        </w:rPr>
        <w:t>Z celkového počtu 228 052 osob, které měl</w:t>
      </w:r>
      <w:r w:rsidR="00405543">
        <w:rPr>
          <w:rFonts w:ascii="Arial Narrow" w:hAnsi="Arial Narrow"/>
          <w:bCs/>
        </w:rPr>
        <w:t>y</w:t>
      </w:r>
      <w:r w:rsidR="00405543" w:rsidRPr="00B80715">
        <w:rPr>
          <w:rFonts w:ascii="Arial Narrow" w:hAnsi="Arial Narrow"/>
          <w:bCs/>
        </w:rPr>
        <w:t xml:space="preserve"> na území České republiky trvalý pobyt, bylo 121 010 mužů (53,1 %) a 107 042 žen (46,9 %).</w:t>
      </w:r>
      <w:r w:rsidR="00405543">
        <w:rPr>
          <w:rFonts w:ascii="Arial Narrow" w:hAnsi="Arial Narrow"/>
          <w:bCs/>
        </w:rPr>
        <w:t xml:space="preserve"> </w:t>
      </w:r>
      <w:r w:rsidRPr="00B80715">
        <w:rPr>
          <w:rFonts w:ascii="Arial Narrow" w:hAnsi="Arial Narrow"/>
          <w:bCs/>
        </w:rPr>
        <w:t xml:space="preserve">Z celkového počtu </w:t>
      </w:r>
      <w:r w:rsidR="00405543">
        <w:rPr>
          <w:rFonts w:ascii="Arial Narrow" w:hAnsi="Arial Narrow"/>
          <w:bCs/>
        </w:rPr>
        <w:br/>
      </w:r>
      <w:r w:rsidRPr="00B80715">
        <w:rPr>
          <w:rFonts w:ascii="Arial Narrow" w:hAnsi="Arial Narrow"/>
          <w:bCs/>
        </w:rPr>
        <w:t>661 676 osob, které měl</w:t>
      </w:r>
      <w:r w:rsidR="00405543">
        <w:rPr>
          <w:rFonts w:ascii="Arial Narrow" w:hAnsi="Arial Narrow"/>
          <w:bCs/>
        </w:rPr>
        <w:t>y</w:t>
      </w:r>
      <w:r w:rsidRPr="00B80715">
        <w:rPr>
          <w:rFonts w:ascii="Arial Narrow" w:hAnsi="Arial Narrow"/>
          <w:bCs/>
        </w:rPr>
        <w:t xml:space="preserve"> na území České republiky </w:t>
      </w:r>
      <w:r w:rsidR="00405543">
        <w:rPr>
          <w:rFonts w:ascii="Arial Narrow" w:hAnsi="Arial Narrow"/>
          <w:bCs/>
        </w:rPr>
        <w:t>jiný druh pobytu</w:t>
      </w:r>
      <w:r w:rsidRPr="00B80715">
        <w:rPr>
          <w:rFonts w:ascii="Arial Narrow" w:hAnsi="Arial Narrow"/>
          <w:bCs/>
        </w:rPr>
        <w:t xml:space="preserve">, bylo 294 394 mužů (44,5 %) a 367 282 žen (55,5 %). </w:t>
      </w:r>
      <w:r w:rsidR="00F1264F" w:rsidRPr="00CE357F">
        <w:rPr>
          <w:rFonts w:ascii="Arial Narrow" w:hAnsi="Arial Narrow"/>
          <w:bCs/>
        </w:rPr>
        <w:t>Osoby s jinou než českou státní příslušností ze třetích zemí (10 nejčastějších národností) podle kategorie pobytu podrobně dokumentuje graf</w:t>
      </w:r>
      <w:r w:rsidR="007226E2">
        <w:rPr>
          <w:rFonts w:ascii="Arial Narrow" w:hAnsi="Arial Narrow"/>
          <w:bCs/>
        </w:rPr>
        <w:t xml:space="preserve"> č. 26</w:t>
      </w:r>
      <w:r w:rsidR="00F1264F" w:rsidRPr="00CE357F">
        <w:rPr>
          <w:rFonts w:ascii="Arial Narrow" w:hAnsi="Arial Narrow"/>
          <w:bCs/>
        </w:rPr>
        <w:t>.</w:t>
      </w:r>
    </w:p>
    <w:p w14:paraId="56ABE168" w14:textId="2691A12A" w:rsidR="00E568AB" w:rsidRPr="00CE357F" w:rsidRDefault="00E568AB" w:rsidP="00E568AB">
      <w:pPr>
        <w:pStyle w:val="Titulek"/>
        <w:keepNext/>
        <w:spacing w:after="0"/>
        <w:jc w:val="both"/>
        <w:rPr>
          <w:rFonts w:ascii="Arial Narrow" w:hAnsi="Arial Narrow"/>
          <w:color w:val="auto"/>
          <w:sz w:val="20"/>
          <w:szCs w:val="20"/>
        </w:rPr>
      </w:pPr>
      <w:bookmarkStart w:id="196" w:name="_Toc94443730"/>
      <w:bookmarkStart w:id="197" w:name="_Toc136428870"/>
      <w:r w:rsidRPr="00CE357F">
        <w:rPr>
          <w:rFonts w:ascii="Arial Narrow" w:hAnsi="Arial Narrow"/>
          <w:color w:val="auto"/>
          <w:sz w:val="20"/>
          <w:szCs w:val="20"/>
        </w:rPr>
        <w:lastRenderedPageBreak/>
        <w:t xml:space="preserve">Graf </w:t>
      </w:r>
      <w:r w:rsidR="00B63C25">
        <w:rPr>
          <w:rFonts w:ascii="Arial Narrow" w:hAnsi="Arial Narrow"/>
          <w:color w:val="auto"/>
          <w:sz w:val="20"/>
          <w:szCs w:val="20"/>
        </w:rPr>
        <w:fldChar w:fldCharType="begin"/>
      </w:r>
      <w:r w:rsidR="00B63C25">
        <w:rPr>
          <w:rFonts w:ascii="Arial Narrow" w:hAnsi="Arial Narrow"/>
          <w:color w:val="auto"/>
          <w:sz w:val="20"/>
          <w:szCs w:val="20"/>
        </w:rPr>
        <w:instrText xml:space="preserve"> SEQ Graf \* ARABIC </w:instrText>
      </w:r>
      <w:r w:rsidR="00B63C25">
        <w:rPr>
          <w:rFonts w:ascii="Arial Narrow" w:hAnsi="Arial Narrow"/>
          <w:color w:val="auto"/>
          <w:sz w:val="20"/>
          <w:szCs w:val="20"/>
        </w:rPr>
        <w:fldChar w:fldCharType="separate"/>
      </w:r>
      <w:r w:rsidR="009F49C8">
        <w:rPr>
          <w:rFonts w:ascii="Arial Narrow" w:hAnsi="Arial Narrow"/>
          <w:noProof/>
          <w:color w:val="auto"/>
          <w:sz w:val="20"/>
          <w:szCs w:val="20"/>
        </w:rPr>
        <w:t>26</w:t>
      </w:r>
      <w:r w:rsidR="00B63C25">
        <w:rPr>
          <w:rFonts w:ascii="Arial Narrow" w:hAnsi="Arial Narrow"/>
          <w:color w:val="auto"/>
          <w:sz w:val="20"/>
          <w:szCs w:val="20"/>
        </w:rPr>
        <w:fldChar w:fldCharType="end"/>
      </w:r>
      <w:r w:rsidRPr="00CE357F">
        <w:rPr>
          <w:rFonts w:ascii="Arial Narrow" w:hAnsi="Arial Narrow"/>
          <w:color w:val="auto"/>
          <w:sz w:val="20"/>
          <w:szCs w:val="20"/>
        </w:rPr>
        <w:t>: Osoby z třetích zemí dle kategorie pobytu k 31. 12. 202</w:t>
      </w:r>
      <w:r w:rsidR="00B80715">
        <w:rPr>
          <w:rFonts w:ascii="Arial Narrow" w:hAnsi="Arial Narrow"/>
          <w:color w:val="auto"/>
          <w:sz w:val="20"/>
          <w:szCs w:val="20"/>
        </w:rPr>
        <w:t>2</w:t>
      </w:r>
      <w:r w:rsidRPr="00CE357F">
        <w:rPr>
          <w:rFonts w:ascii="Arial Narrow" w:hAnsi="Arial Narrow"/>
          <w:color w:val="auto"/>
          <w:sz w:val="20"/>
          <w:szCs w:val="20"/>
        </w:rPr>
        <w:t xml:space="preserve"> - TOP 10 zemí</w:t>
      </w:r>
      <w:bookmarkEnd w:id="196"/>
      <w:bookmarkEnd w:id="197"/>
    </w:p>
    <w:p w14:paraId="3AE5CB38" w14:textId="525078BB" w:rsidR="00F1264F" w:rsidRPr="00CE357F" w:rsidRDefault="00B80715" w:rsidP="7CC7BF57">
      <w:pPr>
        <w:spacing w:line="276" w:lineRule="auto"/>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inline distT="0" distB="0" distL="0" distR="0" wp14:anchorId="743482EF" wp14:editId="57888F52">
            <wp:extent cx="5760720" cy="2768007"/>
            <wp:effectExtent l="0" t="0" r="0" b="0"/>
            <wp:docPr id="2112" name="Graf 2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CB1EFFF" w14:textId="4EA43477" w:rsidR="00F1264F" w:rsidRDefault="00F1264F" w:rsidP="00F1264F">
      <w:pPr>
        <w:spacing w:line="276" w:lineRule="auto"/>
        <w:jc w:val="both"/>
        <w:rPr>
          <w:rFonts w:ascii="Arial Narrow" w:hAnsi="Arial Narrow"/>
          <w:sz w:val="20"/>
          <w:szCs w:val="20"/>
        </w:rPr>
      </w:pPr>
      <w:r w:rsidRPr="00CE357F">
        <w:rPr>
          <w:rFonts w:ascii="Arial Narrow" w:hAnsi="Arial Narrow"/>
          <w:bCs/>
          <w:sz w:val="20"/>
          <w:szCs w:val="20"/>
        </w:rPr>
        <w:t xml:space="preserve">Zdroj: </w:t>
      </w:r>
      <w:r w:rsidR="00AC736A">
        <w:rPr>
          <w:rFonts w:ascii="Arial Narrow" w:hAnsi="Arial Narrow"/>
          <w:sz w:val="20"/>
          <w:szCs w:val="20"/>
        </w:rPr>
        <w:t>Cizinecký informační systém</w:t>
      </w:r>
      <w:r w:rsidR="00AC736A">
        <w:rPr>
          <w:rFonts w:ascii="Arial Narrow" w:hAnsi="Arial Narrow"/>
          <w:sz w:val="20"/>
          <w:szCs w:val="20"/>
        </w:rPr>
        <w:tab/>
      </w:r>
      <w:r w:rsidR="00AC736A">
        <w:rPr>
          <w:rFonts w:ascii="Arial Narrow" w:hAnsi="Arial Narrow"/>
          <w:sz w:val="20"/>
          <w:szCs w:val="20"/>
        </w:rPr>
        <w:tab/>
      </w:r>
      <w:r w:rsidR="00AC736A">
        <w:rPr>
          <w:rFonts w:ascii="Arial Narrow" w:hAnsi="Arial Narrow"/>
          <w:sz w:val="20"/>
          <w:szCs w:val="20"/>
        </w:rPr>
        <w:tab/>
      </w:r>
      <w:r w:rsidR="00E568AB" w:rsidRPr="00CE357F">
        <w:rPr>
          <w:rFonts w:ascii="Arial Narrow" w:hAnsi="Arial Narrow"/>
          <w:sz w:val="20"/>
          <w:szCs w:val="20"/>
        </w:rPr>
        <w:tab/>
      </w:r>
      <w:r w:rsidR="00E568AB" w:rsidRPr="00CE357F">
        <w:rPr>
          <w:rFonts w:ascii="Arial Narrow" w:hAnsi="Arial Narrow"/>
          <w:sz w:val="20"/>
          <w:szCs w:val="20"/>
        </w:rPr>
        <w:tab/>
      </w:r>
      <w:r w:rsidR="00E568AB" w:rsidRPr="00CE357F">
        <w:rPr>
          <w:rFonts w:ascii="Arial Narrow" w:hAnsi="Arial Narrow"/>
          <w:sz w:val="20"/>
          <w:szCs w:val="20"/>
        </w:rPr>
        <w:tab/>
        <w:t xml:space="preserve">         Graf: AUGUR </w:t>
      </w:r>
      <w:proofErr w:type="spellStart"/>
      <w:r w:rsidR="00E568AB" w:rsidRPr="00CE357F">
        <w:rPr>
          <w:rFonts w:ascii="Arial Narrow" w:hAnsi="Arial Narrow"/>
          <w:sz w:val="20"/>
          <w:szCs w:val="20"/>
        </w:rPr>
        <w:t>Consulting</w:t>
      </w:r>
      <w:proofErr w:type="spellEnd"/>
      <w:r w:rsidR="00E568AB" w:rsidRPr="00CE357F">
        <w:rPr>
          <w:rFonts w:ascii="Arial Narrow" w:hAnsi="Arial Narrow"/>
          <w:sz w:val="20"/>
          <w:szCs w:val="20"/>
        </w:rPr>
        <w:t xml:space="preserve"> s.r.o</w:t>
      </w:r>
      <w:r w:rsidR="00A63ECD">
        <w:rPr>
          <w:rFonts w:ascii="Arial Narrow" w:hAnsi="Arial Narrow"/>
          <w:sz w:val="20"/>
          <w:szCs w:val="20"/>
        </w:rPr>
        <w:t>.</w:t>
      </w:r>
    </w:p>
    <w:p w14:paraId="7B7E33FD" w14:textId="651A9360" w:rsidR="00A63ECD" w:rsidRDefault="00A63ECD" w:rsidP="00F1264F">
      <w:pPr>
        <w:spacing w:line="276" w:lineRule="auto"/>
        <w:jc w:val="both"/>
        <w:rPr>
          <w:rFonts w:ascii="Arial Narrow" w:hAnsi="Arial Narrow"/>
          <w:bCs/>
          <w:sz w:val="20"/>
          <w:szCs w:val="20"/>
        </w:rPr>
      </w:pPr>
    </w:p>
    <w:p w14:paraId="627617DB" w14:textId="77777777" w:rsidR="008B0776" w:rsidRDefault="008B0776" w:rsidP="00F1264F">
      <w:pPr>
        <w:spacing w:line="276" w:lineRule="auto"/>
        <w:rPr>
          <w:rFonts w:ascii="Arial Narrow" w:hAnsi="Arial Narrow"/>
          <w:b/>
          <w:color w:val="C00000"/>
        </w:rPr>
      </w:pPr>
    </w:p>
    <w:p w14:paraId="46283D05" w14:textId="2B43140F" w:rsidR="00F1264F" w:rsidRPr="00CE357F" w:rsidRDefault="00F1264F" w:rsidP="00F1264F">
      <w:pPr>
        <w:spacing w:line="276" w:lineRule="auto"/>
        <w:rPr>
          <w:rFonts w:ascii="Arial Narrow" w:hAnsi="Arial Narrow"/>
          <w:b/>
          <w:color w:val="C00000"/>
        </w:rPr>
      </w:pPr>
      <w:r w:rsidRPr="00CE357F">
        <w:rPr>
          <w:rFonts w:ascii="Arial Narrow" w:hAnsi="Arial Narrow"/>
          <w:b/>
          <w:color w:val="C00000"/>
        </w:rPr>
        <w:t>Vývoj kategorií pobytu u osob s jinou než českou příslušností v letech 2005</w:t>
      </w:r>
      <w:r w:rsidR="00706ADA" w:rsidRPr="00CE357F">
        <w:rPr>
          <w:rFonts w:ascii="Arial Narrow" w:hAnsi="Arial Narrow"/>
          <w:b/>
          <w:color w:val="C00000"/>
        </w:rPr>
        <w:t>–</w:t>
      </w:r>
      <w:r w:rsidRPr="00CE357F">
        <w:rPr>
          <w:rFonts w:ascii="Arial Narrow" w:hAnsi="Arial Narrow"/>
          <w:b/>
          <w:color w:val="C00000"/>
        </w:rPr>
        <w:t>202</w:t>
      </w:r>
      <w:r w:rsidR="005C052C">
        <w:rPr>
          <w:rFonts w:ascii="Arial Narrow" w:hAnsi="Arial Narrow"/>
          <w:b/>
          <w:color w:val="C00000"/>
        </w:rPr>
        <w:t>2</w:t>
      </w:r>
    </w:p>
    <w:p w14:paraId="10B9C1E9" w14:textId="77777777" w:rsidR="00F1264F" w:rsidRPr="00CE357F" w:rsidRDefault="00F1264F" w:rsidP="00F1264F">
      <w:pPr>
        <w:spacing w:line="276" w:lineRule="auto"/>
        <w:rPr>
          <w:rFonts w:ascii="Arial Narrow" w:hAnsi="Arial Narrow"/>
          <w:b/>
          <w:color w:val="2F5496" w:themeColor="accent1" w:themeShade="BF"/>
        </w:rPr>
      </w:pPr>
    </w:p>
    <w:p w14:paraId="4150B9FF" w14:textId="79391FEF" w:rsidR="00F1264F" w:rsidRPr="00CE357F" w:rsidRDefault="00F1264F" w:rsidP="00F1264F">
      <w:pPr>
        <w:spacing w:line="276" w:lineRule="auto"/>
        <w:jc w:val="both"/>
        <w:rPr>
          <w:rFonts w:ascii="Arial Narrow" w:hAnsi="Arial Narrow"/>
          <w:bCs/>
        </w:rPr>
      </w:pPr>
      <w:r w:rsidRPr="00CE357F">
        <w:rPr>
          <w:rFonts w:ascii="Arial Narrow" w:hAnsi="Arial Narrow"/>
          <w:bCs/>
        </w:rPr>
        <w:t>Český statistický úřad zaznamenává počty osob s</w:t>
      </w:r>
      <w:r w:rsidR="005C052C">
        <w:rPr>
          <w:rFonts w:ascii="Arial Narrow" w:hAnsi="Arial Narrow"/>
          <w:bCs/>
        </w:rPr>
        <w:t> </w:t>
      </w:r>
      <w:r w:rsidRPr="00CE357F">
        <w:rPr>
          <w:rFonts w:ascii="Arial Narrow" w:hAnsi="Arial Narrow"/>
          <w:bCs/>
        </w:rPr>
        <w:t>jinou než českou státní příslušností včetně azylantů ještě podrobněji, a to z</w:t>
      </w:r>
      <w:r w:rsidR="005C052C">
        <w:rPr>
          <w:rFonts w:ascii="Arial Narrow" w:hAnsi="Arial Narrow"/>
          <w:bCs/>
        </w:rPr>
        <w:t> </w:t>
      </w:r>
      <w:r w:rsidRPr="00CE357F">
        <w:rPr>
          <w:rFonts w:ascii="Arial Narrow" w:hAnsi="Arial Narrow"/>
          <w:bCs/>
        </w:rPr>
        <w:t>hlediska následujících čtyř kategorií pobytu: trvalý pobyt, přechodný/dlouhodobý pobyt, dlouhodobé vízum a azyl.</w:t>
      </w:r>
    </w:p>
    <w:p w14:paraId="50FC47DF" w14:textId="638D53A9" w:rsidR="00F1264F" w:rsidRPr="00CE357F" w:rsidRDefault="00F1264F" w:rsidP="00F1264F">
      <w:pPr>
        <w:spacing w:before="240" w:line="276" w:lineRule="auto"/>
        <w:jc w:val="both"/>
        <w:rPr>
          <w:rFonts w:ascii="Arial Narrow" w:hAnsi="Arial Narrow"/>
          <w:bCs/>
        </w:rPr>
      </w:pPr>
      <w:r w:rsidRPr="00CE357F">
        <w:rPr>
          <w:rFonts w:ascii="Arial Narrow" w:hAnsi="Arial Narrow"/>
          <w:bCs/>
        </w:rPr>
        <w:t>Podíváme-li se na vývoj podílu jednotlivých druhů kategorií pobytu u osob s</w:t>
      </w:r>
      <w:r w:rsidR="005C052C">
        <w:rPr>
          <w:rFonts w:ascii="Arial Narrow" w:hAnsi="Arial Narrow"/>
          <w:bCs/>
        </w:rPr>
        <w:t> </w:t>
      </w:r>
      <w:r w:rsidRPr="00CE357F">
        <w:rPr>
          <w:rFonts w:ascii="Arial Narrow" w:hAnsi="Arial Narrow"/>
          <w:bCs/>
        </w:rPr>
        <w:t>jinou než českou státní příslušností včetně azylantů v</w:t>
      </w:r>
      <w:r w:rsidR="005C052C">
        <w:rPr>
          <w:rFonts w:ascii="Arial Narrow" w:hAnsi="Arial Narrow"/>
          <w:bCs/>
        </w:rPr>
        <w:t> </w:t>
      </w:r>
      <w:r w:rsidRPr="00CE357F">
        <w:rPr>
          <w:rFonts w:ascii="Arial Narrow" w:hAnsi="Arial Narrow"/>
          <w:bCs/>
        </w:rPr>
        <w:t>České republice v</w:t>
      </w:r>
      <w:r w:rsidR="005C052C">
        <w:rPr>
          <w:rFonts w:ascii="Arial Narrow" w:hAnsi="Arial Narrow"/>
          <w:bCs/>
        </w:rPr>
        <w:t> </w:t>
      </w:r>
      <w:r w:rsidRPr="00CE357F">
        <w:rPr>
          <w:rFonts w:ascii="Arial Narrow" w:hAnsi="Arial Narrow"/>
          <w:bCs/>
        </w:rPr>
        <w:t>letech 2005-202</w:t>
      </w:r>
      <w:r w:rsidR="0095768C">
        <w:rPr>
          <w:rFonts w:ascii="Arial Narrow" w:hAnsi="Arial Narrow"/>
          <w:bCs/>
        </w:rPr>
        <w:t>1</w:t>
      </w:r>
      <w:r w:rsidRPr="00CE357F">
        <w:rPr>
          <w:rFonts w:ascii="Arial Narrow" w:hAnsi="Arial Narrow"/>
          <w:bCs/>
        </w:rPr>
        <w:t>, lze konstatovat, že vývoj podílu počtu azylantů zůstává od roku 2005, od kterého jsou tato data evidována, stabilní a pohybuje se průměrně na 0,51 % všech osob s</w:t>
      </w:r>
      <w:r w:rsidR="005C052C">
        <w:rPr>
          <w:rFonts w:ascii="Arial Narrow" w:hAnsi="Arial Narrow"/>
          <w:bCs/>
        </w:rPr>
        <w:t> </w:t>
      </w:r>
      <w:r w:rsidRPr="00CE357F">
        <w:rPr>
          <w:rFonts w:ascii="Arial Narrow" w:hAnsi="Arial Narrow"/>
          <w:bCs/>
        </w:rPr>
        <w:t>jinou než českou státní příslušností</w:t>
      </w:r>
      <w:r w:rsidRPr="0095768C">
        <w:rPr>
          <w:rFonts w:ascii="Arial Narrow" w:hAnsi="Arial Narrow"/>
          <w:bCs/>
        </w:rPr>
        <w:t xml:space="preserve">. </w:t>
      </w:r>
      <w:r w:rsidR="0095768C" w:rsidRPr="0095768C">
        <w:rPr>
          <w:rFonts w:ascii="Arial Narrow" w:hAnsi="Arial Narrow"/>
          <w:bCs/>
        </w:rPr>
        <w:t>V</w:t>
      </w:r>
      <w:r w:rsidR="005C052C">
        <w:rPr>
          <w:rFonts w:ascii="Arial Narrow" w:hAnsi="Arial Narrow"/>
          <w:bCs/>
        </w:rPr>
        <w:t> </w:t>
      </w:r>
      <w:r w:rsidR="0095768C" w:rsidRPr="0095768C">
        <w:rPr>
          <w:rFonts w:ascii="Arial Narrow" w:hAnsi="Arial Narrow"/>
          <w:bCs/>
        </w:rPr>
        <w:t xml:space="preserve">roce 2021 tento podíl klesnul na 0,3 %. </w:t>
      </w:r>
      <w:r w:rsidRPr="0095768C">
        <w:rPr>
          <w:rFonts w:ascii="Arial Narrow" w:hAnsi="Arial Narrow"/>
          <w:bCs/>
        </w:rPr>
        <w:t>Počet</w:t>
      </w:r>
      <w:r w:rsidRPr="00CE357F">
        <w:rPr>
          <w:rFonts w:ascii="Arial Narrow" w:hAnsi="Arial Narrow"/>
          <w:bCs/>
        </w:rPr>
        <w:t xml:space="preserve"> osob s</w:t>
      </w:r>
      <w:r w:rsidR="005C052C">
        <w:rPr>
          <w:rFonts w:ascii="Arial Narrow" w:hAnsi="Arial Narrow"/>
          <w:bCs/>
        </w:rPr>
        <w:t> </w:t>
      </w:r>
      <w:r w:rsidRPr="00CE357F">
        <w:rPr>
          <w:rFonts w:ascii="Arial Narrow" w:hAnsi="Arial Narrow"/>
          <w:bCs/>
        </w:rPr>
        <w:t>jinou než českou státní příslušností včetně azylantů žijících na území České republiky se statutem dlouhodobých víz, dosáhl nejvyššího podílu v</w:t>
      </w:r>
      <w:r w:rsidR="005C052C">
        <w:rPr>
          <w:rFonts w:ascii="Arial Narrow" w:hAnsi="Arial Narrow"/>
          <w:bCs/>
        </w:rPr>
        <w:t> </w:t>
      </w:r>
      <w:r w:rsidRPr="00CE357F">
        <w:rPr>
          <w:rFonts w:ascii="Arial Narrow" w:hAnsi="Arial Narrow"/>
          <w:bCs/>
        </w:rPr>
        <w:t>roce 2007, kdy na základě dlouhodobého víza žilo v</w:t>
      </w:r>
      <w:r w:rsidR="005C052C">
        <w:rPr>
          <w:rFonts w:ascii="Arial Narrow" w:hAnsi="Arial Narrow"/>
          <w:bCs/>
        </w:rPr>
        <w:t> </w:t>
      </w:r>
      <w:r w:rsidRPr="00CE357F">
        <w:rPr>
          <w:rFonts w:ascii="Arial Narrow" w:hAnsi="Arial Narrow"/>
          <w:bCs/>
        </w:rPr>
        <w:t>České republice 11,84 % všech osob s</w:t>
      </w:r>
      <w:r w:rsidR="005C052C">
        <w:rPr>
          <w:rFonts w:ascii="Arial Narrow" w:hAnsi="Arial Narrow"/>
          <w:bCs/>
        </w:rPr>
        <w:t> </w:t>
      </w:r>
      <w:r w:rsidRPr="00CE357F">
        <w:rPr>
          <w:rFonts w:ascii="Arial Narrow" w:hAnsi="Arial Narrow"/>
          <w:bCs/>
        </w:rPr>
        <w:t>jinou než českou státní příslušností včetně azylantů. Od tohoto roku podíl osob žijících v</w:t>
      </w:r>
      <w:r w:rsidR="005C052C">
        <w:rPr>
          <w:rFonts w:ascii="Arial Narrow" w:hAnsi="Arial Narrow"/>
          <w:bCs/>
        </w:rPr>
        <w:t> </w:t>
      </w:r>
      <w:r w:rsidRPr="00CE357F">
        <w:rPr>
          <w:rFonts w:ascii="Arial Narrow" w:hAnsi="Arial Narrow"/>
          <w:bCs/>
        </w:rPr>
        <w:t>České republice na základě dlouhodobého víza během dvou let významně klesl a v</w:t>
      </w:r>
      <w:r w:rsidR="005C052C">
        <w:rPr>
          <w:rFonts w:ascii="Arial Narrow" w:hAnsi="Arial Narrow"/>
          <w:bCs/>
        </w:rPr>
        <w:t> </w:t>
      </w:r>
      <w:r w:rsidRPr="00CE357F">
        <w:rPr>
          <w:rFonts w:ascii="Arial Narrow" w:hAnsi="Arial Narrow"/>
          <w:bCs/>
        </w:rPr>
        <w:t>roce 2009 dosáhl 2,03 %. Od roku 2009 do roku 202</w:t>
      </w:r>
      <w:r w:rsidR="0095768C">
        <w:rPr>
          <w:rFonts w:ascii="Arial Narrow" w:hAnsi="Arial Narrow"/>
          <w:bCs/>
        </w:rPr>
        <w:t>1</w:t>
      </w:r>
      <w:r w:rsidRPr="00CE357F">
        <w:rPr>
          <w:rFonts w:ascii="Arial Narrow" w:hAnsi="Arial Narrow"/>
          <w:bCs/>
        </w:rPr>
        <w:t xml:space="preserve"> se podíl těchto osob na celkovém počtu osob s</w:t>
      </w:r>
      <w:r w:rsidR="005C052C">
        <w:rPr>
          <w:rFonts w:ascii="Arial Narrow" w:hAnsi="Arial Narrow"/>
          <w:bCs/>
        </w:rPr>
        <w:t> </w:t>
      </w:r>
      <w:r w:rsidRPr="00CE357F">
        <w:rPr>
          <w:rFonts w:ascii="Arial Narrow" w:hAnsi="Arial Narrow"/>
          <w:bCs/>
        </w:rPr>
        <w:t>jinou než českou státní příslušností včetně azylantů ustálil na průměrně 2,</w:t>
      </w:r>
      <w:r w:rsidR="0095768C">
        <w:rPr>
          <w:rFonts w:ascii="Arial Narrow" w:hAnsi="Arial Narrow"/>
          <w:bCs/>
        </w:rPr>
        <w:t>2</w:t>
      </w:r>
      <w:r w:rsidRPr="00CE357F">
        <w:rPr>
          <w:rFonts w:ascii="Arial Narrow" w:hAnsi="Arial Narrow"/>
          <w:bCs/>
        </w:rPr>
        <w:t xml:space="preserve"> %. </w:t>
      </w:r>
    </w:p>
    <w:p w14:paraId="32143F4B" w14:textId="26A95809" w:rsidR="00405543" w:rsidRDefault="00F1264F" w:rsidP="00405543">
      <w:pPr>
        <w:spacing w:before="240" w:line="276" w:lineRule="auto"/>
        <w:jc w:val="both"/>
        <w:rPr>
          <w:rFonts w:ascii="Arial Narrow" w:hAnsi="Arial Narrow"/>
          <w:bCs/>
        </w:rPr>
      </w:pPr>
      <w:r w:rsidRPr="00CE357F">
        <w:rPr>
          <w:rFonts w:ascii="Arial Narrow" w:hAnsi="Arial Narrow"/>
          <w:bCs/>
        </w:rPr>
        <w:t>Mezi lety 2005 a 202</w:t>
      </w:r>
      <w:r w:rsidR="0095768C">
        <w:rPr>
          <w:rFonts w:ascii="Arial Narrow" w:hAnsi="Arial Narrow"/>
          <w:bCs/>
        </w:rPr>
        <w:t>1</w:t>
      </w:r>
      <w:r w:rsidRPr="00CE357F">
        <w:rPr>
          <w:rFonts w:ascii="Arial Narrow" w:hAnsi="Arial Narrow"/>
          <w:bCs/>
        </w:rPr>
        <w:t xml:space="preserve"> se významným způsobem měnil podíl počtu osob s</w:t>
      </w:r>
      <w:r w:rsidR="005C052C">
        <w:rPr>
          <w:rFonts w:ascii="Arial Narrow" w:hAnsi="Arial Narrow"/>
          <w:bCs/>
        </w:rPr>
        <w:t> </w:t>
      </w:r>
      <w:r w:rsidRPr="00CE357F">
        <w:rPr>
          <w:rFonts w:ascii="Arial Narrow" w:hAnsi="Arial Narrow"/>
          <w:bCs/>
        </w:rPr>
        <w:t>jinou než českou státní příslušností včetně azylantů žijících v</w:t>
      </w:r>
      <w:r w:rsidR="005C052C">
        <w:rPr>
          <w:rFonts w:ascii="Arial Narrow" w:hAnsi="Arial Narrow"/>
          <w:bCs/>
        </w:rPr>
        <w:t> </w:t>
      </w:r>
      <w:r w:rsidRPr="00CE357F">
        <w:rPr>
          <w:rFonts w:ascii="Arial Narrow" w:hAnsi="Arial Narrow"/>
          <w:bCs/>
        </w:rPr>
        <w:t>České republice na základě kategorie „trvalý pobyt“ a „přechodný/dlouhodobý pobyt“. Zatímco mezi lety 2005 a 2009 podíl osob žijících v</w:t>
      </w:r>
      <w:r w:rsidR="005C052C">
        <w:rPr>
          <w:rFonts w:ascii="Arial Narrow" w:hAnsi="Arial Narrow"/>
          <w:bCs/>
        </w:rPr>
        <w:t> </w:t>
      </w:r>
      <w:r w:rsidRPr="00CE357F">
        <w:rPr>
          <w:rFonts w:ascii="Arial Narrow" w:hAnsi="Arial Narrow"/>
          <w:bCs/>
        </w:rPr>
        <w:t>České republice na základě přechodného/dlouhodobého pobytu výrazně převyšoval podíl osob žijících v</w:t>
      </w:r>
      <w:r w:rsidR="005C052C">
        <w:rPr>
          <w:rFonts w:ascii="Arial Narrow" w:hAnsi="Arial Narrow"/>
          <w:bCs/>
        </w:rPr>
        <w:t> </w:t>
      </w:r>
      <w:r w:rsidRPr="00CE357F">
        <w:rPr>
          <w:rFonts w:ascii="Arial Narrow" w:hAnsi="Arial Narrow"/>
          <w:bCs/>
        </w:rPr>
        <w:t>České republice na základě trvalého pobytu, od roku 2009 se poměr mezi těmito kategoriemi pobytu snižoval a v</w:t>
      </w:r>
      <w:r w:rsidR="005C052C">
        <w:rPr>
          <w:rFonts w:ascii="Arial Narrow" w:hAnsi="Arial Narrow"/>
          <w:bCs/>
        </w:rPr>
        <w:t> </w:t>
      </w:r>
      <w:r w:rsidRPr="00CE357F">
        <w:rPr>
          <w:rFonts w:ascii="Arial Narrow" w:hAnsi="Arial Narrow"/>
          <w:bCs/>
        </w:rPr>
        <w:t>roce 2012 se vyrovnal (48,75 % osob žijících na základě přechodného pobytu a 48,50 % osob žijících na základě trvalého pobytu). Tento trend, tedy snižování podílu osob žijících v</w:t>
      </w:r>
      <w:r w:rsidR="005C052C">
        <w:rPr>
          <w:rFonts w:ascii="Arial Narrow" w:hAnsi="Arial Narrow"/>
          <w:bCs/>
        </w:rPr>
        <w:t> </w:t>
      </w:r>
      <w:r w:rsidRPr="00CE357F">
        <w:rPr>
          <w:rFonts w:ascii="Arial Narrow" w:hAnsi="Arial Narrow"/>
          <w:bCs/>
        </w:rPr>
        <w:t>České republice na základě přechodného/dlouhodobého pobytu a zvyšování podílu osob žijících v</w:t>
      </w:r>
      <w:r w:rsidR="005C052C">
        <w:rPr>
          <w:rFonts w:ascii="Arial Narrow" w:hAnsi="Arial Narrow"/>
          <w:bCs/>
        </w:rPr>
        <w:t> </w:t>
      </w:r>
      <w:r w:rsidRPr="00CE357F">
        <w:rPr>
          <w:rFonts w:ascii="Arial Narrow" w:hAnsi="Arial Narrow"/>
          <w:bCs/>
        </w:rPr>
        <w:t>České republice na základě trvalého pobytu dále pokračoval až do roku 2015, kdy podíl počtu osob žijících v</w:t>
      </w:r>
      <w:r w:rsidR="005C052C">
        <w:rPr>
          <w:rFonts w:ascii="Arial Narrow" w:hAnsi="Arial Narrow"/>
          <w:bCs/>
        </w:rPr>
        <w:t> </w:t>
      </w:r>
      <w:r w:rsidRPr="00CE357F">
        <w:rPr>
          <w:rFonts w:ascii="Arial Narrow" w:hAnsi="Arial Narrow"/>
          <w:bCs/>
        </w:rPr>
        <w:t>České republice na základě trvalého pobytu nabyl hodnoty 55,62 %. Od roku 2016 až roku 2020 lze opět zaznamenat postupný trend snižování podílu počtu osob žijících v</w:t>
      </w:r>
      <w:r w:rsidR="005C052C">
        <w:rPr>
          <w:rFonts w:ascii="Arial Narrow" w:hAnsi="Arial Narrow"/>
          <w:bCs/>
        </w:rPr>
        <w:t> </w:t>
      </w:r>
      <w:r w:rsidRPr="00CE357F">
        <w:rPr>
          <w:rFonts w:ascii="Arial Narrow" w:hAnsi="Arial Narrow"/>
          <w:bCs/>
        </w:rPr>
        <w:t>České republice na základě trvalého pobytu. V</w:t>
      </w:r>
      <w:r w:rsidR="005C052C">
        <w:rPr>
          <w:rFonts w:ascii="Arial Narrow" w:hAnsi="Arial Narrow"/>
          <w:bCs/>
        </w:rPr>
        <w:t> </w:t>
      </w:r>
      <w:r w:rsidRPr="00CE357F">
        <w:rPr>
          <w:rFonts w:ascii="Arial Narrow" w:hAnsi="Arial Narrow"/>
          <w:bCs/>
        </w:rPr>
        <w:t xml:space="preserve">roce 2020 podíl počtu osob </w:t>
      </w:r>
      <w:r w:rsidRPr="00CE357F">
        <w:rPr>
          <w:rFonts w:ascii="Arial Narrow" w:hAnsi="Arial Narrow"/>
          <w:bCs/>
        </w:rPr>
        <w:lastRenderedPageBreak/>
        <w:t>žijících v</w:t>
      </w:r>
      <w:r w:rsidR="005C052C">
        <w:rPr>
          <w:rFonts w:ascii="Arial Narrow" w:hAnsi="Arial Narrow"/>
          <w:bCs/>
        </w:rPr>
        <w:t> </w:t>
      </w:r>
      <w:r w:rsidRPr="00CE357F">
        <w:rPr>
          <w:rFonts w:ascii="Arial Narrow" w:hAnsi="Arial Narrow"/>
          <w:bCs/>
        </w:rPr>
        <w:t>České republice na základě přechodného/dlouhodobého pobytu opět zaujal pomyslné prvenství z</w:t>
      </w:r>
      <w:r w:rsidR="005C052C">
        <w:rPr>
          <w:rFonts w:ascii="Arial Narrow" w:hAnsi="Arial Narrow"/>
          <w:bCs/>
        </w:rPr>
        <w:t> </w:t>
      </w:r>
      <w:r w:rsidRPr="00CE357F">
        <w:rPr>
          <w:rFonts w:ascii="Arial Narrow" w:hAnsi="Arial Narrow"/>
          <w:bCs/>
        </w:rPr>
        <w:t>hlediska kategorie pobytu osob s</w:t>
      </w:r>
      <w:r w:rsidR="005C052C">
        <w:rPr>
          <w:rFonts w:ascii="Arial Narrow" w:hAnsi="Arial Narrow"/>
          <w:bCs/>
        </w:rPr>
        <w:t> </w:t>
      </w:r>
      <w:r w:rsidR="00552AC6" w:rsidRPr="00CE357F">
        <w:rPr>
          <w:rFonts w:ascii="Arial Narrow" w:hAnsi="Arial Narrow"/>
          <w:bCs/>
        </w:rPr>
        <w:t>jinou než českou státní příslušností</w:t>
      </w:r>
      <w:r w:rsidRPr="00CE357F">
        <w:rPr>
          <w:rFonts w:ascii="Arial Narrow" w:hAnsi="Arial Narrow"/>
          <w:bCs/>
        </w:rPr>
        <w:t xml:space="preserve"> žijících v</w:t>
      </w:r>
      <w:r w:rsidR="005C052C">
        <w:rPr>
          <w:rFonts w:ascii="Arial Narrow" w:hAnsi="Arial Narrow"/>
          <w:bCs/>
        </w:rPr>
        <w:t> </w:t>
      </w:r>
      <w:r w:rsidRPr="00CE357F">
        <w:rPr>
          <w:rFonts w:ascii="Arial Narrow" w:hAnsi="Arial Narrow"/>
          <w:bCs/>
        </w:rPr>
        <w:t>České republice.</w:t>
      </w:r>
      <w:r w:rsidR="00520D62">
        <w:rPr>
          <w:rFonts w:ascii="Arial Narrow" w:hAnsi="Arial Narrow"/>
          <w:bCs/>
        </w:rPr>
        <w:t xml:space="preserve"> </w:t>
      </w:r>
      <w:r w:rsidR="00520D62" w:rsidRPr="00F112B7">
        <w:rPr>
          <w:rFonts w:ascii="Arial Narrow" w:hAnsi="Arial Narrow"/>
          <w:bCs/>
        </w:rPr>
        <w:t>Prakticky identických hodnot dosahovaly sledované kategorie pobytu i v</w:t>
      </w:r>
      <w:r w:rsidR="00520D62">
        <w:rPr>
          <w:rFonts w:ascii="Arial Narrow" w:hAnsi="Arial Narrow"/>
          <w:bCs/>
        </w:rPr>
        <w:t> </w:t>
      </w:r>
      <w:r w:rsidR="00520D62" w:rsidRPr="00F112B7">
        <w:rPr>
          <w:rFonts w:ascii="Arial Narrow" w:hAnsi="Arial Narrow"/>
          <w:bCs/>
        </w:rPr>
        <w:t>roce 2021.</w:t>
      </w:r>
    </w:p>
    <w:p w14:paraId="069B65F1" w14:textId="799B88F7" w:rsidR="00405543" w:rsidRDefault="00405543" w:rsidP="008A7D87">
      <w:pPr>
        <w:shd w:val="clear" w:color="auto" w:fill="D9E2F3" w:themeFill="accent1" w:themeFillTint="33"/>
        <w:spacing w:before="240" w:line="276" w:lineRule="auto"/>
        <w:jc w:val="both"/>
        <w:rPr>
          <w:rFonts w:ascii="Arial Narrow" w:hAnsi="Arial Narrow"/>
          <w:bCs/>
        </w:rPr>
      </w:pPr>
      <w:r>
        <w:rPr>
          <w:rFonts w:ascii="Arial Narrow" w:hAnsi="Arial Narrow"/>
          <w:bCs/>
        </w:rPr>
        <w:t>V</w:t>
      </w:r>
      <w:r w:rsidR="005C052C">
        <w:rPr>
          <w:rFonts w:ascii="Arial Narrow" w:hAnsi="Arial Narrow"/>
          <w:bCs/>
        </w:rPr>
        <w:t> </w:t>
      </w:r>
      <w:r>
        <w:rPr>
          <w:rFonts w:ascii="Arial Narrow" w:hAnsi="Arial Narrow"/>
          <w:bCs/>
        </w:rPr>
        <w:t>roce 2022 bylo evidováno 1 689 žádostí o mezinárodní ochranu.</w:t>
      </w:r>
      <w:r w:rsidR="00105EEF">
        <w:rPr>
          <w:rFonts w:ascii="Arial Narrow" w:hAnsi="Arial Narrow"/>
          <w:bCs/>
        </w:rPr>
        <w:t xml:space="preserve"> Ve srovnání s rokem 2021 se jedná o nárůst o 20 %. Nejčastěji žádaly o mezinárodní ochranu osoby z Ukrajiny, Turecka a Ruské federace.</w:t>
      </w:r>
      <w:r>
        <w:rPr>
          <w:rFonts w:ascii="Arial Narrow" w:hAnsi="Arial Narrow"/>
          <w:bCs/>
        </w:rPr>
        <w:t xml:space="preserve"> Z</w:t>
      </w:r>
      <w:r w:rsidR="005C052C">
        <w:rPr>
          <w:rFonts w:ascii="Arial Narrow" w:hAnsi="Arial Narrow"/>
          <w:bCs/>
        </w:rPr>
        <w:t> </w:t>
      </w:r>
      <w:r>
        <w:rPr>
          <w:rFonts w:ascii="Arial Narrow" w:hAnsi="Arial Narrow"/>
          <w:bCs/>
        </w:rPr>
        <w:t xml:space="preserve">toho byl </w:t>
      </w:r>
      <w:r w:rsidRPr="00D85C99">
        <w:rPr>
          <w:rFonts w:ascii="Arial Narrow" w:hAnsi="Arial Narrow"/>
          <w:b/>
        </w:rPr>
        <w:t>azyl</w:t>
      </w:r>
      <w:r>
        <w:rPr>
          <w:rFonts w:ascii="Arial Narrow" w:hAnsi="Arial Narrow"/>
          <w:bCs/>
        </w:rPr>
        <w:t xml:space="preserve"> nebo </w:t>
      </w:r>
      <w:r w:rsidRPr="00D85C99">
        <w:rPr>
          <w:rFonts w:ascii="Arial Narrow" w:hAnsi="Arial Narrow"/>
          <w:b/>
        </w:rPr>
        <w:t>doplňková ochrana</w:t>
      </w:r>
      <w:r>
        <w:rPr>
          <w:rFonts w:ascii="Arial Narrow" w:hAnsi="Arial Narrow"/>
          <w:bCs/>
        </w:rPr>
        <w:t xml:space="preserve"> uděleny celkem 481 lidem. </w:t>
      </w:r>
      <w:r w:rsidRPr="00F26E6D">
        <w:rPr>
          <w:rFonts w:ascii="Arial Narrow" w:hAnsi="Arial Narrow"/>
          <w:bCs/>
        </w:rPr>
        <w:t xml:space="preserve">Za výrazným nárůstem počtu cizinců na území ČR stojí zejména </w:t>
      </w:r>
      <w:r w:rsidRPr="00D85C99">
        <w:rPr>
          <w:rFonts w:ascii="Arial Narrow" w:hAnsi="Arial Narrow"/>
          <w:b/>
        </w:rPr>
        <w:t>vydávání dočasné ochrany</w:t>
      </w:r>
      <w:r w:rsidRPr="00F26E6D">
        <w:rPr>
          <w:rFonts w:ascii="Arial Narrow" w:hAnsi="Arial Narrow"/>
          <w:bCs/>
        </w:rPr>
        <w:t xml:space="preserve"> státním příslušníkům</w:t>
      </w:r>
      <w:r>
        <w:rPr>
          <w:rFonts w:ascii="Arial Narrow" w:hAnsi="Arial Narrow"/>
          <w:bCs/>
        </w:rPr>
        <w:t xml:space="preserve"> </w:t>
      </w:r>
      <w:r w:rsidRPr="00F26E6D">
        <w:rPr>
          <w:rFonts w:ascii="Arial Narrow" w:hAnsi="Arial Narrow"/>
          <w:bCs/>
        </w:rPr>
        <w:t xml:space="preserve">Ukrajiny, kteří prchají před válkou ve své zemi. </w:t>
      </w:r>
      <w:r w:rsidR="008A7D87">
        <w:rPr>
          <w:rFonts w:ascii="Arial Narrow" w:hAnsi="Arial Narrow"/>
          <w:bCs/>
        </w:rPr>
        <w:t>Od 24. 2. 2022 do</w:t>
      </w:r>
      <w:r w:rsidRPr="00F26E6D">
        <w:rPr>
          <w:rFonts w:ascii="Arial Narrow" w:hAnsi="Arial Narrow"/>
          <w:bCs/>
        </w:rPr>
        <w:t xml:space="preserve"> </w:t>
      </w:r>
      <w:r w:rsidR="008A7D87">
        <w:rPr>
          <w:rFonts w:ascii="Arial Narrow" w:hAnsi="Arial Narrow"/>
          <w:bCs/>
        </w:rPr>
        <w:t>31. 12.</w:t>
      </w:r>
      <w:r w:rsidRPr="00F26E6D">
        <w:rPr>
          <w:rFonts w:ascii="Arial Narrow" w:hAnsi="Arial Narrow"/>
          <w:bCs/>
        </w:rPr>
        <w:t xml:space="preserve"> 2022 bylo v</w:t>
      </w:r>
      <w:r w:rsidR="005C052C">
        <w:rPr>
          <w:rFonts w:ascii="Arial Narrow" w:hAnsi="Arial Narrow"/>
          <w:bCs/>
        </w:rPr>
        <w:t> </w:t>
      </w:r>
      <w:r w:rsidRPr="00F26E6D">
        <w:rPr>
          <w:rFonts w:ascii="Arial Narrow" w:hAnsi="Arial Narrow"/>
          <w:bCs/>
        </w:rPr>
        <w:t>České republice vydáno celkem 473</w:t>
      </w:r>
      <w:r>
        <w:rPr>
          <w:rFonts w:ascii="Arial Narrow" w:hAnsi="Arial Narrow"/>
          <w:bCs/>
        </w:rPr>
        <w:t> </w:t>
      </w:r>
      <w:r w:rsidRPr="00F26E6D">
        <w:rPr>
          <w:rFonts w:ascii="Arial Narrow" w:hAnsi="Arial Narrow"/>
          <w:bCs/>
        </w:rPr>
        <w:t>216</w:t>
      </w:r>
      <w:r>
        <w:rPr>
          <w:rFonts w:ascii="Arial Narrow" w:hAnsi="Arial Narrow"/>
          <w:bCs/>
        </w:rPr>
        <w:t xml:space="preserve"> </w:t>
      </w:r>
      <w:r w:rsidRPr="00F26E6D">
        <w:rPr>
          <w:rFonts w:ascii="Arial Narrow" w:hAnsi="Arial Narrow"/>
          <w:bCs/>
        </w:rPr>
        <w:t>dočasných ochran</w:t>
      </w:r>
      <w:r w:rsidR="00105EEF">
        <w:rPr>
          <w:rFonts w:ascii="Arial Narrow" w:hAnsi="Arial Narrow"/>
          <w:bCs/>
        </w:rPr>
        <w:t xml:space="preserve">. </w:t>
      </w:r>
      <w:r w:rsidR="00105EEF" w:rsidRPr="00105EEF">
        <w:rPr>
          <w:rFonts w:ascii="Arial Narrow" w:hAnsi="Arial Narrow"/>
          <w:bCs/>
        </w:rPr>
        <w:t>Česká republika měla</w:t>
      </w:r>
      <w:r w:rsidR="00105EEF">
        <w:rPr>
          <w:rFonts w:ascii="Arial Narrow" w:hAnsi="Arial Narrow"/>
          <w:bCs/>
        </w:rPr>
        <w:t xml:space="preserve"> </w:t>
      </w:r>
      <w:r w:rsidR="00105EEF" w:rsidRPr="00105EEF">
        <w:rPr>
          <w:rFonts w:ascii="Arial Narrow" w:hAnsi="Arial Narrow"/>
          <w:bCs/>
        </w:rPr>
        <w:t>v roce 2022 největší počet vydaných dočasných</w:t>
      </w:r>
      <w:r w:rsidR="00105EEF">
        <w:rPr>
          <w:rFonts w:ascii="Arial Narrow" w:hAnsi="Arial Narrow"/>
          <w:bCs/>
        </w:rPr>
        <w:t xml:space="preserve"> </w:t>
      </w:r>
      <w:r w:rsidR="00105EEF" w:rsidRPr="00105EEF">
        <w:rPr>
          <w:rFonts w:ascii="Arial Narrow" w:hAnsi="Arial Narrow"/>
          <w:bCs/>
        </w:rPr>
        <w:t>ochran v rámci EU v přepočtu na obyvatele</w:t>
      </w:r>
      <w:r w:rsidR="008A7D87">
        <w:rPr>
          <w:rFonts w:ascii="Arial Narrow" w:hAnsi="Arial Narrow"/>
          <w:bCs/>
        </w:rPr>
        <w:t xml:space="preserve">. </w:t>
      </w:r>
      <w:r w:rsidR="008A7D87" w:rsidRPr="008A7D87">
        <w:rPr>
          <w:rFonts w:ascii="Arial Narrow" w:hAnsi="Arial Narrow"/>
          <w:bCs/>
        </w:rPr>
        <w:t>Její udělení se prokazuje tzv. vízovým štítkem, jehož platnost</w:t>
      </w:r>
      <w:r w:rsidR="008A7D87">
        <w:rPr>
          <w:rFonts w:ascii="Arial Narrow" w:hAnsi="Arial Narrow"/>
          <w:bCs/>
        </w:rPr>
        <w:t xml:space="preserve"> </w:t>
      </w:r>
      <w:r w:rsidR="008A7D87" w:rsidRPr="008A7D87">
        <w:rPr>
          <w:rFonts w:ascii="Arial Narrow" w:hAnsi="Arial Narrow"/>
          <w:bCs/>
        </w:rPr>
        <w:t xml:space="preserve">končí 31. března 2023. Vzhledem k vývoji konfliktu nelze předpokládat, že by se </w:t>
      </w:r>
      <w:r w:rsidR="007A5B21">
        <w:rPr>
          <w:rFonts w:ascii="Arial Narrow" w:hAnsi="Arial Narrow"/>
          <w:bCs/>
        </w:rPr>
        <w:t>občané Ukrajiny</w:t>
      </w:r>
      <w:r w:rsidR="008A7D87">
        <w:rPr>
          <w:rFonts w:ascii="Arial Narrow" w:hAnsi="Arial Narrow"/>
          <w:bCs/>
        </w:rPr>
        <w:t xml:space="preserve"> </w:t>
      </w:r>
      <w:r w:rsidR="008A7D87" w:rsidRPr="008A7D87">
        <w:rPr>
          <w:rFonts w:ascii="Arial Narrow" w:hAnsi="Arial Narrow"/>
          <w:bCs/>
        </w:rPr>
        <w:t>mohli v blízké době vrátit zpět</w:t>
      </w:r>
      <w:r w:rsidR="008A7D87" w:rsidRPr="004C30CB">
        <w:rPr>
          <w:rFonts w:ascii="Arial Narrow" w:hAnsi="Arial Narrow"/>
          <w:bCs/>
        </w:rPr>
        <w:t xml:space="preserve"> do svých domovů</w:t>
      </w:r>
      <w:r w:rsidR="004C30CB" w:rsidRPr="004C30CB">
        <w:rPr>
          <w:rFonts w:ascii="Arial Narrow" w:hAnsi="Arial Narrow"/>
          <w:bCs/>
        </w:rPr>
        <w:t>. V</w:t>
      </w:r>
      <w:r w:rsidR="008A7D87" w:rsidRPr="004C30CB">
        <w:rPr>
          <w:rFonts w:ascii="Arial Narrow" w:hAnsi="Arial Narrow"/>
          <w:bCs/>
        </w:rPr>
        <w:t>láda proto schválila možnost toto pobytové oprávnění prodloužit až do konce března 2024</w:t>
      </w:r>
      <w:r w:rsidRPr="004C30CB">
        <w:rPr>
          <w:rStyle w:val="Znakapoznpodarou"/>
          <w:rFonts w:ascii="Arial Narrow" w:hAnsi="Arial Narrow"/>
          <w:bCs/>
        </w:rPr>
        <w:footnoteReference w:id="15"/>
      </w:r>
      <w:r w:rsidRPr="004C30CB">
        <w:rPr>
          <w:rFonts w:ascii="Arial Narrow" w:hAnsi="Arial Narrow"/>
          <w:bCs/>
        </w:rPr>
        <w:t>.</w:t>
      </w:r>
    </w:p>
    <w:p w14:paraId="256AB904" w14:textId="77777777" w:rsidR="005C052C" w:rsidRDefault="005C052C" w:rsidP="005C052C"/>
    <w:p w14:paraId="10BB9750" w14:textId="48A0A67B" w:rsidR="005C052C" w:rsidRDefault="005C052C" w:rsidP="005C052C">
      <w:pPr>
        <w:pStyle w:val="Titulek"/>
        <w:keepNext/>
        <w:spacing w:after="0"/>
        <w:rPr>
          <w:rFonts w:ascii="Arial Narrow" w:hAnsi="Arial Narrow"/>
          <w:color w:val="auto"/>
          <w:sz w:val="20"/>
          <w:szCs w:val="20"/>
        </w:rPr>
      </w:pPr>
      <w:bookmarkStart w:id="198" w:name="_Toc136429293"/>
      <w:r w:rsidRPr="00BB2FBA">
        <w:rPr>
          <w:rFonts w:ascii="Arial Narrow" w:hAnsi="Arial Narrow"/>
          <w:color w:val="auto"/>
          <w:sz w:val="20"/>
          <w:szCs w:val="20"/>
        </w:rPr>
        <w:t xml:space="preserve">Obrázek </w:t>
      </w:r>
      <w:r w:rsidRPr="00BB2FBA">
        <w:rPr>
          <w:rFonts w:ascii="Arial Narrow" w:hAnsi="Arial Narrow"/>
          <w:color w:val="auto"/>
          <w:sz w:val="20"/>
          <w:szCs w:val="20"/>
        </w:rPr>
        <w:fldChar w:fldCharType="begin"/>
      </w:r>
      <w:r w:rsidRPr="00BB2FBA">
        <w:rPr>
          <w:rFonts w:ascii="Arial Narrow" w:hAnsi="Arial Narrow"/>
          <w:color w:val="auto"/>
          <w:sz w:val="20"/>
          <w:szCs w:val="20"/>
        </w:rPr>
        <w:instrText xml:space="preserve"> SEQ Obrázek \* ARABIC </w:instrText>
      </w:r>
      <w:r w:rsidRPr="00BB2FBA">
        <w:rPr>
          <w:rFonts w:ascii="Arial Narrow" w:hAnsi="Arial Narrow"/>
          <w:color w:val="auto"/>
          <w:sz w:val="20"/>
          <w:szCs w:val="20"/>
        </w:rPr>
        <w:fldChar w:fldCharType="separate"/>
      </w:r>
      <w:r w:rsidR="005B2F6C">
        <w:rPr>
          <w:rFonts w:ascii="Arial Narrow" w:hAnsi="Arial Narrow"/>
          <w:noProof/>
          <w:color w:val="auto"/>
          <w:sz w:val="20"/>
          <w:szCs w:val="20"/>
        </w:rPr>
        <w:t>9</w:t>
      </w:r>
      <w:r w:rsidRPr="00BB2FBA">
        <w:rPr>
          <w:rFonts w:ascii="Arial Narrow" w:hAnsi="Arial Narrow"/>
          <w:color w:val="auto"/>
          <w:sz w:val="20"/>
          <w:szCs w:val="20"/>
        </w:rPr>
        <w:fldChar w:fldCharType="end"/>
      </w:r>
      <w:r w:rsidRPr="00BB2FBA">
        <w:rPr>
          <w:rFonts w:ascii="Arial Narrow" w:hAnsi="Arial Narrow"/>
          <w:color w:val="auto"/>
          <w:sz w:val="20"/>
          <w:szCs w:val="20"/>
        </w:rPr>
        <w:t xml:space="preserve">: </w:t>
      </w:r>
      <w:r>
        <w:rPr>
          <w:rFonts w:ascii="Arial Narrow" w:hAnsi="Arial Narrow"/>
          <w:color w:val="auto"/>
          <w:sz w:val="20"/>
          <w:szCs w:val="20"/>
        </w:rPr>
        <w:t>Počty žádostí o mezinárodní ochranu mezi lety 2017 a 2022 (k 31. 12.</w:t>
      </w:r>
      <w:r w:rsidR="004C30CB">
        <w:rPr>
          <w:rFonts w:ascii="Arial Narrow" w:hAnsi="Arial Narrow"/>
          <w:color w:val="auto"/>
          <w:sz w:val="20"/>
          <w:szCs w:val="20"/>
        </w:rPr>
        <w:t xml:space="preserve"> 2022</w:t>
      </w:r>
      <w:r>
        <w:rPr>
          <w:rFonts w:ascii="Arial Narrow" w:hAnsi="Arial Narrow"/>
          <w:color w:val="auto"/>
          <w:sz w:val="20"/>
          <w:szCs w:val="20"/>
        </w:rPr>
        <w:t>)</w:t>
      </w:r>
      <w:bookmarkEnd w:id="198"/>
    </w:p>
    <w:p w14:paraId="1E066D4A" w14:textId="77777777" w:rsidR="005A5B0A" w:rsidRDefault="005C052C" w:rsidP="005C052C">
      <w:pPr>
        <w:jc w:val="center"/>
      </w:pPr>
      <w:r w:rsidRPr="005C052C">
        <w:rPr>
          <w:noProof/>
          <w:lang w:eastAsia="cs-CZ"/>
        </w:rPr>
        <w:drawing>
          <wp:inline distT="0" distB="0" distL="0" distR="0" wp14:anchorId="60F79FE9" wp14:editId="1F9D738D">
            <wp:extent cx="3505200" cy="2208560"/>
            <wp:effectExtent l="0" t="0" r="0" b="1270"/>
            <wp:docPr id="2142" name="Obrázek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27659" cy="2222711"/>
                    </a:xfrm>
                    <a:prstGeom prst="rect">
                      <a:avLst/>
                    </a:prstGeom>
                  </pic:spPr>
                </pic:pic>
              </a:graphicData>
            </a:graphic>
          </wp:inline>
        </w:drawing>
      </w:r>
    </w:p>
    <w:p w14:paraId="2151DB31" w14:textId="2C9C3AD0" w:rsidR="005C052C" w:rsidRDefault="005C052C" w:rsidP="005A5B0A">
      <w:r w:rsidRPr="005C052C">
        <w:rPr>
          <w:rFonts w:ascii="Arial Narrow" w:hAnsi="Arial Narrow"/>
          <w:sz w:val="18"/>
          <w:szCs w:val="18"/>
        </w:rPr>
        <w:t>Zdroj: MV ČR</w:t>
      </w:r>
      <w:r w:rsidR="009820AB">
        <w:rPr>
          <w:rFonts w:ascii="Arial Narrow" w:hAnsi="Arial Narrow"/>
          <w:sz w:val="18"/>
          <w:szCs w:val="18"/>
        </w:rPr>
        <w:t xml:space="preserve">, </w:t>
      </w:r>
      <w:r w:rsidR="009820AB" w:rsidRPr="009820AB">
        <w:rPr>
          <w:rFonts w:ascii="Arial Narrow" w:hAnsi="Arial Narrow"/>
          <w:sz w:val="18"/>
          <w:szCs w:val="18"/>
        </w:rPr>
        <w:t>Statistická příloha ke čtvrtletní zprávě o migraci II</w:t>
      </w:r>
    </w:p>
    <w:p w14:paraId="07A89DC0" w14:textId="62A1E1E0" w:rsidR="005C052C" w:rsidRDefault="005C052C" w:rsidP="005C052C">
      <w:pPr>
        <w:pStyle w:val="Titulek"/>
        <w:keepNext/>
        <w:spacing w:after="0"/>
        <w:rPr>
          <w:rFonts w:ascii="Arial Narrow" w:hAnsi="Arial Narrow"/>
          <w:color w:val="auto"/>
          <w:sz w:val="20"/>
          <w:szCs w:val="20"/>
        </w:rPr>
      </w:pPr>
      <w:bookmarkStart w:id="199" w:name="_Toc136429294"/>
      <w:r w:rsidRPr="00BB2FBA">
        <w:rPr>
          <w:rFonts w:ascii="Arial Narrow" w:hAnsi="Arial Narrow"/>
          <w:color w:val="auto"/>
          <w:sz w:val="20"/>
          <w:szCs w:val="20"/>
        </w:rPr>
        <w:lastRenderedPageBreak/>
        <w:t xml:space="preserve">Obrázek </w:t>
      </w:r>
      <w:r w:rsidRPr="00BB2FBA">
        <w:rPr>
          <w:rFonts w:ascii="Arial Narrow" w:hAnsi="Arial Narrow"/>
          <w:color w:val="auto"/>
          <w:sz w:val="20"/>
          <w:szCs w:val="20"/>
        </w:rPr>
        <w:fldChar w:fldCharType="begin"/>
      </w:r>
      <w:r w:rsidRPr="00BB2FBA">
        <w:rPr>
          <w:rFonts w:ascii="Arial Narrow" w:hAnsi="Arial Narrow"/>
          <w:color w:val="auto"/>
          <w:sz w:val="20"/>
          <w:szCs w:val="20"/>
        </w:rPr>
        <w:instrText xml:space="preserve"> SEQ Obrázek \* ARABIC </w:instrText>
      </w:r>
      <w:r w:rsidRPr="00BB2FBA">
        <w:rPr>
          <w:rFonts w:ascii="Arial Narrow" w:hAnsi="Arial Narrow"/>
          <w:color w:val="auto"/>
          <w:sz w:val="20"/>
          <w:szCs w:val="20"/>
        </w:rPr>
        <w:fldChar w:fldCharType="separate"/>
      </w:r>
      <w:r w:rsidR="005B2F6C">
        <w:rPr>
          <w:rFonts w:ascii="Arial Narrow" w:hAnsi="Arial Narrow"/>
          <w:noProof/>
          <w:color w:val="auto"/>
          <w:sz w:val="20"/>
          <w:szCs w:val="20"/>
        </w:rPr>
        <w:t>10</w:t>
      </w:r>
      <w:r w:rsidRPr="00BB2FBA">
        <w:rPr>
          <w:rFonts w:ascii="Arial Narrow" w:hAnsi="Arial Narrow"/>
          <w:color w:val="auto"/>
          <w:sz w:val="20"/>
          <w:szCs w:val="20"/>
        </w:rPr>
        <w:fldChar w:fldCharType="end"/>
      </w:r>
      <w:r w:rsidRPr="00BB2FBA">
        <w:rPr>
          <w:rFonts w:ascii="Arial Narrow" w:hAnsi="Arial Narrow"/>
          <w:color w:val="auto"/>
          <w:sz w:val="20"/>
          <w:szCs w:val="20"/>
        </w:rPr>
        <w:t xml:space="preserve">: </w:t>
      </w:r>
      <w:r>
        <w:rPr>
          <w:rFonts w:ascii="Arial Narrow" w:hAnsi="Arial Narrow"/>
          <w:color w:val="auto"/>
          <w:sz w:val="20"/>
          <w:szCs w:val="20"/>
        </w:rPr>
        <w:t>Počty rozhodnutí o mezinárodní ochraně mezi lety 2017 a 2022 (k 31. 12.</w:t>
      </w:r>
      <w:r w:rsidR="004C30CB">
        <w:rPr>
          <w:rFonts w:ascii="Arial Narrow" w:hAnsi="Arial Narrow"/>
          <w:color w:val="auto"/>
          <w:sz w:val="20"/>
          <w:szCs w:val="20"/>
        </w:rPr>
        <w:t xml:space="preserve"> 2022</w:t>
      </w:r>
      <w:r>
        <w:rPr>
          <w:rFonts w:ascii="Arial Narrow" w:hAnsi="Arial Narrow"/>
          <w:color w:val="auto"/>
          <w:sz w:val="20"/>
          <w:szCs w:val="20"/>
        </w:rPr>
        <w:t>)</w:t>
      </w:r>
      <w:bookmarkEnd w:id="199"/>
    </w:p>
    <w:p w14:paraId="7C4B3ED2" w14:textId="330253DF" w:rsidR="005C052C" w:rsidRDefault="005A5B0A" w:rsidP="008A7D87">
      <w:pPr>
        <w:jc w:val="center"/>
      </w:pPr>
      <w:r w:rsidRPr="005A5B0A">
        <w:rPr>
          <w:noProof/>
          <w:lang w:eastAsia="cs-CZ"/>
        </w:rPr>
        <w:drawing>
          <wp:inline distT="0" distB="0" distL="0" distR="0" wp14:anchorId="7B5850E0" wp14:editId="20DA05B3">
            <wp:extent cx="4610100" cy="4340263"/>
            <wp:effectExtent l="0" t="0" r="0" b="3175"/>
            <wp:docPr id="2146" name="Obrázek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21670" cy="4351156"/>
                    </a:xfrm>
                    <a:prstGeom prst="rect">
                      <a:avLst/>
                    </a:prstGeom>
                  </pic:spPr>
                </pic:pic>
              </a:graphicData>
            </a:graphic>
          </wp:inline>
        </w:drawing>
      </w:r>
    </w:p>
    <w:p w14:paraId="5C788225" w14:textId="705B19C1" w:rsidR="005A5B0A" w:rsidRDefault="005A5B0A" w:rsidP="005A5B0A">
      <w:r w:rsidRPr="005C052C">
        <w:rPr>
          <w:rFonts w:ascii="Arial Narrow" w:hAnsi="Arial Narrow"/>
          <w:sz w:val="18"/>
          <w:szCs w:val="18"/>
        </w:rPr>
        <w:t>Zdroj: MV ČR</w:t>
      </w:r>
      <w:r w:rsidR="009820AB">
        <w:rPr>
          <w:rFonts w:ascii="Arial Narrow" w:hAnsi="Arial Narrow"/>
          <w:sz w:val="18"/>
          <w:szCs w:val="18"/>
        </w:rPr>
        <w:t xml:space="preserve">, </w:t>
      </w:r>
      <w:r w:rsidR="009820AB" w:rsidRPr="009820AB">
        <w:rPr>
          <w:rFonts w:ascii="Arial Narrow" w:hAnsi="Arial Narrow"/>
          <w:sz w:val="18"/>
          <w:szCs w:val="18"/>
        </w:rPr>
        <w:t>Statistická příloha ke čtvrtletní zprávě o migraci II</w:t>
      </w:r>
    </w:p>
    <w:p w14:paraId="44E8F4A0" w14:textId="297CA0E6" w:rsidR="008A7D87" w:rsidRDefault="00DE719C" w:rsidP="00665D4D">
      <w:pPr>
        <w:spacing w:after="240" w:line="276" w:lineRule="auto"/>
        <w:jc w:val="both"/>
        <w:rPr>
          <w:rFonts w:ascii="Arial Narrow" w:hAnsi="Arial Narrow"/>
          <w:bCs/>
        </w:rPr>
      </w:pPr>
      <w:bookmarkStart w:id="200" w:name="_Hlk92286768"/>
      <w:bookmarkStart w:id="201" w:name="_Hlk92199658"/>
      <w:r>
        <w:rPr>
          <w:rFonts w:ascii="Arial Narrow" w:hAnsi="Arial Narrow"/>
          <w:bCs/>
        </w:rPr>
        <w:br/>
      </w:r>
      <w:r w:rsidR="008A7D87" w:rsidRPr="008A7D87">
        <w:rPr>
          <w:rFonts w:ascii="Arial Narrow" w:hAnsi="Arial Narrow"/>
          <w:bCs/>
        </w:rPr>
        <w:t xml:space="preserve">Od počátku </w:t>
      </w:r>
      <w:r w:rsidR="008A7D87">
        <w:rPr>
          <w:rFonts w:ascii="Arial Narrow" w:hAnsi="Arial Narrow"/>
          <w:bCs/>
        </w:rPr>
        <w:t>rusko-ukrajinského konfliktu</w:t>
      </w:r>
      <w:r w:rsidR="008A7D87" w:rsidRPr="008A7D87">
        <w:rPr>
          <w:rFonts w:ascii="Arial Narrow" w:hAnsi="Arial Narrow"/>
          <w:bCs/>
        </w:rPr>
        <w:t xml:space="preserve"> do konce prosince</w:t>
      </w:r>
      <w:r w:rsidR="008A7D87">
        <w:rPr>
          <w:rFonts w:ascii="Arial Narrow" w:hAnsi="Arial Narrow"/>
          <w:bCs/>
        </w:rPr>
        <w:t xml:space="preserve"> 2022</w:t>
      </w:r>
      <w:r w:rsidR="008A7D87" w:rsidRPr="008A7D87">
        <w:rPr>
          <w:rFonts w:ascii="Arial Narrow" w:hAnsi="Arial Narrow"/>
          <w:bCs/>
        </w:rPr>
        <w:t xml:space="preserve"> bylo evidováno přes 15,1 mil. </w:t>
      </w:r>
      <w:r w:rsidR="008A7D87">
        <w:rPr>
          <w:rFonts w:ascii="Arial Narrow" w:hAnsi="Arial Narrow"/>
          <w:bCs/>
        </w:rPr>
        <w:t>p</w:t>
      </w:r>
      <w:r w:rsidR="008A7D87" w:rsidRPr="008A7D87">
        <w:rPr>
          <w:rFonts w:ascii="Arial Narrow" w:hAnsi="Arial Narrow"/>
          <w:bCs/>
        </w:rPr>
        <w:t>říchodů</w:t>
      </w:r>
      <w:r w:rsidR="008A7D87">
        <w:rPr>
          <w:rFonts w:ascii="Arial Narrow" w:hAnsi="Arial Narrow"/>
          <w:bCs/>
        </w:rPr>
        <w:t xml:space="preserve"> </w:t>
      </w:r>
      <w:r w:rsidR="008A7D87" w:rsidRPr="008A7D87">
        <w:rPr>
          <w:rFonts w:ascii="Arial Narrow" w:hAnsi="Arial Narrow"/>
          <w:bCs/>
        </w:rPr>
        <w:t>z Ukrajiny do EU přes hraniční přechody s Polskem, Slovenskem, Maďarskem a Rumunskem</w:t>
      </w:r>
      <w:r w:rsidR="008A7D87">
        <w:rPr>
          <w:rFonts w:ascii="Arial Narrow" w:hAnsi="Arial Narrow"/>
          <w:bCs/>
        </w:rPr>
        <w:t xml:space="preserve">. </w:t>
      </w:r>
      <w:r w:rsidR="008A7D87" w:rsidRPr="008A7D87">
        <w:rPr>
          <w:rFonts w:ascii="Arial Narrow" w:hAnsi="Arial Narrow"/>
          <w:bCs/>
        </w:rPr>
        <w:t>Ke konci prosince bylo zároveň zaznamenáno přes</w:t>
      </w:r>
      <w:r w:rsidR="008A7D87">
        <w:rPr>
          <w:rFonts w:ascii="Arial Narrow" w:hAnsi="Arial Narrow"/>
          <w:bCs/>
        </w:rPr>
        <w:t xml:space="preserve"> </w:t>
      </w:r>
      <w:r w:rsidR="008A7D87" w:rsidRPr="008A7D87">
        <w:rPr>
          <w:rFonts w:ascii="Arial Narrow" w:hAnsi="Arial Narrow"/>
          <w:bCs/>
        </w:rPr>
        <w:t>10,2 mil. návratů zpět na Ukrajinu (přesnou povahu těchto pohybů však nelze přesně určit).</w:t>
      </w:r>
    </w:p>
    <w:p w14:paraId="57E031E0" w14:textId="4B073057" w:rsidR="008A7D87" w:rsidRDefault="008A7D87" w:rsidP="008A7D87">
      <w:pPr>
        <w:spacing w:line="276" w:lineRule="auto"/>
        <w:jc w:val="both"/>
        <w:rPr>
          <w:rFonts w:ascii="Arial Narrow" w:hAnsi="Arial Narrow"/>
          <w:bCs/>
        </w:rPr>
      </w:pPr>
      <w:r w:rsidRPr="008A7D87">
        <w:rPr>
          <w:rFonts w:ascii="Arial Narrow" w:hAnsi="Arial Narrow"/>
          <w:bCs/>
        </w:rPr>
        <w:t xml:space="preserve">Dle dat Evropské agentury pro azyl bylo k v zemích EU+ k 31. prosinci </w:t>
      </w:r>
      <w:r>
        <w:rPr>
          <w:rFonts w:ascii="Arial Narrow" w:hAnsi="Arial Narrow"/>
          <w:bCs/>
        </w:rPr>
        <w:t xml:space="preserve">2022 </w:t>
      </w:r>
      <w:r w:rsidRPr="008A7D87">
        <w:rPr>
          <w:rFonts w:ascii="Arial Narrow" w:hAnsi="Arial Narrow"/>
          <w:bCs/>
        </w:rPr>
        <w:t>evidováno okolo 3,8 mil.</w:t>
      </w:r>
      <w:r>
        <w:rPr>
          <w:rFonts w:ascii="Arial Narrow" w:hAnsi="Arial Narrow"/>
          <w:bCs/>
        </w:rPr>
        <w:t xml:space="preserve"> </w:t>
      </w:r>
      <w:r w:rsidRPr="008A7D87">
        <w:rPr>
          <w:rFonts w:ascii="Arial Narrow" w:hAnsi="Arial Narrow"/>
          <w:bCs/>
        </w:rPr>
        <w:t xml:space="preserve">aktivních registrací o dočasnou ochranu, přičemž </w:t>
      </w:r>
      <w:r w:rsidR="004C30CB" w:rsidRPr="008A7D87">
        <w:rPr>
          <w:rFonts w:ascii="Arial Narrow" w:hAnsi="Arial Narrow"/>
          <w:bCs/>
        </w:rPr>
        <w:t>největší počet osob se</w:t>
      </w:r>
      <w:r w:rsidR="004C30CB">
        <w:rPr>
          <w:rFonts w:ascii="Arial Narrow" w:hAnsi="Arial Narrow"/>
          <w:bCs/>
        </w:rPr>
        <w:t xml:space="preserve"> </w:t>
      </w:r>
      <w:r w:rsidR="004C30CB" w:rsidRPr="008A7D87">
        <w:rPr>
          <w:rFonts w:ascii="Arial Narrow" w:hAnsi="Arial Narrow"/>
          <w:bCs/>
        </w:rPr>
        <w:t xml:space="preserve">statusem dočasné ochrany </w:t>
      </w:r>
      <w:r w:rsidRPr="008A7D87">
        <w:rPr>
          <w:rFonts w:ascii="Arial Narrow" w:hAnsi="Arial Narrow"/>
          <w:bCs/>
        </w:rPr>
        <w:t xml:space="preserve">v přepočtu na obyvatele </w:t>
      </w:r>
    </w:p>
    <w:p w14:paraId="54F0A27F" w14:textId="6DD666D9" w:rsidR="00DE719C" w:rsidRDefault="008A7D87" w:rsidP="00DE719C">
      <w:pPr>
        <w:spacing w:line="276" w:lineRule="auto"/>
        <w:jc w:val="both"/>
        <w:rPr>
          <w:rFonts w:ascii="Arial Narrow" w:hAnsi="Arial Narrow"/>
          <w:bCs/>
        </w:rPr>
      </w:pPr>
      <w:r w:rsidRPr="008A7D87">
        <w:rPr>
          <w:rFonts w:ascii="Arial Narrow" w:hAnsi="Arial Narrow"/>
          <w:bCs/>
        </w:rPr>
        <w:t>registrovala ČR.</w:t>
      </w:r>
      <w:r w:rsidR="00DE719C">
        <w:rPr>
          <w:rFonts w:ascii="Arial Narrow" w:hAnsi="Arial Narrow"/>
          <w:bCs/>
        </w:rPr>
        <w:t xml:space="preserve"> </w:t>
      </w:r>
      <w:r w:rsidR="00DE719C" w:rsidRPr="00DE719C">
        <w:rPr>
          <w:rFonts w:ascii="Arial Narrow" w:hAnsi="Arial Narrow"/>
          <w:bCs/>
        </w:rPr>
        <w:t>Ukrajina</w:t>
      </w:r>
      <w:r w:rsidR="00DE719C">
        <w:rPr>
          <w:rFonts w:ascii="Arial Narrow" w:hAnsi="Arial Narrow"/>
          <w:bCs/>
        </w:rPr>
        <w:t xml:space="preserve"> byla </w:t>
      </w:r>
      <w:r w:rsidR="00DE719C" w:rsidRPr="00DE719C">
        <w:rPr>
          <w:rFonts w:ascii="Arial Narrow" w:hAnsi="Arial Narrow"/>
          <w:bCs/>
        </w:rPr>
        <w:t>v roce 2022 osmou nejčastější zemí původu žadatelů</w:t>
      </w:r>
      <w:r w:rsidR="00DE719C">
        <w:rPr>
          <w:rFonts w:ascii="Arial Narrow" w:hAnsi="Arial Narrow"/>
          <w:bCs/>
        </w:rPr>
        <w:t xml:space="preserve"> </w:t>
      </w:r>
      <w:r w:rsidR="00DE719C" w:rsidRPr="00DE719C">
        <w:rPr>
          <w:rFonts w:ascii="Arial Narrow" w:hAnsi="Arial Narrow"/>
          <w:bCs/>
        </w:rPr>
        <w:t>o azyl v EU+.</w:t>
      </w:r>
      <w:r>
        <w:rPr>
          <w:rFonts w:ascii="Arial Narrow" w:hAnsi="Arial Narrow"/>
          <w:bCs/>
        </w:rPr>
        <w:tab/>
      </w:r>
    </w:p>
    <w:p w14:paraId="5EF955BB" w14:textId="6EDE4D30" w:rsidR="008A7D87" w:rsidRPr="00DE719C" w:rsidRDefault="00DE719C" w:rsidP="00DE719C">
      <w:pPr>
        <w:pStyle w:val="Titulek"/>
        <w:keepNext/>
        <w:spacing w:after="0"/>
        <w:rPr>
          <w:rFonts w:ascii="Arial Narrow" w:hAnsi="Arial Narrow"/>
          <w:color w:val="auto"/>
          <w:sz w:val="20"/>
          <w:szCs w:val="20"/>
        </w:rPr>
      </w:pPr>
      <w:r>
        <w:rPr>
          <w:rFonts w:ascii="Arial Narrow" w:hAnsi="Arial Narrow"/>
          <w:color w:val="auto"/>
          <w:sz w:val="20"/>
          <w:szCs w:val="20"/>
        </w:rPr>
        <w:br/>
      </w:r>
      <w:bookmarkStart w:id="202" w:name="_Toc136429295"/>
      <w:r w:rsidRPr="00BB2FBA">
        <w:rPr>
          <w:rFonts w:ascii="Arial Narrow" w:hAnsi="Arial Narrow"/>
          <w:color w:val="auto"/>
          <w:sz w:val="20"/>
          <w:szCs w:val="20"/>
        </w:rPr>
        <w:t xml:space="preserve">Obrázek </w:t>
      </w:r>
      <w:r w:rsidRPr="00BB2FBA">
        <w:rPr>
          <w:rFonts w:ascii="Arial Narrow" w:hAnsi="Arial Narrow"/>
          <w:color w:val="auto"/>
          <w:sz w:val="20"/>
          <w:szCs w:val="20"/>
        </w:rPr>
        <w:fldChar w:fldCharType="begin"/>
      </w:r>
      <w:r w:rsidRPr="00BB2FBA">
        <w:rPr>
          <w:rFonts w:ascii="Arial Narrow" w:hAnsi="Arial Narrow"/>
          <w:color w:val="auto"/>
          <w:sz w:val="20"/>
          <w:szCs w:val="20"/>
        </w:rPr>
        <w:instrText xml:space="preserve"> SEQ Obrázek \* ARABIC </w:instrText>
      </w:r>
      <w:r w:rsidRPr="00BB2FBA">
        <w:rPr>
          <w:rFonts w:ascii="Arial Narrow" w:hAnsi="Arial Narrow"/>
          <w:color w:val="auto"/>
          <w:sz w:val="20"/>
          <w:szCs w:val="20"/>
        </w:rPr>
        <w:fldChar w:fldCharType="separate"/>
      </w:r>
      <w:r w:rsidR="005B2F6C">
        <w:rPr>
          <w:rFonts w:ascii="Arial Narrow" w:hAnsi="Arial Narrow"/>
          <w:noProof/>
          <w:color w:val="auto"/>
          <w:sz w:val="20"/>
          <w:szCs w:val="20"/>
        </w:rPr>
        <w:t>11</w:t>
      </w:r>
      <w:r w:rsidRPr="00BB2FBA">
        <w:rPr>
          <w:rFonts w:ascii="Arial Narrow" w:hAnsi="Arial Narrow"/>
          <w:color w:val="auto"/>
          <w:sz w:val="20"/>
          <w:szCs w:val="20"/>
        </w:rPr>
        <w:fldChar w:fldCharType="end"/>
      </w:r>
      <w:r w:rsidRPr="00BB2FBA">
        <w:rPr>
          <w:rFonts w:ascii="Arial Narrow" w:hAnsi="Arial Narrow"/>
          <w:color w:val="auto"/>
          <w:sz w:val="20"/>
          <w:szCs w:val="20"/>
        </w:rPr>
        <w:t xml:space="preserve">: </w:t>
      </w:r>
      <w:r>
        <w:rPr>
          <w:rFonts w:ascii="Arial Narrow" w:hAnsi="Arial Narrow"/>
          <w:color w:val="auto"/>
          <w:sz w:val="20"/>
          <w:szCs w:val="20"/>
        </w:rPr>
        <w:t>Počty žádostí o dočasnou ochranu v EU (k 31. 12.</w:t>
      </w:r>
      <w:r w:rsidR="004C30CB">
        <w:rPr>
          <w:rFonts w:ascii="Arial Narrow" w:hAnsi="Arial Narrow"/>
          <w:color w:val="auto"/>
          <w:sz w:val="20"/>
          <w:szCs w:val="20"/>
        </w:rPr>
        <w:t xml:space="preserve"> 2022</w:t>
      </w:r>
      <w:r>
        <w:rPr>
          <w:rFonts w:ascii="Arial Narrow" w:hAnsi="Arial Narrow"/>
          <w:color w:val="auto"/>
          <w:sz w:val="20"/>
          <w:szCs w:val="20"/>
        </w:rPr>
        <w:t>)</w:t>
      </w:r>
      <w:bookmarkEnd w:id="202"/>
    </w:p>
    <w:p w14:paraId="25639EE7" w14:textId="77777777" w:rsidR="00DE719C" w:rsidRDefault="00DE719C" w:rsidP="00DE719C">
      <w:pPr>
        <w:jc w:val="center"/>
        <w:rPr>
          <w:rFonts w:ascii="Arial Narrow" w:hAnsi="Arial Narrow"/>
        </w:rPr>
      </w:pPr>
      <w:r w:rsidRPr="00DE719C">
        <w:rPr>
          <w:rFonts w:ascii="Arial Narrow" w:hAnsi="Arial Narrow"/>
          <w:noProof/>
          <w:lang w:eastAsia="cs-CZ"/>
        </w:rPr>
        <w:drawing>
          <wp:inline distT="0" distB="0" distL="0" distR="0" wp14:anchorId="557C96C2" wp14:editId="5D5A8101">
            <wp:extent cx="4581525" cy="1584747"/>
            <wp:effectExtent l="0" t="0" r="0" b="0"/>
            <wp:docPr id="2147" name="Obráze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90634" cy="1587898"/>
                    </a:xfrm>
                    <a:prstGeom prst="rect">
                      <a:avLst/>
                    </a:prstGeom>
                  </pic:spPr>
                </pic:pic>
              </a:graphicData>
            </a:graphic>
          </wp:inline>
        </w:drawing>
      </w:r>
    </w:p>
    <w:p w14:paraId="06A16CFB" w14:textId="76668500" w:rsidR="00DE719C" w:rsidRDefault="00DE719C" w:rsidP="00DE719C">
      <w:pPr>
        <w:rPr>
          <w:rFonts w:ascii="Arial Narrow" w:hAnsi="Arial Narrow"/>
          <w:sz w:val="18"/>
          <w:szCs w:val="18"/>
        </w:rPr>
      </w:pPr>
      <w:r w:rsidRPr="005C052C">
        <w:rPr>
          <w:rFonts w:ascii="Arial Narrow" w:hAnsi="Arial Narrow"/>
          <w:sz w:val="18"/>
          <w:szCs w:val="18"/>
        </w:rPr>
        <w:t>Zdroj: MV ČR</w:t>
      </w:r>
      <w:r w:rsidR="009820AB">
        <w:rPr>
          <w:rFonts w:ascii="Arial Narrow" w:hAnsi="Arial Narrow"/>
          <w:sz w:val="18"/>
          <w:szCs w:val="18"/>
        </w:rPr>
        <w:t xml:space="preserve">, </w:t>
      </w:r>
      <w:r w:rsidR="009820AB" w:rsidRPr="009820AB">
        <w:rPr>
          <w:rFonts w:ascii="Arial Narrow" w:hAnsi="Arial Narrow"/>
          <w:sz w:val="18"/>
          <w:szCs w:val="18"/>
        </w:rPr>
        <w:t>Statistická příloha ke čtvrtletní zprávě o migraci II</w:t>
      </w:r>
    </w:p>
    <w:p w14:paraId="5C025D23" w14:textId="61BBF136" w:rsidR="004C30CB" w:rsidRDefault="004C30CB" w:rsidP="00DE719C">
      <w:pPr>
        <w:rPr>
          <w:rFonts w:ascii="Arial Narrow" w:hAnsi="Arial Narrow"/>
          <w:sz w:val="18"/>
          <w:szCs w:val="18"/>
        </w:rPr>
      </w:pPr>
    </w:p>
    <w:p w14:paraId="00A3DDB2" w14:textId="77777777" w:rsidR="00665D4D" w:rsidRDefault="00665D4D" w:rsidP="00DE719C">
      <w:pPr>
        <w:rPr>
          <w:rFonts w:ascii="Arial Narrow" w:hAnsi="Arial Narrow"/>
          <w:b/>
          <w:bCs/>
          <w:sz w:val="20"/>
          <w:szCs w:val="20"/>
        </w:rPr>
      </w:pPr>
    </w:p>
    <w:p w14:paraId="02219B3C" w14:textId="1483E056" w:rsidR="004C30CB" w:rsidRPr="004C30CB" w:rsidRDefault="004C30CB" w:rsidP="00DE719C">
      <w:pPr>
        <w:rPr>
          <w:b/>
          <w:bCs/>
        </w:rPr>
      </w:pPr>
      <w:bookmarkStart w:id="203" w:name="_Toc136429296"/>
      <w:r w:rsidRPr="004C30CB">
        <w:rPr>
          <w:rFonts w:ascii="Arial Narrow" w:hAnsi="Arial Narrow"/>
          <w:b/>
          <w:bCs/>
          <w:sz w:val="20"/>
          <w:szCs w:val="20"/>
        </w:rPr>
        <w:lastRenderedPageBreak/>
        <w:t xml:space="preserve">Obrázek </w:t>
      </w:r>
      <w:r w:rsidRPr="004C30CB">
        <w:rPr>
          <w:rFonts w:ascii="Arial Narrow" w:hAnsi="Arial Narrow"/>
          <w:b/>
          <w:bCs/>
          <w:sz w:val="20"/>
          <w:szCs w:val="20"/>
        </w:rPr>
        <w:fldChar w:fldCharType="begin"/>
      </w:r>
      <w:r w:rsidRPr="004C30CB">
        <w:rPr>
          <w:rFonts w:ascii="Arial Narrow" w:hAnsi="Arial Narrow"/>
          <w:b/>
          <w:bCs/>
          <w:sz w:val="20"/>
          <w:szCs w:val="20"/>
        </w:rPr>
        <w:instrText xml:space="preserve"> SEQ Obrázek \* ARABIC </w:instrText>
      </w:r>
      <w:r w:rsidRPr="004C30CB">
        <w:rPr>
          <w:rFonts w:ascii="Arial Narrow" w:hAnsi="Arial Narrow"/>
          <w:b/>
          <w:bCs/>
          <w:sz w:val="20"/>
          <w:szCs w:val="20"/>
        </w:rPr>
        <w:fldChar w:fldCharType="separate"/>
      </w:r>
      <w:r w:rsidR="005B2F6C">
        <w:rPr>
          <w:rFonts w:ascii="Arial Narrow" w:hAnsi="Arial Narrow"/>
          <w:b/>
          <w:bCs/>
          <w:noProof/>
          <w:sz w:val="20"/>
          <w:szCs w:val="20"/>
        </w:rPr>
        <w:t>12</w:t>
      </w:r>
      <w:r w:rsidRPr="004C30CB">
        <w:rPr>
          <w:rFonts w:ascii="Arial Narrow" w:hAnsi="Arial Narrow"/>
          <w:b/>
          <w:bCs/>
          <w:sz w:val="20"/>
          <w:szCs w:val="20"/>
        </w:rPr>
        <w:fldChar w:fldCharType="end"/>
      </w:r>
      <w:r w:rsidRPr="004C30CB">
        <w:rPr>
          <w:rFonts w:ascii="Arial Narrow" w:hAnsi="Arial Narrow"/>
          <w:b/>
          <w:bCs/>
          <w:sz w:val="20"/>
          <w:szCs w:val="20"/>
        </w:rPr>
        <w:t xml:space="preserve">: </w:t>
      </w:r>
      <w:r>
        <w:rPr>
          <w:rFonts w:ascii="Arial Narrow" w:hAnsi="Arial Narrow"/>
          <w:b/>
          <w:bCs/>
          <w:sz w:val="20"/>
          <w:szCs w:val="20"/>
        </w:rPr>
        <w:t>Příchody z Ukrajiny na Slovensko, do Polska, Maďarska a Rumunska</w:t>
      </w:r>
      <w:r w:rsidRPr="004C30CB">
        <w:rPr>
          <w:rFonts w:ascii="Arial Narrow" w:hAnsi="Arial Narrow"/>
          <w:b/>
          <w:bCs/>
          <w:sz w:val="20"/>
          <w:szCs w:val="20"/>
        </w:rPr>
        <w:t xml:space="preserve"> (k 31. 12.</w:t>
      </w:r>
      <w:r>
        <w:rPr>
          <w:rFonts w:ascii="Arial Narrow" w:hAnsi="Arial Narrow"/>
          <w:b/>
          <w:bCs/>
          <w:sz w:val="20"/>
          <w:szCs w:val="20"/>
        </w:rPr>
        <w:t xml:space="preserve"> 2022</w:t>
      </w:r>
      <w:r w:rsidRPr="004C30CB">
        <w:rPr>
          <w:rFonts w:ascii="Arial Narrow" w:hAnsi="Arial Narrow"/>
          <w:b/>
          <w:bCs/>
          <w:sz w:val="20"/>
          <w:szCs w:val="20"/>
        </w:rPr>
        <w:t>)</w:t>
      </w:r>
      <w:bookmarkEnd w:id="203"/>
    </w:p>
    <w:p w14:paraId="1BBED0CD" w14:textId="22C79561" w:rsidR="008A7D87" w:rsidRDefault="004C30CB" w:rsidP="004C30CB">
      <w:pPr>
        <w:spacing w:line="276" w:lineRule="auto"/>
        <w:jc w:val="center"/>
        <w:rPr>
          <w:rFonts w:ascii="Arial Narrow" w:hAnsi="Arial Narrow"/>
        </w:rPr>
      </w:pPr>
      <w:r w:rsidRPr="004C30CB">
        <w:rPr>
          <w:rFonts w:ascii="Arial Narrow" w:hAnsi="Arial Narrow"/>
          <w:noProof/>
          <w:lang w:eastAsia="cs-CZ"/>
        </w:rPr>
        <w:drawing>
          <wp:inline distT="0" distB="0" distL="0" distR="0" wp14:anchorId="52EAB1C8" wp14:editId="3749BC3F">
            <wp:extent cx="4400550" cy="2759667"/>
            <wp:effectExtent l="0" t="0" r="0" b="3175"/>
            <wp:docPr id="2150" name="Obrázek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06040" cy="2763110"/>
                    </a:xfrm>
                    <a:prstGeom prst="rect">
                      <a:avLst/>
                    </a:prstGeom>
                  </pic:spPr>
                </pic:pic>
              </a:graphicData>
            </a:graphic>
          </wp:inline>
        </w:drawing>
      </w:r>
    </w:p>
    <w:p w14:paraId="54A3C4E1" w14:textId="56D26DF7" w:rsidR="004C30CB" w:rsidRDefault="004C30CB" w:rsidP="004C30CB">
      <w:pPr>
        <w:rPr>
          <w:rFonts w:ascii="Arial Narrow" w:hAnsi="Arial Narrow"/>
          <w:sz w:val="18"/>
          <w:szCs w:val="18"/>
        </w:rPr>
      </w:pPr>
      <w:r w:rsidRPr="7CC7BF57">
        <w:rPr>
          <w:rFonts w:ascii="Arial Narrow" w:hAnsi="Arial Narrow"/>
          <w:sz w:val="18"/>
          <w:szCs w:val="18"/>
        </w:rPr>
        <w:t>Zdroj: MV Č</w:t>
      </w:r>
      <w:r w:rsidR="009820AB">
        <w:rPr>
          <w:rFonts w:ascii="Arial Narrow" w:hAnsi="Arial Narrow"/>
          <w:sz w:val="18"/>
          <w:szCs w:val="18"/>
        </w:rPr>
        <w:t xml:space="preserve">R, </w:t>
      </w:r>
      <w:r w:rsidR="009820AB" w:rsidRPr="009820AB">
        <w:rPr>
          <w:rFonts w:ascii="Arial Narrow" w:hAnsi="Arial Narrow"/>
          <w:sz w:val="18"/>
          <w:szCs w:val="18"/>
        </w:rPr>
        <w:t>Statistická příloha ke čtvrtletní zprávě o migraci II</w:t>
      </w:r>
    </w:p>
    <w:p w14:paraId="4642B38B" w14:textId="77777777" w:rsidR="008A7D87" w:rsidRDefault="008A7D87" w:rsidP="002D646B">
      <w:pPr>
        <w:spacing w:line="276" w:lineRule="auto"/>
        <w:jc w:val="both"/>
        <w:rPr>
          <w:rFonts w:ascii="Arial Narrow" w:hAnsi="Arial Narrow"/>
        </w:rPr>
      </w:pPr>
    </w:p>
    <w:p w14:paraId="4D4A2604" w14:textId="30A136CE" w:rsidR="00AA09FA" w:rsidRDefault="00436C54" w:rsidP="00AA09FA">
      <w:pPr>
        <w:spacing w:after="240" w:line="276" w:lineRule="auto"/>
        <w:jc w:val="both"/>
        <w:rPr>
          <w:rFonts w:ascii="Arial Narrow" w:hAnsi="Arial Narrow"/>
        </w:rPr>
      </w:pPr>
      <w:r w:rsidRPr="00CE357F">
        <w:rPr>
          <w:rFonts w:ascii="Arial Narrow" w:hAnsi="Arial Narrow"/>
        </w:rPr>
        <w:t xml:space="preserve">V Jihomoravském kraji žilo k 31. 12. 2020 58 790 osob s jinou než českou státní příslušností, z toho 55,8 % přechodně a 44,2 % trvale. Poměr mezi podíly statutů trvalého a přechodného pobytu byt k tomuto datu srovnatelný s jinými kraji </w:t>
      </w:r>
      <w:r w:rsidR="00BE1B8D" w:rsidRPr="00CE357F">
        <w:rPr>
          <w:rFonts w:ascii="Arial Narrow" w:hAnsi="Arial Narrow"/>
        </w:rPr>
        <w:t>Č</w:t>
      </w:r>
      <w:r w:rsidRPr="00CE357F">
        <w:rPr>
          <w:rFonts w:ascii="Arial Narrow" w:hAnsi="Arial Narrow"/>
        </w:rPr>
        <w:t>eské republiky (např. v Kraji Vysočina bylo ke stejnému datu evidováno</w:t>
      </w:r>
      <w:r w:rsidR="002D646B" w:rsidRPr="00CE357F">
        <w:rPr>
          <w:rFonts w:ascii="Arial Narrow" w:hAnsi="Arial Narrow"/>
        </w:rPr>
        <w:t xml:space="preserve"> 56,4 % osob s přechodným a</w:t>
      </w:r>
      <w:r w:rsidRPr="00CE357F">
        <w:rPr>
          <w:rFonts w:ascii="Arial Narrow" w:hAnsi="Arial Narrow"/>
        </w:rPr>
        <w:t xml:space="preserve"> 43,6 % s trvalým pobytem</w:t>
      </w:r>
      <w:r w:rsidR="002D646B" w:rsidRPr="00CE357F">
        <w:rPr>
          <w:rFonts w:ascii="Arial Narrow" w:hAnsi="Arial Narrow"/>
        </w:rPr>
        <w:t>.</w:t>
      </w:r>
    </w:p>
    <w:p w14:paraId="585332DD" w14:textId="3F310955" w:rsidR="00F112B7" w:rsidRPr="00CE357F" w:rsidRDefault="00F112B7" w:rsidP="00AA09FA">
      <w:pPr>
        <w:shd w:val="clear" w:color="auto" w:fill="D9E2F3" w:themeFill="accent1" w:themeFillTint="33"/>
        <w:spacing w:line="276" w:lineRule="auto"/>
        <w:jc w:val="both"/>
        <w:rPr>
          <w:rFonts w:ascii="Arial Narrow" w:hAnsi="Arial Narrow"/>
        </w:rPr>
      </w:pPr>
      <w:r w:rsidRPr="00AA09FA">
        <w:rPr>
          <w:rFonts w:ascii="Arial Narrow" w:hAnsi="Arial Narrow"/>
        </w:rPr>
        <w:t>K 31. 12. 2022 žilo v Jihomoravském kraji 111 130 osob s jinou než českou státní příslušností, z toho 74,7 % přechodně a 25,3 % trvale. Oproti roku 2020 se jedná o výrazné zvýšení podílu osob, které mají v JMK přechodný pobyt.</w:t>
      </w:r>
      <w:r w:rsidRPr="00AA09FA">
        <w:rPr>
          <w:rFonts w:ascii="Arial Narrow" w:hAnsi="Arial Narrow"/>
          <w:shd w:val="clear" w:color="auto" w:fill="D9E2F3" w:themeFill="accent1" w:themeFillTint="33"/>
        </w:rPr>
        <w:t xml:space="preserve"> V kontextu ostatních krajů ČR se nicméně nejedná o výjimku.</w:t>
      </w:r>
    </w:p>
    <w:p w14:paraId="05F07A50" w14:textId="47CA8C31" w:rsidR="00BE1B8D" w:rsidRPr="00F112B7" w:rsidRDefault="00BE1B8D" w:rsidP="00BE1B8D">
      <w:pPr>
        <w:spacing w:before="240" w:line="276" w:lineRule="auto"/>
        <w:jc w:val="both"/>
        <w:rPr>
          <w:rFonts w:ascii="Arial Narrow" w:hAnsi="Arial Narrow"/>
        </w:rPr>
      </w:pPr>
      <w:r w:rsidRPr="00CE357F">
        <w:rPr>
          <w:rFonts w:ascii="Arial Narrow" w:hAnsi="Arial Narrow"/>
        </w:rPr>
        <w:t xml:space="preserve">Podíváme-li se na jednotlivé okresy Jihomoravského kraje podle kategorie pobytu osob s jinou než českou státní příslušností, </w:t>
      </w:r>
      <w:r w:rsidR="00EB5D92" w:rsidRPr="00CE357F">
        <w:rPr>
          <w:rFonts w:ascii="Arial Narrow" w:hAnsi="Arial Narrow"/>
        </w:rPr>
        <w:t xml:space="preserve">je patrné, že na celokrajském podílu přechodných a trvalých pobytů má největší podíl okres Brno-město. Na území okresu Brno-město žilo k 31. 12. 2020 celkem 61,6 % osob s jinou než českou státní příslušností přechodně a 38,4 % osob trvale. Vyšší podíl osob s jinou než českou státní příslušností žijících na území daného okresu přechodně, byl evidován také v okresech Břeclav (51,9 %) a Hodonín (53,8 %). Ve zbývajících čtyřech okresech byl </w:t>
      </w:r>
      <w:r w:rsidR="00EB5D92" w:rsidRPr="00F112B7">
        <w:rPr>
          <w:rFonts w:ascii="Arial Narrow" w:hAnsi="Arial Narrow"/>
        </w:rPr>
        <w:t>evidován vyšší podíl osob s jinou než českou státní příslušností s trvalým pobytem (58,3 % v okrese Blansko, 56,4 % v okrese Brno-venkov, 59,8 % v okrese Vyškov a 55,6 % v okrese Znojmo).</w:t>
      </w:r>
    </w:p>
    <w:p w14:paraId="14D99418" w14:textId="77777777" w:rsidR="00064756" w:rsidRDefault="00F112B7" w:rsidP="00064756">
      <w:pPr>
        <w:spacing w:before="240" w:line="276" w:lineRule="auto"/>
        <w:jc w:val="both"/>
        <w:rPr>
          <w:rFonts w:ascii="Arial Narrow" w:hAnsi="Arial Narrow"/>
        </w:rPr>
      </w:pPr>
      <w:r w:rsidRPr="00F112B7">
        <w:rPr>
          <w:rFonts w:ascii="Arial Narrow" w:hAnsi="Arial Narrow"/>
        </w:rPr>
        <w:t xml:space="preserve">V roce 2022 se situace v okresech Jihomoravského kraje značně proměnila. Všechny okresy zaznamenaly zvýšení podílu osob evidovaných v kategorii přechodného pobytu o více </w:t>
      </w:r>
      <w:r>
        <w:rPr>
          <w:rFonts w:ascii="Arial Narrow" w:hAnsi="Arial Narrow"/>
        </w:rPr>
        <w:t>než</w:t>
      </w:r>
      <w:r w:rsidRPr="00F112B7">
        <w:rPr>
          <w:rFonts w:ascii="Arial Narrow" w:hAnsi="Arial Narrow"/>
        </w:rPr>
        <w:t xml:space="preserve"> 10 %. Nejvyšší podíl osob v kategorii přechodného pobytu má okres Brno-město a Břeclav (shodně 76,4 %), dále okres Znojmo (73,4 %), Blansko (72,6 %), Brno-venkov (70 %) a Vyškov (68,8 %).</w:t>
      </w:r>
    </w:p>
    <w:p w14:paraId="24DBA5E7" w14:textId="3FF46E40" w:rsidR="00064756" w:rsidRDefault="00064756" w:rsidP="00064756">
      <w:pPr>
        <w:spacing w:before="240" w:line="276" w:lineRule="auto"/>
        <w:jc w:val="both"/>
        <w:rPr>
          <w:rFonts w:ascii="Arial Narrow" w:hAnsi="Arial Narrow"/>
        </w:rPr>
      </w:pPr>
      <w:r w:rsidRPr="7CC7BF57">
        <w:rPr>
          <w:rFonts w:ascii="Arial Narrow" w:hAnsi="Arial Narrow"/>
        </w:rPr>
        <w:t>Dle dat Ministerstva vnitra ČR byl počet osob s uděleným pobytovým oprávněním</w:t>
      </w:r>
      <w:r w:rsidR="00665D4D">
        <w:rPr>
          <w:rStyle w:val="Znakapoznpodarou"/>
          <w:rFonts w:ascii="Arial Narrow" w:hAnsi="Arial Narrow"/>
        </w:rPr>
        <w:footnoteReference w:id="16"/>
      </w:r>
      <w:r w:rsidRPr="7CC7BF57">
        <w:rPr>
          <w:rFonts w:ascii="Arial Narrow" w:hAnsi="Arial Narrow"/>
        </w:rPr>
        <w:t xml:space="preserve"> v souvislosti s válkou na Ukrajině ke dni 1. 1. 2023 v Jihomoravském kraji celkem 44 371 osob. </w:t>
      </w:r>
      <w:r w:rsidR="00447074" w:rsidRPr="7CC7BF57">
        <w:rPr>
          <w:rFonts w:ascii="Arial Narrow" w:hAnsi="Arial Narrow"/>
        </w:rPr>
        <w:t xml:space="preserve">Největší počet těchto osob byl evidován v obcích Brno-město, Znojmo, Břeclav, Blansko, Kuřim, Vyškov, Modřice, Pohořelice, Bzenec a Hodonín. </w:t>
      </w:r>
      <w:r w:rsidRPr="7CC7BF57">
        <w:rPr>
          <w:rFonts w:ascii="Arial Narrow" w:hAnsi="Arial Narrow"/>
        </w:rPr>
        <w:t xml:space="preserve">Součet </w:t>
      </w:r>
      <w:r w:rsidR="00447074" w:rsidRPr="7CC7BF57">
        <w:rPr>
          <w:rFonts w:ascii="Arial Narrow" w:hAnsi="Arial Narrow"/>
        </w:rPr>
        <w:lastRenderedPageBreak/>
        <w:t>dat</w:t>
      </w:r>
      <w:r w:rsidRPr="7CC7BF57">
        <w:rPr>
          <w:rFonts w:ascii="Arial Narrow" w:hAnsi="Arial Narrow"/>
        </w:rPr>
        <w:t xml:space="preserve"> nicméně nemusí přesně odpovídat, například kvůli odchylkám způsobeným špatně vyplněnou žádostí nebo kvůli iniciativám jednotlivců</w:t>
      </w:r>
      <w:r w:rsidRPr="00173E7B">
        <w:rPr>
          <w:rFonts w:ascii="Arial Narrow" w:hAnsi="Arial Narrow"/>
        </w:rPr>
        <w:t xml:space="preserve">, kteří </w:t>
      </w:r>
      <w:r w:rsidR="00AA09FA" w:rsidRPr="00173E7B">
        <w:rPr>
          <w:rFonts w:ascii="Arial Narrow" w:hAnsi="Arial Narrow"/>
        </w:rPr>
        <w:t>příchozím z Ukrajiny p</w:t>
      </w:r>
      <w:r w:rsidRPr="00173E7B">
        <w:rPr>
          <w:rFonts w:ascii="Arial Narrow" w:hAnsi="Arial Narrow"/>
        </w:rPr>
        <w:t>omáhají po vlastní ose.</w:t>
      </w:r>
    </w:p>
    <w:p w14:paraId="1459B534" w14:textId="70DD0FA1" w:rsidR="00064756" w:rsidRDefault="00064756" w:rsidP="00064756">
      <w:pPr>
        <w:spacing w:before="240" w:line="276" w:lineRule="auto"/>
        <w:jc w:val="both"/>
        <w:rPr>
          <w:rFonts w:ascii="Arial Narrow" w:hAnsi="Arial Narrow"/>
        </w:rPr>
      </w:pPr>
      <w:r w:rsidRPr="7CC7BF57">
        <w:rPr>
          <w:rFonts w:ascii="Arial Narrow" w:hAnsi="Arial Narrow"/>
        </w:rPr>
        <w:t xml:space="preserve">Většina </w:t>
      </w:r>
      <w:r w:rsidR="00195D4E" w:rsidRPr="7CC7BF57">
        <w:rPr>
          <w:rFonts w:ascii="Arial Narrow" w:hAnsi="Arial Narrow"/>
        </w:rPr>
        <w:t>všech evidovaných</w:t>
      </w:r>
      <w:r w:rsidRPr="7CC7BF57">
        <w:rPr>
          <w:rFonts w:ascii="Arial Narrow" w:hAnsi="Arial Narrow"/>
        </w:rPr>
        <w:t xml:space="preserve">, kterým bylo </w:t>
      </w:r>
      <w:r w:rsidR="00195D4E" w:rsidRPr="7CC7BF57">
        <w:rPr>
          <w:rFonts w:ascii="Arial Narrow" w:hAnsi="Arial Narrow"/>
        </w:rPr>
        <w:t xml:space="preserve">k 1. 1. 2023 </w:t>
      </w:r>
      <w:r w:rsidRPr="7CC7BF57">
        <w:rPr>
          <w:rFonts w:ascii="Arial Narrow" w:hAnsi="Arial Narrow"/>
        </w:rPr>
        <w:t>uděleno pobytové oprávnění v souvislosti s válkou,</w:t>
      </w:r>
      <w:r w:rsidR="00195D4E" w:rsidRPr="7CC7BF57">
        <w:rPr>
          <w:rFonts w:ascii="Arial Narrow" w:hAnsi="Arial Narrow"/>
        </w:rPr>
        <w:t xml:space="preserve"> byly</w:t>
      </w:r>
      <w:r w:rsidRPr="7CC7BF57">
        <w:rPr>
          <w:rFonts w:ascii="Arial Narrow" w:hAnsi="Arial Narrow"/>
        </w:rPr>
        <w:t xml:space="preserve"> ženy</w:t>
      </w:r>
      <w:r w:rsidR="00195D4E" w:rsidRPr="7CC7BF57">
        <w:rPr>
          <w:rFonts w:ascii="Arial Narrow" w:hAnsi="Arial Narrow"/>
        </w:rPr>
        <w:t>. Celkem se jednalo o 16 245 mužů a 28 126 žen.</w:t>
      </w:r>
      <w:r w:rsidRPr="7CC7BF57">
        <w:rPr>
          <w:rFonts w:ascii="Arial Narrow" w:hAnsi="Arial Narrow"/>
        </w:rPr>
        <w:t xml:space="preserve"> </w:t>
      </w:r>
      <w:r w:rsidR="00195D4E" w:rsidRPr="7CC7BF57">
        <w:rPr>
          <w:rFonts w:ascii="Arial Narrow" w:hAnsi="Arial Narrow"/>
        </w:rPr>
        <w:t>Z</w:t>
      </w:r>
      <w:r w:rsidRPr="7CC7BF57">
        <w:rPr>
          <w:rFonts w:ascii="Arial Narrow" w:hAnsi="Arial Narrow"/>
        </w:rPr>
        <w:t xml:space="preserve">ejména </w:t>
      </w:r>
      <w:r w:rsidR="00195D4E" w:rsidRPr="7CC7BF57">
        <w:rPr>
          <w:rFonts w:ascii="Arial Narrow" w:hAnsi="Arial Narrow"/>
        </w:rPr>
        <w:t>se jednalo o ženy</w:t>
      </w:r>
      <w:r w:rsidRPr="7CC7BF57">
        <w:rPr>
          <w:rFonts w:ascii="Arial Narrow" w:hAnsi="Arial Narrow"/>
        </w:rPr>
        <w:t xml:space="preserve"> ve věku 18–65 let</w:t>
      </w:r>
      <w:r w:rsidR="00195D4E" w:rsidRPr="7CC7BF57">
        <w:rPr>
          <w:rFonts w:ascii="Arial Narrow" w:hAnsi="Arial Narrow"/>
        </w:rPr>
        <w:t xml:space="preserve"> (20 279 osob)</w:t>
      </w:r>
      <w:r w:rsidRPr="7CC7BF57">
        <w:rPr>
          <w:rFonts w:ascii="Arial Narrow" w:hAnsi="Arial Narrow"/>
        </w:rPr>
        <w:t>,</w:t>
      </w:r>
      <w:r w:rsidR="00195D4E" w:rsidRPr="7CC7BF57">
        <w:rPr>
          <w:rFonts w:ascii="Arial Narrow" w:hAnsi="Arial Narrow"/>
        </w:rPr>
        <w:t xml:space="preserve"> mužů v této kategorii bylo celkem 8 848.</w:t>
      </w:r>
      <w:r w:rsidRPr="7CC7BF57">
        <w:rPr>
          <w:rFonts w:ascii="Arial Narrow" w:hAnsi="Arial Narrow"/>
        </w:rPr>
        <w:t xml:space="preserve"> Početnou kategorii tvoř</w:t>
      </w:r>
      <w:r w:rsidR="00195D4E" w:rsidRPr="7CC7BF57">
        <w:rPr>
          <w:rFonts w:ascii="Arial Narrow" w:hAnsi="Arial Narrow"/>
        </w:rPr>
        <w:t>ily</w:t>
      </w:r>
      <w:r w:rsidRPr="7CC7BF57">
        <w:rPr>
          <w:rFonts w:ascii="Arial Narrow" w:hAnsi="Arial Narrow"/>
        </w:rPr>
        <w:t xml:space="preserve"> rovněž děti od </w:t>
      </w:r>
      <w:r w:rsidR="00195D4E" w:rsidRPr="7CC7BF57">
        <w:rPr>
          <w:rFonts w:ascii="Arial Narrow" w:hAnsi="Arial Narrow"/>
        </w:rPr>
        <w:t>sedmi</w:t>
      </w:r>
      <w:r w:rsidRPr="7CC7BF57">
        <w:rPr>
          <w:rFonts w:ascii="Arial Narrow" w:hAnsi="Arial Narrow"/>
        </w:rPr>
        <w:t xml:space="preserve"> do patnácti let</w:t>
      </w:r>
      <w:r w:rsidR="00195D4E" w:rsidRPr="7CC7BF57">
        <w:rPr>
          <w:rFonts w:ascii="Arial Narrow" w:hAnsi="Arial Narrow"/>
        </w:rPr>
        <w:t xml:space="preserve"> (3 775 mužů a 3 770 žen)</w:t>
      </w:r>
      <w:r w:rsidR="007226E2">
        <w:rPr>
          <w:rFonts w:ascii="Arial Narrow" w:hAnsi="Arial Narrow"/>
        </w:rPr>
        <w:t xml:space="preserve"> (graf č. 27)</w:t>
      </w:r>
      <w:r w:rsidRPr="7CC7BF57">
        <w:rPr>
          <w:rFonts w:ascii="Arial Narrow" w:hAnsi="Arial Narrow"/>
        </w:rPr>
        <w:t>.</w:t>
      </w:r>
    </w:p>
    <w:p w14:paraId="64904963" w14:textId="5C5AE91C" w:rsidR="00064756" w:rsidRDefault="00165C57" w:rsidP="00BE1B8D">
      <w:pPr>
        <w:spacing w:before="240" w:line="276" w:lineRule="auto"/>
        <w:jc w:val="both"/>
        <w:rPr>
          <w:rFonts w:ascii="Arial Narrow" w:hAnsi="Arial Narrow"/>
        </w:rPr>
      </w:pPr>
      <w:bookmarkStart w:id="204" w:name="_Toc136428871"/>
      <w:r w:rsidRPr="00165C57">
        <w:rPr>
          <w:rFonts w:ascii="Arial Narrow" w:hAnsi="Arial Narrow"/>
          <w:b/>
          <w:bCs/>
          <w:sz w:val="20"/>
          <w:szCs w:val="20"/>
        </w:rPr>
        <w:t xml:space="preserve">Graf </w:t>
      </w:r>
      <w:r w:rsidRPr="00165C57">
        <w:rPr>
          <w:rFonts w:ascii="Arial Narrow" w:hAnsi="Arial Narrow"/>
          <w:b/>
          <w:bCs/>
          <w:sz w:val="20"/>
          <w:szCs w:val="20"/>
        </w:rPr>
        <w:fldChar w:fldCharType="begin"/>
      </w:r>
      <w:r w:rsidRPr="00165C57">
        <w:rPr>
          <w:rFonts w:ascii="Arial Narrow" w:hAnsi="Arial Narrow"/>
          <w:b/>
          <w:bCs/>
          <w:sz w:val="20"/>
          <w:szCs w:val="20"/>
        </w:rPr>
        <w:instrText xml:space="preserve"> SEQ Graf \* ARABIC </w:instrText>
      </w:r>
      <w:r w:rsidRPr="00165C57">
        <w:rPr>
          <w:rFonts w:ascii="Arial Narrow" w:hAnsi="Arial Narrow"/>
          <w:b/>
          <w:bCs/>
          <w:sz w:val="20"/>
          <w:szCs w:val="20"/>
        </w:rPr>
        <w:fldChar w:fldCharType="separate"/>
      </w:r>
      <w:r w:rsidR="009F49C8">
        <w:rPr>
          <w:rFonts w:ascii="Arial Narrow" w:hAnsi="Arial Narrow"/>
          <w:b/>
          <w:bCs/>
          <w:noProof/>
          <w:sz w:val="20"/>
          <w:szCs w:val="20"/>
        </w:rPr>
        <w:t>27</w:t>
      </w:r>
      <w:r w:rsidRPr="00165C57">
        <w:rPr>
          <w:rFonts w:ascii="Arial Narrow" w:hAnsi="Arial Narrow"/>
          <w:b/>
          <w:bCs/>
          <w:sz w:val="20"/>
          <w:szCs w:val="20"/>
        </w:rPr>
        <w:fldChar w:fldCharType="end"/>
      </w:r>
      <w:r w:rsidRPr="00165C57">
        <w:rPr>
          <w:rFonts w:ascii="Arial Narrow" w:hAnsi="Arial Narrow"/>
          <w:b/>
          <w:bCs/>
          <w:sz w:val="20"/>
          <w:szCs w:val="20"/>
        </w:rPr>
        <w:t>: Populační pyramida osob s uděleným pobytovým oprávněním v souvislosti s válkou na Ukrajině v Jihomoravském kraji k 1. 1. 2023</w:t>
      </w:r>
      <w:r w:rsidRPr="00165C57">
        <w:rPr>
          <w:rFonts w:ascii="Arial Narrow" w:hAnsi="Arial Narrow"/>
          <w:b/>
          <w:bCs/>
          <w:sz w:val="20"/>
          <w:szCs w:val="20"/>
        </w:rPr>
        <w:tab/>
      </w:r>
      <w:r w:rsidRPr="00165C57">
        <w:rPr>
          <w:rFonts w:ascii="Arial Narrow" w:hAnsi="Arial Narrow"/>
        </w:rPr>
        <w:t xml:space="preserve"> </w:t>
      </w:r>
      <w:r w:rsidRPr="00165C57">
        <w:rPr>
          <w:noProof/>
          <w:shd w:val="clear" w:color="auto" w:fill="F2F2F2" w:themeFill="background1" w:themeFillShade="F2"/>
          <w:lang w:eastAsia="cs-CZ"/>
        </w:rPr>
        <w:drawing>
          <wp:inline distT="0" distB="0" distL="0" distR="0" wp14:anchorId="510765F5" wp14:editId="2866D838">
            <wp:extent cx="5791200" cy="2743200"/>
            <wp:effectExtent l="0" t="0" r="0" b="0"/>
            <wp:docPr id="2151" name="Graf 2151">
              <a:extLst xmlns:a="http://schemas.openxmlformats.org/drawingml/2006/main">
                <a:ext uri="{FF2B5EF4-FFF2-40B4-BE49-F238E27FC236}">
                  <a16:creationId xmlns:a16="http://schemas.microsoft.com/office/drawing/2014/main" id="{1DDACFD3-B450-2A40-0B04-DF39208BA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204"/>
    </w:p>
    <w:p w14:paraId="6AC51E5A" w14:textId="23052A52" w:rsidR="00165C57" w:rsidRDefault="00165C57" w:rsidP="00165C57">
      <w:pPr>
        <w:spacing w:line="276" w:lineRule="auto"/>
        <w:rPr>
          <w:rFonts w:ascii="Arial Narrow" w:hAnsi="Arial Narrow"/>
          <w:sz w:val="20"/>
          <w:szCs w:val="20"/>
        </w:rPr>
      </w:pPr>
      <w:r w:rsidRPr="00CE357F">
        <w:rPr>
          <w:rFonts w:ascii="Arial Narrow" w:hAnsi="Arial Narrow"/>
          <w:sz w:val="20"/>
          <w:szCs w:val="20"/>
        </w:rPr>
        <w:t xml:space="preserve">Zdroj: </w:t>
      </w:r>
      <w:r>
        <w:rPr>
          <w:rFonts w:ascii="Arial Narrow" w:hAnsi="Arial Narrow"/>
          <w:sz w:val="20"/>
          <w:szCs w:val="20"/>
        </w:rPr>
        <w:t>MV ČR</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r>
        <w:rPr>
          <w:rFonts w:ascii="Arial Narrow" w:hAnsi="Arial Narrow"/>
          <w:sz w:val="20"/>
          <w:szCs w:val="20"/>
        </w:rPr>
        <w:t>.</w:t>
      </w:r>
    </w:p>
    <w:p w14:paraId="05B84E1A" w14:textId="74342977" w:rsidR="00064756" w:rsidRDefault="00064756" w:rsidP="00BE1B8D">
      <w:pPr>
        <w:spacing w:before="240" w:line="276" w:lineRule="auto"/>
        <w:jc w:val="both"/>
        <w:rPr>
          <w:rFonts w:ascii="Arial Narrow" w:hAnsi="Arial Narrow"/>
        </w:rPr>
      </w:pPr>
    </w:p>
    <w:p w14:paraId="432F4661" w14:textId="367E304D" w:rsidR="00F1264F" w:rsidRPr="00CE357F" w:rsidRDefault="00F1264F" w:rsidP="002E468D">
      <w:pPr>
        <w:pStyle w:val="Nadpis3"/>
      </w:pPr>
      <w:bookmarkStart w:id="205" w:name="_Toc136876077"/>
      <w:r w:rsidRPr="00CE357F">
        <w:t>Osoby s jinou než českou státní příslušností</w:t>
      </w:r>
      <w:r w:rsidRPr="002E468D">
        <w:rPr>
          <w:rFonts w:eastAsia="Calibri"/>
        </w:rPr>
        <w:t xml:space="preserve"> </w:t>
      </w:r>
      <w:r w:rsidRPr="00CE357F">
        <w:t>v českém vzdělávacím systému</w:t>
      </w:r>
      <w:bookmarkEnd w:id="205"/>
      <w:r w:rsidR="008212B7" w:rsidRPr="00CE357F">
        <w:t xml:space="preserve"> </w:t>
      </w:r>
    </w:p>
    <w:p w14:paraId="07ABDB32" w14:textId="77777777" w:rsidR="00F1264F" w:rsidRPr="00CE357F" w:rsidRDefault="00F1264F" w:rsidP="00F1264F">
      <w:pPr>
        <w:spacing w:line="276" w:lineRule="auto"/>
        <w:rPr>
          <w:rFonts w:ascii="Arial Narrow" w:hAnsi="Arial Narrow"/>
          <w:b/>
          <w:color w:val="2F5496" w:themeColor="accent1" w:themeShade="BF"/>
        </w:rPr>
      </w:pPr>
    </w:p>
    <w:p w14:paraId="4FD5E7CB" w14:textId="25D1C44D" w:rsidR="00AE66E1" w:rsidRPr="00AE66E1" w:rsidRDefault="00AE66E1" w:rsidP="00AE66E1">
      <w:pPr>
        <w:spacing w:after="120" w:line="276" w:lineRule="auto"/>
        <w:jc w:val="both"/>
        <w:rPr>
          <w:rStyle w:val="ListLabel100"/>
          <w:rFonts w:ascii="Arial Narrow" w:hAnsi="Arial Narrow"/>
          <w:sz w:val="22"/>
          <w:szCs w:val="22"/>
          <w:highlight w:val="none"/>
        </w:rPr>
      </w:pPr>
      <w:r w:rsidRPr="00AE66E1">
        <w:rPr>
          <w:rStyle w:val="ListLabel100"/>
          <w:rFonts w:ascii="Arial Narrow" w:hAnsi="Arial Narrow"/>
          <w:sz w:val="22"/>
          <w:szCs w:val="22"/>
          <w:highlight w:val="none"/>
        </w:rPr>
        <w:t>Cizinci mají v České republice v oblasti základního, středního, vyššího odborného a vysokoškolského vzdělávání stejná práva a povinnosti jako občané České republiky (pokud není zákonem stanoveno jinak). Cizincům náleží právo na vzdělání podle Listiny základních práv a svobod. K předškolnímu, základnímu uměleckému a jazykovému vzdělávání mají za stejných podmínek jako občané České republiky a států Evropské unie přístup osoby, pokud mají na území České republiky právo pobytu na dobu delší než 90 dnů, případně pokud jsou osobami oprávněnými pobývat na území České republiky za účelem výzkumu, pokud jsou azylanty, osobami požívajícími doplňkové ochrany, žadateli o udělení mezinárodní ochrany nebo osobami požívajícími dočasné ochrany</w:t>
      </w:r>
      <w:r w:rsidR="004D56D1">
        <w:rPr>
          <w:rStyle w:val="ListLabel100"/>
          <w:rFonts w:ascii="Arial Narrow" w:hAnsi="Arial Narrow"/>
          <w:sz w:val="22"/>
          <w:szCs w:val="22"/>
          <w:highlight w:val="none"/>
        </w:rPr>
        <w:t>.</w:t>
      </w:r>
      <w:r>
        <w:rPr>
          <w:rStyle w:val="Znakapoznpodarou"/>
          <w:rFonts w:ascii="Arial Narrow" w:hAnsi="Arial Narrow" w:cs="ArialMT"/>
          <w:color w:val="000000"/>
        </w:rPr>
        <w:footnoteReference w:id="17"/>
      </w:r>
    </w:p>
    <w:p w14:paraId="2363B2E8" w14:textId="7E92805B" w:rsidR="00606026" w:rsidRPr="00CE357F" w:rsidRDefault="00256C97" w:rsidP="00B60449">
      <w:pPr>
        <w:spacing w:after="240" w:line="276" w:lineRule="auto"/>
        <w:rPr>
          <w:rFonts w:ascii="Arial Narrow" w:hAnsi="Arial Narrow"/>
          <w:b/>
          <w:color w:val="C00000"/>
        </w:rPr>
      </w:pPr>
      <w:r>
        <w:rPr>
          <w:rFonts w:ascii="Arial Narrow" w:hAnsi="Arial Narrow"/>
          <w:b/>
          <w:color w:val="C00000"/>
        </w:rPr>
        <w:br/>
      </w:r>
      <w:r w:rsidR="00B60449" w:rsidRPr="00CE357F">
        <w:rPr>
          <w:rFonts w:ascii="Arial Narrow" w:hAnsi="Arial Narrow"/>
          <w:b/>
          <w:color w:val="C00000"/>
        </w:rPr>
        <w:t>Osoby s jinou než českou státní příslušností v České republice v letech 2005–202</w:t>
      </w:r>
      <w:r w:rsidR="00F8685B">
        <w:rPr>
          <w:rFonts w:ascii="Arial Narrow" w:hAnsi="Arial Narrow"/>
          <w:b/>
          <w:color w:val="C00000"/>
        </w:rPr>
        <w:t>3</w:t>
      </w:r>
      <w:r w:rsidR="00B60449" w:rsidRPr="00CE357F">
        <w:rPr>
          <w:rFonts w:ascii="Arial Narrow" w:hAnsi="Arial Narrow"/>
          <w:b/>
          <w:color w:val="C00000"/>
        </w:rPr>
        <w:t xml:space="preserve"> v českém vzdělávacím systému</w:t>
      </w:r>
    </w:p>
    <w:p w14:paraId="22575247" w14:textId="4B04E42A" w:rsidR="0075261C" w:rsidRPr="00CE357F" w:rsidRDefault="00B56614" w:rsidP="004929A3">
      <w:pPr>
        <w:spacing w:after="240" w:line="276" w:lineRule="auto"/>
        <w:jc w:val="both"/>
        <w:rPr>
          <w:rFonts w:ascii="Arial Narrow" w:hAnsi="Arial Narrow"/>
          <w:b/>
          <w:color w:val="C00000"/>
        </w:rPr>
      </w:pPr>
      <w:r w:rsidRPr="00CE357F">
        <w:rPr>
          <w:rFonts w:ascii="Arial Narrow" w:hAnsi="Arial Narrow"/>
          <w:bCs/>
        </w:rPr>
        <w:t xml:space="preserve">Tato kapitola se zabývá dětmi a mladistvými s jinou než českou státní příslušností, kteří </w:t>
      </w:r>
      <w:r w:rsidR="004929A3" w:rsidRPr="00CE357F">
        <w:rPr>
          <w:rFonts w:ascii="Arial Narrow" w:hAnsi="Arial Narrow"/>
          <w:bCs/>
        </w:rPr>
        <w:t>mezi lety 2005 a 202</w:t>
      </w:r>
      <w:r w:rsidR="00F8685B">
        <w:rPr>
          <w:rFonts w:ascii="Arial Narrow" w:hAnsi="Arial Narrow"/>
          <w:bCs/>
        </w:rPr>
        <w:t>3</w:t>
      </w:r>
      <w:r w:rsidR="004929A3" w:rsidRPr="00CE357F">
        <w:rPr>
          <w:rFonts w:ascii="Arial Narrow" w:hAnsi="Arial Narrow"/>
          <w:bCs/>
        </w:rPr>
        <w:t xml:space="preserve"> </w:t>
      </w:r>
      <w:r w:rsidRPr="00CE357F">
        <w:rPr>
          <w:rFonts w:ascii="Arial Narrow" w:hAnsi="Arial Narrow"/>
          <w:bCs/>
        </w:rPr>
        <w:t>navštěvovali české mateřské školy, nebo se v</w:t>
      </w:r>
      <w:r w:rsidR="004929A3" w:rsidRPr="00CE357F">
        <w:rPr>
          <w:rFonts w:ascii="Arial Narrow" w:hAnsi="Arial Narrow"/>
          <w:bCs/>
        </w:rPr>
        <w:t>zdělávali na českých základních,</w:t>
      </w:r>
      <w:r w:rsidRPr="00CE357F">
        <w:rPr>
          <w:rFonts w:ascii="Arial Narrow" w:hAnsi="Arial Narrow"/>
          <w:bCs/>
        </w:rPr>
        <w:t xml:space="preserve"> či středních školách. </w:t>
      </w:r>
      <w:r w:rsidR="004929A3" w:rsidRPr="00CE357F">
        <w:rPr>
          <w:rFonts w:ascii="Arial Narrow" w:hAnsi="Arial Narrow"/>
          <w:bCs/>
        </w:rPr>
        <w:t xml:space="preserve">Základní </w:t>
      </w:r>
      <w:r w:rsidR="004929A3" w:rsidRPr="00CE357F">
        <w:rPr>
          <w:rFonts w:ascii="Arial Narrow" w:hAnsi="Arial Narrow"/>
          <w:bCs/>
        </w:rPr>
        <w:lastRenderedPageBreak/>
        <w:t>přehled počtu dětí s jinou než českou státní příslušností navštěvujících v letech 2005-202</w:t>
      </w:r>
      <w:r w:rsidR="00F8685B">
        <w:rPr>
          <w:rFonts w:ascii="Arial Narrow" w:hAnsi="Arial Narrow"/>
          <w:bCs/>
        </w:rPr>
        <w:t>3</w:t>
      </w:r>
      <w:r w:rsidR="004929A3" w:rsidRPr="00CE357F">
        <w:rPr>
          <w:rFonts w:ascii="Arial Narrow" w:hAnsi="Arial Narrow"/>
          <w:bCs/>
        </w:rPr>
        <w:t xml:space="preserve"> mateřské, základní, či střední školy dokumentuje tabulka</w:t>
      </w:r>
      <w:r w:rsidR="007226E2">
        <w:rPr>
          <w:rFonts w:ascii="Arial Narrow" w:hAnsi="Arial Narrow"/>
          <w:bCs/>
        </w:rPr>
        <w:t xml:space="preserve"> č. 6</w:t>
      </w:r>
      <w:r w:rsidR="004929A3" w:rsidRPr="00CE357F">
        <w:rPr>
          <w:rFonts w:ascii="Arial Narrow" w:hAnsi="Arial Narrow"/>
          <w:bCs/>
        </w:rPr>
        <w:t xml:space="preserve">. Jednotlivým stupňům vzdělání se podrobně věnujeme v následujících podkapitolách. </w:t>
      </w:r>
    </w:p>
    <w:p w14:paraId="7E9BDBF3" w14:textId="2E84E65A" w:rsidR="00E17404" w:rsidRPr="00CE357F" w:rsidRDefault="00794665" w:rsidP="00794665">
      <w:pPr>
        <w:jc w:val="both"/>
        <w:rPr>
          <w:rFonts w:ascii="Arial Narrow" w:hAnsi="Arial Narrow"/>
          <w:b/>
          <w:color w:val="000000" w:themeColor="text1"/>
          <w:sz w:val="20"/>
          <w:szCs w:val="20"/>
        </w:rPr>
      </w:pPr>
      <w:bookmarkStart w:id="207" w:name="_Toc136429217"/>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00E17404" w:rsidRPr="00CE357F">
        <w:rPr>
          <w:rFonts w:ascii="Arial Narrow" w:hAnsi="Arial Narrow"/>
          <w:b/>
          <w:color w:val="000000" w:themeColor="text1"/>
          <w:sz w:val="20"/>
          <w:szCs w:val="20"/>
        </w:rPr>
        <w:t>Mat</w:t>
      </w:r>
      <w:r w:rsidR="00B56614" w:rsidRPr="00CE357F">
        <w:rPr>
          <w:rFonts w:ascii="Arial Narrow" w:hAnsi="Arial Narrow"/>
          <w:b/>
          <w:color w:val="000000" w:themeColor="text1"/>
          <w:sz w:val="20"/>
          <w:szCs w:val="20"/>
        </w:rPr>
        <w:t>eřské, základní a střední školy</w:t>
      </w:r>
      <w:r w:rsidR="004929A3" w:rsidRPr="00CE357F">
        <w:rPr>
          <w:rFonts w:ascii="Arial Narrow" w:hAnsi="Arial Narrow"/>
          <w:b/>
          <w:color w:val="000000" w:themeColor="text1"/>
          <w:sz w:val="20"/>
          <w:szCs w:val="20"/>
        </w:rPr>
        <w:t xml:space="preserve"> </w:t>
      </w:r>
      <w:r w:rsidR="00E17404" w:rsidRPr="00CE357F">
        <w:rPr>
          <w:rFonts w:ascii="Arial Narrow" w:hAnsi="Arial Narrow"/>
          <w:b/>
          <w:color w:val="000000" w:themeColor="text1"/>
          <w:sz w:val="20"/>
          <w:szCs w:val="20"/>
        </w:rPr>
        <w:t>–</w:t>
      </w:r>
      <w:r w:rsidR="004929A3" w:rsidRPr="00CE357F">
        <w:rPr>
          <w:rFonts w:ascii="Arial Narrow" w:hAnsi="Arial Narrow"/>
          <w:b/>
          <w:color w:val="000000" w:themeColor="text1"/>
          <w:sz w:val="20"/>
          <w:szCs w:val="20"/>
        </w:rPr>
        <w:t xml:space="preserve"> </w:t>
      </w:r>
      <w:r w:rsidR="00E17404" w:rsidRPr="00CE357F">
        <w:rPr>
          <w:rFonts w:ascii="Arial Narrow" w:hAnsi="Arial Narrow"/>
          <w:b/>
          <w:sz w:val="20"/>
          <w:szCs w:val="20"/>
        </w:rPr>
        <w:t>osoby s jinou než českou státní příslušností</w:t>
      </w:r>
      <w:r w:rsidR="004929A3" w:rsidRPr="00CE357F">
        <w:rPr>
          <w:rFonts w:ascii="Arial Narrow" w:hAnsi="Arial Narrow"/>
          <w:b/>
          <w:sz w:val="20"/>
          <w:szCs w:val="20"/>
        </w:rPr>
        <w:t xml:space="preserve"> v České republice</w:t>
      </w:r>
      <w:bookmarkEnd w:id="207"/>
    </w:p>
    <w:tbl>
      <w:tblPr>
        <w:tblW w:w="8971"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318"/>
        <w:gridCol w:w="2218"/>
        <w:gridCol w:w="2217"/>
        <w:gridCol w:w="2218"/>
      </w:tblGrid>
      <w:tr w:rsidR="004929A3" w:rsidRPr="00CE357F" w14:paraId="73F6F44D" w14:textId="77777777" w:rsidTr="7CC7BF57">
        <w:trPr>
          <w:trHeight w:val="323"/>
          <w:jc w:val="center"/>
        </w:trPr>
        <w:tc>
          <w:tcPr>
            <w:tcW w:w="2318" w:type="dxa"/>
            <w:shd w:val="clear" w:color="auto" w:fill="D9E2F3" w:themeFill="accent1" w:themeFillTint="33"/>
            <w:vAlign w:val="center"/>
            <w:hideMark/>
          </w:tcPr>
          <w:p w14:paraId="389A3C5D" w14:textId="77777777" w:rsidR="004929A3" w:rsidRPr="00CE357F" w:rsidRDefault="004929A3" w:rsidP="00FA1902">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Školní rok</w:t>
            </w:r>
          </w:p>
        </w:tc>
        <w:tc>
          <w:tcPr>
            <w:tcW w:w="2218" w:type="dxa"/>
            <w:shd w:val="clear" w:color="auto" w:fill="D9E2F3" w:themeFill="accent1" w:themeFillTint="33"/>
            <w:vAlign w:val="center"/>
          </w:tcPr>
          <w:p w14:paraId="100A9ED8" w14:textId="77777777" w:rsidR="004929A3" w:rsidRPr="00CE357F" w:rsidRDefault="004929A3" w:rsidP="00FA1902">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MŠ</w:t>
            </w:r>
          </w:p>
        </w:tc>
        <w:tc>
          <w:tcPr>
            <w:tcW w:w="2217" w:type="dxa"/>
            <w:shd w:val="clear" w:color="auto" w:fill="D9E2F3" w:themeFill="accent1" w:themeFillTint="33"/>
            <w:vAlign w:val="center"/>
          </w:tcPr>
          <w:p w14:paraId="027C7CE5" w14:textId="77777777" w:rsidR="004929A3" w:rsidRPr="00CE357F" w:rsidRDefault="004929A3" w:rsidP="00FA1902">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ZŠ</w:t>
            </w:r>
          </w:p>
        </w:tc>
        <w:tc>
          <w:tcPr>
            <w:tcW w:w="2218" w:type="dxa"/>
            <w:shd w:val="clear" w:color="auto" w:fill="D9E2F3" w:themeFill="accent1" w:themeFillTint="33"/>
            <w:vAlign w:val="center"/>
          </w:tcPr>
          <w:p w14:paraId="7CD0080C" w14:textId="77777777" w:rsidR="004929A3" w:rsidRPr="00CE357F" w:rsidRDefault="004929A3" w:rsidP="00FA1902">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SŠ</w:t>
            </w:r>
          </w:p>
        </w:tc>
      </w:tr>
      <w:tr w:rsidR="00B72C51" w:rsidRPr="00CE357F" w14:paraId="53DD2A86" w14:textId="77777777" w:rsidTr="7CC7BF57">
        <w:trPr>
          <w:trHeight w:val="227"/>
          <w:jc w:val="center"/>
        </w:trPr>
        <w:tc>
          <w:tcPr>
            <w:tcW w:w="2318" w:type="dxa"/>
            <w:shd w:val="clear" w:color="auto" w:fill="D9E2F3" w:themeFill="accent1" w:themeFillTint="33"/>
            <w:vAlign w:val="center"/>
          </w:tcPr>
          <w:p w14:paraId="7E06C1E5" w14:textId="2566A5CE" w:rsidR="00B72C51" w:rsidRPr="00173E7B" w:rsidRDefault="00B72C51" w:rsidP="00B72C51">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2022/2023</w:t>
            </w:r>
          </w:p>
        </w:tc>
        <w:tc>
          <w:tcPr>
            <w:tcW w:w="2218" w:type="dxa"/>
            <w:vAlign w:val="center"/>
          </w:tcPr>
          <w:p w14:paraId="644973DD" w14:textId="6DF39B23"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19 567</w:t>
            </w:r>
          </w:p>
        </w:tc>
        <w:tc>
          <w:tcPr>
            <w:tcW w:w="2217" w:type="dxa"/>
            <w:vAlign w:val="center"/>
          </w:tcPr>
          <w:p w14:paraId="70EEC0EB" w14:textId="35937C9C"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72 748</w:t>
            </w:r>
          </w:p>
        </w:tc>
        <w:tc>
          <w:tcPr>
            <w:tcW w:w="2218" w:type="dxa"/>
            <w:vAlign w:val="center"/>
          </w:tcPr>
          <w:p w14:paraId="126BFD32" w14:textId="4E40ECA4"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14 128</w:t>
            </w:r>
          </w:p>
        </w:tc>
      </w:tr>
      <w:tr w:rsidR="00B72C51" w:rsidRPr="00CE357F" w14:paraId="0EEA4AE9" w14:textId="77777777" w:rsidTr="004A0C47">
        <w:trPr>
          <w:trHeight w:val="227"/>
          <w:jc w:val="center"/>
        </w:trPr>
        <w:tc>
          <w:tcPr>
            <w:tcW w:w="2318" w:type="dxa"/>
            <w:shd w:val="clear" w:color="auto" w:fill="D9E2F3" w:themeFill="accent1" w:themeFillTint="33"/>
            <w:vAlign w:val="center"/>
          </w:tcPr>
          <w:p w14:paraId="32F463D6" w14:textId="709AFF14" w:rsidR="00B72C51" w:rsidRPr="00173E7B" w:rsidRDefault="00B72C51" w:rsidP="00B72C51">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2021/2022</w:t>
            </w:r>
          </w:p>
        </w:tc>
        <w:tc>
          <w:tcPr>
            <w:tcW w:w="2218" w:type="dxa"/>
            <w:vAlign w:val="center"/>
          </w:tcPr>
          <w:p w14:paraId="64A6E07B" w14:textId="05388E2B"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12 103</w:t>
            </w:r>
          </w:p>
        </w:tc>
        <w:tc>
          <w:tcPr>
            <w:tcW w:w="2217" w:type="dxa"/>
          </w:tcPr>
          <w:p w14:paraId="70FEC36B" w14:textId="1D7D6F7F"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hAnsi="Arial Narrow"/>
                <w:sz w:val="18"/>
                <w:szCs w:val="18"/>
              </w:rPr>
              <w:t>30 543</w:t>
            </w:r>
          </w:p>
        </w:tc>
        <w:tc>
          <w:tcPr>
            <w:tcW w:w="2218" w:type="dxa"/>
          </w:tcPr>
          <w:p w14:paraId="789BDFEC" w14:textId="410735BF" w:rsidR="00B72C51" w:rsidRPr="00173E7B" w:rsidRDefault="00B72C51" w:rsidP="00B72C51">
            <w:pPr>
              <w:jc w:val="center"/>
              <w:rPr>
                <w:rFonts w:ascii="Arial Narrow" w:hAnsi="Arial Narrow" w:cs="Arial"/>
                <w:sz w:val="18"/>
                <w:szCs w:val="18"/>
              </w:rPr>
            </w:pPr>
            <w:r w:rsidRPr="00173E7B">
              <w:rPr>
                <w:rFonts w:ascii="Arial Narrow" w:hAnsi="Arial Narrow"/>
                <w:sz w:val="18"/>
                <w:szCs w:val="18"/>
              </w:rPr>
              <w:t xml:space="preserve">10 053 </w:t>
            </w:r>
          </w:p>
        </w:tc>
      </w:tr>
      <w:tr w:rsidR="00B72C51" w:rsidRPr="00CE357F" w14:paraId="20503AAB" w14:textId="77777777" w:rsidTr="7CC7BF57">
        <w:trPr>
          <w:trHeight w:val="227"/>
          <w:jc w:val="center"/>
        </w:trPr>
        <w:tc>
          <w:tcPr>
            <w:tcW w:w="2318" w:type="dxa"/>
            <w:shd w:val="clear" w:color="auto" w:fill="D9E2F3" w:themeFill="accent1" w:themeFillTint="33"/>
            <w:vAlign w:val="center"/>
          </w:tcPr>
          <w:p w14:paraId="763DD8B3" w14:textId="358EB3E1" w:rsidR="00B72C51" w:rsidRPr="00173E7B" w:rsidRDefault="00B72C51" w:rsidP="00B72C51">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2020/2021</w:t>
            </w:r>
          </w:p>
        </w:tc>
        <w:tc>
          <w:tcPr>
            <w:tcW w:w="2218" w:type="dxa"/>
            <w:vAlign w:val="center"/>
          </w:tcPr>
          <w:p w14:paraId="3DAF332E" w14:textId="40E7696B"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11 864</w:t>
            </w:r>
          </w:p>
        </w:tc>
        <w:tc>
          <w:tcPr>
            <w:tcW w:w="2217" w:type="dxa"/>
            <w:vAlign w:val="center"/>
          </w:tcPr>
          <w:p w14:paraId="054B319F" w14:textId="30FD8956"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28 380</w:t>
            </w:r>
          </w:p>
        </w:tc>
        <w:tc>
          <w:tcPr>
            <w:tcW w:w="2218" w:type="dxa"/>
            <w:vAlign w:val="center"/>
          </w:tcPr>
          <w:p w14:paraId="30BB664C" w14:textId="56E52D09"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9 751</w:t>
            </w:r>
          </w:p>
        </w:tc>
      </w:tr>
      <w:tr w:rsidR="00B72C51" w:rsidRPr="00CE357F" w14:paraId="292CEAC5" w14:textId="77777777" w:rsidTr="7CC7BF57">
        <w:trPr>
          <w:trHeight w:val="227"/>
          <w:jc w:val="center"/>
        </w:trPr>
        <w:tc>
          <w:tcPr>
            <w:tcW w:w="2318" w:type="dxa"/>
            <w:shd w:val="clear" w:color="auto" w:fill="D9E2F3" w:themeFill="accent1" w:themeFillTint="33"/>
            <w:vAlign w:val="center"/>
          </w:tcPr>
          <w:p w14:paraId="64071752"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2019/2020</w:t>
            </w:r>
          </w:p>
        </w:tc>
        <w:tc>
          <w:tcPr>
            <w:tcW w:w="2218" w:type="dxa"/>
            <w:vAlign w:val="center"/>
          </w:tcPr>
          <w:p w14:paraId="7F168D9C"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11 942</w:t>
            </w:r>
          </w:p>
        </w:tc>
        <w:tc>
          <w:tcPr>
            <w:tcW w:w="2217" w:type="dxa"/>
            <w:vAlign w:val="center"/>
          </w:tcPr>
          <w:p w14:paraId="1F439E4C"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26 527</w:t>
            </w:r>
          </w:p>
        </w:tc>
        <w:tc>
          <w:tcPr>
            <w:tcW w:w="2218" w:type="dxa"/>
            <w:vAlign w:val="center"/>
          </w:tcPr>
          <w:p w14:paraId="001C9092"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9 496</w:t>
            </w:r>
          </w:p>
        </w:tc>
      </w:tr>
      <w:tr w:rsidR="00B72C51" w:rsidRPr="00CE357F" w14:paraId="60F5CADF" w14:textId="77777777" w:rsidTr="7CC7BF57">
        <w:trPr>
          <w:trHeight w:val="227"/>
          <w:jc w:val="center"/>
        </w:trPr>
        <w:tc>
          <w:tcPr>
            <w:tcW w:w="2318" w:type="dxa"/>
            <w:shd w:val="clear" w:color="auto" w:fill="D9E2F3" w:themeFill="accent1" w:themeFillTint="33"/>
            <w:vAlign w:val="center"/>
          </w:tcPr>
          <w:p w14:paraId="3B37490E"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2018/2019</w:t>
            </w:r>
          </w:p>
        </w:tc>
        <w:tc>
          <w:tcPr>
            <w:tcW w:w="2218" w:type="dxa"/>
            <w:vAlign w:val="center"/>
          </w:tcPr>
          <w:p w14:paraId="52FA6E7C"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11 343</w:t>
            </w:r>
          </w:p>
        </w:tc>
        <w:tc>
          <w:tcPr>
            <w:tcW w:w="2217" w:type="dxa"/>
            <w:vAlign w:val="center"/>
          </w:tcPr>
          <w:p w14:paraId="6C6D6110"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24 026</w:t>
            </w:r>
          </w:p>
        </w:tc>
        <w:tc>
          <w:tcPr>
            <w:tcW w:w="2218" w:type="dxa"/>
            <w:vAlign w:val="center"/>
          </w:tcPr>
          <w:p w14:paraId="3B3190BC"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9 305</w:t>
            </w:r>
          </w:p>
        </w:tc>
      </w:tr>
      <w:tr w:rsidR="00B72C51" w:rsidRPr="00CE357F" w14:paraId="581EE210" w14:textId="77777777" w:rsidTr="7CC7BF57">
        <w:trPr>
          <w:trHeight w:val="227"/>
          <w:jc w:val="center"/>
        </w:trPr>
        <w:tc>
          <w:tcPr>
            <w:tcW w:w="2318" w:type="dxa"/>
            <w:shd w:val="clear" w:color="auto" w:fill="D9E2F3" w:themeFill="accent1" w:themeFillTint="33"/>
            <w:vAlign w:val="center"/>
          </w:tcPr>
          <w:p w14:paraId="5074B5B0"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2017/2018</w:t>
            </w:r>
          </w:p>
        </w:tc>
        <w:tc>
          <w:tcPr>
            <w:tcW w:w="2218" w:type="dxa"/>
            <w:vAlign w:val="center"/>
          </w:tcPr>
          <w:p w14:paraId="286AF143"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10 469</w:t>
            </w:r>
          </w:p>
        </w:tc>
        <w:tc>
          <w:tcPr>
            <w:tcW w:w="2217" w:type="dxa"/>
            <w:vAlign w:val="center"/>
          </w:tcPr>
          <w:p w14:paraId="29B66664"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21 992</w:t>
            </w:r>
          </w:p>
        </w:tc>
        <w:tc>
          <w:tcPr>
            <w:tcW w:w="2218" w:type="dxa"/>
            <w:vAlign w:val="center"/>
          </w:tcPr>
          <w:p w14:paraId="5582D601"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9 195</w:t>
            </w:r>
          </w:p>
        </w:tc>
      </w:tr>
      <w:tr w:rsidR="00B72C51" w:rsidRPr="00CE357F" w14:paraId="4437C12F" w14:textId="77777777" w:rsidTr="7CC7BF57">
        <w:trPr>
          <w:trHeight w:val="227"/>
          <w:jc w:val="center"/>
        </w:trPr>
        <w:tc>
          <w:tcPr>
            <w:tcW w:w="2318" w:type="dxa"/>
            <w:shd w:val="clear" w:color="auto" w:fill="D9E2F3" w:themeFill="accent1" w:themeFillTint="33"/>
            <w:vAlign w:val="center"/>
          </w:tcPr>
          <w:p w14:paraId="33D35F7F"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2016/2017</w:t>
            </w:r>
          </w:p>
        </w:tc>
        <w:tc>
          <w:tcPr>
            <w:tcW w:w="2218" w:type="dxa"/>
            <w:vAlign w:val="center"/>
          </w:tcPr>
          <w:p w14:paraId="4F036340"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9 494</w:t>
            </w:r>
          </w:p>
        </w:tc>
        <w:tc>
          <w:tcPr>
            <w:tcW w:w="2217" w:type="dxa"/>
            <w:vAlign w:val="center"/>
          </w:tcPr>
          <w:p w14:paraId="50037F77"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20 237</w:t>
            </w:r>
          </w:p>
        </w:tc>
        <w:tc>
          <w:tcPr>
            <w:tcW w:w="2218" w:type="dxa"/>
            <w:vAlign w:val="center"/>
          </w:tcPr>
          <w:p w14:paraId="313DE3AE"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9 063</w:t>
            </w:r>
          </w:p>
        </w:tc>
      </w:tr>
      <w:tr w:rsidR="00B72C51" w:rsidRPr="00CE357F" w14:paraId="1491125E" w14:textId="77777777" w:rsidTr="7CC7BF57">
        <w:trPr>
          <w:trHeight w:val="227"/>
          <w:jc w:val="center"/>
        </w:trPr>
        <w:tc>
          <w:tcPr>
            <w:tcW w:w="2318" w:type="dxa"/>
            <w:shd w:val="clear" w:color="auto" w:fill="D9E2F3" w:themeFill="accent1" w:themeFillTint="33"/>
            <w:vAlign w:val="center"/>
          </w:tcPr>
          <w:p w14:paraId="29FAF28E"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2015/2016</w:t>
            </w:r>
          </w:p>
        </w:tc>
        <w:tc>
          <w:tcPr>
            <w:tcW w:w="2218" w:type="dxa"/>
            <w:vAlign w:val="center"/>
          </w:tcPr>
          <w:p w14:paraId="1B37FA32"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8 302</w:t>
            </w:r>
          </w:p>
        </w:tc>
        <w:tc>
          <w:tcPr>
            <w:tcW w:w="2217" w:type="dxa"/>
            <w:vAlign w:val="center"/>
          </w:tcPr>
          <w:p w14:paraId="4D860404"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18 281</w:t>
            </w:r>
          </w:p>
        </w:tc>
        <w:tc>
          <w:tcPr>
            <w:tcW w:w="2218" w:type="dxa"/>
            <w:vAlign w:val="center"/>
          </w:tcPr>
          <w:p w14:paraId="2954DB9B"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8 763</w:t>
            </w:r>
          </w:p>
        </w:tc>
      </w:tr>
      <w:tr w:rsidR="00B72C51" w:rsidRPr="00CE357F" w14:paraId="163057B1" w14:textId="77777777" w:rsidTr="7CC7BF57">
        <w:trPr>
          <w:trHeight w:val="227"/>
          <w:jc w:val="center"/>
        </w:trPr>
        <w:tc>
          <w:tcPr>
            <w:tcW w:w="2318" w:type="dxa"/>
            <w:shd w:val="clear" w:color="auto" w:fill="D9E2F3" w:themeFill="accent1" w:themeFillTint="33"/>
            <w:vAlign w:val="center"/>
          </w:tcPr>
          <w:p w14:paraId="1C7A6409"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2014/2015</w:t>
            </w:r>
          </w:p>
        </w:tc>
        <w:tc>
          <w:tcPr>
            <w:tcW w:w="2218" w:type="dxa"/>
            <w:vAlign w:val="center"/>
          </w:tcPr>
          <w:p w14:paraId="1E5C767A"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7 214</w:t>
            </w:r>
          </w:p>
        </w:tc>
        <w:tc>
          <w:tcPr>
            <w:tcW w:w="2217" w:type="dxa"/>
            <w:vAlign w:val="center"/>
          </w:tcPr>
          <w:p w14:paraId="5C39EB8D"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16 477</w:t>
            </w:r>
          </w:p>
        </w:tc>
        <w:tc>
          <w:tcPr>
            <w:tcW w:w="2218" w:type="dxa"/>
            <w:vAlign w:val="center"/>
          </w:tcPr>
          <w:p w14:paraId="350E7A22"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8 837</w:t>
            </w:r>
          </w:p>
        </w:tc>
      </w:tr>
      <w:tr w:rsidR="00B72C51" w:rsidRPr="00CE357F" w14:paraId="66FD73F8" w14:textId="77777777" w:rsidTr="7CC7BF57">
        <w:trPr>
          <w:trHeight w:val="227"/>
          <w:jc w:val="center"/>
        </w:trPr>
        <w:tc>
          <w:tcPr>
            <w:tcW w:w="2318" w:type="dxa"/>
            <w:shd w:val="clear" w:color="auto" w:fill="D9E2F3" w:themeFill="accent1" w:themeFillTint="33"/>
            <w:vAlign w:val="center"/>
          </w:tcPr>
          <w:p w14:paraId="57A0F1C6"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2013/2014</w:t>
            </w:r>
          </w:p>
        </w:tc>
        <w:tc>
          <w:tcPr>
            <w:tcW w:w="2218" w:type="dxa"/>
            <w:vAlign w:val="center"/>
          </w:tcPr>
          <w:p w14:paraId="546815EA"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6 307</w:t>
            </w:r>
          </w:p>
        </w:tc>
        <w:tc>
          <w:tcPr>
            <w:tcW w:w="2217" w:type="dxa"/>
            <w:vAlign w:val="center"/>
          </w:tcPr>
          <w:p w14:paraId="381D9BCF"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15 109</w:t>
            </w:r>
          </w:p>
        </w:tc>
        <w:tc>
          <w:tcPr>
            <w:tcW w:w="2218" w:type="dxa"/>
            <w:vAlign w:val="center"/>
          </w:tcPr>
          <w:p w14:paraId="62EF19F5"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9 147</w:t>
            </w:r>
          </w:p>
        </w:tc>
      </w:tr>
      <w:tr w:rsidR="00B72C51" w:rsidRPr="00CE357F" w14:paraId="077D8C06" w14:textId="77777777" w:rsidTr="7CC7BF57">
        <w:trPr>
          <w:trHeight w:val="227"/>
          <w:jc w:val="center"/>
        </w:trPr>
        <w:tc>
          <w:tcPr>
            <w:tcW w:w="2318" w:type="dxa"/>
            <w:shd w:val="clear" w:color="auto" w:fill="D9E2F3" w:themeFill="accent1" w:themeFillTint="33"/>
            <w:vAlign w:val="center"/>
          </w:tcPr>
          <w:p w14:paraId="2456E157"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2012/2013</w:t>
            </w:r>
          </w:p>
        </w:tc>
        <w:tc>
          <w:tcPr>
            <w:tcW w:w="2218" w:type="dxa"/>
            <w:vAlign w:val="center"/>
          </w:tcPr>
          <w:p w14:paraId="340F7DD4"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5 434</w:t>
            </w:r>
          </w:p>
        </w:tc>
        <w:tc>
          <w:tcPr>
            <w:tcW w:w="2217" w:type="dxa"/>
            <w:vAlign w:val="center"/>
          </w:tcPr>
          <w:p w14:paraId="515B02D5"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14 551</w:t>
            </w:r>
          </w:p>
        </w:tc>
        <w:tc>
          <w:tcPr>
            <w:tcW w:w="2218" w:type="dxa"/>
            <w:vAlign w:val="center"/>
          </w:tcPr>
          <w:p w14:paraId="2B8896E6"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9 024</w:t>
            </w:r>
          </w:p>
        </w:tc>
      </w:tr>
      <w:tr w:rsidR="00B72C51" w:rsidRPr="00CE357F" w14:paraId="6DD360EC" w14:textId="77777777" w:rsidTr="7CC7BF57">
        <w:trPr>
          <w:trHeight w:val="227"/>
          <w:jc w:val="center"/>
        </w:trPr>
        <w:tc>
          <w:tcPr>
            <w:tcW w:w="2318" w:type="dxa"/>
            <w:shd w:val="clear" w:color="auto" w:fill="D9E2F3" w:themeFill="accent1" w:themeFillTint="33"/>
            <w:vAlign w:val="center"/>
          </w:tcPr>
          <w:p w14:paraId="76717248" w14:textId="77777777" w:rsidR="00B72C51" w:rsidRPr="00173E7B" w:rsidRDefault="00B72C51" w:rsidP="00B72C51">
            <w:pPr>
              <w:jc w:val="center"/>
              <w:rPr>
                <w:rFonts w:ascii="Arial Narrow" w:eastAsia="Times New Roman" w:hAnsi="Arial Narrow" w:cs="Arial"/>
                <w:b/>
                <w:bCs/>
                <w:sz w:val="18"/>
                <w:szCs w:val="18"/>
                <w:lang w:eastAsia="cs-CZ"/>
              </w:rPr>
            </w:pPr>
            <w:r w:rsidRPr="00173E7B">
              <w:rPr>
                <w:rFonts w:ascii="Arial Narrow" w:eastAsia="Times New Roman" w:hAnsi="Arial Narrow"/>
                <w:sz w:val="18"/>
                <w:szCs w:val="18"/>
                <w:lang w:eastAsia="cs-CZ"/>
              </w:rPr>
              <w:t>2011/2012</w:t>
            </w:r>
          </w:p>
        </w:tc>
        <w:tc>
          <w:tcPr>
            <w:tcW w:w="2218" w:type="dxa"/>
            <w:vAlign w:val="center"/>
          </w:tcPr>
          <w:p w14:paraId="793A2585"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4 714</w:t>
            </w:r>
          </w:p>
        </w:tc>
        <w:tc>
          <w:tcPr>
            <w:tcW w:w="2217" w:type="dxa"/>
            <w:vAlign w:val="center"/>
          </w:tcPr>
          <w:p w14:paraId="46BE58C6" w14:textId="77777777" w:rsidR="00B72C51" w:rsidRPr="00173E7B" w:rsidRDefault="00B72C51" w:rsidP="00B72C51">
            <w:pPr>
              <w:jc w:val="center"/>
              <w:rPr>
                <w:rFonts w:ascii="Arial Narrow" w:eastAsia="Times New Roman" w:hAnsi="Arial Narrow" w:cs="Arial"/>
                <w:sz w:val="18"/>
                <w:szCs w:val="18"/>
                <w:lang w:eastAsia="cs-CZ"/>
              </w:rPr>
            </w:pPr>
            <w:r w:rsidRPr="00173E7B">
              <w:rPr>
                <w:rFonts w:ascii="Arial Narrow" w:eastAsia="Times New Roman" w:hAnsi="Arial Narrow" w:cs="Arial"/>
                <w:sz w:val="18"/>
                <w:szCs w:val="18"/>
                <w:lang w:eastAsia="cs-CZ"/>
              </w:rPr>
              <w:t>14 315</w:t>
            </w:r>
          </w:p>
        </w:tc>
        <w:tc>
          <w:tcPr>
            <w:tcW w:w="2218" w:type="dxa"/>
            <w:vAlign w:val="center"/>
          </w:tcPr>
          <w:p w14:paraId="0F608EB5" w14:textId="77777777" w:rsidR="00B72C51" w:rsidRPr="00173E7B" w:rsidRDefault="00B72C51" w:rsidP="00B72C51">
            <w:pPr>
              <w:jc w:val="center"/>
              <w:rPr>
                <w:rFonts w:ascii="Arial Narrow" w:hAnsi="Arial Narrow" w:cs="Arial"/>
                <w:sz w:val="18"/>
                <w:szCs w:val="18"/>
              </w:rPr>
            </w:pPr>
            <w:r w:rsidRPr="00173E7B">
              <w:rPr>
                <w:rFonts w:ascii="Arial Narrow" w:hAnsi="Arial Narrow" w:cs="Arial"/>
                <w:sz w:val="18"/>
                <w:szCs w:val="18"/>
              </w:rPr>
              <w:t>8 852</w:t>
            </w:r>
          </w:p>
        </w:tc>
      </w:tr>
      <w:tr w:rsidR="00B72C51" w:rsidRPr="00CE357F" w14:paraId="68609C8B" w14:textId="77777777" w:rsidTr="7CC7BF57">
        <w:trPr>
          <w:trHeight w:val="227"/>
          <w:jc w:val="center"/>
        </w:trPr>
        <w:tc>
          <w:tcPr>
            <w:tcW w:w="2318" w:type="dxa"/>
            <w:shd w:val="clear" w:color="auto" w:fill="D9E2F3" w:themeFill="accent1" w:themeFillTint="33"/>
            <w:vAlign w:val="center"/>
          </w:tcPr>
          <w:p w14:paraId="613A213D" w14:textId="77777777" w:rsidR="00B72C51" w:rsidRPr="00CE357F" w:rsidRDefault="00B72C51" w:rsidP="00B72C51">
            <w:pPr>
              <w:jc w:val="center"/>
              <w:rPr>
                <w:rFonts w:ascii="Arial Narrow" w:eastAsia="Times New Roman" w:hAnsi="Arial Narrow" w:cs="Arial"/>
                <w:b/>
                <w:bCs/>
                <w:sz w:val="18"/>
                <w:szCs w:val="18"/>
                <w:lang w:eastAsia="cs-CZ"/>
              </w:rPr>
            </w:pPr>
            <w:r w:rsidRPr="00CE357F">
              <w:rPr>
                <w:rFonts w:ascii="Arial Narrow" w:eastAsia="Times New Roman" w:hAnsi="Arial Narrow"/>
                <w:sz w:val="18"/>
                <w:szCs w:val="18"/>
                <w:lang w:eastAsia="cs-CZ"/>
              </w:rPr>
              <w:t>2010/2011</w:t>
            </w:r>
          </w:p>
        </w:tc>
        <w:tc>
          <w:tcPr>
            <w:tcW w:w="2218" w:type="dxa"/>
            <w:vAlign w:val="center"/>
          </w:tcPr>
          <w:p w14:paraId="0E1A0365"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4 223</w:t>
            </w:r>
          </w:p>
        </w:tc>
        <w:tc>
          <w:tcPr>
            <w:tcW w:w="2217" w:type="dxa"/>
            <w:vAlign w:val="center"/>
          </w:tcPr>
          <w:p w14:paraId="1700F231"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14 109</w:t>
            </w:r>
          </w:p>
        </w:tc>
        <w:tc>
          <w:tcPr>
            <w:tcW w:w="2218" w:type="dxa"/>
            <w:vAlign w:val="center"/>
          </w:tcPr>
          <w:p w14:paraId="1A57F3A1" w14:textId="77777777" w:rsidR="00B72C51" w:rsidRPr="00CE357F" w:rsidRDefault="00B72C51" w:rsidP="00B72C51">
            <w:pPr>
              <w:jc w:val="center"/>
              <w:rPr>
                <w:rFonts w:ascii="Arial Narrow" w:hAnsi="Arial Narrow" w:cs="Arial"/>
                <w:sz w:val="18"/>
                <w:szCs w:val="18"/>
              </w:rPr>
            </w:pPr>
            <w:r w:rsidRPr="00CE357F">
              <w:rPr>
                <w:rFonts w:ascii="Arial Narrow" w:hAnsi="Arial Narrow" w:cs="Arial"/>
                <w:sz w:val="18"/>
                <w:szCs w:val="18"/>
              </w:rPr>
              <w:t>8 458</w:t>
            </w:r>
          </w:p>
        </w:tc>
      </w:tr>
      <w:tr w:rsidR="00B72C51" w:rsidRPr="00CE357F" w14:paraId="1F29636B" w14:textId="77777777" w:rsidTr="7CC7BF57">
        <w:trPr>
          <w:trHeight w:val="227"/>
          <w:jc w:val="center"/>
        </w:trPr>
        <w:tc>
          <w:tcPr>
            <w:tcW w:w="2318" w:type="dxa"/>
            <w:shd w:val="clear" w:color="auto" w:fill="D9E2F3" w:themeFill="accent1" w:themeFillTint="33"/>
            <w:vAlign w:val="center"/>
          </w:tcPr>
          <w:p w14:paraId="5D626BCB" w14:textId="77777777" w:rsidR="00B72C51" w:rsidRPr="00CE357F" w:rsidRDefault="00B72C51" w:rsidP="00B72C51">
            <w:pPr>
              <w:jc w:val="center"/>
              <w:rPr>
                <w:rFonts w:ascii="Arial Narrow" w:eastAsia="Times New Roman" w:hAnsi="Arial Narrow" w:cs="Arial"/>
                <w:b/>
                <w:bCs/>
                <w:sz w:val="18"/>
                <w:szCs w:val="18"/>
                <w:lang w:eastAsia="cs-CZ"/>
              </w:rPr>
            </w:pPr>
            <w:r w:rsidRPr="00CE357F">
              <w:rPr>
                <w:rFonts w:ascii="Arial Narrow" w:eastAsia="Times New Roman" w:hAnsi="Arial Narrow"/>
                <w:sz w:val="18"/>
                <w:szCs w:val="18"/>
                <w:lang w:eastAsia="cs-CZ"/>
              </w:rPr>
              <w:t>2009/2010</w:t>
            </w:r>
          </w:p>
        </w:tc>
        <w:tc>
          <w:tcPr>
            <w:tcW w:w="2218" w:type="dxa"/>
            <w:vAlign w:val="center"/>
          </w:tcPr>
          <w:p w14:paraId="23CE28C8"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3 963</w:t>
            </w:r>
          </w:p>
        </w:tc>
        <w:tc>
          <w:tcPr>
            <w:tcW w:w="2217" w:type="dxa"/>
            <w:vAlign w:val="center"/>
          </w:tcPr>
          <w:p w14:paraId="36FF58EC"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13 839</w:t>
            </w:r>
          </w:p>
        </w:tc>
        <w:tc>
          <w:tcPr>
            <w:tcW w:w="2218" w:type="dxa"/>
            <w:vAlign w:val="center"/>
          </w:tcPr>
          <w:p w14:paraId="7D032E85" w14:textId="2850A5BD" w:rsidR="00B72C51" w:rsidRPr="00CE357F" w:rsidRDefault="00B72C51" w:rsidP="00B72C51">
            <w:pPr>
              <w:jc w:val="center"/>
              <w:rPr>
                <w:rFonts w:ascii="Arial Narrow" w:hAnsi="Arial Narrow" w:cs="Arial"/>
                <w:sz w:val="18"/>
                <w:szCs w:val="18"/>
              </w:rPr>
            </w:pPr>
            <w:r>
              <w:rPr>
                <w:rFonts w:ascii="Arial Narrow" w:hAnsi="Arial Narrow" w:cs="Arial"/>
                <w:sz w:val="18"/>
                <w:szCs w:val="18"/>
              </w:rPr>
              <w:t>7 900</w:t>
            </w:r>
          </w:p>
        </w:tc>
      </w:tr>
      <w:tr w:rsidR="00B72C51" w:rsidRPr="00CE357F" w14:paraId="6E11EAB4" w14:textId="77777777" w:rsidTr="7CC7BF57">
        <w:trPr>
          <w:trHeight w:val="227"/>
          <w:jc w:val="center"/>
        </w:trPr>
        <w:tc>
          <w:tcPr>
            <w:tcW w:w="2318" w:type="dxa"/>
            <w:shd w:val="clear" w:color="auto" w:fill="D9E2F3" w:themeFill="accent1" w:themeFillTint="33"/>
            <w:vAlign w:val="center"/>
          </w:tcPr>
          <w:p w14:paraId="11D7B54C" w14:textId="77777777" w:rsidR="00B72C51" w:rsidRPr="00CE357F" w:rsidRDefault="00B72C51" w:rsidP="00B72C51">
            <w:pPr>
              <w:jc w:val="center"/>
              <w:rPr>
                <w:rFonts w:ascii="Arial Narrow" w:eastAsia="Times New Roman" w:hAnsi="Arial Narrow" w:cs="Arial"/>
                <w:b/>
                <w:bCs/>
                <w:sz w:val="18"/>
                <w:szCs w:val="18"/>
                <w:lang w:eastAsia="cs-CZ"/>
              </w:rPr>
            </w:pPr>
            <w:r w:rsidRPr="00CE357F">
              <w:rPr>
                <w:rFonts w:ascii="Arial Narrow" w:eastAsia="Times New Roman" w:hAnsi="Arial Narrow"/>
                <w:sz w:val="18"/>
                <w:szCs w:val="18"/>
                <w:lang w:eastAsia="cs-CZ"/>
              </w:rPr>
              <w:t>2008/2009</w:t>
            </w:r>
          </w:p>
        </w:tc>
        <w:tc>
          <w:tcPr>
            <w:tcW w:w="2218" w:type="dxa"/>
            <w:vAlign w:val="center"/>
          </w:tcPr>
          <w:p w14:paraId="1B52EBA5"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3 535</w:t>
            </w:r>
          </w:p>
        </w:tc>
        <w:tc>
          <w:tcPr>
            <w:tcW w:w="2217" w:type="dxa"/>
            <w:vAlign w:val="center"/>
          </w:tcPr>
          <w:p w14:paraId="5726D3E9"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13 583</w:t>
            </w:r>
          </w:p>
        </w:tc>
        <w:tc>
          <w:tcPr>
            <w:tcW w:w="2218" w:type="dxa"/>
            <w:vAlign w:val="center"/>
          </w:tcPr>
          <w:p w14:paraId="079C699D" w14:textId="09BFB163" w:rsidR="00B72C51" w:rsidRPr="00CE357F" w:rsidRDefault="00B72C51" w:rsidP="00B72C51">
            <w:pPr>
              <w:jc w:val="center"/>
              <w:rPr>
                <w:rFonts w:ascii="Arial Narrow" w:hAnsi="Arial Narrow" w:cs="Arial"/>
                <w:sz w:val="18"/>
                <w:szCs w:val="18"/>
              </w:rPr>
            </w:pPr>
            <w:r>
              <w:rPr>
                <w:rFonts w:ascii="Arial Narrow" w:hAnsi="Arial Narrow" w:cs="Arial"/>
                <w:sz w:val="18"/>
                <w:szCs w:val="18"/>
              </w:rPr>
              <w:t>7 134</w:t>
            </w:r>
          </w:p>
        </w:tc>
      </w:tr>
      <w:tr w:rsidR="00B72C51" w:rsidRPr="00CE357F" w14:paraId="321B706A" w14:textId="77777777" w:rsidTr="7CC7BF57">
        <w:trPr>
          <w:trHeight w:val="227"/>
          <w:jc w:val="center"/>
        </w:trPr>
        <w:tc>
          <w:tcPr>
            <w:tcW w:w="2318" w:type="dxa"/>
            <w:shd w:val="clear" w:color="auto" w:fill="D9E2F3" w:themeFill="accent1" w:themeFillTint="33"/>
            <w:vAlign w:val="center"/>
          </w:tcPr>
          <w:p w14:paraId="4065FE24" w14:textId="77777777" w:rsidR="00B72C51" w:rsidRPr="00CE357F" w:rsidRDefault="00B72C51" w:rsidP="00B72C51">
            <w:pPr>
              <w:jc w:val="center"/>
              <w:rPr>
                <w:rFonts w:ascii="Arial Narrow" w:eastAsia="Times New Roman" w:hAnsi="Arial Narrow" w:cs="Arial"/>
                <w:b/>
                <w:bCs/>
                <w:sz w:val="18"/>
                <w:szCs w:val="18"/>
                <w:lang w:eastAsia="cs-CZ"/>
              </w:rPr>
            </w:pPr>
            <w:r w:rsidRPr="00CE357F">
              <w:rPr>
                <w:rFonts w:ascii="Arial Narrow" w:eastAsia="Times New Roman" w:hAnsi="Arial Narrow"/>
                <w:sz w:val="18"/>
                <w:szCs w:val="18"/>
                <w:lang w:eastAsia="cs-CZ"/>
              </w:rPr>
              <w:t>2007/2008</w:t>
            </w:r>
          </w:p>
        </w:tc>
        <w:tc>
          <w:tcPr>
            <w:tcW w:w="2218" w:type="dxa"/>
            <w:vAlign w:val="center"/>
          </w:tcPr>
          <w:p w14:paraId="23D38392"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3 078</w:t>
            </w:r>
          </w:p>
        </w:tc>
        <w:tc>
          <w:tcPr>
            <w:tcW w:w="2217" w:type="dxa"/>
            <w:vAlign w:val="center"/>
          </w:tcPr>
          <w:p w14:paraId="046B3F60"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12 963</w:t>
            </w:r>
          </w:p>
        </w:tc>
        <w:tc>
          <w:tcPr>
            <w:tcW w:w="2218" w:type="dxa"/>
            <w:vAlign w:val="center"/>
          </w:tcPr>
          <w:p w14:paraId="216AF65B" w14:textId="750E3CEB" w:rsidR="00B72C51" w:rsidRPr="00CE357F" w:rsidRDefault="00B72C51" w:rsidP="00B72C51">
            <w:pPr>
              <w:jc w:val="center"/>
              <w:rPr>
                <w:rFonts w:ascii="Arial Narrow" w:hAnsi="Arial Narrow" w:cs="Arial"/>
                <w:sz w:val="18"/>
                <w:szCs w:val="18"/>
              </w:rPr>
            </w:pPr>
            <w:r>
              <w:rPr>
                <w:rFonts w:ascii="Arial Narrow" w:hAnsi="Arial Narrow" w:cs="Arial"/>
                <w:sz w:val="18"/>
                <w:szCs w:val="18"/>
              </w:rPr>
              <w:t>6 314</w:t>
            </w:r>
          </w:p>
        </w:tc>
      </w:tr>
      <w:tr w:rsidR="00B72C51" w:rsidRPr="00CE357F" w14:paraId="631ACFF4" w14:textId="77777777" w:rsidTr="7CC7BF57">
        <w:trPr>
          <w:trHeight w:val="227"/>
          <w:jc w:val="center"/>
        </w:trPr>
        <w:tc>
          <w:tcPr>
            <w:tcW w:w="2318" w:type="dxa"/>
            <w:shd w:val="clear" w:color="auto" w:fill="D9E2F3" w:themeFill="accent1" w:themeFillTint="33"/>
            <w:vAlign w:val="center"/>
          </w:tcPr>
          <w:p w14:paraId="61B47111" w14:textId="77777777" w:rsidR="00B72C51" w:rsidRPr="00CE357F" w:rsidRDefault="00B72C51" w:rsidP="00B72C51">
            <w:pPr>
              <w:jc w:val="center"/>
              <w:rPr>
                <w:rFonts w:ascii="Arial Narrow" w:eastAsia="Times New Roman" w:hAnsi="Arial Narrow" w:cs="Arial"/>
                <w:b/>
                <w:bCs/>
                <w:sz w:val="18"/>
                <w:szCs w:val="18"/>
                <w:lang w:eastAsia="cs-CZ"/>
              </w:rPr>
            </w:pPr>
            <w:r w:rsidRPr="00CE357F">
              <w:rPr>
                <w:rFonts w:ascii="Arial Narrow" w:eastAsia="Times New Roman" w:hAnsi="Arial Narrow"/>
                <w:sz w:val="18"/>
                <w:szCs w:val="18"/>
                <w:lang w:eastAsia="cs-CZ"/>
              </w:rPr>
              <w:t>2006/2007</w:t>
            </w:r>
          </w:p>
        </w:tc>
        <w:tc>
          <w:tcPr>
            <w:tcW w:w="2218" w:type="dxa"/>
            <w:vAlign w:val="center"/>
          </w:tcPr>
          <w:p w14:paraId="62627BDB"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2 811</w:t>
            </w:r>
          </w:p>
        </w:tc>
        <w:tc>
          <w:tcPr>
            <w:tcW w:w="2217" w:type="dxa"/>
            <w:vAlign w:val="center"/>
          </w:tcPr>
          <w:p w14:paraId="773662DD"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12 504</w:t>
            </w:r>
          </w:p>
        </w:tc>
        <w:tc>
          <w:tcPr>
            <w:tcW w:w="2218" w:type="dxa"/>
            <w:vAlign w:val="center"/>
          </w:tcPr>
          <w:p w14:paraId="7C7B9E1C" w14:textId="5C75D7EC" w:rsidR="00B72C51" w:rsidRPr="00CE357F" w:rsidRDefault="00B72C51" w:rsidP="00B72C51">
            <w:pPr>
              <w:jc w:val="center"/>
              <w:rPr>
                <w:rFonts w:ascii="Arial Narrow" w:hAnsi="Arial Narrow" w:cs="Arial"/>
                <w:sz w:val="18"/>
                <w:szCs w:val="18"/>
              </w:rPr>
            </w:pPr>
            <w:r>
              <w:rPr>
                <w:rFonts w:ascii="Arial Narrow" w:hAnsi="Arial Narrow" w:cs="Arial"/>
                <w:sz w:val="18"/>
                <w:szCs w:val="18"/>
              </w:rPr>
              <w:t>5 615</w:t>
            </w:r>
          </w:p>
        </w:tc>
      </w:tr>
      <w:tr w:rsidR="00B72C51" w:rsidRPr="00CE357F" w14:paraId="21472E1F" w14:textId="77777777" w:rsidTr="7CC7BF57">
        <w:trPr>
          <w:trHeight w:val="227"/>
          <w:jc w:val="center"/>
        </w:trPr>
        <w:tc>
          <w:tcPr>
            <w:tcW w:w="2318" w:type="dxa"/>
            <w:shd w:val="clear" w:color="auto" w:fill="D9E2F3" w:themeFill="accent1" w:themeFillTint="33"/>
            <w:vAlign w:val="center"/>
          </w:tcPr>
          <w:p w14:paraId="16A8B53C" w14:textId="77777777" w:rsidR="00B72C51" w:rsidRPr="00CE357F" w:rsidRDefault="00B72C51" w:rsidP="00B72C51">
            <w:pPr>
              <w:jc w:val="center"/>
              <w:rPr>
                <w:rFonts w:ascii="Arial Narrow" w:eastAsia="Times New Roman" w:hAnsi="Arial Narrow" w:cs="Arial"/>
                <w:b/>
                <w:bCs/>
                <w:sz w:val="18"/>
                <w:szCs w:val="18"/>
                <w:lang w:eastAsia="cs-CZ"/>
              </w:rPr>
            </w:pPr>
            <w:r w:rsidRPr="00CE357F">
              <w:rPr>
                <w:rFonts w:ascii="Arial Narrow" w:eastAsia="Times New Roman" w:hAnsi="Arial Narrow"/>
                <w:sz w:val="18"/>
                <w:szCs w:val="18"/>
                <w:lang w:eastAsia="cs-CZ"/>
              </w:rPr>
              <w:t>2005/2006</w:t>
            </w:r>
          </w:p>
        </w:tc>
        <w:tc>
          <w:tcPr>
            <w:tcW w:w="2218" w:type="dxa"/>
            <w:vAlign w:val="center"/>
          </w:tcPr>
          <w:p w14:paraId="613D805C"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3 213</w:t>
            </w:r>
          </w:p>
        </w:tc>
        <w:tc>
          <w:tcPr>
            <w:tcW w:w="2217" w:type="dxa"/>
            <w:vAlign w:val="center"/>
          </w:tcPr>
          <w:p w14:paraId="0F7220CB" w14:textId="77777777" w:rsidR="00B72C51" w:rsidRPr="00CE357F" w:rsidRDefault="00B72C51" w:rsidP="00B72C51">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12 279</w:t>
            </w:r>
          </w:p>
        </w:tc>
        <w:tc>
          <w:tcPr>
            <w:tcW w:w="2218" w:type="dxa"/>
            <w:vAlign w:val="center"/>
          </w:tcPr>
          <w:p w14:paraId="2860B748" w14:textId="148B82F9" w:rsidR="00B72C51" w:rsidRPr="00CE357F" w:rsidRDefault="00B72C51" w:rsidP="00B72C51">
            <w:pPr>
              <w:jc w:val="center"/>
              <w:rPr>
                <w:rFonts w:ascii="Arial Narrow" w:hAnsi="Arial Narrow" w:cs="Arial"/>
                <w:sz w:val="18"/>
                <w:szCs w:val="18"/>
              </w:rPr>
            </w:pPr>
            <w:r>
              <w:rPr>
                <w:rFonts w:ascii="Arial Narrow" w:hAnsi="Arial Narrow" w:cs="Arial"/>
                <w:sz w:val="18"/>
                <w:szCs w:val="18"/>
              </w:rPr>
              <w:t>4 940</w:t>
            </w:r>
          </w:p>
        </w:tc>
      </w:tr>
    </w:tbl>
    <w:p w14:paraId="2DE4DA3C" w14:textId="4181BC00" w:rsidR="00F1264F" w:rsidRPr="00CE357F" w:rsidRDefault="00F1264F" w:rsidP="006907A1">
      <w:pPr>
        <w:spacing w:line="276" w:lineRule="auto"/>
        <w:rPr>
          <w:rFonts w:ascii="Arial Narrow" w:hAnsi="Arial Narrow"/>
          <w:color w:val="000000"/>
          <w:sz w:val="20"/>
          <w:szCs w:val="20"/>
        </w:rPr>
      </w:pPr>
      <w:r w:rsidRPr="00CE357F">
        <w:rPr>
          <w:rFonts w:ascii="Arial Narrow" w:hAnsi="Arial Narrow" w:cs="Arial"/>
          <w:color w:val="000000"/>
          <w:sz w:val="20"/>
          <w:szCs w:val="20"/>
        </w:rPr>
        <w:t>Zdroj: Ministerstvo školství, mládeže a tělovýchovy</w:t>
      </w:r>
      <w:r w:rsidR="004929A3" w:rsidRPr="00CE357F">
        <w:rPr>
          <w:rFonts w:ascii="Arial Narrow" w:hAnsi="Arial Narrow" w:cs="Arial"/>
          <w:color w:val="000000"/>
          <w:sz w:val="20"/>
          <w:szCs w:val="20"/>
        </w:rPr>
        <w:tab/>
      </w:r>
      <w:r w:rsidR="004929A3" w:rsidRPr="00CE357F">
        <w:rPr>
          <w:rFonts w:ascii="Arial Narrow" w:hAnsi="Arial Narrow" w:cs="Arial"/>
          <w:color w:val="000000"/>
          <w:sz w:val="20"/>
          <w:szCs w:val="20"/>
        </w:rPr>
        <w:tab/>
      </w:r>
      <w:r w:rsidR="004929A3" w:rsidRPr="00CE357F">
        <w:rPr>
          <w:rFonts w:ascii="Arial Narrow" w:hAnsi="Arial Narrow" w:cs="Arial"/>
          <w:color w:val="000000"/>
          <w:sz w:val="20"/>
          <w:szCs w:val="20"/>
        </w:rPr>
        <w:tab/>
      </w:r>
      <w:r w:rsidR="00A12884">
        <w:rPr>
          <w:rFonts w:ascii="Arial Narrow" w:hAnsi="Arial Narrow" w:cs="Arial"/>
          <w:color w:val="000000"/>
          <w:sz w:val="20"/>
          <w:szCs w:val="20"/>
        </w:rPr>
        <w:tab/>
      </w:r>
      <w:r w:rsidR="004929A3" w:rsidRPr="00CE357F">
        <w:rPr>
          <w:rFonts w:ascii="Arial Narrow" w:hAnsi="Arial Narrow" w:cs="Arial"/>
          <w:color w:val="000000"/>
          <w:sz w:val="20"/>
          <w:szCs w:val="20"/>
        </w:rPr>
        <w:t xml:space="preserve">Tabulka: AUGUR </w:t>
      </w:r>
      <w:proofErr w:type="spellStart"/>
      <w:r w:rsidR="004929A3" w:rsidRPr="00CE357F">
        <w:rPr>
          <w:rFonts w:ascii="Arial Narrow" w:hAnsi="Arial Narrow" w:cs="Arial"/>
          <w:color w:val="000000"/>
          <w:sz w:val="20"/>
          <w:szCs w:val="20"/>
        </w:rPr>
        <w:t>Consulting</w:t>
      </w:r>
      <w:proofErr w:type="spellEnd"/>
      <w:r w:rsidR="004929A3" w:rsidRPr="00CE357F">
        <w:rPr>
          <w:rFonts w:ascii="Arial Narrow" w:hAnsi="Arial Narrow" w:cs="Arial"/>
          <w:color w:val="000000"/>
          <w:sz w:val="20"/>
          <w:szCs w:val="20"/>
        </w:rPr>
        <w:t>, s.r.o.</w:t>
      </w:r>
    </w:p>
    <w:p w14:paraId="14134C66" w14:textId="436692E9" w:rsidR="006907A1" w:rsidRPr="00CE357F" w:rsidRDefault="006907A1" w:rsidP="006907A1">
      <w:pPr>
        <w:spacing w:line="276" w:lineRule="auto"/>
        <w:rPr>
          <w:rFonts w:ascii="Arial Narrow" w:hAnsi="Arial Narrow"/>
          <w:color w:val="000000"/>
          <w:sz w:val="20"/>
          <w:szCs w:val="20"/>
        </w:rPr>
      </w:pPr>
    </w:p>
    <w:p w14:paraId="511ED4C7" w14:textId="77777777" w:rsidR="006907A1" w:rsidRPr="00CE357F" w:rsidRDefault="006907A1" w:rsidP="006907A1">
      <w:pPr>
        <w:spacing w:line="276" w:lineRule="auto"/>
        <w:rPr>
          <w:rFonts w:ascii="Arial Narrow" w:hAnsi="Arial Narrow"/>
          <w:b/>
          <w:color w:val="000000"/>
          <w:sz w:val="20"/>
          <w:szCs w:val="20"/>
        </w:rPr>
      </w:pPr>
    </w:p>
    <w:p w14:paraId="3F94F8B4" w14:textId="2B72D442" w:rsidR="00F1264F" w:rsidRPr="00CE357F" w:rsidRDefault="00F1264F" w:rsidP="00F1264F">
      <w:pPr>
        <w:spacing w:after="240" w:line="276" w:lineRule="auto"/>
        <w:rPr>
          <w:rFonts w:ascii="Arial Narrow" w:hAnsi="Arial Narrow"/>
          <w:b/>
          <w:u w:val="single"/>
        </w:rPr>
      </w:pPr>
      <w:r w:rsidRPr="00CE357F">
        <w:rPr>
          <w:rFonts w:ascii="Arial Narrow" w:hAnsi="Arial Narrow"/>
          <w:b/>
          <w:u w:val="single"/>
        </w:rPr>
        <w:t>Předškolní vzdělávání</w:t>
      </w:r>
      <w:r w:rsidR="00E4379D">
        <w:rPr>
          <w:rFonts w:ascii="Arial Narrow" w:hAnsi="Arial Narrow"/>
          <w:b/>
          <w:u w:val="single"/>
        </w:rPr>
        <w:t xml:space="preserve"> – mateřské školy</w:t>
      </w:r>
    </w:p>
    <w:p w14:paraId="2943AFFA" w14:textId="36A1E77B" w:rsidR="00E568AB" w:rsidRPr="00173E7B" w:rsidRDefault="00B72C51" w:rsidP="00B72C51">
      <w:pPr>
        <w:spacing w:after="240" w:line="276" w:lineRule="auto"/>
        <w:jc w:val="both"/>
        <w:rPr>
          <w:rFonts w:ascii="Arial Narrow" w:hAnsi="Arial Narrow"/>
          <w:bCs/>
        </w:rPr>
      </w:pPr>
      <w:r w:rsidRPr="00173E7B">
        <w:rPr>
          <w:rFonts w:ascii="Arial Narrow" w:hAnsi="Arial Narrow"/>
        </w:rPr>
        <w:t>Ve školním roce 2022/2023 navštěvovalo mateřské školy v České republice celkem 369 205 dětí, z toho 19 567 dětí s jinou než českou státní příslušností. Meziročně tak došlo k nárůstu počtu dětí s jiným než českým občanstvím o zhruba 62 %. Základní dělení státní příslušnosti dětí v předškolních zařízeních</w:t>
      </w:r>
      <w:r w:rsidR="00E4379D" w:rsidRPr="00173E7B">
        <w:rPr>
          <w:rFonts w:ascii="Arial Narrow" w:hAnsi="Arial Narrow"/>
        </w:rPr>
        <w:t xml:space="preserve"> – mateřských školách</w:t>
      </w:r>
      <w:r w:rsidRPr="00173E7B">
        <w:rPr>
          <w:rFonts w:ascii="Arial Narrow" w:hAnsi="Arial Narrow"/>
        </w:rPr>
        <w:t xml:space="preserve"> s jinou než českou státní příslušností ve školním roce 2022/2023 podrobně dokumentuje graf</w:t>
      </w:r>
      <w:r w:rsidR="007226E2" w:rsidRPr="00173E7B">
        <w:rPr>
          <w:rFonts w:ascii="Arial Narrow" w:hAnsi="Arial Narrow"/>
        </w:rPr>
        <w:t xml:space="preserve"> č. 28</w:t>
      </w:r>
      <w:r w:rsidRPr="00173E7B">
        <w:rPr>
          <w:rFonts w:ascii="Arial Narrow" w:hAnsi="Arial Narrow"/>
        </w:rPr>
        <w:t>.</w:t>
      </w:r>
    </w:p>
    <w:p w14:paraId="3243FC9B" w14:textId="00AE9CE8" w:rsidR="00794665" w:rsidRPr="00173E7B" w:rsidRDefault="00794665" w:rsidP="00794665">
      <w:pPr>
        <w:pStyle w:val="Titulek"/>
        <w:keepNext/>
        <w:spacing w:after="0"/>
        <w:jc w:val="both"/>
        <w:rPr>
          <w:rFonts w:ascii="Arial Narrow" w:hAnsi="Arial Narrow"/>
          <w:color w:val="auto"/>
          <w:sz w:val="20"/>
          <w:szCs w:val="20"/>
        </w:rPr>
      </w:pPr>
      <w:bookmarkStart w:id="208" w:name="_Toc94443732"/>
      <w:bookmarkStart w:id="209" w:name="_Toc136428872"/>
      <w:r w:rsidRPr="00173E7B">
        <w:rPr>
          <w:rFonts w:ascii="Arial Narrow" w:hAnsi="Arial Narrow"/>
          <w:color w:val="auto"/>
          <w:sz w:val="20"/>
          <w:szCs w:val="20"/>
        </w:rPr>
        <w:t xml:space="preserve">Graf </w:t>
      </w:r>
      <w:r w:rsidRPr="00173E7B">
        <w:rPr>
          <w:rFonts w:ascii="Arial Narrow" w:hAnsi="Arial Narrow"/>
          <w:color w:val="auto"/>
          <w:sz w:val="20"/>
          <w:szCs w:val="20"/>
        </w:rPr>
        <w:fldChar w:fldCharType="begin"/>
      </w:r>
      <w:r w:rsidRPr="00173E7B">
        <w:rPr>
          <w:rFonts w:ascii="Arial Narrow" w:hAnsi="Arial Narrow"/>
          <w:color w:val="auto"/>
          <w:sz w:val="20"/>
          <w:szCs w:val="20"/>
        </w:rPr>
        <w:instrText xml:space="preserve"> SEQ Graf \* ARABIC </w:instrText>
      </w:r>
      <w:r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28</w:t>
      </w:r>
      <w:r w:rsidRPr="00173E7B">
        <w:rPr>
          <w:rFonts w:ascii="Arial Narrow" w:hAnsi="Arial Narrow"/>
          <w:color w:val="auto"/>
          <w:sz w:val="20"/>
          <w:szCs w:val="20"/>
        </w:rPr>
        <w:fldChar w:fldCharType="end"/>
      </w:r>
      <w:r w:rsidRPr="00173E7B">
        <w:rPr>
          <w:rFonts w:ascii="Arial Narrow" w:hAnsi="Arial Narrow"/>
          <w:color w:val="auto"/>
          <w:sz w:val="20"/>
          <w:szCs w:val="20"/>
        </w:rPr>
        <w:t xml:space="preserve">: Státní příslušnost </w:t>
      </w:r>
      <w:r w:rsidR="00DC75A7" w:rsidRPr="00173E7B">
        <w:rPr>
          <w:rFonts w:ascii="Arial Narrow" w:hAnsi="Arial Narrow"/>
          <w:color w:val="auto"/>
          <w:sz w:val="20"/>
          <w:szCs w:val="20"/>
        </w:rPr>
        <w:t>dětí v předškolních zařízeních</w:t>
      </w:r>
      <w:r w:rsidRPr="00173E7B">
        <w:rPr>
          <w:rFonts w:ascii="Arial Narrow" w:hAnsi="Arial Narrow"/>
          <w:color w:val="auto"/>
          <w:sz w:val="20"/>
          <w:szCs w:val="20"/>
        </w:rPr>
        <w:t xml:space="preserve"> </w:t>
      </w:r>
      <w:r w:rsidR="00DD4C92" w:rsidRPr="00173E7B">
        <w:rPr>
          <w:rFonts w:ascii="Arial Narrow" w:hAnsi="Arial Narrow"/>
          <w:color w:val="auto"/>
          <w:sz w:val="20"/>
          <w:szCs w:val="20"/>
        </w:rPr>
        <w:t>s jinou než českou státní příslušností</w:t>
      </w:r>
      <w:r w:rsidR="00DD4C92" w:rsidRPr="00173E7B">
        <w:rPr>
          <w:rFonts w:ascii="Arial Narrow" w:hAnsi="Arial Narrow"/>
          <w:color w:val="auto"/>
        </w:rPr>
        <w:t xml:space="preserve"> </w:t>
      </w:r>
      <w:r w:rsidRPr="00173E7B">
        <w:rPr>
          <w:rFonts w:ascii="Arial Narrow" w:hAnsi="Arial Narrow"/>
          <w:color w:val="auto"/>
          <w:sz w:val="20"/>
          <w:szCs w:val="20"/>
        </w:rPr>
        <w:t>ve školním roce 202</w:t>
      </w:r>
      <w:r w:rsidR="00B72C51" w:rsidRPr="00173E7B">
        <w:rPr>
          <w:rFonts w:ascii="Arial Narrow" w:hAnsi="Arial Narrow"/>
          <w:color w:val="auto"/>
          <w:sz w:val="20"/>
          <w:szCs w:val="20"/>
        </w:rPr>
        <w:t>2</w:t>
      </w:r>
      <w:r w:rsidRPr="00173E7B">
        <w:rPr>
          <w:rFonts w:ascii="Arial Narrow" w:hAnsi="Arial Narrow"/>
          <w:color w:val="auto"/>
          <w:sz w:val="20"/>
          <w:szCs w:val="20"/>
        </w:rPr>
        <w:t>/202</w:t>
      </w:r>
      <w:bookmarkEnd w:id="208"/>
      <w:r w:rsidR="00B72C51" w:rsidRPr="00173E7B">
        <w:rPr>
          <w:rFonts w:ascii="Arial Narrow" w:hAnsi="Arial Narrow"/>
          <w:color w:val="auto"/>
          <w:sz w:val="20"/>
          <w:szCs w:val="20"/>
        </w:rPr>
        <w:t>3</w:t>
      </w:r>
      <w:bookmarkEnd w:id="209"/>
    </w:p>
    <w:p w14:paraId="2F97F5F6" w14:textId="5CE20DEA" w:rsidR="00F1264F" w:rsidRPr="00173E7B" w:rsidRDefault="00B72C51" w:rsidP="00794665">
      <w:pPr>
        <w:pStyle w:val="Titulek"/>
        <w:keepNext/>
        <w:spacing w:after="0"/>
        <w:jc w:val="both"/>
        <w:rPr>
          <w:rFonts w:ascii="Arial Narrow" w:hAnsi="Arial Narrow"/>
        </w:rPr>
      </w:pPr>
      <w:r w:rsidRPr="00173E7B">
        <w:rPr>
          <w:rFonts w:ascii="Arial Narrow" w:hAnsi="Arial Narrow"/>
          <w:bCs w:val="0"/>
          <w:noProof/>
          <w:lang w:eastAsia="cs-CZ"/>
        </w:rPr>
        <w:drawing>
          <wp:inline distT="0" distB="0" distL="0" distR="0" wp14:anchorId="673CA2A5" wp14:editId="28A0995C">
            <wp:extent cx="5760720" cy="1626235"/>
            <wp:effectExtent l="0" t="0" r="0" b="0"/>
            <wp:docPr id="2086" name="Graf 2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867D3C8" w14:textId="764F34EE" w:rsidR="00E568AB" w:rsidRPr="00173E7B" w:rsidRDefault="00E568AB" w:rsidP="00E568AB">
      <w:pPr>
        <w:spacing w:line="276" w:lineRule="auto"/>
        <w:rPr>
          <w:rFonts w:ascii="Arial Narrow" w:eastAsia="Calibri" w:hAnsi="Arial Narrow"/>
          <w:bCs/>
        </w:rPr>
      </w:pPr>
      <w:r w:rsidRPr="00173E7B">
        <w:rPr>
          <w:rFonts w:ascii="Arial Narrow" w:hAnsi="Arial Narrow"/>
          <w:sz w:val="20"/>
          <w:szCs w:val="20"/>
        </w:rPr>
        <w:t xml:space="preserve">Zdroj: </w:t>
      </w:r>
      <w:r w:rsidR="004929A3" w:rsidRPr="00173E7B">
        <w:rPr>
          <w:rFonts w:ascii="Arial Narrow" w:hAnsi="Arial Narrow" w:cs="Arial"/>
          <w:color w:val="000000"/>
          <w:sz w:val="20"/>
          <w:szCs w:val="20"/>
        </w:rPr>
        <w:t>Ministerstvo školství, mládeže a tělovýchovy</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w:t>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2DEF61F3" w14:textId="0C8BE269" w:rsidR="00D67835" w:rsidRPr="00173E7B" w:rsidRDefault="00D67835" w:rsidP="00F1264F">
      <w:pPr>
        <w:spacing w:after="240" w:line="276" w:lineRule="auto"/>
        <w:jc w:val="both"/>
        <w:rPr>
          <w:rFonts w:ascii="Arial Narrow" w:hAnsi="Arial Narrow"/>
          <w:bCs/>
        </w:rPr>
      </w:pPr>
    </w:p>
    <w:p w14:paraId="1AFEE190" w14:textId="4691DC76" w:rsidR="00E264F3" w:rsidRPr="00173E7B" w:rsidRDefault="00E264F3" w:rsidP="00E264F3">
      <w:pPr>
        <w:spacing w:after="240" w:line="276" w:lineRule="auto"/>
        <w:jc w:val="both"/>
        <w:rPr>
          <w:rFonts w:ascii="Arial Narrow" w:hAnsi="Arial Narrow"/>
        </w:rPr>
      </w:pPr>
      <w:bookmarkStart w:id="210" w:name="_Hlk95486717"/>
      <w:r w:rsidRPr="00173E7B">
        <w:rPr>
          <w:rFonts w:ascii="Arial Narrow" w:hAnsi="Arial Narrow"/>
        </w:rPr>
        <w:t>Podíl osob s jinou než českou státní příslušností na celkovém počtu dětí v předškolních zařízeních se mezi lety 2005 a 2022 téměř zpětinásobil</w:t>
      </w:r>
      <w:r w:rsidR="007226E2" w:rsidRPr="00173E7B">
        <w:rPr>
          <w:rFonts w:ascii="Arial Narrow" w:hAnsi="Arial Narrow"/>
        </w:rPr>
        <w:t>, jak ukazuje graf č. 29 a následně v reálných číslech tabulka č. 7</w:t>
      </w:r>
      <w:r w:rsidRPr="00173E7B">
        <w:rPr>
          <w:rFonts w:ascii="Arial Narrow" w:hAnsi="Arial Narrow"/>
        </w:rPr>
        <w:t xml:space="preserve">. Zatímco ve </w:t>
      </w:r>
      <w:r w:rsidRPr="00173E7B">
        <w:rPr>
          <w:rFonts w:ascii="Arial Narrow" w:hAnsi="Arial Narrow"/>
        </w:rPr>
        <w:lastRenderedPageBreak/>
        <w:t>školním roce 2005/2006 tvořily děti s jinou než českou státní příslušností 1,1 % všech dětí v předškolních zařízeních, ve školním roce 2021/2022 to bylo 3,4 % a v roce 2022/2023 dokonce 5,3 %. Počet dětí v předškolních zařízeních s jinou než českou státní příslušností do školního roku 2021/2022 meziročně narůstal průměrně o 0,17 %. Z dat je zjevné, že pandemie COVID-19 trend růstu podílu dětí s jinou než českou státní příslušností zpomalila.</w:t>
      </w:r>
    </w:p>
    <w:p w14:paraId="3F200EFB" w14:textId="77777777" w:rsidR="00E264F3" w:rsidRPr="00173E7B" w:rsidRDefault="00E264F3" w:rsidP="00E264F3">
      <w:pPr>
        <w:spacing w:after="240" w:line="276" w:lineRule="auto"/>
        <w:jc w:val="both"/>
        <w:rPr>
          <w:rFonts w:ascii="Arial Narrow" w:hAnsi="Arial Narrow"/>
        </w:rPr>
      </w:pPr>
      <w:r w:rsidRPr="00173E7B">
        <w:rPr>
          <w:rFonts w:ascii="Arial Narrow" w:hAnsi="Arial Narrow"/>
        </w:rPr>
        <w:t>Výraznou změnu v podílu dětí s jinou než českou státní příslušností v předškolních zařízeních přinesl školní rok 2022/2023, kdy v souvislosti s válkou na Ukrajině došlo k příchodu velkého počtu dětí (nejen) v předškolním věku. V důsledku toho došlo skokově k nárůstu podílu dětí s jinou než českou státní příslušností v MŠ z 3,4 % na 5,3 %.</w:t>
      </w:r>
    </w:p>
    <w:p w14:paraId="6621CA17" w14:textId="53D6B355" w:rsidR="00794665" w:rsidRPr="00173E7B" w:rsidRDefault="00794665" w:rsidP="00794665">
      <w:pPr>
        <w:pStyle w:val="Titulek"/>
        <w:keepNext/>
        <w:spacing w:after="0"/>
        <w:jc w:val="both"/>
        <w:rPr>
          <w:rFonts w:ascii="Arial Narrow" w:hAnsi="Arial Narrow"/>
          <w:color w:val="auto"/>
          <w:sz w:val="20"/>
          <w:szCs w:val="20"/>
        </w:rPr>
      </w:pPr>
      <w:bookmarkStart w:id="211" w:name="_Toc94443733"/>
      <w:bookmarkStart w:id="212" w:name="_Toc136428873"/>
      <w:bookmarkEnd w:id="210"/>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29</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xml:space="preserve">: Podíl </w:t>
      </w:r>
      <w:r w:rsidR="00BF59C4" w:rsidRPr="00173E7B">
        <w:rPr>
          <w:rFonts w:ascii="Arial Narrow" w:hAnsi="Arial Narrow"/>
          <w:color w:val="auto"/>
          <w:sz w:val="20"/>
          <w:szCs w:val="20"/>
        </w:rPr>
        <w:t>dětí v předškolních zařízeních</w:t>
      </w:r>
      <w:r w:rsidRPr="00173E7B">
        <w:rPr>
          <w:rFonts w:ascii="Arial Narrow" w:hAnsi="Arial Narrow"/>
          <w:color w:val="auto"/>
          <w:sz w:val="20"/>
          <w:szCs w:val="20"/>
        </w:rPr>
        <w:t xml:space="preserve"> </w:t>
      </w:r>
      <w:r w:rsidR="00DD4C92" w:rsidRPr="00173E7B">
        <w:rPr>
          <w:rFonts w:ascii="Arial Narrow" w:hAnsi="Arial Narrow"/>
          <w:color w:val="auto"/>
          <w:sz w:val="20"/>
          <w:szCs w:val="20"/>
        </w:rPr>
        <w:t>s</w:t>
      </w:r>
      <w:r w:rsidR="00DD4C92" w:rsidRPr="00173E7B">
        <w:rPr>
          <w:rFonts w:ascii="Arial Narrow" w:hAnsi="Arial Narrow"/>
          <w:bCs w:val="0"/>
          <w:color w:val="auto"/>
          <w:sz w:val="20"/>
          <w:szCs w:val="20"/>
        </w:rPr>
        <w:t> </w:t>
      </w:r>
      <w:r w:rsidR="00DD4C92" w:rsidRPr="00173E7B">
        <w:rPr>
          <w:rFonts w:ascii="Arial Narrow" w:hAnsi="Arial Narrow"/>
          <w:color w:val="auto"/>
          <w:sz w:val="20"/>
          <w:szCs w:val="20"/>
        </w:rPr>
        <w:t>jin</w:t>
      </w:r>
      <w:r w:rsidR="00DD4C92" w:rsidRPr="00173E7B">
        <w:rPr>
          <w:rFonts w:ascii="Arial Narrow" w:hAnsi="Arial Narrow"/>
          <w:bCs w:val="0"/>
          <w:color w:val="auto"/>
          <w:sz w:val="20"/>
          <w:szCs w:val="20"/>
        </w:rPr>
        <w:t>ou než českou státní příslušností</w:t>
      </w:r>
      <w:r w:rsidR="00DD4C92" w:rsidRPr="00173E7B">
        <w:rPr>
          <w:rFonts w:ascii="Arial Narrow" w:hAnsi="Arial Narrow"/>
          <w:color w:val="auto"/>
          <w:sz w:val="20"/>
          <w:szCs w:val="20"/>
        </w:rPr>
        <w:t xml:space="preserve"> </w:t>
      </w:r>
      <w:r w:rsidRPr="00173E7B">
        <w:rPr>
          <w:rFonts w:ascii="Arial Narrow" w:hAnsi="Arial Narrow"/>
          <w:color w:val="auto"/>
          <w:sz w:val="20"/>
          <w:szCs w:val="20"/>
        </w:rPr>
        <w:t>na celkovém počtu</w:t>
      </w:r>
      <w:bookmarkEnd w:id="211"/>
      <w:r w:rsidR="00BF59C4" w:rsidRPr="00173E7B">
        <w:t xml:space="preserve"> </w:t>
      </w:r>
      <w:r w:rsidR="00BF59C4" w:rsidRPr="00173E7B">
        <w:rPr>
          <w:rFonts w:ascii="Arial Narrow" w:hAnsi="Arial Narrow"/>
          <w:color w:val="auto"/>
          <w:sz w:val="20"/>
          <w:szCs w:val="20"/>
        </w:rPr>
        <w:t>dětí v předškolních zařízeních</w:t>
      </w:r>
      <w:bookmarkEnd w:id="212"/>
    </w:p>
    <w:p w14:paraId="37CC9C28" w14:textId="139E3CE7" w:rsidR="00F1264F" w:rsidRPr="00173E7B" w:rsidRDefault="00F1264F" w:rsidP="7CC7BF57">
      <w:pPr>
        <w:spacing w:line="276" w:lineRule="auto"/>
        <w:rPr>
          <w:rFonts w:ascii="Arial Narrow" w:hAnsi="Arial Narrow"/>
        </w:rPr>
      </w:pPr>
      <w:r w:rsidRPr="00173E7B">
        <w:rPr>
          <w:rFonts w:ascii="Arial Narrow" w:hAnsi="Arial Narrow"/>
          <w:bCs/>
          <w:noProof/>
          <w:lang w:eastAsia="cs-CZ"/>
        </w:rPr>
        <mc:AlternateContent>
          <mc:Choice Requires="wps">
            <w:drawing>
              <wp:anchor distT="0" distB="0" distL="114300" distR="114300" simplePos="0" relativeHeight="251631104" behindDoc="0" locked="0" layoutInCell="1" allowOverlap="1" wp14:anchorId="4325129F" wp14:editId="5F1290DA">
                <wp:simplePos x="0" y="0"/>
                <wp:positionH relativeFrom="margin">
                  <wp:posOffset>2493645</wp:posOffset>
                </wp:positionH>
                <wp:positionV relativeFrom="paragraph">
                  <wp:posOffset>656590</wp:posOffset>
                </wp:positionV>
                <wp:extent cx="2724785" cy="1782233"/>
                <wp:effectExtent l="0" t="38100" r="56515" b="27940"/>
                <wp:wrapNone/>
                <wp:docPr id="2101" name="Přímá spojnice se šipkou 2101"/>
                <wp:cNvGraphicFramePr/>
                <a:graphic xmlns:a="http://schemas.openxmlformats.org/drawingml/2006/main">
                  <a:graphicData uri="http://schemas.microsoft.com/office/word/2010/wordprocessingShape">
                    <wps:wsp>
                      <wps:cNvCnPr/>
                      <wps:spPr>
                        <a:xfrm flipV="1">
                          <a:off x="0" y="0"/>
                          <a:ext cx="2724785" cy="1782233"/>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1BDD953" id="_x0000_t32" coordsize="21600,21600" o:spt="32" o:oned="t" path="m,l21600,21600e" filled="f">
                <v:path arrowok="t" fillok="f" o:connecttype="none"/>
                <o:lock v:ext="edit" shapetype="t"/>
              </v:shapetype>
              <v:shape id="Přímá spojnice se šipkou 2101" o:spid="_x0000_s1026" type="#_x0000_t32" style="position:absolute;margin-left:196.35pt;margin-top:51.7pt;width:214.55pt;height:140.35pt;flip:y;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" strokecolor="#c00000" strokeweight="1.25pt">
                <v:stroke endarrow="block" joinstyle="miter"/>
                <w10:wrap anchorx="margin"/>
              </v:shape>
            </w:pict>
          </mc:Fallback>
        </mc:AlternateContent>
      </w:r>
      <w:r w:rsidR="00EA3CBA" w:rsidRPr="00173E7B">
        <w:rPr>
          <w:rFonts w:ascii="Arial Narrow" w:hAnsi="Arial Narrow"/>
          <w:bCs/>
          <w:noProof/>
          <w:lang w:eastAsia="cs-CZ"/>
        </w:rPr>
        <w:drawing>
          <wp:inline distT="0" distB="0" distL="0" distR="0" wp14:anchorId="3893227D" wp14:editId="58724942">
            <wp:extent cx="5697855" cy="4181475"/>
            <wp:effectExtent l="0" t="0" r="0" b="0"/>
            <wp:docPr id="2085" name="Graf 2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bookmarkEnd w:id="200"/>
    <w:p w14:paraId="42D6CFEE" w14:textId="447CE10B" w:rsidR="00E568AB" w:rsidRPr="00173E7B" w:rsidRDefault="00E568AB" w:rsidP="007226E2">
      <w:pPr>
        <w:spacing w:after="240" w:line="276" w:lineRule="auto"/>
        <w:jc w:val="both"/>
        <w:rPr>
          <w:rFonts w:ascii="Arial Narrow" w:eastAsia="Calibri" w:hAnsi="Arial Narrow"/>
          <w:bCs/>
        </w:rPr>
      </w:pPr>
      <w:r w:rsidRPr="00173E7B">
        <w:rPr>
          <w:rFonts w:ascii="Arial Narrow" w:hAnsi="Arial Narrow"/>
          <w:sz w:val="20"/>
          <w:szCs w:val="20"/>
        </w:rPr>
        <w:t xml:space="preserve">Zdroj: </w:t>
      </w:r>
      <w:r w:rsidR="004929A3" w:rsidRPr="00173E7B">
        <w:rPr>
          <w:rFonts w:ascii="Arial Narrow" w:hAnsi="Arial Narrow" w:cs="Arial"/>
          <w:color w:val="000000"/>
          <w:sz w:val="20"/>
          <w:szCs w:val="20"/>
        </w:rPr>
        <w:t>Ministerstvo školství, mládeže a tělovýchovy</w:t>
      </w:r>
      <w:r w:rsidR="004929A3" w:rsidRPr="00173E7B">
        <w:rPr>
          <w:rFonts w:ascii="Arial Narrow" w:hAnsi="Arial Narrow"/>
          <w:sz w:val="20"/>
          <w:szCs w:val="20"/>
        </w:rPr>
        <w:tab/>
      </w:r>
      <w:r w:rsidR="004929A3" w:rsidRPr="00173E7B">
        <w:rPr>
          <w:rFonts w:ascii="Arial Narrow" w:hAnsi="Arial Narrow"/>
          <w:sz w:val="20"/>
          <w:szCs w:val="20"/>
        </w:rPr>
        <w:tab/>
        <w:t xml:space="preserve">  </w:t>
      </w:r>
      <w:r w:rsidR="004929A3" w:rsidRPr="00173E7B">
        <w:rPr>
          <w:rFonts w:ascii="Arial Narrow" w:hAnsi="Arial Narrow"/>
          <w:sz w:val="20"/>
          <w:szCs w:val="20"/>
        </w:rPr>
        <w:tab/>
        <w:t xml:space="preserve"> </w:t>
      </w:r>
      <w:r w:rsidR="004929A3" w:rsidRPr="00173E7B">
        <w:rPr>
          <w:rFonts w:ascii="Arial Narrow" w:hAnsi="Arial Narrow"/>
          <w:sz w:val="20"/>
          <w:szCs w:val="20"/>
        </w:rPr>
        <w:tab/>
        <w:t xml:space="preserve"> </w:t>
      </w:r>
      <w:r w:rsidR="003937B0" w:rsidRPr="00173E7B">
        <w:rPr>
          <w:rFonts w:ascii="Arial Narrow" w:hAnsi="Arial Narrow"/>
          <w:sz w:val="20"/>
          <w:szCs w:val="20"/>
        </w:rPr>
        <w:t xml:space="preserve">     </w:t>
      </w:r>
      <w:r w:rsidR="004929A3" w:rsidRPr="00173E7B">
        <w:rPr>
          <w:rFonts w:ascii="Arial Narrow" w:hAnsi="Arial Narrow"/>
          <w:sz w:val="20"/>
          <w:szCs w:val="20"/>
        </w:rPr>
        <w:t xml:space="preserve"> </w:t>
      </w:r>
      <w:r w:rsidRPr="00173E7B">
        <w:rPr>
          <w:rFonts w:ascii="Arial Narrow" w:hAnsi="Arial Narrow"/>
          <w:sz w:val="20"/>
          <w:szCs w:val="20"/>
        </w:rPr>
        <w:t xml:space="preserve">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1198C1EC" w14:textId="2C2B7619" w:rsidR="00F1264F" w:rsidRPr="00173E7B" w:rsidRDefault="00E17404" w:rsidP="00E17404">
      <w:pPr>
        <w:spacing w:line="276" w:lineRule="auto"/>
        <w:jc w:val="both"/>
        <w:rPr>
          <w:rFonts w:ascii="Arial Narrow" w:hAnsi="Arial Narrow"/>
          <w:b/>
          <w:bCs/>
          <w:sz w:val="24"/>
          <w:szCs w:val="24"/>
        </w:rPr>
      </w:pPr>
      <w:bookmarkStart w:id="213" w:name="_Toc136429218"/>
      <w:r w:rsidRPr="00173E7B">
        <w:rPr>
          <w:rFonts w:ascii="Arial Narrow" w:hAnsi="Arial Narrow"/>
          <w:b/>
          <w:bCs/>
          <w:sz w:val="20"/>
          <w:szCs w:val="20"/>
        </w:rPr>
        <w:t xml:space="preserve">Tabulka </w:t>
      </w:r>
      <w:r w:rsidRPr="00173E7B">
        <w:rPr>
          <w:rFonts w:ascii="Arial Narrow" w:hAnsi="Arial Narrow"/>
          <w:b/>
          <w:bCs/>
          <w:sz w:val="20"/>
          <w:szCs w:val="20"/>
        </w:rPr>
        <w:fldChar w:fldCharType="begin"/>
      </w:r>
      <w:r w:rsidRPr="00173E7B">
        <w:rPr>
          <w:rFonts w:ascii="Arial Narrow" w:hAnsi="Arial Narrow"/>
          <w:b/>
          <w:bCs/>
          <w:sz w:val="20"/>
          <w:szCs w:val="20"/>
        </w:rPr>
        <w:instrText xml:space="preserve"> SEQ Tabulka \* ARABIC </w:instrText>
      </w:r>
      <w:r w:rsidRPr="00173E7B">
        <w:rPr>
          <w:rFonts w:ascii="Arial Narrow" w:hAnsi="Arial Narrow"/>
          <w:b/>
          <w:bCs/>
          <w:sz w:val="20"/>
          <w:szCs w:val="20"/>
        </w:rPr>
        <w:fldChar w:fldCharType="separate"/>
      </w:r>
      <w:r w:rsidR="00256C97" w:rsidRPr="00173E7B">
        <w:rPr>
          <w:rFonts w:ascii="Arial Narrow" w:hAnsi="Arial Narrow"/>
          <w:b/>
          <w:bCs/>
          <w:noProof/>
          <w:sz w:val="20"/>
          <w:szCs w:val="20"/>
        </w:rPr>
        <w:t>7</w:t>
      </w:r>
      <w:r w:rsidRPr="00173E7B">
        <w:rPr>
          <w:rFonts w:ascii="Arial Narrow" w:hAnsi="Arial Narrow"/>
          <w:b/>
          <w:bCs/>
          <w:sz w:val="20"/>
          <w:szCs w:val="20"/>
        </w:rPr>
        <w:fldChar w:fldCharType="end"/>
      </w:r>
      <w:r w:rsidRPr="00173E7B">
        <w:rPr>
          <w:rFonts w:ascii="Arial Narrow" w:hAnsi="Arial Narrow"/>
          <w:b/>
          <w:bCs/>
          <w:sz w:val="20"/>
          <w:szCs w:val="20"/>
        </w:rPr>
        <w:t xml:space="preserve">:  </w:t>
      </w:r>
      <w:r w:rsidRPr="00173E7B">
        <w:rPr>
          <w:rFonts w:ascii="Arial Narrow" w:hAnsi="Arial Narrow"/>
          <w:b/>
          <w:bCs/>
          <w:color w:val="000000" w:themeColor="text1"/>
          <w:sz w:val="20"/>
          <w:szCs w:val="20"/>
        </w:rPr>
        <w:t xml:space="preserve">Vývoj počtu </w:t>
      </w:r>
      <w:r w:rsidR="00BF59C4" w:rsidRPr="00173E7B">
        <w:rPr>
          <w:rFonts w:ascii="Arial Narrow" w:hAnsi="Arial Narrow"/>
          <w:b/>
          <w:bCs/>
          <w:color w:val="000000" w:themeColor="text1"/>
          <w:sz w:val="20"/>
          <w:szCs w:val="20"/>
        </w:rPr>
        <w:t>dětí v předškolních zařízeních</w:t>
      </w:r>
      <w:r w:rsidRPr="00173E7B">
        <w:rPr>
          <w:rFonts w:ascii="Arial Narrow" w:hAnsi="Arial Narrow"/>
          <w:b/>
          <w:bCs/>
          <w:color w:val="000000" w:themeColor="text1"/>
          <w:sz w:val="20"/>
          <w:szCs w:val="20"/>
        </w:rPr>
        <w:t xml:space="preserve"> s jinou než českou státní příslušností v České republice v letech 2005-202</w:t>
      </w:r>
      <w:r w:rsidR="00EA3CBA" w:rsidRPr="00173E7B">
        <w:rPr>
          <w:rFonts w:ascii="Arial Narrow" w:hAnsi="Arial Narrow"/>
          <w:b/>
          <w:bCs/>
          <w:color w:val="000000" w:themeColor="text1"/>
          <w:sz w:val="20"/>
          <w:szCs w:val="20"/>
        </w:rPr>
        <w:t>2</w:t>
      </w:r>
      <w:bookmarkEnd w:id="213"/>
    </w:p>
    <w:tbl>
      <w:tblPr>
        <w:tblW w:w="8818" w:type="dxa"/>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026"/>
        <w:gridCol w:w="1696"/>
        <w:gridCol w:w="1418"/>
        <w:gridCol w:w="1559"/>
        <w:gridCol w:w="1701"/>
        <w:gridCol w:w="1418"/>
      </w:tblGrid>
      <w:tr w:rsidR="00C6771D" w:rsidRPr="00173E7B" w14:paraId="1D36A20E" w14:textId="77777777" w:rsidTr="00C6771D">
        <w:trPr>
          <w:trHeight w:val="60"/>
        </w:trPr>
        <w:tc>
          <w:tcPr>
            <w:tcW w:w="1026" w:type="dxa"/>
            <w:vMerge w:val="restart"/>
            <w:shd w:val="clear" w:color="auto" w:fill="D9E2F3" w:themeFill="accent1" w:themeFillTint="33"/>
            <w:noWrap/>
            <w:vAlign w:val="center"/>
            <w:hideMark/>
          </w:tcPr>
          <w:p w14:paraId="64F85D3C" w14:textId="77777777" w:rsidR="00C6771D" w:rsidRPr="00173E7B" w:rsidRDefault="00C6771D" w:rsidP="004A0C47">
            <w:pPr>
              <w:jc w:val="center"/>
              <w:rPr>
                <w:rFonts w:ascii="Arial Narrow" w:eastAsia="Times New Roman" w:hAnsi="Arial Narrow" w:cs="Tahoma"/>
                <w:b/>
                <w:bCs/>
                <w:sz w:val="18"/>
                <w:szCs w:val="18"/>
                <w:lang w:eastAsia="cs-CZ"/>
              </w:rPr>
            </w:pPr>
            <w:bookmarkStart w:id="214" w:name="_Hlk92274218"/>
            <w:r w:rsidRPr="00173E7B">
              <w:rPr>
                <w:rFonts w:ascii="Arial Narrow" w:eastAsia="Times New Roman" w:hAnsi="Arial Narrow" w:cs="Tahoma"/>
                <w:sz w:val="18"/>
                <w:szCs w:val="18"/>
                <w:lang w:eastAsia="cs-CZ"/>
              </w:rPr>
              <w:t>Školní rok</w:t>
            </w:r>
          </w:p>
        </w:tc>
        <w:tc>
          <w:tcPr>
            <w:tcW w:w="1696" w:type="dxa"/>
            <w:vMerge w:val="restart"/>
            <w:shd w:val="clear" w:color="auto" w:fill="D9E2F3" w:themeFill="accent1" w:themeFillTint="33"/>
            <w:vAlign w:val="center"/>
            <w:hideMark/>
          </w:tcPr>
          <w:p w14:paraId="271DB252" w14:textId="77777777" w:rsidR="00C6771D" w:rsidRPr="00173E7B" w:rsidRDefault="00C6771D"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Dětí v předškolních zařízeních v ČR celkem</w:t>
            </w:r>
          </w:p>
        </w:tc>
        <w:tc>
          <w:tcPr>
            <w:tcW w:w="6096" w:type="dxa"/>
            <w:gridSpan w:val="4"/>
            <w:shd w:val="clear" w:color="auto" w:fill="D9E2F3" w:themeFill="accent1" w:themeFillTint="33"/>
            <w:vAlign w:val="center"/>
            <w:hideMark/>
          </w:tcPr>
          <w:p w14:paraId="394EC05E" w14:textId="77777777" w:rsidR="00C6771D" w:rsidRPr="00173E7B" w:rsidRDefault="00C6771D"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sz w:val="18"/>
                <w:szCs w:val="18"/>
                <w:lang w:eastAsia="cs-CZ"/>
              </w:rPr>
              <w:t>v tom státní občanství</w:t>
            </w:r>
          </w:p>
        </w:tc>
      </w:tr>
      <w:tr w:rsidR="00C6771D" w:rsidRPr="00173E7B" w14:paraId="19D80C77" w14:textId="77777777" w:rsidTr="00C6771D">
        <w:trPr>
          <w:trHeight w:val="500"/>
        </w:trPr>
        <w:tc>
          <w:tcPr>
            <w:tcW w:w="1026" w:type="dxa"/>
            <w:vMerge/>
            <w:shd w:val="clear" w:color="auto" w:fill="D9E2F3" w:themeFill="accent1" w:themeFillTint="33"/>
            <w:noWrap/>
            <w:vAlign w:val="center"/>
            <w:hideMark/>
          </w:tcPr>
          <w:p w14:paraId="53F3A6A3" w14:textId="77777777" w:rsidR="00C6771D" w:rsidRPr="00173E7B" w:rsidRDefault="00C6771D" w:rsidP="004A0C47">
            <w:pPr>
              <w:jc w:val="center"/>
              <w:rPr>
                <w:rFonts w:ascii="Arial Narrow" w:eastAsia="Times New Roman" w:hAnsi="Arial Narrow" w:cs="Tahoma"/>
                <w:b/>
                <w:bCs/>
                <w:sz w:val="18"/>
                <w:szCs w:val="18"/>
                <w:lang w:eastAsia="cs-CZ"/>
              </w:rPr>
            </w:pPr>
          </w:p>
        </w:tc>
        <w:tc>
          <w:tcPr>
            <w:tcW w:w="1696" w:type="dxa"/>
            <w:vMerge/>
            <w:shd w:val="clear" w:color="auto" w:fill="D9E2F3" w:themeFill="accent1" w:themeFillTint="33"/>
            <w:vAlign w:val="center"/>
            <w:hideMark/>
          </w:tcPr>
          <w:p w14:paraId="454C93DB" w14:textId="77777777" w:rsidR="00C6771D" w:rsidRPr="00173E7B" w:rsidRDefault="00C6771D" w:rsidP="004A0C47">
            <w:pPr>
              <w:jc w:val="center"/>
              <w:rPr>
                <w:rFonts w:ascii="Arial Narrow" w:eastAsia="Times New Roman" w:hAnsi="Arial Narrow" w:cs="Tahoma"/>
                <w:b/>
                <w:bCs/>
                <w:sz w:val="18"/>
                <w:szCs w:val="18"/>
                <w:lang w:eastAsia="cs-CZ"/>
              </w:rPr>
            </w:pPr>
          </w:p>
        </w:tc>
        <w:tc>
          <w:tcPr>
            <w:tcW w:w="1418" w:type="dxa"/>
            <w:shd w:val="clear" w:color="auto" w:fill="D9E2F3" w:themeFill="accent1" w:themeFillTint="33"/>
            <w:vAlign w:val="center"/>
            <w:hideMark/>
          </w:tcPr>
          <w:p w14:paraId="25D10DD4" w14:textId="77777777" w:rsidR="00C6771D" w:rsidRPr="00173E7B" w:rsidRDefault="00C6771D" w:rsidP="004A0C47">
            <w:pPr>
              <w:jc w:val="center"/>
              <w:rPr>
                <w:rFonts w:ascii="Arial Narrow" w:eastAsia="Times New Roman" w:hAnsi="Arial Narrow" w:cs="Tahoma"/>
                <w:b/>
                <w:sz w:val="18"/>
                <w:szCs w:val="18"/>
                <w:lang w:eastAsia="cs-CZ"/>
              </w:rPr>
            </w:pPr>
            <w:r w:rsidRPr="00173E7B">
              <w:rPr>
                <w:rFonts w:ascii="Arial Narrow" w:eastAsia="Times New Roman" w:hAnsi="Arial Narrow" w:cs="Tahoma"/>
                <w:b/>
                <w:sz w:val="18"/>
                <w:szCs w:val="18"/>
                <w:lang w:eastAsia="cs-CZ"/>
              </w:rPr>
              <w:t>české</w:t>
            </w:r>
          </w:p>
        </w:tc>
        <w:tc>
          <w:tcPr>
            <w:tcW w:w="1559" w:type="dxa"/>
            <w:shd w:val="clear" w:color="auto" w:fill="D9E2F3" w:themeFill="accent1" w:themeFillTint="33"/>
            <w:vAlign w:val="center"/>
            <w:hideMark/>
          </w:tcPr>
          <w:p w14:paraId="600C4C9D" w14:textId="77777777" w:rsidR="00C6771D" w:rsidRPr="00173E7B" w:rsidRDefault="00C6771D" w:rsidP="004A0C47">
            <w:pPr>
              <w:jc w:val="center"/>
              <w:rPr>
                <w:rFonts w:ascii="Arial Narrow" w:eastAsia="Times New Roman" w:hAnsi="Arial Narrow" w:cs="Tahoma"/>
                <w:b/>
                <w:sz w:val="18"/>
                <w:szCs w:val="18"/>
                <w:lang w:eastAsia="cs-CZ"/>
              </w:rPr>
            </w:pPr>
            <w:r w:rsidRPr="00173E7B">
              <w:rPr>
                <w:rFonts w:ascii="Arial Narrow" w:eastAsia="Times New Roman" w:hAnsi="Arial Narrow" w:cs="Tahoma"/>
                <w:b/>
                <w:sz w:val="18"/>
                <w:szCs w:val="18"/>
                <w:lang w:eastAsia="cs-CZ"/>
              </w:rPr>
              <w:t>slovenské</w:t>
            </w:r>
          </w:p>
        </w:tc>
        <w:tc>
          <w:tcPr>
            <w:tcW w:w="1701" w:type="dxa"/>
            <w:shd w:val="clear" w:color="auto" w:fill="D9E2F3" w:themeFill="accent1" w:themeFillTint="33"/>
            <w:vAlign w:val="center"/>
            <w:hideMark/>
          </w:tcPr>
          <w:p w14:paraId="52E411A1" w14:textId="77777777" w:rsidR="00C6771D" w:rsidRPr="00173E7B" w:rsidRDefault="00C6771D" w:rsidP="004A0C47">
            <w:pPr>
              <w:jc w:val="center"/>
              <w:rPr>
                <w:rFonts w:ascii="Arial Narrow" w:eastAsia="Times New Roman" w:hAnsi="Arial Narrow" w:cs="Tahoma"/>
                <w:b/>
                <w:sz w:val="18"/>
                <w:szCs w:val="18"/>
                <w:lang w:eastAsia="cs-CZ"/>
              </w:rPr>
            </w:pPr>
            <w:r w:rsidRPr="00173E7B">
              <w:rPr>
                <w:rFonts w:ascii="Arial Narrow" w:eastAsia="Times New Roman" w:hAnsi="Arial Narrow" w:cs="Tahoma"/>
                <w:b/>
                <w:sz w:val="18"/>
                <w:szCs w:val="18"/>
                <w:lang w:eastAsia="cs-CZ"/>
              </w:rPr>
              <w:t>ostatní státy EU 27</w:t>
            </w:r>
          </w:p>
        </w:tc>
        <w:tc>
          <w:tcPr>
            <w:tcW w:w="1418" w:type="dxa"/>
            <w:shd w:val="clear" w:color="auto" w:fill="D9E2F3" w:themeFill="accent1" w:themeFillTint="33"/>
            <w:vAlign w:val="center"/>
            <w:hideMark/>
          </w:tcPr>
          <w:p w14:paraId="12852B3A" w14:textId="77777777" w:rsidR="00C6771D" w:rsidRPr="00173E7B" w:rsidRDefault="00C6771D" w:rsidP="004A0C47">
            <w:pPr>
              <w:jc w:val="center"/>
              <w:rPr>
                <w:rFonts w:ascii="Arial Narrow" w:eastAsia="Times New Roman" w:hAnsi="Arial Narrow" w:cs="Tahoma"/>
                <w:b/>
                <w:sz w:val="18"/>
                <w:szCs w:val="18"/>
                <w:lang w:eastAsia="cs-CZ"/>
              </w:rPr>
            </w:pPr>
            <w:r w:rsidRPr="00173E7B">
              <w:rPr>
                <w:rFonts w:ascii="Arial Narrow" w:eastAsia="Times New Roman" w:hAnsi="Arial Narrow" w:cs="Tahoma"/>
                <w:b/>
                <w:sz w:val="18"/>
                <w:szCs w:val="18"/>
                <w:lang w:eastAsia="cs-CZ"/>
              </w:rPr>
              <w:t>Třetí země a zatím nezjištěné</w:t>
            </w:r>
          </w:p>
        </w:tc>
      </w:tr>
      <w:tr w:rsidR="00C6771D" w:rsidRPr="00173E7B" w14:paraId="380A0DBE" w14:textId="77777777" w:rsidTr="00C6771D">
        <w:trPr>
          <w:trHeight w:val="227"/>
        </w:trPr>
        <w:tc>
          <w:tcPr>
            <w:tcW w:w="1026" w:type="dxa"/>
            <w:shd w:val="clear" w:color="auto" w:fill="D9E2F3" w:themeFill="accent1" w:themeFillTint="33"/>
            <w:noWrap/>
            <w:vAlign w:val="center"/>
          </w:tcPr>
          <w:p w14:paraId="1062F425" w14:textId="77777777" w:rsidR="00C6771D" w:rsidRPr="00173E7B" w:rsidRDefault="00C6771D"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2022/2023</w:t>
            </w:r>
          </w:p>
        </w:tc>
        <w:tc>
          <w:tcPr>
            <w:tcW w:w="1696" w:type="dxa"/>
            <w:vAlign w:val="center"/>
          </w:tcPr>
          <w:p w14:paraId="3F3CEAC9"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369 205</w:t>
            </w:r>
          </w:p>
        </w:tc>
        <w:tc>
          <w:tcPr>
            <w:tcW w:w="1418" w:type="dxa"/>
            <w:vAlign w:val="center"/>
          </w:tcPr>
          <w:p w14:paraId="1F07F577"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349 638</w:t>
            </w:r>
          </w:p>
        </w:tc>
        <w:tc>
          <w:tcPr>
            <w:tcW w:w="1559" w:type="dxa"/>
          </w:tcPr>
          <w:p w14:paraId="0F60A4E9"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2 181</w:t>
            </w:r>
          </w:p>
        </w:tc>
        <w:tc>
          <w:tcPr>
            <w:tcW w:w="1701" w:type="dxa"/>
          </w:tcPr>
          <w:p w14:paraId="09A3277C"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1 452</w:t>
            </w:r>
          </w:p>
        </w:tc>
        <w:tc>
          <w:tcPr>
            <w:tcW w:w="1418" w:type="dxa"/>
            <w:vAlign w:val="bottom"/>
          </w:tcPr>
          <w:p w14:paraId="532E734C"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15 934</w:t>
            </w:r>
          </w:p>
        </w:tc>
      </w:tr>
      <w:tr w:rsidR="00C6771D" w:rsidRPr="00173E7B" w14:paraId="10DAA1AD" w14:textId="77777777" w:rsidTr="00C6771D">
        <w:trPr>
          <w:trHeight w:val="227"/>
        </w:trPr>
        <w:tc>
          <w:tcPr>
            <w:tcW w:w="1026" w:type="dxa"/>
            <w:shd w:val="clear" w:color="auto" w:fill="D9E2F3" w:themeFill="accent1" w:themeFillTint="33"/>
            <w:noWrap/>
            <w:vAlign w:val="center"/>
          </w:tcPr>
          <w:p w14:paraId="74BDF169" w14:textId="77777777" w:rsidR="00C6771D" w:rsidRPr="00173E7B" w:rsidRDefault="00C6771D"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2021/2022</w:t>
            </w:r>
          </w:p>
        </w:tc>
        <w:tc>
          <w:tcPr>
            <w:tcW w:w="1696" w:type="dxa"/>
            <w:vAlign w:val="center"/>
          </w:tcPr>
          <w:p w14:paraId="35E33C9C"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360 490</w:t>
            </w:r>
          </w:p>
        </w:tc>
        <w:tc>
          <w:tcPr>
            <w:tcW w:w="1418" w:type="dxa"/>
            <w:vAlign w:val="center"/>
          </w:tcPr>
          <w:p w14:paraId="69990310"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348 387</w:t>
            </w:r>
          </w:p>
        </w:tc>
        <w:tc>
          <w:tcPr>
            <w:tcW w:w="1559" w:type="dxa"/>
          </w:tcPr>
          <w:p w14:paraId="2E176736"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2 197</w:t>
            </w:r>
          </w:p>
        </w:tc>
        <w:tc>
          <w:tcPr>
            <w:tcW w:w="1701" w:type="dxa"/>
          </w:tcPr>
          <w:p w14:paraId="52DF59C2"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1 476</w:t>
            </w:r>
          </w:p>
        </w:tc>
        <w:tc>
          <w:tcPr>
            <w:tcW w:w="1418" w:type="dxa"/>
            <w:vAlign w:val="bottom"/>
          </w:tcPr>
          <w:p w14:paraId="5D834AD4"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8 430</w:t>
            </w:r>
          </w:p>
        </w:tc>
      </w:tr>
      <w:tr w:rsidR="00C6771D" w:rsidRPr="00173E7B" w14:paraId="0BD13B24" w14:textId="77777777" w:rsidTr="00C6771D">
        <w:trPr>
          <w:trHeight w:val="227"/>
        </w:trPr>
        <w:tc>
          <w:tcPr>
            <w:tcW w:w="1026" w:type="dxa"/>
            <w:shd w:val="clear" w:color="auto" w:fill="D9E2F3" w:themeFill="accent1" w:themeFillTint="33"/>
            <w:noWrap/>
            <w:vAlign w:val="center"/>
            <w:hideMark/>
          </w:tcPr>
          <w:p w14:paraId="2E792A96"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2020/2021</w:t>
            </w:r>
          </w:p>
        </w:tc>
        <w:tc>
          <w:tcPr>
            <w:tcW w:w="1696" w:type="dxa"/>
            <w:vAlign w:val="center"/>
            <w:hideMark/>
          </w:tcPr>
          <w:p w14:paraId="796393EE"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357 598</w:t>
            </w:r>
          </w:p>
        </w:tc>
        <w:tc>
          <w:tcPr>
            <w:tcW w:w="1418" w:type="dxa"/>
            <w:vAlign w:val="center"/>
            <w:hideMark/>
          </w:tcPr>
          <w:p w14:paraId="7C2F10B0"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345 734</w:t>
            </w:r>
          </w:p>
        </w:tc>
        <w:tc>
          <w:tcPr>
            <w:tcW w:w="1559" w:type="dxa"/>
            <w:vAlign w:val="center"/>
            <w:hideMark/>
          </w:tcPr>
          <w:p w14:paraId="34A01A43"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2 040</w:t>
            </w:r>
          </w:p>
        </w:tc>
        <w:tc>
          <w:tcPr>
            <w:tcW w:w="1701" w:type="dxa"/>
            <w:vAlign w:val="center"/>
            <w:hideMark/>
          </w:tcPr>
          <w:p w14:paraId="7D1C4C96"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1 464</w:t>
            </w:r>
          </w:p>
        </w:tc>
        <w:tc>
          <w:tcPr>
            <w:tcW w:w="1418" w:type="dxa"/>
            <w:vAlign w:val="bottom"/>
            <w:hideMark/>
          </w:tcPr>
          <w:p w14:paraId="41B304F0"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8 360</w:t>
            </w:r>
          </w:p>
        </w:tc>
      </w:tr>
      <w:tr w:rsidR="00C6771D" w:rsidRPr="00173E7B" w14:paraId="5B73AD80" w14:textId="77777777" w:rsidTr="00C6771D">
        <w:trPr>
          <w:trHeight w:val="227"/>
        </w:trPr>
        <w:tc>
          <w:tcPr>
            <w:tcW w:w="1026" w:type="dxa"/>
            <w:shd w:val="clear" w:color="auto" w:fill="D9E2F3" w:themeFill="accent1" w:themeFillTint="33"/>
            <w:noWrap/>
            <w:vAlign w:val="center"/>
            <w:hideMark/>
          </w:tcPr>
          <w:p w14:paraId="74D68048"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2019/2020</w:t>
            </w:r>
          </w:p>
        </w:tc>
        <w:tc>
          <w:tcPr>
            <w:tcW w:w="1696" w:type="dxa"/>
            <w:vAlign w:val="center"/>
            <w:hideMark/>
          </w:tcPr>
          <w:p w14:paraId="640450CD"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364 909</w:t>
            </w:r>
          </w:p>
        </w:tc>
        <w:tc>
          <w:tcPr>
            <w:tcW w:w="1418" w:type="dxa"/>
            <w:vAlign w:val="center"/>
            <w:hideMark/>
          </w:tcPr>
          <w:p w14:paraId="149CB20D"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352 967</w:t>
            </w:r>
          </w:p>
        </w:tc>
        <w:tc>
          <w:tcPr>
            <w:tcW w:w="1559" w:type="dxa"/>
            <w:vAlign w:val="center"/>
            <w:hideMark/>
          </w:tcPr>
          <w:p w14:paraId="5A674D93"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2 053</w:t>
            </w:r>
          </w:p>
        </w:tc>
        <w:tc>
          <w:tcPr>
            <w:tcW w:w="1701" w:type="dxa"/>
            <w:vAlign w:val="center"/>
            <w:hideMark/>
          </w:tcPr>
          <w:p w14:paraId="4817EABA"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1 486</w:t>
            </w:r>
          </w:p>
        </w:tc>
        <w:tc>
          <w:tcPr>
            <w:tcW w:w="1418" w:type="dxa"/>
            <w:vAlign w:val="bottom"/>
            <w:hideMark/>
          </w:tcPr>
          <w:p w14:paraId="5894B1BE"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8 403</w:t>
            </w:r>
          </w:p>
        </w:tc>
      </w:tr>
      <w:tr w:rsidR="00C6771D" w:rsidRPr="00173E7B" w14:paraId="3199FF01" w14:textId="77777777" w:rsidTr="00C6771D">
        <w:trPr>
          <w:trHeight w:val="227"/>
        </w:trPr>
        <w:tc>
          <w:tcPr>
            <w:tcW w:w="1026" w:type="dxa"/>
            <w:shd w:val="clear" w:color="auto" w:fill="D9E2F3" w:themeFill="accent1" w:themeFillTint="33"/>
            <w:noWrap/>
            <w:vAlign w:val="center"/>
            <w:hideMark/>
          </w:tcPr>
          <w:p w14:paraId="7FD3DB6B"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2018/2019</w:t>
            </w:r>
          </w:p>
        </w:tc>
        <w:tc>
          <w:tcPr>
            <w:tcW w:w="1696" w:type="dxa"/>
            <w:vAlign w:val="center"/>
            <w:hideMark/>
          </w:tcPr>
          <w:p w14:paraId="7D95827E"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363 776</w:t>
            </w:r>
          </w:p>
        </w:tc>
        <w:tc>
          <w:tcPr>
            <w:tcW w:w="1418" w:type="dxa"/>
            <w:vAlign w:val="center"/>
            <w:hideMark/>
          </w:tcPr>
          <w:p w14:paraId="6BBC07E5"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352 433</w:t>
            </w:r>
          </w:p>
        </w:tc>
        <w:tc>
          <w:tcPr>
            <w:tcW w:w="1559" w:type="dxa"/>
            <w:vAlign w:val="center"/>
            <w:hideMark/>
          </w:tcPr>
          <w:p w14:paraId="2787BA3A"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2 053</w:t>
            </w:r>
          </w:p>
        </w:tc>
        <w:tc>
          <w:tcPr>
            <w:tcW w:w="1701" w:type="dxa"/>
            <w:vAlign w:val="center"/>
            <w:hideMark/>
          </w:tcPr>
          <w:p w14:paraId="1D001B6A"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1 298</w:t>
            </w:r>
          </w:p>
        </w:tc>
        <w:tc>
          <w:tcPr>
            <w:tcW w:w="1418" w:type="dxa"/>
            <w:vAlign w:val="bottom"/>
            <w:hideMark/>
          </w:tcPr>
          <w:p w14:paraId="28286AE8"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7 992</w:t>
            </w:r>
          </w:p>
        </w:tc>
      </w:tr>
      <w:tr w:rsidR="00C6771D" w:rsidRPr="00173E7B" w14:paraId="4C1B7C16" w14:textId="77777777" w:rsidTr="00C6771D">
        <w:trPr>
          <w:trHeight w:val="227"/>
        </w:trPr>
        <w:tc>
          <w:tcPr>
            <w:tcW w:w="1026" w:type="dxa"/>
            <w:shd w:val="clear" w:color="auto" w:fill="D9E2F3" w:themeFill="accent1" w:themeFillTint="33"/>
            <w:noWrap/>
            <w:vAlign w:val="center"/>
            <w:hideMark/>
          </w:tcPr>
          <w:p w14:paraId="7BD89018"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2017/2018</w:t>
            </w:r>
          </w:p>
        </w:tc>
        <w:tc>
          <w:tcPr>
            <w:tcW w:w="1696" w:type="dxa"/>
            <w:vAlign w:val="center"/>
            <w:hideMark/>
          </w:tcPr>
          <w:p w14:paraId="3E1CD48A"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362 756</w:t>
            </w:r>
          </w:p>
        </w:tc>
        <w:tc>
          <w:tcPr>
            <w:tcW w:w="1418" w:type="dxa"/>
            <w:vAlign w:val="center"/>
            <w:hideMark/>
          </w:tcPr>
          <w:p w14:paraId="73129AA8"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352 287</w:t>
            </w:r>
          </w:p>
        </w:tc>
        <w:tc>
          <w:tcPr>
            <w:tcW w:w="1559" w:type="dxa"/>
            <w:vAlign w:val="center"/>
            <w:hideMark/>
          </w:tcPr>
          <w:p w14:paraId="2BC407C8"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1 923</w:t>
            </w:r>
          </w:p>
        </w:tc>
        <w:tc>
          <w:tcPr>
            <w:tcW w:w="1701" w:type="dxa"/>
            <w:vAlign w:val="center"/>
            <w:hideMark/>
          </w:tcPr>
          <w:p w14:paraId="1A6B5B1A"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1 109</w:t>
            </w:r>
          </w:p>
        </w:tc>
        <w:tc>
          <w:tcPr>
            <w:tcW w:w="1418" w:type="dxa"/>
            <w:vAlign w:val="bottom"/>
            <w:hideMark/>
          </w:tcPr>
          <w:p w14:paraId="2392A6F3"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7 437</w:t>
            </w:r>
          </w:p>
        </w:tc>
      </w:tr>
      <w:tr w:rsidR="00C6771D" w:rsidRPr="00173E7B" w14:paraId="4349D479" w14:textId="77777777" w:rsidTr="00C6771D">
        <w:trPr>
          <w:trHeight w:val="227"/>
        </w:trPr>
        <w:tc>
          <w:tcPr>
            <w:tcW w:w="1026" w:type="dxa"/>
            <w:shd w:val="clear" w:color="auto" w:fill="D9E2F3" w:themeFill="accent1" w:themeFillTint="33"/>
            <w:noWrap/>
            <w:vAlign w:val="center"/>
            <w:hideMark/>
          </w:tcPr>
          <w:p w14:paraId="55744097"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2016/2017</w:t>
            </w:r>
          </w:p>
        </w:tc>
        <w:tc>
          <w:tcPr>
            <w:tcW w:w="1696" w:type="dxa"/>
            <w:vAlign w:val="center"/>
            <w:hideMark/>
          </w:tcPr>
          <w:p w14:paraId="67DED092"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362 653</w:t>
            </w:r>
          </w:p>
        </w:tc>
        <w:tc>
          <w:tcPr>
            <w:tcW w:w="1418" w:type="dxa"/>
            <w:vAlign w:val="center"/>
            <w:hideMark/>
          </w:tcPr>
          <w:p w14:paraId="69F46A92"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353 159</w:t>
            </w:r>
          </w:p>
        </w:tc>
        <w:tc>
          <w:tcPr>
            <w:tcW w:w="1559" w:type="dxa"/>
            <w:vAlign w:val="center"/>
            <w:hideMark/>
          </w:tcPr>
          <w:p w14:paraId="60A954B4"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1 722</w:t>
            </w:r>
          </w:p>
        </w:tc>
        <w:tc>
          <w:tcPr>
            <w:tcW w:w="1701" w:type="dxa"/>
            <w:vAlign w:val="center"/>
            <w:hideMark/>
          </w:tcPr>
          <w:p w14:paraId="5B236C48"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990</w:t>
            </w:r>
          </w:p>
        </w:tc>
        <w:tc>
          <w:tcPr>
            <w:tcW w:w="1418" w:type="dxa"/>
            <w:vAlign w:val="bottom"/>
            <w:hideMark/>
          </w:tcPr>
          <w:p w14:paraId="78FDFFC3"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6 782</w:t>
            </w:r>
          </w:p>
        </w:tc>
      </w:tr>
      <w:tr w:rsidR="00C6771D" w:rsidRPr="00173E7B" w14:paraId="3FE514A2" w14:textId="77777777" w:rsidTr="00C6771D">
        <w:trPr>
          <w:trHeight w:val="227"/>
        </w:trPr>
        <w:tc>
          <w:tcPr>
            <w:tcW w:w="1026" w:type="dxa"/>
            <w:shd w:val="clear" w:color="auto" w:fill="D9E2F3" w:themeFill="accent1" w:themeFillTint="33"/>
            <w:noWrap/>
            <w:vAlign w:val="center"/>
            <w:hideMark/>
          </w:tcPr>
          <w:p w14:paraId="026910E2"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2015/2016</w:t>
            </w:r>
          </w:p>
        </w:tc>
        <w:tc>
          <w:tcPr>
            <w:tcW w:w="1696" w:type="dxa"/>
            <w:vAlign w:val="center"/>
            <w:hideMark/>
          </w:tcPr>
          <w:p w14:paraId="13B9694C"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367 361</w:t>
            </w:r>
          </w:p>
        </w:tc>
        <w:tc>
          <w:tcPr>
            <w:tcW w:w="1418" w:type="dxa"/>
            <w:vAlign w:val="center"/>
            <w:hideMark/>
          </w:tcPr>
          <w:p w14:paraId="4B094F1E"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359 059</w:t>
            </w:r>
          </w:p>
        </w:tc>
        <w:tc>
          <w:tcPr>
            <w:tcW w:w="1559" w:type="dxa"/>
            <w:vAlign w:val="center"/>
            <w:hideMark/>
          </w:tcPr>
          <w:p w14:paraId="3F2D1FD2"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1 612</w:t>
            </w:r>
          </w:p>
        </w:tc>
        <w:tc>
          <w:tcPr>
            <w:tcW w:w="1701" w:type="dxa"/>
            <w:vAlign w:val="center"/>
            <w:hideMark/>
          </w:tcPr>
          <w:p w14:paraId="412A80AC"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869</w:t>
            </w:r>
          </w:p>
        </w:tc>
        <w:tc>
          <w:tcPr>
            <w:tcW w:w="1418" w:type="dxa"/>
            <w:vAlign w:val="bottom"/>
            <w:hideMark/>
          </w:tcPr>
          <w:p w14:paraId="169727F8"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5 821</w:t>
            </w:r>
          </w:p>
        </w:tc>
      </w:tr>
      <w:tr w:rsidR="00C6771D" w:rsidRPr="00173E7B" w14:paraId="253AB001" w14:textId="77777777" w:rsidTr="00C6771D">
        <w:trPr>
          <w:trHeight w:val="227"/>
        </w:trPr>
        <w:tc>
          <w:tcPr>
            <w:tcW w:w="1026" w:type="dxa"/>
            <w:shd w:val="clear" w:color="auto" w:fill="D9E2F3" w:themeFill="accent1" w:themeFillTint="33"/>
            <w:noWrap/>
            <w:vAlign w:val="center"/>
            <w:hideMark/>
          </w:tcPr>
          <w:p w14:paraId="525565E3"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lastRenderedPageBreak/>
              <w:t>2014/2015</w:t>
            </w:r>
          </w:p>
        </w:tc>
        <w:tc>
          <w:tcPr>
            <w:tcW w:w="1696" w:type="dxa"/>
            <w:vAlign w:val="center"/>
            <w:hideMark/>
          </w:tcPr>
          <w:p w14:paraId="3132A9E8"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367 603</w:t>
            </w:r>
          </w:p>
        </w:tc>
        <w:tc>
          <w:tcPr>
            <w:tcW w:w="1418" w:type="dxa"/>
            <w:vAlign w:val="center"/>
            <w:hideMark/>
          </w:tcPr>
          <w:p w14:paraId="7FACE718"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360 389</w:t>
            </w:r>
          </w:p>
        </w:tc>
        <w:tc>
          <w:tcPr>
            <w:tcW w:w="1559" w:type="dxa"/>
            <w:vAlign w:val="center"/>
            <w:hideMark/>
          </w:tcPr>
          <w:p w14:paraId="272A7E4E"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1 370</w:t>
            </w:r>
          </w:p>
        </w:tc>
        <w:tc>
          <w:tcPr>
            <w:tcW w:w="1701" w:type="dxa"/>
            <w:vAlign w:val="center"/>
            <w:hideMark/>
          </w:tcPr>
          <w:p w14:paraId="243C301C"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740</w:t>
            </w:r>
          </w:p>
        </w:tc>
        <w:tc>
          <w:tcPr>
            <w:tcW w:w="1418" w:type="dxa"/>
            <w:vAlign w:val="bottom"/>
            <w:hideMark/>
          </w:tcPr>
          <w:p w14:paraId="340E575F"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5 104</w:t>
            </w:r>
          </w:p>
        </w:tc>
      </w:tr>
      <w:tr w:rsidR="00C6771D" w:rsidRPr="00173E7B" w14:paraId="5461572C" w14:textId="77777777" w:rsidTr="00C6771D">
        <w:trPr>
          <w:trHeight w:val="227"/>
        </w:trPr>
        <w:tc>
          <w:tcPr>
            <w:tcW w:w="1026" w:type="dxa"/>
            <w:shd w:val="clear" w:color="auto" w:fill="D9E2F3" w:themeFill="accent1" w:themeFillTint="33"/>
            <w:noWrap/>
            <w:vAlign w:val="center"/>
            <w:hideMark/>
          </w:tcPr>
          <w:p w14:paraId="577EDDB2"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2013/2014</w:t>
            </w:r>
          </w:p>
        </w:tc>
        <w:tc>
          <w:tcPr>
            <w:tcW w:w="1696" w:type="dxa"/>
            <w:vAlign w:val="center"/>
            <w:hideMark/>
          </w:tcPr>
          <w:p w14:paraId="390BCC82"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363 568</w:t>
            </w:r>
          </w:p>
        </w:tc>
        <w:tc>
          <w:tcPr>
            <w:tcW w:w="1418" w:type="dxa"/>
            <w:vAlign w:val="center"/>
            <w:hideMark/>
          </w:tcPr>
          <w:p w14:paraId="14B15EB6"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357 261</w:t>
            </w:r>
          </w:p>
        </w:tc>
        <w:tc>
          <w:tcPr>
            <w:tcW w:w="1559" w:type="dxa"/>
            <w:vAlign w:val="center"/>
            <w:hideMark/>
          </w:tcPr>
          <w:p w14:paraId="738B2A88"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1 096</w:t>
            </w:r>
          </w:p>
        </w:tc>
        <w:tc>
          <w:tcPr>
            <w:tcW w:w="1701" w:type="dxa"/>
            <w:vAlign w:val="center"/>
            <w:hideMark/>
          </w:tcPr>
          <w:p w14:paraId="3CEB8902"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650</w:t>
            </w:r>
          </w:p>
        </w:tc>
        <w:tc>
          <w:tcPr>
            <w:tcW w:w="1418" w:type="dxa"/>
            <w:vAlign w:val="bottom"/>
            <w:hideMark/>
          </w:tcPr>
          <w:p w14:paraId="32F3F741"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4 561</w:t>
            </w:r>
          </w:p>
        </w:tc>
      </w:tr>
      <w:tr w:rsidR="00C6771D" w:rsidRPr="00173E7B" w14:paraId="15394B14" w14:textId="77777777" w:rsidTr="00C6771D">
        <w:trPr>
          <w:trHeight w:val="227"/>
        </w:trPr>
        <w:tc>
          <w:tcPr>
            <w:tcW w:w="1026" w:type="dxa"/>
            <w:shd w:val="clear" w:color="auto" w:fill="D9E2F3" w:themeFill="accent1" w:themeFillTint="33"/>
            <w:noWrap/>
            <w:vAlign w:val="center"/>
            <w:hideMark/>
          </w:tcPr>
          <w:p w14:paraId="355A15AA"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2012/2013</w:t>
            </w:r>
          </w:p>
        </w:tc>
        <w:tc>
          <w:tcPr>
            <w:tcW w:w="1696" w:type="dxa"/>
            <w:vAlign w:val="center"/>
            <w:hideMark/>
          </w:tcPr>
          <w:p w14:paraId="5BFDFD10"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354 340</w:t>
            </w:r>
          </w:p>
        </w:tc>
        <w:tc>
          <w:tcPr>
            <w:tcW w:w="1418" w:type="dxa"/>
            <w:vAlign w:val="center"/>
            <w:hideMark/>
          </w:tcPr>
          <w:p w14:paraId="39E234A4"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348 906</w:t>
            </w:r>
          </w:p>
        </w:tc>
        <w:tc>
          <w:tcPr>
            <w:tcW w:w="1559" w:type="dxa"/>
            <w:vAlign w:val="center"/>
            <w:hideMark/>
          </w:tcPr>
          <w:p w14:paraId="360A4BA6"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886</w:t>
            </w:r>
          </w:p>
        </w:tc>
        <w:tc>
          <w:tcPr>
            <w:tcW w:w="1701" w:type="dxa"/>
            <w:vAlign w:val="center"/>
            <w:hideMark/>
          </w:tcPr>
          <w:p w14:paraId="4404F180"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505</w:t>
            </w:r>
          </w:p>
        </w:tc>
        <w:tc>
          <w:tcPr>
            <w:tcW w:w="1418" w:type="dxa"/>
            <w:vAlign w:val="bottom"/>
            <w:hideMark/>
          </w:tcPr>
          <w:p w14:paraId="0CB19F4F"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4 043</w:t>
            </w:r>
          </w:p>
        </w:tc>
      </w:tr>
      <w:tr w:rsidR="00C6771D" w:rsidRPr="00173E7B" w14:paraId="5C3D7B40" w14:textId="77777777" w:rsidTr="00C6771D">
        <w:trPr>
          <w:trHeight w:val="227"/>
        </w:trPr>
        <w:tc>
          <w:tcPr>
            <w:tcW w:w="1026" w:type="dxa"/>
            <w:shd w:val="clear" w:color="auto" w:fill="D9E2F3" w:themeFill="accent1" w:themeFillTint="33"/>
            <w:noWrap/>
            <w:vAlign w:val="center"/>
            <w:hideMark/>
          </w:tcPr>
          <w:p w14:paraId="52020CA4"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2011/2012</w:t>
            </w:r>
          </w:p>
        </w:tc>
        <w:tc>
          <w:tcPr>
            <w:tcW w:w="1696" w:type="dxa"/>
            <w:vAlign w:val="center"/>
            <w:hideMark/>
          </w:tcPr>
          <w:p w14:paraId="33ABC945"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342 521</w:t>
            </w:r>
          </w:p>
        </w:tc>
        <w:tc>
          <w:tcPr>
            <w:tcW w:w="1418" w:type="dxa"/>
            <w:vAlign w:val="center"/>
            <w:hideMark/>
          </w:tcPr>
          <w:p w14:paraId="60551FCD"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337 807</w:t>
            </w:r>
          </w:p>
        </w:tc>
        <w:tc>
          <w:tcPr>
            <w:tcW w:w="1559" w:type="dxa"/>
            <w:vAlign w:val="center"/>
            <w:hideMark/>
          </w:tcPr>
          <w:p w14:paraId="3CB1DD1B"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786</w:t>
            </w:r>
          </w:p>
        </w:tc>
        <w:tc>
          <w:tcPr>
            <w:tcW w:w="1701" w:type="dxa"/>
            <w:vAlign w:val="center"/>
            <w:hideMark/>
          </w:tcPr>
          <w:p w14:paraId="0E7C224A"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403</w:t>
            </w:r>
          </w:p>
        </w:tc>
        <w:tc>
          <w:tcPr>
            <w:tcW w:w="1418" w:type="dxa"/>
            <w:vAlign w:val="bottom"/>
            <w:hideMark/>
          </w:tcPr>
          <w:p w14:paraId="4B3C1D51"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3 525</w:t>
            </w:r>
          </w:p>
        </w:tc>
      </w:tr>
      <w:tr w:rsidR="00C6771D" w:rsidRPr="00173E7B" w14:paraId="536AE149" w14:textId="77777777" w:rsidTr="00C6771D">
        <w:trPr>
          <w:trHeight w:val="227"/>
        </w:trPr>
        <w:tc>
          <w:tcPr>
            <w:tcW w:w="1026" w:type="dxa"/>
            <w:shd w:val="clear" w:color="auto" w:fill="D9E2F3" w:themeFill="accent1" w:themeFillTint="33"/>
            <w:noWrap/>
            <w:vAlign w:val="center"/>
            <w:hideMark/>
          </w:tcPr>
          <w:p w14:paraId="3DAE2363"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2010/2011</w:t>
            </w:r>
          </w:p>
        </w:tc>
        <w:tc>
          <w:tcPr>
            <w:tcW w:w="1696" w:type="dxa"/>
            <w:vAlign w:val="center"/>
            <w:hideMark/>
          </w:tcPr>
          <w:p w14:paraId="5C905E56"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328 612</w:t>
            </w:r>
          </w:p>
        </w:tc>
        <w:tc>
          <w:tcPr>
            <w:tcW w:w="1418" w:type="dxa"/>
            <w:vAlign w:val="center"/>
            <w:hideMark/>
          </w:tcPr>
          <w:p w14:paraId="297FED20"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324 389</w:t>
            </w:r>
          </w:p>
        </w:tc>
        <w:tc>
          <w:tcPr>
            <w:tcW w:w="1559" w:type="dxa"/>
            <w:vAlign w:val="center"/>
            <w:hideMark/>
          </w:tcPr>
          <w:p w14:paraId="2BB89CF9"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648</w:t>
            </w:r>
          </w:p>
        </w:tc>
        <w:tc>
          <w:tcPr>
            <w:tcW w:w="1701" w:type="dxa"/>
            <w:vAlign w:val="center"/>
            <w:hideMark/>
          </w:tcPr>
          <w:p w14:paraId="646AC6B6"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409</w:t>
            </w:r>
          </w:p>
        </w:tc>
        <w:tc>
          <w:tcPr>
            <w:tcW w:w="1418" w:type="dxa"/>
            <w:vAlign w:val="bottom"/>
            <w:hideMark/>
          </w:tcPr>
          <w:p w14:paraId="6F560E2E"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3 166</w:t>
            </w:r>
          </w:p>
        </w:tc>
      </w:tr>
      <w:tr w:rsidR="00C6771D" w:rsidRPr="00173E7B" w14:paraId="5848B50E" w14:textId="77777777" w:rsidTr="00C6771D">
        <w:trPr>
          <w:trHeight w:val="227"/>
        </w:trPr>
        <w:tc>
          <w:tcPr>
            <w:tcW w:w="1026" w:type="dxa"/>
            <w:shd w:val="clear" w:color="auto" w:fill="D9E2F3" w:themeFill="accent1" w:themeFillTint="33"/>
            <w:noWrap/>
            <w:vAlign w:val="center"/>
            <w:hideMark/>
          </w:tcPr>
          <w:p w14:paraId="4651A0FC"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2009/2010</w:t>
            </w:r>
          </w:p>
        </w:tc>
        <w:tc>
          <w:tcPr>
            <w:tcW w:w="1696" w:type="dxa"/>
            <w:vAlign w:val="center"/>
            <w:hideMark/>
          </w:tcPr>
          <w:p w14:paraId="4499B9DD"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314 008</w:t>
            </w:r>
          </w:p>
        </w:tc>
        <w:tc>
          <w:tcPr>
            <w:tcW w:w="1418" w:type="dxa"/>
            <w:vAlign w:val="center"/>
            <w:hideMark/>
          </w:tcPr>
          <w:p w14:paraId="587C36B7"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310 045</w:t>
            </w:r>
          </w:p>
        </w:tc>
        <w:tc>
          <w:tcPr>
            <w:tcW w:w="1559" w:type="dxa"/>
            <w:vAlign w:val="center"/>
            <w:hideMark/>
          </w:tcPr>
          <w:p w14:paraId="304BE5BF"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639</w:t>
            </w:r>
          </w:p>
        </w:tc>
        <w:tc>
          <w:tcPr>
            <w:tcW w:w="1701" w:type="dxa"/>
            <w:vAlign w:val="center"/>
            <w:hideMark/>
          </w:tcPr>
          <w:p w14:paraId="6AB98D00"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401</w:t>
            </w:r>
          </w:p>
        </w:tc>
        <w:tc>
          <w:tcPr>
            <w:tcW w:w="1418" w:type="dxa"/>
            <w:vAlign w:val="bottom"/>
            <w:hideMark/>
          </w:tcPr>
          <w:p w14:paraId="6B63372D"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2 923</w:t>
            </w:r>
          </w:p>
        </w:tc>
      </w:tr>
      <w:tr w:rsidR="00C6771D" w:rsidRPr="00173E7B" w14:paraId="5553D07A" w14:textId="77777777" w:rsidTr="00C6771D">
        <w:trPr>
          <w:trHeight w:val="227"/>
        </w:trPr>
        <w:tc>
          <w:tcPr>
            <w:tcW w:w="1026" w:type="dxa"/>
            <w:shd w:val="clear" w:color="auto" w:fill="D9E2F3" w:themeFill="accent1" w:themeFillTint="33"/>
            <w:noWrap/>
            <w:vAlign w:val="center"/>
            <w:hideMark/>
          </w:tcPr>
          <w:p w14:paraId="7856AFBA"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2008/2009</w:t>
            </w:r>
          </w:p>
        </w:tc>
        <w:tc>
          <w:tcPr>
            <w:tcW w:w="1696" w:type="dxa"/>
            <w:vAlign w:val="center"/>
            <w:hideMark/>
          </w:tcPr>
          <w:p w14:paraId="30A06403"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301 620</w:t>
            </w:r>
          </w:p>
        </w:tc>
        <w:tc>
          <w:tcPr>
            <w:tcW w:w="1418" w:type="dxa"/>
            <w:vAlign w:val="center"/>
            <w:hideMark/>
          </w:tcPr>
          <w:p w14:paraId="1429A13B"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298 085</w:t>
            </w:r>
          </w:p>
        </w:tc>
        <w:tc>
          <w:tcPr>
            <w:tcW w:w="1559" w:type="dxa"/>
            <w:vAlign w:val="center"/>
            <w:hideMark/>
          </w:tcPr>
          <w:p w14:paraId="1C1B1B9E"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558</w:t>
            </w:r>
          </w:p>
        </w:tc>
        <w:tc>
          <w:tcPr>
            <w:tcW w:w="1701" w:type="dxa"/>
            <w:vAlign w:val="center"/>
            <w:hideMark/>
          </w:tcPr>
          <w:p w14:paraId="56FF454D"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320</w:t>
            </w:r>
          </w:p>
        </w:tc>
        <w:tc>
          <w:tcPr>
            <w:tcW w:w="1418" w:type="dxa"/>
            <w:vAlign w:val="bottom"/>
            <w:hideMark/>
          </w:tcPr>
          <w:p w14:paraId="1A129110"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2 657</w:t>
            </w:r>
          </w:p>
        </w:tc>
      </w:tr>
      <w:tr w:rsidR="00C6771D" w:rsidRPr="00173E7B" w14:paraId="13542505" w14:textId="77777777" w:rsidTr="00C6771D">
        <w:trPr>
          <w:trHeight w:val="227"/>
        </w:trPr>
        <w:tc>
          <w:tcPr>
            <w:tcW w:w="1026" w:type="dxa"/>
            <w:shd w:val="clear" w:color="auto" w:fill="D9E2F3" w:themeFill="accent1" w:themeFillTint="33"/>
            <w:noWrap/>
            <w:vAlign w:val="center"/>
            <w:hideMark/>
          </w:tcPr>
          <w:p w14:paraId="0B71C4F8"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2007/2008</w:t>
            </w:r>
          </w:p>
        </w:tc>
        <w:tc>
          <w:tcPr>
            <w:tcW w:w="1696" w:type="dxa"/>
            <w:vAlign w:val="center"/>
            <w:hideMark/>
          </w:tcPr>
          <w:p w14:paraId="269E201C"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291 194</w:t>
            </w:r>
          </w:p>
        </w:tc>
        <w:tc>
          <w:tcPr>
            <w:tcW w:w="1418" w:type="dxa"/>
            <w:vAlign w:val="center"/>
            <w:hideMark/>
          </w:tcPr>
          <w:p w14:paraId="1B4286A0"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288 116</w:t>
            </w:r>
          </w:p>
        </w:tc>
        <w:tc>
          <w:tcPr>
            <w:tcW w:w="1559" w:type="dxa"/>
            <w:vAlign w:val="center"/>
            <w:hideMark/>
          </w:tcPr>
          <w:p w14:paraId="6233614B"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471</w:t>
            </w:r>
          </w:p>
        </w:tc>
        <w:tc>
          <w:tcPr>
            <w:tcW w:w="1701" w:type="dxa"/>
            <w:vAlign w:val="center"/>
            <w:hideMark/>
          </w:tcPr>
          <w:p w14:paraId="68286AC9"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301</w:t>
            </w:r>
          </w:p>
        </w:tc>
        <w:tc>
          <w:tcPr>
            <w:tcW w:w="1418" w:type="dxa"/>
            <w:vAlign w:val="bottom"/>
            <w:hideMark/>
          </w:tcPr>
          <w:p w14:paraId="71959A7A"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2 306</w:t>
            </w:r>
          </w:p>
        </w:tc>
      </w:tr>
      <w:tr w:rsidR="00C6771D" w:rsidRPr="00173E7B" w14:paraId="005582F0" w14:textId="77777777" w:rsidTr="00C6771D">
        <w:trPr>
          <w:trHeight w:val="227"/>
        </w:trPr>
        <w:tc>
          <w:tcPr>
            <w:tcW w:w="1026" w:type="dxa"/>
            <w:shd w:val="clear" w:color="auto" w:fill="D9E2F3" w:themeFill="accent1" w:themeFillTint="33"/>
            <w:noWrap/>
            <w:vAlign w:val="center"/>
            <w:hideMark/>
          </w:tcPr>
          <w:p w14:paraId="1E1CFD78"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2006/2007</w:t>
            </w:r>
          </w:p>
        </w:tc>
        <w:tc>
          <w:tcPr>
            <w:tcW w:w="1696" w:type="dxa"/>
            <w:vAlign w:val="center"/>
            <w:hideMark/>
          </w:tcPr>
          <w:p w14:paraId="5934B777"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285 419</w:t>
            </w:r>
          </w:p>
        </w:tc>
        <w:tc>
          <w:tcPr>
            <w:tcW w:w="1418" w:type="dxa"/>
            <w:vAlign w:val="center"/>
            <w:hideMark/>
          </w:tcPr>
          <w:p w14:paraId="566F2606"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282 608</w:t>
            </w:r>
          </w:p>
        </w:tc>
        <w:tc>
          <w:tcPr>
            <w:tcW w:w="1559" w:type="dxa"/>
            <w:vAlign w:val="center"/>
            <w:hideMark/>
          </w:tcPr>
          <w:p w14:paraId="01128D33"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442</w:t>
            </w:r>
          </w:p>
        </w:tc>
        <w:tc>
          <w:tcPr>
            <w:tcW w:w="1701" w:type="dxa"/>
            <w:vAlign w:val="center"/>
            <w:hideMark/>
          </w:tcPr>
          <w:p w14:paraId="3FBF88E9"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228</w:t>
            </w:r>
          </w:p>
        </w:tc>
        <w:tc>
          <w:tcPr>
            <w:tcW w:w="1418" w:type="dxa"/>
            <w:vAlign w:val="bottom"/>
            <w:hideMark/>
          </w:tcPr>
          <w:p w14:paraId="31F43301"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2 141</w:t>
            </w:r>
          </w:p>
        </w:tc>
      </w:tr>
      <w:tr w:rsidR="00C6771D" w:rsidRPr="00173E7B" w14:paraId="75D156E6" w14:textId="77777777" w:rsidTr="00C6771D">
        <w:trPr>
          <w:trHeight w:val="227"/>
        </w:trPr>
        <w:tc>
          <w:tcPr>
            <w:tcW w:w="1026" w:type="dxa"/>
            <w:shd w:val="clear" w:color="auto" w:fill="D9E2F3" w:themeFill="accent1" w:themeFillTint="33"/>
            <w:noWrap/>
            <w:vAlign w:val="center"/>
            <w:hideMark/>
          </w:tcPr>
          <w:p w14:paraId="6B8CCEEF" w14:textId="77777777" w:rsidR="00C6771D" w:rsidRPr="00173E7B" w:rsidRDefault="00C6771D" w:rsidP="004A0C47">
            <w:pPr>
              <w:jc w:val="center"/>
              <w:rPr>
                <w:rFonts w:ascii="Arial Narrow" w:eastAsia="Times New Roman" w:hAnsi="Arial Narrow"/>
                <w:b/>
                <w:bCs/>
                <w:sz w:val="18"/>
                <w:szCs w:val="18"/>
                <w:lang w:eastAsia="cs-CZ"/>
              </w:rPr>
            </w:pPr>
            <w:r w:rsidRPr="00173E7B">
              <w:rPr>
                <w:rFonts w:ascii="Arial Narrow" w:eastAsia="Times New Roman" w:hAnsi="Arial Narrow"/>
                <w:sz w:val="18"/>
                <w:szCs w:val="18"/>
                <w:lang w:eastAsia="cs-CZ"/>
              </w:rPr>
              <w:t>2005/2006</w:t>
            </w:r>
          </w:p>
        </w:tc>
        <w:tc>
          <w:tcPr>
            <w:tcW w:w="1696" w:type="dxa"/>
            <w:vAlign w:val="center"/>
            <w:hideMark/>
          </w:tcPr>
          <w:p w14:paraId="13EB84F0"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282 183</w:t>
            </w:r>
          </w:p>
        </w:tc>
        <w:tc>
          <w:tcPr>
            <w:tcW w:w="1418" w:type="dxa"/>
            <w:vAlign w:val="center"/>
            <w:hideMark/>
          </w:tcPr>
          <w:p w14:paraId="4D57B272"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278 970</w:t>
            </w:r>
          </w:p>
        </w:tc>
        <w:tc>
          <w:tcPr>
            <w:tcW w:w="1559" w:type="dxa"/>
            <w:vAlign w:val="center"/>
            <w:hideMark/>
          </w:tcPr>
          <w:p w14:paraId="38658F4A"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435</w:t>
            </w:r>
          </w:p>
        </w:tc>
        <w:tc>
          <w:tcPr>
            <w:tcW w:w="1701" w:type="dxa"/>
            <w:vAlign w:val="center"/>
            <w:hideMark/>
          </w:tcPr>
          <w:p w14:paraId="2B36D57D" w14:textId="77777777" w:rsidR="00C6771D" w:rsidRPr="00173E7B" w:rsidRDefault="00C6771D"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238</w:t>
            </w:r>
          </w:p>
        </w:tc>
        <w:tc>
          <w:tcPr>
            <w:tcW w:w="1418" w:type="dxa"/>
            <w:vAlign w:val="bottom"/>
            <w:hideMark/>
          </w:tcPr>
          <w:p w14:paraId="71A8DA73" w14:textId="77777777" w:rsidR="00C6771D" w:rsidRPr="00173E7B" w:rsidRDefault="00C6771D" w:rsidP="004A0C47">
            <w:pPr>
              <w:jc w:val="center"/>
              <w:rPr>
                <w:rFonts w:ascii="Arial Narrow" w:hAnsi="Arial Narrow" w:cs="Tahoma"/>
                <w:sz w:val="18"/>
                <w:szCs w:val="18"/>
              </w:rPr>
            </w:pPr>
            <w:r w:rsidRPr="00173E7B">
              <w:rPr>
                <w:rFonts w:ascii="Arial Narrow" w:hAnsi="Arial Narrow" w:cs="Tahoma"/>
                <w:sz w:val="18"/>
                <w:szCs w:val="18"/>
              </w:rPr>
              <w:t>2 540</w:t>
            </w:r>
          </w:p>
        </w:tc>
      </w:tr>
    </w:tbl>
    <w:bookmarkEnd w:id="214"/>
    <w:p w14:paraId="0CF7F495" w14:textId="5D7086D8" w:rsidR="003937B0" w:rsidRPr="00173E7B" w:rsidRDefault="003937B0" w:rsidP="003937B0">
      <w:pPr>
        <w:spacing w:line="276" w:lineRule="auto"/>
        <w:rPr>
          <w:rFonts w:ascii="Arial Narrow" w:eastAsia="Calibri" w:hAnsi="Arial Narrow"/>
          <w:bCs/>
        </w:rPr>
      </w:pPr>
      <w:r w:rsidRPr="00173E7B">
        <w:rPr>
          <w:rFonts w:ascii="Arial Narrow" w:hAnsi="Arial Narrow"/>
          <w:sz w:val="20"/>
          <w:szCs w:val="20"/>
        </w:rPr>
        <w:t xml:space="preserve">Zdroj: </w:t>
      </w:r>
      <w:r w:rsidRPr="00173E7B">
        <w:rPr>
          <w:rFonts w:ascii="Arial Narrow" w:hAnsi="Arial Narrow" w:cs="Arial"/>
          <w:color w:val="000000"/>
          <w:sz w:val="20"/>
          <w:szCs w:val="20"/>
        </w:rPr>
        <w:t>Ministerstvo školství, mládeže a tělovýchovy</w:t>
      </w:r>
      <w:r w:rsidRPr="00173E7B">
        <w:rPr>
          <w:rFonts w:ascii="Arial Narrow" w:hAnsi="Arial Narrow"/>
          <w:sz w:val="20"/>
          <w:szCs w:val="20"/>
        </w:rPr>
        <w:tab/>
      </w:r>
      <w:r w:rsidRPr="00173E7B">
        <w:rPr>
          <w:rFonts w:ascii="Arial Narrow" w:hAnsi="Arial Narrow"/>
          <w:sz w:val="20"/>
          <w:szCs w:val="20"/>
        </w:rPr>
        <w:tab/>
        <w:t xml:space="preserve">  </w:t>
      </w:r>
      <w:r w:rsidRPr="00173E7B">
        <w:rPr>
          <w:rFonts w:ascii="Arial Narrow" w:hAnsi="Arial Narrow"/>
          <w:sz w:val="20"/>
          <w:szCs w:val="20"/>
        </w:rPr>
        <w:tab/>
        <w:t xml:space="preserve"> </w:t>
      </w:r>
      <w:r w:rsidRPr="00173E7B">
        <w:rPr>
          <w:rFonts w:ascii="Arial Narrow" w:hAnsi="Arial Narrow"/>
          <w:sz w:val="20"/>
          <w:szCs w:val="20"/>
        </w:rPr>
        <w:tab/>
        <w:t xml:space="preserve">  Tabulka: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3064935A" w14:textId="77777777" w:rsidR="00F1264F" w:rsidRPr="00173E7B" w:rsidRDefault="00F1264F" w:rsidP="00F1264F">
      <w:pPr>
        <w:spacing w:line="276" w:lineRule="auto"/>
        <w:jc w:val="both"/>
        <w:rPr>
          <w:rFonts w:ascii="Arial Narrow" w:hAnsi="Arial Narrow"/>
          <w:bCs/>
        </w:rPr>
      </w:pPr>
    </w:p>
    <w:p w14:paraId="5C9B8979" w14:textId="77777777" w:rsidR="00F76E9D" w:rsidRPr="00173E7B" w:rsidRDefault="00F76E9D" w:rsidP="00F76E9D">
      <w:pPr>
        <w:spacing w:after="240" w:line="276" w:lineRule="auto"/>
        <w:jc w:val="both"/>
        <w:rPr>
          <w:rFonts w:ascii="Arial Narrow" w:hAnsi="Arial Narrow"/>
          <w:bCs/>
        </w:rPr>
      </w:pPr>
      <w:r w:rsidRPr="00173E7B">
        <w:rPr>
          <w:rFonts w:ascii="Arial Narrow" w:hAnsi="Arial Narrow"/>
          <w:bCs/>
        </w:rPr>
        <w:t xml:space="preserve">Ve školním roce 2022/2023 navštěvovalo předškolní zařízení 19 576 dětí s jinou než českou státní příslušností. </w:t>
      </w:r>
      <w:r w:rsidRPr="00173E7B">
        <w:rPr>
          <w:rFonts w:ascii="Arial Narrow" w:hAnsi="Arial Narrow"/>
          <w:b/>
        </w:rPr>
        <w:t>Jedná se o zhruba 62% nárůst počtu dětí s jinou než českou státní příslušností v mateřských školách oproti školnímu roku 2021/2022.</w:t>
      </w:r>
      <w:r w:rsidRPr="00173E7B">
        <w:rPr>
          <w:rFonts w:ascii="Arial Narrow" w:hAnsi="Arial Narrow"/>
          <w:bCs/>
        </w:rPr>
        <w:t xml:space="preserve"> Oproti školnímu roku 2021/2022 došlo k mimořádnému nárůstu počtu žáku se statusem azylanta (osoby požívající doplňkové ochrany). </w:t>
      </w:r>
      <w:r w:rsidRPr="00173E7B">
        <w:rPr>
          <w:rFonts w:ascii="Arial Narrow" w:hAnsi="Arial Narrow"/>
          <w:b/>
        </w:rPr>
        <w:t>V předchozím roce činil počet azylantů v MŠ 55 dětí v současném školním roce to je 6 961 dětí.</w:t>
      </w:r>
      <w:r w:rsidRPr="00173E7B">
        <w:rPr>
          <w:rFonts w:ascii="Arial Narrow" w:hAnsi="Arial Narrow"/>
          <w:bCs/>
        </w:rPr>
        <w:t xml:space="preserve"> Zvýšený počet azylantů v předškolním vzdělávání zhruba odpovídá nárůstu počtu cizinců v tomto stupni vzdělávání.</w:t>
      </w:r>
    </w:p>
    <w:p w14:paraId="34F34D1E" w14:textId="49F7AE02" w:rsidR="00794665" w:rsidRPr="006955D2" w:rsidRDefault="00F76E9D" w:rsidP="00F76E9D">
      <w:pPr>
        <w:spacing w:after="240" w:line="276" w:lineRule="auto"/>
        <w:jc w:val="both"/>
        <w:rPr>
          <w:rFonts w:ascii="Arial Narrow" w:hAnsi="Arial Narrow"/>
          <w:bCs/>
        </w:rPr>
      </w:pPr>
      <w:r w:rsidRPr="00173E7B">
        <w:rPr>
          <w:rFonts w:ascii="Arial Narrow" w:hAnsi="Arial Narrow"/>
          <w:bCs/>
        </w:rPr>
        <w:t>Nárůst počtu dětí s jinou než českou státní příslušností v předškolním stupni vzdělávání je tvořen prakticky výhradně větším počtem dětí s ukrajinskou státní příslušností. U ostatních státních příslušníků je situace poměrně stabilní nebo vykazuje mírný vzestup, který nicméně nijak nevybočuje z dlouhodobého trendu. Zatímco ve školním roce 2021/2022 navštěvovalo mateřské školy pouze 13 azylantů s ukrajinskou státní příslušností ve školním roce 2022/2023 je to 6 904. Nárůst je patrný i v počtu ukrajinských dětí s trvalým pobytem, kdy ve školním roce 2021/2022 navštěvovalo předškolní vzdělávání 2 841 ukrajinských dětí a ve školním roce 2022/2023 je to již 3 234.</w:t>
      </w:r>
      <w:r w:rsidR="006955D2" w:rsidRPr="00173E7B">
        <w:rPr>
          <w:rFonts w:ascii="Arial Narrow" w:hAnsi="Arial Narrow"/>
          <w:bCs/>
        </w:rPr>
        <w:t xml:space="preserve"> </w:t>
      </w:r>
      <w:r w:rsidR="00F1264F" w:rsidRPr="00173E7B">
        <w:rPr>
          <w:rFonts w:ascii="Arial Narrow" w:hAnsi="Arial Narrow"/>
          <w:bCs/>
          <w:color w:val="000000" w:themeColor="text1"/>
        </w:rPr>
        <w:t xml:space="preserve">Rozdělení </w:t>
      </w:r>
      <w:r w:rsidR="00BF59C4" w:rsidRPr="00173E7B">
        <w:rPr>
          <w:rFonts w:ascii="Arial Narrow" w:hAnsi="Arial Narrow"/>
          <w:bCs/>
          <w:color w:val="000000" w:themeColor="text1"/>
        </w:rPr>
        <w:t>dětí v předškolních zařízeních</w:t>
      </w:r>
      <w:r w:rsidR="00F1264F" w:rsidRPr="00173E7B">
        <w:rPr>
          <w:rFonts w:ascii="Arial Narrow" w:hAnsi="Arial Narrow"/>
          <w:bCs/>
          <w:color w:val="000000" w:themeColor="text1"/>
        </w:rPr>
        <w:t xml:space="preserve"> </w:t>
      </w:r>
      <w:r w:rsidR="00DD4C92" w:rsidRPr="00173E7B">
        <w:rPr>
          <w:rFonts w:ascii="Arial Narrow" w:hAnsi="Arial Narrow"/>
          <w:bCs/>
          <w:color w:val="000000" w:themeColor="text1"/>
        </w:rPr>
        <w:t xml:space="preserve">s jinou než českou státní příslušností </w:t>
      </w:r>
      <w:r w:rsidR="00F1264F" w:rsidRPr="00173E7B">
        <w:rPr>
          <w:rFonts w:ascii="Arial Narrow" w:hAnsi="Arial Narrow"/>
          <w:bCs/>
          <w:color w:val="000000" w:themeColor="text1"/>
        </w:rPr>
        <w:t>ve školním roce 202</w:t>
      </w:r>
      <w:r w:rsidRPr="00173E7B">
        <w:rPr>
          <w:rFonts w:ascii="Arial Narrow" w:hAnsi="Arial Narrow"/>
          <w:bCs/>
          <w:color w:val="000000" w:themeColor="text1"/>
        </w:rPr>
        <w:t>2</w:t>
      </w:r>
      <w:r w:rsidR="00F1264F" w:rsidRPr="00173E7B">
        <w:rPr>
          <w:rFonts w:ascii="Arial Narrow" w:hAnsi="Arial Narrow"/>
          <w:bCs/>
          <w:color w:val="000000" w:themeColor="text1"/>
        </w:rPr>
        <w:t>/202</w:t>
      </w:r>
      <w:r w:rsidRPr="00173E7B">
        <w:rPr>
          <w:rFonts w:ascii="Arial Narrow" w:hAnsi="Arial Narrow"/>
          <w:bCs/>
          <w:color w:val="000000" w:themeColor="text1"/>
        </w:rPr>
        <w:t>3</w:t>
      </w:r>
      <w:r w:rsidR="00F1264F" w:rsidRPr="00173E7B">
        <w:rPr>
          <w:rFonts w:ascii="Arial Narrow" w:hAnsi="Arial Narrow"/>
          <w:bCs/>
          <w:color w:val="000000" w:themeColor="text1"/>
        </w:rPr>
        <w:t xml:space="preserve"> podrobně dokumentuje graf</w:t>
      </w:r>
      <w:r w:rsidR="006955D2" w:rsidRPr="00173E7B">
        <w:rPr>
          <w:rFonts w:ascii="Arial Narrow" w:hAnsi="Arial Narrow"/>
          <w:bCs/>
          <w:color w:val="000000" w:themeColor="text1"/>
        </w:rPr>
        <w:t xml:space="preserve"> č. 30</w:t>
      </w:r>
      <w:r w:rsidR="00F1264F" w:rsidRPr="00173E7B">
        <w:rPr>
          <w:rFonts w:ascii="Arial Narrow" w:hAnsi="Arial Narrow"/>
          <w:bCs/>
          <w:color w:val="000000" w:themeColor="text1"/>
        </w:rPr>
        <w:t>.</w:t>
      </w:r>
    </w:p>
    <w:p w14:paraId="22ADC8E1" w14:textId="3D87691C" w:rsidR="00794665" w:rsidRPr="00173E7B" w:rsidRDefault="00794665" w:rsidP="00794665">
      <w:pPr>
        <w:pStyle w:val="Titulek"/>
        <w:keepNext/>
        <w:spacing w:after="0"/>
        <w:jc w:val="both"/>
        <w:rPr>
          <w:rFonts w:ascii="Arial Narrow" w:hAnsi="Arial Narrow"/>
          <w:color w:val="auto"/>
          <w:sz w:val="20"/>
          <w:szCs w:val="20"/>
        </w:rPr>
      </w:pPr>
      <w:bookmarkStart w:id="215" w:name="_Toc94443734"/>
      <w:bookmarkStart w:id="216" w:name="_Toc136428874"/>
      <w:r w:rsidRPr="00173E7B">
        <w:rPr>
          <w:rFonts w:ascii="Arial Narrow" w:hAnsi="Arial Narrow"/>
          <w:color w:val="auto"/>
          <w:sz w:val="20"/>
          <w:szCs w:val="20"/>
        </w:rPr>
        <w:lastRenderedPageBreak/>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30</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xml:space="preserve">: Státní občanství </w:t>
      </w:r>
      <w:r w:rsidR="00BF59C4" w:rsidRPr="00173E7B">
        <w:rPr>
          <w:rFonts w:ascii="Arial Narrow" w:hAnsi="Arial Narrow"/>
          <w:color w:val="auto"/>
          <w:sz w:val="20"/>
          <w:szCs w:val="20"/>
        </w:rPr>
        <w:t>dětí v předškolních zařízeních</w:t>
      </w:r>
      <w:r w:rsidRPr="00173E7B">
        <w:rPr>
          <w:rFonts w:ascii="Arial Narrow" w:hAnsi="Arial Narrow"/>
          <w:color w:val="auto"/>
          <w:sz w:val="20"/>
          <w:szCs w:val="20"/>
        </w:rPr>
        <w:t xml:space="preserve"> s jinou než českou státní příslušností ve školním roce 202</w:t>
      </w:r>
      <w:r w:rsidR="00F76E9D" w:rsidRPr="00173E7B">
        <w:rPr>
          <w:rFonts w:ascii="Arial Narrow" w:hAnsi="Arial Narrow"/>
          <w:color w:val="auto"/>
          <w:sz w:val="20"/>
          <w:szCs w:val="20"/>
        </w:rPr>
        <w:t>2</w:t>
      </w:r>
      <w:r w:rsidRPr="00173E7B">
        <w:rPr>
          <w:rFonts w:ascii="Arial Narrow" w:hAnsi="Arial Narrow"/>
          <w:color w:val="auto"/>
          <w:sz w:val="20"/>
          <w:szCs w:val="20"/>
        </w:rPr>
        <w:t>/202</w:t>
      </w:r>
      <w:bookmarkEnd w:id="215"/>
      <w:r w:rsidR="00F76E9D" w:rsidRPr="00173E7B">
        <w:rPr>
          <w:rFonts w:ascii="Arial Narrow" w:hAnsi="Arial Narrow"/>
          <w:color w:val="auto"/>
          <w:sz w:val="20"/>
          <w:szCs w:val="20"/>
        </w:rPr>
        <w:t>3</w:t>
      </w:r>
      <w:bookmarkEnd w:id="216"/>
    </w:p>
    <w:p w14:paraId="169814DE" w14:textId="6340B446" w:rsidR="00F76E9D" w:rsidRPr="00173E7B" w:rsidRDefault="00F76E9D" w:rsidP="00F76E9D">
      <w:r w:rsidRPr="00173E7B">
        <w:rPr>
          <w:rFonts w:ascii="Arial Narrow" w:hAnsi="Arial Narrow"/>
          <w:b/>
          <w:noProof/>
          <w:color w:val="2F5496" w:themeColor="accent1" w:themeShade="BF"/>
          <w:lang w:eastAsia="cs-CZ"/>
        </w:rPr>
        <w:drawing>
          <wp:anchor distT="0" distB="0" distL="114300" distR="114300" simplePos="0" relativeHeight="251722240" behindDoc="0" locked="0" layoutInCell="1" allowOverlap="1" wp14:anchorId="0B458484" wp14:editId="6061A94F">
            <wp:simplePos x="0" y="0"/>
            <wp:positionH relativeFrom="page">
              <wp:posOffset>2728595</wp:posOffset>
            </wp:positionH>
            <wp:positionV relativeFrom="paragraph">
              <wp:posOffset>963295</wp:posOffset>
            </wp:positionV>
            <wp:extent cx="4718649" cy="2936216"/>
            <wp:effectExtent l="0" t="38100" r="0" b="55245"/>
            <wp:wrapNone/>
            <wp:docPr id="288106576" name="Diagram 2881065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r w:rsidRPr="00173E7B">
        <w:rPr>
          <w:rFonts w:ascii="Arial Narrow" w:hAnsi="Arial Narrow"/>
          <w:b/>
          <w:noProof/>
          <w:lang w:eastAsia="cs-CZ"/>
        </w:rPr>
        <w:drawing>
          <wp:inline distT="0" distB="0" distL="0" distR="0" wp14:anchorId="224A29F8" wp14:editId="086FB63C">
            <wp:extent cx="5760720" cy="4276725"/>
            <wp:effectExtent l="0" t="0" r="0" b="0"/>
            <wp:docPr id="1958944006" name="Graf 1958944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09FC35D" w14:textId="08622FB8" w:rsidR="00F1264F" w:rsidRPr="00173E7B" w:rsidRDefault="00E568AB" w:rsidP="00794665">
      <w:pPr>
        <w:spacing w:line="276" w:lineRule="auto"/>
        <w:rPr>
          <w:rFonts w:ascii="Arial Narrow" w:eastAsia="Calibri" w:hAnsi="Arial Narrow"/>
          <w:bCs/>
        </w:rPr>
      </w:pPr>
      <w:r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t xml:space="preserve"> </w:t>
      </w:r>
      <w:r w:rsidR="003937B0" w:rsidRPr="00173E7B">
        <w:rPr>
          <w:rFonts w:ascii="Arial Narrow" w:hAnsi="Arial Narrow"/>
          <w:sz w:val="20"/>
          <w:szCs w:val="20"/>
        </w:rPr>
        <w:tab/>
        <w:t xml:space="preserve">         </w:t>
      </w:r>
      <w:r w:rsidRPr="00173E7B">
        <w:rPr>
          <w:rFonts w:ascii="Arial Narrow" w:hAnsi="Arial Narrow"/>
          <w:sz w:val="20"/>
          <w:szCs w:val="20"/>
        </w:rPr>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6FA53631" w14:textId="77777777" w:rsidR="003937B0" w:rsidRPr="00173E7B" w:rsidRDefault="003937B0" w:rsidP="00794665">
      <w:pPr>
        <w:spacing w:after="240" w:line="276" w:lineRule="auto"/>
        <w:jc w:val="both"/>
        <w:rPr>
          <w:rFonts w:ascii="Arial Narrow" w:hAnsi="Arial Narrow"/>
          <w:b/>
          <w:color w:val="C00000"/>
        </w:rPr>
      </w:pPr>
    </w:p>
    <w:p w14:paraId="2C815BC3" w14:textId="301CF794" w:rsidR="00F1264F" w:rsidRPr="00173E7B" w:rsidRDefault="00F1264F" w:rsidP="00794665">
      <w:pPr>
        <w:spacing w:after="240" w:line="276" w:lineRule="auto"/>
        <w:jc w:val="both"/>
        <w:rPr>
          <w:rFonts w:ascii="Arial Narrow" w:hAnsi="Arial Narrow"/>
          <w:b/>
          <w:color w:val="2F5496" w:themeColor="accent1" w:themeShade="BF"/>
          <w:u w:val="single"/>
        </w:rPr>
      </w:pPr>
      <w:r w:rsidRPr="00173E7B">
        <w:rPr>
          <w:rFonts w:ascii="Arial Narrow" w:hAnsi="Arial Narrow"/>
          <w:b/>
          <w:u w:val="single"/>
        </w:rPr>
        <w:t>Základní školy</w:t>
      </w:r>
    </w:p>
    <w:p w14:paraId="6FA3C08B" w14:textId="5469946D" w:rsidR="001F6023" w:rsidRPr="00173E7B" w:rsidRDefault="001F6023" w:rsidP="001F6023">
      <w:pPr>
        <w:spacing w:after="240" w:line="276" w:lineRule="auto"/>
        <w:jc w:val="both"/>
        <w:rPr>
          <w:rFonts w:ascii="Arial Narrow" w:hAnsi="Arial Narrow"/>
          <w:bCs/>
          <w:color w:val="FF0000"/>
        </w:rPr>
      </w:pPr>
      <w:bookmarkStart w:id="217" w:name="_Hlk95486753"/>
      <w:bookmarkStart w:id="218" w:name="_Toc94443735"/>
      <w:r w:rsidRPr="00173E7B">
        <w:rPr>
          <w:rFonts w:ascii="Arial Narrow" w:hAnsi="Arial Narrow"/>
          <w:bCs/>
        </w:rPr>
        <w:t>Ve školním roce 202</w:t>
      </w:r>
      <w:r w:rsidR="00D2079F" w:rsidRPr="00173E7B">
        <w:rPr>
          <w:rFonts w:ascii="Arial Narrow" w:hAnsi="Arial Narrow"/>
          <w:bCs/>
        </w:rPr>
        <w:t>2</w:t>
      </w:r>
      <w:r w:rsidRPr="00173E7B">
        <w:rPr>
          <w:rFonts w:ascii="Arial Narrow" w:hAnsi="Arial Narrow"/>
          <w:bCs/>
        </w:rPr>
        <w:t>/202</w:t>
      </w:r>
      <w:r w:rsidR="00D2079F" w:rsidRPr="00173E7B">
        <w:rPr>
          <w:rFonts w:ascii="Arial Narrow" w:hAnsi="Arial Narrow"/>
          <w:bCs/>
        </w:rPr>
        <w:t>3</w:t>
      </w:r>
      <w:r w:rsidRPr="00173E7B">
        <w:rPr>
          <w:rFonts w:ascii="Arial Narrow" w:hAnsi="Arial Narrow"/>
          <w:bCs/>
        </w:rPr>
        <w:t xml:space="preserve"> navštěvovalo základní školy v České republice celkem </w:t>
      </w:r>
      <w:r w:rsidR="00D2079F" w:rsidRPr="00173E7B">
        <w:rPr>
          <w:rFonts w:ascii="Arial Narrow" w:hAnsi="Arial Narrow"/>
          <w:bCs/>
        </w:rPr>
        <w:t xml:space="preserve">1 007 778 žáků, z toho 72 748 </w:t>
      </w:r>
      <w:r w:rsidR="00BF59C4" w:rsidRPr="00173E7B">
        <w:rPr>
          <w:rFonts w:ascii="Arial Narrow" w:hAnsi="Arial Narrow"/>
          <w:bCs/>
        </w:rPr>
        <w:t>dětí</w:t>
      </w:r>
      <w:r w:rsidRPr="00173E7B">
        <w:rPr>
          <w:rFonts w:ascii="Arial Narrow" w:hAnsi="Arial Narrow"/>
          <w:bCs/>
        </w:rPr>
        <w:t xml:space="preserve"> s jinou než českou státní příslušností</w:t>
      </w:r>
      <w:bookmarkEnd w:id="217"/>
      <w:r w:rsidRPr="00173E7B">
        <w:rPr>
          <w:rFonts w:ascii="Arial Narrow" w:hAnsi="Arial Narrow"/>
          <w:bCs/>
          <w:color w:val="000000" w:themeColor="text1"/>
        </w:rPr>
        <w:t>. Základní dělení státní příslušnosti žáků s jinou než českou státní příslušností ve školním roce 2021/2022 podrobně dokumentuje graf</w:t>
      </w:r>
      <w:r w:rsidR="006955D2" w:rsidRPr="00173E7B">
        <w:rPr>
          <w:rFonts w:ascii="Arial Narrow" w:hAnsi="Arial Narrow"/>
          <w:bCs/>
          <w:color w:val="000000" w:themeColor="text1"/>
        </w:rPr>
        <w:t xml:space="preserve"> č. 31</w:t>
      </w:r>
      <w:r w:rsidRPr="00173E7B">
        <w:rPr>
          <w:rFonts w:ascii="Arial Narrow" w:hAnsi="Arial Narrow"/>
          <w:bCs/>
          <w:color w:val="000000" w:themeColor="text1"/>
        </w:rPr>
        <w:t>.</w:t>
      </w:r>
    </w:p>
    <w:p w14:paraId="0CF237DF" w14:textId="75FF36F6" w:rsidR="00F1264F" w:rsidRPr="00173E7B" w:rsidRDefault="00794665" w:rsidP="00794665">
      <w:pPr>
        <w:pStyle w:val="Titulek"/>
        <w:keepNext/>
        <w:spacing w:after="0"/>
        <w:jc w:val="both"/>
        <w:rPr>
          <w:rFonts w:ascii="Arial Narrow" w:hAnsi="Arial Narrow"/>
          <w:color w:val="auto"/>
          <w:sz w:val="20"/>
          <w:szCs w:val="20"/>
        </w:rPr>
      </w:pPr>
      <w:bookmarkStart w:id="219" w:name="_Toc136428875"/>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31</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Státní občanství žáků ZŠ s</w:t>
      </w:r>
      <w:r w:rsidR="00DD4C92" w:rsidRPr="00173E7B">
        <w:rPr>
          <w:rFonts w:ascii="Arial Narrow" w:hAnsi="Arial Narrow"/>
          <w:color w:val="auto"/>
          <w:sz w:val="20"/>
          <w:szCs w:val="20"/>
        </w:rPr>
        <w:t> jinou než českou státní příslušností</w:t>
      </w:r>
      <w:r w:rsidRPr="00173E7B">
        <w:rPr>
          <w:rFonts w:ascii="Arial Narrow" w:hAnsi="Arial Narrow"/>
          <w:color w:val="auto"/>
          <w:sz w:val="20"/>
          <w:szCs w:val="20"/>
        </w:rPr>
        <w:t xml:space="preserve"> ve školním roce 202</w:t>
      </w:r>
      <w:r w:rsidR="00D2079F" w:rsidRPr="00173E7B">
        <w:rPr>
          <w:rFonts w:ascii="Arial Narrow" w:hAnsi="Arial Narrow"/>
          <w:color w:val="auto"/>
          <w:sz w:val="20"/>
          <w:szCs w:val="20"/>
        </w:rPr>
        <w:t>2</w:t>
      </w:r>
      <w:r w:rsidRPr="00173E7B">
        <w:rPr>
          <w:rFonts w:ascii="Arial Narrow" w:hAnsi="Arial Narrow"/>
          <w:color w:val="auto"/>
          <w:sz w:val="20"/>
          <w:szCs w:val="20"/>
        </w:rPr>
        <w:t>/202</w:t>
      </w:r>
      <w:bookmarkEnd w:id="218"/>
      <w:r w:rsidR="00D2079F" w:rsidRPr="00173E7B">
        <w:rPr>
          <w:rFonts w:ascii="Arial Narrow" w:hAnsi="Arial Narrow"/>
          <w:color w:val="auto"/>
          <w:sz w:val="20"/>
          <w:szCs w:val="20"/>
        </w:rPr>
        <w:t>3</w:t>
      </w:r>
      <w:bookmarkEnd w:id="219"/>
    </w:p>
    <w:p w14:paraId="43562314" w14:textId="322E8C50" w:rsidR="00F1264F" w:rsidRPr="00173E7B" w:rsidRDefault="00D2079F" w:rsidP="7CC7BF57">
      <w:pPr>
        <w:spacing w:line="276" w:lineRule="auto"/>
        <w:jc w:val="both"/>
        <w:rPr>
          <w:rFonts w:ascii="Arial Narrow" w:hAnsi="Arial Narrow"/>
        </w:rPr>
      </w:pPr>
      <w:r w:rsidRPr="00173E7B">
        <w:rPr>
          <w:rFonts w:ascii="Arial Narrow" w:hAnsi="Arial Narrow"/>
          <w:bCs/>
          <w:noProof/>
          <w:lang w:eastAsia="cs-CZ"/>
        </w:rPr>
        <w:drawing>
          <wp:inline distT="0" distB="0" distL="0" distR="0" wp14:anchorId="3EC996BB" wp14:editId="19F1B348">
            <wp:extent cx="5760720" cy="1615440"/>
            <wp:effectExtent l="0" t="0" r="0" b="3810"/>
            <wp:docPr id="2091" name="Graf 2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4731E64" w14:textId="150FAF4C" w:rsidR="00E568AB" w:rsidRPr="00173E7B" w:rsidRDefault="00E568AB" w:rsidP="00E568AB">
      <w:pPr>
        <w:spacing w:line="276" w:lineRule="auto"/>
        <w:rPr>
          <w:rFonts w:ascii="Arial Narrow" w:eastAsia="Calibri" w:hAnsi="Arial Narrow"/>
          <w:bCs/>
        </w:rPr>
      </w:pPr>
      <w:r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t xml:space="preserve">     </w:t>
      </w:r>
      <w:r w:rsidRPr="00173E7B">
        <w:rPr>
          <w:rFonts w:ascii="Arial Narrow" w:hAnsi="Arial Narrow"/>
          <w:sz w:val="20"/>
          <w:szCs w:val="20"/>
        </w:rPr>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0736D8DD" w14:textId="75116589" w:rsidR="00D2079F" w:rsidRPr="00173E7B" w:rsidRDefault="00B930D1" w:rsidP="00B02F01">
      <w:pPr>
        <w:spacing w:after="120" w:line="276" w:lineRule="auto"/>
        <w:jc w:val="both"/>
        <w:rPr>
          <w:rFonts w:ascii="Arial Narrow" w:hAnsi="Arial Narrow"/>
          <w:bCs/>
        </w:rPr>
      </w:pPr>
      <w:r w:rsidRPr="00173E7B">
        <w:rPr>
          <w:rFonts w:ascii="Arial Narrow" w:hAnsi="Arial Narrow"/>
          <w:bCs/>
        </w:rPr>
        <w:br/>
      </w:r>
      <w:bookmarkStart w:id="220" w:name="_Hlk95486761"/>
      <w:r w:rsidR="00B02F01" w:rsidRPr="00173E7B">
        <w:rPr>
          <w:rFonts w:ascii="Arial Narrow" w:hAnsi="Arial Narrow"/>
          <w:bCs/>
        </w:rPr>
        <w:t xml:space="preserve">Podíl </w:t>
      </w:r>
      <w:r w:rsidR="00B02F01" w:rsidRPr="00173E7B">
        <w:rPr>
          <w:rFonts w:ascii="Arial Narrow" w:hAnsi="Arial Narrow"/>
        </w:rPr>
        <w:t>žáků s jinou než českou státní příslušností</w:t>
      </w:r>
      <w:r w:rsidR="00B02F01" w:rsidRPr="00173E7B">
        <w:rPr>
          <w:rFonts w:ascii="Arial Narrow" w:hAnsi="Arial Narrow"/>
          <w:bCs/>
        </w:rPr>
        <w:t xml:space="preserve"> na celkovém počtu žáků se </w:t>
      </w:r>
      <w:r w:rsidR="00D2079F" w:rsidRPr="00173E7B">
        <w:rPr>
          <w:rFonts w:ascii="Arial Narrow" w:hAnsi="Arial Narrow"/>
          <w:bCs/>
        </w:rPr>
        <w:t>mezi lety 2005 a 2021</w:t>
      </w:r>
      <w:r w:rsidR="00B02F01" w:rsidRPr="00173E7B">
        <w:rPr>
          <w:rFonts w:ascii="Arial Narrow" w:hAnsi="Arial Narrow"/>
          <w:bCs/>
        </w:rPr>
        <w:t xml:space="preserve"> více než </w:t>
      </w:r>
      <w:r w:rsidR="00B02F01" w:rsidRPr="00173E7B">
        <w:rPr>
          <w:rFonts w:ascii="Arial Narrow" w:hAnsi="Arial Narrow"/>
          <w:bCs/>
        </w:rPr>
        <w:lastRenderedPageBreak/>
        <w:t>zdvojnásobil</w:t>
      </w:r>
      <w:r w:rsidR="006955D2" w:rsidRPr="00173E7B">
        <w:rPr>
          <w:rFonts w:ascii="Arial Narrow" w:hAnsi="Arial Narrow"/>
          <w:bCs/>
        </w:rPr>
        <w:t>,</w:t>
      </w:r>
      <w:r w:rsidR="006955D2" w:rsidRPr="00173E7B">
        <w:rPr>
          <w:rFonts w:ascii="Arial Narrow" w:hAnsi="Arial Narrow"/>
        </w:rPr>
        <w:t xml:space="preserve"> jak ukazuje graf č. 32 a následně v reálných číslech tabulka č. 8</w:t>
      </w:r>
      <w:r w:rsidR="00B02F01" w:rsidRPr="00173E7B">
        <w:rPr>
          <w:rFonts w:ascii="Arial Narrow" w:hAnsi="Arial Narrow"/>
          <w:bCs/>
        </w:rPr>
        <w:t xml:space="preserve">. Zatímco ve školním roce 2005/2006 tvořily </w:t>
      </w:r>
      <w:r w:rsidR="00B02F01" w:rsidRPr="00173E7B">
        <w:rPr>
          <w:rFonts w:ascii="Arial Narrow" w:hAnsi="Arial Narrow"/>
        </w:rPr>
        <w:t xml:space="preserve">osoby s jinou než českou státní příslušností </w:t>
      </w:r>
      <w:r w:rsidR="00B02F01" w:rsidRPr="00173E7B">
        <w:rPr>
          <w:rFonts w:ascii="Arial Narrow" w:hAnsi="Arial Narrow"/>
          <w:bCs/>
        </w:rPr>
        <w:t>1,3 % všech žáků, ve školním roce 2021/2022 to bylo již 3,2 %.</w:t>
      </w:r>
      <w:bookmarkEnd w:id="220"/>
      <w:r w:rsidR="00B02F01" w:rsidRPr="00173E7B">
        <w:rPr>
          <w:rFonts w:ascii="Arial Narrow" w:hAnsi="Arial Narrow"/>
          <w:bCs/>
        </w:rPr>
        <w:t xml:space="preserve"> Počet žáků s jinou než českou státní příslušností </w:t>
      </w:r>
      <w:r w:rsidR="00D2079F" w:rsidRPr="00173E7B">
        <w:rPr>
          <w:rFonts w:ascii="Arial Narrow" w:hAnsi="Arial Narrow"/>
          <w:bCs/>
        </w:rPr>
        <w:t xml:space="preserve">v tomto období </w:t>
      </w:r>
      <w:r w:rsidR="00B02F01" w:rsidRPr="00173E7B">
        <w:rPr>
          <w:rFonts w:ascii="Arial Narrow" w:hAnsi="Arial Narrow"/>
          <w:bCs/>
        </w:rPr>
        <w:t>meziročně narůst</w:t>
      </w:r>
      <w:r w:rsidR="00D2079F" w:rsidRPr="00173E7B">
        <w:rPr>
          <w:rFonts w:ascii="Arial Narrow" w:hAnsi="Arial Narrow"/>
          <w:bCs/>
        </w:rPr>
        <w:t>al</w:t>
      </w:r>
      <w:r w:rsidR="00B02F01" w:rsidRPr="00173E7B">
        <w:rPr>
          <w:rFonts w:ascii="Arial Narrow" w:hAnsi="Arial Narrow"/>
          <w:bCs/>
        </w:rPr>
        <w:t xml:space="preserve"> průměrně o 0,12 %.</w:t>
      </w:r>
      <w:r w:rsidR="00D2079F" w:rsidRPr="00173E7B">
        <w:rPr>
          <w:rFonts w:ascii="Arial Narrow" w:hAnsi="Arial Narrow"/>
          <w:bCs/>
        </w:rPr>
        <w:t xml:space="preserve"> </w:t>
      </w:r>
    </w:p>
    <w:p w14:paraId="6DCBB344" w14:textId="77777777" w:rsidR="006955D2" w:rsidRPr="00173E7B" w:rsidRDefault="00D2079F" w:rsidP="006955D2">
      <w:pPr>
        <w:spacing w:after="120" w:line="276" w:lineRule="auto"/>
        <w:jc w:val="both"/>
        <w:rPr>
          <w:rFonts w:ascii="Arial Narrow" w:hAnsi="Arial Narrow"/>
          <w:bCs/>
        </w:rPr>
      </w:pPr>
      <w:r w:rsidRPr="00173E7B">
        <w:rPr>
          <w:rFonts w:ascii="Arial Narrow" w:hAnsi="Arial Narrow"/>
          <w:bCs/>
        </w:rPr>
        <w:t>Výraznou změnu v podílu dětí s jinou než českou státní příslušností na ZŠ přinesl školní rok 2022/2023, kdy v souvislosti s válkou na Ukrajině došlo k příchodu velkého počtu žáků. V důsledku toho došlo skokově k nárůstu podílu dětí s jinou než českou státní příslušností z 3,2 % na 7,2 % všech žáků základních škol v ČR.</w:t>
      </w:r>
    </w:p>
    <w:p w14:paraId="179B8541" w14:textId="3AA917B0" w:rsidR="00D2079F" w:rsidRPr="00173E7B" w:rsidRDefault="00794665" w:rsidP="006955D2">
      <w:pPr>
        <w:spacing w:after="120" w:line="276" w:lineRule="auto"/>
        <w:jc w:val="both"/>
        <w:rPr>
          <w:rFonts w:ascii="Arial Narrow" w:hAnsi="Arial Narrow"/>
          <w:bCs/>
        </w:rPr>
      </w:pPr>
      <w:bookmarkStart w:id="221" w:name="_Toc94443736"/>
      <w:bookmarkStart w:id="222" w:name="_Toc136428876"/>
      <w:r w:rsidRPr="00173E7B">
        <w:rPr>
          <w:rFonts w:ascii="Arial Narrow" w:hAnsi="Arial Narrow"/>
          <w:b/>
          <w:bCs/>
          <w:sz w:val="20"/>
          <w:szCs w:val="20"/>
        </w:rPr>
        <w:t xml:space="preserve">Graf </w:t>
      </w:r>
      <w:r w:rsidR="00B63C25" w:rsidRPr="00173E7B">
        <w:rPr>
          <w:rFonts w:ascii="Arial Narrow" w:hAnsi="Arial Narrow"/>
          <w:b/>
          <w:bCs/>
          <w:sz w:val="20"/>
          <w:szCs w:val="20"/>
        </w:rPr>
        <w:fldChar w:fldCharType="begin"/>
      </w:r>
      <w:r w:rsidR="00B63C25" w:rsidRPr="00173E7B">
        <w:rPr>
          <w:rFonts w:ascii="Arial Narrow" w:hAnsi="Arial Narrow"/>
          <w:b/>
          <w:bCs/>
          <w:sz w:val="20"/>
          <w:szCs w:val="20"/>
        </w:rPr>
        <w:instrText xml:space="preserve"> SEQ Graf \* ARABIC </w:instrText>
      </w:r>
      <w:r w:rsidR="00B63C25" w:rsidRPr="00173E7B">
        <w:rPr>
          <w:rFonts w:ascii="Arial Narrow" w:hAnsi="Arial Narrow"/>
          <w:b/>
          <w:bCs/>
          <w:sz w:val="20"/>
          <w:szCs w:val="20"/>
        </w:rPr>
        <w:fldChar w:fldCharType="separate"/>
      </w:r>
      <w:r w:rsidR="009F49C8" w:rsidRPr="00173E7B">
        <w:rPr>
          <w:rFonts w:ascii="Arial Narrow" w:hAnsi="Arial Narrow"/>
          <w:b/>
          <w:bCs/>
          <w:noProof/>
          <w:sz w:val="20"/>
          <w:szCs w:val="20"/>
        </w:rPr>
        <w:t>32</w:t>
      </w:r>
      <w:r w:rsidR="00B63C25" w:rsidRPr="00173E7B">
        <w:rPr>
          <w:rFonts w:ascii="Arial Narrow" w:hAnsi="Arial Narrow"/>
          <w:b/>
          <w:bCs/>
          <w:sz w:val="20"/>
          <w:szCs w:val="20"/>
        </w:rPr>
        <w:fldChar w:fldCharType="end"/>
      </w:r>
      <w:r w:rsidRPr="00173E7B">
        <w:rPr>
          <w:rFonts w:ascii="Arial Narrow" w:hAnsi="Arial Narrow"/>
          <w:b/>
          <w:bCs/>
          <w:sz w:val="20"/>
          <w:szCs w:val="20"/>
        </w:rPr>
        <w:t xml:space="preserve">: Podíl žáků ZŠ </w:t>
      </w:r>
      <w:r w:rsidR="00DD4C92" w:rsidRPr="00173E7B">
        <w:rPr>
          <w:rFonts w:ascii="Arial Narrow" w:hAnsi="Arial Narrow"/>
          <w:b/>
          <w:bCs/>
          <w:sz w:val="20"/>
          <w:szCs w:val="20"/>
        </w:rPr>
        <w:t xml:space="preserve">s jinou než českou státní příslušností </w:t>
      </w:r>
      <w:r w:rsidRPr="00173E7B">
        <w:rPr>
          <w:rFonts w:ascii="Arial Narrow" w:hAnsi="Arial Narrow"/>
          <w:b/>
          <w:bCs/>
          <w:sz w:val="20"/>
          <w:szCs w:val="20"/>
        </w:rPr>
        <w:t xml:space="preserve">na celkovém počtu </w:t>
      </w:r>
      <w:r w:rsidR="00BA1BB0" w:rsidRPr="00173E7B">
        <w:rPr>
          <w:rFonts w:ascii="Arial Narrow" w:hAnsi="Arial Narrow"/>
          <w:b/>
          <w:bCs/>
          <w:sz w:val="20"/>
          <w:szCs w:val="20"/>
        </w:rPr>
        <w:t>žáků</w:t>
      </w:r>
      <w:r w:rsidRPr="00173E7B">
        <w:rPr>
          <w:rFonts w:ascii="Arial Narrow" w:hAnsi="Arial Narrow"/>
          <w:b/>
          <w:bCs/>
          <w:sz w:val="20"/>
          <w:szCs w:val="20"/>
        </w:rPr>
        <w:t xml:space="preserve"> v letech 2005-202</w:t>
      </w:r>
      <w:bookmarkEnd w:id="221"/>
      <w:r w:rsidR="00D2079F" w:rsidRPr="00173E7B">
        <w:rPr>
          <w:rFonts w:ascii="Arial Narrow" w:hAnsi="Arial Narrow"/>
          <w:b/>
          <w:bCs/>
          <w:sz w:val="20"/>
          <w:szCs w:val="20"/>
        </w:rPr>
        <w:t>3</w:t>
      </w:r>
      <w:bookmarkEnd w:id="222"/>
      <w:r w:rsidRPr="00173E7B">
        <w:rPr>
          <w:rFonts w:ascii="Arial Narrow" w:hAnsi="Arial Narrow"/>
          <w:sz w:val="20"/>
          <w:szCs w:val="20"/>
        </w:rPr>
        <w:t xml:space="preserve"> </w:t>
      </w:r>
    </w:p>
    <w:p w14:paraId="567A5EF6" w14:textId="00505D31" w:rsidR="00BF0DF0" w:rsidRPr="00173E7B" w:rsidRDefault="00D2079F" w:rsidP="006955D2">
      <w:pPr>
        <w:spacing w:after="120" w:line="276" w:lineRule="auto"/>
        <w:rPr>
          <w:rFonts w:ascii="Arial Narrow" w:hAnsi="Arial Narrow"/>
          <w:sz w:val="20"/>
          <w:szCs w:val="20"/>
        </w:rPr>
      </w:pPr>
      <w:r w:rsidRPr="00173E7B">
        <w:rPr>
          <w:rFonts w:ascii="Arial Narrow" w:hAnsi="Arial Narrow"/>
          <w:bCs/>
          <w:noProof/>
          <w:lang w:eastAsia="cs-CZ"/>
        </w:rPr>
        <mc:AlternateContent>
          <mc:Choice Requires="wps">
            <w:drawing>
              <wp:anchor distT="0" distB="0" distL="114300" distR="114300" simplePos="0" relativeHeight="251692544" behindDoc="0" locked="0" layoutInCell="1" allowOverlap="1" wp14:anchorId="2DB931C2" wp14:editId="44DADC61">
                <wp:simplePos x="0" y="0"/>
                <wp:positionH relativeFrom="margin">
                  <wp:posOffset>2243455</wp:posOffset>
                </wp:positionH>
                <wp:positionV relativeFrom="paragraph">
                  <wp:posOffset>485775</wp:posOffset>
                </wp:positionV>
                <wp:extent cx="2581275" cy="1066800"/>
                <wp:effectExtent l="0" t="38100" r="47625" b="19050"/>
                <wp:wrapNone/>
                <wp:docPr id="44" name="Přímá spojnice se šipkou 44"/>
                <wp:cNvGraphicFramePr/>
                <a:graphic xmlns:a="http://schemas.openxmlformats.org/drawingml/2006/main">
                  <a:graphicData uri="http://schemas.microsoft.com/office/word/2010/wordprocessingShape">
                    <wps:wsp>
                      <wps:cNvCnPr/>
                      <wps:spPr>
                        <a:xfrm flipV="1">
                          <a:off x="0" y="0"/>
                          <a:ext cx="2581275" cy="1066800"/>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27128A" id="Přímá spojnice se šipkou 44" o:spid="_x0000_s1026" type="#_x0000_t32" style="position:absolute;margin-left:176.65pt;margin-top:38.25pt;width:203.25pt;height:84pt;flip:y;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" strokecolor="#c00000" strokeweight="1.25pt">
                <v:stroke endarrow="block" joinstyle="miter"/>
                <w10:wrap anchorx="margin"/>
              </v:shape>
            </w:pict>
          </mc:Fallback>
        </mc:AlternateContent>
      </w:r>
      <w:r w:rsidRPr="00173E7B">
        <w:rPr>
          <w:rFonts w:ascii="Arial Narrow" w:hAnsi="Arial Narrow"/>
          <w:bCs/>
          <w:noProof/>
          <w:lang w:eastAsia="cs-CZ"/>
        </w:rPr>
        <w:drawing>
          <wp:inline distT="0" distB="0" distL="0" distR="0" wp14:anchorId="383D037B" wp14:editId="17BB51AA">
            <wp:extent cx="5716905" cy="3190875"/>
            <wp:effectExtent l="0" t="0" r="0" b="0"/>
            <wp:docPr id="2092" name="Graf 2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E568AB"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t xml:space="preserve"> </w:t>
      </w:r>
      <w:r w:rsidR="003937B0" w:rsidRPr="00173E7B">
        <w:rPr>
          <w:rFonts w:ascii="Arial Narrow" w:hAnsi="Arial Narrow"/>
          <w:sz w:val="20"/>
          <w:szCs w:val="20"/>
        </w:rPr>
        <w:tab/>
        <w:t xml:space="preserve">        </w:t>
      </w:r>
      <w:r w:rsidR="00E568AB" w:rsidRPr="00173E7B">
        <w:rPr>
          <w:rFonts w:ascii="Arial Narrow" w:hAnsi="Arial Narrow"/>
          <w:sz w:val="20"/>
          <w:szCs w:val="20"/>
        </w:rPr>
        <w:t xml:space="preserve">Graf: AUGUR </w:t>
      </w:r>
      <w:proofErr w:type="spellStart"/>
      <w:r w:rsidR="00E568AB" w:rsidRPr="00173E7B">
        <w:rPr>
          <w:rFonts w:ascii="Arial Narrow" w:hAnsi="Arial Narrow"/>
          <w:sz w:val="20"/>
          <w:szCs w:val="20"/>
        </w:rPr>
        <w:t>Consulting</w:t>
      </w:r>
      <w:proofErr w:type="spellEnd"/>
      <w:r w:rsidR="00E568AB" w:rsidRPr="00173E7B">
        <w:rPr>
          <w:rFonts w:ascii="Arial Narrow" w:hAnsi="Arial Narrow"/>
          <w:sz w:val="20"/>
          <w:szCs w:val="20"/>
        </w:rPr>
        <w:t xml:space="preserve"> </w:t>
      </w:r>
      <w:proofErr w:type="spellStart"/>
      <w:r w:rsidR="00E568AB" w:rsidRPr="00173E7B">
        <w:rPr>
          <w:rFonts w:ascii="Arial Narrow" w:hAnsi="Arial Narrow"/>
          <w:sz w:val="20"/>
          <w:szCs w:val="20"/>
        </w:rPr>
        <w:t>s.r.o</w:t>
      </w:r>
      <w:proofErr w:type="spellEnd"/>
    </w:p>
    <w:p w14:paraId="1DE67A5D" w14:textId="64AC62C1" w:rsidR="00F1264F" w:rsidRPr="00173E7B" w:rsidRDefault="495E27D3" w:rsidP="2460258F">
      <w:pPr>
        <w:spacing w:line="276" w:lineRule="auto"/>
        <w:jc w:val="both"/>
        <w:rPr>
          <w:rFonts w:ascii="Arial Narrow" w:hAnsi="Arial Narrow"/>
          <w:b/>
          <w:bCs/>
          <w:sz w:val="24"/>
          <w:szCs w:val="24"/>
        </w:rPr>
      </w:pPr>
      <w:bookmarkStart w:id="223" w:name="_Toc136429219"/>
      <w:r w:rsidRPr="00173E7B">
        <w:rPr>
          <w:rFonts w:ascii="Arial Narrow" w:hAnsi="Arial Narrow"/>
          <w:b/>
          <w:bCs/>
          <w:sz w:val="20"/>
          <w:szCs w:val="20"/>
        </w:rPr>
        <w:t xml:space="preserve">Tabulka </w:t>
      </w:r>
      <w:r w:rsidR="00E17404" w:rsidRPr="00173E7B">
        <w:rPr>
          <w:rFonts w:ascii="Arial Narrow" w:hAnsi="Arial Narrow"/>
          <w:b/>
          <w:bCs/>
          <w:sz w:val="20"/>
          <w:szCs w:val="20"/>
        </w:rPr>
        <w:fldChar w:fldCharType="begin"/>
      </w:r>
      <w:r w:rsidR="00E17404" w:rsidRPr="00173E7B">
        <w:rPr>
          <w:rFonts w:ascii="Arial Narrow" w:hAnsi="Arial Narrow"/>
          <w:b/>
          <w:bCs/>
          <w:sz w:val="20"/>
          <w:szCs w:val="20"/>
        </w:rPr>
        <w:instrText xml:space="preserve"> SEQ Tabulka \* ARABIC </w:instrText>
      </w:r>
      <w:r w:rsidR="00E17404" w:rsidRPr="00173E7B">
        <w:rPr>
          <w:rFonts w:ascii="Arial Narrow" w:hAnsi="Arial Narrow"/>
          <w:b/>
          <w:bCs/>
          <w:sz w:val="20"/>
          <w:szCs w:val="20"/>
        </w:rPr>
        <w:fldChar w:fldCharType="separate"/>
      </w:r>
      <w:r w:rsidR="7DE39459" w:rsidRPr="00173E7B">
        <w:rPr>
          <w:rFonts w:ascii="Arial Narrow" w:hAnsi="Arial Narrow"/>
          <w:b/>
          <w:bCs/>
          <w:noProof/>
          <w:sz w:val="20"/>
          <w:szCs w:val="20"/>
        </w:rPr>
        <w:t>8</w:t>
      </w:r>
      <w:r w:rsidR="00E17404" w:rsidRPr="00173E7B">
        <w:rPr>
          <w:rFonts w:ascii="Arial Narrow" w:hAnsi="Arial Narrow"/>
          <w:b/>
          <w:bCs/>
          <w:sz w:val="20"/>
          <w:szCs w:val="20"/>
        </w:rPr>
        <w:fldChar w:fldCharType="end"/>
      </w:r>
      <w:r w:rsidRPr="00173E7B">
        <w:rPr>
          <w:rFonts w:ascii="Arial Narrow" w:hAnsi="Arial Narrow"/>
          <w:b/>
          <w:bCs/>
          <w:sz w:val="20"/>
          <w:szCs w:val="20"/>
        </w:rPr>
        <w:t xml:space="preserve">:  </w:t>
      </w:r>
      <w:r w:rsidRPr="00173E7B">
        <w:rPr>
          <w:rFonts w:ascii="Arial Narrow" w:hAnsi="Arial Narrow"/>
          <w:b/>
          <w:bCs/>
          <w:color w:val="000000" w:themeColor="text1"/>
          <w:sz w:val="20"/>
          <w:szCs w:val="20"/>
        </w:rPr>
        <w:t>Vývoj počtu žáků s jinou než českou státní příslušností v České republice v letech 2005-202</w:t>
      </w:r>
      <w:r w:rsidR="4820A478" w:rsidRPr="00173E7B">
        <w:rPr>
          <w:rFonts w:ascii="Arial Narrow" w:hAnsi="Arial Narrow"/>
          <w:b/>
          <w:bCs/>
          <w:color w:val="000000" w:themeColor="text1"/>
          <w:sz w:val="20"/>
          <w:szCs w:val="20"/>
        </w:rPr>
        <w:t>2</w:t>
      </w:r>
      <w:bookmarkEnd w:id="223"/>
    </w:p>
    <w:tbl>
      <w:tblPr>
        <w:tblW w:w="8818" w:type="dxa"/>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34"/>
        <w:gridCol w:w="1422"/>
        <w:gridCol w:w="1584"/>
        <w:gridCol w:w="1417"/>
        <w:gridCol w:w="1560"/>
        <w:gridCol w:w="1701"/>
      </w:tblGrid>
      <w:tr w:rsidR="00D2079F" w:rsidRPr="00173E7B" w14:paraId="7AF8F690" w14:textId="77777777" w:rsidTr="00D2079F">
        <w:trPr>
          <w:trHeight w:val="60"/>
        </w:trPr>
        <w:tc>
          <w:tcPr>
            <w:tcW w:w="1134" w:type="dxa"/>
            <w:vMerge w:val="restart"/>
            <w:shd w:val="clear" w:color="auto" w:fill="D9E2F3" w:themeFill="accent1" w:themeFillTint="33"/>
            <w:noWrap/>
            <w:vAlign w:val="center"/>
            <w:hideMark/>
          </w:tcPr>
          <w:p w14:paraId="0354CAA8" w14:textId="77777777" w:rsidR="00D2079F" w:rsidRPr="00173E7B" w:rsidRDefault="00D2079F" w:rsidP="004A0C47">
            <w:pPr>
              <w:jc w:val="center"/>
              <w:rPr>
                <w:rFonts w:ascii="Arial Narrow" w:eastAsia="Times New Roman" w:hAnsi="Arial Narrow" w:cs="Tahoma"/>
                <w:b/>
                <w:bCs/>
                <w:sz w:val="18"/>
                <w:szCs w:val="18"/>
                <w:lang w:eastAsia="cs-CZ"/>
              </w:rPr>
            </w:pPr>
          </w:p>
        </w:tc>
        <w:tc>
          <w:tcPr>
            <w:tcW w:w="1422" w:type="dxa"/>
            <w:vMerge w:val="restart"/>
            <w:shd w:val="clear" w:color="auto" w:fill="D9E2F3" w:themeFill="accent1" w:themeFillTint="33"/>
            <w:vAlign w:val="center"/>
            <w:hideMark/>
          </w:tcPr>
          <w:p w14:paraId="66EF371E" w14:textId="77777777" w:rsidR="00D2079F" w:rsidRPr="00173E7B" w:rsidRDefault="00D2079F"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Žáků v ČR celkem</w:t>
            </w:r>
          </w:p>
        </w:tc>
        <w:tc>
          <w:tcPr>
            <w:tcW w:w="6262" w:type="dxa"/>
            <w:gridSpan w:val="4"/>
            <w:shd w:val="clear" w:color="auto" w:fill="D9E2F3" w:themeFill="accent1" w:themeFillTint="33"/>
            <w:vAlign w:val="center"/>
            <w:hideMark/>
          </w:tcPr>
          <w:p w14:paraId="02225A90" w14:textId="77777777" w:rsidR="00D2079F" w:rsidRPr="00173E7B" w:rsidRDefault="00D2079F"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sz w:val="18"/>
                <w:szCs w:val="18"/>
                <w:lang w:eastAsia="cs-CZ"/>
              </w:rPr>
              <w:t>v tom státní občanství</w:t>
            </w:r>
          </w:p>
        </w:tc>
      </w:tr>
      <w:tr w:rsidR="00D2079F" w:rsidRPr="00173E7B" w14:paraId="3B723190" w14:textId="77777777" w:rsidTr="00D2079F">
        <w:trPr>
          <w:trHeight w:val="415"/>
        </w:trPr>
        <w:tc>
          <w:tcPr>
            <w:tcW w:w="1134" w:type="dxa"/>
            <w:vMerge/>
            <w:shd w:val="clear" w:color="auto" w:fill="D9E2F3" w:themeFill="accent1" w:themeFillTint="33"/>
            <w:noWrap/>
            <w:vAlign w:val="center"/>
            <w:hideMark/>
          </w:tcPr>
          <w:p w14:paraId="3C17F19E" w14:textId="77777777" w:rsidR="00D2079F" w:rsidRPr="00173E7B" w:rsidRDefault="00D2079F" w:rsidP="004A0C47">
            <w:pPr>
              <w:jc w:val="center"/>
              <w:rPr>
                <w:rFonts w:ascii="Arial Narrow" w:eastAsia="Times New Roman" w:hAnsi="Arial Narrow" w:cs="Tahoma"/>
                <w:b/>
                <w:bCs/>
                <w:sz w:val="18"/>
                <w:szCs w:val="18"/>
                <w:lang w:eastAsia="cs-CZ"/>
              </w:rPr>
            </w:pPr>
          </w:p>
        </w:tc>
        <w:tc>
          <w:tcPr>
            <w:tcW w:w="1422" w:type="dxa"/>
            <w:vMerge/>
            <w:shd w:val="clear" w:color="auto" w:fill="D9E2F3" w:themeFill="accent1" w:themeFillTint="33"/>
            <w:vAlign w:val="center"/>
            <w:hideMark/>
          </w:tcPr>
          <w:p w14:paraId="7D9D1C2D" w14:textId="77777777" w:rsidR="00D2079F" w:rsidRPr="00173E7B" w:rsidRDefault="00D2079F" w:rsidP="004A0C47">
            <w:pPr>
              <w:jc w:val="center"/>
              <w:rPr>
                <w:rFonts w:ascii="Arial Narrow" w:eastAsia="Times New Roman" w:hAnsi="Arial Narrow" w:cs="Tahoma"/>
                <w:b/>
                <w:bCs/>
                <w:sz w:val="18"/>
                <w:szCs w:val="18"/>
                <w:lang w:eastAsia="cs-CZ"/>
              </w:rPr>
            </w:pPr>
          </w:p>
        </w:tc>
        <w:tc>
          <w:tcPr>
            <w:tcW w:w="1584" w:type="dxa"/>
            <w:shd w:val="clear" w:color="auto" w:fill="D9E2F3" w:themeFill="accent1" w:themeFillTint="33"/>
            <w:vAlign w:val="center"/>
            <w:hideMark/>
          </w:tcPr>
          <w:p w14:paraId="0F4EEC20" w14:textId="77777777" w:rsidR="00D2079F" w:rsidRPr="00173E7B" w:rsidRDefault="00D2079F"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české</w:t>
            </w:r>
          </w:p>
        </w:tc>
        <w:tc>
          <w:tcPr>
            <w:tcW w:w="1417" w:type="dxa"/>
            <w:shd w:val="clear" w:color="auto" w:fill="D9E2F3" w:themeFill="accent1" w:themeFillTint="33"/>
            <w:vAlign w:val="center"/>
            <w:hideMark/>
          </w:tcPr>
          <w:p w14:paraId="61C5522D" w14:textId="77777777" w:rsidR="00D2079F" w:rsidRPr="00173E7B" w:rsidRDefault="00D2079F"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slovenské</w:t>
            </w:r>
          </w:p>
        </w:tc>
        <w:tc>
          <w:tcPr>
            <w:tcW w:w="1560" w:type="dxa"/>
            <w:shd w:val="clear" w:color="auto" w:fill="D9E2F3" w:themeFill="accent1" w:themeFillTint="33"/>
            <w:vAlign w:val="center"/>
            <w:hideMark/>
          </w:tcPr>
          <w:p w14:paraId="69EE7E48" w14:textId="77777777" w:rsidR="00D2079F" w:rsidRPr="00173E7B" w:rsidRDefault="00D2079F"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ostatní státy EU 27</w:t>
            </w:r>
          </w:p>
        </w:tc>
        <w:tc>
          <w:tcPr>
            <w:tcW w:w="1701" w:type="dxa"/>
            <w:shd w:val="clear" w:color="auto" w:fill="D9E2F3" w:themeFill="accent1" w:themeFillTint="33"/>
            <w:vAlign w:val="center"/>
            <w:hideMark/>
          </w:tcPr>
          <w:p w14:paraId="7D6F8C9C" w14:textId="77777777" w:rsidR="00D2079F" w:rsidRPr="00173E7B" w:rsidRDefault="00D2079F"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Třetí země a zatím nezjištěné</w:t>
            </w:r>
          </w:p>
        </w:tc>
      </w:tr>
      <w:tr w:rsidR="00D2079F" w:rsidRPr="00173E7B" w14:paraId="04D94C65" w14:textId="77777777" w:rsidTr="00D2079F">
        <w:trPr>
          <w:trHeight w:val="227"/>
        </w:trPr>
        <w:tc>
          <w:tcPr>
            <w:tcW w:w="1134" w:type="dxa"/>
            <w:shd w:val="clear" w:color="auto" w:fill="D9E2F3" w:themeFill="accent1" w:themeFillTint="33"/>
            <w:noWrap/>
            <w:vAlign w:val="center"/>
          </w:tcPr>
          <w:p w14:paraId="26E42294"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2022/2023</w:t>
            </w:r>
          </w:p>
        </w:tc>
        <w:tc>
          <w:tcPr>
            <w:tcW w:w="1422" w:type="dxa"/>
            <w:vAlign w:val="center"/>
          </w:tcPr>
          <w:p w14:paraId="190F4343"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1 007 778</w:t>
            </w:r>
          </w:p>
        </w:tc>
        <w:tc>
          <w:tcPr>
            <w:tcW w:w="1584" w:type="dxa"/>
            <w:vAlign w:val="center"/>
          </w:tcPr>
          <w:p w14:paraId="79941D5B" w14:textId="5E71B042" w:rsidR="00D2079F" w:rsidRPr="00173E7B" w:rsidRDefault="00D2079F" w:rsidP="004A0C47">
            <w:pPr>
              <w:jc w:val="center"/>
              <w:rPr>
                <w:rFonts w:ascii="Arial Narrow" w:hAnsi="Arial Narrow" w:cs="Tahoma"/>
                <w:color w:val="000000"/>
                <w:sz w:val="18"/>
                <w:szCs w:val="18"/>
              </w:rPr>
            </w:pPr>
            <w:r w:rsidRPr="00173E7B">
              <w:rPr>
                <w:rFonts w:ascii="Arial Narrow" w:hAnsi="Arial Narrow" w:cs="Tahoma"/>
                <w:color w:val="000000"/>
                <w:sz w:val="18"/>
                <w:szCs w:val="18"/>
              </w:rPr>
              <w:t>935 030</w:t>
            </w:r>
          </w:p>
        </w:tc>
        <w:tc>
          <w:tcPr>
            <w:tcW w:w="1417" w:type="dxa"/>
            <w:vAlign w:val="center"/>
          </w:tcPr>
          <w:p w14:paraId="423718DB" w14:textId="311248D1" w:rsidR="00D2079F" w:rsidRPr="00173E7B" w:rsidRDefault="00D2079F" w:rsidP="004A0C47">
            <w:pPr>
              <w:jc w:val="center"/>
              <w:rPr>
                <w:rFonts w:ascii="Arial Narrow" w:hAnsi="Arial Narrow" w:cs="Tahoma"/>
                <w:sz w:val="18"/>
                <w:szCs w:val="18"/>
              </w:rPr>
            </w:pPr>
            <w:r w:rsidRPr="00173E7B">
              <w:rPr>
                <w:rFonts w:ascii="Arial Narrow" w:hAnsi="Arial Narrow" w:cs="Tahoma"/>
                <w:color w:val="000000"/>
                <w:sz w:val="18"/>
                <w:szCs w:val="18"/>
                <w:shd w:val="clear" w:color="auto" w:fill="FFFFFF"/>
              </w:rPr>
              <w:t>5</w:t>
            </w:r>
            <w:r w:rsidR="004D0905" w:rsidRPr="00173E7B">
              <w:rPr>
                <w:rFonts w:ascii="Arial Narrow" w:hAnsi="Arial Narrow" w:cs="Tahoma"/>
                <w:color w:val="000000"/>
                <w:sz w:val="18"/>
                <w:szCs w:val="18"/>
                <w:shd w:val="clear" w:color="auto" w:fill="FFFFFF"/>
              </w:rPr>
              <w:t xml:space="preserve"> </w:t>
            </w:r>
            <w:r w:rsidRPr="00173E7B">
              <w:rPr>
                <w:rFonts w:ascii="Arial Narrow" w:hAnsi="Arial Narrow" w:cs="Tahoma"/>
                <w:color w:val="000000"/>
                <w:sz w:val="18"/>
                <w:szCs w:val="18"/>
                <w:shd w:val="clear" w:color="auto" w:fill="FFFFFF"/>
              </w:rPr>
              <w:t>828</w:t>
            </w:r>
          </w:p>
        </w:tc>
        <w:tc>
          <w:tcPr>
            <w:tcW w:w="1560" w:type="dxa"/>
            <w:vAlign w:val="center"/>
          </w:tcPr>
          <w:p w14:paraId="56C15982"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3 157</w:t>
            </w:r>
          </w:p>
        </w:tc>
        <w:tc>
          <w:tcPr>
            <w:tcW w:w="1701" w:type="dxa"/>
            <w:vAlign w:val="bottom"/>
          </w:tcPr>
          <w:p w14:paraId="5293A2CC"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63 733</w:t>
            </w:r>
          </w:p>
        </w:tc>
      </w:tr>
      <w:tr w:rsidR="00D2079F" w:rsidRPr="00173E7B" w14:paraId="681CFECD" w14:textId="77777777" w:rsidTr="00D2079F">
        <w:trPr>
          <w:trHeight w:val="227"/>
        </w:trPr>
        <w:tc>
          <w:tcPr>
            <w:tcW w:w="1134" w:type="dxa"/>
            <w:shd w:val="clear" w:color="auto" w:fill="D9E2F3" w:themeFill="accent1" w:themeFillTint="33"/>
            <w:noWrap/>
            <w:vAlign w:val="center"/>
          </w:tcPr>
          <w:p w14:paraId="1F5481D4"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2021/2022</w:t>
            </w:r>
          </w:p>
        </w:tc>
        <w:tc>
          <w:tcPr>
            <w:tcW w:w="1422" w:type="dxa"/>
            <w:vAlign w:val="center"/>
          </w:tcPr>
          <w:p w14:paraId="08057244"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964 571</w:t>
            </w:r>
          </w:p>
        </w:tc>
        <w:tc>
          <w:tcPr>
            <w:tcW w:w="1584" w:type="dxa"/>
            <w:vAlign w:val="center"/>
          </w:tcPr>
          <w:p w14:paraId="53FD62C9"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934 028</w:t>
            </w:r>
          </w:p>
        </w:tc>
        <w:tc>
          <w:tcPr>
            <w:tcW w:w="1417" w:type="dxa"/>
            <w:vAlign w:val="center"/>
          </w:tcPr>
          <w:p w14:paraId="3AC388D2"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5 664</w:t>
            </w:r>
          </w:p>
        </w:tc>
        <w:tc>
          <w:tcPr>
            <w:tcW w:w="1560" w:type="dxa"/>
            <w:vAlign w:val="center"/>
          </w:tcPr>
          <w:p w14:paraId="7A64A4EC"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3 025</w:t>
            </w:r>
          </w:p>
        </w:tc>
        <w:tc>
          <w:tcPr>
            <w:tcW w:w="1701" w:type="dxa"/>
            <w:vAlign w:val="bottom"/>
          </w:tcPr>
          <w:p w14:paraId="0217DA43"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21 854</w:t>
            </w:r>
          </w:p>
        </w:tc>
      </w:tr>
      <w:tr w:rsidR="00D2079F" w:rsidRPr="00173E7B" w14:paraId="2AB2AD73" w14:textId="77777777" w:rsidTr="00D2079F">
        <w:trPr>
          <w:trHeight w:val="227"/>
        </w:trPr>
        <w:tc>
          <w:tcPr>
            <w:tcW w:w="1134" w:type="dxa"/>
            <w:shd w:val="clear" w:color="auto" w:fill="D9E2F3" w:themeFill="accent1" w:themeFillTint="33"/>
            <w:noWrap/>
            <w:vAlign w:val="center"/>
            <w:hideMark/>
          </w:tcPr>
          <w:p w14:paraId="3B67DCBC"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2020/2021</w:t>
            </w:r>
          </w:p>
        </w:tc>
        <w:tc>
          <w:tcPr>
            <w:tcW w:w="1422" w:type="dxa"/>
            <w:vAlign w:val="center"/>
            <w:hideMark/>
          </w:tcPr>
          <w:p w14:paraId="1A8BF61C"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962 348</w:t>
            </w:r>
          </w:p>
        </w:tc>
        <w:tc>
          <w:tcPr>
            <w:tcW w:w="1584" w:type="dxa"/>
            <w:vAlign w:val="center"/>
            <w:hideMark/>
          </w:tcPr>
          <w:p w14:paraId="066D5389"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933 968</w:t>
            </w:r>
          </w:p>
        </w:tc>
        <w:tc>
          <w:tcPr>
            <w:tcW w:w="1417" w:type="dxa"/>
            <w:vAlign w:val="center"/>
            <w:hideMark/>
          </w:tcPr>
          <w:p w14:paraId="2B2A6D90"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5 569</w:t>
            </w:r>
          </w:p>
        </w:tc>
        <w:tc>
          <w:tcPr>
            <w:tcW w:w="1560" w:type="dxa"/>
            <w:vAlign w:val="center"/>
            <w:hideMark/>
          </w:tcPr>
          <w:p w14:paraId="15B9E909"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2 930</w:t>
            </w:r>
          </w:p>
        </w:tc>
        <w:tc>
          <w:tcPr>
            <w:tcW w:w="1701" w:type="dxa"/>
            <w:vAlign w:val="bottom"/>
            <w:hideMark/>
          </w:tcPr>
          <w:p w14:paraId="182DA8D5"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19 881</w:t>
            </w:r>
          </w:p>
        </w:tc>
      </w:tr>
      <w:tr w:rsidR="00D2079F" w:rsidRPr="00173E7B" w14:paraId="49FEA36B" w14:textId="77777777" w:rsidTr="00D2079F">
        <w:trPr>
          <w:trHeight w:val="227"/>
        </w:trPr>
        <w:tc>
          <w:tcPr>
            <w:tcW w:w="1134" w:type="dxa"/>
            <w:shd w:val="clear" w:color="auto" w:fill="D9E2F3" w:themeFill="accent1" w:themeFillTint="33"/>
            <w:noWrap/>
            <w:vAlign w:val="center"/>
            <w:hideMark/>
          </w:tcPr>
          <w:p w14:paraId="23B4E5DA"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2019/2020</w:t>
            </w:r>
          </w:p>
        </w:tc>
        <w:tc>
          <w:tcPr>
            <w:tcW w:w="1422" w:type="dxa"/>
            <w:vAlign w:val="center"/>
            <w:hideMark/>
          </w:tcPr>
          <w:p w14:paraId="6DE2A433"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952 946</w:t>
            </w:r>
          </w:p>
        </w:tc>
        <w:tc>
          <w:tcPr>
            <w:tcW w:w="1584" w:type="dxa"/>
            <w:vAlign w:val="center"/>
            <w:hideMark/>
          </w:tcPr>
          <w:p w14:paraId="2AC227B9"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926 419</w:t>
            </w:r>
          </w:p>
        </w:tc>
        <w:tc>
          <w:tcPr>
            <w:tcW w:w="1417" w:type="dxa"/>
            <w:vAlign w:val="center"/>
            <w:hideMark/>
          </w:tcPr>
          <w:p w14:paraId="757AACF6"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5 418</w:t>
            </w:r>
          </w:p>
        </w:tc>
        <w:tc>
          <w:tcPr>
            <w:tcW w:w="1560" w:type="dxa"/>
            <w:vAlign w:val="center"/>
            <w:hideMark/>
          </w:tcPr>
          <w:p w14:paraId="7E4A4184"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2 907</w:t>
            </w:r>
          </w:p>
        </w:tc>
        <w:tc>
          <w:tcPr>
            <w:tcW w:w="1701" w:type="dxa"/>
            <w:vAlign w:val="bottom"/>
            <w:hideMark/>
          </w:tcPr>
          <w:p w14:paraId="01C05161"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18 202</w:t>
            </w:r>
          </w:p>
        </w:tc>
      </w:tr>
      <w:tr w:rsidR="00D2079F" w:rsidRPr="00173E7B" w14:paraId="617D615B" w14:textId="77777777" w:rsidTr="00D2079F">
        <w:trPr>
          <w:trHeight w:val="227"/>
        </w:trPr>
        <w:tc>
          <w:tcPr>
            <w:tcW w:w="1134" w:type="dxa"/>
            <w:shd w:val="clear" w:color="auto" w:fill="D9E2F3" w:themeFill="accent1" w:themeFillTint="33"/>
            <w:noWrap/>
            <w:vAlign w:val="center"/>
            <w:hideMark/>
          </w:tcPr>
          <w:p w14:paraId="48D02E05"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2018/2019</w:t>
            </w:r>
          </w:p>
        </w:tc>
        <w:tc>
          <w:tcPr>
            <w:tcW w:w="1422" w:type="dxa"/>
            <w:vAlign w:val="center"/>
            <w:hideMark/>
          </w:tcPr>
          <w:p w14:paraId="758240BE"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940 928</w:t>
            </w:r>
          </w:p>
        </w:tc>
        <w:tc>
          <w:tcPr>
            <w:tcW w:w="1584" w:type="dxa"/>
            <w:vAlign w:val="center"/>
            <w:hideMark/>
          </w:tcPr>
          <w:p w14:paraId="20FAAB71"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916 902</w:t>
            </w:r>
          </w:p>
        </w:tc>
        <w:tc>
          <w:tcPr>
            <w:tcW w:w="1417" w:type="dxa"/>
            <w:vAlign w:val="center"/>
            <w:hideMark/>
          </w:tcPr>
          <w:p w14:paraId="4B8FCF9D"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5 181</w:t>
            </w:r>
          </w:p>
        </w:tc>
        <w:tc>
          <w:tcPr>
            <w:tcW w:w="1560" w:type="dxa"/>
            <w:vAlign w:val="center"/>
            <w:hideMark/>
          </w:tcPr>
          <w:p w14:paraId="671C9166"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2 622</w:t>
            </w:r>
          </w:p>
        </w:tc>
        <w:tc>
          <w:tcPr>
            <w:tcW w:w="1701" w:type="dxa"/>
            <w:vAlign w:val="bottom"/>
            <w:hideMark/>
          </w:tcPr>
          <w:p w14:paraId="4E02EE50"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16 223</w:t>
            </w:r>
          </w:p>
        </w:tc>
      </w:tr>
      <w:tr w:rsidR="00D2079F" w:rsidRPr="00173E7B" w14:paraId="022D0D3D" w14:textId="77777777" w:rsidTr="00D2079F">
        <w:trPr>
          <w:trHeight w:val="227"/>
        </w:trPr>
        <w:tc>
          <w:tcPr>
            <w:tcW w:w="1134" w:type="dxa"/>
            <w:shd w:val="clear" w:color="auto" w:fill="D9E2F3" w:themeFill="accent1" w:themeFillTint="33"/>
            <w:noWrap/>
            <w:vAlign w:val="center"/>
            <w:hideMark/>
          </w:tcPr>
          <w:p w14:paraId="220CC849"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2017/2018</w:t>
            </w:r>
          </w:p>
        </w:tc>
        <w:tc>
          <w:tcPr>
            <w:tcW w:w="1422" w:type="dxa"/>
            <w:vAlign w:val="center"/>
            <w:hideMark/>
          </w:tcPr>
          <w:p w14:paraId="5F6C6565"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926 108</w:t>
            </w:r>
          </w:p>
        </w:tc>
        <w:tc>
          <w:tcPr>
            <w:tcW w:w="1584" w:type="dxa"/>
            <w:vAlign w:val="center"/>
            <w:hideMark/>
          </w:tcPr>
          <w:p w14:paraId="5C7ABB77"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904 116</w:t>
            </w:r>
          </w:p>
        </w:tc>
        <w:tc>
          <w:tcPr>
            <w:tcW w:w="1417" w:type="dxa"/>
            <w:vAlign w:val="center"/>
            <w:hideMark/>
          </w:tcPr>
          <w:p w14:paraId="6B76B405"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4 861</w:t>
            </w:r>
          </w:p>
        </w:tc>
        <w:tc>
          <w:tcPr>
            <w:tcW w:w="1560" w:type="dxa"/>
            <w:vAlign w:val="center"/>
            <w:hideMark/>
          </w:tcPr>
          <w:p w14:paraId="43E52452"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2 296</w:t>
            </w:r>
          </w:p>
        </w:tc>
        <w:tc>
          <w:tcPr>
            <w:tcW w:w="1701" w:type="dxa"/>
            <w:vAlign w:val="bottom"/>
            <w:hideMark/>
          </w:tcPr>
          <w:p w14:paraId="48AF250C"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14 835</w:t>
            </w:r>
          </w:p>
        </w:tc>
      </w:tr>
      <w:tr w:rsidR="00D2079F" w:rsidRPr="00173E7B" w14:paraId="2A09411A" w14:textId="77777777" w:rsidTr="00D2079F">
        <w:trPr>
          <w:trHeight w:val="227"/>
        </w:trPr>
        <w:tc>
          <w:tcPr>
            <w:tcW w:w="1134" w:type="dxa"/>
            <w:shd w:val="clear" w:color="auto" w:fill="D9E2F3" w:themeFill="accent1" w:themeFillTint="33"/>
            <w:noWrap/>
            <w:vAlign w:val="center"/>
            <w:hideMark/>
          </w:tcPr>
          <w:p w14:paraId="15618267"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2016/2017</w:t>
            </w:r>
          </w:p>
        </w:tc>
        <w:tc>
          <w:tcPr>
            <w:tcW w:w="1422" w:type="dxa"/>
            <w:vAlign w:val="center"/>
            <w:hideMark/>
          </w:tcPr>
          <w:p w14:paraId="58D46776"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906 188</w:t>
            </w:r>
          </w:p>
        </w:tc>
        <w:tc>
          <w:tcPr>
            <w:tcW w:w="1584" w:type="dxa"/>
            <w:vAlign w:val="center"/>
            <w:hideMark/>
          </w:tcPr>
          <w:p w14:paraId="6791F3A1"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885 951</w:t>
            </w:r>
          </w:p>
        </w:tc>
        <w:tc>
          <w:tcPr>
            <w:tcW w:w="1417" w:type="dxa"/>
            <w:vAlign w:val="center"/>
            <w:hideMark/>
          </w:tcPr>
          <w:p w14:paraId="653C588E"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4 505</w:t>
            </w:r>
          </w:p>
        </w:tc>
        <w:tc>
          <w:tcPr>
            <w:tcW w:w="1560" w:type="dxa"/>
            <w:vAlign w:val="center"/>
            <w:hideMark/>
          </w:tcPr>
          <w:p w14:paraId="571E1D18"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2 044</w:t>
            </w:r>
          </w:p>
        </w:tc>
        <w:tc>
          <w:tcPr>
            <w:tcW w:w="1701" w:type="dxa"/>
            <w:vAlign w:val="bottom"/>
            <w:hideMark/>
          </w:tcPr>
          <w:p w14:paraId="394F15EF"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13 688</w:t>
            </w:r>
          </w:p>
        </w:tc>
      </w:tr>
      <w:tr w:rsidR="00D2079F" w:rsidRPr="00173E7B" w14:paraId="3EF76DFA" w14:textId="77777777" w:rsidTr="00D2079F">
        <w:trPr>
          <w:trHeight w:val="227"/>
        </w:trPr>
        <w:tc>
          <w:tcPr>
            <w:tcW w:w="1134" w:type="dxa"/>
            <w:shd w:val="clear" w:color="auto" w:fill="D9E2F3" w:themeFill="accent1" w:themeFillTint="33"/>
            <w:noWrap/>
            <w:vAlign w:val="center"/>
            <w:hideMark/>
          </w:tcPr>
          <w:p w14:paraId="40133CAA"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2015/2016</w:t>
            </w:r>
          </w:p>
        </w:tc>
        <w:tc>
          <w:tcPr>
            <w:tcW w:w="1422" w:type="dxa"/>
            <w:vAlign w:val="center"/>
            <w:hideMark/>
          </w:tcPr>
          <w:p w14:paraId="3D0B24C4"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880 251</w:t>
            </w:r>
          </w:p>
        </w:tc>
        <w:tc>
          <w:tcPr>
            <w:tcW w:w="1584" w:type="dxa"/>
            <w:vAlign w:val="center"/>
            <w:hideMark/>
          </w:tcPr>
          <w:p w14:paraId="6F8E5954"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861 970</w:t>
            </w:r>
          </w:p>
        </w:tc>
        <w:tc>
          <w:tcPr>
            <w:tcW w:w="1417" w:type="dxa"/>
            <w:vAlign w:val="center"/>
            <w:hideMark/>
          </w:tcPr>
          <w:p w14:paraId="4305DB75"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4 112</w:t>
            </w:r>
          </w:p>
        </w:tc>
        <w:tc>
          <w:tcPr>
            <w:tcW w:w="1560" w:type="dxa"/>
            <w:vAlign w:val="center"/>
            <w:hideMark/>
          </w:tcPr>
          <w:p w14:paraId="52C0FFBA"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1 753</w:t>
            </w:r>
          </w:p>
        </w:tc>
        <w:tc>
          <w:tcPr>
            <w:tcW w:w="1701" w:type="dxa"/>
            <w:vAlign w:val="bottom"/>
            <w:hideMark/>
          </w:tcPr>
          <w:p w14:paraId="511F75CF"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12 416</w:t>
            </w:r>
          </w:p>
        </w:tc>
      </w:tr>
      <w:tr w:rsidR="00D2079F" w:rsidRPr="00173E7B" w14:paraId="0341C7ED" w14:textId="77777777" w:rsidTr="00D2079F">
        <w:trPr>
          <w:trHeight w:val="227"/>
        </w:trPr>
        <w:tc>
          <w:tcPr>
            <w:tcW w:w="1134" w:type="dxa"/>
            <w:shd w:val="clear" w:color="auto" w:fill="D9E2F3" w:themeFill="accent1" w:themeFillTint="33"/>
            <w:noWrap/>
            <w:vAlign w:val="center"/>
            <w:hideMark/>
          </w:tcPr>
          <w:p w14:paraId="3542D940"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2014/2015</w:t>
            </w:r>
          </w:p>
        </w:tc>
        <w:tc>
          <w:tcPr>
            <w:tcW w:w="1422" w:type="dxa"/>
            <w:vAlign w:val="center"/>
            <w:hideMark/>
          </w:tcPr>
          <w:p w14:paraId="60954663"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854 137</w:t>
            </w:r>
          </w:p>
        </w:tc>
        <w:tc>
          <w:tcPr>
            <w:tcW w:w="1584" w:type="dxa"/>
            <w:vAlign w:val="center"/>
            <w:hideMark/>
          </w:tcPr>
          <w:p w14:paraId="59BA3182"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837 660</w:t>
            </w:r>
          </w:p>
        </w:tc>
        <w:tc>
          <w:tcPr>
            <w:tcW w:w="1417" w:type="dxa"/>
            <w:vAlign w:val="center"/>
            <w:hideMark/>
          </w:tcPr>
          <w:p w14:paraId="570A377E"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3 775</w:t>
            </w:r>
          </w:p>
        </w:tc>
        <w:tc>
          <w:tcPr>
            <w:tcW w:w="1560" w:type="dxa"/>
            <w:vAlign w:val="center"/>
            <w:hideMark/>
          </w:tcPr>
          <w:p w14:paraId="3DFFD2DC"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1 559</w:t>
            </w:r>
          </w:p>
        </w:tc>
        <w:tc>
          <w:tcPr>
            <w:tcW w:w="1701" w:type="dxa"/>
            <w:vAlign w:val="bottom"/>
            <w:hideMark/>
          </w:tcPr>
          <w:p w14:paraId="1A4925F4"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11 143</w:t>
            </w:r>
          </w:p>
        </w:tc>
      </w:tr>
      <w:tr w:rsidR="00D2079F" w:rsidRPr="00173E7B" w14:paraId="4D791CD9" w14:textId="77777777" w:rsidTr="00D2079F">
        <w:trPr>
          <w:trHeight w:val="227"/>
        </w:trPr>
        <w:tc>
          <w:tcPr>
            <w:tcW w:w="1134" w:type="dxa"/>
            <w:shd w:val="clear" w:color="auto" w:fill="D9E2F3" w:themeFill="accent1" w:themeFillTint="33"/>
            <w:noWrap/>
            <w:vAlign w:val="center"/>
            <w:hideMark/>
          </w:tcPr>
          <w:p w14:paraId="0D9F911D"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2013/2014</w:t>
            </w:r>
          </w:p>
        </w:tc>
        <w:tc>
          <w:tcPr>
            <w:tcW w:w="1422" w:type="dxa"/>
            <w:vAlign w:val="center"/>
            <w:hideMark/>
          </w:tcPr>
          <w:p w14:paraId="3D8EB9FD"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827 654</w:t>
            </w:r>
          </w:p>
        </w:tc>
        <w:tc>
          <w:tcPr>
            <w:tcW w:w="1584" w:type="dxa"/>
            <w:vAlign w:val="center"/>
            <w:hideMark/>
          </w:tcPr>
          <w:p w14:paraId="2781EF16"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812 545</w:t>
            </w:r>
          </w:p>
        </w:tc>
        <w:tc>
          <w:tcPr>
            <w:tcW w:w="1417" w:type="dxa"/>
            <w:vAlign w:val="center"/>
            <w:hideMark/>
          </w:tcPr>
          <w:p w14:paraId="3EBDE01B"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3 439</w:t>
            </w:r>
          </w:p>
        </w:tc>
        <w:tc>
          <w:tcPr>
            <w:tcW w:w="1560" w:type="dxa"/>
            <w:vAlign w:val="center"/>
            <w:hideMark/>
          </w:tcPr>
          <w:p w14:paraId="154B3FBB"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1 413</w:t>
            </w:r>
          </w:p>
        </w:tc>
        <w:tc>
          <w:tcPr>
            <w:tcW w:w="1701" w:type="dxa"/>
            <w:vAlign w:val="bottom"/>
            <w:hideMark/>
          </w:tcPr>
          <w:p w14:paraId="02D8AD33"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10 257</w:t>
            </w:r>
          </w:p>
        </w:tc>
      </w:tr>
      <w:tr w:rsidR="00D2079F" w:rsidRPr="00173E7B" w14:paraId="37AA0974" w14:textId="77777777" w:rsidTr="00D2079F">
        <w:trPr>
          <w:trHeight w:val="227"/>
        </w:trPr>
        <w:tc>
          <w:tcPr>
            <w:tcW w:w="1134" w:type="dxa"/>
            <w:shd w:val="clear" w:color="auto" w:fill="D9E2F3" w:themeFill="accent1" w:themeFillTint="33"/>
            <w:noWrap/>
            <w:vAlign w:val="center"/>
            <w:hideMark/>
          </w:tcPr>
          <w:p w14:paraId="3A5487D4"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2012/2013</w:t>
            </w:r>
          </w:p>
        </w:tc>
        <w:tc>
          <w:tcPr>
            <w:tcW w:w="1422" w:type="dxa"/>
            <w:vAlign w:val="center"/>
            <w:hideMark/>
          </w:tcPr>
          <w:p w14:paraId="57EB9613"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807 950</w:t>
            </w:r>
          </w:p>
        </w:tc>
        <w:tc>
          <w:tcPr>
            <w:tcW w:w="1584" w:type="dxa"/>
            <w:vAlign w:val="center"/>
            <w:hideMark/>
          </w:tcPr>
          <w:p w14:paraId="03E92A60"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793 399</w:t>
            </w:r>
          </w:p>
        </w:tc>
        <w:tc>
          <w:tcPr>
            <w:tcW w:w="1417" w:type="dxa"/>
            <w:vAlign w:val="center"/>
            <w:hideMark/>
          </w:tcPr>
          <w:p w14:paraId="230B65B1"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3 285</w:t>
            </w:r>
          </w:p>
        </w:tc>
        <w:tc>
          <w:tcPr>
            <w:tcW w:w="1560" w:type="dxa"/>
            <w:vAlign w:val="center"/>
            <w:hideMark/>
          </w:tcPr>
          <w:p w14:paraId="0748EF5A"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1 186</w:t>
            </w:r>
          </w:p>
        </w:tc>
        <w:tc>
          <w:tcPr>
            <w:tcW w:w="1701" w:type="dxa"/>
            <w:vAlign w:val="bottom"/>
            <w:hideMark/>
          </w:tcPr>
          <w:p w14:paraId="1412FE14"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10 080</w:t>
            </w:r>
          </w:p>
        </w:tc>
      </w:tr>
      <w:tr w:rsidR="00D2079F" w:rsidRPr="00173E7B" w14:paraId="11BE2328" w14:textId="77777777" w:rsidTr="00D2079F">
        <w:trPr>
          <w:trHeight w:val="227"/>
        </w:trPr>
        <w:tc>
          <w:tcPr>
            <w:tcW w:w="1134" w:type="dxa"/>
            <w:shd w:val="clear" w:color="auto" w:fill="D9E2F3" w:themeFill="accent1" w:themeFillTint="33"/>
            <w:noWrap/>
            <w:vAlign w:val="center"/>
            <w:hideMark/>
          </w:tcPr>
          <w:p w14:paraId="113965DC"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2011/2012</w:t>
            </w:r>
          </w:p>
        </w:tc>
        <w:tc>
          <w:tcPr>
            <w:tcW w:w="1422" w:type="dxa"/>
            <w:vAlign w:val="center"/>
            <w:hideMark/>
          </w:tcPr>
          <w:p w14:paraId="62055DAB"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794 642</w:t>
            </w:r>
          </w:p>
        </w:tc>
        <w:tc>
          <w:tcPr>
            <w:tcW w:w="1584" w:type="dxa"/>
            <w:vAlign w:val="center"/>
            <w:hideMark/>
          </w:tcPr>
          <w:p w14:paraId="02E76488"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780 298</w:t>
            </w:r>
          </w:p>
        </w:tc>
        <w:tc>
          <w:tcPr>
            <w:tcW w:w="1417" w:type="dxa"/>
            <w:vAlign w:val="center"/>
            <w:hideMark/>
          </w:tcPr>
          <w:p w14:paraId="02086F1B"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3 161</w:t>
            </w:r>
          </w:p>
        </w:tc>
        <w:tc>
          <w:tcPr>
            <w:tcW w:w="1560" w:type="dxa"/>
            <w:vAlign w:val="center"/>
            <w:hideMark/>
          </w:tcPr>
          <w:p w14:paraId="189B0D0B"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1 076</w:t>
            </w:r>
          </w:p>
        </w:tc>
        <w:tc>
          <w:tcPr>
            <w:tcW w:w="1701" w:type="dxa"/>
            <w:vAlign w:val="bottom"/>
            <w:hideMark/>
          </w:tcPr>
          <w:p w14:paraId="0F502C3F"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10 107</w:t>
            </w:r>
          </w:p>
        </w:tc>
      </w:tr>
      <w:tr w:rsidR="00D2079F" w:rsidRPr="00173E7B" w14:paraId="18653B95" w14:textId="77777777" w:rsidTr="00D2079F">
        <w:trPr>
          <w:trHeight w:val="227"/>
        </w:trPr>
        <w:tc>
          <w:tcPr>
            <w:tcW w:w="1134" w:type="dxa"/>
            <w:shd w:val="clear" w:color="auto" w:fill="D9E2F3" w:themeFill="accent1" w:themeFillTint="33"/>
            <w:noWrap/>
            <w:vAlign w:val="center"/>
            <w:hideMark/>
          </w:tcPr>
          <w:p w14:paraId="465774A4"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2010/2011</w:t>
            </w:r>
          </w:p>
        </w:tc>
        <w:tc>
          <w:tcPr>
            <w:tcW w:w="1422" w:type="dxa"/>
            <w:vAlign w:val="center"/>
            <w:hideMark/>
          </w:tcPr>
          <w:p w14:paraId="24228753"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789 486</w:t>
            </w:r>
          </w:p>
        </w:tc>
        <w:tc>
          <w:tcPr>
            <w:tcW w:w="1584" w:type="dxa"/>
            <w:vAlign w:val="center"/>
            <w:hideMark/>
          </w:tcPr>
          <w:p w14:paraId="5BAE30F3"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775 377</w:t>
            </w:r>
          </w:p>
        </w:tc>
        <w:tc>
          <w:tcPr>
            <w:tcW w:w="1417" w:type="dxa"/>
            <w:vAlign w:val="center"/>
            <w:hideMark/>
          </w:tcPr>
          <w:p w14:paraId="4498C427"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2 905</w:t>
            </w:r>
          </w:p>
        </w:tc>
        <w:tc>
          <w:tcPr>
            <w:tcW w:w="1560" w:type="dxa"/>
            <w:vAlign w:val="center"/>
            <w:hideMark/>
          </w:tcPr>
          <w:p w14:paraId="33A9D8E5"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1 009</w:t>
            </w:r>
          </w:p>
        </w:tc>
        <w:tc>
          <w:tcPr>
            <w:tcW w:w="1701" w:type="dxa"/>
            <w:vAlign w:val="bottom"/>
            <w:hideMark/>
          </w:tcPr>
          <w:p w14:paraId="15F2A309"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10 195</w:t>
            </w:r>
          </w:p>
        </w:tc>
      </w:tr>
      <w:tr w:rsidR="00D2079F" w:rsidRPr="00173E7B" w14:paraId="1AFA0C75" w14:textId="77777777" w:rsidTr="00D2079F">
        <w:trPr>
          <w:trHeight w:val="227"/>
        </w:trPr>
        <w:tc>
          <w:tcPr>
            <w:tcW w:w="1134" w:type="dxa"/>
            <w:shd w:val="clear" w:color="auto" w:fill="D9E2F3" w:themeFill="accent1" w:themeFillTint="33"/>
            <w:noWrap/>
            <w:vAlign w:val="center"/>
            <w:hideMark/>
          </w:tcPr>
          <w:p w14:paraId="7EAB7627"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2009/2010</w:t>
            </w:r>
          </w:p>
        </w:tc>
        <w:tc>
          <w:tcPr>
            <w:tcW w:w="1422" w:type="dxa"/>
            <w:vAlign w:val="center"/>
            <w:hideMark/>
          </w:tcPr>
          <w:p w14:paraId="12E0AAC2"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794 459</w:t>
            </w:r>
          </w:p>
        </w:tc>
        <w:tc>
          <w:tcPr>
            <w:tcW w:w="1584" w:type="dxa"/>
            <w:vAlign w:val="center"/>
            <w:hideMark/>
          </w:tcPr>
          <w:p w14:paraId="5003A03A"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780 620</w:t>
            </w:r>
          </w:p>
        </w:tc>
        <w:tc>
          <w:tcPr>
            <w:tcW w:w="1417" w:type="dxa"/>
            <w:vAlign w:val="center"/>
            <w:hideMark/>
          </w:tcPr>
          <w:p w14:paraId="3626C369"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2 805</w:t>
            </w:r>
          </w:p>
        </w:tc>
        <w:tc>
          <w:tcPr>
            <w:tcW w:w="1560" w:type="dxa"/>
            <w:vAlign w:val="center"/>
            <w:hideMark/>
          </w:tcPr>
          <w:p w14:paraId="08237408"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976</w:t>
            </w:r>
          </w:p>
        </w:tc>
        <w:tc>
          <w:tcPr>
            <w:tcW w:w="1701" w:type="dxa"/>
            <w:vAlign w:val="bottom"/>
            <w:hideMark/>
          </w:tcPr>
          <w:p w14:paraId="53270510"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10 058</w:t>
            </w:r>
          </w:p>
        </w:tc>
      </w:tr>
      <w:tr w:rsidR="00D2079F" w:rsidRPr="00173E7B" w14:paraId="62A94069" w14:textId="77777777" w:rsidTr="00D2079F">
        <w:trPr>
          <w:trHeight w:val="227"/>
        </w:trPr>
        <w:tc>
          <w:tcPr>
            <w:tcW w:w="1134" w:type="dxa"/>
            <w:shd w:val="clear" w:color="auto" w:fill="D9E2F3" w:themeFill="accent1" w:themeFillTint="33"/>
            <w:noWrap/>
            <w:vAlign w:val="center"/>
            <w:hideMark/>
          </w:tcPr>
          <w:p w14:paraId="05BCAF96"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2008/2009</w:t>
            </w:r>
          </w:p>
        </w:tc>
        <w:tc>
          <w:tcPr>
            <w:tcW w:w="1422" w:type="dxa"/>
            <w:vAlign w:val="center"/>
            <w:hideMark/>
          </w:tcPr>
          <w:p w14:paraId="32A8C11E"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816 015</w:t>
            </w:r>
          </w:p>
        </w:tc>
        <w:tc>
          <w:tcPr>
            <w:tcW w:w="1584" w:type="dxa"/>
            <w:vAlign w:val="center"/>
            <w:hideMark/>
          </w:tcPr>
          <w:p w14:paraId="0F057B83"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802 432</w:t>
            </w:r>
          </w:p>
        </w:tc>
        <w:tc>
          <w:tcPr>
            <w:tcW w:w="1417" w:type="dxa"/>
            <w:vAlign w:val="center"/>
            <w:hideMark/>
          </w:tcPr>
          <w:p w14:paraId="605FFB5F"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2 729</w:t>
            </w:r>
          </w:p>
        </w:tc>
        <w:tc>
          <w:tcPr>
            <w:tcW w:w="1560" w:type="dxa"/>
            <w:vAlign w:val="center"/>
            <w:hideMark/>
          </w:tcPr>
          <w:p w14:paraId="5D3B60D9"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962</w:t>
            </w:r>
          </w:p>
        </w:tc>
        <w:tc>
          <w:tcPr>
            <w:tcW w:w="1701" w:type="dxa"/>
            <w:vAlign w:val="bottom"/>
            <w:hideMark/>
          </w:tcPr>
          <w:p w14:paraId="49FF4FE7"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9 892</w:t>
            </w:r>
          </w:p>
        </w:tc>
      </w:tr>
      <w:tr w:rsidR="00D2079F" w:rsidRPr="00173E7B" w14:paraId="55B4C43F" w14:textId="77777777" w:rsidTr="00D2079F">
        <w:trPr>
          <w:trHeight w:val="227"/>
        </w:trPr>
        <w:tc>
          <w:tcPr>
            <w:tcW w:w="1134" w:type="dxa"/>
            <w:shd w:val="clear" w:color="auto" w:fill="D9E2F3" w:themeFill="accent1" w:themeFillTint="33"/>
            <w:noWrap/>
            <w:vAlign w:val="center"/>
            <w:hideMark/>
          </w:tcPr>
          <w:p w14:paraId="1218E0C7"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2007/2008</w:t>
            </w:r>
          </w:p>
        </w:tc>
        <w:tc>
          <w:tcPr>
            <w:tcW w:w="1422" w:type="dxa"/>
            <w:vAlign w:val="center"/>
            <w:hideMark/>
          </w:tcPr>
          <w:p w14:paraId="5F73E398"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844 863</w:t>
            </w:r>
          </w:p>
        </w:tc>
        <w:tc>
          <w:tcPr>
            <w:tcW w:w="1584" w:type="dxa"/>
            <w:vAlign w:val="center"/>
            <w:hideMark/>
          </w:tcPr>
          <w:p w14:paraId="7BEF2BFC"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831 900</w:t>
            </w:r>
          </w:p>
        </w:tc>
        <w:tc>
          <w:tcPr>
            <w:tcW w:w="1417" w:type="dxa"/>
            <w:vAlign w:val="center"/>
            <w:hideMark/>
          </w:tcPr>
          <w:p w14:paraId="217766B9"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2 455</w:t>
            </w:r>
          </w:p>
        </w:tc>
        <w:tc>
          <w:tcPr>
            <w:tcW w:w="1560" w:type="dxa"/>
            <w:vAlign w:val="center"/>
            <w:hideMark/>
          </w:tcPr>
          <w:p w14:paraId="7CAC8A90"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851</w:t>
            </w:r>
          </w:p>
        </w:tc>
        <w:tc>
          <w:tcPr>
            <w:tcW w:w="1701" w:type="dxa"/>
            <w:vAlign w:val="bottom"/>
            <w:hideMark/>
          </w:tcPr>
          <w:p w14:paraId="024CC1D5"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9 657</w:t>
            </w:r>
          </w:p>
        </w:tc>
      </w:tr>
      <w:tr w:rsidR="00D2079F" w:rsidRPr="00173E7B" w14:paraId="51BA0F09" w14:textId="77777777" w:rsidTr="00D2079F">
        <w:trPr>
          <w:trHeight w:val="227"/>
        </w:trPr>
        <w:tc>
          <w:tcPr>
            <w:tcW w:w="1134" w:type="dxa"/>
            <w:shd w:val="clear" w:color="auto" w:fill="D9E2F3" w:themeFill="accent1" w:themeFillTint="33"/>
            <w:noWrap/>
            <w:vAlign w:val="center"/>
            <w:hideMark/>
          </w:tcPr>
          <w:p w14:paraId="12D983C0"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2006/2007</w:t>
            </w:r>
          </w:p>
        </w:tc>
        <w:tc>
          <w:tcPr>
            <w:tcW w:w="1422" w:type="dxa"/>
            <w:vAlign w:val="center"/>
            <w:hideMark/>
          </w:tcPr>
          <w:p w14:paraId="3DA02595"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876 513</w:t>
            </w:r>
          </w:p>
        </w:tc>
        <w:tc>
          <w:tcPr>
            <w:tcW w:w="1584" w:type="dxa"/>
            <w:vAlign w:val="center"/>
            <w:hideMark/>
          </w:tcPr>
          <w:p w14:paraId="43CE8DE2"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864 009</w:t>
            </w:r>
          </w:p>
        </w:tc>
        <w:tc>
          <w:tcPr>
            <w:tcW w:w="1417" w:type="dxa"/>
            <w:vAlign w:val="center"/>
            <w:hideMark/>
          </w:tcPr>
          <w:p w14:paraId="6625FF40"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2 266</w:t>
            </w:r>
          </w:p>
        </w:tc>
        <w:tc>
          <w:tcPr>
            <w:tcW w:w="1560" w:type="dxa"/>
            <w:vAlign w:val="center"/>
            <w:hideMark/>
          </w:tcPr>
          <w:p w14:paraId="5ABE2685"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549</w:t>
            </w:r>
          </w:p>
        </w:tc>
        <w:tc>
          <w:tcPr>
            <w:tcW w:w="1701" w:type="dxa"/>
            <w:vAlign w:val="bottom"/>
            <w:hideMark/>
          </w:tcPr>
          <w:p w14:paraId="4BD8A836"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9 689</w:t>
            </w:r>
          </w:p>
        </w:tc>
      </w:tr>
      <w:tr w:rsidR="00D2079F" w:rsidRPr="00173E7B" w14:paraId="5B4F5FDC" w14:textId="77777777" w:rsidTr="00D2079F">
        <w:trPr>
          <w:trHeight w:val="227"/>
        </w:trPr>
        <w:tc>
          <w:tcPr>
            <w:tcW w:w="1134" w:type="dxa"/>
            <w:shd w:val="clear" w:color="auto" w:fill="D9E2F3" w:themeFill="accent1" w:themeFillTint="33"/>
            <w:noWrap/>
            <w:vAlign w:val="center"/>
            <w:hideMark/>
          </w:tcPr>
          <w:p w14:paraId="69DFA9ED" w14:textId="77777777" w:rsidR="00D2079F" w:rsidRPr="00173E7B" w:rsidRDefault="00D2079F"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2005/2006</w:t>
            </w:r>
          </w:p>
        </w:tc>
        <w:tc>
          <w:tcPr>
            <w:tcW w:w="1422" w:type="dxa"/>
            <w:vAlign w:val="center"/>
            <w:hideMark/>
          </w:tcPr>
          <w:p w14:paraId="4486EB40"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916 575</w:t>
            </w:r>
          </w:p>
        </w:tc>
        <w:tc>
          <w:tcPr>
            <w:tcW w:w="1584" w:type="dxa"/>
            <w:vAlign w:val="center"/>
            <w:hideMark/>
          </w:tcPr>
          <w:p w14:paraId="06FBBD49"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904 296</w:t>
            </w:r>
          </w:p>
        </w:tc>
        <w:tc>
          <w:tcPr>
            <w:tcW w:w="1417" w:type="dxa"/>
            <w:vAlign w:val="center"/>
            <w:hideMark/>
          </w:tcPr>
          <w:p w14:paraId="0299547E"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2 074</w:t>
            </w:r>
          </w:p>
        </w:tc>
        <w:tc>
          <w:tcPr>
            <w:tcW w:w="1560" w:type="dxa"/>
            <w:vAlign w:val="center"/>
            <w:hideMark/>
          </w:tcPr>
          <w:p w14:paraId="4F4B1760" w14:textId="77777777" w:rsidR="00D2079F" w:rsidRPr="00173E7B" w:rsidRDefault="00D2079F"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542</w:t>
            </w:r>
          </w:p>
        </w:tc>
        <w:tc>
          <w:tcPr>
            <w:tcW w:w="1701" w:type="dxa"/>
            <w:vAlign w:val="bottom"/>
            <w:hideMark/>
          </w:tcPr>
          <w:p w14:paraId="0ECCA129" w14:textId="77777777" w:rsidR="00D2079F" w:rsidRPr="00173E7B" w:rsidRDefault="00D2079F" w:rsidP="004A0C47">
            <w:pPr>
              <w:jc w:val="center"/>
              <w:rPr>
                <w:rFonts w:ascii="Arial Narrow" w:hAnsi="Arial Narrow" w:cs="Tahoma"/>
                <w:sz w:val="18"/>
                <w:szCs w:val="18"/>
              </w:rPr>
            </w:pPr>
            <w:r w:rsidRPr="00173E7B">
              <w:rPr>
                <w:rFonts w:ascii="Arial Narrow" w:hAnsi="Arial Narrow" w:cs="Tahoma"/>
                <w:sz w:val="18"/>
                <w:szCs w:val="18"/>
              </w:rPr>
              <w:t>9 663</w:t>
            </w:r>
          </w:p>
        </w:tc>
      </w:tr>
    </w:tbl>
    <w:p w14:paraId="467278AC" w14:textId="258036B2" w:rsidR="008212B7" w:rsidRPr="00173E7B" w:rsidRDefault="00E568AB" w:rsidP="004D0905">
      <w:pPr>
        <w:spacing w:after="240" w:line="276" w:lineRule="auto"/>
        <w:rPr>
          <w:rFonts w:ascii="Arial Narrow" w:eastAsia="Calibri" w:hAnsi="Arial Narrow"/>
          <w:bCs/>
        </w:rPr>
      </w:pPr>
      <w:r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t xml:space="preserve">         </w:t>
      </w:r>
      <w:r w:rsidRPr="00173E7B">
        <w:rPr>
          <w:rFonts w:ascii="Arial Narrow" w:hAnsi="Arial Narrow"/>
          <w:sz w:val="20"/>
          <w:szCs w:val="20"/>
        </w:rPr>
        <w:t xml:space="preserve">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6FE5181D" w14:textId="512D0054" w:rsidR="00DD4C92" w:rsidRPr="00173E7B" w:rsidRDefault="00F1264F" w:rsidP="008212B7">
      <w:pPr>
        <w:spacing w:after="120" w:line="276" w:lineRule="auto"/>
        <w:jc w:val="both"/>
        <w:rPr>
          <w:rFonts w:ascii="Arial Narrow" w:hAnsi="Arial Narrow"/>
        </w:rPr>
      </w:pPr>
      <w:r w:rsidRPr="00173E7B">
        <w:rPr>
          <w:rFonts w:ascii="Arial Narrow" w:hAnsi="Arial Narrow"/>
        </w:rPr>
        <w:lastRenderedPageBreak/>
        <w:t xml:space="preserve">Žáci </w:t>
      </w:r>
      <w:r w:rsidR="00DD4C92" w:rsidRPr="00173E7B">
        <w:rPr>
          <w:rFonts w:ascii="Arial Narrow" w:hAnsi="Arial Narrow"/>
        </w:rPr>
        <w:t xml:space="preserve">základních škol </w:t>
      </w:r>
      <w:r w:rsidR="00DD4C92" w:rsidRPr="00173E7B">
        <w:rPr>
          <w:rFonts w:ascii="Arial Narrow" w:hAnsi="Arial Narrow"/>
          <w:bCs/>
        </w:rPr>
        <w:t xml:space="preserve">s jinou než českou státní příslušností </w:t>
      </w:r>
      <w:r w:rsidRPr="00173E7B">
        <w:rPr>
          <w:rFonts w:ascii="Arial Narrow" w:hAnsi="Arial Narrow"/>
        </w:rPr>
        <w:t xml:space="preserve">mají přístup ke vzdělávání a školským službám podle školského zákona v ČR za stejných podmínek jako občané ČR (nečiní se rozdíl v poskytování vzdělávání mezi žáky ze zemí EU, ze třetích zemí nebo podle formy pobytu). </w:t>
      </w:r>
    </w:p>
    <w:p w14:paraId="029D6575" w14:textId="77777777" w:rsidR="004D0905" w:rsidRPr="00173E7B" w:rsidRDefault="004D0905" w:rsidP="004D0905">
      <w:pPr>
        <w:spacing w:after="240" w:line="276" w:lineRule="auto"/>
        <w:jc w:val="both"/>
        <w:rPr>
          <w:rFonts w:ascii="Arial Narrow" w:hAnsi="Arial Narrow"/>
          <w:bCs/>
        </w:rPr>
      </w:pPr>
      <w:bookmarkStart w:id="224" w:name="_Hlk92288857"/>
      <w:r w:rsidRPr="00173E7B">
        <w:rPr>
          <w:rFonts w:ascii="Arial Narrow" w:hAnsi="Arial Narrow"/>
          <w:bCs/>
        </w:rPr>
        <w:t xml:space="preserve">Ve školním roce 2022/2023 navštěvovalo školní zařízení 72 748 žáků s jiným než českým občanstvím. </w:t>
      </w:r>
      <w:r w:rsidRPr="00173E7B">
        <w:rPr>
          <w:rFonts w:ascii="Arial Narrow" w:hAnsi="Arial Narrow"/>
          <w:b/>
        </w:rPr>
        <w:t>Jedná se o zhruba 138% nárůst počtu dětí s jinou než českou státní příslušností v mateřských školách oproti školnímu roku 2021/2022.</w:t>
      </w:r>
      <w:r w:rsidRPr="00173E7B">
        <w:rPr>
          <w:rFonts w:ascii="Arial Narrow" w:hAnsi="Arial Narrow"/>
          <w:bCs/>
        </w:rPr>
        <w:t xml:space="preserve"> Počet žáků s trvalým pobytem nezaznamenal významných změn. </w:t>
      </w:r>
      <w:bookmarkStart w:id="225" w:name="_Hlk95486775"/>
      <w:r w:rsidRPr="00173E7B">
        <w:rPr>
          <w:rFonts w:ascii="Arial Narrow" w:hAnsi="Arial Narrow"/>
          <w:bCs/>
        </w:rPr>
        <w:t xml:space="preserve">Oproti školnímu roku 2021/2022 došlo nicméně k mimořádnému nárůstu počtu žáku se statusem azylanta (osoby požívající doplňkové ochrany). </w:t>
      </w:r>
      <w:r w:rsidRPr="00173E7B">
        <w:rPr>
          <w:rFonts w:ascii="Arial Narrow" w:hAnsi="Arial Narrow"/>
          <w:b/>
        </w:rPr>
        <w:t>V předchozím roce činil počet azylantů na ZŠ 275 dětí v současném školním roce to je 39 557 žáků.</w:t>
      </w:r>
      <w:r w:rsidRPr="00173E7B">
        <w:rPr>
          <w:rFonts w:ascii="Arial Narrow" w:hAnsi="Arial Narrow"/>
          <w:bCs/>
        </w:rPr>
        <w:t xml:space="preserve"> Zvýšený počet azylantů v předškolním vzdělávání prakticky odpovídá nárůstu počtu cizinců v tomto stupni vzdělávání a vyskytuje se v drtivé většině případů u žáků s ukrajinským občanstvím.</w:t>
      </w:r>
    </w:p>
    <w:bookmarkEnd w:id="225"/>
    <w:p w14:paraId="0859BBD2" w14:textId="08282D87" w:rsidR="00794665" w:rsidRPr="00173E7B" w:rsidRDefault="004D0905" w:rsidP="006955D2">
      <w:pPr>
        <w:spacing w:after="240" w:line="276" w:lineRule="auto"/>
        <w:jc w:val="both"/>
        <w:rPr>
          <w:rFonts w:ascii="Arial Narrow" w:hAnsi="Arial Narrow"/>
          <w:bCs/>
        </w:rPr>
      </w:pPr>
      <w:r w:rsidRPr="00173E7B">
        <w:rPr>
          <w:rFonts w:ascii="Arial Narrow" w:hAnsi="Arial Narrow"/>
          <w:bCs/>
        </w:rPr>
        <w:t xml:space="preserve">Nárůst počtu dětí s jinou než českou státní příslušností v základním vzdělávání je tvořen prakticky výhradně větším počtem dětí s ukrajinskou státní příslušností. U ostatních státních příslušníků je situace poměrně stabilní nebo vykazuje mírný vzestup. Zatímco ve školním roce 2021/2022 navštěvovalo základní školy pouze 63 azylantů s ukrajinskou státní příslušností ve školním roce 2022/2023 je to 39 478. Určitý nárůst je patrný i v počtu ukrajinských dětí s trvalým pobytem, kdy ve školním roce 2021/2022 navštěvovalo ZŠ 7 305 ukrajinských dětí a ve školním roce 2022/2023 celkem 7 880. Vlivem příchodu většího počtu osob s ukrajinskou státní příslušností v důsledku války na Ukrajině došlo i k výrazným proměnám podílu Ukrajinských žáků na celkovém počtu žáků s jinou než českou státní příslušností na základních školách. </w:t>
      </w:r>
      <w:r w:rsidRPr="00173E7B">
        <w:rPr>
          <w:rFonts w:ascii="Arial Narrow" w:hAnsi="Arial Narrow"/>
          <w:b/>
        </w:rPr>
        <w:t>Zatímco ve školním roce 2022 tvořili ukrajinští žáci 29,6 % všech žáků s jinou než českou státní příslušností ve školním roce 2022/2023 to bylo již 69,9 %.</w:t>
      </w:r>
      <w:r w:rsidR="006955D2" w:rsidRPr="00173E7B">
        <w:rPr>
          <w:rFonts w:ascii="Arial Narrow" w:hAnsi="Arial Narrow"/>
          <w:bCs/>
        </w:rPr>
        <w:t xml:space="preserve"> </w:t>
      </w:r>
      <w:r w:rsidR="00BF0DF0" w:rsidRPr="00173E7B">
        <w:rPr>
          <w:rFonts w:ascii="Arial Narrow" w:hAnsi="Arial Narrow"/>
          <w:bCs/>
          <w:color w:val="000000" w:themeColor="text1"/>
        </w:rPr>
        <w:t>Rozdělení žáků s jiným než českým občanstvím ve školním roce 202</w:t>
      </w:r>
      <w:r w:rsidRPr="00173E7B">
        <w:rPr>
          <w:rFonts w:ascii="Arial Narrow" w:hAnsi="Arial Narrow"/>
          <w:bCs/>
          <w:color w:val="000000" w:themeColor="text1"/>
        </w:rPr>
        <w:t>2</w:t>
      </w:r>
      <w:r w:rsidR="00BF0DF0" w:rsidRPr="00173E7B">
        <w:rPr>
          <w:rFonts w:ascii="Arial Narrow" w:hAnsi="Arial Narrow"/>
          <w:bCs/>
          <w:color w:val="000000" w:themeColor="text1"/>
        </w:rPr>
        <w:t>/202</w:t>
      </w:r>
      <w:r w:rsidRPr="00173E7B">
        <w:rPr>
          <w:rFonts w:ascii="Arial Narrow" w:hAnsi="Arial Narrow"/>
          <w:bCs/>
          <w:color w:val="000000" w:themeColor="text1"/>
        </w:rPr>
        <w:t>3</w:t>
      </w:r>
      <w:r w:rsidR="00BF0DF0" w:rsidRPr="00173E7B">
        <w:rPr>
          <w:rFonts w:ascii="Arial Narrow" w:hAnsi="Arial Narrow"/>
          <w:bCs/>
          <w:color w:val="000000" w:themeColor="text1"/>
        </w:rPr>
        <w:t xml:space="preserve"> podrobně dokumentuje následující graf</w:t>
      </w:r>
      <w:r w:rsidR="006955D2" w:rsidRPr="00173E7B">
        <w:rPr>
          <w:rFonts w:ascii="Arial Narrow" w:hAnsi="Arial Narrow"/>
          <w:bCs/>
          <w:color w:val="000000" w:themeColor="text1"/>
        </w:rPr>
        <w:t xml:space="preserve"> č. 33</w:t>
      </w:r>
      <w:r w:rsidR="00BF0DF0" w:rsidRPr="00173E7B">
        <w:rPr>
          <w:rFonts w:ascii="Arial Narrow" w:hAnsi="Arial Narrow"/>
          <w:bCs/>
          <w:color w:val="000000" w:themeColor="text1"/>
        </w:rPr>
        <w:t>.</w:t>
      </w:r>
    </w:p>
    <w:p w14:paraId="5DA445A5" w14:textId="65A7FE43" w:rsidR="00794665" w:rsidRPr="00173E7B" w:rsidRDefault="00794665" w:rsidP="00794665">
      <w:pPr>
        <w:pStyle w:val="Titulek"/>
        <w:keepNext/>
        <w:spacing w:after="0"/>
        <w:jc w:val="both"/>
        <w:rPr>
          <w:rFonts w:ascii="Arial Narrow" w:hAnsi="Arial Narrow"/>
          <w:color w:val="auto"/>
          <w:sz w:val="20"/>
          <w:szCs w:val="20"/>
        </w:rPr>
      </w:pPr>
      <w:bookmarkStart w:id="226" w:name="_Toc94443737"/>
      <w:bookmarkStart w:id="227" w:name="_Toc136428877"/>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33</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xml:space="preserve">: Státní </w:t>
      </w:r>
      <w:r w:rsidR="006747FE" w:rsidRPr="00173E7B">
        <w:rPr>
          <w:rFonts w:ascii="Arial Narrow" w:hAnsi="Arial Narrow"/>
          <w:color w:val="auto"/>
          <w:sz w:val="20"/>
          <w:szCs w:val="20"/>
        </w:rPr>
        <w:t>příslušnost</w:t>
      </w:r>
      <w:r w:rsidRPr="00173E7B">
        <w:rPr>
          <w:rFonts w:ascii="Arial Narrow" w:hAnsi="Arial Narrow"/>
          <w:color w:val="auto"/>
          <w:sz w:val="20"/>
          <w:szCs w:val="20"/>
        </w:rPr>
        <w:t xml:space="preserve"> žáků ZŠ </w:t>
      </w:r>
      <w:r w:rsidR="00DD4C92" w:rsidRPr="00173E7B">
        <w:rPr>
          <w:rFonts w:ascii="Arial Narrow" w:hAnsi="Arial Narrow"/>
          <w:color w:val="auto"/>
          <w:sz w:val="20"/>
          <w:szCs w:val="20"/>
        </w:rPr>
        <w:t>s</w:t>
      </w:r>
      <w:r w:rsidR="00DD4C92" w:rsidRPr="00173E7B">
        <w:rPr>
          <w:rFonts w:ascii="Arial Narrow" w:hAnsi="Arial Narrow"/>
          <w:bCs w:val="0"/>
          <w:color w:val="auto"/>
          <w:sz w:val="20"/>
          <w:szCs w:val="20"/>
        </w:rPr>
        <w:t> </w:t>
      </w:r>
      <w:r w:rsidR="00DD4C92" w:rsidRPr="00173E7B">
        <w:rPr>
          <w:rFonts w:ascii="Arial Narrow" w:hAnsi="Arial Narrow"/>
          <w:color w:val="auto"/>
          <w:sz w:val="20"/>
          <w:szCs w:val="20"/>
        </w:rPr>
        <w:t>jin</w:t>
      </w:r>
      <w:r w:rsidR="00DD4C92" w:rsidRPr="00173E7B">
        <w:rPr>
          <w:rFonts w:ascii="Arial Narrow" w:hAnsi="Arial Narrow"/>
          <w:bCs w:val="0"/>
          <w:color w:val="auto"/>
          <w:sz w:val="20"/>
          <w:szCs w:val="20"/>
        </w:rPr>
        <w:t>ou než českou státní příslušností</w:t>
      </w:r>
      <w:r w:rsidR="00DD4C92" w:rsidRPr="00173E7B">
        <w:rPr>
          <w:rFonts w:ascii="Arial Narrow" w:hAnsi="Arial Narrow"/>
          <w:color w:val="auto"/>
          <w:sz w:val="20"/>
          <w:szCs w:val="20"/>
        </w:rPr>
        <w:t xml:space="preserve"> </w:t>
      </w:r>
      <w:r w:rsidRPr="00173E7B">
        <w:rPr>
          <w:rFonts w:ascii="Arial Narrow" w:hAnsi="Arial Narrow"/>
          <w:color w:val="auto"/>
          <w:sz w:val="20"/>
          <w:szCs w:val="20"/>
        </w:rPr>
        <w:t>ve školním roce 202</w:t>
      </w:r>
      <w:r w:rsidR="004D0905" w:rsidRPr="00173E7B">
        <w:rPr>
          <w:rFonts w:ascii="Arial Narrow" w:hAnsi="Arial Narrow"/>
          <w:color w:val="auto"/>
          <w:sz w:val="20"/>
          <w:szCs w:val="20"/>
        </w:rPr>
        <w:t>2</w:t>
      </w:r>
      <w:r w:rsidRPr="00173E7B">
        <w:rPr>
          <w:rFonts w:ascii="Arial Narrow" w:hAnsi="Arial Narrow"/>
          <w:color w:val="auto"/>
          <w:sz w:val="20"/>
          <w:szCs w:val="20"/>
        </w:rPr>
        <w:t>/202</w:t>
      </w:r>
      <w:bookmarkEnd w:id="226"/>
      <w:r w:rsidR="004D0905" w:rsidRPr="00173E7B">
        <w:rPr>
          <w:rFonts w:ascii="Arial Narrow" w:hAnsi="Arial Narrow"/>
          <w:color w:val="auto"/>
          <w:sz w:val="20"/>
          <w:szCs w:val="20"/>
        </w:rPr>
        <w:t>3</w:t>
      </w:r>
      <w:bookmarkEnd w:id="227"/>
    </w:p>
    <w:p w14:paraId="7B989DAB" w14:textId="33669B77" w:rsidR="00F1264F" w:rsidRPr="00173E7B" w:rsidRDefault="004D0905" w:rsidP="7CC7BF57">
      <w:pPr>
        <w:spacing w:line="276" w:lineRule="auto"/>
        <w:ind w:left="-142"/>
        <w:jc w:val="both"/>
        <w:rPr>
          <w:rFonts w:ascii="Arial Narrow" w:hAnsi="Arial Narrow"/>
          <w:b/>
          <w:bCs/>
          <w:color w:val="2F5496" w:themeColor="accent1" w:themeShade="BF"/>
        </w:rPr>
      </w:pPr>
      <w:r w:rsidRPr="00173E7B">
        <w:rPr>
          <w:rFonts w:ascii="Arial Narrow" w:hAnsi="Arial Narrow"/>
          <w:b/>
          <w:noProof/>
          <w:color w:val="2F5496" w:themeColor="accent1" w:themeShade="BF"/>
          <w:lang w:eastAsia="cs-CZ"/>
        </w:rPr>
        <w:drawing>
          <wp:anchor distT="0" distB="0" distL="114300" distR="114300" simplePos="0" relativeHeight="251724288" behindDoc="0" locked="0" layoutInCell="1" allowOverlap="1" wp14:anchorId="2DDBD7DA" wp14:editId="33138AD6">
            <wp:simplePos x="0" y="0"/>
            <wp:positionH relativeFrom="page">
              <wp:posOffset>3261995</wp:posOffset>
            </wp:positionH>
            <wp:positionV relativeFrom="paragraph">
              <wp:posOffset>600075</wp:posOffset>
            </wp:positionV>
            <wp:extent cx="3828966" cy="2882325"/>
            <wp:effectExtent l="0" t="38100" r="0" b="51435"/>
            <wp:wrapNone/>
            <wp:docPr id="2093" name="Diagram 20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sidRPr="00173E7B">
        <w:rPr>
          <w:rFonts w:ascii="Arial Narrow" w:hAnsi="Arial Narrow"/>
          <w:b/>
          <w:noProof/>
          <w:lang w:eastAsia="cs-CZ"/>
        </w:rPr>
        <w:drawing>
          <wp:inline distT="0" distB="0" distL="0" distR="0" wp14:anchorId="5ABD0844" wp14:editId="3ED03A7E">
            <wp:extent cx="5760720" cy="3646170"/>
            <wp:effectExtent l="0" t="0" r="0" b="0"/>
            <wp:docPr id="2094" name="Graf 20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0605BFC" w14:textId="06AC35DB" w:rsidR="00E568AB" w:rsidRPr="00173E7B" w:rsidRDefault="00E568AB" w:rsidP="00E568AB">
      <w:pPr>
        <w:spacing w:line="276" w:lineRule="auto"/>
        <w:rPr>
          <w:rFonts w:ascii="Arial Narrow" w:hAnsi="Arial Narrow"/>
          <w:sz w:val="20"/>
          <w:szCs w:val="20"/>
        </w:rPr>
      </w:pPr>
      <w:r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w:t>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51BDFFF0" w14:textId="77777777" w:rsidR="003937B0" w:rsidRPr="00173E7B" w:rsidRDefault="003937B0" w:rsidP="00E568AB">
      <w:pPr>
        <w:spacing w:line="276" w:lineRule="auto"/>
        <w:rPr>
          <w:rFonts w:ascii="Arial Narrow" w:eastAsia="Calibri" w:hAnsi="Arial Narrow"/>
          <w:bCs/>
        </w:rPr>
      </w:pPr>
    </w:p>
    <w:bookmarkEnd w:id="224"/>
    <w:p w14:paraId="0E473F59" w14:textId="77777777" w:rsidR="00F1264F" w:rsidRPr="00173E7B" w:rsidRDefault="00F1264F" w:rsidP="00F1264F">
      <w:pPr>
        <w:spacing w:line="276" w:lineRule="auto"/>
        <w:rPr>
          <w:rFonts w:ascii="Arial Narrow" w:hAnsi="Arial Narrow"/>
          <w:b/>
          <w:sz w:val="24"/>
          <w:szCs w:val="24"/>
          <w:u w:val="single"/>
        </w:rPr>
      </w:pPr>
      <w:r w:rsidRPr="00173E7B">
        <w:rPr>
          <w:rFonts w:ascii="Arial Narrow" w:hAnsi="Arial Narrow"/>
          <w:b/>
          <w:sz w:val="24"/>
          <w:szCs w:val="24"/>
          <w:u w:val="single"/>
        </w:rPr>
        <w:lastRenderedPageBreak/>
        <w:t>Střední školy</w:t>
      </w:r>
    </w:p>
    <w:p w14:paraId="5E55ED55" w14:textId="77777777" w:rsidR="00F1264F" w:rsidRPr="00173E7B" w:rsidRDefault="00F1264F" w:rsidP="00F1264F">
      <w:pPr>
        <w:spacing w:line="276" w:lineRule="auto"/>
        <w:rPr>
          <w:rFonts w:ascii="Arial Narrow" w:hAnsi="Arial Narrow"/>
          <w:b/>
          <w:color w:val="2F5496" w:themeColor="accent1" w:themeShade="BF"/>
        </w:rPr>
      </w:pPr>
    </w:p>
    <w:p w14:paraId="364715D4" w14:textId="4AA86A9D" w:rsidR="00D30F58" w:rsidRPr="00173E7B" w:rsidRDefault="00A6302B" w:rsidP="00CD50BF">
      <w:pPr>
        <w:spacing w:after="240" w:line="276" w:lineRule="auto"/>
        <w:jc w:val="both"/>
        <w:rPr>
          <w:rFonts w:ascii="Arial Narrow" w:hAnsi="Arial Narrow"/>
          <w:bCs/>
        </w:rPr>
      </w:pPr>
      <w:bookmarkStart w:id="228" w:name="_Hlk95486803"/>
      <w:r w:rsidRPr="00173E7B">
        <w:rPr>
          <w:rFonts w:ascii="Arial Narrow" w:hAnsi="Arial Narrow"/>
          <w:bCs/>
        </w:rPr>
        <w:t>Ve školním roce 202</w:t>
      </w:r>
      <w:r w:rsidR="00CD50BF" w:rsidRPr="00173E7B">
        <w:rPr>
          <w:rFonts w:ascii="Arial Narrow" w:hAnsi="Arial Narrow"/>
          <w:bCs/>
        </w:rPr>
        <w:t>2</w:t>
      </w:r>
      <w:r w:rsidRPr="00173E7B">
        <w:rPr>
          <w:rFonts w:ascii="Arial Narrow" w:hAnsi="Arial Narrow"/>
          <w:bCs/>
        </w:rPr>
        <w:t>/202</w:t>
      </w:r>
      <w:r w:rsidR="00CD50BF" w:rsidRPr="00173E7B">
        <w:rPr>
          <w:rFonts w:ascii="Arial Narrow" w:hAnsi="Arial Narrow"/>
          <w:bCs/>
        </w:rPr>
        <w:t>3</w:t>
      </w:r>
      <w:r w:rsidRPr="00173E7B">
        <w:rPr>
          <w:rFonts w:ascii="Arial Narrow" w:hAnsi="Arial Narrow"/>
          <w:bCs/>
        </w:rPr>
        <w:t xml:space="preserve"> navštěvovalo střední školy v České republice celkem </w:t>
      </w:r>
      <w:r w:rsidR="00CD50BF" w:rsidRPr="00173E7B">
        <w:rPr>
          <w:rFonts w:ascii="Arial Narrow" w:hAnsi="Arial Narrow"/>
          <w:bCs/>
        </w:rPr>
        <w:t>463 181</w:t>
      </w:r>
      <w:r w:rsidRPr="00173E7B">
        <w:rPr>
          <w:rFonts w:ascii="Arial Narrow" w:hAnsi="Arial Narrow"/>
          <w:bCs/>
        </w:rPr>
        <w:t xml:space="preserve"> žáků, z toho 1</w:t>
      </w:r>
      <w:r w:rsidR="00CD50BF" w:rsidRPr="00173E7B">
        <w:rPr>
          <w:rFonts w:ascii="Arial Narrow" w:hAnsi="Arial Narrow"/>
          <w:bCs/>
        </w:rPr>
        <w:t>4</w:t>
      </w:r>
      <w:r w:rsidRPr="00173E7B">
        <w:rPr>
          <w:rFonts w:ascii="Arial Narrow" w:hAnsi="Arial Narrow"/>
          <w:bCs/>
        </w:rPr>
        <w:t xml:space="preserve"> </w:t>
      </w:r>
      <w:r w:rsidR="00CD50BF" w:rsidRPr="00173E7B">
        <w:rPr>
          <w:rFonts w:ascii="Arial Narrow" w:hAnsi="Arial Narrow"/>
          <w:bCs/>
        </w:rPr>
        <w:t>128</w:t>
      </w:r>
      <w:r w:rsidRPr="00173E7B">
        <w:rPr>
          <w:rFonts w:ascii="Arial Narrow" w:hAnsi="Arial Narrow"/>
          <w:bCs/>
        </w:rPr>
        <w:t xml:space="preserve"> žáků s jinou než českou státní příslušností.</w:t>
      </w:r>
      <w:r w:rsidR="00CD50BF" w:rsidRPr="00173E7B">
        <w:rPr>
          <w:rFonts w:ascii="Arial Narrow" w:hAnsi="Arial Narrow"/>
          <w:bCs/>
        </w:rPr>
        <w:t xml:space="preserve"> </w:t>
      </w:r>
      <w:r w:rsidR="00CD50BF" w:rsidRPr="00173E7B">
        <w:rPr>
          <w:rFonts w:ascii="Arial Narrow" w:hAnsi="Arial Narrow"/>
          <w:b/>
        </w:rPr>
        <w:t xml:space="preserve">Meziročně tak došlo k nárůstu počtu žáků s jiným než českým občanstvím o zhruba 17 </w:t>
      </w:r>
      <w:r w:rsidR="00CD50BF" w:rsidRPr="00173E7B">
        <w:rPr>
          <w:rFonts w:ascii="Arial Narrow" w:hAnsi="Arial Narrow"/>
          <w:b/>
          <w:color w:val="000000" w:themeColor="text1"/>
        </w:rPr>
        <w:t>%.</w:t>
      </w:r>
      <w:r w:rsidRPr="00173E7B">
        <w:rPr>
          <w:rFonts w:ascii="Arial Narrow" w:hAnsi="Arial Narrow"/>
          <w:bCs/>
          <w:color w:val="000000" w:themeColor="text1"/>
        </w:rPr>
        <w:t xml:space="preserve"> </w:t>
      </w:r>
      <w:bookmarkEnd w:id="228"/>
      <w:r w:rsidRPr="00173E7B">
        <w:rPr>
          <w:rFonts w:ascii="Arial Narrow" w:hAnsi="Arial Narrow"/>
          <w:bCs/>
          <w:color w:val="000000" w:themeColor="text1"/>
        </w:rPr>
        <w:t>Základní dělení státní příslušnosti žáků s jinou než českou státní příslušností ve školním roce 202</w:t>
      </w:r>
      <w:r w:rsidR="00CD50BF" w:rsidRPr="00173E7B">
        <w:rPr>
          <w:rFonts w:ascii="Arial Narrow" w:hAnsi="Arial Narrow"/>
          <w:bCs/>
          <w:color w:val="000000" w:themeColor="text1"/>
        </w:rPr>
        <w:t>2</w:t>
      </w:r>
      <w:r w:rsidRPr="00173E7B">
        <w:rPr>
          <w:rFonts w:ascii="Arial Narrow" w:hAnsi="Arial Narrow"/>
          <w:bCs/>
          <w:color w:val="000000" w:themeColor="text1"/>
        </w:rPr>
        <w:t>/202</w:t>
      </w:r>
      <w:r w:rsidR="00CD50BF" w:rsidRPr="00173E7B">
        <w:rPr>
          <w:rFonts w:ascii="Arial Narrow" w:hAnsi="Arial Narrow"/>
          <w:bCs/>
          <w:color w:val="000000" w:themeColor="text1"/>
        </w:rPr>
        <w:t>3</w:t>
      </w:r>
      <w:r w:rsidRPr="00173E7B">
        <w:rPr>
          <w:rFonts w:ascii="Arial Narrow" w:hAnsi="Arial Narrow"/>
          <w:bCs/>
          <w:color w:val="000000" w:themeColor="text1"/>
        </w:rPr>
        <w:t xml:space="preserve"> podrobně dokumentuje graf</w:t>
      </w:r>
      <w:r w:rsidR="006955D2" w:rsidRPr="00173E7B">
        <w:rPr>
          <w:rFonts w:ascii="Arial Narrow" w:hAnsi="Arial Narrow"/>
          <w:bCs/>
          <w:color w:val="000000" w:themeColor="text1"/>
        </w:rPr>
        <w:t xml:space="preserve"> č. 34</w:t>
      </w:r>
      <w:r w:rsidRPr="00173E7B">
        <w:rPr>
          <w:rFonts w:ascii="Arial Narrow" w:hAnsi="Arial Narrow"/>
          <w:bCs/>
          <w:color w:val="000000" w:themeColor="text1"/>
        </w:rPr>
        <w:t>.</w:t>
      </w:r>
    </w:p>
    <w:p w14:paraId="5AE8A018" w14:textId="7BE2036B" w:rsidR="00D30F58" w:rsidRPr="00173E7B" w:rsidRDefault="00D30F58" w:rsidP="00D30F58">
      <w:pPr>
        <w:pStyle w:val="Titulek"/>
        <w:keepNext/>
        <w:spacing w:after="0"/>
        <w:jc w:val="both"/>
        <w:rPr>
          <w:rFonts w:ascii="Arial Narrow" w:hAnsi="Arial Narrow"/>
          <w:color w:val="auto"/>
          <w:sz w:val="20"/>
          <w:szCs w:val="20"/>
        </w:rPr>
      </w:pPr>
      <w:bookmarkStart w:id="229" w:name="_Toc94443738"/>
      <w:bookmarkStart w:id="230" w:name="_Toc136428878"/>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34</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Státní příslušnost žáků SŠ s</w:t>
      </w:r>
      <w:r w:rsidRPr="00173E7B">
        <w:rPr>
          <w:rFonts w:ascii="Arial Narrow" w:hAnsi="Arial Narrow"/>
          <w:bCs w:val="0"/>
          <w:color w:val="auto"/>
          <w:sz w:val="20"/>
          <w:szCs w:val="20"/>
        </w:rPr>
        <w:t> </w:t>
      </w:r>
      <w:r w:rsidRPr="00173E7B">
        <w:rPr>
          <w:rFonts w:ascii="Arial Narrow" w:hAnsi="Arial Narrow"/>
          <w:color w:val="auto"/>
          <w:sz w:val="20"/>
          <w:szCs w:val="20"/>
        </w:rPr>
        <w:t>jin</w:t>
      </w:r>
      <w:r w:rsidRPr="00173E7B">
        <w:rPr>
          <w:rFonts w:ascii="Arial Narrow" w:hAnsi="Arial Narrow"/>
          <w:bCs w:val="0"/>
          <w:color w:val="auto"/>
          <w:sz w:val="20"/>
          <w:szCs w:val="20"/>
        </w:rPr>
        <w:t>ou než českou státní příslušností</w:t>
      </w:r>
      <w:r w:rsidRPr="00173E7B">
        <w:rPr>
          <w:rFonts w:ascii="Arial Narrow" w:hAnsi="Arial Narrow"/>
          <w:color w:val="auto"/>
          <w:sz w:val="20"/>
          <w:szCs w:val="20"/>
        </w:rPr>
        <w:t xml:space="preserve"> ve školním roce 202</w:t>
      </w:r>
      <w:r w:rsidR="00CD50BF" w:rsidRPr="00173E7B">
        <w:rPr>
          <w:rFonts w:ascii="Arial Narrow" w:hAnsi="Arial Narrow"/>
          <w:color w:val="auto"/>
          <w:sz w:val="20"/>
          <w:szCs w:val="20"/>
        </w:rPr>
        <w:t>2</w:t>
      </w:r>
      <w:r w:rsidRPr="00173E7B">
        <w:rPr>
          <w:rFonts w:ascii="Arial Narrow" w:hAnsi="Arial Narrow"/>
          <w:color w:val="auto"/>
          <w:sz w:val="20"/>
          <w:szCs w:val="20"/>
        </w:rPr>
        <w:t>/20</w:t>
      </w:r>
      <w:bookmarkEnd w:id="229"/>
      <w:r w:rsidR="00A6302B" w:rsidRPr="00173E7B">
        <w:rPr>
          <w:rFonts w:ascii="Arial Narrow" w:hAnsi="Arial Narrow"/>
          <w:color w:val="auto"/>
          <w:sz w:val="20"/>
          <w:szCs w:val="20"/>
        </w:rPr>
        <w:t>2</w:t>
      </w:r>
      <w:r w:rsidR="00CD50BF" w:rsidRPr="00173E7B">
        <w:rPr>
          <w:rFonts w:ascii="Arial Narrow" w:hAnsi="Arial Narrow"/>
          <w:color w:val="auto"/>
          <w:sz w:val="20"/>
          <w:szCs w:val="20"/>
        </w:rPr>
        <w:t>3</w:t>
      </w:r>
      <w:bookmarkEnd w:id="230"/>
    </w:p>
    <w:p w14:paraId="488FC510" w14:textId="359D6774" w:rsidR="00F1264F" w:rsidRPr="00173E7B" w:rsidRDefault="00CD50BF" w:rsidP="7CC7BF57">
      <w:pPr>
        <w:spacing w:line="276" w:lineRule="auto"/>
        <w:jc w:val="both"/>
        <w:rPr>
          <w:rFonts w:ascii="Arial Narrow" w:hAnsi="Arial Narrow"/>
        </w:rPr>
      </w:pPr>
      <w:r w:rsidRPr="00173E7B">
        <w:rPr>
          <w:rFonts w:ascii="Arial Narrow" w:hAnsi="Arial Narrow"/>
          <w:bCs/>
          <w:noProof/>
          <w:lang w:eastAsia="cs-CZ"/>
        </w:rPr>
        <w:drawing>
          <wp:inline distT="0" distB="0" distL="0" distR="0" wp14:anchorId="7296AACC" wp14:editId="2CAA2A63">
            <wp:extent cx="5760720" cy="1549400"/>
            <wp:effectExtent l="0" t="0" r="0" b="0"/>
            <wp:docPr id="2095" name="Graf 20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E87D047" w14:textId="072CD242" w:rsidR="00F1264F" w:rsidRPr="00173E7B" w:rsidRDefault="00E568AB" w:rsidP="00CD50BF">
      <w:pPr>
        <w:spacing w:after="240" w:line="276" w:lineRule="auto"/>
        <w:rPr>
          <w:rFonts w:ascii="Arial Narrow" w:eastAsia="Calibri" w:hAnsi="Arial Narrow"/>
          <w:bCs/>
        </w:rPr>
      </w:pPr>
      <w:r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003937B0" w:rsidRPr="00173E7B">
        <w:rPr>
          <w:rFonts w:ascii="Arial Narrow" w:hAnsi="Arial Narrow"/>
          <w:sz w:val="20"/>
          <w:szCs w:val="20"/>
        </w:rPr>
        <w:t xml:space="preserve"> </w:t>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58F5E0E8" w14:textId="4B37FC00" w:rsidR="00A6302B" w:rsidRPr="00173E7B" w:rsidRDefault="00A6302B" w:rsidP="00A6302B">
      <w:pPr>
        <w:spacing w:after="240" w:line="276" w:lineRule="auto"/>
        <w:jc w:val="both"/>
        <w:rPr>
          <w:rFonts w:ascii="Arial Narrow" w:hAnsi="Arial Narrow"/>
          <w:bCs/>
        </w:rPr>
      </w:pPr>
      <w:bookmarkStart w:id="231" w:name="_Hlk95486824"/>
      <w:r w:rsidRPr="00173E7B">
        <w:rPr>
          <w:rFonts w:ascii="Arial Narrow" w:hAnsi="Arial Narrow"/>
          <w:bCs/>
        </w:rPr>
        <w:t xml:space="preserve">Podíl </w:t>
      </w:r>
      <w:r w:rsidRPr="00173E7B">
        <w:rPr>
          <w:rFonts w:ascii="Arial Narrow" w:hAnsi="Arial Narrow"/>
        </w:rPr>
        <w:t xml:space="preserve">osob s jinou než českou státní příslušností </w:t>
      </w:r>
      <w:r w:rsidRPr="00173E7B">
        <w:rPr>
          <w:rFonts w:ascii="Arial Narrow" w:hAnsi="Arial Narrow"/>
          <w:bCs/>
        </w:rPr>
        <w:t>na celkovém počtu žáků SŠ se za posledních 16 let více než zdvojnásobil</w:t>
      </w:r>
      <w:r w:rsidR="006955D2" w:rsidRPr="00173E7B">
        <w:rPr>
          <w:rFonts w:ascii="Arial Narrow" w:hAnsi="Arial Narrow"/>
          <w:bCs/>
        </w:rPr>
        <w:t>,</w:t>
      </w:r>
      <w:r w:rsidR="006955D2" w:rsidRPr="00173E7B">
        <w:rPr>
          <w:rFonts w:ascii="Arial Narrow" w:hAnsi="Arial Narrow"/>
        </w:rPr>
        <w:t xml:space="preserve"> jak ukazuje graf č. 35 a následně v reálných číslech tabulka č. 9</w:t>
      </w:r>
      <w:r w:rsidRPr="00173E7B">
        <w:rPr>
          <w:rFonts w:ascii="Arial Narrow" w:hAnsi="Arial Narrow"/>
          <w:bCs/>
        </w:rPr>
        <w:t xml:space="preserve">. Zatímco ve školním roce 2005/2006 tvořily tyto osoby 0,9 % všech studentů SŠ, ve školním roce 2021/2022 to bylo již 2,3 %. </w:t>
      </w:r>
      <w:bookmarkEnd w:id="231"/>
      <w:r w:rsidRPr="00173E7B">
        <w:rPr>
          <w:rFonts w:ascii="Arial Narrow" w:hAnsi="Arial Narrow"/>
          <w:bCs/>
        </w:rPr>
        <w:t xml:space="preserve">Počet žáků s jinou než českou státní příslušností meziročně narůstá průměrně o 0,08 %. </w:t>
      </w:r>
      <w:r w:rsidR="00CD50BF" w:rsidRPr="00173E7B">
        <w:rPr>
          <w:rFonts w:ascii="Arial Narrow" w:hAnsi="Arial Narrow"/>
          <w:bCs/>
        </w:rPr>
        <w:t>Školní rok 2022/2023 znamenal proti předchozímu mírnému růstu skokový nárůst podílu žáků SŠ s jinou než českou státní příslušností z 2,3 % na 3,1 %. Přestože se jedná o skokové navýšení, v kontextu meziročního růstu podílu dětí s jinou než českou státní příslušností na základních školách a v předškolním vzdělávání je tento nárust relativně mírný.</w:t>
      </w:r>
    </w:p>
    <w:p w14:paraId="1F4BE6C1" w14:textId="4B37FC00" w:rsidR="00D30F58" w:rsidRPr="00173E7B" w:rsidRDefault="00D30F58" w:rsidP="00D30F58">
      <w:pPr>
        <w:pStyle w:val="Titulek"/>
        <w:keepNext/>
        <w:spacing w:after="0"/>
        <w:jc w:val="both"/>
        <w:rPr>
          <w:rFonts w:ascii="Arial Narrow" w:hAnsi="Arial Narrow"/>
          <w:color w:val="auto"/>
          <w:sz w:val="20"/>
          <w:szCs w:val="20"/>
        </w:rPr>
      </w:pPr>
      <w:bookmarkStart w:id="232" w:name="_Toc94443739"/>
      <w:bookmarkStart w:id="233" w:name="_Toc136428879"/>
      <w:r w:rsidRPr="00173E7B">
        <w:rPr>
          <w:rFonts w:ascii="Arial Narrow" w:hAnsi="Arial Narrow"/>
          <w:color w:val="auto"/>
          <w:sz w:val="20"/>
          <w:szCs w:val="20"/>
        </w:rPr>
        <w:t xml:space="preserve">Graf </w:t>
      </w:r>
      <w:r w:rsidR="00B63C25" w:rsidRPr="00173E7B">
        <w:rPr>
          <w:rFonts w:ascii="Arial Narrow" w:hAnsi="Arial Narrow"/>
          <w:color w:val="auto"/>
          <w:sz w:val="20"/>
          <w:szCs w:val="20"/>
        </w:rPr>
        <w:fldChar w:fldCharType="begin"/>
      </w:r>
      <w:r w:rsidR="00B63C25" w:rsidRPr="00173E7B">
        <w:rPr>
          <w:rFonts w:ascii="Arial Narrow" w:hAnsi="Arial Narrow"/>
          <w:color w:val="auto"/>
          <w:sz w:val="20"/>
          <w:szCs w:val="20"/>
        </w:rPr>
        <w:instrText xml:space="preserve"> SEQ Graf \* ARABIC </w:instrText>
      </w:r>
      <w:r w:rsidR="00B63C25" w:rsidRPr="00173E7B">
        <w:rPr>
          <w:rFonts w:ascii="Arial Narrow" w:hAnsi="Arial Narrow"/>
          <w:color w:val="auto"/>
          <w:sz w:val="20"/>
          <w:szCs w:val="20"/>
        </w:rPr>
        <w:fldChar w:fldCharType="separate"/>
      </w:r>
      <w:r w:rsidR="009F49C8" w:rsidRPr="00173E7B">
        <w:rPr>
          <w:rFonts w:ascii="Arial Narrow" w:hAnsi="Arial Narrow"/>
          <w:noProof/>
          <w:color w:val="auto"/>
          <w:sz w:val="20"/>
          <w:szCs w:val="20"/>
        </w:rPr>
        <w:t>35</w:t>
      </w:r>
      <w:r w:rsidR="00B63C25" w:rsidRPr="00173E7B">
        <w:rPr>
          <w:rFonts w:ascii="Arial Narrow" w:hAnsi="Arial Narrow"/>
          <w:color w:val="auto"/>
          <w:sz w:val="20"/>
          <w:szCs w:val="20"/>
        </w:rPr>
        <w:fldChar w:fldCharType="end"/>
      </w:r>
      <w:r w:rsidRPr="00173E7B">
        <w:rPr>
          <w:rFonts w:ascii="Arial Narrow" w:hAnsi="Arial Narrow"/>
          <w:color w:val="auto"/>
          <w:sz w:val="20"/>
          <w:szCs w:val="20"/>
        </w:rPr>
        <w:t>: Podíl žáků s jinou než českou státní příslušností na celkovém počtu studentů SŠ</w:t>
      </w:r>
      <w:bookmarkEnd w:id="232"/>
      <w:bookmarkEnd w:id="233"/>
      <w:r w:rsidRPr="00173E7B">
        <w:rPr>
          <w:rFonts w:ascii="Arial Narrow" w:hAnsi="Arial Narrow"/>
          <w:color w:val="auto"/>
          <w:sz w:val="20"/>
          <w:szCs w:val="20"/>
        </w:rPr>
        <w:t xml:space="preserve"> </w:t>
      </w:r>
    </w:p>
    <w:p w14:paraId="36FE35D9" w14:textId="132B4E30" w:rsidR="00F1264F" w:rsidRPr="00173E7B" w:rsidRDefault="00A6302B" w:rsidP="7CC7BF57">
      <w:pPr>
        <w:spacing w:line="276" w:lineRule="auto"/>
        <w:rPr>
          <w:rFonts w:ascii="Arial Narrow" w:hAnsi="Arial Narrow"/>
        </w:rPr>
      </w:pPr>
      <w:r w:rsidRPr="00173E7B">
        <w:rPr>
          <w:rFonts w:ascii="Arial Narrow" w:hAnsi="Arial Narrow"/>
          <w:bCs/>
          <w:noProof/>
          <w:lang w:eastAsia="cs-CZ"/>
        </w:rPr>
        <w:drawing>
          <wp:inline distT="0" distB="0" distL="0" distR="0" wp14:anchorId="7F634BC5" wp14:editId="7260F41E">
            <wp:extent cx="5715000" cy="3362325"/>
            <wp:effectExtent l="0" t="0" r="0" b="0"/>
            <wp:docPr id="2096" name="Graf 20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5221D86" w14:textId="0C8224D4" w:rsidR="00604969" w:rsidRPr="00173E7B" w:rsidRDefault="00E568AB" w:rsidP="0056626A">
      <w:pPr>
        <w:spacing w:line="276" w:lineRule="auto"/>
        <w:rPr>
          <w:rFonts w:ascii="Arial Narrow" w:hAnsi="Arial Narrow"/>
          <w:sz w:val="20"/>
          <w:szCs w:val="20"/>
        </w:rPr>
      </w:pPr>
      <w:r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t xml:space="preserve"> </w:t>
      </w:r>
      <w:r w:rsidR="003937B0" w:rsidRPr="00173E7B">
        <w:rPr>
          <w:rFonts w:ascii="Arial Narrow" w:hAnsi="Arial Narrow"/>
          <w:sz w:val="20"/>
          <w:szCs w:val="20"/>
        </w:rPr>
        <w:tab/>
        <w:t xml:space="preserve">      </w:t>
      </w:r>
      <w:r w:rsidR="0056626A" w:rsidRPr="00173E7B">
        <w:rPr>
          <w:rFonts w:ascii="Arial Narrow" w:hAnsi="Arial Narrow"/>
          <w:sz w:val="20"/>
          <w:szCs w:val="20"/>
        </w:rPr>
        <w:t xml:space="preserve">Graf: AUGUR </w:t>
      </w:r>
      <w:proofErr w:type="spellStart"/>
      <w:r w:rsidR="0056626A" w:rsidRPr="00173E7B">
        <w:rPr>
          <w:rFonts w:ascii="Arial Narrow" w:hAnsi="Arial Narrow"/>
          <w:sz w:val="20"/>
          <w:szCs w:val="20"/>
        </w:rPr>
        <w:t>Consulting</w:t>
      </w:r>
      <w:proofErr w:type="spellEnd"/>
      <w:r w:rsidR="0056626A" w:rsidRPr="00173E7B">
        <w:rPr>
          <w:rFonts w:ascii="Arial Narrow" w:hAnsi="Arial Narrow"/>
          <w:sz w:val="20"/>
          <w:szCs w:val="20"/>
        </w:rPr>
        <w:t xml:space="preserve"> s.r.</w:t>
      </w:r>
      <w:r w:rsidR="003937B0" w:rsidRPr="00173E7B">
        <w:rPr>
          <w:rFonts w:ascii="Arial Narrow" w:hAnsi="Arial Narrow"/>
          <w:sz w:val="20"/>
          <w:szCs w:val="20"/>
        </w:rPr>
        <w:t>o.</w:t>
      </w:r>
    </w:p>
    <w:p w14:paraId="7D8DA74C" w14:textId="0C8224D4" w:rsidR="00F1264F" w:rsidRPr="00173E7B" w:rsidRDefault="495E27D3" w:rsidP="2460258F">
      <w:pPr>
        <w:spacing w:line="276" w:lineRule="auto"/>
        <w:jc w:val="both"/>
        <w:rPr>
          <w:rFonts w:ascii="Arial Narrow" w:hAnsi="Arial Narrow"/>
          <w:b/>
          <w:bCs/>
          <w:sz w:val="24"/>
          <w:szCs w:val="24"/>
        </w:rPr>
      </w:pPr>
      <w:bookmarkStart w:id="234" w:name="_Toc136429220"/>
      <w:r w:rsidRPr="00173E7B">
        <w:rPr>
          <w:rFonts w:ascii="Arial Narrow" w:hAnsi="Arial Narrow"/>
          <w:b/>
          <w:bCs/>
          <w:sz w:val="20"/>
          <w:szCs w:val="20"/>
        </w:rPr>
        <w:lastRenderedPageBreak/>
        <w:t xml:space="preserve">Tabulka </w:t>
      </w:r>
      <w:r w:rsidR="00E17404" w:rsidRPr="00173E7B">
        <w:rPr>
          <w:rFonts w:ascii="Arial Narrow" w:hAnsi="Arial Narrow"/>
          <w:b/>
          <w:bCs/>
          <w:sz w:val="20"/>
          <w:szCs w:val="20"/>
        </w:rPr>
        <w:fldChar w:fldCharType="begin"/>
      </w:r>
      <w:r w:rsidR="00E17404" w:rsidRPr="00173E7B">
        <w:rPr>
          <w:rFonts w:ascii="Arial Narrow" w:hAnsi="Arial Narrow"/>
          <w:b/>
          <w:bCs/>
          <w:sz w:val="20"/>
          <w:szCs w:val="20"/>
        </w:rPr>
        <w:instrText xml:space="preserve"> SEQ Tabulka \* ARABIC </w:instrText>
      </w:r>
      <w:r w:rsidR="00E17404" w:rsidRPr="00173E7B">
        <w:rPr>
          <w:rFonts w:ascii="Arial Narrow" w:hAnsi="Arial Narrow"/>
          <w:b/>
          <w:bCs/>
          <w:sz w:val="20"/>
          <w:szCs w:val="20"/>
        </w:rPr>
        <w:fldChar w:fldCharType="separate"/>
      </w:r>
      <w:r w:rsidR="7DE39459" w:rsidRPr="00173E7B">
        <w:rPr>
          <w:rFonts w:ascii="Arial Narrow" w:hAnsi="Arial Narrow"/>
          <w:b/>
          <w:bCs/>
          <w:noProof/>
          <w:sz w:val="20"/>
          <w:szCs w:val="20"/>
        </w:rPr>
        <w:t>9</w:t>
      </w:r>
      <w:r w:rsidR="00E17404" w:rsidRPr="00173E7B">
        <w:rPr>
          <w:rFonts w:ascii="Arial Narrow" w:hAnsi="Arial Narrow"/>
          <w:b/>
          <w:bCs/>
          <w:sz w:val="20"/>
          <w:szCs w:val="20"/>
        </w:rPr>
        <w:fldChar w:fldCharType="end"/>
      </w:r>
      <w:r w:rsidRPr="00173E7B">
        <w:rPr>
          <w:rFonts w:ascii="Arial Narrow" w:hAnsi="Arial Narrow"/>
          <w:b/>
          <w:bCs/>
          <w:sz w:val="20"/>
          <w:szCs w:val="20"/>
        </w:rPr>
        <w:t xml:space="preserve">:  </w:t>
      </w:r>
      <w:r w:rsidRPr="00173E7B">
        <w:rPr>
          <w:rFonts w:ascii="Arial Narrow" w:hAnsi="Arial Narrow"/>
          <w:b/>
          <w:bCs/>
          <w:color w:val="000000" w:themeColor="text1"/>
          <w:sz w:val="20"/>
          <w:szCs w:val="20"/>
        </w:rPr>
        <w:t>Vývoj počtu žáků na ŠŠ s jinou než českou státní příslušností v České republice v letech 2005-202</w:t>
      </w:r>
      <w:r w:rsidR="00AE0840" w:rsidRPr="00173E7B">
        <w:rPr>
          <w:rFonts w:ascii="Arial Narrow" w:hAnsi="Arial Narrow"/>
          <w:b/>
          <w:bCs/>
          <w:color w:val="000000" w:themeColor="text1"/>
          <w:sz w:val="20"/>
          <w:szCs w:val="20"/>
        </w:rPr>
        <w:t>3</w:t>
      </w:r>
      <w:bookmarkEnd w:id="234"/>
    </w:p>
    <w:tbl>
      <w:tblPr>
        <w:tblW w:w="8959" w:type="dxa"/>
        <w:tblInd w:w="108"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1134"/>
        <w:gridCol w:w="1431"/>
        <w:gridCol w:w="1598"/>
        <w:gridCol w:w="1599"/>
        <w:gridCol w:w="1598"/>
        <w:gridCol w:w="1599"/>
      </w:tblGrid>
      <w:tr w:rsidR="00AE0840" w:rsidRPr="00173E7B" w14:paraId="28C1B8D2" w14:textId="77777777" w:rsidTr="00AE0840">
        <w:trPr>
          <w:trHeight w:val="60"/>
        </w:trPr>
        <w:tc>
          <w:tcPr>
            <w:tcW w:w="1134" w:type="dxa"/>
            <w:vMerge w:val="restart"/>
            <w:tcBorders>
              <w:right w:val="single" w:sz="4" w:space="0" w:color="B4C6E7" w:themeColor="accent1" w:themeTint="66"/>
            </w:tcBorders>
            <w:shd w:val="clear" w:color="auto" w:fill="D9E2F3" w:themeFill="accent1" w:themeFillTint="33"/>
            <w:noWrap/>
            <w:vAlign w:val="center"/>
            <w:hideMark/>
          </w:tcPr>
          <w:p w14:paraId="63FAC760" w14:textId="77777777" w:rsidR="00AE0840" w:rsidRPr="00173E7B" w:rsidRDefault="00AE0840" w:rsidP="004A0C47">
            <w:pPr>
              <w:jc w:val="center"/>
              <w:rPr>
                <w:rFonts w:ascii="Arial Narrow" w:eastAsia="Times New Roman" w:hAnsi="Arial Narrow" w:cs="Tahoma"/>
                <w:b/>
                <w:bCs/>
                <w:sz w:val="18"/>
                <w:szCs w:val="18"/>
                <w:lang w:eastAsia="cs-CZ"/>
              </w:rPr>
            </w:pPr>
          </w:p>
        </w:tc>
        <w:tc>
          <w:tcPr>
            <w:tcW w:w="1431" w:type="dxa"/>
            <w:vMerge w:val="restar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9E2F3" w:themeFill="accent1" w:themeFillTint="33"/>
            <w:vAlign w:val="center"/>
            <w:hideMark/>
          </w:tcPr>
          <w:p w14:paraId="26BF9C19" w14:textId="77777777" w:rsidR="00AE0840" w:rsidRPr="00173E7B" w:rsidRDefault="00AE0840"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Žáci SŠ v ČR celkem</w:t>
            </w:r>
          </w:p>
        </w:tc>
        <w:tc>
          <w:tcPr>
            <w:tcW w:w="6394" w:type="dxa"/>
            <w:gridSpan w:val="4"/>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9E2F3" w:themeFill="accent1" w:themeFillTint="33"/>
            <w:vAlign w:val="center"/>
            <w:hideMark/>
          </w:tcPr>
          <w:p w14:paraId="1FD425FA" w14:textId="77777777" w:rsidR="00AE0840" w:rsidRPr="00173E7B" w:rsidRDefault="00AE0840"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sz w:val="18"/>
                <w:szCs w:val="18"/>
                <w:lang w:eastAsia="cs-CZ"/>
              </w:rPr>
              <w:t>v tom státní občanství</w:t>
            </w:r>
          </w:p>
        </w:tc>
      </w:tr>
      <w:tr w:rsidR="00AE0840" w:rsidRPr="00173E7B" w14:paraId="48DE8258" w14:textId="77777777" w:rsidTr="00AE0840">
        <w:trPr>
          <w:trHeight w:val="176"/>
        </w:trPr>
        <w:tc>
          <w:tcPr>
            <w:tcW w:w="1134" w:type="dxa"/>
            <w:vMerge/>
            <w:tcBorders>
              <w:right w:val="single" w:sz="4" w:space="0" w:color="B4C6E7" w:themeColor="accent1" w:themeTint="66"/>
            </w:tcBorders>
            <w:shd w:val="clear" w:color="auto" w:fill="D9E2F3" w:themeFill="accent1" w:themeFillTint="33"/>
            <w:noWrap/>
            <w:vAlign w:val="center"/>
            <w:hideMark/>
          </w:tcPr>
          <w:p w14:paraId="2ADC1154" w14:textId="77777777" w:rsidR="00AE0840" w:rsidRPr="00173E7B" w:rsidRDefault="00AE0840" w:rsidP="004A0C47">
            <w:pPr>
              <w:jc w:val="center"/>
              <w:rPr>
                <w:rFonts w:ascii="Arial Narrow" w:eastAsia="Times New Roman" w:hAnsi="Arial Narrow" w:cs="Tahoma"/>
                <w:b/>
                <w:bCs/>
                <w:sz w:val="18"/>
                <w:szCs w:val="18"/>
                <w:lang w:eastAsia="cs-CZ"/>
              </w:rPr>
            </w:pPr>
          </w:p>
        </w:tc>
        <w:tc>
          <w:tcPr>
            <w:tcW w:w="1431" w:type="dxa"/>
            <w:vMerge/>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9E2F3" w:themeFill="accent1" w:themeFillTint="33"/>
            <w:vAlign w:val="center"/>
            <w:hideMark/>
          </w:tcPr>
          <w:p w14:paraId="57919077" w14:textId="77777777" w:rsidR="00AE0840" w:rsidRPr="00173E7B" w:rsidRDefault="00AE0840" w:rsidP="004A0C47">
            <w:pPr>
              <w:jc w:val="center"/>
              <w:rPr>
                <w:rFonts w:ascii="Arial Narrow" w:eastAsia="Times New Roman" w:hAnsi="Arial Narrow" w:cs="Tahoma"/>
                <w:b/>
                <w:bCs/>
                <w:sz w:val="18"/>
                <w:szCs w:val="18"/>
                <w:lang w:eastAsia="cs-CZ"/>
              </w:rPr>
            </w:pPr>
          </w:p>
        </w:tc>
        <w:tc>
          <w:tcPr>
            <w:tcW w:w="159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9E2F3" w:themeFill="accent1" w:themeFillTint="33"/>
            <w:vAlign w:val="center"/>
            <w:hideMark/>
          </w:tcPr>
          <w:p w14:paraId="066013FA" w14:textId="77777777" w:rsidR="00AE0840" w:rsidRPr="00173E7B" w:rsidRDefault="00AE0840"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české</w:t>
            </w:r>
          </w:p>
        </w:tc>
        <w:tc>
          <w:tcPr>
            <w:tcW w:w="159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9E2F3" w:themeFill="accent1" w:themeFillTint="33"/>
            <w:vAlign w:val="center"/>
            <w:hideMark/>
          </w:tcPr>
          <w:p w14:paraId="2EEB2321" w14:textId="77777777" w:rsidR="00AE0840" w:rsidRPr="00173E7B" w:rsidRDefault="00AE0840"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slovenské</w:t>
            </w:r>
          </w:p>
        </w:tc>
        <w:tc>
          <w:tcPr>
            <w:tcW w:w="159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9E2F3" w:themeFill="accent1" w:themeFillTint="33"/>
            <w:vAlign w:val="center"/>
            <w:hideMark/>
          </w:tcPr>
          <w:p w14:paraId="0DAF8381" w14:textId="77777777" w:rsidR="00AE0840" w:rsidRPr="00173E7B" w:rsidRDefault="00AE0840"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ostatní státy EU 27</w:t>
            </w:r>
          </w:p>
        </w:tc>
        <w:tc>
          <w:tcPr>
            <w:tcW w:w="159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9E2F3" w:themeFill="accent1" w:themeFillTint="33"/>
            <w:vAlign w:val="center"/>
            <w:hideMark/>
          </w:tcPr>
          <w:p w14:paraId="2154AF87" w14:textId="77777777" w:rsidR="00AE0840" w:rsidRPr="00173E7B" w:rsidRDefault="00AE0840" w:rsidP="004A0C47">
            <w:pPr>
              <w:jc w:val="center"/>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ostatní státy světa a nezjištěné</w:t>
            </w:r>
          </w:p>
        </w:tc>
      </w:tr>
      <w:tr w:rsidR="00AE0840" w:rsidRPr="00173E7B" w14:paraId="47554678" w14:textId="77777777" w:rsidTr="00AE0840">
        <w:trPr>
          <w:trHeight w:val="227"/>
        </w:trPr>
        <w:tc>
          <w:tcPr>
            <w:tcW w:w="1134" w:type="dxa"/>
            <w:shd w:val="clear" w:color="auto" w:fill="D9E2F3" w:themeFill="accent1" w:themeFillTint="33"/>
            <w:noWrap/>
            <w:vAlign w:val="center"/>
          </w:tcPr>
          <w:p w14:paraId="1B3B3B91"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2022/2023</w:t>
            </w:r>
          </w:p>
        </w:tc>
        <w:tc>
          <w:tcPr>
            <w:tcW w:w="1431" w:type="dxa"/>
            <w:tcBorders>
              <w:top w:val="single" w:sz="4" w:space="0" w:color="B4C6E7" w:themeColor="accent1" w:themeTint="66"/>
            </w:tcBorders>
            <w:vAlign w:val="center"/>
          </w:tcPr>
          <w:p w14:paraId="4A68FC19"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463 181</w:t>
            </w:r>
          </w:p>
        </w:tc>
        <w:tc>
          <w:tcPr>
            <w:tcW w:w="1598" w:type="dxa"/>
            <w:tcBorders>
              <w:top w:val="single" w:sz="4" w:space="0" w:color="B4C6E7" w:themeColor="accent1" w:themeTint="66"/>
            </w:tcBorders>
            <w:vAlign w:val="center"/>
          </w:tcPr>
          <w:p w14:paraId="389C1D6E"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449 053</w:t>
            </w:r>
          </w:p>
        </w:tc>
        <w:tc>
          <w:tcPr>
            <w:tcW w:w="1599" w:type="dxa"/>
            <w:tcBorders>
              <w:top w:val="single" w:sz="4" w:space="0" w:color="B4C6E7" w:themeColor="accent1" w:themeTint="66"/>
            </w:tcBorders>
            <w:vAlign w:val="center"/>
          </w:tcPr>
          <w:p w14:paraId="5821D056"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2 062</w:t>
            </w:r>
          </w:p>
        </w:tc>
        <w:tc>
          <w:tcPr>
            <w:tcW w:w="1598" w:type="dxa"/>
            <w:tcBorders>
              <w:top w:val="single" w:sz="4" w:space="0" w:color="B4C6E7" w:themeColor="accent1" w:themeTint="66"/>
            </w:tcBorders>
            <w:vAlign w:val="center"/>
          </w:tcPr>
          <w:p w14:paraId="2442691B"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913</w:t>
            </w:r>
          </w:p>
        </w:tc>
        <w:tc>
          <w:tcPr>
            <w:tcW w:w="1599" w:type="dxa"/>
            <w:tcBorders>
              <w:top w:val="single" w:sz="4" w:space="0" w:color="B4C6E7" w:themeColor="accent1" w:themeTint="66"/>
            </w:tcBorders>
            <w:vAlign w:val="center"/>
          </w:tcPr>
          <w:p w14:paraId="22C6FFEF"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11 153</w:t>
            </w:r>
          </w:p>
        </w:tc>
      </w:tr>
      <w:tr w:rsidR="00AE0840" w:rsidRPr="00173E7B" w14:paraId="700629BB" w14:textId="77777777" w:rsidTr="00AE0840">
        <w:trPr>
          <w:trHeight w:val="227"/>
        </w:trPr>
        <w:tc>
          <w:tcPr>
            <w:tcW w:w="1134" w:type="dxa"/>
            <w:shd w:val="clear" w:color="auto" w:fill="D9E2F3" w:themeFill="accent1" w:themeFillTint="33"/>
            <w:noWrap/>
            <w:vAlign w:val="center"/>
          </w:tcPr>
          <w:p w14:paraId="2D7D50D9"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2021/2022</w:t>
            </w:r>
          </w:p>
        </w:tc>
        <w:tc>
          <w:tcPr>
            <w:tcW w:w="1431" w:type="dxa"/>
            <w:tcBorders>
              <w:top w:val="single" w:sz="4" w:space="0" w:color="B4C6E7" w:themeColor="accent1" w:themeTint="66"/>
            </w:tcBorders>
            <w:vAlign w:val="center"/>
          </w:tcPr>
          <w:p w14:paraId="3B9353D9"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446 245</w:t>
            </w:r>
          </w:p>
        </w:tc>
        <w:tc>
          <w:tcPr>
            <w:tcW w:w="1598" w:type="dxa"/>
            <w:tcBorders>
              <w:top w:val="single" w:sz="4" w:space="0" w:color="B4C6E7" w:themeColor="accent1" w:themeTint="66"/>
            </w:tcBorders>
            <w:vAlign w:val="center"/>
          </w:tcPr>
          <w:p w14:paraId="1E047C75"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436 192</w:t>
            </w:r>
          </w:p>
        </w:tc>
        <w:tc>
          <w:tcPr>
            <w:tcW w:w="1599" w:type="dxa"/>
            <w:tcBorders>
              <w:top w:val="single" w:sz="4" w:space="0" w:color="B4C6E7" w:themeColor="accent1" w:themeTint="66"/>
            </w:tcBorders>
            <w:vAlign w:val="center"/>
          </w:tcPr>
          <w:p w14:paraId="2D275911"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2 003</w:t>
            </w:r>
          </w:p>
        </w:tc>
        <w:tc>
          <w:tcPr>
            <w:tcW w:w="1598" w:type="dxa"/>
            <w:tcBorders>
              <w:top w:val="single" w:sz="4" w:space="0" w:color="B4C6E7" w:themeColor="accent1" w:themeTint="66"/>
            </w:tcBorders>
            <w:vAlign w:val="center"/>
          </w:tcPr>
          <w:p w14:paraId="59909C5E"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842</w:t>
            </w:r>
          </w:p>
        </w:tc>
        <w:tc>
          <w:tcPr>
            <w:tcW w:w="1599" w:type="dxa"/>
            <w:tcBorders>
              <w:top w:val="single" w:sz="4" w:space="0" w:color="B4C6E7" w:themeColor="accent1" w:themeTint="66"/>
            </w:tcBorders>
            <w:vAlign w:val="bottom"/>
          </w:tcPr>
          <w:p w14:paraId="1BCBAF06"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7 208</w:t>
            </w:r>
          </w:p>
        </w:tc>
      </w:tr>
      <w:tr w:rsidR="00AE0840" w:rsidRPr="00173E7B" w14:paraId="073C9A19" w14:textId="77777777" w:rsidTr="00AE0840">
        <w:trPr>
          <w:trHeight w:val="227"/>
        </w:trPr>
        <w:tc>
          <w:tcPr>
            <w:tcW w:w="1134" w:type="dxa"/>
            <w:shd w:val="clear" w:color="auto" w:fill="D9E2F3" w:themeFill="accent1" w:themeFillTint="33"/>
            <w:noWrap/>
            <w:vAlign w:val="center"/>
            <w:hideMark/>
          </w:tcPr>
          <w:p w14:paraId="377BDFBF"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2020/2021</w:t>
            </w:r>
          </w:p>
        </w:tc>
        <w:tc>
          <w:tcPr>
            <w:tcW w:w="1431" w:type="dxa"/>
            <w:tcBorders>
              <w:top w:val="single" w:sz="4" w:space="0" w:color="B4C6E7" w:themeColor="accent1" w:themeTint="66"/>
            </w:tcBorders>
            <w:vAlign w:val="center"/>
            <w:hideMark/>
          </w:tcPr>
          <w:p w14:paraId="2643831F"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432 896</w:t>
            </w:r>
          </w:p>
        </w:tc>
        <w:tc>
          <w:tcPr>
            <w:tcW w:w="1598" w:type="dxa"/>
            <w:tcBorders>
              <w:top w:val="single" w:sz="4" w:space="0" w:color="B4C6E7" w:themeColor="accent1" w:themeTint="66"/>
            </w:tcBorders>
            <w:vAlign w:val="center"/>
            <w:hideMark/>
          </w:tcPr>
          <w:p w14:paraId="070A02D9"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423 145</w:t>
            </w:r>
          </w:p>
        </w:tc>
        <w:tc>
          <w:tcPr>
            <w:tcW w:w="1599" w:type="dxa"/>
            <w:tcBorders>
              <w:top w:val="single" w:sz="4" w:space="0" w:color="B4C6E7" w:themeColor="accent1" w:themeTint="66"/>
            </w:tcBorders>
            <w:vAlign w:val="center"/>
            <w:hideMark/>
          </w:tcPr>
          <w:p w14:paraId="261BF65B"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1 877</w:t>
            </w:r>
          </w:p>
        </w:tc>
        <w:tc>
          <w:tcPr>
            <w:tcW w:w="1598" w:type="dxa"/>
            <w:tcBorders>
              <w:top w:val="single" w:sz="4" w:space="0" w:color="B4C6E7" w:themeColor="accent1" w:themeTint="66"/>
            </w:tcBorders>
            <w:vAlign w:val="center"/>
            <w:hideMark/>
          </w:tcPr>
          <w:p w14:paraId="19C6CB64"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790</w:t>
            </w:r>
          </w:p>
        </w:tc>
        <w:tc>
          <w:tcPr>
            <w:tcW w:w="1599" w:type="dxa"/>
            <w:tcBorders>
              <w:top w:val="single" w:sz="4" w:space="0" w:color="B4C6E7" w:themeColor="accent1" w:themeTint="66"/>
            </w:tcBorders>
            <w:vAlign w:val="bottom"/>
            <w:hideMark/>
          </w:tcPr>
          <w:p w14:paraId="7A7575FE"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7 084</w:t>
            </w:r>
          </w:p>
        </w:tc>
      </w:tr>
      <w:tr w:rsidR="00AE0840" w:rsidRPr="00173E7B" w14:paraId="1800F108" w14:textId="77777777" w:rsidTr="00AE0840">
        <w:trPr>
          <w:trHeight w:val="227"/>
        </w:trPr>
        <w:tc>
          <w:tcPr>
            <w:tcW w:w="1134" w:type="dxa"/>
            <w:shd w:val="clear" w:color="auto" w:fill="D9E2F3" w:themeFill="accent1" w:themeFillTint="33"/>
            <w:noWrap/>
            <w:vAlign w:val="center"/>
            <w:hideMark/>
          </w:tcPr>
          <w:p w14:paraId="3AF05845"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2019/2020</w:t>
            </w:r>
          </w:p>
        </w:tc>
        <w:tc>
          <w:tcPr>
            <w:tcW w:w="1431" w:type="dxa"/>
            <w:vAlign w:val="center"/>
            <w:hideMark/>
          </w:tcPr>
          <w:p w14:paraId="317728D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423 821</w:t>
            </w:r>
          </w:p>
        </w:tc>
        <w:tc>
          <w:tcPr>
            <w:tcW w:w="1598" w:type="dxa"/>
            <w:vAlign w:val="center"/>
            <w:hideMark/>
          </w:tcPr>
          <w:p w14:paraId="43663E1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414 325</w:t>
            </w:r>
          </w:p>
        </w:tc>
        <w:tc>
          <w:tcPr>
            <w:tcW w:w="1599" w:type="dxa"/>
            <w:vAlign w:val="center"/>
            <w:hideMark/>
          </w:tcPr>
          <w:p w14:paraId="44688924"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1 806</w:t>
            </w:r>
          </w:p>
        </w:tc>
        <w:tc>
          <w:tcPr>
            <w:tcW w:w="1598" w:type="dxa"/>
            <w:vAlign w:val="center"/>
            <w:hideMark/>
          </w:tcPr>
          <w:p w14:paraId="7961F7ED"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740</w:t>
            </w:r>
          </w:p>
        </w:tc>
        <w:tc>
          <w:tcPr>
            <w:tcW w:w="1599" w:type="dxa"/>
            <w:vAlign w:val="bottom"/>
            <w:hideMark/>
          </w:tcPr>
          <w:p w14:paraId="3E7134BC"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6 950</w:t>
            </w:r>
          </w:p>
        </w:tc>
      </w:tr>
      <w:tr w:rsidR="00AE0840" w:rsidRPr="00173E7B" w14:paraId="47072B92" w14:textId="77777777" w:rsidTr="00AE0840">
        <w:trPr>
          <w:trHeight w:val="227"/>
        </w:trPr>
        <w:tc>
          <w:tcPr>
            <w:tcW w:w="1134" w:type="dxa"/>
            <w:shd w:val="clear" w:color="auto" w:fill="D9E2F3" w:themeFill="accent1" w:themeFillTint="33"/>
            <w:noWrap/>
            <w:vAlign w:val="center"/>
            <w:hideMark/>
          </w:tcPr>
          <w:p w14:paraId="772B867C"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2018/2019</w:t>
            </w:r>
          </w:p>
        </w:tc>
        <w:tc>
          <w:tcPr>
            <w:tcW w:w="1431" w:type="dxa"/>
            <w:vAlign w:val="center"/>
            <w:hideMark/>
          </w:tcPr>
          <w:p w14:paraId="5BD3474B"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420 782</w:t>
            </w:r>
          </w:p>
        </w:tc>
        <w:tc>
          <w:tcPr>
            <w:tcW w:w="1598" w:type="dxa"/>
            <w:vAlign w:val="center"/>
            <w:hideMark/>
          </w:tcPr>
          <w:p w14:paraId="5362F903"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411 477</w:t>
            </w:r>
          </w:p>
        </w:tc>
        <w:tc>
          <w:tcPr>
            <w:tcW w:w="1599" w:type="dxa"/>
            <w:vAlign w:val="center"/>
            <w:hideMark/>
          </w:tcPr>
          <w:p w14:paraId="16F7D018"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1 825</w:t>
            </w:r>
          </w:p>
        </w:tc>
        <w:tc>
          <w:tcPr>
            <w:tcW w:w="1598" w:type="dxa"/>
            <w:vAlign w:val="center"/>
            <w:hideMark/>
          </w:tcPr>
          <w:p w14:paraId="3BF6E0B1"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712</w:t>
            </w:r>
          </w:p>
        </w:tc>
        <w:tc>
          <w:tcPr>
            <w:tcW w:w="1599" w:type="dxa"/>
            <w:vAlign w:val="bottom"/>
            <w:hideMark/>
          </w:tcPr>
          <w:p w14:paraId="0916B414"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6 768</w:t>
            </w:r>
          </w:p>
        </w:tc>
      </w:tr>
      <w:tr w:rsidR="00AE0840" w:rsidRPr="00173E7B" w14:paraId="10BD20C5" w14:textId="77777777" w:rsidTr="00AE0840">
        <w:trPr>
          <w:trHeight w:val="227"/>
        </w:trPr>
        <w:tc>
          <w:tcPr>
            <w:tcW w:w="1134" w:type="dxa"/>
            <w:shd w:val="clear" w:color="auto" w:fill="D9E2F3" w:themeFill="accent1" w:themeFillTint="33"/>
            <w:noWrap/>
            <w:vAlign w:val="center"/>
            <w:hideMark/>
          </w:tcPr>
          <w:p w14:paraId="791F64BD"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2017/2018</w:t>
            </w:r>
          </w:p>
        </w:tc>
        <w:tc>
          <w:tcPr>
            <w:tcW w:w="1431" w:type="dxa"/>
            <w:vAlign w:val="center"/>
            <w:hideMark/>
          </w:tcPr>
          <w:p w14:paraId="4468ABA8"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421 499</w:t>
            </w:r>
          </w:p>
        </w:tc>
        <w:tc>
          <w:tcPr>
            <w:tcW w:w="1598" w:type="dxa"/>
            <w:vAlign w:val="center"/>
            <w:hideMark/>
          </w:tcPr>
          <w:p w14:paraId="7E8E35C0"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412 304</w:t>
            </w:r>
          </w:p>
        </w:tc>
        <w:tc>
          <w:tcPr>
            <w:tcW w:w="1599" w:type="dxa"/>
            <w:vAlign w:val="center"/>
            <w:hideMark/>
          </w:tcPr>
          <w:p w14:paraId="30B1124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1 848</w:t>
            </w:r>
          </w:p>
        </w:tc>
        <w:tc>
          <w:tcPr>
            <w:tcW w:w="1598" w:type="dxa"/>
            <w:vAlign w:val="center"/>
            <w:hideMark/>
          </w:tcPr>
          <w:p w14:paraId="14169CF0"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695</w:t>
            </w:r>
          </w:p>
        </w:tc>
        <w:tc>
          <w:tcPr>
            <w:tcW w:w="1599" w:type="dxa"/>
            <w:vAlign w:val="bottom"/>
            <w:hideMark/>
          </w:tcPr>
          <w:p w14:paraId="428F5BAF"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6 652</w:t>
            </w:r>
          </w:p>
        </w:tc>
      </w:tr>
      <w:tr w:rsidR="00AE0840" w:rsidRPr="00173E7B" w14:paraId="410043AF" w14:textId="77777777" w:rsidTr="00AE0840">
        <w:trPr>
          <w:trHeight w:val="227"/>
        </w:trPr>
        <w:tc>
          <w:tcPr>
            <w:tcW w:w="1134" w:type="dxa"/>
            <w:shd w:val="clear" w:color="auto" w:fill="D9E2F3" w:themeFill="accent1" w:themeFillTint="33"/>
            <w:noWrap/>
            <w:vAlign w:val="center"/>
            <w:hideMark/>
          </w:tcPr>
          <w:p w14:paraId="429ED106"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2016/2017</w:t>
            </w:r>
          </w:p>
        </w:tc>
        <w:tc>
          <w:tcPr>
            <w:tcW w:w="1431" w:type="dxa"/>
            <w:vAlign w:val="center"/>
            <w:hideMark/>
          </w:tcPr>
          <w:p w14:paraId="61C5BA81"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424 805</w:t>
            </w:r>
          </w:p>
        </w:tc>
        <w:tc>
          <w:tcPr>
            <w:tcW w:w="1598" w:type="dxa"/>
            <w:vAlign w:val="center"/>
            <w:hideMark/>
          </w:tcPr>
          <w:p w14:paraId="7990D33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415 742</w:t>
            </w:r>
          </w:p>
        </w:tc>
        <w:tc>
          <w:tcPr>
            <w:tcW w:w="1599" w:type="dxa"/>
            <w:vAlign w:val="center"/>
            <w:hideMark/>
          </w:tcPr>
          <w:p w14:paraId="44038B1E"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1 775</w:t>
            </w:r>
          </w:p>
        </w:tc>
        <w:tc>
          <w:tcPr>
            <w:tcW w:w="1598" w:type="dxa"/>
            <w:vAlign w:val="center"/>
            <w:hideMark/>
          </w:tcPr>
          <w:p w14:paraId="56FCE94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646</w:t>
            </w:r>
          </w:p>
        </w:tc>
        <w:tc>
          <w:tcPr>
            <w:tcW w:w="1599" w:type="dxa"/>
            <w:vAlign w:val="bottom"/>
            <w:hideMark/>
          </w:tcPr>
          <w:p w14:paraId="3F8DE112"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6 642</w:t>
            </w:r>
          </w:p>
        </w:tc>
      </w:tr>
      <w:tr w:rsidR="00AE0840" w:rsidRPr="00173E7B" w14:paraId="3673CB35" w14:textId="77777777" w:rsidTr="00AE0840">
        <w:trPr>
          <w:trHeight w:val="227"/>
        </w:trPr>
        <w:tc>
          <w:tcPr>
            <w:tcW w:w="1134" w:type="dxa"/>
            <w:shd w:val="clear" w:color="auto" w:fill="D9E2F3" w:themeFill="accent1" w:themeFillTint="33"/>
            <w:noWrap/>
            <w:vAlign w:val="center"/>
            <w:hideMark/>
          </w:tcPr>
          <w:p w14:paraId="423169BD"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2015/2016</w:t>
            </w:r>
          </w:p>
        </w:tc>
        <w:tc>
          <w:tcPr>
            <w:tcW w:w="1431" w:type="dxa"/>
            <w:vAlign w:val="center"/>
            <w:hideMark/>
          </w:tcPr>
          <w:p w14:paraId="7CB25757"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427 065</w:t>
            </w:r>
          </w:p>
        </w:tc>
        <w:tc>
          <w:tcPr>
            <w:tcW w:w="1598" w:type="dxa"/>
            <w:vAlign w:val="center"/>
            <w:hideMark/>
          </w:tcPr>
          <w:p w14:paraId="60CDA31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418 302</w:t>
            </w:r>
          </w:p>
        </w:tc>
        <w:tc>
          <w:tcPr>
            <w:tcW w:w="1599" w:type="dxa"/>
            <w:vAlign w:val="center"/>
            <w:hideMark/>
          </w:tcPr>
          <w:p w14:paraId="4BF64DD8"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1 702</w:t>
            </w:r>
          </w:p>
        </w:tc>
        <w:tc>
          <w:tcPr>
            <w:tcW w:w="1598" w:type="dxa"/>
            <w:vAlign w:val="center"/>
            <w:hideMark/>
          </w:tcPr>
          <w:p w14:paraId="431542EB"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615</w:t>
            </w:r>
          </w:p>
        </w:tc>
        <w:tc>
          <w:tcPr>
            <w:tcW w:w="1599" w:type="dxa"/>
            <w:vAlign w:val="bottom"/>
            <w:hideMark/>
          </w:tcPr>
          <w:p w14:paraId="21B4F6FB"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6 446</w:t>
            </w:r>
          </w:p>
        </w:tc>
      </w:tr>
      <w:tr w:rsidR="00AE0840" w:rsidRPr="00173E7B" w14:paraId="202AE3D8" w14:textId="77777777" w:rsidTr="00AE0840">
        <w:trPr>
          <w:trHeight w:val="227"/>
        </w:trPr>
        <w:tc>
          <w:tcPr>
            <w:tcW w:w="1134" w:type="dxa"/>
            <w:shd w:val="clear" w:color="auto" w:fill="D9E2F3" w:themeFill="accent1" w:themeFillTint="33"/>
            <w:noWrap/>
            <w:vAlign w:val="center"/>
            <w:hideMark/>
          </w:tcPr>
          <w:p w14:paraId="134789CC"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2014/2015</w:t>
            </w:r>
          </w:p>
        </w:tc>
        <w:tc>
          <w:tcPr>
            <w:tcW w:w="1431" w:type="dxa"/>
            <w:vAlign w:val="center"/>
            <w:hideMark/>
          </w:tcPr>
          <w:p w14:paraId="3A7E0CE9"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435 492</w:t>
            </w:r>
          </w:p>
        </w:tc>
        <w:tc>
          <w:tcPr>
            <w:tcW w:w="1598" w:type="dxa"/>
            <w:vAlign w:val="center"/>
            <w:hideMark/>
          </w:tcPr>
          <w:p w14:paraId="10C20A28"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426 655</w:t>
            </w:r>
          </w:p>
        </w:tc>
        <w:tc>
          <w:tcPr>
            <w:tcW w:w="1599" w:type="dxa"/>
            <w:vAlign w:val="center"/>
            <w:hideMark/>
          </w:tcPr>
          <w:p w14:paraId="7F0C6D41"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1 691</w:t>
            </w:r>
          </w:p>
        </w:tc>
        <w:tc>
          <w:tcPr>
            <w:tcW w:w="1598" w:type="dxa"/>
            <w:vAlign w:val="center"/>
            <w:hideMark/>
          </w:tcPr>
          <w:p w14:paraId="1AC856D1"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572</w:t>
            </w:r>
          </w:p>
        </w:tc>
        <w:tc>
          <w:tcPr>
            <w:tcW w:w="1599" w:type="dxa"/>
            <w:vAlign w:val="bottom"/>
            <w:hideMark/>
          </w:tcPr>
          <w:p w14:paraId="12B761AD"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6 574</w:t>
            </w:r>
          </w:p>
        </w:tc>
      </w:tr>
      <w:tr w:rsidR="00AE0840" w:rsidRPr="00173E7B" w14:paraId="31E6C678" w14:textId="77777777" w:rsidTr="00AE0840">
        <w:trPr>
          <w:trHeight w:val="227"/>
        </w:trPr>
        <w:tc>
          <w:tcPr>
            <w:tcW w:w="1134" w:type="dxa"/>
            <w:shd w:val="clear" w:color="auto" w:fill="D9E2F3" w:themeFill="accent1" w:themeFillTint="33"/>
            <w:noWrap/>
            <w:vAlign w:val="center"/>
            <w:hideMark/>
          </w:tcPr>
          <w:p w14:paraId="28739F93"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2013/2014</w:t>
            </w:r>
          </w:p>
        </w:tc>
        <w:tc>
          <w:tcPr>
            <w:tcW w:w="1431" w:type="dxa"/>
            <w:vAlign w:val="center"/>
            <w:hideMark/>
          </w:tcPr>
          <w:p w14:paraId="76BD9687"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448 745</w:t>
            </w:r>
          </w:p>
        </w:tc>
        <w:tc>
          <w:tcPr>
            <w:tcW w:w="1598" w:type="dxa"/>
            <w:vAlign w:val="center"/>
            <w:hideMark/>
          </w:tcPr>
          <w:p w14:paraId="6244A7DC"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439 598</w:t>
            </w:r>
          </w:p>
        </w:tc>
        <w:tc>
          <w:tcPr>
            <w:tcW w:w="1599" w:type="dxa"/>
            <w:vAlign w:val="center"/>
            <w:hideMark/>
          </w:tcPr>
          <w:p w14:paraId="7EE895A2"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1 652</w:t>
            </w:r>
          </w:p>
        </w:tc>
        <w:tc>
          <w:tcPr>
            <w:tcW w:w="1598" w:type="dxa"/>
            <w:vAlign w:val="center"/>
            <w:hideMark/>
          </w:tcPr>
          <w:p w14:paraId="3BC16B93"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560</w:t>
            </w:r>
          </w:p>
        </w:tc>
        <w:tc>
          <w:tcPr>
            <w:tcW w:w="1599" w:type="dxa"/>
            <w:vAlign w:val="bottom"/>
            <w:hideMark/>
          </w:tcPr>
          <w:p w14:paraId="0648CCD5"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6 935</w:t>
            </w:r>
          </w:p>
        </w:tc>
      </w:tr>
      <w:tr w:rsidR="00AE0840" w:rsidRPr="00173E7B" w14:paraId="1884C974" w14:textId="77777777" w:rsidTr="00AE0840">
        <w:trPr>
          <w:trHeight w:val="227"/>
        </w:trPr>
        <w:tc>
          <w:tcPr>
            <w:tcW w:w="1134" w:type="dxa"/>
            <w:shd w:val="clear" w:color="auto" w:fill="D9E2F3" w:themeFill="accent1" w:themeFillTint="33"/>
            <w:noWrap/>
            <w:vAlign w:val="center"/>
            <w:hideMark/>
          </w:tcPr>
          <w:p w14:paraId="7D58C12E"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2012/2013</w:t>
            </w:r>
          </w:p>
        </w:tc>
        <w:tc>
          <w:tcPr>
            <w:tcW w:w="1431" w:type="dxa"/>
            <w:vAlign w:val="center"/>
            <w:hideMark/>
          </w:tcPr>
          <w:p w14:paraId="50F80EE0"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470 725</w:t>
            </w:r>
          </w:p>
        </w:tc>
        <w:tc>
          <w:tcPr>
            <w:tcW w:w="1598" w:type="dxa"/>
            <w:vAlign w:val="center"/>
            <w:hideMark/>
          </w:tcPr>
          <w:p w14:paraId="575F894E"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461 701</w:t>
            </w:r>
          </w:p>
        </w:tc>
        <w:tc>
          <w:tcPr>
            <w:tcW w:w="1599" w:type="dxa"/>
            <w:vAlign w:val="center"/>
            <w:hideMark/>
          </w:tcPr>
          <w:p w14:paraId="07235EB0"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1 574</w:t>
            </w:r>
          </w:p>
        </w:tc>
        <w:tc>
          <w:tcPr>
            <w:tcW w:w="1598" w:type="dxa"/>
            <w:vAlign w:val="center"/>
            <w:hideMark/>
          </w:tcPr>
          <w:p w14:paraId="72F4483F"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467</w:t>
            </w:r>
          </w:p>
        </w:tc>
        <w:tc>
          <w:tcPr>
            <w:tcW w:w="1599" w:type="dxa"/>
            <w:vAlign w:val="bottom"/>
            <w:hideMark/>
          </w:tcPr>
          <w:p w14:paraId="20848F93"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6 983</w:t>
            </w:r>
          </w:p>
        </w:tc>
      </w:tr>
      <w:tr w:rsidR="00AE0840" w:rsidRPr="00173E7B" w14:paraId="2E837391" w14:textId="77777777" w:rsidTr="00AE0840">
        <w:trPr>
          <w:trHeight w:val="227"/>
        </w:trPr>
        <w:tc>
          <w:tcPr>
            <w:tcW w:w="1134" w:type="dxa"/>
            <w:shd w:val="clear" w:color="auto" w:fill="D9E2F3" w:themeFill="accent1" w:themeFillTint="33"/>
            <w:noWrap/>
            <w:vAlign w:val="center"/>
            <w:hideMark/>
          </w:tcPr>
          <w:p w14:paraId="393132D2"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2011/2012</w:t>
            </w:r>
          </w:p>
        </w:tc>
        <w:tc>
          <w:tcPr>
            <w:tcW w:w="1431" w:type="dxa"/>
            <w:vAlign w:val="center"/>
            <w:hideMark/>
          </w:tcPr>
          <w:p w14:paraId="2F77674D"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501 185</w:t>
            </w:r>
          </w:p>
        </w:tc>
        <w:tc>
          <w:tcPr>
            <w:tcW w:w="1598" w:type="dxa"/>
            <w:vAlign w:val="center"/>
            <w:hideMark/>
          </w:tcPr>
          <w:p w14:paraId="12C2B39E"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492 333</w:t>
            </w:r>
          </w:p>
        </w:tc>
        <w:tc>
          <w:tcPr>
            <w:tcW w:w="1599" w:type="dxa"/>
            <w:vAlign w:val="center"/>
            <w:hideMark/>
          </w:tcPr>
          <w:p w14:paraId="5271622E"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1 530</w:t>
            </w:r>
          </w:p>
        </w:tc>
        <w:tc>
          <w:tcPr>
            <w:tcW w:w="1598" w:type="dxa"/>
            <w:vAlign w:val="center"/>
            <w:hideMark/>
          </w:tcPr>
          <w:p w14:paraId="62D057E0"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474</w:t>
            </w:r>
          </w:p>
        </w:tc>
        <w:tc>
          <w:tcPr>
            <w:tcW w:w="1599" w:type="dxa"/>
            <w:vAlign w:val="bottom"/>
            <w:hideMark/>
          </w:tcPr>
          <w:p w14:paraId="6DC80C0E"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6 848</w:t>
            </w:r>
          </w:p>
        </w:tc>
      </w:tr>
      <w:tr w:rsidR="00AE0840" w:rsidRPr="00173E7B" w14:paraId="7FCE6985" w14:textId="77777777" w:rsidTr="00AE0840">
        <w:trPr>
          <w:trHeight w:val="227"/>
        </w:trPr>
        <w:tc>
          <w:tcPr>
            <w:tcW w:w="1134" w:type="dxa"/>
            <w:shd w:val="clear" w:color="auto" w:fill="D9E2F3" w:themeFill="accent1" w:themeFillTint="33"/>
            <w:noWrap/>
            <w:vAlign w:val="center"/>
            <w:hideMark/>
          </w:tcPr>
          <w:p w14:paraId="03F54C88"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2010/2011</w:t>
            </w:r>
          </w:p>
        </w:tc>
        <w:tc>
          <w:tcPr>
            <w:tcW w:w="1431" w:type="dxa"/>
            <w:vAlign w:val="center"/>
            <w:hideMark/>
          </w:tcPr>
          <w:p w14:paraId="7485C27D"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532 889</w:t>
            </w:r>
          </w:p>
        </w:tc>
        <w:tc>
          <w:tcPr>
            <w:tcW w:w="1598" w:type="dxa"/>
            <w:vAlign w:val="center"/>
            <w:hideMark/>
          </w:tcPr>
          <w:p w14:paraId="4A832162"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524 431</w:t>
            </w:r>
          </w:p>
        </w:tc>
        <w:tc>
          <w:tcPr>
            <w:tcW w:w="1599" w:type="dxa"/>
            <w:vAlign w:val="center"/>
            <w:hideMark/>
          </w:tcPr>
          <w:p w14:paraId="23A47CB4"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1 540</w:t>
            </w:r>
          </w:p>
        </w:tc>
        <w:tc>
          <w:tcPr>
            <w:tcW w:w="1598" w:type="dxa"/>
            <w:vAlign w:val="center"/>
            <w:hideMark/>
          </w:tcPr>
          <w:p w14:paraId="7850BF88"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521</w:t>
            </w:r>
          </w:p>
        </w:tc>
        <w:tc>
          <w:tcPr>
            <w:tcW w:w="1599" w:type="dxa"/>
            <w:vAlign w:val="bottom"/>
            <w:hideMark/>
          </w:tcPr>
          <w:p w14:paraId="4CD0C2CF"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6 397</w:t>
            </w:r>
          </w:p>
        </w:tc>
      </w:tr>
      <w:tr w:rsidR="00AE0840" w:rsidRPr="00173E7B" w14:paraId="3B355287" w14:textId="77777777" w:rsidTr="00AE0840">
        <w:trPr>
          <w:trHeight w:val="227"/>
        </w:trPr>
        <w:tc>
          <w:tcPr>
            <w:tcW w:w="1134" w:type="dxa"/>
            <w:shd w:val="clear" w:color="auto" w:fill="D9E2F3" w:themeFill="accent1" w:themeFillTint="33"/>
            <w:noWrap/>
            <w:vAlign w:val="center"/>
            <w:hideMark/>
          </w:tcPr>
          <w:p w14:paraId="2CB309DB"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2009/2010</w:t>
            </w:r>
          </w:p>
        </w:tc>
        <w:tc>
          <w:tcPr>
            <w:tcW w:w="1431" w:type="dxa"/>
            <w:vAlign w:val="center"/>
            <w:hideMark/>
          </w:tcPr>
          <w:p w14:paraId="6B8DD7D2"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556 260</w:t>
            </w:r>
          </w:p>
        </w:tc>
        <w:tc>
          <w:tcPr>
            <w:tcW w:w="1598" w:type="dxa"/>
            <w:vAlign w:val="center"/>
            <w:hideMark/>
          </w:tcPr>
          <w:p w14:paraId="3B9D752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548 360</w:t>
            </w:r>
          </w:p>
        </w:tc>
        <w:tc>
          <w:tcPr>
            <w:tcW w:w="1599" w:type="dxa"/>
            <w:vAlign w:val="center"/>
            <w:hideMark/>
          </w:tcPr>
          <w:p w14:paraId="22A3EEF9"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1 373</w:t>
            </w:r>
          </w:p>
        </w:tc>
        <w:tc>
          <w:tcPr>
            <w:tcW w:w="1598" w:type="dxa"/>
            <w:vAlign w:val="center"/>
            <w:hideMark/>
          </w:tcPr>
          <w:p w14:paraId="06139AD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541</w:t>
            </w:r>
          </w:p>
        </w:tc>
        <w:tc>
          <w:tcPr>
            <w:tcW w:w="1599" w:type="dxa"/>
            <w:vAlign w:val="bottom"/>
            <w:hideMark/>
          </w:tcPr>
          <w:p w14:paraId="39277EB9"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5 986</w:t>
            </w:r>
          </w:p>
        </w:tc>
      </w:tr>
      <w:tr w:rsidR="00AE0840" w:rsidRPr="00173E7B" w14:paraId="1EE9E361" w14:textId="77777777" w:rsidTr="00AE0840">
        <w:trPr>
          <w:trHeight w:val="227"/>
        </w:trPr>
        <w:tc>
          <w:tcPr>
            <w:tcW w:w="1134" w:type="dxa"/>
            <w:shd w:val="clear" w:color="auto" w:fill="D9E2F3" w:themeFill="accent1" w:themeFillTint="33"/>
            <w:noWrap/>
            <w:vAlign w:val="center"/>
            <w:hideMark/>
          </w:tcPr>
          <w:p w14:paraId="07ABDE49"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2008/2009</w:t>
            </w:r>
          </w:p>
        </w:tc>
        <w:tc>
          <w:tcPr>
            <w:tcW w:w="1431" w:type="dxa"/>
            <w:vAlign w:val="center"/>
            <w:hideMark/>
          </w:tcPr>
          <w:p w14:paraId="677B56CE"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564 326</w:t>
            </w:r>
          </w:p>
        </w:tc>
        <w:tc>
          <w:tcPr>
            <w:tcW w:w="1598" w:type="dxa"/>
            <w:vAlign w:val="center"/>
            <w:hideMark/>
          </w:tcPr>
          <w:p w14:paraId="01BE1733"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557 192</w:t>
            </w:r>
          </w:p>
        </w:tc>
        <w:tc>
          <w:tcPr>
            <w:tcW w:w="1599" w:type="dxa"/>
            <w:vAlign w:val="center"/>
            <w:hideMark/>
          </w:tcPr>
          <w:p w14:paraId="748CA464"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1 220</w:t>
            </w:r>
          </w:p>
        </w:tc>
        <w:tc>
          <w:tcPr>
            <w:tcW w:w="1598" w:type="dxa"/>
            <w:vAlign w:val="center"/>
            <w:hideMark/>
          </w:tcPr>
          <w:p w14:paraId="528B7841"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549</w:t>
            </w:r>
          </w:p>
        </w:tc>
        <w:tc>
          <w:tcPr>
            <w:tcW w:w="1599" w:type="dxa"/>
            <w:vAlign w:val="bottom"/>
            <w:hideMark/>
          </w:tcPr>
          <w:p w14:paraId="4B9143FB"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5 365</w:t>
            </w:r>
          </w:p>
        </w:tc>
      </w:tr>
      <w:tr w:rsidR="00AE0840" w:rsidRPr="00173E7B" w14:paraId="132570FC" w14:textId="77777777" w:rsidTr="00AE0840">
        <w:trPr>
          <w:trHeight w:val="227"/>
        </w:trPr>
        <w:tc>
          <w:tcPr>
            <w:tcW w:w="1134" w:type="dxa"/>
            <w:shd w:val="clear" w:color="auto" w:fill="D9E2F3" w:themeFill="accent1" w:themeFillTint="33"/>
            <w:noWrap/>
            <w:vAlign w:val="center"/>
            <w:hideMark/>
          </w:tcPr>
          <w:p w14:paraId="0DC4C8FF"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2007/2008</w:t>
            </w:r>
          </w:p>
        </w:tc>
        <w:tc>
          <w:tcPr>
            <w:tcW w:w="1431" w:type="dxa"/>
            <w:vAlign w:val="center"/>
            <w:hideMark/>
          </w:tcPr>
          <w:p w14:paraId="515FA06C"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569 267</w:t>
            </w:r>
          </w:p>
        </w:tc>
        <w:tc>
          <w:tcPr>
            <w:tcW w:w="1598" w:type="dxa"/>
            <w:vAlign w:val="center"/>
            <w:hideMark/>
          </w:tcPr>
          <w:p w14:paraId="5C9A3B81"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562 953</w:t>
            </w:r>
          </w:p>
        </w:tc>
        <w:tc>
          <w:tcPr>
            <w:tcW w:w="1599" w:type="dxa"/>
            <w:vAlign w:val="center"/>
            <w:hideMark/>
          </w:tcPr>
          <w:p w14:paraId="23E9AFC3"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1 035</w:t>
            </w:r>
          </w:p>
        </w:tc>
        <w:tc>
          <w:tcPr>
            <w:tcW w:w="1598" w:type="dxa"/>
            <w:vAlign w:val="center"/>
            <w:hideMark/>
          </w:tcPr>
          <w:p w14:paraId="570894E5"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531</w:t>
            </w:r>
          </w:p>
        </w:tc>
        <w:tc>
          <w:tcPr>
            <w:tcW w:w="1599" w:type="dxa"/>
            <w:vAlign w:val="bottom"/>
            <w:hideMark/>
          </w:tcPr>
          <w:p w14:paraId="7F44F2D9"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4 748</w:t>
            </w:r>
          </w:p>
        </w:tc>
      </w:tr>
      <w:tr w:rsidR="00AE0840" w:rsidRPr="00173E7B" w14:paraId="0972604E" w14:textId="77777777" w:rsidTr="00AE0840">
        <w:trPr>
          <w:trHeight w:val="227"/>
        </w:trPr>
        <w:tc>
          <w:tcPr>
            <w:tcW w:w="1134" w:type="dxa"/>
            <w:shd w:val="clear" w:color="auto" w:fill="D9E2F3" w:themeFill="accent1" w:themeFillTint="33"/>
            <w:noWrap/>
            <w:vAlign w:val="center"/>
            <w:hideMark/>
          </w:tcPr>
          <w:p w14:paraId="1E6C3AA8"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2006/2007</w:t>
            </w:r>
          </w:p>
        </w:tc>
        <w:tc>
          <w:tcPr>
            <w:tcW w:w="1431" w:type="dxa"/>
            <w:vAlign w:val="center"/>
            <w:hideMark/>
          </w:tcPr>
          <w:p w14:paraId="391300F8"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576 585</w:t>
            </w:r>
          </w:p>
        </w:tc>
        <w:tc>
          <w:tcPr>
            <w:tcW w:w="1598" w:type="dxa"/>
            <w:vAlign w:val="center"/>
            <w:hideMark/>
          </w:tcPr>
          <w:p w14:paraId="2918FDF1"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570 970</w:t>
            </w:r>
          </w:p>
        </w:tc>
        <w:tc>
          <w:tcPr>
            <w:tcW w:w="1599" w:type="dxa"/>
            <w:vAlign w:val="center"/>
            <w:hideMark/>
          </w:tcPr>
          <w:p w14:paraId="3ED2C3D8"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861</w:t>
            </w:r>
          </w:p>
        </w:tc>
        <w:tc>
          <w:tcPr>
            <w:tcW w:w="1598" w:type="dxa"/>
            <w:vAlign w:val="center"/>
            <w:hideMark/>
          </w:tcPr>
          <w:p w14:paraId="36AFFF46"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381</w:t>
            </w:r>
          </w:p>
        </w:tc>
        <w:tc>
          <w:tcPr>
            <w:tcW w:w="1599" w:type="dxa"/>
            <w:vAlign w:val="bottom"/>
            <w:hideMark/>
          </w:tcPr>
          <w:p w14:paraId="18E0F70D"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4 373</w:t>
            </w:r>
          </w:p>
        </w:tc>
      </w:tr>
      <w:tr w:rsidR="00AE0840" w:rsidRPr="00173E7B" w14:paraId="2C14C884" w14:textId="77777777" w:rsidTr="00AE0840">
        <w:trPr>
          <w:trHeight w:val="227"/>
        </w:trPr>
        <w:tc>
          <w:tcPr>
            <w:tcW w:w="1134" w:type="dxa"/>
            <w:shd w:val="clear" w:color="auto" w:fill="D9E2F3" w:themeFill="accent1" w:themeFillTint="33"/>
            <w:noWrap/>
            <w:vAlign w:val="center"/>
            <w:hideMark/>
          </w:tcPr>
          <w:p w14:paraId="03E534C1" w14:textId="77777777" w:rsidR="00AE0840" w:rsidRPr="00173E7B" w:rsidRDefault="00AE0840" w:rsidP="004A0C47">
            <w:pPr>
              <w:jc w:val="center"/>
              <w:rPr>
                <w:rFonts w:ascii="Arial Narrow" w:eastAsia="Times New Roman" w:hAnsi="Arial Narrow"/>
                <w:sz w:val="18"/>
                <w:szCs w:val="18"/>
                <w:lang w:eastAsia="cs-CZ"/>
              </w:rPr>
            </w:pPr>
            <w:r w:rsidRPr="00173E7B">
              <w:rPr>
                <w:rFonts w:ascii="Arial Narrow" w:eastAsia="Times New Roman" w:hAnsi="Arial Narrow"/>
                <w:sz w:val="18"/>
                <w:szCs w:val="18"/>
                <w:lang w:eastAsia="cs-CZ"/>
              </w:rPr>
              <w:t>2005/2006</w:t>
            </w:r>
          </w:p>
        </w:tc>
        <w:tc>
          <w:tcPr>
            <w:tcW w:w="1431" w:type="dxa"/>
            <w:vAlign w:val="center"/>
            <w:hideMark/>
          </w:tcPr>
          <w:p w14:paraId="0B258E3B"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577 605</w:t>
            </w:r>
          </w:p>
        </w:tc>
        <w:tc>
          <w:tcPr>
            <w:tcW w:w="1598" w:type="dxa"/>
            <w:vAlign w:val="center"/>
            <w:hideMark/>
          </w:tcPr>
          <w:p w14:paraId="3ACE372A"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572 665</w:t>
            </w:r>
          </w:p>
        </w:tc>
        <w:tc>
          <w:tcPr>
            <w:tcW w:w="1599" w:type="dxa"/>
            <w:vAlign w:val="center"/>
            <w:hideMark/>
          </w:tcPr>
          <w:p w14:paraId="142715E9"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739</w:t>
            </w:r>
          </w:p>
        </w:tc>
        <w:tc>
          <w:tcPr>
            <w:tcW w:w="1598" w:type="dxa"/>
            <w:vAlign w:val="center"/>
            <w:hideMark/>
          </w:tcPr>
          <w:p w14:paraId="3A804258" w14:textId="77777777" w:rsidR="00AE0840" w:rsidRPr="00173E7B" w:rsidRDefault="00AE0840" w:rsidP="004A0C47">
            <w:pPr>
              <w:jc w:val="center"/>
              <w:rPr>
                <w:rFonts w:ascii="Arial Narrow" w:eastAsia="Times New Roman" w:hAnsi="Arial Narrow" w:cs="Tahoma"/>
                <w:sz w:val="18"/>
                <w:szCs w:val="18"/>
                <w:lang w:eastAsia="cs-CZ"/>
              </w:rPr>
            </w:pPr>
            <w:r w:rsidRPr="00173E7B">
              <w:rPr>
                <w:rFonts w:ascii="Arial Narrow" w:hAnsi="Arial Narrow" w:cs="Tahoma"/>
                <w:sz w:val="18"/>
                <w:szCs w:val="18"/>
              </w:rPr>
              <w:t>360</w:t>
            </w:r>
          </w:p>
        </w:tc>
        <w:tc>
          <w:tcPr>
            <w:tcW w:w="1599" w:type="dxa"/>
            <w:vAlign w:val="bottom"/>
            <w:hideMark/>
          </w:tcPr>
          <w:p w14:paraId="657DF45F" w14:textId="77777777" w:rsidR="00AE0840" w:rsidRPr="00173E7B" w:rsidRDefault="00AE0840" w:rsidP="004A0C47">
            <w:pPr>
              <w:jc w:val="center"/>
              <w:rPr>
                <w:rFonts w:ascii="Arial Narrow" w:hAnsi="Arial Narrow" w:cs="Tahoma"/>
                <w:sz w:val="18"/>
                <w:szCs w:val="18"/>
              </w:rPr>
            </w:pPr>
            <w:r w:rsidRPr="00173E7B">
              <w:rPr>
                <w:rFonts w:ascii="Arial Narrow" w:hAnsi="Arial Narrow" w:cs="Tahoma"/>
                <w:sz w:val="18"/>
                <w:szCs w:val="18"/>
              </w:rPr>
              <w:t>3 841</w:t>
            </w:r>
          </w:p>
        </w:tc>
      </w:tr>
    </w:tbl>
    <w:p w14:paraId="0EC1160F" w14:textId="77777777" w:rsidR="00AE0840" w:rsidRPr="00173E7B" w:rsidRDefault="00E568AB" w:rsidP="00AE0840">
      <w:pPr>
        <w:spacing w:after="240" w:line="276" w:lineRule="auto"/>
        <w:rPr>
          <w:rFonts w:ascii="Arial Narrow" w:hAnsi="Arial Narrow"/>
          <w:sz w:val="20"/>
          <w:szCs w:val="20"/>
        </w:rPr>
      </w:pPr>
      <w:r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003937B0" w:rsidRPr="00173E7B">
        <w:rPr>
          <w:rFonts w:ascii="Arial Narrow" w:hAnsi="Arial Narrow"/>
          <w:sz w:val="20"/>
          <w:szCs w:val="20"/>
        </w:rPr>
        <w:tab/>
        <w:t xml:space="preserve"> </w:t>
      </w:r>
      <w:r w:rsidR="003937B0" w:rsidRPr="00173E7B">
        <w:rPr>
          <w:rFonts w:ascii="Arial Narrow" w:hAnsi="Arial Narrow"/>
          <w:sz w:val="20"/>
          <w:szCs w:val="20"/>
        </w:rPr>
        <w:tab/>
      </w:r>
      <w:r w:rsidR="003937B0" w:rsidRPr="00173E7B">
        <w:rPr>
          <w:rFonts w:ascii="Arial Narrow" w:hAnsi="Arial Narrow"/>
          <w:sz w:val="20"/>
          <w:szCs w:val="20"/>
        </w:rPr>
        <w:tab/>
      </w:r>
      <w:r w:rsidR="003937B0" w:rsidRPr="00173E7B">
        <w:rPr>
          <w:rFonts w:ascii="Arial Narrow" w:hAnsi="Arial Narrow"/>
          <w:sz w:val="20"/>
          <w:szCs w:val="20"/>
        </w:rPr>
        <w:tab/>
        <w:t xml:space="preserve">        </w:t>
      </w:r>
      <w:r w:rsidRPr="00173E7B">
        <w:rPr>
          <w:rFonts w:ascii="Arial Narrow" w:hAnsi="Arial Narrow"/>
          <w:sz w:val="20"/>
          <w:szCs w:val="20"/>
        </w:rPr>
        <w:t xml:space="preserve">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r w:rsidR="00AE0840" w:rsidRPr="00173E7B">
        <w:rPr>
          <w:rFonts w:ascii="Arial Narrow" w:hAnsi="Arial Narrow"/>
          <w:sz w:val="20"/>
          <w:szCs w:val="20"/>
        </w:rPr>
        <w:t xml:space="preserve"> </w:t>
      </w:r>
    </w:p>
    <w:p w14:paraId="61ECF146" w14:textId="30D5A253" w:rsidR="00F1264F" w:rsidRPr="00173E7B" w:rsidRDefault="00F1264F" w:rsidP="00AE0840">
      <w:pPr>
        <w:spacing w:after="240" w:line="276" w:lineRule="auto"/>
        <w:jc w:val="both"/>
        <w:rPr>
          <w:rFonts w:ascii="Arial Narrow" w:hAnsi="Arial Narrow"/>
          <w:sz w:val="20"/>
          <w:szCs w:val="20"/>
        </w:rPr>
      </w:pPr>
      <w:r w:rsidRPr="00173E7B">
        <w:rPr>
          <w:rFonts w:ascii="Arial Narrow" w:hAnsi="Arial Narrow"/>
        </w:rPr>
        <w:t xml:space="preserve">Žáci </w:t>
      </w:r>
      <w:r w:rsidR="006747FE" w:rsidRPr="00173E7B">
        <w:rPr>
          <w:rFonts w:ascii="Arial Narrow" w:hAnsi="Arial Narrow"/>
        </w:rPr>
        <w:t>středních škol</w:t>
      </w:r>
      <w:r w:rsidRPr="00173E7B">
        <w:rPr>
          <w:rFonts w:ascii="Arial Narrow" w:hAnsi="Arial Narrow"/>
        </w:rPr>
        <w:t xml:space="preserve"> </w:t>
      </w:r>
      <w:r w:rsidR="006747FE" w:rsidRPr="00173E7B">
        <w:rPr>
          <w:rFonts w:ascii="Arial Narrow" w:hAnsi="Arial Narrow"/>
          <w:bCs/>
        </w:rPr>
        <w:t xml:space="preserve">s jinou než českou státní příslušností </w:t>
      </w:r>
      <w:r w:rsidRPr="00173E7B">
        <w:rPr>
          <w:rFonts w:ascii="Arial Narrow" w:hAnsi="Arial Narrow"/>
        </w:rPr>
        <w:t xml:space="preserve">mají přístup ke vzdělávání a školským službám podle školského zákona v ČR za stejných podmínek jako občané ČR (nečiní se rozdíl v poskytování vzdělávání mezi žáky ze zemí EU, ze třetích zemí nebo podle formy pobytu). </w:t>
      </w:r>
    </w:p>
    <w:p w14:paraId="4AA26931" w14:textId="77777777" w:rsidR="00AE0840" w:rsidRPr="00173E7B" w:rsidRDefault="00AE0840" w:rsidP="00AE0840">
      <w:pPr>
        <w:spacing w:after="240" w:line="276" w:lineRule="auto"/>
        <w:jc w:val="both"/>
        <w:rPr>
          <w:rFonts w:ascii="Arial Narrow" w:hAnsi="Arial Narrow"/>
          <w:bCs/>
        </w:rPr>
      </w:pPr>
      <w:r w:rsidRPr="00173E7B">
        <w:rPr>
          <w:rFonts w:ascii="Arial Narrow" w:hAnsi="Arial Narrow"/>
          <w:bCs/>
        </w:rPr>
        <w:t xml:space="preserve">Ve školním roce 2022/2023 navštěvovalo školní zařízení 14 128 žáků s jiným než českým občanstvím. </w:t>
      </w:r>
      <w:r w:rsidRPr="00173E7B">
        <w:rPr>
          <w:rFonts w:ascii="Arial Narrow" w:hAnsi="Arial Narrow"/>
          <w:b/>
        </w:rPr>
        <w:t>Jedná se o zhruba 17% nárůst počtu žáků s jinou než českou státní příslušností v mateřských školách oproti školnímu roku 2021/2022.</w:t>
      </w:r>
      <w:r w:rsidRPr="00173E7B">
        <w:rPr>
          <w:rFonts w:ascii="Arial Narrow" w:hAnsi="Arial Narrow"/>
          <w:bCs/>
        </w:rPr>
        <w:t xml:space="preserve"> Počet žáků s trvalým pobytem se zvýšil o 7 procent. Oproti školnímu roku 2021/2022 došlo ovšem k mimořádnému nárůstu počtu žáku se statusem azylanta (osoby požívající doplňkové ochrany). </w:t>
      </w:r>
      <w:r w:rsidRPr="00173E7B">
        <w:rPr>
          <w:rFonts w:ascii="Arial Narrow" w:hAnsi="Arial Narrow"/>
          <w:b/>
        </w:rPr>
        <w:t>V předchozím roce činil počet azylantů ve středním stupni vzdělávání 51 dětí v současném školním roce to je 3 497 žáků</w:t>
      </w:r>
      <w:r w:rsidRPr="00173E7B">
        <w:rPr>
          <w:rFonts w:ascii="Arial Narrow" w:hAnsi="Arial Narrow"/>
          <w:bCs/>
        </w:rPr>
        <w:t>. Zvýšený počet azylantů v předškolním vzdělávání prakticky odpovídá nárůstu počtu cizinců v tomto stupni vzdělávání a vyskytuje se v drtivé většině případů u žáků s ukrajinským občanstvím.</w:t>
      </w:r>
    </w:p>
    <w:p w14:paraId="688D8353" w14:textId="703DC498" w:rsidR="00AE0840" w:rsidRPr="00173E7B" w:rsidRDefault="00AE0840" w:rsidP="00AE0840">
      <w:pPr>
        <w:spacing w:after="240" w:line="276" w:lineRule="auto"/>
        <w:jc w:val="both"/>
        <w:rPr>
          <w:rFonts w:ascii="Arial Narrow" w:hAnsi="Arial Narrow"/>
          <w:bCs/>
        </w:rPr>
      </w:pPr>
      <w:r w:rsidRPr="00173E7B">
        <w:rPr>
          <w:rFonts w:ascii="Arial Narrow" w:hAnsi="Arial Narrow"/>
          <w:bCs/>
        </w:rPr>
        <w:t xml:space="preserve">Nárůst počtu žáků s jinou než českou státní příslušností na středoškolském stupni vzdělávání je tvořen prakticky výhradně větším počtem osob s ukrajinskou státní příslušností. U ostatních žáků s jinou státní příslušností je situace poměrně stabilní nebo vykazuje mírný vzestup, který je ovšem v souladu s dlouhodobým trendem. Zatímco ve školním roce 2021/2022 navštěvovalo základní školy pouze 9 azylantů s ukrajinskou státní příslušností ve školním roce 2022/2023 je to 3 457. Určitý nárůst je patrný i v počtu ukrajinských žáků s trvalým pobytem, kdy ve školním roce 2021/2022 navštěvovalo SŠ 2 627 ukrajinských dětí a ve školním roce 2022/2023 celkem 2 971 Vlivem příchodu většího počtu osob s ukrajinskou státní příslušností v důsledku války na Ukrajině došlo i k výrazným proměnám podílu Ukrajinských žáků na celkovém počtu žáků s jinou než českou státní příslušností na středních školách. </w:t>
      </w:r>
      <w:r w:rsidRPr="00173E7B">
        <w:rPr>
          <w:rFonts w:ascii="Arial Narrow" w:hAnsi="Arial Narrow"/>
          <w:b/>
        </w:rPr>
        <w:t>Zatímco ve školním roce 2022 tvořili ukrajinští žáci 31 % všech žáků s jinou než českou státní příslušností ve školním roce 2022/2023 to bylo již 50 %.</w:t>
      </w:r>
      <w:r w:rsidRPr="00173E7B">
        <w:rPr>
          <w:rFonts w:ascii="Arial Narrow" w:hAnsi="Arial Narrow"/>
          <w:bCs/>
        </w:rPr>
        <w:t xml:space="preserve"> </w:t>
      </w:r>
      <w:r w:rsidR="00F1264F" w:rsidRPr="00173E7B">
        <w:rPr>
          <w:rFonts w:ascii="Arial Narrow" w:hAnsi="Arial Narrow"/>
          <w:bCs/>
          <w:color w:val="000000" w:themeColor="text1"/>
        </w:rPr>
        <w:t>Rozdělení žáků s</w:t>
      </w:r>
      <w:r w:rsidR="006747FE" w:rsidRPr="00173E7B">
        <w:rPr>
          <w:rFonts w:ascii="Arial Narrow" w:hAnsi="Arial Narrow"/>
          <w:bCs/>
          <w:color w:val="000000" w:themeColor="text1"/>
        </w:rPr>
        <w:t xml:space="preserve"> jinou než českou státní příslušností </w:t>
      </w:r>
      <w:r w:rsidR="00F1264F" w:rsidRPr="00173E7B">
        <w:rPr>
          <w:rFonts w:ascii="Arial Narrow" w:hAnsi="Arial Narrow"/>
          <w:bCs/>
          <w:color w:val="000000" w:themeColor="text1"/>
        </w:rPr>
        <w:t>ve školním roce 202</w:t>
      </w:r>
      <w:r w:rsidRPr="00173E7B">
        <w:rPr>
          <w:rFonts w:ascii="Arial Narrow" w:hAnsi="Arial Narrow"/>
          <w:bCs/>
          <w:color w:val="000000" w:themeColor="text1"/>
        </w:rPr>
        <w:t>2</w:t>
      </w:r>
      <w:r w:rsidR="00F1264F" w:rsidRPr="00173E7B">
        <w:rPr>
          <w:rFonts w:ascii="Arial Narrow" w:hAnsi="Arial Narrow"/>
          <w:bCs/>
          <w:color w:val="000000" w:themeColor="text1"/>
        </w:rPr>
        <w:t>/202</w:t>
      </w:r>
      <w:r w:rsidRPr="00173E7B">
        <w:rPr>
          <w:rFonts w:ascii="Arial Narrow" w:hAnsi="Arial Narrow"/>
          <w:bCs/>
          <w:color w:val="000000" w:themeColor="text1"/>
        </w:rPr>
        <w:t>3</w:t>
      </w:r>
      <w:r w:rsidR="00F1264F" w:rsidRPr="00173E7B">
        <w:rPr>
          <w:rFonts w:ascii="Arial Narrow" w:hAnsi="Arial Narrow"/>
          <w:bCs/>
          <w:color w:val="000000" w:themeColor="text1"/>
        </w:rPr>
        <w:t xml:space="preserve"> podrobně dokumentuje graf</w:t>
      </w:r>
      <w:r w:rsidR="00D6632A" w:rsidRPr="00173E7B">
        <w:rPr>
          <w:rFonts w:ascii="Arial Narrow" w:hAnsi="Arial Narrow"/>
          <w:bCs/>
          <w:color w:val="000000" w:themeColor="text1"/>
        </w:rPr>
        <w:t xml:space="preserve"> č. 36</w:t>
      </w:r>
      <w:r w:rsidR="00F1264F" w:rsidRPr="00173E7B">
        <w:rPr>
          <w:rFonts w:ascii="Arial Narrow" w:hAnsi="Arial Narrow"/>
          <w:bCs/>
          <w:color w:val="000000" w:themeColor="text1"/>
        </w:rPr>
        <w:t>.</w:t>
      </w:r>
      <w:bookmarkStart w:id="235" w:name="_Toc94443740"/>
    </w:p>
    <w:p w14:paraId="35B122F8" w14:textId="77777777" w:rsidR="00AE0840" w:rsidRPr="00173E7B" w:rsidRDefault="00AE0840" w:rsidP="00AE0840">
      <w:pPr>
        <w:spacing w:after="240" w:line="276" w:lineRule="auto"/>
        <w:jc w:val="both"/>
        <w:rPr>
          <w:rFonts w:ascii="Arial Narrow" w:hAnsi="Arial Narrow"/>
          <w:bCs/>
          <w:color w:val="FF0000"/>
        </w:rPr>
      </w:pPr>
    </w:p>
    <w:p w14:paraId="08A6FD70" w14:textId="77777777" w:rsidR="00AE0840" w:rsidRPr="00173E7B" w:rsidRDefault="00AE0840" w:rsidP="00AE0840">
      <w:pPr>
        <w:spacing w:after="240" w:line="276" w:lineRule="auto"/>
        <w:jc w:val="both"/>
        <w:rPr>
          <w:rFonts w:ascii="Arial Narrow" w:hAnsi="Arial Narrow"/>
          <w:bCs/>
          <w:color w:val="FF0000"/>
        </w:rPr>
      </w:pPr>
    </w:p>
    <w:p w14:paraId="19797939" w14:textId="0CF257E8" w:rsidR="00D30F58" w:rsidRPr="00173E7B" w:rsidRDefault="00D30F58" w:rsidP="00D30F58">
      <w:pPr>
        <w:spacing w:line="276" w:lineRule="auto"/>
        <w:jc w:val="both"/>
        <w:rPr>
          <w:rFonts w:ascii="Arial Narrow" w:hAnsi="Arial Narrow"/>
          <w:b/>
          <w:bCs/>
          <w:sz w:val="20"/>
          <w:szCs w:val="20"/>
        </w:rPr>
      </w:pPr>
      <w:bookmarkStart w:id="236" w:name="_Toc136428880"/>
      <w:r w:rsidRPr="00173E7B">
        <w:rPr>
          <w:rFonts w:ascii="Arial Narrow" w:hAnsi="Arial Narrow"/>
          <w:b/>
          <w:sz w:val="20"/>
          <w:szCs w:val="20"/>
        </w:rPr>
        <w:lastRenderedPageBreak/>
        <w:t xml:space="preserve">Graf </w:t>
      </w:r>
      <w:r w:rsidR="00B63C25" w:rsidRPr="00173E7B">
        <w:rPr>
          <w:rFonts w:ascii="Arial Narrow" w:hAnsi="Arial Narrow"/>
          <w:b/>
          <w:sz w:val="20"/>
          <w:szCs w:val="20"/>
        </w:rPr>
        <w:fldChar w:fldCharType="begin"/>
      </w:r>
      <w:r w:rsidR="00B63C25" w:rsidRPr="00173E7B">
        <w:rPr>
          <w:rFonts w:ascii="Arial Narrow" w:hAnsi="Arial Narrow"/>
          <w:b/>
          <w:sz w:val="20"/>
          <w:szCs w:val="20"/>
        </w:rPr>
        <w:instrText xml:space="preserve"> SEQ Graf \* ARABIC </w:instrText>
      </w:r>
      <w:r w:rsidR="00B63C25" w:rsidRPr="00173E7B">
        <w:rPr>
          <w:rFonts w:ascii="Arial Narrow" w:hAnsi="Arial Narrow"/>
          <w:b/>
          <w:sz w:val="20"/>
          <w:szCs w:val="20"/>
        </w:rPr>
        <w:fldChar w:fldCharType="separate"/>
      </w:r>
      <w:r w:rsidR="009F49C8" w:rsidRPr="00173E7B">
        <w:rPr>
          <w:rFonts w:ascii="Arial Narrow" w:hAnsi="Arial Narrow"/>
          <w:b/>
          <w:noProof/>
          <w:sz w:val="20"/>
          <w:szCs w:val="20"/>
        </w:rPr>
        <w:t>36</w:t>
      </w:r>
      <w:r w:rsidR="00B63C25" w:rsidRPr="00173E7B">
        <w:rPr>
          <w:rFonts w:ascii="Arial Narrow" w:hAnsi="Arial Narrow"/>
          <w:b/>
          <w:sz w:val="20"/>
          <w:szCs w:val="20"/>
        </w:rPr>
        <w:fldChar w:fldCharType="end"/>
      </w:r>
      <w:r w:rsidRPr="00173E7B">
        <w:rPr>
          <w:rFonts w:ascii="Arial Narrow" w:hAnsi="Arial Narrow"/>
          <w:b/>
          <w:sz w:val="20"/>
          <w:szCs w:val="20"/>
        </w:rPr>
        <w:t xml:space="preserve">: </w:t>
      </w:r>
      <w:r w:rsidRPr="00173E7B">
        <w:rPr>
          <w:rFonts w:ascii="Arial Narrow" w:hAnsi="Arial Narrow"/>
          <w:b/>
          <w:bCs/>
          <w:sz w:val="20"/>
          <w:szCs w:val="20"/>
        </w:rPr>
        <w:t>Státní občanství žáků SŠ s jinou než českou státní příslušností ve školním roce 202</w:t>
      </w:r>
      <w:r w:rsidR="00AE0840" w:rsidRPr="00173E7B">
        <w:rPr>
          <w:rFonts w:ascii="Arial Narrow" w:hAnsi="Arial Narrow"/>
          <w:b/>
          <w:bCs/>
          <w:sz w:val="20"/>
          <w:szCs w:val="20"/>
        </w:rPr>
        <w:t>2</w:t>
      </w:r>
      <w:r w:rsidRPr="00173E7B">
        <w:rPr>
          <w:rFonts w:ascii="Arial Narrow" w:hAnsi="Arial Narrow"/>
          <w:b/>
          <w:bCs/>
          <w:sz w:val="20"/>
          <w:szCs w:val="20"/>
        </w:rPr>
        <w:t>/202</w:t>
      </w:r>
      <w:bookmarkEnd w:id="235"/>
      <w:r w:rsidR="00AE0840" w:rsidRPr="00173E7B">
        <w:rPr>
          <w:rFonts w:ascii="Arial Narrow" w:hAnsi="Arial Narrow"/>
          <w:b/>
          <w:bCs/>
          <w:sz w:val="20"/>
          <w:szCs w:val="20"/>
        </w:rPr>
        <w:t>3</w:t>
      </w:r>
      <w:bookmarkEnd w:id="236"/>
    </w:p>
    <w:p w14:paraId="37513086" w14:textId="3F6AA724" w:rsidR="00F1264F" w:rsidRPr="00173E7B" w:rsidRDefault="00AE0840" w:rsidP="7CC7BF57">
      <w:pPr>
        <w:spacing w:line="276" w:lineRule="auto"/>
        <w:ind w:left="-142"/>
        <w:jc w:val="both"/>
        <w:rPr>
          <w:rFonts w:ascii="Arial Narrow" w:hAnsi="Arial Narrow"/>
          <w:b/>
          <w:bCs/>
          <w:color w:val="2F5496" w:themeColor="accent1" w:themeShade="BF"/>
        </w:rPr>
      </w:pPr>
      <w:r w:rsidRPr="00173E7B">
        <w:rPr>
          <w:rFonts w:ascii="Arial Narrow" w:hAnsi="Arial Narrow"/>
          <w:b/>
          <w:noProof/>
          <w:color w:val="2F5496" w:themeColor="accent1" w:themeShade="BF"/>
          <w:lang w:eastAsia="cs-CZ"/>
        </w:rPr>
        <w:drawing>
          <wp:anchor distT="0" distB="0" distL="114300" distR="114300" simplePos="0" relativeHeight="251726336" behindDoc="0" locked="0" layoutInCell="1" allowOverlap="1" wp14:anchorId="6A58405F" wp14:editId="44A19054">
            <wp:simplePos x="0" y="0"/>
            <wp:positionH relativeFrom="column">
              <wp:posOffset>2038350</wp:posOffset>
            </wp:positionH>
            <wp:positionV relativeFrom="paragraph">
              <wp:posOffset>1180465</wp:posOffset>
            </wp:positionV>
            <wp:extent cx="4248150" cy="3200400"/>
            <wp:effectExtent l="0" t="38100" r="0" b="38100"/>
            <wp:wrapNone/>
            <wp:docPr id="2097" name="Diagram 20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margin">
              <wp14:pctWidth>0</wp14:pctWidth>
            </wp14:sizeRelH>
            <wp14:sizeRelV relativeFrom="margin">
              <wp14:pctHeight>0</wp14:pctHeight>
            </wp14:sizeRelV>
          </wp:anchor>
        </w:drawing>
      </w:r>
      <w:r w:rsidRPr="00173E7B">
        <w:rPr>
          <w:rFonts w:ascii="Arial Narrow" w:hAnsi="Arial Narrow"/>
          <w:b/>
          <w:noProof/>
          <w:lang w:eastAsia="cs-CZ"/>
        </w:rPr>
        <w:drawing>
          <wp:inline distT="0" distB="0" distL="0" distR="0" wp14:anchorId="34CCE85C" wp14:editId="4EB6B222">
            <wp:extent cx="5686425" cy="4743450"/>
            <wp:effectExtent l="0" t="0" r="9525" b="0"/>
            <wp:docPr id="2098" name="Graf 2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9EA36DC" w14:textId="0C1CD5D3" w:rsidR="00F1264F" w:rsidRDefault="00E568AB" w:rsidP="00D30F58">
      <w:pPr>
        <w:spacing w:line="276" w:lineRule="auto"/>
        <w:rPr>
          <w:rFonts w:ascii="Arial Narrow" w:hAnsi="Arial Narrow"/>
          <w:sz w:val="20"/>
          <w:szCs w:val="20"/>
        </w:rPr>
      </w:pPr>
      <w:r w:rsidRPr="00173E7B">
        <w:rPr>
          <w:rFonts w:ascii="Arial Narrow" w:hAnsi="Arial Narrow"/>
          <w:sz w:val="20"/>
          <w:szCs w:val="20"/>
        </w:rPr>
        <w:t xml:space="preserve">Zdroj: </w:t>
      </w:r>
      <w:r w:rsidR="003937B0" w:rsidRPr="00173E7B">
        <w:rPr>
          <w:rFonts w:ascii="Arial Narrow" w:hAnsi="Arial Narrow" w:cs="Arial"/>
          <w:color w:val="000000"/>
          <w:sz w:val="20"/>
          <w:szCs w:val="20"/>
        </w:rPr>
        <w:t>Ministerstvo školství, mládeže a tělovýchovy</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w:t>
      </w:r>
      <w:r w:rsidR="003937B0" w:rsidRPr="00173E7B">
        <w:rPr>
          <w:rFonts w:ascii="Arial Narrow" w:hAnsi="Arial Narrow"/>
          <w:sz w:val="20"/>
          <w:szCs w:val="20"/>
        </w:rPr>
        <w:t xml:space="preserve">         </w:t>
      </w:r>
      <w:r w:rsidRPr="00173E7B">
        <w:rPr>
          <w:rFonts w:ascii="Arial Narrow" w:hAnsi="Arial Narrow"/>
          <w:sz w:val="20"/>
          <w:szCs w:val="20"/>
        </w:rPr>
        <w:t xml:space="preserve">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2BB107C6" w14:textId="77777777" w:rsidR="00AE0840" w:rsidRPr="00CE357F" w:rsidRDefault="00AE0840" w:rsidP="00D30F58">
      <w:pPr>
        <w:spacing w:line="276" w:lineRule="auto"/>
        <w:rPr>
          <w:rFonts w:ascii="Arial Narrow" w:hAnsi="Arial Narrow"/>
          <w:sz w:val="20"/>
          <w:szCs w:val="20"/>
        </w:rPr>
      </w:pPr>
    </w:p>
    <w:p w14:paraId="52228BC0" w14:textId="77777777" w:rsidR="00AE0840" w:rsidRDefault="00AE0840" w:rsidP="000637D7">
      <w:pPr>
        <w:spacing w:after="240" w:line="276" w:lineRule="auto"/>
        <w:jc w:val="both"/>
        <w:rPr>
          <w:rFonts w:ascii="Arial Narrow" w:hAnsi="Arial Narrow"/>
          <w:b/>
          <w:color w:val="C00000"/>
        </w:rPr>
      </w:pPr>
      <w:bookmarkStart w:id="237" w:name="_Toc94215392"/>
      <w:bookmarkStart w:id="238" w:name="_Toc94220490"/>
      <w:bookmarkStart w:id="239" w:name="_Toc94301325"/>
      <w:bookmarkStart w:id="240" w:name="_Toc94390114"/>
      <w:bookmarkStart w:id="241" w:name="_Toc94390199"/>
      <w:bookmarkStart w:id="242" w:name="_Toc94444083"/>
      <w:bookmarkStart w:id="243" w:name="_Toc95386860"/>
      <w:bookmarkStart w:id="244" w:name="_Toc95386952"/>
      <w:bookmarkStart w:id="245" w:name="_Toc95731959"/>
      <w:bookmarkStart w:id="246" w:name="_Toc95733304"/>
      <w:bookmarkStart w:id="247" w:name="_Toc95821864"/>
      <w:bookmarkStart w:id="248" w:name="_Toc95986698"/>
      <w:bookmarkEnd w:id="237"/>
      <w:bookmarkEnd w:id="238"/>
      <w:bookmarkEnd w:id="239"/>
      <w:bookmarkEnd w:id="240"/>
      <w:bookmarkEnd w:id="241"/>
      <w:bookmarkEnd w:id="242"/>
      <w:bookmarkEnd w:id="243"/>
      <w:bookmarkEnd w:id="244"/>
      <w:bookmarkEnd w:id="245"/>
      <w:bookmarkEnd w:id="246"/>
      <w:bookmarkEnd w:id="247"/>
      <w:bookmarkEnd w:id="248"/>
    </w:p>
    <w:p w14:paraId="25A9F7F8" w14:textId="77777777" w:rsidR="008A6B51" w:rsidRDefault="008A6B51" w:rsidP="000637D7">
      <w:pPr>
        <w:spacing w:after="240" w:line="276" w:lineRule="auto"/>
        <w:jc w:val="both"/>
        <w:rPr>
          <w:rFonts w:ascii="Arial Narrow" w:hAnsi="Arial Narrow"/>
          <w:b/>
          <w:color w:val="C00000"/>
        </w:rPr>
      </w:pPr>
    </w:p>
    <w:p w14:paraId="3CCFE8B3" w14:textId="77777777" w:rsidR="008A6B51" w:rsidRDefault="008A6B51" w:rsidP="000637D7">
      <w:pPr>
        <w:spacing w:after="240" w:line="276" w:lineRule="auto"/>
        <w:jc w:val="both"/>
        <w:rPr>
          <w:rFonts w:ascii="Arial Narrow" w:hAnsi="Arial Narrow"/>
          <w:b/>
          <w:color w:val="C00000"/>
        </w:rPr>
      </w:pPr>
    </w:p>
    <w:p w14:paraId="3020ABC8" w14:textId="77777777" w:rsidR="008A6B51" w:rsidRDefault="008A6B51" w:rsidP="000637D7">
      <w:pPr>
        <w:spacing w:after="240" w:line="276" w:lineRule="auto"/>
        <w:jc w:val="both"/>
        <w:rPr>
          <w:rFonts w:ascii="Arial Narrow" w:hAnsi="Arial Narrow"/>
          <w:b/>
          <w:color w:val="C00000"/>
        </w:rPr>
      </w:pPr>
    </w:p>
    <w:p w14:paraId="4ED12890" w14:textId="77777777" w:rsidR="008A6B51" w:rsidRDefault="008A6B51" w:rsidP="000637D7">
      <w:pPr>
        <w:spacing w:after="240" w:line="276" w:lineRule="auto"/>
        <w:jc w:val="both"/>
        <w:rPr>
          <w:rFonts w:ascii="Arial Narrow" w:hAnsi="Arial Narrow"/>
          <w:b/>
          <w:color w:val="C00000"/>
        </w:rPr>
      </w:pPr>
    </w:p>
    <w:p w14:paraId="37D14608" w14:textId="77777777" w:rsidR="008A6B51" w:rsidRDefault="008A6B51" w:rsidP="000637D7">
      <w:pPr>
        <w:spacing w:after="240" w:line="276" w:lineRule="auto"/>
        <w:jc w:val="both"/>
        <w:rPr>
          <w:rFonts w:ascii="Arial Narrow" w:hAnsi="Arial Narrow"/>
          <w:b/>
          <w:color w:val="C00000"/>
        </w:rPr>
      </w:pPr>
    </w:p>
    <w:p w14:paraId="1012E534" w14:textId="77777777" w:rsidR="008A6B51" w:rsidRDefault="008A6B51" w:rsidP="000637D7">
      <w:pPr>
        <w:spacing w:after="240" w:line="276" w:lineRule="auto"/>
        <w:jc w:val="both"/>
        <w:rPr>
          <w:rFonts w:ascii="Arial Narrow" w:hAnsi="Arial Narrow"/>
          <w:b/>
          <w:color w:val="C00000"/>
        </w:rPr>
      </w:pPr>
    </w:p>
    <w:p w14:paraId="6B2CE38A" w14:textId="77777777" w:rsidR="008A6B51" w:rsidRDefault="008A6B51" w:rsidP="000637D7">
      <w:pPr>
        <w:spacing w:after="240" w:line="276" w:lineRule="auto"/>
        <w:jc w:val="both"/>
        <w:rPr>
          <w:rFonts w:ascii="Arial Narrow" w:hAnsi="Arial Narrow"/>
          <w:b/>
          <w:color w:val="C00000"/>
        </w:rPr>
      </w:pPr>
    </w:p>
    <w:p w14:paraId="1AFF7D03" w14:textId="77777777" w:rsidR="008A6B51" w:rsidRDefault="008A6B51" w:rsidP="000637D7">
      <w:pPr>
        <w:spacing w:after="240" w:line="276" w:lineRule="auto"/>
        <w:jc w:val="both"/>
        <w:rPr>
          <w:rFonts w:ascii="Arial Narrow" w:hAnsi="Arial Narrow"/>
          <w:b/>
          <w:color w:val="C00000"/>
        </w:rPr>
      </w:pPr>
    </w:p>
    <w:p w14:paraId="015A0F67" w14:textId="75BA8DD5" w:rsidR="00B60449" w:rsidRPr="00CE357F" w:rsidRDefault="00B60449" w:rsidP="000637D7">
      <w:pPr>
        <w:spacing w:after="240" w:line="276" w:lineRule="auto"/>
        <w:jc w:val="both"/>
        <w:rPr>
          <w:rFonts w:ascii="Arial Narrow" w:hAnsi="Arial Narrow"/>
          <w:b/>
          <w:color w:val="C00000"/>
        </w:rPr>
      </w:pPr>
      <w:r w:rsidRPr="00CE357F">
        <w:rPr>
          <w:rFonts w:ascii="Arial Narrow" w:hAnsi="Arial Narrow"/>
          <w:b/>
          <w:color w:val="C00000"/>
        </w:rPr>
        <w:lastRenderedPageBreak/>
        <w:t>Osoby s jinou než českou státní příslušností v Jihomoravském kraji v letech 2005–202</w:t>
      </w:r>
      <w:r w:rsidR="00F8685B">
        <w:rPr>
          <w:rFonts w:ascii="Arial Narrow" w:hAnsi="Arial Narrow"/>
          <w:b/>
          <w:color w:val="C00000"/>
        </w:rPr>
        <w:t>3</w:t>
      </w:r>
      <w:r w:rsidRPr="00CE357F">
        <w:rPr>
          <w:rFonts w:ascii="Arial Narrow" w:hAnsi="Arial Narrow"/>
          <w:b/>
          <w:color w:val="C00000"/>
        </w:rPr>
        <w:t xml:space="preserve"> v českém vzdělávacím systému</w:t>
      </w:r>
    </w:p>
    <w:p w14:paraId="2189CD66" w14:textId="47C23AE4" w:rsidR="009A30B6" w:rsidRPr="00CE357F" w:rsidRDefault="009A30B6" w:rsidP="009A30B6">
      <w:pPr>
        <w:spacing w:after="240" w:line="276" w:lineRule="auto"/>
        <w:rPr>
          <w:rFonts w:ascii="Arial Narrow" w:hAnsi="Arial Narrow"/>
          <w:b/>
          <w:u w:val="single"/>
        </w:rPr>
      </w:pPr>
      <w:r w:rsidRPr="00CE357F">
        <w:rPr>
          <w:rFonts w:ascii="Arial Narrow" w:hAnsi="Arial Narrow"/>
          <w:b/>
          <w:u w:val="single"/>
        </w:rPr>
        <w:t xml:space="preserve">Předškolní vzdělávání </w:t>
      </w:r>
    </w:p>
    <w:p w14:paraId="51C93601" w14:textId="1C49DB41" w:rsidR="00AC736A" w:rsidRPr="00173E7B" w:rsidRDefault="008A6B51" w:rsidP="008A6B51">
      <w:pPr>
        <w:spacing w:after="240" w:line="276" w:lineRule="auto"/>
        <w:jc w:val="both"/>
        <w:rPr>
          <w:rFonts w:ascii="Arial Narrow" w:hAnsi="Arial Narrow"/>
          <w:bCs/>
        </w:rPr>
      </w:pPr>
      <w:r w:rsidRPr="00173E7B">
        <w:rPr>
          <w:rFonts w:ascii="Arial Narrow" w:hAnsi="Arial Narrow"/>
          <w:bCs/>
        </w:rPr>
        <w:t xml:space="preserve">Ve školním roce 2022/2023 navštěvovalo mateřské školy v Jihomoravském kraji celkem 42 422 dětí, z toho </w:t>
      </w:r>
      <w:bookmarkStart w:id="249" w:name="_Hlk135055206"/>
      <w:r w:rsidRPr="00173E7B">
        <w:rPr>
          <w:rFonts w:ascii="Arial Narrow" w:hAnsi="Arial Narrow"/>
          <w:bCs/>
        </w:rPr>
        <w:t xml:space="preserve">1 518 </w:t>
      </w:r>
      <w:bookmarkEnd w:id="249"/>
      <w:r w:rsidRPr="00173E7B">
        <w:rPr>
          <w:rFonts w:ascii="Arial Narrow" w:hAnsi="Arial Narrow"/>
          <w:bCs/>
        </w:rPr>
        <w:t xml:space="preserve">dětí s jinou než českou státní příslušností. </w:t>
      </w:r>
      <w:bookmarkStart w:id="250" w:name="_Hlk135055218"/>
      <w:r w:rsidRPr="00173E7B">
        <w:rPr>
          <w:rFonts w:ascii="Arial Narrow" w:hAnsi="Arial Narrow"/>
          <w:b/>
        </w:rPr>
        <w:t>Oproti předchozímu školnímu roku 2021/2022 se jedná o zhruba 56% nárůst</w:t>
      </w:r>
      <w:bookmarkEnd w:id="250"/>
      <w:r w:rsidRPr="00173E7B">
        <w:rPr>
          <w:rFonts w:ascii="Arial Narrow" w:hAnsi="Arial Narrow"/>
          <w:bCs/>
        </w:rPr>
        <w:t xml:space="preserve">. </w:t>
      </w:r>
      <w:bookmarkStart w:id="251" w:name="_Hlk135055245"/>
      <w:r w:rsidRPr="00173E7B">
        <w:rPr>
          <w:rFonts w:ascii="Arial Narrow" w:hAnsi="Arial Narrow"/>
          <w:bCs/>
        </w:rPr>
        <w:t xml:space="preserve">Nejvíce dětí v předškolních zařízeních (75,3 %) mělo státní příslušnost třetích zemí. Celkový nárůst počtu dětí s jinou než českou státní příslušností je tvořen především dětmi ze třetích zemí, jejichž počet se meziročně zvýšil o 95,3 %. </w:t>
      </w:r>
      <w:bookmarkEnd w:id="251"/>
      <w:r w:rsidRPr="00173E7B">
        <w:rPr>
          <w:rFonts w:ascii="Arial Narrow" w:hAnsi="Arial Narrow"/>
          <w:bCs/>
        </w:rPr>
        <w:t>Základní dělení státní příslušnosti dětí s jinou než českou státní příslušností ve školním roce 2022/2023 podrobně dokumentuje graf</w:t>
      </w:r>
      <w:r w:rsidR="00D6632A" w:rsidRPr="00173E7B">
        <w:rPr>
          <w:rFonts w:ascii="Arial Narrow" w:hAnsi="Arial Narrow"/>
          <w:bCs/>
        </w:rPr>
        <w:t xml:space="preserve"> č. 37</w:t>
      </w:r>
      <w:r w:rsidRPr="00173E7B">
        <w:rPr>
          <w:rFonts w:ascii="Arial Narrow" w:hAnsi="Arial Narrow"/>
          <w:bCs/>
        </w:rPr>
        <w:t>.</w:t>
      </w:r>
    </w:p>
    <w:p w14:paraId="20333499" w14:textId="3C0F3295" w:rsidR="009A30B6" w:rsidRPr="00173E7B" w:rsidRDefault="00D30F58" w:rsidP="000637D7">
      <w:pPr>
        <w:jc w:val="both"/>
        <w:rPr>
          <w:rFonts w:ascii="Arial Narrow" w:hAnsi="Arial Narrow"/>
          <w:b/>
          <w:bCs/>
          <w:sz w:val="20"/>
          <w:szCs w:val="20"/>
        </w:rPr>
      </w:pPr>
      <w:bookmarkStart w:id="252" w:name="_Toc94443741"/>
      <w:bookmarkStart w:id="253" w:name="_Toc136428881"/>
      <w:r w:rsidRPr="00173E7B">
        <w:rPr>
          <w:rFonts w:ascii="Arial Narrow" w:hAnsi="Arial Narrow"/>
          <w:b/>
          <w:sz w:val="20"/>
          <w:szCs w:val="20"/>
        </w:rPr>
        <w:t xml:space="preserve">Graf </w:t>
      </w:r>
      <w:r w:rsidR="00B63C25" w:rsidRPr="00173E7B">
        <w:rPr>
          <w:rFonts w:ascii="Arial Narrow" w:hAnsi="Arial Narrow"/>
          <w:b/>
          <w:sz w:val="20"/>
          <w:szCs w:val="20"/>
        </w:rPr>
        <w:fldChar w:fldCharType="begin"/>
      </w:r>
      <w:r w:rsidR="00B63C25" w:rsidRPr="00173E7B">
        <w:rPr>
          <w:rFonts w:ascii="Arial Narrow" w:hAnsi="Arial Narrow"/>
          <w:b/>
          <w:sz w:val="20"/>
          <w:szCs w:val="20"/>
        </w:rPr>
        <w:instrText xml:space="preserve"> SEQ Graf \* ARABIC </w:instrText>
      </w:r>
      <w:r w:rsidR="00B63C25" w:rsidRPr="00173E7B">
        <w:rPr>
          <w:rFonts w:ascii="Arial Narrow" w:hAnsi="Arial Narrow"/>
          <w:b/>
          <w:sz w:val="20"/>
          <w:szCs w:val="20"/>
        </w:rPr>
        <w:fldChar w:fldCharType="separate"/>
      </w:r>
      <w:r w:rsidR="009F49C8" w:rsidRPr="00173E7B">
        <w:rPr>
          <w:rFonts w:ascii="Arial Narrow" w:hAnsi="Arial Narrow"/>
          <w:b/>
          <w:noProof/>
          <w:sz w:val="20"/>
          <w:szCs w:val="20"/>
        </w:rPr>
        <w:t>37</w:t>
      </w:r>
      <w:r w:rsidR="00B63C25" w:rsidRPr="00173E7B">
        <w:rPr>
          <w:rFonts w:ascii="Arial Narrow" w:hAnsi="Arial Narrow"/>
          <w:b/>
          <w:sz w:val="20"/>
          <w:szCs w:val="20"/>
        </w:rPr>
        <w:fldChar w:fldCharType="end"/>
      </w:r>
      <w:r w:rsidRPr="00173E7B">
        <w:rPr>
          <w:rFonts w:ascii="Arial Narrow" w:hAnsi="Arial Narrow"/>
          <w:b/>
          <w:sz w:val="20"/>
          <w:szCs w:val="20"/>
        </w:rPr>
        <w:t xml:space="preserve">: </w:t>
      </w:r>
      <w:r w:rsidRPr="00173E7B">
        <w:rPr>
          <w:rFonts w:ascii="Arial Narrow" w:hAnsi="Arial Narrow"/>
          <w:b/>
          <w:bCs/>
          <w:sz w:val="20"/>
          <w:szCs w:val="20"/>
        </w:rPr>
        <w:t xml:space="preserve">Státní příslušnost </w:t>
      </w:r>
      <w:r w:rsidR="00FA6AB1" w:rsidRPr="00173E7B">
        <w:rPr>
          <w:rFonts w:ascii="Arial Narrow" w:hAnsi="Arial Narrow"/>
          <w:b/>
          <w:bCs/>
          <w:sz w:val="20"/>
          <w:szCs w:val="20"/>
        </w:rPr>
        <w:t>dětí v předškolních zařízeních</w:t>
      </w:r>
      <w:r w:rsidRPr="00173E7B">
        <w:rPr>
          <w:rFonts w:ascii="Arial Narrow" w:hAnsi="Arial Narrow"/>
          <w:b/>
          <w:bCs/>
          <w:sz w:val="20"/>
          <w:szCs w:val="20"/>
        </w:rPr>
        <w:t xml:space="preserve"> s jinou než českou státní příslušností ve školním roce 202</w:t>
      </w:r>
      <w:r w:rsidR="008A6B51" w:rsidRPr="00173E7B">
        <w:rPr>
          <w:rFonts w:ascii="Arial Narrow" w:hAnsi="Arial Narrow"/>
          <w:b/>
          <w:bCs/>
          <w:sz w:val="20"/>
          <w:szCs w:val="20"/>
        </w:rPr>
        <w:t>2</w:t>
      </w:r>
      <w:r w:rsidRPr="00173E7B">
        <w:rPr>
          <w:rFonts w:ascii="Arial Narrow" w:hAnsi="Arial Narrow"/>
          <w:b/>
          <w:bCs/>
          <w:sz w:val="20"/>
          <w:szCs w:val="20"/>
        </w:rPr>
        <w:t>/202</w:t>
      </w:r>
      <w:bookmarkEnd w:id="252"/>
      <w:r w:rsidR="008A6B51" w:rsidRPr="00173E7B">
        <w:rPr>
          <w:rFonts w:ascii="Arial Narrow" w:hAnsi="Arial Narrow"/>
          <w:b/>
          <w:bCs/>
          <w:sz w:val="20"/>
          <w:szCs w:val="20"/>
        </w:rPr>
        <w:t>3</w:t>
      </w:r>
      <w:r w:rsidR="00353CDD" w:rsidRPr="00173E7B">
        <w:rPr>
          <w:rFonts w:ascii="Arial Narrow" w:hAnsi="Arial Narrow"/>
          <w:b/>
          <w:bCs/>
          <w:sz w:val="20"/>
          <w:szCs w:val="20"/>
        </w:rPr>
        <w:t xml:space="preserve"> v Jihomoravském kraji</w:t>
      </w:r>
      <w:bookmarkEnd w:id="253"/>
    </w:p>
    <w:p w14:paraId="67759517" w14:textId="577E2BC0" w:rsidR="009A30B6" w:rsidRPr="00173E7B" w:rsidRDefault="008A6B51" w:rsidP="7CC7BF57">
      <w:pPr>
        <w:jc w:val="both"/>
        <w:rPr>
          <w:rFonts w:ascii="Arial Narrow" w:hAnsi="Arial Narrow"/>
        </w:rPr>
      </w:pPr>
      <w:r w:rsidRPr="00173E7B">
        <w:rPr>
          <w:rFonts w:ascii="Arial Narrow" w:hAnsi="Arial Narrow"/>
          <w:bCs/>
          <w:noProof/>
          <w:lang w:eastAsia="cs-CZ"/>
        </w:rPr>
        <w:drawing>
          <wp:inline distT="0" distB="0" distL="0" distR="0" wp14:anchorId="1E613F0B" wp14:editId="3EC70574">
            <wp:extent cx="5760720" cy="1275080"/>
            <wp:effectExtent l="0" t="0" r="0" b="127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0476C70" w14:textId="40816235" w:rsidR="00E568AB" w:rsidRPr="00173E7B" w:rsidRDefault="00E568AB" w:rsidP="00E568AB">
      <w:pPr>
        <w:spacing w:line="276" w:lineRule="auto"/>
        <w:rPr>
          <w:rFonts w:ascii="Arial Narrow" w:eastAsia="Calibri" w:hAnsi="Arial Narrow"/>
          <w:bCs/>
        </w:rPr>
      </w:pPr>
      <w:r w:rsidRPr="00173E7B">
        <w:rPr>
          <w:rFonts w:ascii="Arial Narrow" w:hAnsi="Arial Narrow"/>
          <w:sz w:val="20"/>
          <w:szCs w:val="20"/>
        </w:rPr>
        <w:t>Zdroj: M</w:t>
      </w:r>
      <w:r w:rsidR="00732A00" w:rsidRPr="00173E7B">
        <w:rPr>
          <w:rFonts w:ascii="Arial Narrow" w:hAnsi="Arial Narrow" w:cs="Arial"/>
          <w:color w:val="000000"/>
          <w:sz w:val="20"/>
          <w:szCs w:val="20"/>
        </w:rPr>
        <w:t>inisterstvo školství, mládeže a tělovýchovy</w:t>
      </w:r>
      <w:r w:rsidR="00732A00" w:rsidRPr="00173E7B">
        <w:rPr>
          <w:rFonts w:ascii="Arial Narrow" w:hAnsi="Arial Narrow"/>
          <w:sz w:val="20"/>
          <w:szCs w:val="20"/>
        </w:rPr>
        <w:tab/>
      </w:r>
      <w:r w:rsidR="00732A00" w:rsidRPr="00173E7B">
        <w:rPr>
          <w:rFonts w:ascii="Arial Narrow" w:hAnsi="Arial Narrow"/>
          <w:sz w:val="20"/>
          <w:szCs w:val="20"/>
        </w:rPr>
        <w:tab/>
      </w:r>
      <w:r w:rsidR="00732A00" w:rsidRPr="00173E7B">
        <w:rPr>
          <w:rFonts w:ascii="Arial Narrow" w:hAnsi="Arial Narrow"/>
          <w:sz w:val="20"/>
          <w:szCs w:val="20"/>
        </w:rPr>
        <w:tab/>
        <w:t xml:space="preserve">      </w:t>
      </w:r>
      <w:r w:rsidR="00732A00" w:rsidRPr="00173E7B">
        <w:rPr>
          <w:rFonts w:ascii="Arial Narrow" w:hAnsi="Arial Narrow"/>
          <w:sz w:val="20"/>
          <w:szCs w:val="20"/>
        </w:rPr>
        <w:tab/>
        <w:t xml:space="preserve">          </w:t>
      </w:r>
      <w:r w:rsidRPr="00173E7B">
        <w:rPr>
          <w:rFonts w:ascii="Arial Narrow" w:hAnsi="Arial Narrow"/>
          <w:sz w:val="20"/>
          <w:szCs w:val="20"/>
        </w:rPr>
        <w:t xml:space="preserve">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7B118A76" w14:textId="52379714" w:rsidR="008A6B51" w:rsidRPr="00173E7B" w:rsidRDefault="167B09D7" w:rsidP="008A6B51">
      <w:pPr>
        <w:spacing w:before="240" w:after="240" w:line="276" w:lineRule="auto"/>
        <w:jc w:val="both"/>
        <w:rPr>
          <w:rFonts w:ascii="Arial Narrow" w:hAnsi="Arial Narrow"/>
        </w:rPr>
      </w:pPr>
      <w:r w:rsidRPr="00173E7B">
        <w:rPr>
          <w:rFonts w:ascii="Arial Narrow" w:hAnsi="Arial Narrow"/>
        </w:rPr>
        <w:t>Podíl dětí s jinou než českou státní příslušností</w:t>
      </w:r>
      <w:r w:rsidRPr="00173E7B">
        <w:rPr>
          <w:rFonts w:ascii="Arial Narrow" w:eastAsia="Calibri" w:hAnsi="Arial Narrow"/>
        </w:rPr>
        <w:t xml:space="preserve"> </w:t>
      </w:r>
      <w:r w:rsidRPr="00173E7B">
        <w:rPr>
          <w:rFonts w:ascii="Arial Narrow" w:hAnsi="Arial Narrow"/>
        </w:rPr>
        <w:t xml:space="preserve">na celkovém počtu </w:t>
      </w:r>
      <w:r w:rsidR="00FA6AB1" w:rsidRPr="00173E7B">
        <w:rPr>
          <w:rFonts w:ascii="Arial Narrow" w:hAnsi="Arial Narrow"/>
        </w:rPr>
        <w:t>dětí v předškolních zařízeních</w:t>
      </w:r>
      <w:r w:rsidRPr="00173E7B">
        <w:rPr>
          <w:rFonts w:ascii="Arial Narrow" w:hAnsi="Arial Narrow"/>
        </w:rPr>
        <w:t xml:space="preserve"> se za posledních 16 let více než zdvojnásobil</w:t>
      </w:r>
      <w:r w:rsidR="00D6632A" w:rsidRPr="00173E7B">
        <w:rPr>
          <w:rFonts w:ascii="Arial Narrow" w:hAnsi="Arial Narrow"/>
          <w:bCs/>
        </w:rPr>
        <w:t>,</w:t>
      </w:r>
      <w:r w:rsidR="00D6632A" w:rsidRPr="00173E7B">
        <w:rPr>
          <w:rFonts w:ascii="Arial Narrow" w:hAnsi="Arial Narrow"/>
        </w:rPr>
        <w:t xml:space="preserve"> jak ukazuje graf č. 38 a následně v reálných číslech tabulka č. 10</w:t>
      </w:r>
      <w:r w:rsidRPr="00173E7B">
        <w:rPr>
          <w:rFonts w:ascii="Arial Narrow" w:hAnsi="Arial Narrow"/>
        </w:rPr>
        <w:t xml:space="preserve">. Zatímco ve školním roce 2005/2006 tvořily tyto osoby 0,8 % všech </w:t>
      </w:r>
      <w:r w:rsidR="00FA6AB1" w:rsidRPr="00173E7B">
        <w:rPr>
          <w:rFonts w:ascii="Arial Narrow" w:hAnsi="Arial Narrow"/>
        </w:rPr>
        <w:t xml:space="preserve">dětí v předškolních zařízeních </w:t>
      </w:r>
      <w:r w:rsidRPr="00173E7B">
        <w:rPr>
          <w:rFonts w:ascii="Arial Narrow" w:hAnsi="Arial Narrow"/>
        </w:rPr>
        <w:t xml:space="preserve">v Jihomoravském kraji, ve školním roce 2021/2022 to bylo již 2,3 %. Počet </w:t>
      </w:r>
      <w:r w:rsidR="00FA6AB1" w:rsidRPr="00173E7B">
        <w:rPr>
          <w:rFonts w:ascii="Arial Narrow" w:hAnsi="Arial Narrow"/>
        </w:rPr>
        <w:t>dětí v předškolních zařízeních</w:t>
      </w:r>
      <w:r w:rsidRPr="00173E7B">
        <w:rPr>
          <w:rFonts w:ascii="Arial Narrow" w:hAnsi="Arial Narrow"/>
        </w:rPr>
        <w:t xml:space="preserve"> s jinou než českou státní příslušností v </w:t>
      </w:r>
      <w:r w:rsidR="008A6B51" w:rsidRPr="00173E7B">
        <w:rPr>
          <w:rFonts w:ascii="Arial Narrow" w:hAnsi="Arial Narrow"/>
        </w:rPr>
        <w:t>předchozích</w:t>
      </w:r>
      <w:r w:rsidRPr="00173E7B">
        <w:rPr>
          <w:rFonts w:ascii="Arial Narrow" w:hAnsi="Arial Narrow"/>
        </w:rPr>
        <w:t xml:space="preserve"> 5 letech meziročně narůst</w:t>
      </w:r>
      <w:r w:rsidR="008A6B51" w:rsidRPr="00173E7B">
        <w:rPr>
          <w:rFonts w:ascii="Arial Narrow" w:hAnsi="Arial Narrow"/>
        </w:rPr>
        <w:t>al</w:t>
      </w:r>
      <w:r w:rsidRPr="00173E7B">
        <w:rPr>
          <w:rFonts w:ascii="Arial Narrow" w:hAnsi="Arial Narrow"/>
        </w:rPr>
        <w:t xml:space="preserve"> průměrně o 0,15 %.</w:t>
      </w:r>
      <w:r w:rsidR="008A6B51" w:rsidRPr="00173E7B">
        <w:rPr>
          <w:rFonts w:ascii="Arial Narrow" w:hAnsi="Arial Narrow"/>
        </w:rPr>
        <w:t xml:space="preserve"> Jihomoravský kraj tak měl v celorepublikovém srovnání zhruba o 1 % nižší podíl dětí s jinou než českou státní příslušností v předškolním vzdělávání. Období pandemie COVID-19 znamenalo stejně jako na úrovni celé ČR zastavení růstu počtů ve zmíněné skupině.</w:t>
      </w:r>
    </w:p>
    <w:p w14:paraId="7FFE6A3B" w14:textId="6AF9CD05" w:rsidR="00F009E6" w:rsidRPr="00173E7B" w:rsidRDefault="008A6B51" w:rsidP="008A6B51">
      <w:pPr>
        <w:spacing w:before="240" w:after="240" w:line="276" w:lineRule="auto"/>
        <w:jc w:val="both"/>
        <w:rPr>
          <w:rFonts w:ascii="Arial Narrow" w:hAnsi="Arial Narrow"/>
        </w:rPr>
      </w:pPr>
      <w:r w:rsidRPr="00173E7B">
        <w:rPr>
          <w:rFonts w:ascii="Arial Narrow" w:hAnsi="Arial Narrow"/>
        </w:rPr>
        <w:t>Výraznou změnu v podílu dětí s jinou než českou státní příslušností v předškolních zařízeních v jihomoravském kraji přinesl školní rok 2022/2023, kdy v souvislosti s válkou na Ukrajině došlo k příchodu velkého počtu dětí (nejen) v předškolním věku. V důsledku toho došlo ke skokové změně podílu dětí s jinou než českou státní příslušností v MŠ z 2,3 % na 3,6 %. Podíl předškolních dětí s jinou než českou státní příslušností v JMK je tak nižší než je podíl všech předškolních dětí s jinou než českou státní příslušností na úrovni celé ČR, který za školní rok 2021/2022 činil 3,4 % a ve školním roce 2022/2023 tvoří 5,3 %.</w:t>
      </w:r>
    </w:p>
    <w:p w14:paraId="6037885C" w14:textId="77777777" w:rsidR="008A6B51" w:rsidRPr="00173E7B" w:rsidRDefault="008A6B51" w:rsidP="00D30F58">
      <w:pPr>
        <w:spacing w:after="240" w:line="276" w:lineRule="auto"/>
        <w:jc w:val="both"/>
        <w:rPr>
          <w:rFonts w:ascii="Arial Narrow" w:hAnsi="Arial Narrow"/>
          <w:bCs/>
          <w:color w:val="FF0000"/>
        </w:rPr>
      </w:pPr>
    </w:p>
    <w:p w14:paraId="0EA17986" w14:textId="77777777" w:rsidR="00D6632A" w:rsidRPr="00173E7B" w:rsidRDefault="00D6632A" w:rsidP="00D30F58">
      <w:pPr>
        <w:spacing w:after="240" w:line="276" w:lineRule="auto"/>
        <w:jc w:val="both"/>
        <w:rPr>
          <w:rFonts w:ascii="Arial Narrow" w:hAnsi="Arial Narrow"/>
          <w:bCs/>
          <w:color w:val="FF0000"/>
        </w:rPr>
      </w:pPr>
    </w:p>
    <w:p w14:paraId="4C9AA6C8" w14:textId="77777777" w:rsidR="00D6632A" w:rsidRPr="00173E7B" w:rsidRDefault="00D6632A" w:rsidP="00D30F58">
      <w:pPr>
        <w:spacing w:after="240" w:line="276" w:lineRule="auto"/>
        <w:jc w:val="both"/>
        <w:rPr>
          <w:rFonts w:ascii="Arial Narrow" w:hAnsi="Arial Narrow"/>
          <w:bCs/>
          <w:color w:val="FF0000"/>
        </w:rPr>
      </w:pPr>
    </w:p>
    <w:p w14:paraId="4ED3DB86" w14:textId="77777777" w:rsidR="008A6B51" w:rsidRPr="00173E7B" w:rsidRDefault="008A6B51" w:rsidP="00D30F58">
      <w:pPr>
        <w:spacing w:after="240" w:line="276" w:lineRule="auto"/>
        <w:jc w:val="both"/>
        <w:rPr>
          <w:rFonts w:ascii="Arial Narrow" w:hAnsi="Arial Narrow"/>
          <w:bCs/>
          <w:color w:val="FF0000"/>
        </w:rPr>
      </w:pPr>
    </w:p>
    <w:p w14:paraId="2119E293" w14:textId="77777777" w:rsidR="008A6B51" w:rsidRPr="00173E7B" w:rsidRDefault="008A6B51" w:rsidP="00D30F58">
      <w:pPr>
        <w:spacing w:after="240" w:line="276" w:lineRule="auto"/>
        <w:jc w:val="both"/>
        <w:rPr>
          <w:rFonts w:ascii="Arial Narrow" w:hAnsi="Arial Narrow"/>
          <w:bCs/>
          <w:color w:val="FF0000"/>
        </w:rPr>
      </w:pPr>
    </w:p>
    <w:p w14:paraId="05D36F79" w14:textId="753DEAC8" w:rsidR="00D30F58" w:rsidRPr="00173E7B" w:rsidRDefault="00D30F58" w:rsidP="00D30F58">
      <w:pPr>
        <w:spacing w:line="276" w:lineRule="auto"/>
        <w:jc w:val="both"/>
        <w:rPr>
          <w:rFonts w:ascii="Arial Narrow" w:hAnsi="Arial Narrow"/>
          <w:b/>
          <w:bCs/>
          <w:sz w:val="20"/>
          <w:szCs w:val="20"/>
        </w:rPr>
      </w:pPr>
      <w:bookmarkStart w:id="254" w:name="_Toc94443742"/>
      <w:bookmarkStart w:id="255" w:name="_Toc136428882"/>
      <w:r w:rsidRPr="00173E7B">
        <w:rPr>
          <w:rFonts w:ascii="Arial Narrow" w:hAnsi="Arial Narrow"/>
          <w:b/>
          <w:sz w:val="20"/>
          <w:szCs w:val="20"/>
        </w:rPr>
        <w:lastRenderedPageBreak/>
        <w:t xml:space="preserve">Graf </w:t>
      </w:r>
      <w:r w:rsidR="00B63C25" w:rsidRPr="00173E7B">
        <w:rPr>
          <w:rFonts w:ascii="Arial Narrow" w:hAnsi="Arial Narrow"/>
          <w:b/>
          <w:sz w:val="20"/>
          <w:szCs w:val="20"/>
        </w:rPr>
        <w:fldChar w:fldCharType="begin"/>
      </w:r>
      <w:r w:rsidR="00B63C25" w:rsidRPr="00173E7B">
        <w:rPr>
          <w:rFonts w:ascii="Arial Narrow" w:hAnsi="Arial Narrow"/>
          <w:b/>
          <w:sz w:val="20"/>
          <w:szCs w:val="20"/>
        </w:rPr>
        <w:instrText xml:space="preserve"> SEQ Graf \* ARABIC </w:instrText>
      </w:r>
      <w:r w:rsidR="00B63C25" w:rsidRPr="00173E7B">
        <w:rPr>
          <w:rFonts w:ascii="Arial Narrow" w:hAnsi="Arial Narrow"/>
          <w:b/>
          <w:sz w:val="20"/>
          <w:szCs w:val="20"/>
        </w:rPr>
        <w:fldChar w:fldCharType="separate"/>
      </w:r>
      <w:r w:rsidR="009F49C8" w:rsidRPr="00173E7B">
        <w:rPr>
          <w:rFonts w:ascii="Arial Narrow" w:hAnsi="Arial Narrow"/>
          <w:b/>
          <w:noProof/>
          <w:sz w:val="20"/>
          <w:szCs w:val="20"/>
        </w:rPr>
        <w:t>38</w:t>
      </w:r>
      <w:r w:rsidR="00B63C25" w:rsidRPr="00173E7B">
        <w:rPr>
          <w:rFonts w:ascii="Arial Narrow" w:hAnsi="Arial Narrow"/>
          <w:b/>
          <w:sz w:val="20"/>
          <w:szCs w:val="20"/>
        </w:rPr>
        <w:fldChar w:fldCharType="end"/>
      </w:r>
      <w:r w:rsidRPr="00173E7B">
        <w:rPr>
          <w:rFonts w:ascii="Arial Narrow" w:hAnsi="Arial Narrow"/>
          <w:b/>
          <w:sz w:val="20"/>
          <w:szCs w:val="20"/>
        </w:rPr>
        <w:t xml:space="preserve">: </w:t>
      </w:r>
      <w:r w:rsidRPr="00173E7B">
        <w:rPr>
          <w:rFonts w:ascii="Arial Narrow" w:hAnsi="Arial Narrow"/>
          <w:b/>
          <w:bCs/>
          <w:sz w:val="20"/>
          <w:szCs w:val="20"/>
        </w:rPr>
        <w:t xml:space="preserve">Podíl </w:t>
      </w:r>
      <w:r w:rsidR="00FA6AB1" w:rsidRPr="00173E7B">
        <w:rPr>
          <w:rFonts w:ascii="Arial Narrow" w:hAnsi="Arial Narrow"/>
          <w:b/>
          <w:bCs/>
          <w:sz w:val="20"/>
          <w:szCs w:val="20"/>
        </w:rPr>
        <w:t>dětí v předškolních zařízeních</w:t>
      </w:r>
      <w:r w:rsidRPr="00173E7B">
        <w:rPr>
          <w:rFonts w:ascii="Arial Narrow" w:hAnsi="Arial Narrow"/>
          <w:b/>
          <w:bCs/>
          <w:sz w:val="20"/>
          <w:szCs w:val="20"/>
        </w:rPr>
        <w:t xml:space="preserve"> s jinou než českou státní příslušností na celkovém počtu </w:t>
      </w:r>
      <w:bookmarkEnd w:id="254"/>
      <w:r w:rsidR="00FA6AB1" w:rsidRPr="00173E7B">
        <w:rPr>
          <w:rFonts w:ascii="Arial Narrow" w:hAnsi="Arial Narrow"/>
          <w:b/>
          <w:bCs/>
          <w:sz w:val="20"/>
          <w:szCs w:val="20"/>
        </w:rPr>
        <w:t>dětí v předškolních zařízeních</w:t>
      </w:r>
      <w:r w:rsidRPr="00173E7B">
        <w:rPr>
          <w:rFonts w:ascii="Arial Narrow" w:hAnsi="Arial Narrow"/>
          <w:b/>
          <w:bCs/>
          <w:sz w:val="20"/>
          <w:szCs w:val="20"/>
        </w:rPr>
        <w:t xml:space="preserve"> </w:t>
      </w:r>
      <w:r w:rsidR="00353CDD" w:rsidRPr="00173E7B">
        <w:rPr>
          <w:rFonts w:ascii="Arial Narrow" w:hAnsi="Arial Narrow"/>
          <w:b/>
          <w:bCs/>
          <w:sz w:val="20"/>
          <w:szCs w:val="20"/>
        </w:rPr>
        <w:t>v Jihomoravském kraji</w:t>
      </w:r>
      <w:bookmarkEnd w:id="255"/>
    </w:p>
    <w:p w14:paraId="79490C35" w14:textId="29263E3D" w:rsidR="00E568AB" w:rsidRPr="00173E7B" w:rsidRDefault="003937B0" w:rsidP="00D6632A">
      <w:pPr>
        <w:spacing w:after="240"/>
        <w:jc w:val="both"/>
        <w:rPr>
          <w:rFonts w:ascii="Arial Narrow" w:hAnsi="Arial Narrow"/>
          <w:sz w:val="20"/>
          <w:szCs w:val="20"/>
        </w:rPr>
      </w:pPr>
      <w:r w:rsidRPr="00173E7B">
        <w:rPr>
          <w:rFonts w:ascii="Arial Narrow" w:hAnsi="Arial Narrow"/>
          <w:bCs/>
          <w:noProof/>
          <w:lang w:eastAsia="cs-CZ"/>
        </w:rPr>
        <mc:AlternateContent>
          <mc:Choice Requires="wps">
            <w:drawing>
              <wp:anchor distT="0" distB="0" distL="114300" distR="114300" simplePos="0" relativeHeight="251682304" behindDoc="0" locked="0" layoutInCell="1" allowOverlap="1" wp14:anchorId="75675396" wp14:editId="79559A87">
                <wp:simplePos x="0" y="0"/>
                <wp:positionH relativeFrom="margin">
                  <wp:posOffset>2357755</wp:posOffset>
                </wp:positionH>
                <wp:positionV relativeFrom="paragraph">
                  <wp:posOffset>701675</wp:posOffset>
                </wp:positionV>
                <wp:extent cx="2629535" cy="1485900"/>
                <wp:effectExtent l="0" t="38100" r="56515" b="19050"/>
                <wp:wrapNone/>
                <wp:docPr id="2" name="Přímá spojnice se šipkou 2"/>
                <wp:cNvGraphicFramePr/>
                <a:graphic xmlns:a="http://schemas.openxmlformats.org/drawingml/2006/main">
                  <a:graphicData uri="http://schemas.microsoft.com/office/word/2010/wordprocessingShape">
                    <wps:wsp>
                      <wps:cNvCnPr/>
                      <wps:spPr>
                        <a:xfrm flipV="1">
                          <a:off x="0" y="0"/>
                          <a:ext cx="2629535" cy="1485900"/>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60DAF2" id="Přímá spojnice se šipkou 2" o:spid="_x0000_s1026" type="#_x0000_t32" style="position:absolute;margin-left:185.65pt;margin-top:55.25pt;width:207.05pt;height:117pt;flip:y;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" strokecolor="#c00000" strokeweight="1.25pt">
                <v:stroke endarrow="block" joinstyle="miter"/>
                <w10:wrap anchorx="margin"/>
              </v:shape>
            </w:pict>
          </mc:Fallback>
        </mc:AlternateContent>
      </w:r>
      <w:r w:rsidR="00F009E6" w:rsidRPr="00173E7B">
        <w:rPr>
          <w:rFonts w:ascii="Arial Narrow" w:hAnsi="Arial Narrow"/>
          <w:bCs/>
          <w:noProof/>
          <w:lang w:eastAsia="cs-CZ"/>
        </w:rPr>
        <w:drawing>
          <wp:inline distT="0" distB="0" distL="0" distR="0" wp14:anchorId="3B2E7BD5" wp14:editId="4D0D10DB">
            <wp:extent cx="5760720" cy="344805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E568AB" w:rsidRPr="00173E7B">
        <w:rPr>
          <w:rFonts w:ascii="Arial Narrow" w:hAnsi="Arial Narrow"/>
          <w:sz w:val="20"/>
          <w:szCs w:val="20"/>
        </w:rPr>
        <w:t xml:space="preserve">Zdroj: </w:t>
      </w:r>
      <w:r w:rsidR="00732A00" w:rsidRPr="00173E7B">
        <w:rPr>
          <w:rFonts w:ascii="Arial Narrow" w:hAnsi="Arial Narrow"/>
          <w:sz w:val="20"/>
          <w:szCs w:val="20"/>
        </w:rPr>
        <w:t>M</w:t>
      </w:r>
      <w:r w:rsidR="00732A00" w:rsidRPr="00173E7B">
        <w:rPr>
          <w:rFonts w:ascii="Arial Narrow" w:hAnsi="Arial Narrow" w:cs="Arial"/>
          <w:color w:val="000000"/>
          <w:sz w:val="20"/>
          <w:szCs w:val="20"/>
        </w:rPr>
        <w:t>inisterstvo školství, mládeže a tělovýchovy</w:t>
      </w:r>
      <w:r w:rsidR="00E568AB" w:rsidRPr="00173E7B">
        <w:rPr>
          <w:rFonts w:ascii="Arial Narrow" w:hAnsi="Arial Narrow"/>
          <w:sz w:val="20"/>
          <w:szCs w:val="20"/>
        </w:rPr>
        <w:tab/>
      </w:r>
      <w:r w:rsidR="00E568AB" w:rsidRPr="00173E7B">
        <w:rPr>
          <w:rFonts w:ascii="Arial Narrow" w:hAnsi="Arial Narrow"/>
          <w:sz w:val="20"/>
          <w:szCs w:val="20"/>
        </w:rPr>
        <w:tab/>
      </w:r>
      <w:r w:rsidR="00E568AB" w:rsidRPr="00173E7B">
        <w:rPr>
          <w:rFonts w:ascii="Arial Narrow" w:hAnsi="Arial Narrow"/>
          <w:sz w:val="20"/>
          <w:szCs w:val="20"/>
        </w:rPr>
        <w:tab/>
      </w:r>
      <w:r w:rsidR="00E568AB" w:rsidRPr="00173E7B">
        <w:rPr>
          <w:rFonts w:ascii="Arial Narrow" w:hAnsi="Arial Narrow"/>
          <w:sz w:val="20"/>
          <w:szCs w:val="20"/>
        </w:rPr>
        <w:tab/>
        <w:t xml:space="preserve">Graf: AUGUR </w:t>
      </w:r>
      <w:proofErr w:type="spellStart"/>
      <w:r w:rsidR="00E568AB" w:rsidRPr="00173E7B">
        <w:rPr>
          <w:rFonts w:ascii="Arial Narrow" w:hAnsi="Arial Narrow"/>
          <w:sz w:val="20"/>
          <w:szCs w:val="20"/>
        </w:rPr>
        <w:t>Consulting</w:t>
      </w:r>
      <w:proofErr w:type="spellEnd"/>
      <w:r w:rsidR="00E568AB" w:rsidRPr="00173E7B">
        <w:rPr>
          <w:rFonts w:ascii="Arial Narrow" w:hAnsi="Arial Narrow"/>
          <w:sz w:val="20"/>
          <w:szCs w:val="20"/>
        </w:rPr>
        <w:t xml:space="preserve"> </w:t>
      </w:r>
      <w:proofErr w:type="spellStart"/>
      <w:r w:rsidR="00E568AB" w:rsidRPr="00173E7B">
        <w:rPr>
          <w:rFonts w:ascii="Arial Narrow" w:hAnsi="Arial Narrow"/>
          <w:sz w:val="20"/>
          <w:szCs w:val="20"/>
        </w:rPr>
        <w:t>s.r.o</w:t>
      </w:r>
      <w:proofErr w:type="spellEnd"/>
    </w:p>
    <w:p w14:paraId="4FE38B98" w14:textId="34D904A5" w:rsidR="00E17404" w:rsidRPr="00173E7B" w:rsidRDefault="00E17404" w:rsidP="009A33BE">
      <w:pPr>
        <w:jc w:val="both"/>
        <w:rPr>
          <w:rFonts w:ascii="Arial Narrow" w:hAnsi="Arial Narrow"/>
          <w:b/>
          <w:bCs/>
          <w:sz w:val="24"/>
          <w:szCs w:val="24"/>
        </w:rPr>
      </w:pPr>
      <w:bookmarkStart w:id="256" w:name="_Toc136429221"/>
      <w:r w:rsidRPr="00173E7B">
        <w:rPr>
          <w:rFonts w:ascii="Arial Narrow" w:hAnsi="Arial Narrow"/>
          <w:b/>
          <w:bCs/>
          <w:sz w:val="20"/>
          <w:szCs w:val="20"/>
        </w:rPr>
        <w:t xml:space="preserve">Tabulka </w:t>
      </w:r>
      <w:r w:rsidRPr="00173E7B">
        <w:rPr>
          <w:rFonts w:ascii="Arial Narrow" w:hAnsi="Arial Narrow"/>
          <w:b/>
          <w:bCs/>
          <w:sz w:val="20"/>
          <w:szCs w:val="20"/>
        </w:rPr>
        <w:fldChar w:fldCharType="begin"/>
      </w:r>
      <w:r w:rsidRPr="00173E7B">
        <w:rPr>
          <w:rFonts w:ascii="Arial Narrow" w:hAnsi="Arial Narrow"/>
          <w:b/>
          <w:bCs/>
          <w:sz w:val="20"/>
          <w:szCs w:val="20"/>
        </w:rPr>
        <w:instrText xml:space="preserve"> SEQ Tabulka \* ARABIC </w:instrText>
      </w:r>
      <w:r w:rsidRPr="00173E7B">
        <w:rPr>
          <w:rFonts w:ascii="Arial Narrow" w:hAnsi="Arial Narrow"/>
          <w:b/>
          <w:bCs/>
          <w:sz w:val="20"/>
          <w:szCs w:val="20"/>
        </w:rPr>
        <w:fldChar w:fldCharType="separate"/>
      </w:r>
      <w:r w:rsidR="00256C97" w:rsidRPr="00173E7B">
        <w:rPr>
          <w:rFonts w:ascii="Arial Narrow" w:hAnsi="Arial Narrow"/>
          <w:b/>
          <w:bCs/>
          <w:noProof/>
          <w:sz w:val="20"/>
          <w:szCs w:val="20"/>
        </w:rPr>
        <w:t>10</w:t>
      </w:r>
      <w:r w:rsidRPr="00173E7B">
        <w:rPr>
          <w:rFonts w:ascii="Arial Narrow" w:hAnsi="Arial Narrow"/>
          <w:b/>
          <w:bCs/>
          <w:sz w:val="20"/>
          <w:szCs w:val="20"/>
        </w:rPr>
        <w:fldChar w:fldCharType="end"/>
      </w:r>
      <w:r w:rsidRPr="00173E7B">
        <w:rPr>
          <w:rFonts w:ascii="Arial Narrow" w:hAnsi="Arial Narrow"/>
          <w:b/>
          <w:bCs/>
          <w:sz w:val="20"/>
          <w:szCs w:val="20"/>
        </w:rPr>
        <w:t xml:space="preserve">:  </w:t>
      </w:r>
      <w:r w:rsidRPr="00173E7B">
        <w:rPr>
          <w:rFonts w:ascii="Arial Narrow" w:hAnsi="Arial Narrow"/>
          <w:b/>
          <w:bCs/>
          <w:color w:val="000000" w:themeColor="text1"/>
          <w:sz w:val="20"/>
          <w:szCs w:val="20"/>
        </w:rPr>
        <w:t xml:space="preserve">Vývoj počtu </w:t>
      </w:r>
      <w:r w:rsidR="00FA6AB1" w:rsidRPr="00173E7B">
        <w:rPr>
          <w:rFonts w:ascii="Arial Narrow" w:hAnsi="Arial Narrow"/>
          <w:b/>
          <w:bCs/>
          <w:color w:val="000000" w:themeColor="text1"/>
          <w:sz w:val="20"/>
          <w:szCs w:val="20"/>
        </w:rPr>
        <w:t>dětí v předškolních zařízeních</w:t>
      </w:r>
      <w:r w:rsidRPr="00173E7B">
        <w:rPr>
          <w:rFonts w:ascii="Arial Narrow" w:hAnsi="Arial Narrow"/>
          <w:b/>
          <w:bCs/>
          <w:color w:val="000000" w:themeColor="text1"/>
          <w:sz w:val="20"/>
          <w:szCs w:val="20"/>
        </w:rPr>
        <w:t xml:space="preserve"> s jinou než českou státní příslušností v letech 2005-202</w:t>
      </w:r>
      <w:r w:rsidR="008A6B51" w:rsidRPr="00173E7B">
        <w:rPr>
          <w:rFonts w:ascii="Arial Narrow" w:hAnsi="Arial Narrow"/>
          <w:b/>
          <w:bCs/>
          <w:color w:val="000000" w:themeColor="text1"/>
          <w:sz w:val="20"/>
          <w:szCs w:val="20"/>
        </w:rPr>
        <w:t>3</w:t>
      </w:r>
      <w:r w:rsidR="00353CDD" w:rsidRPr="00173E7B">
        <w:rPr>
          <w:rFonts w:ascii="Arial Narrow" w:hAnsi="Arial Narrow"/>
          <w:b/>
          <w:bCs/>
          <w:color w:val="000000" w:themeColor="text1"/>
          <w:sz w:val="20"/>
          <w:szCs w:val="20"/>
        </w:rPr>
        <w:t xml:space="preserve"> </w:t>
      </w:r>
      <w:r w:rsidR="00353CDD" w:rsidRPr="00173E7B">
        <w:rPr>
          <w:rFonts w:ascii="Arial Narrow" w:hAnsi="Arial Narrow"/>
          <w:b/>
          <w:bCs/>
          <w:sz w:val="20"/>
          <w:szCs w:val="20"/>
        </w:rPr>
        <w:t>v Jihomoravském kraji</w:t>
      </w:r>
      <w:bookmarkEnd w:id="256"/>
    </w:p>
    <w:tbl>
      <w:tblPr>
        <w:tblStyle w:val="Svtltabulkasmkou1zvraznn11"/>
        <w:tblW w:w="8795" w:type="dxa"/>
        <w:jc w:val="center"/>
        <w:tblLook w:val="04A0" w:firstRow="1" w:lastRow="0" w:firstColumn="1" w:lastColumn="0" w:noHBand="0" w:noVBand="1"/>
      </w:tblPr>
      <w:tblGrid>
        <w:gridCol w:w="1271"/>
        <w:gridCol w:w="1559"/>
        <w:gridCol w:w="1491"/>
        <w:gridCol w:w="1491"/>
        <w:gridCol w:w="1491"/>
        <w:gridCol w:w="1492"/>
      </w:tblGrid>
      <w:tr w:rsidR="008A6B51" w:rsidRPr="00173E7B" w14:paraId="5046DDD2" w14:textId="77777777" w:rsidTr="007D2AF1">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cBorders>
              <w:bottom w:val="none" w:sz="0" w:space="0" w:color="auto"/>
            </w:tcBorders>
            <w:shd w:val="clear" w:color="auto" w:fill="D9E2F3" w:themeFill="accent1" w:themeFillTint="33"/>
            <w:noWrap/>
            <w:vAlign w:val="center"/>
            <w:hideMark/>
          </w:tcPr>
          <w:p w14:paraId="674E8CF1" w14:textId="77777777" w:rsidR="008A6B51" w:rsidRPr="00173E7B" w:rsidRDefault="008A6B51" w:rsidP="004A0C47">
            <w:pPr>
              <w:jc w:val="center"/>
              <w:rPr>
                <w:rFonts w:ascii="Arial Narrow" w:eastAsia="Times New Roman" w:hAnsi="Arial Narrow" w:cs="Tahoma"/>
                <w:b w:val="0"/>
                <w:bCs w:val="0"/>
                <w:sz w:val="18"/>
                <w:szCs w:val="18"/>
                <w:lang w:eastAsia="cs-CZ"/>
              </w:rPr>
            </w:pPr>
          </w:p>
        </w:tc>
        <w:tc>
          <w:tcPr>
            <w:tcW w:w="1559" w:type="dxa"/>
            <w:vMerge w:val="restart"/>
            <w:tcBorders>
              <w:bottom w:val="none" w:sz="0" w:space="0" w:color="auto"/>
            </w:tcBorders>
            <w:shd w:val="clear" w:color="auto" w:fill="D9E2F3" w:themeFill="accent1" w:themeFillTint="33"/>
            <w:vAlign w:val="center"/>
            <w:hideMark/>
          </w:tcPr>
          <w:p w14:paraId="4B81E599" w14:textId="77777777" w:rsidR="008A6B51" w:rsidRPr="00173E7B" w:rsidRDefault="008A6B51"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bCs w:val="0"/>
                <w:sz w:val="18"/>
                <w:szCs w:val="18"/>
                <w:lang w:eastAsia="cs-CZ"/>
              </w:rPr>
            </w:pPr>
            <w:r w:rsidRPr="00173E7B">
              <w:rPr>
                <w:rFonts w:ascii="Arial Narrow" w:eastAsia="Times New Roman" w:hAnsi="Arial Narrow" w:cs="Tahoma"/>
                <w:sz w:val="18"/>
                <w:szCs w:val="18"/>
                <w:lang w:eastAsia="cs-CZ"/>
              </w:rPr>
              <w:t>Děti v předškolních zařízeních v JMK celkem</w:t>
            </w:r>
          </w:p>
        </w:tc>
        <w:tc>
          <w:tcPr>
            <w:tcW w:w="5965" w:type="dxa"/>
            <w:gridSpan w:val="4"/>
            <w:tcBorders>
              <w:bottom w:val="none" w:sz="0" w:space="0" w:color="auto"/>
            </w:tcBorders>
            <w:shd w:val="clear" w:color="auto" w:fill="D9E2F3" w:themeFill="accent1" w:themeFillTint="33"/>
            <w:vAlign w:val="center"/>
            <w:hideMark/>
          </w:tcPr>
          <w:p w14:paraId="5151F593" w14:textId="77777777" w:rsidR="008A6B51" w:rsidRPr="00173E7B" w:rsidRDefault="008A6B51"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bCs w:val="0"/>
                <w:sz w:val="18"/>
                <w:szCs w:val="18"/>
                <w:lang w:eastAsia="cs-CZ"/>
              </w:rPr>
            </w:pPr>
            <w:r w:rsidRPr="00173E7B">
              <w:rPr>
                <w:rFonts w:ascii="Arial Narrow" w:eastAsia="Times New Roman" w:hAnsi="Arial Narrow" w:cs="Tahoma"/>
                <w:b w:val="0"/>
                <w:bCs w:val="0"/>
                <w:sz w:val="18"/>
                <w:szCs w:val="18"/>
                <w:lang w:eastAsia="cs-CZ"/>
              </w:rPr>
              <w:t>v tom státní občanství</w:t>
            </w:r>
          </w:p>
        </w:tc>
      </w:tr>
      <w:tr w:rsidR="008A6B51" w:rsidRPr="00173E7B" w14:paraId="0FF50408" w14:textId="77777777" w:rsidTr="007D2AF1">
        <w:trPr>
          <w:trHeight w:val="415"/>
          <w:jc w:val="center"/>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D9E2F3" w:themeFill="accent1" w:themeFillTint="33"/>
            <w:noWrap/>
            <w:vAlign w:val="center"/>
            <w:hideMark/>
          </w:tcPr>
          <w:p w14:paraId="49B89DD3" w14:textId="77777777" w:rsidR="008A6B51" w:rsidRPr="00173E7B" w:rsidRDefault="008A6B51" w:rsidP="004A0C47">
            <w:pPr>
              <w:jc w:val="center"/>
              <w:rPr>
                <w:rFonts w:ascii="Arial Narrow" w:eastAsia="Times New Roman" w:hAnsi="Arial Narrow" w:cs="Tahoma"/>
                <w:b w:val="0"/>
                <w:bCs w:val="0"/>
                <w:sz w:val="18"/>
                <w:szCs w:val="18"/>
                <w:lang w:eastAsia="cs-CZ"/>
              </w:rPr>
            </w:pPr>
          </w:p>
        </w:tc>
        <w:tc>
          <w:tcPr>
            <w:tcW w:w="1559" w:type="dxa"/>
            <w:vMerge/>
            <w:shd w:val="clear" w:color="auto" w:fill="D9E2F3" w:themeFill="accent1" w:themeFillTint="33"/>
            <w:vAlign w:val="center"/>
            <w:hideMark/>
          </w:tcPr>
          <w:p w14:paraId="4A8B8E01"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p>
        </w:tc>
        <w:tc>
          <w:tcPr>
            <w:tcW w:w="1491" w:type="dxa"/>
            <w:shd w:val="clear" w:color="auto" w:fill="D9E2F3" w:themeFill="accent1" w:themeFillTint="33"/>
            <w:vAlign w:val="center"/>
            <w:hideMark/>
          </w:tcPr>
          <w:p w14:paraId="66D39AD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české</w:t>
            </w:r>
          </w:p>
        </w:tc>
        <w:tc>
          <w:tcPr>
            <w:tcW w:w="1491" w:type="dxa"/>
            <w:shd w:val="clear" w:color="auto" w:fill="D9E2F3" w:themeFill="accent1" w:themeFillTint="33"/>
            <w:vAlign w:val="center"/>
            <w:hideMark/>
          </w:tcPr>
          <w:p w14:paraId="5EE8528B"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slovenské</w:t>
            </w:r>
          </w:p>
        </w:tc>
        <w:tc>
          <w:tcPr>
            <w:tcW w:w="1491" w:type="dxa"/>
            <w:shd w:val="clear" w:color="auto" w:fill="D9E2F3" w:themeFill="accent1" w:themeFillTint="33"/>
            <w:vAlign w:val="center"/>
            <w:hideMark/>
          </w:tcPr>
          <w:p w14:paraId="11B384ED"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ostatní státy EU 27</w:t>
            </w:r>
          </w:p>
        </w:tc>
        <w:tc>
          <w:tcPr>
            <w:tcW w:w="1492" w:type="dxa"/>
            <w:shd w:val="clear" w:color="auto" w:fill="D9E2F3" w:themeFill="accent1" w:themeFillTint="33"/>
            <w:vAlign w:val="center"/>
            <w:hideMark/>
          </w:tcPr>
          <w:p w14:paraId="2EFF3730"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ostatní státy světa a zatím nezjištěné</w:t>
            </w:r>
          </w:p>
        </w:tc>
      </w:tr>
      <w:tr w:rsidR="008A6B51" w:rsidRPr="00173E7B" w14:paraId="7CA35689"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tcPr>
          <w:p w14:paraId="45A86758"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2022/2023</w:t>
            </w:r>
          </w:p>
        </w:tc>
        <w:tc>
          <w:tcPr>
            <w:tcW w:w="1559" w:type="dxa"/>
            <w:vAlign w:val="center"/>
          </w:tcPr>
          <w:p w14:paraId="68917CE6"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eastAsia="Times New Roman" w:hAnsi="Arial Narrow" w:cs="Tahoma"/>
                <w:sz w:val="18"/>
                <w:szCs w:val="18"/>
                <w:lang w:eastAsia="cs-CZ"/>
              </w:rPr>
              <w:t>42 422</w:t>
            </w:r>
          </w:p>
        </w:tc>
        <w:tc>
          <w:tcPr>
            <w:tcW w:w="1491" w:type="dxa"/>
            <w:vAlign w:val="center"/>
          </w:tcPr>
          <w:p w14:paraId="30716CE8"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eastAsia="Times New Roman" w:hAnsi="Arial Narrow" w:cs="Tahoma"/>
                <w:sz w:val="18"/>
                <w:szCs w:val="18"/>
                <w:lang w:eastAsia="cs-CZ"/>
              </w:rPr>
              <w:t>40 904</w:t>
            </w:r>
          </w:p>
        </w:tc>
        <w:tc>
          <w:tcPr>
            <w:tcW w:w="1491" w:type="dxa"/>
            <w:vAlign w:val="center"/>
          </w:tcPr>
          <w:p w14:paraId="0A6BC29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eastAsia="Times New Roman" w:hAnsi="Arial Narrow" w:cs="Tahoma"/>
                <w:sz w:val="18"/>
                <w:szCs w:val="18"/>
                <w:lang w:eastAsia="cs-CZ"/>
              </w:rPr>
              <w:t>266</w:t>
            </w:r>
          </w:p>
        </w:tc>
        <w:tc>
          <w:tcPr>
            <w:tcW w:w="1491" w:type="dxa"/>
            <w:vAlign w:val="center"/>
          </w:tcPr>
          <w:p w14:paraId="6315118A"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eastAsia="Times New Roman" w:hAnsi="Arial Narrow" w:cs="Tahoma"/>
                <w:sz w:val="18"/>
                <w:szCs w:val="18"/>
                <w:lang w:eastAsia="cs-CZ"/>
              </w:rPr>
              <w:t>109</w:t>
            </w:r>
          </w:p>
        </w:tc>
        <w:tc>
          <w:tcPr>
            <w:tcW w:w="1492" w:type="dxa"/>
            <w:vAlign w:val="bottom"/>
          </w:tcPr>
          <w:p w14:paraId="3A4ED08C"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1 143</w:t>
            </w:r>
          </w:p>
        </w:tc>
      </w:tr>
      <w:tr w:rsidR="008A6B51" w:rsidRPr="00173E7B" w14:paraId="61BE4587"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tcPr>
          <w:p w14:paraId="213BB125" w14:textId="77777777" w:rsidR="008A6B51" w:rsidRPr="00173E7B" w:rsidRDefault="008A6B51" w:rsidP="004A0C47">
            <w:pPr>
              <w:jc w:val="center"/>
              <w:rPr>
                <w:rFonts w:ascii="Arial Narrow" w:eastAsia="Times New Roman" w:hAnsi="Arial Narrow"/>
                <w:sz w:val="18"/>
                <w:szCs w:val="18"/>
                <w:lang w:eastAsia="cs-CZ"/>
              </w:rPr>
            </w:pPr>
            <w:r w:rsidRPr="00173E7B">
              <w:rPr>
                <w:rFonts w:ascii="Arial Narrow" w:eastAsia="Times New Roman" w:hAnsi="Arial Narrow"/>
                <w:b w:val="0"/>
                <w:bCs w:val="0"/>
                <w:sz w:val="18"/>
                <w:szCs w:val="18"/>
                <w:lang w:eastAsia="cs-CZ"/>
              </w:rPr>
              <w:t>2021/2022</w:t>
            </w:r>
          </w:p>
        </w:tc>
        <w:tc>
          <w:tcPr>
            <w:tcW w:w="1559" w:type="dxa"/>
          </w:tcPr>
          <w:p w14:paraId="0A07972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41 612</w:t>
            </w:r>
          </w:p>
        </w:tc>
        <w:tc>
          <w:tcPr>
            <w:tcW w:w="1491" w:type="dxa"/>
          </w:tcPr>
          <w:p w14:paraId="603EB4A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40 654</w:t>
            </w:r>
          </w:p>
        </w:tc>
        <w:tc>
          <w:tcPr>
            <w:tcW w:w="1491" w:type="dxa"/>
          </w:tcPr>
          <w:p w14:paraId="60A4F2FC"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267</w:t>
            </w:r>
          </w:p>
        </w:tc>
        <w:tc>
          <w:tcPr>
            <w:tcW w:w="1491" w:type="dxa"/>
          </w:tcPr>
          <w:p w14:paraId="330A8D9B"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106</w:t>
            </w:r>
          </w:p>
        </w:tc>
        <w:tc>
          <w:tcPr>
            <w:tcW w:w="1492" w:type="dxa"/>
            <w:vAlign w:val="bottom"/>
          </w:tcPr>
          <w:p w14:paraId="36E747E7"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585</w:t>
            </w:r>
          </w:p>
        </w:tc>
      </w:tr>
      <w:tr w:rsidR="008A6B51" w:rsidRPr="00173E7B" w14:paraId="61698379"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5B7E395D"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2020/2021</w:t>
            </w:r>
          </w:p>
        </w:tc>
        <w:tc>
          <w:tcPr>
            <w:tcW w:w="1559" w:type="dxa"/>
            <w:vAlign w:val="center"/>
          </w:tcPr>
          <w:p w14:paraId="146B7F27"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41 058</w:t>
            </w:r>
          </w:p>
        </w:tc>
        <w:tc>
          <w:tcPr>
            <w:tcW w:w="1491" w:type="dxa"/>
            <w:vAlign w:val="center"/>
          </w:tcPr>
          <w:p w14:paraId="7AF9B0E3"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40 147</w:t>
            </w:r>
          </w:p>
        </w:tc>
        <w:tc>
          <w:tcPr>
            <w:tcW w:w="1491" w:type="dxa"/>
            <w:vAlign w:val="center"/>
          </w:tcPr>
          <w:p w14:paraId="5803FDBB"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226</w:t>
            </w:r>
          </w:p>
        </w:tc>
        <w:tc>
          <w:tcPr>
            <w:tcW w:w="1491" w:type="dxa"/>
            <w:vAlign w:val="center"/>
          </w:tcPr>
          <w:p w14:paraId="2C29E625"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109</w:t>
            </w:r>
          </w:p>
        </w:tc>
        <w:tc>
          <w:tcPr>
            <w:tcW w:w="1492" w:type="dxa"/>
            <w:vAlign w:val="bottom"/>
          </w:tcPr>
          <w:p w14:paraId="5E6EF2E7"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576</w:t>
            </w:r>
          </w:p>
        </w:tc>
      </w:tr>
      <w:tr w:rsidR="008A6B51" w:rsidRPr="00173E7B" w14:paraId="414E07B7"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27E5A6F4"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2019/2020</w:t>
            </w:r>
          </w:p>
        </w:tc>
        <w:tc>
          <w:tcPr>
            <w:tcW w:w="1559" w:type="dxa"/>
            <w:vAlign w:val="center"/>
          </w:tcPr>
          <w:p w14:paraId="3042AAFE"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41 796</w:t>
            </w:r>
          </w:p>
        </w:tc>
        <w:tc>
          <w:tcPr>
            <w:tcW w:w="1491" w:type="dxa"/>
            <w:vAlign w:val="center"/>
          </w:tcPr>
          <w:p w14:paraId="08A6AFA3"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40 857</w:t>
            </w:r>
          </w:p>
        </w:tc>
        <w:tc>
          <w:tcPr>
            <w:tcW w:w="1491" w:type="dxa"/>
            <w:vAlign w:val="center"/>
          </w:tcPr>
          <w:p w14:paraId="7DACC020"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226</w:t>
            </w:r>
          </w:p>
        </w:tc>
        <w:tc>
          <w:tcPr>
            <w:tcW w:w="1491" w:type="dxa"/>
            <w:vAlign w:val="center"/>
          </w:tcPr>
          <w:p w14:paraId="67538981"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101</w:t>
            </w:r>
          </w:p>
        </w:tc>
        <w:tc>
          <w:tcPr>
            <w:tcW w:w="1492" w:type="dxa"/>
            <w:vAlign w:val="bottom"/>
          </w:tcPr>
          <w:p w14:paraId="0ACEF9B3"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612</w:t>
            </w:r>
          </w:p>
        </w:tc>
      </w:tr>
      <w:tr w:rsidR="008A6B51" w:rsidRPr="00173E7B" w14:paraId="56FA8C3C"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698AE074"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2018/2019</w:t>
            </w:r>
          </w:p>
        </w:tc>
        <w:tc>
          <w:tcPr>
            <w:tcW w:w="1559" w:type="dxa"/>
            <w:vAlign w:val="center"/>
          </w:tcPr>
          <w:p w14:paraId="0FD1AE57"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41 618</w:t>
            </w:r>
          </w:p>
        </w:tc>
        <w:tc>
          <w:tcPr>
            <w:tcW w:w="1491" w:type="dxa"/>
            <w:vAlign w:val="center"/>
          </w:tcPr>
          <w:p w14:paraId="7A19FE2B"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40 771</w:t>
            </w:r>
          </w:p>
        </w:tc>
        <w:tc>
          <w:tcPr>
            <w:tcW w:w="1491" w:type="dxa"/>
            <w:vAlign w:val="center"/>
          </w:tcPr>
          <w:p w14:paraId="5238AB2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182</w:t>
            </w:r>
          </w:p>
        </w:tc>
        <w:tc>
          <w:tcPr>
            <w:tcW w:w="1491" w:type="dxa"/>
            <w:vAlign w:val="center"/>
          </w:tcPr>
          <w:p w14:paraId="630B215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96</w:t>
            </w:r>
          </w:p>
        </w:tc>
        <w:tc>
          <w:tcPr>
            <w:tcW w:w="1492" w:type="dxa"/>
            <w:vAlign w:val="bottom"/>
          </w:tcPr>
          <w:p w14:paraId="3D0A80C3"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569</w:t>
            </w:r>
          </w:p>
        </w:tc>
      </w:tr>
      <w:tr w:rsidR="008A6B51" w:rsidRPr="00173E7B" w14:paraId="4D7DD05E"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64E2BA01"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2017/2018</w:t>
            </w:r>
          </w:p>
        </w:tc>
        <w:tc>
          <w:tcPr>
            <w:tcW w:w="1559" w:type="dxa"/>
            <w:vAlign w:val="center"/>
          </w:tcPr>
          <w:p w14:paraId="69069AE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41 301</w:t>
            </w:r>
          </w:p>
        </w:tc>
        <w:tc>
          <w:tcPr>
            <w:tcW w:w="1491" w:type="dxa"/>
            <w:vAlign w:val="center"/>
          </w:tcPr>
          <w:p w14:paraId="3D711790"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40 539</w:t>
            </w:r>
          </w:p>
        </w:tc>
        <w:tc>
          <w:tcPr>
            <w:tcW w:w="1491" w:type="dxa"/>
            <w:vAlign w:val="center"/>
          </w:tcPr>
          <w:p w14:paraId="36A1B705"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150</w:t>
            </w:r>
          </w:p>
        </w:tc>
        <w:tc>
          <w:tcPr>
            <w:tcW w:w="1491" w:type="dxa"/>
            <w:vAlign w:val="center"/>
          </w:tcPr>
          <w:p w14:paraId="74F70E22"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78</w:t>
            </w:r>
          </w:p>
        </w:tc>
        <w:tc>
          <w:tcPr>
            <w:tcW w:w="1492" w:type="dxa"/>
            <w:vAlign w:val="bottom"/>
          </w:tcPr>
          <w:p w14:paraId="44E62DF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534</w:t>
            </w:r>
          </w:p>
        </w:tc>
      </w:tr>
      <w:tr w:rsidR="008A6B51" w:rsidRPr="00173E7B" w14:paraId="6A3D31A3"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6EAF811C"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2016/2017</w:t>
            </w:r>
          </w:p>
        </w:tc>
        <w:tc>
          <w:tcPr>
            <w:tcW w:w="1559" w:type="dxa"/>
            <w:vAlign w:val="center"/>
          </w:tcPr>
          <w:p w14:paraId="5DF8FCA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41 129</w:t>
            </w:r>
          </w:p>
        </w:tc>
        <w:tc>
          <w:tcPr>
            <w:tcW w:w="1491" w:type="dxa"/>
            <w:vAlign w:val="center"/>
          </w:tcPr>
          <w:p w14:paraId="340107F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40 431</w:t>
            </w:r>
          </w:p>
        </w:tc>
        <w:tc>
          <w:tcPr>
            <w:tcW w:w="1491" w:type="dxa"/>
            <w:vAlign w:val="center"/>
          </w:tcPr>
          <w:p w14:paraId="269AF675"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136</w:t>
            </w:r>
          </w:p>
        </w:tc>
        <w:tc>
          <w:tcPr>
            <w:tcW w:w="1491" w:type="dxa"/>
            <w:vAlign w:val="center"/>
          </w:tcPr>
          <w:p w14:paraId="21ED9FAD"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72</w:t>
            </w:r>
          </w:p>
        </w:tc>
        <w:tc>
          <w:tcPr>
            <w:tcW w:w="1492" w:type="dxa"/>
            <w:vAlign w:val="bottom"/>
            <w:hideMark/>
          </w:tcPr>
          <w:p w14:paraId="34137A07"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490</w:t>
            </w:r>
          </w:p>
        </w:tc>
      </w:tr>
      <w:tr w:rsidR="008A6B51" w:rsidRPr="00173E7B" w14:paraId="74D94070"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48A624EA"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2015/2016</w:t>
            </w:r>
          </w:p>
        </w:tc>
        <w:tc>
          <w:tcPr>
            <w:tcW w:w="1559" w:type="dxa"/>
            <w:vAlign w:val="center"/>
          </w:tcPr>
          <w:p w14:paraId="28E2F1A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41 519</w:t>
            </w:r>
          </w:p>
        </w:tc>
        <w:tc>
          <w:tcPr>
            <w:tcW w:w="1491" w:type="dxa"/>
            <w:vAlign w:val="center"/>
          </w:tcPr>
          <w:p w14:paraId="255DB34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40 910</w:t>
            </w:r>
          </w:p>
        </w:tc>
        <w:tc>
          <w:tcPr>
            <w:tcW w:w="1491" w:type="dxa"/>
            <w:vAlign w:val="center"/>
          </w:tcPr>
          <w:p w14:paraId="16B30D80"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119</w:t>
            </w:r>
          </w:p>
        </w:tc>
        <w:tc>
          <w:tcPr>
            <w:tcW w:w="1491" w:type="dxa"/>
            <w:vAlign w:val="center"/>
          </w:tcPr>
          <w:p w14:paraId="6E199A26"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55</w:t>
            </w:r>
          </w:p>
        </w:tc>
        <w:tc>
          <w:tcPr>
            <w:tcW w:w="1492" w:type="dxa"/>
            <w:vAlign w:val="bottom"/>
            <w:hideMark/>
          </w:tcPr>
          <w:p w14:paraId="673B9BEA"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435</w:t>
            </w:r>
          </w:p>
        </w:tc>
      </w:tr>
      <w:tr w:rsidR="008A6B51" w:rsidRPr="00173E7B" w14:paraId="044BDA42"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4D8A001F"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2014/2015</w:t>
            </w:r>
          </w:p>
        </w:tc>
        <w:tc>
          <w:tcPr>
            <w:tcW w:w="1559" w:type="dxa"/>
            <w:vAlign w:val="center"/>
          </w:tcPr>
          <w:p w14:paraId="423393C8"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41 330</w:t>
            </w:r>
          </w:p>
        </w:tc>
        <w:tc>
          <w:tcPr>
            <w:tcW w:w="1491" w:type="dxa"/>
            <w:vAlign w:val="center"/>
          </w:tcPr>
          <w:p w14:paraId="4FB9366C"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40 801</w:t>
            </w:r>
          </w:p>
        </w:tc>
        <w:tc>
          <w:tcPr>
            <w:tcW w:w="1491" w:type="dxa"/>
            <w:vAlign w:val="center"/>
          </w:tcPr>
          <w:p w14:paraId="0F69B41D"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107</w:t>
            </w:r>
          </w:p>
        </w:tc>
        <w:tc>
          <w:tcPr>
            <w:tcW w:w="1491" w:type="dxa"/>
            <w:vAlign w:val="center"/>
          </w:tcPr>
          <w:p w14:paraId="652F7F12"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60</w:t>
            </w:r>
          </w:p>
        </w:tc>
        <w:tc>
          <w:tcPr>
            <w:tcW w:w="1492" w:type="dxa"/>
            <w:vAlign w:val="bottom"/>
            <w:hideMark/>
          </w:tcPr>
          <w:p w14:paraId="6A2ABAC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362</w:t>
            </w:r>
          </w:p>
        </w:tc>
      </w:tr>
      <w:tr w:rsidR="008A6B51" w:rsidRPr="00173E7B" w14:paraId="65BE59B2"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6D00BC6A"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2013/2014</w:t>
            </w:r>
          </w:p>
        </w:tc>
        <w:tc>
          <w:tcPr>
            <w:tcW w:w="1559" w:type="dxa"/>
            <w:vAlign w:val="center"/>
          </w:tcPr>
          <w:p w14:paraId="50490F51"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40 498</w:t>
            </w:r>
          </w:p>
        </w:tc>
        <w:tc>
          <w:tcPr>
            <w:tcW w:w="1491" w:type="dxa"/>
            <w:vAlign w:val="center"/>
          </w:tcPr>
          <w:p w14:paraId="1DDD63FB"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40 058</w:t>
            </w:r>
          </w:p>
        </w:tc>
        <w:tc>
          <w:tcPr>
            <w:tcW w:w="1491" w:type="dxa"/>
            <w:vAlign w:val="center"/>
          </w:tcPr>
          <w:p w14:paraId="51514795"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93</w:t>
            </w:r>
          </w:p>
        </w:tc>
        <w:tc>
          <w:tcPr>
            <w:tcW w:w="1491" w:type="dxa"/>
            <w:vAlign w:val="center"/>
          </w:tcPr>
          <w:p w14:paraId="36341032"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49</w:t>
            </w:r>
          </w:p>
        </w:tc>
        <w:tc>
          <w:tcPr>
            <w:tcW w:w="1492" w:type="dxa"/>
            <w:vAlign w:val="bottom"/>
            <w:hideMark/>
          </w:tcPr>
          <w:p w14:paraId="065E2BAE"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298</w:t>
            </w:r>
          </w:p>
        </w:tc>
      </w:tr>
      <w:tr w:rsidR="008A6B51" w:rsidRPr="00173E7B" w14:paraId="1223C13A"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5283F74D"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2012/2013</w:t>
            </w:r>
          </w:p>
        </w:tc>
        <w:tc>
          <w:tcPr>
            <w:tcW w:w="1559" w:type="dxa"/>
            <w:vAlign w:val="center"/>
          </w:tcPr>
          <w:p w14:paraId="2BB3258F"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39 489</w:t>
            </w:r>
          </w:p>
        </w:tc>
        <w:tc>
          <w:tcPr>
            <w:tcW w:w="1491" w:type="dxa"/>
            <w:vAlign w:val="center"/>
          </w:tcPr>
          <w:p w14:paraId="12B4979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39 074</w:t>
            </w:r>
          </w:p>
        </w:tc>
        <w:tc>
          <w:tcPr>
            <w:tcW w:w="1491" w:type="dxa"/>
            <w:vAlign w:val="center"/>
          </w:tcPr>
          <w:p w14:paraId="3528885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73</w:t>
            </w:r>
          </w:p>
        </w:tc>
        <w:tc>
          <w:tcPr>
            <w:tcW w:w="1491" w:type="dxa"/>
            <w:vAlign w:val="center"/>
          </w:tcPr>
          <w:p w14:paraId="6F0387E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w:t>
            </w:r>
          </w:p>
        </w:tc>
        <w:tc>
          <w:tcPr>
            <w:tcW w:w="1492" w:type="dxa"/>
            <w:vAlign w:val="bottom"/>
            <w:hideMark/>
          </w:tcPr>
          <w:p w14:paraId="7581DDB8"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302</w:t>
            </w:r>
          </w:p>
        </w:tc>
      </w:tr>
      <w:tr w:rsidR="008A6B51" w:rsidRPr="00173E7B" w14:paraId="43D434FD"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00B87869"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2011/2012</w:t>
            </w:r>
          </w:p>
        </w:tc>
        <w:tc>
          <w:tcPr>
            <w:tcW w:w="1559" w:type="dxa"/>
            <w:vAlign w:val="center"/>
          </w:tcPr>
          <w:p w14:paraId="3FEFF94F"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38 072</w:t>
            </w:r>
          </w:p>
        </w:tc>
        <w:tc>
          <w:tcPr>
            <w:tcW w:w="1491" w:type="dxa"/>
            <w:vAlign w:val="center"/>
          </w:tcPr>
          <w:p w14:paraId="743C2922"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37 743</w:t>
            </w:r>
          </w:p>
        </w:tc>
        <w:tc>
          <w:tcPr>
            <w:tcW w:w="1491" w:type="dxa"/>
            <w:vAlign w:val="center"/>
          </w:tcPr>
          <w:p w14:paraId="4302F610"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64</w:t>
            </w:r>
          </w:p>
        </w:tc>
        <w:tc>
          <w:tcPr>
            <w:tcW w:w="1491" w:type="dxa"/>
            <w:vAlign w:val="center"/>
          </w:tcPr>
          <w:p w14:paraId="63A68F43"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32</w:t>
            </w:r>
          </w:p>
        </w:tc>
        <w:tc>
          <w:tcPr>
            <w:tcW w:w="1492" w:type="dxa"/>
            <w:vAlign w:val="bottom"/>
            <w:hideMark/>
          </w:tcPr>
          <w:p w14:paraId="07D2FA2D"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233</w:t>
            </w:r>
          </w:p>
        </w:tc>
      </w:tr>
      <w:tr w:rsidR="008A6B51" w:rsidRPr="00173E7B" w14:paraId="11A81BF1"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3F01A0EE"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2010/2011</w:t>
            </w:r>
          </w:p>
        </w:tc>
        <w:tc>
          <w:tcPr>
            <w:tcW w:w="1559" w:type="dxa"/>
            <w:vAlign w:val="center"/>
          </w:tcPr>
          <w:p w14:paraId="3C87AE31"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36 377</w:t>
            </w:r>
          </w:p>
        </w:tc>
        <w:tc>
          <w:tcPr>
            <w:tcW w:w="1491" w:type="dxa"/>
            <w:vAlign w:val="center"/>
          </w:tcPr>
          <w:p w14:paraId="3C325E93"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36 102</w:t>
            </w:r>
          </w:p>
        </w:tc>
        <w:tc>
          <w:tcPr>
            <w:tcW w:w="1491" w:type="dxa"/>
            <w:vAlign w:val="center"/>
          </w:tcPr>
          <w:p w14:paraId="7362FFE5"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44</w:t>
            </w:r>
          </w:p>
        </w:tc>
        <w:tc>
          <w:tcPr>
            <w:tcW w:w="1491" w:type="dxa"/>
            <w:vAlign w:val="center"/>
          </w:tcPr>
          <w:p w14:paraId="37FFF3DF"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25</w:t>
            </w:r>
          </w:p>
        </w:tc>
        <w:tc>
          <w:tcPr>
            <w:tcW w:w="1492" w:type="dxa"/>
            <w:vAlign w:val="bottom"/>
            <w:hideMark/>
          </w:tcPr>
          <w:p w14:paraId="713B794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206</w:t>
            </w:r>
          </w:p>
        </w:tc>
      </w:tr>
      <w:tr w:rsidR="008A6B51" w:rsidRPr="00173E7B" w14:paraId="50B439B6"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7944B84D"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2009/2010</w:t>
            </w:r>
          </w:p>
        </w:tc>
        <w:tc>
          <w:tcPr>
            <w:tcW w:w="1559" w:type="dxa"/>
            <w:vAlign w:val="center"/>
          </w:tcPr>
          <w:p w14:paraId="5C5F5450"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34 615</w:t>
            </w:r>
          </w:p>
        </w:tc>
        <w:tc>
          <w:tcPr>
            <w:tcW w:w="1491" w:type="dxa"/>
            <w:vAlign w:val="center"/>
          </w:tcPr>
          <w:p w14:paraId="50326218"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34 345</w:t>
            </w:r>
          </w:p>
        </w:tc>
        <w:tc>
          <w:tcPr>
            <w:tcW w:w="1491" w:type="dxa"/>
            <w:vAlign w:val="center"/>
          </w:tcPr>
          <w:p w14:paraId="37EA152D"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39</w:t>
            </w:r>
          </w:p>
        </w:tc>
        <w:tc>
          <w:tcPr>
            <w:tcW w:w="1491" w:type="dxa"/>
            <w:vAlign w:val="center"/>
          </w:tcPr>
          <w:p w14:paraId="2A3B2CC0"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22</w:t>
            </w:r>
          </w:p>
        </w:tc>
        <w:tc>
          <w:tcPr>
            <w:tcW w:w="1492" w:type="dxa"/>
            <w:vAlign w:val="bottom"/>
            <w:hideMark/>
          </w:tcPr>
          <w:p w14:paraId="3B308D9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209</w:t>
            </w:r>
          </w:p>
        </w:tc>
      </w:tr>
      <w:tr w:rsidR="008A6B51" w:rsidRPr="00173E7B" w14:paraId="3F872A32"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2D16D7E1"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2008/2009</w:t>
            </w:r>
          </w:p>
        </w:tc>
        <w:tc>
          <w:tcPr>
            <w:tcW w:w="1559" w:type="dxa"/>
            <w:vAlign w:val="center"/>
          </w:tcPr>
          <w:p w14:paraId="6064A7A1"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33 181</w:t>
            </w:r>
          </w:p>
        </w:tc>
        <w:tc>
          <w:tcPr>
            <w:tcW w:w="1491" w:type="dxa"/>
            <w:vAlign w:val="center"/>
          </w:tcPr>
          <w:p w14:paraId="107FC3FA"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32 894</w:t>
            </w:r>
          </w:p>
        </w:tc>
        <w:tc>
          <w:tcPr>
            <w:tcW w:w="1491" w:type="dxa"/>
            <w:vAlign w:val="center"/>
          </w:tcPr>
          <w:p w14:paraId="108E044C"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37</w:t>
            </w:r>
          </w:p>
        </w:tc>
        <w:tc>
          <w:tcPr>
            <w:tcW w:w="1491" w:type="dxa"/>
            <w:vAlign w:val="center"/>
          </w:tcPr>
          <w:p w14:paraId="33478D1C"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24</w:t>
            </w:r>
          </w:p>
        </w:tc>
        <w:tc>
          <w:tcPr>
            <w:tcW w:w="1492" w:type="dxa"/>
            <w:vAlign w:val="bottom"/>
            <w:hideMark/>
          </w:tcPr>
          <w:p w14:paraId="5AFD392C"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226</w:t>
            </w:r>
          </w:p>
        </w:tc>
      </w:tr>
      <w:tr w:rsidR="008A6B51" w:rsidRPr="00173E7B" w14:paraId="2E8F2F75"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3F6A9881"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2007/2008</w:t>
            </w:r>
          </w:p>
        </w:tc>
        <w:tc>
          <w:tcPr>
            <w:tcW w:w="1559" w:type="dxa"/>
            <w:vAlign w:val="center"/>
          </w:tcPr>
          <w:p w14:paraId="77696C9E"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32 170</w:t>
            </w:r>
          </w:p>
        </w:tc>
        <w:tc>
          <w:tcPr>
            <w:tcW w:w="1491" w:type="dxa"/>
            <w:vAlign w:val="center"/>
          </w:tcPr>
          <w:p w14:paraId="2278EED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31 959</w:t>
            </w:r>
          </w:p>
        </w:tc>
        <w:tc>
          <w:tcPr>
            <w:tcW w:w="1491" w:type="dxa"/>
            <w:vAlign w:val="center"/>
          </w:tcPr>
          <w:p w14:paraId="146FC1A4"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30</w:t>
            </w:r>
          </w:p>
        </w:tc>
        <w:tc>
          <w:tcPr>
            <w:tcW w:w="1491" w:type="dxa"/>
            <w:vAlign w:val="center"/>
          </w:tcPr>
          <w:p w14:paraId="1E647D02"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23</w:t>
            </w:r>
          </w:p>
        </w:tc>
        <w:tc>
          <w:tcPr>
            <w:tcW w:w="1492" w:type="dxa"/>
            <w:vAlign w:val="bottom"/>
            <w:hideMark/>
          </w:tcPr>
          <w:p w14:paraId="101C73B2"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158</w:t>
            </w:r>
          </w:p>
        </w:tc>
      </w:tr>
      <w:tr w:rsidR="008A6B51" w:rsidRPr="00173E7B" w14:paraId="171E2D7A"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461C7365"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2006/2007</w:t>
            </w:r>
          </w:p>
        </w:tc>
        <w:tc>
          <w:tcPr>
            <w:tcW w:w="1559" w:type="dxa"/>
            <w:vAlign w:val="center"/>
          </w:tcPr>
          <w:p w14:paraId="4C83C601"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31 466</w:t>
            </w:r>
          </w:p>
        </w:tc>
        <w:tc>
          <w:tcPr>
            <w:tcW w:w="1491" w:type="dxa"/>
            <w:vAlign w:val="center"/>
          </w:tcPr>
          <w:p w14:paraId="764FE5CF"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31 240</w:t>
            </w:r>
          </w:p>
        </w:tc>
        <w:tc>
          <w:tcPr>
            <w:tcW w:w="1491" w:type="dxa"/>
            <w:vAlign w:val="center"/>
          </w:tcPr>
          <w:p w14:paraId="7230210B"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28</w:t>
            </w:r>
          </w:p>
        </w:tc>
        <w:tc>
          <w:tcPr>
            <w:tcW w:w="1491" w:type="dxa"/>
            <w:vAlign w:val="center"/>
          </w:tcPr>
          <w:p w14:paraId="3B70A419"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18</w:t>
            </w:r>
          </w:p>
        </w:tc>
        <w:tc>
          <w:tcPr>
            <w:tcW w:w="1492" w:type="dxa"/>
            <w:vAlign w:val="bottom"/>
            <w:hideMark/>
          </w:tcPr>
          <w:p w14:paraId="6B542BB8"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180</w:t>
            </w:r>
          </w:p>
        </w:tc>
      </w:tr>
      <w:tr w:rsidR="008A6B51" w:rsidRPr="00173E7B" w14:paraId="238DD700" w14:textId="77777777" w:rsidTr="007D2AF1">
        <w:trPr>
          <w:trHeight w:val="22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D9E2F3" w:themeFill="accent1" w:themeFillTint="33"/>
            <w:noWrap/>
            <w:vAlign w:val="center"/>
            <w:hideMark/>
          </w:tcPr>
          <w:p w14:paraId="7BC37011" w14:textId="77777777" w:rsidR="008A6B51" w:rsidRPr="00173E7B" w:rsidRDefault="008A6B51"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2005/2006</w:t>
            </w:r>
          </w:p>
        </w:tc>
        <w:tc>
          <w:tcPr>
            <w:tcW w:w="1559" w:type="dxa"/>
            <w:vAlign w:val="center"/>
          </w:tcPr>
          <w:p w14:paraId="13AF38B6"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31 015</w:t>
            </w:r>
          </w:p>
        </w:tc>
        <w:tc>
          <w:tcPr>
            <w:tcW w:w="1491" w:type="dxa"/>
            <w:vAlign w:val="center"/>
          </w:tcPr>
          <w:p w14:paraId="441F4D66"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30 772</w:t>
            </w:r>
          </w:p>
        </w:tc>
        <w:tc>
          <w:tcPr>
            <w:tcW w:w="1491" w:type="dxa"/>
            <w:vAlign w:val="center"/>
          </w:tcPr>
          <w:p w14:paraId="7FE90D21"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30</w:t>
            </w:r>
          </w:p>
        </w:tc>
        <w:tc>
          <w:tcPr>
            <w:tcW w:w="1491" w:type="dxa"/>
            <w:vAlign w:val="center"/>
          </w:tcPr>
          <w:p w14:paraId="2AA9AB58"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18</w:t>
            </w:r>
          </w:p>
        </w:tc>
        <w:tc>
          <w:tcPr>
            <w:tcW w:w="1492" w:type="dxa"/>
            <w:vAlign w:val="bottom"/>
            <w:hideMark/>
          </w:tcPr>
          <w:p w14:paraId="4A1F084A" w14:textId="77777777" w:rsidR="008A6B51" w:rsidRPr="00173E7B" w:rsidRDefault="008A6B51"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195</w:t>
            </w:r>
          </w:p>
        </w:tc>
      </w:tr>
    </w:tbl>
    <w:p w14:paraId="775B30DC" w14:textId="33CA0282" w:rsidR="00FA6AB1" w:rsidRPr="00173E7B" w:rsidRDefault="00E568AB" w:rsidP="007D2AF1">
      <w:pPr>
        <w:spacing w:line="276" w:lineRule="auto"/>
        <w:rPr>
          <w:rFonts w:ascii="Arial Narrow" w:eastAsia="Calibri" w:hAnsi="Arial Narrow"/>
          <w:bCs/>
        </w:rPr>
      </w:pPr>
      <w:r w:rsidRPr="00173E7B">
        <w:rPr>
          <w:rFonts w:ascii="Arial Narrow" w:hAnsi="Arial Narrow"/>
          <w:sz w:val="20"/>
          <w:szCs w:val="20"/>
        </w:rPr>
        <w:t xml:space="preserve">Zdroj: </w:t>
      </w:r>
      <w:r w:rsidR="00732A00" w:rsidRPr="00173E7B">
        <w:rPr>
          <w:rFonts w:ascii="Arial Narrow" w:hAnsi="Arial Narrow"/>
          <w:sz w:val="20"/>
          <w:szCs w:val="20"/>
        </w:rPr>
        <w:t>M</w:t>
      </w:r>
      <w:r w:rsidR="00732A00" w:rsidRPr="00173E7B">
        <w:rPr>
          <w:rFonts w:ascii="Arial Narrow" w:hAnsi="Arial Narrow" w:cs="Arial"/>
          <w:color w:val="000000"/>
          <w:sz w:val="20"/>
          <w:szCs w:val="20"/>
        </w:rPr>
        <w:t>inisterstvo školství, mládeže a tělovýchovy</w:t>
      </w:r>
      <w:r w:rsidR="00732A00" w:rsidRPr="00173E7B">
        <w:rPr>
          <w:rFonts w:ascii="Arial Narrow" w:hAnsi="Arial Narrow"/>
          <w:sz w:val="20"/>
          <w:szCs w:val="20"/>
        </w:rPr>
        <w:t xml:space="preserve"> </w:t>
      </w:r>
      <w:r w:rsidR="00732A00" w:rsidRPr="00173E7B">
        <w:rPr>
          <w:rFonts w:ascii="Arial Narrow" w:hAnsi="Arial Narrow"/>
          <w:sz w:val="20"/>
          <w:szCs w:val="20"/>
        </w:rPr>
        <w:tab/>
      </w:r>
      <w:r w:rsidR="00732A00" w:rsidRPr="00173E7B">
        <w:rPr>
          <w:rFonts w:ascii="Arial Narrow" w:hAnsi="Arial Narrow"/>
          <w:sz w:val="20"/>
          <w:szCs w:val="20"/>
        </w:rPr>
        <w:tab/>
        <w:t xml:space="preserve">   </w:t>
      </w:r>
      <w:r w:rsidRPr="00173E7B">
        <w:rPr>
          <w:rFonts w:ascii="Arial Narrow" w:hAnsi="Arial Narrow"/>
          <w:sz w:val="20"/>
          <w:szCs w:val="20"/>
        </w:rPr>
        <w:tab/>
        <w:t xml:space="preserve">          </w:t>
      </w:r>
      <w:r w:rsidR="00732A00" w:rsidRPr="00173E7B">
        <w:rPr>
          <w:rFonts w:ascii="Arial Narrow" w:hAnsi="Arial Narrow"/>
          <w:sz w:val="20"/>
          <w:szCs w:val="20"/>
        </w:rPr>
        <w:t xml:space="preserve">          </w:t>
      </w:r>
      <w:r w:rsidRPr="00173E7B">
        <w:rPr>
          <w:rFonts w:ascii="Arial Narrow" w:hAnsi="Arial Narrow"/>
          <w:sz w:val="20"/>
          <w:szCs w:val="20"/>
        </w:rPr>
        <w:t xml:space="preserve">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s.r.o</w:t>
      </w:r>
    </w:p>
    <w:p w14:paraId="30669793" w14:textId="77777777" w:rsidR="00D6632A" w:rsidRPr="00173E7B" w:rsidRDefault="00D6632A" w:rsidP="009A30B6">
      <w:pPr>
        <w:spacing w:after="240" w:line="276" w:lineRule="auto"/>
        <w:rPr>
          <w:rFonts w:ascii="Arial Narrow" w:hAnsi="Arial Narrow"/>
          <w:b/>
          <w:u w:val="single"/>
        </w:rPr>
      </w:pPr>
    </w:p>
    <w:p w14:paraId="08160BE5" w14:textId="77777777" w:rsidR="00D6632A" w:rsidRPr="00173E7B" w:rsidRDefault="00D6632A" w:rsidP="009A30B6">
      <w:pPr>
        <w:spacing w:after="240" w:line="276" w:lineRule="auto"/>
        <w:rPr>
          <w:rFonts w:ascii="Arial Narrow" w:hAnsi="Arial Narrow"/>
          <w:b/>
          <w:u w:val="single"/>
        </w:rPr>
      </w:pPr>
    </w:p>
    <w:p w14:paraId="7AFEADA6" w14:textId="6AD1A78F" w:rsidR="009A30B6" w:rsidRPr="00173E7B" w:rsidRDefault="009A30B6" w:rsidP="009A30B6">
      <w:pPr>
        <w:spacing w:after="240" w:line="276" w:lineRule="auto"/>
        <w:rPr>
          <w:rFonts w:ascii="Arial Narrow" w:hAnsi="Arial Narrow"/>
          <w:b/>
          <w:sz w:val="28"/>
          <w:szCs w:val="28"/>
          <w:u w:val="single"/>
        </w:rPr>
      </w:pPr>
      <w:r w:rsidRPr="00173E7B">
        <w:rPr>
          <w:rFonts w:ascii="Arial Narrow" w:hAnsi="Arial Narrow"/>
          <w:b/>
          <w:u w:val="single"/>
        </w:rPr>
        <w:lastRenderedPageBreak/>
        <w:t>Základní školy</w:t>
      </w:r>
    </w:p>
    <w:p w14:paraId="3E1CECA7" w14:textId="2B938711" w:rsidR="009A30B6" w:rsidRPr="00173E7B" w:rsidRDefault="007D2AF1" w:rsidP="00D30F58">
      <w:pPr>
        <w:spacing w:after="240" w:line="276" w:lineRule="auto"/>
        <w:jc w:val="both"/>
        <w:rPr>
          <w:rFonts w:ascii="Arial Narrow" w:hAnsi="Arial Narrow"/>
          <w:bCs/>
        </w:rPr>
      </w:pPr>
      <w:r w:rsidRPr="00173E7B">
        <w:rPr>
          <w:rFonts w:ascii="Arial Narrow" w:hAnsi="Arial Narrow"/>
          <w:bCs/>
        </w:rPr>
        <w:t xml:space="preserve">Ve školním roce 2022/2023 navštěvovalo základní školy v Jihomoravském kraji celkem 112 842 žáků, z toho 6 414 žáků s jinou než českou státní příslušností. </w:t>
      </w:r>
      <w:r w:rsidRPr="00173E7B">
        <w:rPr>
          <w:rFonts w:ascii="Arial Narrow" w:hAnsi="Arial Narrow"/>
          <w:b/>
        </w:rPr>
        <w:t>Oproti předchozímu školnímu roku 2021/2022 se jedná o zhruba 166% nárůst.</w:t>
      </w:r>
      <w:r w:rsidRPr="00173E7B">
        <w:rPr>
          <w:rFonts w:ascii="Arial Narrow" w:hAnsi="Arial Narrow"/>
          <w:bCs/>
        </w:rPr>
        <w:t xml:space="preserve"> Nejvíce dětí na ZŠ (87 %) mělo státní příslušnost třetích zemí. Celkový nárůst počtu žáků s jinou než českou státní příslušností je tvořen především vyšším počtem </w:t>
      </w:r>
      <w:r w:rsidRPr="00173E7B">
        <w:rPr>
          <w:rFonts w:ascii="Arial Narrow" w:hAnsi="Arial Narrow"/>
          <w:b/>
        </w:rPr>
        <w:t>dětí ze třetích zemí, jejichž počet se na ZŠ meziročně zvýšil o 238,06 %.</w:t>
      </w:r>
      <w:r w:rsidRPr="00173E7B">
        <w:rPr>
          <w:rFonts w:ascii="Arial Narrow" w:hAnsi="Arial Narrow"/>
          <w:bCs/>
        </w:rPr>
        <w:t xml:space="preserve"> </w:t>
      </w:r>
      <w:r w:rsidR="009A30B6" w:rsidRPr="00173E7B">
        <w:rPr>
          <w:rFonts w:ascii="Arial Narrow" w:hAnsi="Arial Narrow"/>
          <w:bCs/>
        </w:rPr>
        <w:t xml:space="preserve">Základní dělení státní příslušnosti </w:t>
      </w:r>
      <w:r w:rsidR="00FA6AB1" w:rsidRPr="00173E7B">
        <w:rPr>
          <w:rFonts w:ascii="Arial Narrow" w:hAnsi="Arial Narrow"/>
          <w:bCs/>
        </w:rPr>
        <w:t>žáků</w:t>
      </w:r>
      <w:r w:rsidR="009A30B6" w:rsidRPr="00173E7B">
        <w:rPr>
          <w:rFonts w:ascii="Arial Narrow" w:hAnsi="Arial Narrow"/>
          <w:bCs/>
        </w:rPr>
        <w:t xml:space="preserve"> </w:t>
      </w:r>
      <w:r w:rsidR="006747FE" w:rsidRPr="00173E7B">
        <w:rPr>
          <w:rFonts w:ascii="Arial Narrow" w:hAnsi="Arial Narrow"/>
          <w:bCs/>
        </w:rPr>
        <w:t xml:space="preserve">s jinou než českou státní příslušností </w:t>
      </w:r>
      <w:r w:rsidR="009A30B6" w:rsidRPr="00173E7B">
        <w:rPr>
          <w:rFonts w:ascii="Arial Narrow" w:hAnsi="Arial Narrow"/>
          <w:bCs/>
        </w:rPr>
        <w:t>ve školním roce 202</w:t>
      </w:r>
      <w:r w:rsidRPr="00173E7B">
        <w:rPr>
          <w:rFonts w:ascii="Arial Narrow" w:hAnsi="Arial Narrow"/>
          <w:bCs/>
        </w:rPr>
        <w:t>2</w:t>
      </w:r>
      <w:r w:rsidR="009A30B6" w:rsidRPr="00173E7B">
        <w:rPr>
          <w:rFonts w:ascii="Arial Narrow" w:hAnsi="Arial Narrow"/>
          <w:bCs/>
        </w:rPr>
        <w:t>/202</w:t>
      </w:r>
      <w:r w:rsidRPr="00173E7B">
        <w:rPr>
          <w:rFonts w:ascii="Arial Narrow" w:hAnsi="Arial Narrow"/>
          <w:bCs/>
        </w:rPr>
        <w:t>3</w:t>
      </w:r>
      <w:r w:rsidR="009A30B6" w:rsidRPr="00173E7B">
        <w:rPr>
          <w:rFonts w:ascii="Arial Narrow" w:hAnsi="Arial Narrow"/>
          <w:bCs/>
        </w:rPr>
        <w:t xml:space="preserve"> podrobně dokumentuje graf</w:t>
      </w:r>
      <w:r w:rsidR="00D6632A" w:rsidRPr="00173E7B">
        <w:rPr>
          <w:rFonts w:ascii="Arial Narrow" w:hAnsi="Arial Narrow"/>
          <w:bCs/>
        </w:rPr>
        <w:t xml:space="preserve"> č. 39</w:t>
      </w:r>
      <w:r w:rsidR="009A30B6" w:rsidRPr="00173E7B">
        <w:rPr>
          <w:rFonts w:ascii="Arial Narrow" w:hAnsi="Arial Narrow"/>
          <w:bCs/>
        </w:rPr>
        <w:t>.</w:t>
      </w:r>
    </w:p>
    <w:p w14:paraId="76AF8DE5" w14:textId="64267545" w:rsidR="009A30B6" w:rsidRPr="00173E7B" w:rsidRDefault="00D30F58" w:rsidP="009A30B6">
      <w:pPr>
        <w:spacing w:line="276" w:lineRule="auto"/>
        <w:jc w:val="both"/>
        <w:rPr>
          <w:rFonts w:ascii="Arial Narrow" w:hAnsi="Arial Narrow"/>
          <w:b/>
          <w:bCs/>
          <w:sz w:val="20"/>
          <w:szCs w:val="20"/>
        </w:rPr>
      </w:pPr>
      <w:bookmarkStart w:id="257" w:name="_Toc94443743"/>
      <w:bookmarkStart w:id="258" w:name="_Toc136428883"/>
      <w:r w:rsidRPr="00173E7B">
        <w:rPr>
          <w:rFonts w:ascii="Arial Narrow" w:hAnsi="Arial Narrow"/>
          <w:b/>
          <w:sz w:val="20"/>
          <w:szCs w:val="20"/>
        </w:rPr>
        <w:t xml:space="preserve">Graf </w:t>
      </w:r>
      <w:r w:rsidR="00B63C25" w:rsidRPr="00173E7B">
        <w:rPr>
          <w:rFonts w:ascii="Arial Narrow" w:hAnsi="Arial Narrow"/>
          <w:b/>
          <w:sz w:val="20"/>
          <w:szCs w:val="20"/>
        </w:rPr>
        <w:fldChar w:fldCharType="begin"/>
      </w:r>
      <w:r w:rsidR="00B63C25" w:rsidRPr="00173E7B">
        <w:rPr>
          <w:rFonts w:ascii="Arial Narrow" w:hAnsi="Arial Narrow"/>
          <w:b/>
          <w:sz w:val="20"/>
          <w:szCs w:val="20"/>
        </w:rPr>
        <w:instrText xml:space="preserve"> SEQ Graf \* ARABIC </w:instrText>
      </w:r>
      <w:r w:rsidR="00B63C25" w:rsidRPr="00173E7B">
        <w:rPr>
          <w:rFonts w:ascii="Arial Narrow" w:hAnsi="Arial Narrow"/>
          <w:b/>
          <w:sz w:val="20"/>
          <w:szCs w:val="20"/>
        </w:rPr>
        <w:fldChar w:fldCharType="separate"/>
      </w:r>
      <w:r w:rsidR="009F49C8" w:rsidRPr="00173E7B">
        <w:rPr>
          <w:rFonts w:ascii="Arial Narrow" w:hAnsi="Arial Narrow"/>
          <w:b/>
          <w:noProof/>
          <w:sz w:val="20"/>
          <w:szCs w:val="20"/>
        </w:rPr>
        <w:t>39</w:t>
      </w:r>
      <w:r w:rsidR="00B63C25" w:rsidRPr="00173E7B">
        <w:rPr>
          <w:rFonts w:ascii="Arial Narrow" w:hAnsi="Arial Narrow"/>
          <w:b/>
          <w:sz w:val="20"/>
          <w:szCs w:val="20"/>
        </w:rPr>
        <w:fldChar w:fldCharType="end"/>
      </w:r>
      <w:r w:rsidRPr="00173E7B">
        <w:rPr>
          <w:rFonts w:ascii="Arial Narrow" w:hAnsi="Arial Narrow"/>
          <w:b/>
          <w:sz w:val="20"/>
          <w:szCs w:val="20"/>
        </w:rPr>
        <w:t xml:space="preserve">: </w:t>
      </w:r>
      <w:r w:rsidRPr="00173E7B">
        <w:rPr>
          <w:rFonts w:ascii="Arial Narrow" w:hAnsi="Arial Narrow"/>
          <w:b/>
          <w:bCs/>
          <w:sz w:val="20"/>
          <w:szCs w:val="20"/>
        </w:rPr>
        <w:t xml:space="preserve">Státní příslušnost </w:t>
      </w:r>
      <w:r w:rsidR="00FA6AB1" w:rsidRPr="00173E7B">
        <w:rPr>
          <w:rFonts w:ascii="Arial Narrow" w:hAnsi="Arial Narrow"/>
          <w:b/>
          <w:bCs/>
          <w:sz w:val="20"/>
          <w:szCs w:val="20"/>
        </w:rPr>
        <w:t>žáků</w:t>
      </w:r>
      <w:r w:rsidRPr="00173E7B">
        <w:rPr>
          <w:rFonts w:ascii="Arial Narrow" w:hAnsi="Arial Narrow"/>
          <w:b/>
          <w:bCs/>
          <w:sz w:val="20"/>
          <w:szCs w:val="20"/>
        </w:rPr>
        <w:t xml:space="preserve"> s jinou než českou státní příslušností ve školním roce 202</w:t>
      </w:r>
      <w:r w:rsidR="007D2AF1" w:rsidRPr="00173E7B">
        <w:rPr>
          <w:rFonts w:ascii="Arial Narrow" w:hAnsi="Arial Narrow"/>
          <w:b/>
          <w:bCs/>
          <w:sz w:val="20"/>
          <w:szCs w:val="20"/>
        </w:rPr>
        <w:t>2</w:t>
      </w:r>
      <w:r w:rsidRPr="00173E7B">
        <w:rPr>
          <w:rFonts w:ascii="Arial Narrow" w:hAnsi="Arial Narrow"/>
          <w:b/>
          <w:bCs/>
          <w:sz w:val="20"/>
          <w:szCs w:val="20"/>
        </w:rPr>
        <w:t>/202</w:t>
      </w:r>
      <w:bookmarkEnd w:id="257"/>
      <w:r w:rsidR="007D2AF1" w:rsidRPr="00173E7B">
        <w:rPr>
          <w:rFonts w:ascii="Arial Narrow" w:hAnsi="Arial Narrow"/>
          <w:b/>
          <w:bCs/>
          <w:sz w:val="20"/>
          <w:szCs w:val="20"/>
        </w:rPr>
        <w:t>3</w:t>
      </w:r>
      <w:r w:rsidR="00353CDD" w:rsidRPr="00173E7B">
        <w:rPr>
          <w:rFonts w:ascii="Arial Narrow" w:hAnsi="Arial Narrow"/>
          <w:b/>
          <w:bCs/>
          <w:sz w:val="20"/>
          <w:szCs w:val="20"/>
        </w:rPr>
        <w:t xml:space="preserve"> v Jihomoravském kraji</w:t>
      </w:r>
      <w:bookmarkEnd w:id="258"/>
    </w:p>
    <w:p w14:paraId="47E3721E" w14:textId="3717D115" w:rsidR="009A30B6" w:rsidRPr="00173E7B" w:rsidRDefault="007D2AF1" w:rsidP="7CC7BF57">
      <w:pPr>
        <w:jc w:val="both"/>
        <w:rPr>
          <w:rFonts w:ascii="Arial Narrow" w:hAnsi="Arial Narrow"/>
        </w:rPr>
      </w:pPr>
      <w:r w:rsidRPr="00173E7B">
        <w:rPr>
          <w:rFonts w:ascii="Arial Narrow" w:hAnsi="Arial Narrow"/>
          <w:bCs/>
          <w:noProof/>
          <w:lang w:eastAsia="cs-CZ"/>
        </w:rPr>
        <w:drawing>
          <wp:inline distT="0" distB="0" distL="0" distR="0" wp14:anchorId="27BCEF2B" wp14:editId="153B07B3">
            <wp:extent cx="5760720" cy="1377950"/>
            <wp:effectExtent l="0" t="0" r="0" b="0"/>
            <wp:docPr id="2071" name="Graf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7662DE5" w14:textId="1E01083D" w:rsidR="00E568AB" w:rsidRPr="00173E7B" w:rsidRDefault="00E568AB" w:rsidP="00E568AB">
      <w:pPr>
        <w:spacing w:line="276" w:lineRule="auto"/>
        <w:rPr>
          <w:rFonts w:ascii="Arial Narrow" w:eastAsia="Calibri" w:hAnsi="Arial Narrow"/>
          <w:bCs/>
        </w:rPr>
      </w:pPr>
      <w:r w:rsidRPr="00173E7B">
        <w:rPr>
          <w:rFonts w:ascii="Arial Narrow" w:hAnsi="Arial Narrow"/>
          <w:sz w:val="20"/>
          <w:szCs w:val="20"/>
        </w:rPr>
        <w:t xml:space="preserve">Zdroj: </w:t>
      </w:r>
      <w:r w:rsidR="00732A00" w:rsidRPr="00173E7B">
        <w:rPr>
          <w:rFonts w:ascii="Arial Narrow" w:hAnsi="Arial Narrow"/>
          <w:sz w:val="20"/>
          <w:szCs w:val="20"/>
        </w:rPr>
        <w:t>M</w:t>
      </w:r>
      <w:r w:rsidR="00732A00" w:rsidRPr="00173E7B">
        <w:rPr>
          <w:rFonts w:ascii="Arial Narrow" w:hAnsi="Arial Narrow" w:cs="Arial"/>
          <w:color w:val="000000"/>
          <w:sz w:val="20"/>
          <w:szCs w:val="20"/>
        </w:rPr>
        <w:t>inisterstvo školství, mládeže a tělovýchovy</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7B9DC056" w14:textId="77777777" w:rsidR="009A30B6" w:rsidRPr="00173E7B" w:rsidRDefault="009A30B6" w:rsidP="009A30B6">
      <w:pPr>
        <w:spacing w:line="276" w:lineRule="auto"/>
        <w:jc w:val="both"/>
        <w:rPr>
          <w:rFonts w:ascii="Arial Narrow" w:hAnsi="Arial Narrow"/>
          <w:b/>
        </w:rPr>
      </w:pPr>
    </w:p>
    <w:p w14:paraId="595746EF" w14:textId="01C855C1" w:rsidR="007D2AF1" w:rsidRPr="00173E7B" w:rsidRDefault="0867A402" w:rsidP="007D2AF1">
      <w:pPr>
        <w:spacing w:after="240" w:line="276" w:lineRule="auto"/>
        <w:jc w:val="both"/>
        <w:rPr>
          <w:rFonts w:ascii="Arial Narrow" w:hAnsi="Arial Narrow"/>
        </w:rPr>
      </w:pPr>
      <w:r w:rsidRPr="00173E7B">
        <w:rPr>
          <w:rFonts w:ascii="Arial Narrow" w:hAnsi="Arial Narrow"/>
        </w:rPr>
        <w:t xml:space="preserve">Podíl osob s jinou než českou státní příslušností na celkovém počtu </w:t>
      </w:r>
      <w:r w:rsidR="00BA1BB0" w:rsidRPr="00173E7B">
        <w:rPr>
          <w:rFonts w:ascii="Arial Narrow" w:hAnsi="Arial Narrow"/>
        </w:rPr>
        <w:t>žáků</w:t>
      </w:r>
      <w:r w:rsidRPr="00173E7B">
        <w:rPr>
          <w:rFonts w:ascii="Arial Narrow" w:hAnsi="Arial Narrow"/>
        </w:rPr>
        <w:t xml:space="preserve"> se za posledních 16 let více než zdvojnásobil</w:t>
      </w:r>
      <w:r w:rsidR="00390861" w:rsidRPr="00173E7B">
        <w:rPr>
          <w:rFonts w:ascii="Arial Narrow" w:hAnsi="Arial Narrow"/>
          <w:bCs/>
        </w:rPr>
        <w:t>,</w:t>
      </w:r>
      <w:r w:rsidR="00390861" w:rsidRPr="00173E7B">
        <w:rPr>
          <w:rFonts w:ascii="Arial Narrow" w:hAnsi="Arial Narrow"/>
        </w:rPr>
        <w:t xml:space="preserve"> jak ukazuje graf č. 40 a následně v reálných číslech tabulka č. 11</w:t>
      </w:r>
      <w:r w:rsidRPr="00173E7B">
        <w:rPr>
          <w:rFonts w:ascii="Arial Narrow" w:hAnsi="Arial Narrow"/>
        </w:rPr>
        <w:t>. Zatímco ve školním roce 2005/2006 tvořil</w:t>
      </w:r>
      <w:r w:rsidR="00FA6AB1" w:rsidRPr="00173E7B">
        <w:rPr>
          <w:rFonts w:ascii="Arial Narrow" w:hAnsi="Arial Narrow"/>
        </w:rPr>
        <w:t xml:space="preserve">i </w:t>
      </w:r>
      <w:r w:rsidR="0EB41628" w:rsidRPr="00173E7B">
        <w:rPr>
          <w:rFonts w:ascii="Arial Narrow" w:hAnsi="Arial Narrow"/>
        </w:rPr>
        <w:t>žáci</w:t>
      </w:r>
      <w:r w:rsidRPr="00173E7B">
        <w:rPr>
          <w:rFonts w:ascii="Arial Narrow" w:hAnsi="Arial Narrow"/>
        </w:rPr>
        <w:t xml:space="preserve"> s jinou než českou státní příslušností 1,0 % všech </w:t>
      </w:r>
      <w:r w:rsidR="00BA1BB0" w:rsidRPr="00173E7B">
        <w:rPr>
          <w:rFonts w:ascii="Arial Narrow" w:hAnsi="Arial Narrow"/>
        </w:rPr>
        <w:t>žá</w:t>
      </w:r>
      <w:r w:rsidRPr="00173E7B">
        <w:rPr>
          <w:rFonts w:ascii="Arial Narrow" w:hAnsi="Arial Narrow"/>
        </w:rPr>
        <w:t>ků, ve školním roce 2021/2022 to bylo již 2,2 %.</w:t>
      </w:r>
      <w:r w:rsidR="007D2AF1" w:rsidRPr="00173E7B">
        <w:rPr>
          <w:rFonts w:ascii="Arial Narrow" w:hAnsi="Arial Narrow"/>
        </w:rPr>
        <w:t xml:space="preserve"> Růst podílu žáků s jinou než českou státní příslušností v Jihomoravském kraji je tak mírně nižší než byl na celorepublikové úrovni, kde ve školním roce 2021/2022 tvořil podíl zmiňované skupiny žáků 3,2 %. </w:t>
      </w:r>
    </w:p>
    <w:p w14:paraId="3A925164" w14:textId="1D3C02B4" w:rsidR="00276BDF" w:rsidRPr="00CE357F" w:rsidRDefault="007D2AF1" w:rsidP="2460258F">
      <w:pPr>
        <w:spacing w:after="240" w:line="276" w:lineRule="auto"/>
        <w:jc w:val="both"/>
        <w:rPr>
          <w:rFonts w:ascii="Arial Narrow" w:hAnsi="Arial Narrow"/>
        </w:rPr>
      </w:pPr>
      <w:r w:rsidRPr="00173E7B">
        <w:rPr>
          <w:rFonts w:ascii="Arial Narrow" w:hAnsi="Arial Narrow"/>
        </w:rPr>
        <w:t>Výraznou změnu v podílu dětí s jinou než českou státní příslušností na ZŠ přinesl školní rok 2022/2023, kdy v souvislosti s válkou na Ukrajině došlo k příchodu velkého počtu žáků s jinou než českou státní příslušností ze třetích zemí. V důsledku toho se podíl zmiňovaných osob v JMK skokově zvýšil z 2,2 % na 5,7 %. V JMK je v současnosti podíl žáků s jinou než českou státní příslušností o 1,5 % nižší, než je tomu na celorepublikové úrovni (zde tvoří 7,2 %).</w:t>
      </w:r>
    </w:p>
    <w:p w14:paraId="35ABD6C8" w14:textId="77777777" w:rsidR="004D2124" w:rsidRDefault="004D2124" w:rsidP="009A30B6">
      <w:pPr>
        <w:spacing w:line="276" w:lineRule="auto"/>
        <w:jc w:val="both"/>
        <w:rPr>
          <w:rFonts w:ascii="Arial Narrow" w:hAnsi="Arial Narrow"/>
          <w:b/>
          <w:sz w:val="20"/>
          <w:szCs w:val="20"/>
        </w:rPr>
      </w:pPr>
      <w:bookmarkStart w:id="259" w:name="_Toc94443744"/>
    </w:p>
    <w:p w14:paraId="1E2CA800" w14:textId="77777777" w:rsidR="007D2AF1" w:rsidRDefault="007D2AF1" w:rsidP="009A30B6">
      <w:pPr>
        <w:spacing w:line="276" w:lineRule="auto"/>
        <w:jc w:val="both"/>
        <w:rPr>
          <w:rFonts w:ascii="Arial Narrow" w:hAnsi="Arial Narrow"/>
          <w:b/>
          <w:sz w:val="20"/>
          <w:szCs w:val="20"/>
        </w:rPr>
      </w:pPr>
    </w:p>
    <w:p w14:paraId="16E5750B" w14:textId="77777777" w:rsidR="007D2AF1" w:rsidRDefault="007D2AF1" w:rsidP="009A30B6">
      <w:pPr>
        <w:spacing w:line="276" w:lineRule="auto"/>
        <w:jc w:val="both"/>
        <w:rPr>
          <w:rFonts w:ascii="Arial Narrow" w:hAnsi="Arial Narrow"/>
          <w:b/>
          <w:sz w:val="20"/>
          <w:szCs w:val="20"/>
        </w:rPr>
      </w:pPr>
    </w:p>
    <w:p w14:paraId="51B92B0F" w14:textId="77777777" w:rsidR="007D2AF1" w:rsidRDefault="007D2AF1" w:rsidP="009A30B6">
      <w:pPr>
        <w:spacing w:line="276" w:lineRule="auto"/>
        <w:jc w:val="both"/>
        <w:rPr>
          <w:rFonts w:ascii="Arial Narrow" w:hAnsi="Arial Narrow"/>
          <w:b/>
          <w:sz w:val="20"/>
          <w:szCs w:val="20"/>
        </w:rPr>
      </w:pPr>
    </w:p>
    <w:p w14:paraId="1ACB2516" w14:textId="77777777" w:rsidR="007D2AF1" w:rsidRDefault="007D2AF1" w:rsidP="009A30B6">
      <w:pPr>
        <w:spacing w:line="276" w:lineRule="auto"/>
        <w:jc w:val="both"/>
        <w:rPr>
          <w:rFonts w:ascii="Arial Narrow" w:hAnsi="Arial Narrow"/>
          <w:b/>
          <w:sz w:val="20"/>
          <w:szCs w:val="20"/>
        </w:rPr>
      </w:pPr>
    </w:p>
    <w:p w14:paraId="2263DB67" w14:textId="77777777" w:rsidR="007D2AF1" w:rsidRDefault="007D2AF1" w:rsidP="009A30B6">
      <w:pPr>
        <w:spacing w:line="276" w:lineRule="auto"/>
        <w:jc w:val="both"/>
        <w:rPr>
          <w:rFonts w:ascii="Arial Narrow" w:hAnsi="Arial Narrow"/>
          <w:b/>
          <w:sz w:val="20"/>
          <w:szCs w:val="20"/>
        </w:rPr>
      </w:pPr>
    </w:p>
    <w:p w14:paraId="780DEB7C" w14:textId="77777777" w:rsidR="007D2AF1" w:rsidRDefault="007D2AF1" w:rsidP="009A30B6">
      <w:pPr>
        <w:spacing w:line="276" w:lineRule="auto"/>
        <w:jc w:val="both"/>
        <w:rPr>
          <w:rFonts w:ascii="Arial Narrow" w:hAnsi="Arial Narrow"/>
          <w:b/>
          <w:sz w:val="20"/>
          <w:szCs w:val="20"/>
        </w:rPr>
      </w:pPr>
    </w:p>
    <w:p w14:paraId="28ED7610" w14:textId="77777777" w:rsidR="007D2AF1" w:rsidRDefault="007D2AF1" w:rsidP="009A30B6">
      <w:pPr>
        <w:spacing w:line="276" w:lineRule="auto"/>
        <w:jc w:val="both"/>
        <w:rPr>
          <w:rFonts w:ascii="Arial Narrow" w:hAnsi="Arial Narrow"/>
          <w:b/>
          <w:sz w:val="20"/>
          <w:szCs w:val="20"/>
        </w:rPr>
      </w:pPr>
    </w:p>
    <w:p w14:paraId="3811767F" w14:textId="77777777" w:rsidR="007D2AF1" w:rsidRDefault="007D2AF1" w:rsidP="009A30B6">
      <w:pPr>
        <w:spacing w:line="276" w:lineRule="auto"/>
        <w:jc w:val="both"/>
        <w:rPr>
          <w:rFonts w:ascii="Arial Narrow" w:hAnsi="Arial Narrow"/>
          <w:b/>
          <w:sz w:val="20"/>
          <w:szCs w:val="20"/>
        </w:rPr>
      </w:pPr>
    </w:p>
    <w:p w14:paraId="6FB6840E" w14:textId="77777777" w:rsidR="00390861" w:rsidRDefault="00390861" w:rsidP="009A30B6">
      <w:pPr>
        <w:spacing w:line="276" w:lineRule="auto"/>
        <w:jc w:val="both"/>
        <w:rPr>
          <w:rFonts w:ascii="Arial Narrow" w:hAnsi="Arial Narrow"/>
          <w:b/>
          <w:sz w:val="20"/>
          <w:szCs w:val="20"/>
        </w:rPr>
      </w:pPr>
    </w:p>
    <w:p w14:paraId="1DC6D052" w14:textId="77777777" w:rsidR="00390861" w:rsidRDefault="00390861" w:rsidP="009A30B6">
      <w:pPr>
        <w:spacing w:line="276" w:lineRule="auto"/>
        <w:jc w:val="both"/>
        <w:rPr>
          <w:rFonts w:ascii="Arial Narrow" w:hAnsi="Arial Narrow"/>
          <w:b/>
          <w:sz w:val="20"/>
          <w:szCs w:val="20"/>
        </w:rPr>
      </w:pPr>
    </w:p>
    <w:p w14:paraId="0433BAEB" w14:textId="77777777" w:rsidR="00390861" w:rsidRDefault="00390861" w:rsidP="009A30B6">
      <w:pPr>
        <w:spacing w:line="276" w:lineRule="auto"/>
        <w:jc w:val="both"/>
        <w:rPr>
          <w:rFonts w:ascii="Arial Narrow" w:hAnsi="Arial Narrow"/>
          <w:b/>
          <w:sz w:val="20"/>
          <w:szCs w:val="20"/>
        </w:rPr>
      </w:pPr>
    </w:p>
    <w:p w14:paraId="5B68A0B1" w14:textId="77777777" w:rsidR="00390861" w:rsidRDefault="00390861" w:rsidP="009A30B6">
      <w:pPr>
        <w:spacing w:line="276" w:lineRule="auto"/>
        <w:jc w:val="both"/>
        <w:rPr>
          <w:rFonts w:ascii="Arial Narrow" w:hAnsi="Arial Narrow"/>
          <w:b/>
          <w:sz w:val="20"/>
          <w:szCs w:val="20"/>
        </w:rPr>
      </w:pPr>
    </w:p>
    <w:p w14:paraId="36AE96AE" w14:textId="77777777" w:rsidR="00390861" w:rsidRDefault="00390861" w:rsidP="009A30B6">
      <w:pPr>
        <w:spacing w:line="276" w:lineRule="auto"/>
        <w:jc w:val="both"/>
        <w:rPr>
          <w:rFonts w:ascii="Arial Narrow" w:hAnsi="Arial Narrow"/>
          <w:b/>
          <w:sz w:val="20"/>
          <w:szCs w:val="20"/>
        </w:rPr>
      </w:pPr>
    </w:p>
    <w:p w14:paraId="786D0698" w14:textId="77777777" w:rsidR="007D2AF1" w:rsidRDefault="007D2AF1" w:rsidP="009A30B6">
      <w:pPr>
        <w:spacing w:line="276" w:lineRule="auto"/>
        <w:jc w:val="both"/>
        <w:rPr>
          <w:rFonts w:ascii="Arial Narrow" w:hAnsi="Arial Narrow"/>
          <w:b/>
          <w:sz w:val="20"/>
          <w:szCs w:val="20"/>
        </w:rPr>
      </w:pPr>
    </w:p>
    <w:p w14:paraId="27DDBEAB" w14:textId="537DC525" w:rsidR="00D30F58" w:rsidRPr="00173E7B" w:rsidRDefault="00D30F58" w:rsidP="009A30B6">
      <w:pPr>
        <w:spacing w:line="276" w:lineRule="auto"/>
        <w:jc w:val="both"/>
        <w:rPr>
          <w:rFonts w:ascii="Arial Narrow" w:hAnsi="Arial Narrow"/>
          <w:b/>
          <w:bCs/>
          <w:sz w:val="20"/>
          <w:szCs w:val="20"/>
        </w:rPr>
      </w:pPr>
      <w:bookmarkStart w:id="260" w:name="_Toc136428884"/>
      <w:r w:rsidRPr="00173E7B">
        <w:rPr>
          <w:rFonts w:ascii="Arial Narrow" w:hAnsi="Arial Narrow"/>
          <w:b/>
          <w:sz w:val="20"/>
          <w:szCs w:val="20"/>
        </w:rPr>
        <w:lastRenderedPageBreak/>
        <w:t xml:space="preserve">Graf </w:t>
      </w:r>
      <w:r w:rsidR="00B63C25" w:rsidRPr="00173E7B">
        <w:rPr>
          <w:rFonts w:ascii="Arial Narrow" w:hAnsi="Arial Narrow"/>
          <w:b/>
          <w:sz w:val="20"/>
          <w:szCs w:val="20"/>
        </w:rPr>
        <w:fldChar w:fldCharType="begin"/>
      </w:r>
      <w:r w:rsidR="00B63C25" w:rsidRPr="00173E7B">
        <w:rPr>
          <w:rFonts w:ascii="Arial Narrow" w:hAnsi="Arial Narrow"/>
          <w:b/>
          <w:sz w:val="20"/>
          <w:szCs w:val="20"/>
        </w:rPr>
        <w:instrText xml:space="preserve"> SEQ Graf \* ARABIC </w:instrText>
      </w:r>
      <w:r w:rsidR="00B63C25" w:rsidRPr="00173E7B">
        <w:rPr>
          <w:rFonts w:ascii="Arial Narrow" w:hAnsi="Arial Narrow"/>
          <w:b/>
          <w:sz w:val="20"/>
          <w:szCs w:val="20"/>
        </w:rPr>
        <w:fldChar w:fldCharType="separate"/>
      </w:r>
      <w:r w:rsidR="009F49C8" w:rsidRPr="00173E7B">
        <w:rPr>
          <w:rFonts w:ascii="Arial Narrow" w:hAnsi="Arial Narrow"/>
          <w:b/>
          <w:noProof/>
          <w:sz w:val="20"/>
          <w:szCs w:val="20"/>
        </w:rPr>
        <w:t>40</w:t>
      </w:r>
      <w:r w:rsidR="00B63C25" w:rsidRPr="00173E7B">
        <w:rPr>
          <w:rFonts w:ascii="Arial Narrow" w:hAnsi="Arial Narrow"/>
          <w:b/>
          <w:sz w:val="20"/>
          <w:szCs w:val="20"/>
        </w:rPr>
        <w:fldChar w:fldCharType="end"/>
      </w:r>
      <w:r w:rsidRPr="00173E7B">
        <w:rPr>
          <w:rFonts w:ascii="Arial Narrow" w:hAnsi="Arial Narrow"/>
          <w:b/>
          <w:sz w:val="20"/>
          <w:szCs w:val="20"/>
        </w:rPr>
        <w:t xml:space="preserve">: </w:t>
      </w:r>
      <w:r w:rsidRPr="00173E7B">
        <w:rPr>
          <w:rFonts w:ascii="Arial Narrow" w:hAnsi="Arial Narrow"/>
          <w:b/>
          <w:bCs/>
          <w:sz w:val="20"/>
          <w:szCs w:val="20"/>
        </w:rPr>
        <w:t xml:space="preserve">Podíl </w:t>
      </w:r>
      <w:r w:rsidR="00FA6AB1" w:rsidRPr="00173E7B">
        <w:rPr>
          <w:rFonts w:ascii="Arial Narrow" w:hAnsi="Arial Narrow"/>
          <w:b/>
          <w:bCs/>
          <w:sz w:val="20"/>
          <w:szCs w:val="20"/>
        </w:rPr>
        <w:t>žáků</w:t>
      </w:r>
      <w:r w:rsidR="001138E8" w:rsidRPr="00173E7B">
        <w:rPr>
          <w:rFonts w:ascii="Arial Narrow" w:hAnsi="Arial Narrow"/>
          <w:b/>
          <w:bCs/>
          <w:sz w:val="20"/>
          <w:szCs w:val="20"/>
        </w:rPr>
        <w:t xml:space="preserve"> v ZŠ</w:t>
      </w:r>
      <w:r w:rsidRPr="00173E7B">
        <w:rPr>
          <w:rFonts w:ascii="Arial Narrow" w:hAnsi="Arial Narrow"/>
          <w:b/>
          <w:bCs/>
          <w:sz w:val="20"/>
          <w:szCs w:val="20"/>
        </w:rPr>
        <w:t xml:space="preserve"> s jinou než českou státní příslušností na celkovém počtu </w:t>
      </w:r>
      <w:bookmarkEnd w:id="259"/>
      <w:r w:rsidR="00FA6AB1" w:rsidRPr="00173E7B">
        <w:rPr>
          <w:rFonts w:ascii="Arial Narrow" w:hAnsi="Arial Narrow"/>
          <w:b/>
          <w:bCs/>
          <w:sz w:val="20"/>
          <w:szCs w:val="20"/>
        </w:rPr>
        <w:t>žáků</w:t>
      </w:r>
      <w:r w:rsidRPr="00173E7B">
        <w:rPr>
          <w:rFonts w:ascii="Arial Narrow" w:hAnsi="Arial Narrow"/>
          <w:b/>
          <w:bCs/>
          <w:sz w:val="20"/>
          <w:szCs w:val="20"/>
        </w:rPr>
        <w:t xml:space="preserve"> </w:t>
      </w:r>
      <w:r w:rsidR="001138E8" w:rsidRPr="00173E7B">
        <w:rPr>
          <w:rFonts w:ascii="Arial Narrow" w:hAnsi="Arial Narrow"/>
          <w:b/>
          <w:bCs/>
          <w:sz w:val="20"/>
          <w:szCs w:val="20"/>
        </w:rPr>
        <w:t>v Jihomoravském kraji</w:t>
      </w:r>
      <w:bookmarkEnd w:id="260"/>
    </w:p>
    <w:p w14:paraId="74A86A9E" w14:textId="006B5563" w:rsidR="009A30B6" w:rsidRPr="00173E7B" w:rsidRDefault="003937B0" w:rsidP="7CC7BF57">
      <w:pPr>
        <w:spacing w:line="276" w:lineRule="auto"/>
        <w:rPr>
          <w:rFonts w:ascii="Arial Narrow" w:hAnsi="Arial Narrow"/>
        </w:rPr>
      </w:pPr>
      <w:r w:rsidRPr="00173E7B">
        <w:rPr>
          <w:rFonts w:ascii="Arial Narrow" w:hAnsi="Arial Narrow"/>
          <w:bCs/>
          <w:noProof/>
          <w:lang w:eastAsia="cs-CZ"/>
        </w:rPr>
        <mc:AlternateContent>
          <mc:Choice Requires="wps">
            <w:drawing>
              <wp:anchor distT="0" distB="0" distL="114300" distR="114300" simplePos="0" relativeHeight="251686400" behindDoc="0" locked="0" layoutInCell="1" allowOverlap="1" wp14:anchorId="1910410B" wp14:editId="2FC85E9D">
                <wp:simplePos x="0" y="0"/>
                <wp:positionH relativeFrom="margin">
                  <wp:posOffset>2033270</wp:posOffset>
                </wp:positionH>
                <wp:positionV relativeFrom="paragraph">
                  <wp:posOffset>555625</wp:posOffset>
                </wp:positionV>
                <wp:extent cx="3209925" cy="1190625"/>
                <wp:effectExtent l="0" t="38100" r="47625" b="28575"/>
                <wp:wrapNone/>
                <wp:docPr id="11" name="Přímá spojnice se šipkou 11"/>
                <wp:cNvGraphicFramePr/>
                <a:graphic xmlns:a="http://schemas.openxmlformats.org/drawingml/2006/main">
                  <a:graphicData uri="http://schemas.microsoft.com/office/word/2010/wordprocessingShape">
                    <wps:wsp>
                      <wps:cNvCnPr/>
                      <wps:spPr>
                        <a:xfrm flipV="1">
                          <a:off x="0" y="0"/>
                          <a:ext cx="3209925" cy="1190625"/>
                        </a:xfrm>
                        <a:prstGeom prst="straightConnector1">
                          <a:avLst/>
                        </a:prstGeom>
                        <a:ln w="158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9EC63A" id="Přímá spojnice se šipkou 11" o:spid="_x0000_s1026" type="#_x0000_t32" style="position:absolute;margin-left:160.1pt;margin-top:43.75pt;width:252.75pt;height:93.75pt;flip:y;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" strokecolor="#c00000" strokeweight="1.25pt">
                <v:stroke endarrow="block" joinstyle="miter"/>
                <w10:wrap anchorx="margin"/>
              </v:shape>
            </w:pict>
          </mc:Fallback>
        </mc:AlternateContent>
      </w:r>
      <w:r w:rsidR="00276BDF" w:rsidRPr="00173E7B">
        <w:rPr>
          <w:rFonts w:ascii="Arial Narrow" w:hAnsi="Arial Narrow"/>
          <w:bCs/>
          <w:noProof/>
          <w:lang w:eastAsia="cs-CZ"/>
        </w:rPr>
        <w:drawing>
          <wp:inline distT="0" distB="0" distL="0" distR="0" wp14:anchorId="30B758AF" wp14:editId="65115872">
            <wp:extent cx="5886450" cy="3267075"/>
            <wp:effectExtent l="0" t="0" r="0" b="0"/>
            <wp:docPr id="2072" name="Graf 2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5FB6923" w14:textId="51165ABF" w:rsidR="00E568AB" w:rsidRPr="00173E7B" w:rsidRDefault="00E568AB" w:rsidP="00390861">
      <w:pPr>
        <w:spacing w:after="240" w:line="276" w:lineRule="auto"/>
        <w:rPr>
          <w:rFonts w:ascii="Arial Narrow" w:eastAsia="Calibri" w:hAnsi="Arial Narrow"/>
          <w:bCs/>
        </w:rPr>
      </w:pPr>
      <w:r w:rsidRPr="00173E7B">
        <w:rPr>
          <w:rFonts w:ascii="Arial Narrow" w:hAnsi="Arial Narrow"/>
          <w:sz w:val="20"/>
          <w:szCs w:val="20"/>
        </w:rPr>
        <w:t xml:space="preserve">Zdroj: </w:t>
      </w:r>
      <w:r w:rsidR="00732A00" w:rsidRPr="00173E7B">
        <w:rPr>
          <w:rFonts w:ascii="Arial Narrow" w:hAnsi="Arial Narrow"/>
          <w:sz w:val="20"/>
          <w:szCs w:val="20"/>
        </w:rPr>
        <w:t>M</w:t>
      </w:r>
      <w:r w:rsidR="00732A00" w:rsidRPr="00173E7B">
        <w:rPr>
          <w:rFonts w:ascii="Arial Narrow" w:hAnsi="Arial Narrow" w:cs="Arial"/>
          <w:color w:val="000000"/>
          <w:sz w:val="20"/>
          <w:szCs w:val="20"/>
        </w:rPr>
        <w:t>inisterstvo školství, mládeže a tělovýchovy</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6AF8B76A" w14:textId="36F58A50" w:rsidR="009A30B6" w:rsidRPr="00173E7B" w:rsidRDefault="495E27D3" w:rsidP="006B06D6">
      <w:pPr>
        <w:spacing w:line="276" w:lineRule="auto"/>
        <w:jc w:val="both"/>
        <w:rPr>
          <w:rFonts w:ascii="Arial Narrow" w:hAnsi="Arial Narrow"/>
          <w:bCs/>
          <w:color w:val="FF0000"/>
          <w:szCs w:val="20"/>
        </w:rPr>
      </w:pPr>
      <w:bookmarkStart w:id="261" w:name="_Toc136429222"/>
      <w:r w:rsidRPr="00173E7B">
        <w:rPr>
          <w:rFonts w:ascii="Arial Narrow" w:hAnsi="Arial Narrow"/>
          <w:b/>
          <w:bCs/>
          <w:sz w:val="20"/>
          <w:szCs w:val="20"/>
        </w:rPr>
        <w:t xml:space="preserve">Tabulka </w:t>
      </w:r>
      <w:r w:rsidR="00C02232" w:rsidRPr="00173E7B">
        <w:rPr>
          <w:rFonts w:ascii="Arial Narrow" w:hAnsi="Arial Narrow"/>
          <w:b/>
          <w:bCs/>
          <w:sz w:val="20"/>
          <w:szCs w:val="20"/>
        </w:rPr>
        <w:fldChar w:fldCharType="begin"/>
      </w:r>
      <w:r w:rsidR="00C02232" w:rsidRPr="00173E7B">
        <w:rPr>
          <w:rFonts w:ascii="Arial Narrow" w:hAnsi="Arial Narrow"/>
          <w:b/>
          <w:bCs/>
          <w:sz w:val="20"/>
          <w:szCs w:val="20"/>
        </w:rPr>
        <w:instrText xml:space="preserve"> SEQ Tabulka \* ARABIC </w:instrText>
      </w:r>
      <w:r w:rsidR="00C02232" w:rsidRPr="00173E7B">
        <w:rPr>
          <w:rFonts w:ascii="Arial Narrow" w:hAnsi="Arial Narrow"/>
          <w:b/>
          <w:bCs/>
          <w:sz w:val="20"/>
          <w:szCs w:val="20"/>
        </w:rPr>
        <w:fldChar w:fldCharType="separate"/>
      </w:r>
      <w:r w:rsidR="7DE39459" w:rsidRPr="00173E7B">
        <w:rPr>
          <w:rFonts w:ascii="Arial Narrow" w:hAnsi="Arial Narrow"/>
          <w:b/>
          <w:bCs/>
          <w:noProof/>
          <w:sz w:val="20"/>
          <w:szCs w:val="20"/>
        </w:rPr>
        <w:t>11</w:t>
      </w:r>
      <w:r w:rsidR="00C02232" w:rsidRPr="00173E7B">
        <w:rPr>
          <w:rFonts w:ascii="Arial Narrow" w:hAnsi="Arial Narrow"/>
          <w:b/>
          <w:bCs/>
          <w:sz w:val="20"/>
          <w:szCs w:val="20"/>
        </w:rPr>
        <w:fldChar w:fldCharType="end"/>
      </w:r>
      <w:r w:rsidRPr="00173E7B">
        <w:rPr>
          <w:rFonts w:ascii="Arial Narrow" w:hAnsi="Arial Narrow"/>
          <w:b/>
          <w:bCs/>
          <w:sz w:val="20"/>
          <w:szCs w:val="20"/>
        </w:rPr>
        <w:t xml:space="preserve">:  </w:t>
      </w:r>
      <w:r w:rsidRPr="00173E7B">
        <w:rPr>
          <w:rFonts w:ascii="Arial Narrow" w:hAnsi="Arial Narrow"/>
          <w:b/>
          <w:bCs/>
          <w:color w:val="000000" w:themeColor="text1"/>
          <w:sz w:val="20"/>
          <w:szCs w:val="20"/>
        </w:rPr>
        <w:t>Vývoj počtu žáků na ZŠ s jinou než českou státní příslušností v Jihomoravském kraji v letech 2005-202</w:t>
      </w:r>
      <w:r w:rsidR="00FA6AB1" w:rsidRPr="00173E7B">
        <w:rPr>
          <w:rFonts w:ascii="Arial Narrow" w:hAnsi="Arial Narrow"/>
          <w:b/>
          <w:bCs/>
          <w:color w:val="000000" w:themeColor="text1"/>
          <w:sz w:val="20"/>
          <w:szCs w:val="20"/>
        </w:rPr>
        <w:t>2</w:t>
      </w:r>
      <w:bookmarkEnd w:id="261"/>
    </w:p>
    <w:tbl>
      <w:tblPr>
        <w:tblStyle w:val="Svtltabulkasmkou1zvraznn11"/>
        <w:tblW w:w="9073" w:type="dxa"/>
        <w:jc w:val="center"/>
        <w:tblLook w:val="04A0" w:firstRow="1" w:lastRow="0" w:firstColumn="1" w:lastColumn="0" w:noHBand="0" w:noVBand="1"/>
      </w:tblPr>
      <w:tblGrid>
        <w:gridCol w:w="1413"/>
        <w:gridCol w:w="1276"/>
        <w:gridCol w:w="1275"/>
        <w:gridCol w:w="1418"/>
        <w:gridCol w:w="1701"/>
        <w:gridCol w:w="1990"/>
      </w:tblGrid>
      <w:tr w:rsidR="006B06D6" w:rsidRPr="00173E7B" w14:paraId="6145765E" w14:textId="77777777" w:rsidTr="006B06D6">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9E2F3" w:themeFill="accent1" w:themeFillTint="33"/>
            <w:noWrap/>
            <w:hideMark/>
          </w:tcPr>
          <w:p w14:paraId="01A1248C" w14:textId="77777777" w:rsidR="006B06D6" w:rsidRPr="00173E7B" w:rsidRDefault="006B06D6" w:rsidP="004A0C47">
            <w:pPr>
              <w:jc w:val="center"/>
              <w:rPr>
                <w:rFonts w:ascii="Arial Narrow" w:eastAsia="Times New Roman" w:hAnsi="Arial Narrow" w:cs="Tahoma"/>
                <w:b w:val="0"/>
                <w:bCs w:val="0"/>
                <w:sz w:val="18"/>
                <w:szCs w:val="18"/>
                <w:lang w:eastAsia="cs-CZ"/>
              </w:rPr>
            </w:pPr>
          </w:p>
        </w:tc>
        <w:tc>
          <w:tcPr>
            <w:tcW w:w="1276" w:type="dxa"/>
            <w:vMerge w:val="restart"/>
            <w:shd w:val="clear" w:color="auto" w:fill="D9E2F3" w:themeFill="accent1" w:themeFillTint="33"/>
            <w:vAlign w:val="center"/>
            <w:hideMark/>
          </w:tcPr>
          <w:p w14:paraId="1E03C363" w14:textId="77777777" w:rsidR="006B06D6" w:rsidRPr="00173E7B" w:rsidRDefault="006B06D6"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bCs w:val="0"/>
                <w:sz w:val="18"/>
                <w:szCs w:val="18"/>
                <w:lang w:eastAsia="cs-CZ"/>
              </w:rPr>
            </w:pPr>
            <w:r w:rsidRPr="00173E7B">
              <w:rPr>
                <w:rFonts w:ascii="Arial Narrow" w:eastAsia="Times New Roman" w:hAnsi="Arial Narrow" w:cs="Tahoma"/>
                <w:sz w:val="18"/>
                <w:szCs w:val="18"/>
                <w:lang w:eastAsia="cs-CZ"/>
              </w:rPr>
              <w:t>ŽÁKŮ ZŠ V JMK celkem</w:t>
            </w:r>
          </w:p>
        </w:tc>
        <w:tc>
          <w:tcPr>
            <w:tcW w:w="6384" w:type="dxa"/>
            <w:gridSpan w:val="4"/>
            <w:shd w:val="clear" w:color="auto" w:fill="D9E2F3" w:themeFill="accent1" w:themeFillTint="33"/>
            <w:vAlign w:val="center"/>
            <w:hideMark/>
          </w:tcPr>
          <w:p w14:paraId="116B6D1C" w14:textId="77777777" w:rsidR="006B06D6" w:rsidRPr="00173E7B" w:rsidRDefault="006B06D6"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bCs w:val="0"/>
                <w:sz w:val="18"/>
                <w:szCs w:val="18"/>
                <w:lang w:eastAsia="cs-CZ"/>
              </w:rPr>
            </w:pPr>
            <w:r w:rsidRPr="00173E7B">
              <w:rPr>
                <w:rFonts w:ascii="Arial Narrow" w:eastAsia="Times New Roman" w:hAnsi="Arial Narrow" w:cs="Tahoma"/>
                <w:sz w:val="18"/>
                <w:szCs w:val="18"/>
                <w:lang w:eastAsia="cs-CZ"/>
              </w:rPr>
              <w:t>v tom státní občanství</w:t>
            </w:r>
          </w:p>
        </w:tc>
      </w:tr>
      <w:tr w:rsidR="006B06D6" w:rsidRPr="00173E7B" w14:paraId="65418591" w14:textId="77777777" w:rsidTr="006B06D6">
        <w:trPr>
          <w:trHeight w:val="402"/>
          <w:jc w:val="cent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1" w:themeFillTint="33"/>
            <w:noWrap/>
            <w:hideMark/>
          </w:tcPr>
          <w:p w14:paraId="40DAD644" w14:textId="77777777" w:rsidR="006B06D6" w:rsidRPr="00173E7B" w:rsidRDefault="006B06D6" w:rsidP="004A0C47">
            <w:pPr>
              <w:jc w:val="center"/>
              <w:rPr>
                <w:rFonts w:ascii="Arial Narrow" w:eastAsia="Times New Roman" w:hAnsi="Arial Narrow" w:cs="Tahoma"/>
                <w:b w:val="0"/>
                <w:bCs w:val="0"/>
                <w:sz w:val="18"/>
                <w:szCs w:val="18"/>
                <w:lang w:eastAsia="cs-CZ"/>
              </w:rPr>
            </w:pPr>
          </w:p>
        </w:tc>
        <w:tc>
          <w:tcPr>
            <w:tcW w:w="1276" w:type="dxa"/>
            <w:vMerge/>
            <w:shd w:val="clear" w:color="auto" w:fill="D9E2F3" w:themeFill="accent1" w:themeFillTint="33"/>
            <w:vAlign w:val="center"/>
            <w:hideMark/>
          </w:tcPr>
          <w:p w14:paraId="265AD642"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p>
        </w:tc>
        <w:tc>
          <w:tcPr>
            <w:tcW w:w="1275" w:type="dxa"/>
            <w:shd w:val="clear" w:color="auto" w:fill="D9E2F3" w:themeFill="accent1" w:themeFillTint="33"/>
            <w:vAlign w:val="center"/>
            <w:hideMark/>
          </w:tcPr>
          <w:p w14:paraId="05DA5681"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české</w:t>
            </w:r>
          </w:p>
        </w:tc>
        <w:tc>
          <w:tcPr>
            <w:tcW w:w="1418" w:type="dxa"/>
            <w:shd w:val="clear" w:color="auto" w:fill="D9E2F3" w:themeFill="accent1" w:themeFillTint="33"/>
            <w:vAlign w:val="center"/>
            <w:hideMark/>
          </w:tcPr>
          <w:p w14:paraId="24355301"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slovenské</w:t>
            </w:r>
          </w:p>
        </w:tc>
        <w:tc>
          <w:tcPr>
            <w:tcW w:w="1701" w:type="dxa"/>
            <w:shd w:val="clear" w:color="auto" w:fill="D9E2F3" w:themeFill="accent1" w:themeFillTint="33"/>
            <w:vAlign w:val="center"/>
            <w:hideMark/>
          </w:tcPr>
          <w:p w14:paraId="2CBE136C"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ostatní státy EU 27</w:t>
            </w:r>
          </w:p>
        </w:tc>
        <w:tc>
          <w:tcPr>
            <w:tcW w:w="1990" w:type="dxa"/>
            <w:shd w:val="clear" w:color="auto" w:fill="D9E2F3" w:themeFill="accent1" w:themeFillTint="33"/>
            <w:vAlign w:val="center"/>
            <w:hideMark/>
          </w:tcPr>
          <w:p w14:paraId="12FBE9B5"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třetí země a zatím nezjištěné</w:t>
            </w:r>
          </w:p>
        </w:tc>
      </w:tr>
      <w:tr w:rsidR="006B06D6" w:rsidRPr="00173E7B" w14:paraId="1DCF7B8F"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tcPr>
          <w:p w14:paraId="1DADEA16"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2022/2023</w:t>
            </w:r>
          </w:p>
        </w:tc>
        <w:tc>
          <w:tcPr>
            <w:tcW w:w="1276" w:type="dxa"/>
            <w:vAlign w:val="center"/>
          </w:tcPr>
          <w:p w14:paraId="33FA22B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112 842</w:t>
            </w:r>
          </w:p>
        </w:tc>
        <w:tc>
          <w:tcPr>
            <w:tcW w:w="1275" w:type="dxa"/>
            <w:vAlign w:val="center"/>
          </w:tcPr>
          <w:p w14:paraId="1E1370D9" w14:textId="28D11163"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106 428</w:t>
            </w:r>
          </w:p>
        </w:tc>
        <w:tc>
          <w:tcPr>
            <w:tcW w:w="1418" w:type="dxa"/>
            <w:vAlign w:val="center"/>
          </w:tcPr>
          <w:p w14:paraId="6ADCF38B"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600</w:t>
            </w:r>
          </w:p>
        </w:tc>
        <w:tc>
          <w:tcPr>
            <w:tcW w:w="1701" w:type="dxa"/>
            <w:vAlign w:val="center"/>
          </w:tcPr>
          <w:p w14:paraId="39781CF9"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236</w:t>
            </w:r>
          </w:p>
        </w:tc>
        <w:tc>
          <w:tcPr>
            <w:tcW w:w="1990" w:type="dxa"/>
          </w:tcPr>
          <w:p w14:paraId="4FFC5180"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5578</w:t>
            </w:r>
          </w:p>
        </w:tc>
      </w:tr>
      <w:tr w:rsidR="006B06D6" w:rsidRPr="00173E7B" w14:paraId="41BFB729"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tcPr>
          <w:p w14:paraId="3BC3F18B" w14:textId="77777777" w:rsidR="006B06D6" w:rsidRPr="00173E7B" w:rsidRDefault="006B06D6" w:rsidP="004A0C47">
            <w:pPr>
              <w:jc w:val="center"/>
              <w:rPr>
                <w:rFonts w:ascii="Arial Narrow" w:eastAsia="Times New Roman" w:hAnsi="Arial Narrow"/>
                <w:sz w:val="18"/>
                <w:szCs w:val="18"/>
                <w:lang w:eastAsia="cs-CZ"/>
              </w:rPr>
            </w:pPr>
            <w:r w:rsidRPr="00173E7B">
              <w:rPr>
                <w:rFonts w:ascii="Arial Narrow" w:eastAsia="Times New Roman" w:hAnsi="Arial Narrow"/>
                <w:b w:val="0"/>
                <w:bCs w:val="0"/>
                <w:sz w:val="18"/>
                <w:szCs w:val="18"/>
                <w:lang w:eastAsia="cs-CZ"/>
              </w:rPr>
              <w:t>2021/2022</w:t>
            </w:r>
          </w:p>
        </w:tc>
        <w:tc>
          <w:tcPr>
            <w:tcW w:w="1276" w:type="dxa"/>
            <w:vAlign w:val="center"/>
          </w:tcPr>
          <w:p w14:paraId="67163E1B"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107 848</w:t>
            </w:r>
          </w:p>
        </w:tc>
        <w:tc>
          <w:tcPr>
            <w:tcW w:w="1275" w:type="dxa"/>
            <w:vAlign w:val="center"/>
          </w:tcPr>
          <w:p w14:paraId="5B597F21"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105 444</w:t>
            </w:r>
          </w:p>
        </w:tc>
        <w:tc>
          <w:tcPr>
            <w:tcW w:w="1418" w:type="dxa"/>
            <w:vAlign w:val="center"/>
          </w:tcPr>
          <w:p w14:paraId="136EEF5B"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550</w:t>
            </w:r>
          </w:p>
        </w:tc>
        <w:tc>
          <w:tcPr>
            <w:tcW w:w="1701" w:type="dxa"/>
            <w:vAlign w:val="center"/>
          </w:tcPr>
          <w:p w14:paraId="21E12BC9"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204</w:t>
            </w:r>
          </w:p>
        </w:tc>
        <w:tc>
          <w:tcPr>
            <w:tcW w:w="1990" w:type="dxa"/>
          </w:tcPr>
          <w:p w14:paraId="56597A90"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1650</w:t>
            </w:r>
          </w:p>
        </w:tc>
      </w:tr>
      <w:tr w:rsidR="006B06D6" w:rsidRPr="00173E7B" w14:paraId="180B1268"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72E2795B"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2020/2021</w:t>
            </w:r>
          </w:p>
        </w:tc>
        <w:tc>
          <w:tcPr>
            <w:tcW w:w="1276" w:type="dxa"/>
            <w:vAlign w:val="center"/>
          </w:tcPr>
          <w:p w14:paraId="7556939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106 890</w:t>
            </w:r>
          </w:p>
        </w:tc>
        <w:tc>
          <w:tcPr>
            <w:tcW w:w="1275" w:type="dxa"/>
            <w:vAlign w:val="center"/>
          </w:tcPr>
          <w:p w14:paraId="1569DC1C"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104 631</w:t>
            </w:r>
          </w:p>
        </w:tc>
        <w:tc>
          <w:tcPr>
            <w:tcW w:w="1418" w:type="dxa"/>
            <w:vAlign w:val="center"/>
          </w:tcPr>
          <w:p w14:paraId="192DCB35"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524</w:t>
            </w:r>
          </w:p>
        </w:tc>
        <w:tc>
          <w:tcPr>
            <w:tcW w:w="1701" w:type="dxa"/>
            <w:vAlign w:val="center"/>
          </w:tcPr>
          <w:p w14:paraId="0CD96A1A"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209</w:t>
            </w:r>
          </w:p>
        </w:tc>
        <w:tc>
          <w:tcPr>
            <w:tcW w:w="1990" w:type="dxa"/>
          </w:tcPr>
          <w:p w14:paraId="0BC8239E"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1526</w:t>
            </w:r>
          </w:p>
        </w:tc>
      </w:tr>
      <w:tr w:rsidR="006B06D6" w:rsidRPr="00173E7B" w14:paraId="27BEF365"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7BCDE77C"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2019/2020</w:t>
            </w:r>
          </w:p>
        </w:tc>
        <w:tc>
          <w:tcPr>
            <w:tcW w:w="1276" w:type="dxa"/>
            <w:vAlign w:val="center"/>
          </w:tcPr>
          <w:p w14:paraId="253679BB"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105 272</w:t>
            </w:r>
          </w:p>
        </w:tc>
        <w:tc>
          <w:tcPr>
            <w:tcW w:w="1275" w:type="dxa"/>
            <w:vAlign w:val="center"/>
          </w:tcPr>
          <w:p w14:paraId="35E8D42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103 250</w:t>
            </w:r>
          </w:p>
        </w:tc>
        <w:tc>
          <w:tcPr>
            <w:tcW w:w="1418" w:type="dxa"/>
            <w:vAlign w:val="center"/>
          </w:tcPr>
          <w:p w14:paraId="402082A3"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470</w:t>
            </w:r>
          </w:p>
        </w:tc>
        <w:tc>
          <w:tcPr>
            <w:tcW w:w="1701" w:type="dxa"/>
            <w:vAlign w:val="center"/>
          </w:tcPr>
          <w:p w14:paraId="3A407B36"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200</w:t>
            </w:r>
          </w:p>
        </w:tc>
        <w:tc>
          <w:tcPr>
            <w:tcW w:w="1990" w:type="dxa"/>
          </w:tcPr>
          <w:p w14:paraId="56C391D8"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1352</w:t>
            </w:r>
          </w:p>
        </w:tc>
      </w:tr>
      <w:tr w:rsidR="006B06D6" w:rsidRPr="00173E7B" w14:paraId="73651B3E"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638C410E"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2018/2019</w:t>
            </w:r>
          </w:p>
        </w:tc>
        <w:tc>
          <w:tcPr>
            <w:tcW w:w="1276" w:type="dxa"/>
            <w:vAlign w:val="center"/>
          </w:tcPr>
          <w:p w14:paraId="16A8AE59"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103 570</w:t>
            </w:r>
          </w:p>
        </w:tc>
        <w:tc>
          <w:tcPr>
            <w:tcW w:w="1275" w:type="dxa"/>
            <w:vAlign w:val="center"/>
          </w:tcPr>
          <w:p w14:paraId="60355443"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101 749</w:t>
            </w:r>
          </w:p>
        </w:tc>
        <w:tc>
          <w:tcPr>
            <w:tcW w:w="1418" w:type="dxa"/>
            <w:vAlign w:val="center"/>
          </w:tcPr>
          <w:p w14:paraId="78EE7690"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435</w:t>
            </w:r>
          </w:p>
        </w:tc>
        <w:tc>
          <w:tcPr>
            <w:tcW w:w="1701" w:type="dxa"/>
            <w:vAlign w:val="center"/>
          </w:tcPr>
          <w:p w14:paraId="6F47658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181</w:t>
            </w:r>
          </w:p>
        </w:tc>
        <w:tc>
          <w:tcPr>
            <w:tcW w:w="1990" w:type="dxa"/>
          </w:tcPr>
          <w:p w14:paraId="210FBA27"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1205</w:t>
            </w:r>
          </w:p>
        </w:tc>
      </w:tr>
      <w:tr w:rsidR="006B06D6" w:rsidRPr="00173E7B" w14:paraId="73B86F49"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08D318C1"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2017/2018</w:t>
            </w:r>
          </w:p>
        </w:tc>
        <w:tc>
          <w:tcPr>
            <w:tcW w:w="1276" w:type="dxa"/>
            <w:vAlign w:val="center"/>
          </w:tcPr>
          <w:p w14:paraId="25696813"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101 540</w:t>
            </w:r>
          </w:p>
        </w:tc>
        <w:tc>
          <w:tcPr>
            <w:tcW w:w="1275" w:type="dxa"/>
            <w:vAlign w:val="center"/>
          </w:tcPr>
          <w:p w14:paraId="57CA7113"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99 846</w:t>
            </w:r>
          </w:p>
        </w:tc>
        <w:tc>
          <w:tcPr>
            <w:tcW w:w="1418" w:type="dxa"/>
            <w:vAlign w:val="center"/>
          </w:tcPr>
          <w:p w14:paraId="0C60CD62"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432</w:t>
            </w:r>
          </w:p>
        </w:tc>
        <w:tc>
          <w:tcPr>
            <w:tcW w:w="1701" w:type="dxa"/>
            <w:vAlign w:val="center"/>
          </w:tcPr>
          <w:p w14:paraId="78B3D628"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166</w:t>
            </w:r>
          </w:p>
        </w:tc>
        <w:tc>
          <w:tcPr>
            <w:tcW w:w="1990" w:type="dxa"/>
          </w:tcPr>
          <w:p w14:paraId="262BA728"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1096</w:t>
            </w:r>
          </w:p>
        </w:tc>
      </w:tr>
      <w:tr w:rsidR="006B06D6" w:rsidRPr="00173E7B" w14:paraId="2B80C39F"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059247D9"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2016/2017</w:t>
            </w:r>
          </w:p>
        </w:tc>
        <w:tc>
          <w:tcPr>
            <w:tcW w:w="1276" w:type="dxa"/>
            <w:vAlign w:val="center"/>
          </w:tcPr>
          <w:p w14:paraId="57DAFAEA"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98 990</w:t>
            </w:r>
          </w:p>
        </w:tc>
        <w:tc>
          <w:tcPr>
            <w:tcW w:w="1275" w:type="dxa"/>
            <w:vAlign w:val="center"/>
          </w:tcPr>
          <w:p w14:paraId="06D8CDDC"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97 463</w:t>
            </w:r>
          </w:p>
        </w:tc>
        <w:tc>
          <w:tcPr>
            <w:tcW w:w="1418" w:type="dxa"/>
            <w:vAlign w:val="center"/>
          </w:tcPr>
          <w:p w14:paraId="465E2526"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391</w:t>
            </w:r>
          </w:p>
        </w:tc>
        <w:tc>
          <w:tcPr>
            <w:tcW w:w="1701" w:type="dxa"/>
            <w:vAlign w:val="center"/>
          </w:tcPr>
          <w:p w14:paraId="24C3ED6F"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136</w:t>
            </w:r>
          </w:p>
        </w:tc>
        <w:tc>
          <w:tcPr>
            <w:tcW w:w="1990" w:type="dxa"/>
          </w:tcPr>
          <w:p w14:paraId="0B7891DF"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1000</w:t>
            </w:r>
          </w:p>
        </w:tc>
      </w:tr>
      <w:tr w:rsidR="006B06D6" w:rsidRPr="00173E7B" w14:paraId="245E84BC"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05DD79AA"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2015/2016</w:t>
            </w:r>
          </w:p>
        </w:tc>
        <w:tc>
          <w:tcPr>
            <w:tcW w:w="1276" w:type="dxa"/>
            <w:vAlign w:val="center"/>
          </w:tcPr>
          <w:p w14:paraId="1C912C80"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95 654</w:t>
            </w:r>
          </w:p>
        </w:tc>
        <w:tc>
          <w:tcPr>
            <w:tcW w:w="1275" w:type="dxa"/>
            <w:vAlign w:val="center"/>
          </w:tcPr>
          <w:p w14:paraId="0864F7C1"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94 254</w:t>
            </w:r>
          </w:p>
        </w:tc>
        <w:tc>
          <w:tcPr>
            <w:tcW w:w="1418" w:type="dxa"/>
            <w:vAlign w:val="center"/>
          </w:tcPr>
          <w:p w14:paraId="24816502"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349</w:t>
            </w:r>
          </w:p>
        </w:tc>
        <w:tc>
          <w:tcPr>
            <w:tcW w:w="1701" w:type="dxa"/>
            <w:vAlign w:val="center"/>
          </w:tcPr>
          <w:p w14:paraId="130CB28E"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133</w:t>
            </w:r>
          </w:p>
        </w:tc>
        <w:tc>
          <w:tcPr>
            <w:tcW w:w="1990" w:type="dxa"/>
          </w:tcPr>
          <w:p w14:paraId="692AA73B"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918</w:t>
            </w:r>
          </w:p>
        </w:tc>
      </w:tr>
      <w:tr w:rsidR="006B06D6" w:rsidRPr="00173E7B" w14:paraId="223DDB5E"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5916F544"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2014/2015</w:t>
            </w:r>
          </w:p>
        </w:tc>
        <w:tc>
          <w:tcPr>
            <w:tcW w:w="1276" w:type="dxa"/>
            <w:vAlign w:val="center"/>
          </w:tcPr>
          <w:p w14:paraId="60CC0ACB"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92 481</w:t>
            </w:r>
          </w:p>
        </w:tc>
        <w:tc>
          <w:tcPr>
            <w:tcW w:w="1275" w:type="dxa"/>
            <w:vAlign w:val="center"/>
          </w:tcPr>
          <w:p w14:paraId="0EC6E677"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91 188</w:t>
            </w:r>
          </w:p>
        </w:tc>
        <w:tc>
          <w:tcPr>
            <w:tcW w:w="1418" w:type="dxa"/>
            <w:vAlign w:val="center"/>
          </w:tcPr>
          <w:p w14:paraId="7F84191A"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316</w:t>
            </w:r>
          </w:p>
        </w:tc>
        <w:tc>
          <w:tcPr>
            <w:tcW w:w="1701" w:type="dxa"/>
            <w:vAlign w:val="center"/>
          </w:tcPr>
          <w:p w14:paraId="09C3EB4A"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128</w:t>
            </w:r>
          </w:p>
        </w:tc>
        <w:tc>
          <w:tcPr>
            <w:tcW w:w="1990" w:type="dxa"/>
          </w:tcPr>
          <w:p w14:paraId="3C263EA4"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849</w:t>
            </w:r>
          </w:p>
        </w:tc>
      </w:tr>
      <w:tr w:rsidR="006B06D6" w:rsidRPr="00173E7B" w14:paraId="00FB55DF"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3A156B0F"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2013/2014</w:t>
            </w:r>
          </w:p>
        </w:tc>
        <w:tc>
          <w:tcPr>
            <w:tcW w:w="1276" w:type="dxa"/>
            <w:vAlign w:val="center"/>
          </w:tcPr>
          <w:p w14:paraId="62B8E3FB"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89 755</w:t>
            </w:r>
          </w:p>
        </w:tc>
        <w:tc>
          <w:tcPr>
            <w:tcW w:w="1275" w:type="dxa"/>
            <w:vAlign w:val="center"/>
          </w:tcPr>
          <w:p w14:paraId="6A0F039A"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88 555</w:t>
            </w:r>
          </w:p>
        </w:tc>
        <w:tc>
          <w:tcPr>
            <w:tcW w:w="1418" w:type="dxa"/>
            <w:vAlign w:val="center"/>
          </w:tcPr>
          <w:p w14:paraId="5D0A089B"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282</w:t>
            </w:r>
          </w:p>
        </w:tc>
        <w:tc>
          <w:tcPr>
            <w:tcW w:w="1701" w:type="dxa"/>
            <w:vAlign w:val="center"/>
          </w:tcPr>
          <w:p w14:paraId="64F8FE18"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132</w:t>
            </w:r>
          </w:p>
        </w:tc>
        <w:tc>
          <w:tcPr>
            <w:tcW w:w="1990" w:type="dxa"/>
          </w:tcPr>
          <w:p w14:paraId="3F38CC1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786</w:t>
            </w:r>
          </w:p>
        </w:tc>
      </w:tr>
      <w:tr w:rsidR="006B06D6" w:rsidRPr="00173E7B" w14:paraId="53FD7F0C"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4519FD9D"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2012/2013</w:t>
            </w:r>
          </w:p>
        </w:tc>
        <w:tc>
          <w:tcPr>
            <w:tcW w:w="1276" w:type="dxa"/>
            <w:vAlign w:val="center"/>
          </w:tcPr>
          <w:p w14:paraId="11235352"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87 444</w:t>
            </w:r>
          </w:p>
        </w:tc>
        <w:tc>
          <w:tcPr>
            <w:tcW w:w="1275" w:type="dxa"/>
            <w:vAlign w:val="center"/>
          </w:tcPr>
          <w:p w14:paraId="13402338"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86 258</w:t>
            </w:r>
          </w:p>
        </w:tc>
        <w:tc>
          <w:tcPr>
            <w:tcW w:w="1418" w:type="dxa"/>
            <w:vAlign w:val="center"/>
          </w:tcPr>
          <w:p w14:paraId="1E93D830"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281</w:t>
            </w:r>
          </w:p>
        </w:tc>
        <w:tc>
          <w:tcPr>
            <w:tcW w:w="1701" w:type="dxa"/>
            <w:vAlign w:val="center"/>
          </w:tcPr>
          <w:p w14:paraId="28D96FCC"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114</w:t>
            </w:r>
          </w:p>
        </w:tc>
        <w:tc>
          <w:tcPr>
            <w:tcW w:w="1990" w:type="dxa"/>
          </w:tcPr>
          <w:p w14:paraId="38A2AE17"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791</w:t>
            </w:r>
          </w:p>
        </w:tc>
      </w:tr>
      <w:tr w:rsidR="006B06D6" w:rsidRPr="00173E7B" w14:paraId="49EF8B24"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3EFFCF45"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2011/2012</w:t>
            </w:r>
          </w:p>
        </w:tc>
        <w:tc>
          <w:tcPr>
            <w:tcW w:w="1276" w:type="dxa"/>
            <w:vAlign w:val="center"/>
          </w:tcPr>
          <w:p w14:paraId="76BF50B9"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85 672</w:t>
            </w:r>
          </w:p>
        </w:tc>
        <w:tc>
          <w:tcPr>
            <w:tcW w:w="1275" w:type="dxa"/>
            <w:vAlign w:val="center"/>
          </w:tcPr>
          <w:p w14:paraId="2488AE10"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84 515</w:t>
            </w:r>
          </w:p>
        </w:tc>
        <w:tc>
          <w:tcPr>
            <w:tcW w:w="1418" w:type="dxa"/>
            <w:vAlign w:val="center"/>
          </w:tcPr>
          <w:p w14:paraId="2A8A622C"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276</w:t>
            </w:r>
          </w:p>
        </w:tc>
        <w:tc>
          <w:tcPr>
            <w:tcW w:w="1701" w:type="dxa"/>
            <w:vAlign w:val="center"/>
          </w:tcPr>
          <w:p w14:paraId="19E4FAF8"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103</w:t>
            </w:r>
          </w:p>
        </w:tc>
        <w:tc>
          <w:tcPr>
            <w:tcW w:w="1990" w:type="dxa"/>
          </w:tcPr>
          <w:p w14:paraId="007CAC6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778</w:t>
            </w:r>
          </w:p>
        </w:tc>
      </w:tr>
      <w:tr w:rsidR="006B06D6" w:rsidRPr="00173E7B" w14:paraId="6E3AA86B"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05B9D11B"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2010/2011</w:t>
            </w:r>
          </w:p>
        </w:tc>
        <w:tc>
          <w:tcPr>
            <w:tcW w:w="1276" w:type="dxa"/>
            <w:vAlign w:val="center"/>
          </w:tcPr>
          <w:p w14:paraId="44979C66"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84 974</w:t>
            </w:r>
          </w:p>
        </w:tc>
        <w:tc>
          <w:tcPr>
            <w:tcW w:w="1275" w:type="dxa"/>
            <w:vAlign w:val="center"/>
          </w:tcPr>
          <w:p w14:paraId="0757D99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83 841</w:t>
            </w:r>
          </w:p>
        </w:tc>
        <w:tc>
          <w:tcPr>
            <w:tcW w:w="1418" w:type="dxa"/>
            <w:vAlign w:val="center"/>
          </w:tcPr>
          <w:p w14:paraId="5044065E"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244</w:t>
            </w:r>
          </w:p>
        </w:tc>
        <w:tc>
          <w:tcPr>
            <w:tcW w:w="1701" w:type="dxa"/>
            <w:vAlign w:val="center"/>
          </w:tcPr>
          <w:p w14:paraId="5CB5360A"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96</w:t>
            </w:r>
          </w:p>
        </w:tc>
        <w:tc>
          <w:tcPr>
            <w:tcW w:w="1990" w:type="dxa"/>
          </w:tcPr>
          <w:p w14:paraId="2EE6FB12"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793</w:t>
            </w:r>
          </w:p>
        </w:tc>
      </w:tr>
      <w:tr w:rsidR="006B06D6" w:rsidRPr="00173E7B" w14:paraId="57FCD8CC"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5B5C0AA1"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2009/2010</w:t>
            </w:r>
          </w:p>
        </w:tc>
        <w:tc>
          <w:tcPr>
            <w:tcW w:w="1276" w:type="dxa"/>
            <w:vAlign w:val="center"/>
          </w:tcPr>
          <w:p w14:paraId="7510A2C5"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85 711</w:t>
            </w:r>
          </w:p>
        </w:tc>
        <w:tc>
          <w:tcPr>
            <w:tcW w:w="1275" w:type="dxa"/>
            <w:vAlign w:val="center"/>
          </w:tcPr>
          <w:p w14:paraId="1A414911"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84 623</w:t>
            </w:r>
          </w:p>
        </w:tc>
        <w:tc>
          <w:tcPr>
            <w:tcW w:w="1418" w:type="dxa"/>
            <w:vAlign w:val="center"/>
          </w:tcPr>
          <w:p w14:paraId="559CE16C"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202</w:t>
            </w:r>
          </w:p>
        </w:tc>
        <w:tc>
          <w:tcPr>
            <w:tcW w:w="1701" w:type="dxa"/>
            <w:vAlign w:val="center"/>
          </w:tcPr>
          <w:p w14:paraId="7E80DAA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95</w:t>
            </w:r>
          </w:p>
        </w:tc>
        <w:tc>
          <w:tcPr>
            <w:tcW w:w="1990" w:type="dxa"/>
          </w:tcPr>
          <w:p w14:paraId="30521503"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791</w:t>
            </w:r>
          </w:p>
        </w:tc>
      </w:tr>
      <w:tr w:rsidR="006B06D6" w:rsidRPr="00173E7B" w14:paraId="04D7A7B1"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1A15F99B"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2008/2009</w:t>
            </w:r>
          </w:p>
        </w:tc>
        <w:tc>
          <w:tcPr>
            <w:tcW w:w="1276" w:type="dxa"/>
            <w:vAlign w:val="center"/>
          </w:tcPr>
          <w:p w14:paraId="58156D93"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88 365</w:t>
            </w:r>
          </w:p>
        </w:tc>
        <w:tc>
          <w:tcPr>
            <w:tcW w:w="1275" w:type="dxa"/>
            <w:vAlign w:val="center"/>
          </w:tcPr>
          <w:p w14:paraId="49197811"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87 293</w:t>
            </w:r>
          </w:p>
        </w:tc>
        <w:tc>
          <w:tcPr>
            <w:tcW w:w="1418" w:type="dxa"/>
            <w:vAlign w:val="center"/>
          </w:tcPr>
          <w:p w14:paraId="712011F1"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217</w:t>
            </w:r>
          </w:p>
        </w:tc>
        <w:tc>
          <w:tcPr>
            <w:tcW w:w="1701" w:type="dxa"/>
            <w:vAlign w:val="center"/>
          </w:tcPr>
          <w:p w14:paraId="765D4EB9"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75</w:t>
            </w:r>
          </w:p>
        </w:tc>
        <w:tc>
          <w:tcPr>
            <w:tcW w:w="1990" w:type="dxa"/>
          </w:tcPr>
          <w:p w14:paraId="74A1F8EE"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780</w:t>
            </w:r>
          </w:p>
        </w:tc>
      </w:tr>
      <w:tr w:rsidR="006B06D6" w:rsidRPr="00173E7B" w14:paraId="50BF2F56"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6048F40F"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2007/2008</w:t>
            </w:r>
          </w:p>
        </w:tc>
        <w:tc>
          <w:tcPr>
            <w:tcW w:w="1276" w:type="dxa"/>
            <w:vAlign w:val="center"/>
          </w:tcPr>
          <w:p w14:paraId="69C7DD95"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91 546</w:t>
            </w:r>
          </w:p>
        </w:tc>
        <w:tc>
          <w:tcPr>
            <w:tcW w:w="1275" w:type="dxa"/>
            <w:vAlign w:val="center"/>
          </w:tcPr>
          <w:p w14:paraId="338C79D1"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90 539</w:t>
            </w:r>
          </w:p>
        </w:tc>
        <w:tc>
          <w:tcPr>
            <w:tcW w:w="1418" w:type="dxa"/>
            <w:vAlign w:val="center"/>
          </w:tcPr>
          <w:p w14:paraId="2F2A14DA"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178</w:t>
            </w:r>
          </w:p>
        </w:tc>
        <w:tc>
          <w:tcPr>
            <w:tcW w:w="1701" w:type="dxa"/>
            <w:vAlign w:val="center"/>
          </w:tcPr>
          <w:p w14:paraId="7C6EC56F"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84</w:t>
            </w:r>
          </w:p>
        </w:tc>
        <w:tc>
          <w:tcPr>
            <w:tcW w:w="1990" w:type="dxa"/>
          </w:tcPr>
          <w:p w14:paraId="40993626"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745</w:t>
            </w:r>
          </w:p>
        </w:tc>
      </w:tr>
      <w:tr w:rsidR="006B06D6" w:rsidRPr="00173E7B" w14:paraId="7FA598D6"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5187E6C9"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2006/2007</w:t>
            </w:r>
          </w:p>
        </w:tc>
        <w:tc>
          <w:tcPr>
            <w:tcW w:w="1276" w:type="dxa"/>
            <w:vAlign w:val="center"/>
          </w:tcPr>
          <w:p w14:paraId="65AD801D"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95 529</w:t>
            </w:r>
          </w:p>
        </w:tc>
        <w:tc>
          <w:tcPr>
            <w:tcW w:w="1275" w:type="dxa"/>
            <w:vAlign w:val="center"/>
          </w:tcPr>
          <w:p w14:paraId="4C18C33C"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94 499</w:t>
            </w:r>
          </w:p>
        </w:tc>
        <w:tc>
          <w:tcPr>
            <w:tcW w:w="1418" w:type="dxa"/>
            <w:vAlign w:val="center"/>
          </w:tcPr>
          <w:p w14:paraId="6D06A172"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181</w:t>
            </w:r>
          </w:p>
        </w:tc>
        <w:tc>
          <w:tcPr>
            <w:tcW w:w="1701" w:type="dxa"/>
            <w:vAlign w:val="center"/>
          </w:tcPr>
          <w:p w14:paraId="326C8BA6"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56</w:t>
            </w:r>
          </w:p>
        </w:tc>
        <w:tc>
          <w:tcPr>
            <w:tcW w:w="1990" w:type="dxa"/>
          </w:tcPr>
          <w:p w14:paraId="09363540"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793</w:t>
            </w:r>
          </w:p>
        </w:tc>
      </w:tr>
      <w:tr w:rsidR="006B06D6" w:rsidRPr="00173E7B" w14:paraId="27C0821D" w14:textId="77777777" w:rsidTr="006B06D6">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noWrap/>
            <w:hideMark/>
          </w:tcPr>
          <w:p w14:paraId="0EE5399D" w14:textId="77777777" w:rsidR="006B06D6" w:rsidRPr="00173E7B" w:rsidRDefault="006B06D6"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2005/2006</w:t>
            </w:r>
          </w:p>
        </w:tc>
        <w:tc>
          <w:tcPr>
            <w:tcW w:w="1276" w:type="dxa"/>
            <w:vAlign w:val="center"/>
          </w:tcPr>
          <w:p w14:paraId="0ADFF6DC"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99 841</w:t>
            </w:r>
          </w:p>
        </w:tc>
        <w:tc>
          <w:tcPr>
            <w:tcW w:w="1275" w:type="dxa"/>
            <w:vAlign w:val="center"/>
          </w:tcPr>
          <w:p w14:paraId="4D0DF996"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98 850</w:t>
            </w:r>
          </w:p>
        </w:tc>
        <w:tc>
          <w:tcPr>
            <w:tcW w:w="1418" w:type="dxa"/>
            <w:vAlign w:val="center"/>
          </w:tcPr>
          <w:p w14:paraId="2C2CDB04"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163</w:t>
            </w:r>
          </w:p>
        </w:tc>
        <w:tc>
          <w:tcPr>
            <w:tcW w:w="1701" w:type="dxa"/>
            <w:vAlign w:val="center"/>
          </w:tcPr>
          <w:p w14:paraId="4FDAF507"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56</w:t>
            </w:r>
          </w:p>
        </w:tc>
        <w:tc>
          <w:tcPr>
            <w:tcW w:w="1990" w:type="dxa"/>
          </w:tcPr>
          <w:p w14:paraId="1DF6FFD0" w14:textId="77777777" w:rsidR="006B06D6" w:rsidRPr="00173E7B" w:rsidRDefault="006B06D6"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772</w:t>
            </w:r>
          </w:p>
        </w:tc>
      </w:tr>
    </w:tbl>
    <w:p w14:paraId="2D9C9C06" w14:textId="3D13C17D" w:rsidR="00AC736A" w:rsidRPr="00173E7B" w:rsidRDefault="00E568AB" w:rsidP="00E568AB">
      <w:pPr>
        <w:spacing w:line="276" w:lineRule="auto"/>
        <w:rPr>
          <w:rFonts w:ascii="Arial Narrow" w:hAnsi="Arial Narrow"/>
          <w:sz w:val="20"/>
          <w:szCs w:val="20"/>
        </w:rPr>
      </w:pPr>
      <w:r w:rsidRPr="00173E7B">
        <w:rPr>
          <w:rFonts w:ascii="Arial Narrow" w:hAnsi="Arial Narrow"/>
          <w:sz w:val="20"/>
          <w:szCs w:val="20"/>
        </w:rPr>
        <w:t xml:space="preserve">Zdroj: </w:t>
      </w:r>
      <w:r w:rsidR="004824E9" w:rsidRPr="00173E7B">
        <w:rPr>
          <w:rFonts w:ascii="Arial Narrow" w:hAnsi="Arial Narrow"/>
          <w:sz w:val="20"/>
          <w:szCs w:val="20"/>
        </w:rPr>
        <w:t>M</w:t>
      </w:r>
      <w:r w:rsidR="004824E9" w:rsidRPr="00173E7B">
        <w:rPr>
          <w:rFonts w:ascii="Arial Narrow" w:hAnsi="Arial Narrow" w:cs="Arial"/>
          <w:color w:val="000000"/>
          <w:sz w:val="20"/>
          <w:szCs w:val="20"/>
        </w:rPr>
        <w:t>inisterstvo školství, mládeže a tělovýchovy</w:t>
      </w:r>
      <w:r w:rsidR="004824E9" w:rsidRPr="00173E7B">
        <w:rPr>
          <w:rFonts w:ascii="Arial Narrow" w:hAnsi="Arial Narrow"/>
          <w:sz w:val="20"/>
          <w:szCs w:val="20"/>
        </w:rPr>
        <w:tab/>
      </w:r>
      <w:r w:rsidR="004824E9" w:rsidRPr="00173E7B">
        <w:rPr>
          <w:rFonts w:ascii="Arial Narrow" w:hAnsi="Arial Narrow"/>
          <w:sz w:val="20"/>
          <w:szCs w:val="20"/>
        </w:rPr>
        <w:tab/>
        <w:t xml:space="preserve"> </w:t>
      </w:r>
      <w:r w:rsidRPr="00173E7B">
        <w:rPr>
          <w:rFonts w:ascii="Arial Narrow" w:hAnsi="Arial Narrow"/>
          <w:sz w:val="20"/>
          <w:szCs w:val="20"/>
        </w:rPr>
        <w:tab/>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3ADF5A2A" w14:textId="77777777" w:rsidR="00FA6AB1" w:rsidRPr="00173E7B" w:rsidRDefault="00FA6AB1" w:rsidP="009A30B6">
      <w:pPr>
        <w:spacing w:line="276" w:lineRule="auto"/>
        <w:rPr>
          <w:rFonts w:ascii="Arial Narrow" w:hAnsi="Arial Narrow"/>
          <w:b/>
          <w:sz w:val="24"/>
          <w:szCs w:val="24"/>
          <w:u w:val="single"/>
        </w:rPr>
      </w:pPr>
    </w:p>
    <w:p w14:paraId="7EBF8E4F" w14:textId="77777777" w:rsidR="00390861" w:rsidRPr="00173E7B" w:rsidRDefault="00390861" w:rsidP="009A30B6">
      <w:pPr>
        <w:spacing w:line="276" w:lineRule="auto"/>
        <w:rPr>
          <w:rFonts w:ascii="Arial Narrow" w:hAnsi="Arial Narrow"/>
          <w:b/>
          <w:sz w:val="24"/>
          <w:szCs w:val="24"/>
          <w:u w:val="single"/>
        </w:rPr>
      </w:pPr>
    </w:p>
    <w:p w14:paraId="5FB857B0" w14:textId="77777777" w:rsidR="00390861" w:rsidRPr="00173E7B" w:rsidRDefault="00390861" w:rsidP="009A30B6">
      <w:pPr>
        <w:spacing w:line="276" w:lineRule="auto"/>
        <w:rPr>
          <w:rFonts w:ascii="Arial Narrow" w:hAnsi="Arial Narrow"/>
          <w:b/>
          <w:sz w:val="24"/>
          <w:szCs w:val="24"/>
          <w:u w:val="single"/>
        </w:rPr>
      </w:pPr>
    </w:p>
    <w:p w14:paraId="781ED6B0" w14:textId="77777777" w:rsidR="00390861" w:rsidRPr="00173E7B" w:rsidRDefault="00390861" w:rsidP="009A30B6">
      <w:pPr>
        <w:spacing w:line="276" w:lineRule="auto"/>
        <w:rPr>
          <w:rFonts w:ascii="Arial Narrow" w:hAnsi="Arial Narrow"/>
          <w:b/>
          <w:sz w:val="24"/>
          <w:szCs w:val="24"/>
          <w:u w:val="single"/>
        </w:rPr>
      </w:pPr>
    </w:p>
    <w:p w14:paraId="0F2D38E5" w14:textId="77777777" w:rsidR="00390861" w:rsidRPr="00173E7B" w:rsidRDefault="00390861" w:rsidP="009A30B6">
      <w:pPr>
        <w:spacing w:line="276" w:lineRule="auto"/>
        <w:rPr>
          <w:rFonts w:ascii="Arial Narrow" w:hAnsi="Arial Narrow"/>
          <w:b/>
          <w:sz w:val="24"/>
          <w:szCs w:val="24"/>
          <w:u w:val="single"/>
        </w:rPr>
      </w:pPr>
    </w:p>
    <w:p w14:paraId="0ACB7C60" w14:textId="77777777" w:rsidR="00390861" w:rsidRPr="00173E7B" w:rsidRDefault="00390861" w:rsidP="009A30B6">
      <w:pPr>
        <w:spacing w:line="276" w:lineRule="auto"/>
        <w:rPr>
          <w:rFonts w:ascii="Arial Narrow" w:hAnsi="Arial Narrow"/>
          <w:b/>
          <w:sz w:val="24"/>
          <w:szCs w:val="24"/>
          <w:u w:val="single"/>
        </w:rPr>
      </w:pPr>
    </w:p>
    <w:p w14:paraId="74A76564" w14:textId="2DBCB102" w:rsidR="009A30B6" w:rsidRPr="00173E7B" w:rsidRDefault="009A30B6" w:rsidP="009A30B6">
      <w:pPr>
        <w:spacing w:line="276" w:lineRule="auto"/>
        <w:rPr>
          <w:rFonts w:ascii="Arial Narrow" w:hAnsi="Arial Narrow"/>
          <w:b/>
          <w:sz w:val="24"/>
          <w:szCs w:val="24"/>
          <w:u w:val="single"/>
        </w:rPr>
      </w:pPr>
      <w:r w:rsidRPr="00173E7B">
        <w:rPr>
          <w:rFonts w:ascii="Arial Narrow" w:hAnsi="Arial Narrow"/>
          <w:b/>
          <w:sz w:val="24"/>
          <w:szCs w:val="24"/>
          <w:u w:val="single"/>
        </w:rPr>
        <w:lastRenderedPageBreak/>
        <w:t>Střední školy</w:t>
      </w:r>
    </w:p>
    <w:p w14:paraId="54E9A1C4" w14:textId="77777777" w:rsidR="009A30B6" w:rsidRPr="00173E7B" w:rsidRDefault="009A30B6" w:rsidP="009A30B6">
      <w:pPr>
        <w:spacing w:line="276" w:lineRule="auto"/>
        <w:rPr>
          <w:rFonts w:ascii="Arial Narrow" w:hAnsi="Arial Narrow"/>
          <w:b/>
          <w:color w:val="2F5496" w:themeColor="accent1" w:themeShade="BF"/>
        </w:rPr>
      </w:pPr>
    </w:p>
    <w:p w14:paraId="1597E568" w14:textId="1558FD85" w:rsidR="00390861" w:rsidRPr="00173E7B" w:rsidRDefault="00D049E1" w:rsidP="00390861">
      <w:pPr>
        <w:spacing w:after="240" w:line="276" w:lineRule="auto"/>
        <w:jc w:val="both"/>
        <w:rPr>
          <w:rFonts w:ascii="Arial Narrow" w:hAnsi="Arial Narrow"/>
          <w:bCs/>
        </w:rPr>
      </w:pPr>
      <w:bookmarkStart w:id="262" w:name="_Hlk135057714"/>
      <w:r w:rsidRPr="00173E7B">
        <w:rPr>
          <w:rFonts w:ascii="Arial Narrow" w:hAnsi="Arial Narrow"/>
          <w:bCs/>
        </w:rPr>
        <w:t xml:space="preserve">Ve školním roce 2022/2023 navštěvuje střední školy v Jihomoravském kraji celkem 49 863 žáků, z toho 1 303 žáků s jinou než českou státní příslušností. </w:t>
      </w:r>
      <w:r w:rsidRPr="00173E7B">
        <w:rPr>
          <w:rFonts w:ascii="Arial Narrow" w:hAnsi="Arial Narrow"/>
          <w:b/>
        </w:rPr>
        <w:t>Oproti předchozímu školnímu roku 2021/2022 se jedná o zhruba 47% nárůst</w:t>
      </w:r>
      <w:r w:rsidRPr="00173E7B">
        <w:rPr>
          <w:rFonts w:ascii="Arial Narrow" w:hAnsi="Arial Narrow"/>
          <w:bCs/>
        </w:rPr>
        <w:t xml:space="preserve">. </w:t>
      </w:r>
      <w:bookmarkEnd w:id="262"/>
      <w:r w:rsidRPr="00173E7B">
        <w:rPr>
          <w:rFonts w:ascii="Arial Narrow" w:hAnsi="Arial Narrow"/>
          <w:bCs/>
        </w:rPr>
        <w:t>Nejvíce dětí na SŠ (74,8 %) mělo státní příslušnost třetích zemí. Celkový nárůst počtu dětí s jinou než českou státní příslušností je tvořen především vyšším počtem dětí ze třetích zemí, jejichž počet se meziročně zvýšil o 76,6 %.</w:t>
      </w:r>
      <w:r w:rsidR="00390861" w:rsidRPr="00173E7B">
        <w:rPr>
          <w:rFonts w:ascii="Arial Narrow" w:hAnsi="Arial Narrow"/>
          <w:bCs/>
        </w:rPr>
        <w:t xml:space="preserve"> </w:t>
      </w:r>
      <w:r w:rsidR="276D6C88" w:rsidRPr="00173E7B">
        <w:rPr>
          <w:rFonts w:ascii="Arial Narrow" w:hAnsi="Arial Narrow"/>
          <w:color w:val="000000" w:themeColor="text1"/>
        </w:rPr>
        <w:t>Základní dělení státní příslušnosti žáků s jinou než českou státní příslušností ve školním roce 202</w:t>
      </w:r>
      <w:r w:rsidRPr="00173E7B">
        <w:rPr>
          <w:rFonts w:ascii="Arial Narrow" w:hAnsi="Arial Narrow"/>
          <w:color w:val="000000" w:themeColor="text1"/>
        </w:rPr>
        <w:t>2</w:t>
      </w:r>
      <w:r w:rsidR="276D6C88" w:rsidRPr="00173E7B">
        <w:rPr>
          <w:rFonts w:ascii="Arial Narrow" w:hAnsi="Arial Narrow"/>
          <w:color w:val="000000" w:themeColor="text1"/>
        </w:rPr>
        <w:t>/202</w:t>
      </w:r>
      <w:r w:rsidRPr="00173E7B">
        <w:rPr>
          <w:rFonts w:ascii="Arial Narrow" w:hAnsi="Arial Narrow"/>
          <w:color w:val="000000" w:themeColor="text1"/>
        </w:rPr>
        <w:t>3</w:t>
      </w:r>
      <w:r w:rsidR="276D6C88" w:rsidRPr="00173E7B">
        <w:rPr>
          <w:rFonts w:ascii="Arial Narrow" w:hAnsi="Arial Narrow"/>
          <w:color w:val="000000" w:themeColor="text1"/>
        </w:rPr>
        <w:t xml:space="preserve"> podrobně dokumentuje graf</w:t>
      </w:r>
      <w:r w:rsidR="00390861" w:rsidRPr="00173E7B">
        <w:rPr>
          <w:rFonts w:ascii="Arial Narrow" w:hAnsi="Arial Narrow"/>
          <w:color w:val="000000" w:themeColor="text1"/>
        </w:rPr>
        <w:t xml:space="preserve"> č. 41</w:t>
      </w:r>
      <w:r w:rsidR="276D6C88" w:rsidRPr="00173E7B">
        <w:rPr>
          <w:rFonts w:ascii="Arial Narrow" w:hAnsi="Arial Narrow"/>
          <w:color w:val="000000" w:themeColor="text1"/>
        </w:rPr>
        <w:t>.</w:t>
      </w:r>
    </w:p>
    <w:p w14:paraId="4C278334" w14:textId="7F48710A" w:rsidR="009A30B6" w:rsidRPr="00173E7B" w:rsidRDefault="00856205" w:rsidP="00390861">
      <w:pPr>
        <w:spacing w:after="240" w:line="276" w:lineRule="auto"/>
        <w:jc w:val="both"/>
        <w:rPr>
          <w:rFonts w:ascii="Arial Narrow" w:hAnsi="Arial Narrow"/>
          <w:bCs/>
        </w:rPr>
      </w:pPr>
      <w:bookmarkStart w:id="263" w:name="_Toc94443745"/>
      <w:bookmarkStart w:id="264" w:name="_Toc136428885"/>
      <w:r w:rsidRPr="00173E7B">
        <w:rPr>
          <w:rFonts w:ascii="Arial Narrow" w:hAnsi="Arial Narrow"/>
          <w:b/>
          <w:sz w:val="20"/>
          <w:szCs w:val="20"/>
        </w:rPr>
        <w:t xml:space="preserve">Graf </w:t>
      </w:r>
      <w:r w:rsidR="00B63C25" w:rsidRPr="00173E7B">
        <w:rPr>
          <w:rFonts w:ascii="Arial Narrow" w:hAnsi="Arial Narrow"/>
          <w:b/>
          <w:sz w:val="20"/>
          <w:szCs w:val="20"/>
        </w:rPr>
        <w:fldChar w:fldCharType="begin"/>
      </w:r>
      <w:r w:rsidR="00B63C25" w:rsidRPr="00173E7B">
        <w:rPr>
          <w:rFonts w:ascii="Arial Narrow" w:hAnsi="Arial Narrow"/>
          <w:b/>
          <w:sz w:val="20"/>
          <w:szCs w:val="20"/>
        </w:rPr>
        <w:instrText xml:space="preserve"> SEQ Graf \* ARABIC </w:instrText>
      </w:r>
      <w:r w:rsidR="00B63C25" w:rsidRPr="00173E7B">
        <w:rPr>
          <w:rFonts w:ascii="Arial Narrow" w:hAnsi="Arial Narrow"/>
          <w:b/>
          <w:sz w:val="20"/>
          <w:szCs w:val="20"/>
        </w:rPr>
        <w:fldChar w:fldCharType="separate"/>
      </w:r>
      <w:r w:rsidR="009F49C8" w:rsidRPr="00173E7B">
        <w:rPr>
          <w:rFonts w:ascii="Arial Narrow" w:hAnsi="Arial Narrow"/>
          <w:b/>
          <w:noProof/>
          <w:sz w:val="20"/>
          <w:szCs w:val="20"/>
        </w:rPr>
        <w:t>41</w:t>
      </w:r>
      <w:r w:rsidR="00B63C25" w:rsidRPr="00173E7B">
        <w:rPr>
          <w:rFonts w:ascii="Arial Narrow" w:hAnsi="Arial Narrow"/>
          <w:b/>
          <w:sz w:val="20"/>
          <w:szCs w:val="20"/>
        </w:rPr>
        <w:fldChar w:fldCharType="end"/>
      </w:r>
      <w:r w:rsidRPr="00173E7B">
        <w:rPr>
          <w:rFonts w:ascii="Arial Narrow" w:hAnsi="Arial Narrow"/>
          <w:b/>
          <w:sz w:val="20"/>
          <w:szCs w:val="20"/>
        </w:rPr>
        <w:t xml:space="preserve">: </w:t>
      </w:r>
      <w:r w:rsidRPr="00173E7B">
        <w:rPr>
          <w:rFonts w:ascii="Arial Narrow" w:hAnsi="Arial Narrow"/>
          <w:b/>
          <w:bCs/>
          <w:sz w:val="20"/>
          <w:szCs w:val="20"/>
        </w:rPr>
        <w:t>Státní příslušnost žáků SŠ</w:t>
      </w:r>
      <w:r w:rsidR="001138E8" w:rsidRPr="00173E7B">
        <w:rPr>
          <w:rFonts w:ascii="Arial Narrow" w:hAnsi="Arial Narrow"/>
          <w:b/>
          <w:bCs/>
          <w:sz w:val="20"/>
          <w:szCs w:val="20"/>
        </w:rPr>
        <w:t xml:space="preserve"> v Jihomoravském kraji</w:t>
      </w:r>
      <w:r w:rsidRPr="00173E7B">
        <w:rPr>
          <w:rFonts w:ascii="Arial Narrow" w:hAnsi="Arial Narrow"/>
          <w:b/>
          <w:bCs/>
          <w:sz w:val="20"/>
          <w:szCs w:val="20"/>
        </w:rPr>
        <w:t xml:space="preserve"> s jinou než českou státní příslušností ve školním roce 202</w:t>
      </w:r>
      <w:r w:rsidR="000C30FD" w:rsidRPr="00173E7B">
        <w:rPr>
          <w:rFonts w:ascii="Arial Narrow" w:hAnsi="Arial Narrow"/>
          <w:b/>
          <w:bCs/>
          <w:sz w:val="20"/>
          <w:szCs w:val="20"/>
        </w:rPr>
        <w:t>2</w:t>
      </w:r>
      <w:r w:rsidRPr="00173E7B">
        <w:rPr>
          <w:rFonts w:ascii="Arial Narrow" w:hAnsi="Arial Narrow"/>
          <w:b/>
          <w:bCs/>
          <w:sz w:val="20"/>
          <w:szCs w:val="20"/>
        </w:rPr>
        <w:t>/202</w:t>
      </w:r>
      <w:bookmarkEnd w:id="263"/>
      <w:r w:rsidR="000C30FD" w:rsidRPr="00173E7B">
        <w:rPr>
          <w:rFonts w:ascii="Arial Narrow" w:hAnsi="Arial Narrow"/>
          <w:b/>
          <w:bCs/>
          <w:sz w:val="20"/>
          <w:szCs w:val="20"/>
        </w:rPr>
        <w:t>3</w:t>
      </w:r>
      <w:bookmarkEnd w:id="264"/>
    </w:p>
    <w:p w14:paraId="22E13E34" w14:textId="19A635FA" w:rsidR="009A30B6" w:rsidRPr="00173E7B" w:rsidRDefault="000C30FD" w:rsidP="7CC7BF57">
      <w:pPr>
        <w:spacing w:line="276" w:lineRule="auto"/>
        <w:jc w:val="both"/>
        <w:rPr>
          <w:rFonts w:ascii="Arial Narrow" w:hAnsi="Arial Narrow"/>
        </w:rPr>
      </w:pPr>
      <w:r w:rsidRPr="00173E7B">
        <w:rPr>
          <w:rFonts w:ascii="Arial Narrow" w:hAnsi="Arial Narrow"/>
          <w:bCs/>
          <w:noProof/>
          <w:lang w:eastAsia="cs-CZ"/>
        </w:rPr>
        <w:drawing>
          <wp:inline distT="0" distB="0" distL="0" distR="0" wp14:anchorId="187164B5" wp14:editId="1928B372">
            <wp:extent cx="5760720" cy="1275080"/>
            <wp:effectExtent l="0" t="0" r="0" b="1270"/>
            <wp:docPr id="2074" name="Graf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61C2257" w14:textId="5C1E0A20" w:rsidR="009A30B6" w:rsidRPr="00173E7B" w:rsidRDefault="00E568AB" w:rsidP="000C30FD">
      <w:pPr>
        <w:spacing w:after="240" w:line="276" w:lineRule="auto"/>
        <w:rPr>
          <w:rFonts w:ascii="Arial Narrow" w:eastAsia="Calibri" w:hAnsi="Arial Narrow"/>
          <w:bCs/>
        </w:rPr>
      </w:pPr>
      <w:r w:rsidRPr="00173E7B">
        <w:rPr>
          <w:rFonts w:ascii="Arial Narrow" w:hAnsi="Arial Narrow"/>
          <w:sz w:val="20"/>
          <w:szCs w:val="20"/>
        </w:rPr>
        <w:t xml:space="preserve">Zdroj: </w:t>
      </w:r>
      <w:r w:rsidR="00732A00" w:rsidRPr="00173E7B">
        <w:rPr>
          <w:rFonts w:ascii="Arial Narrow" w:hAnsi="Arial Narrow"/>
          <w:sz w:val="20"/>
          <w:szCs w:val="20"/>
        </w:rPr>
        <w:t>M</w:t>
      </w:r>
      <w:r w:rsidR="00732A00" w:rsidRPr="00173E7B">
        <w:rPr>
          <w:rFonts w:ascii="Arial Narrow" w:hAnsi="Arial Narrow" w:cs="Arial"/>
          <w:color w:val="000000"/>
          <w:sz w:val="20"/>
          <w:szCs w:val="20"/>
        </w:rPr>
        <w:t>inisterstvo školství, mládeže a tělovýchovy</w:t>
      </w:r>
      <w:r w:rsidR="00732A00" w:rsidRPr="00173E7B">
        <w:rPr>
          <w:rFonts w:ascii="Arial Narrow" w:hAnsi="Arial Narrow"/>
          <w:sz w:val="20"/>
          <w:szCs w:val="20"/>
        </w:rPr>
        <w:tab/>
      </w:r>
      <w:r w:rsidR="00732A00" w:rsidRPr="00173E7B">
        <w:rPr>
          <w:rFonts w:ascii="Arial Narrow" w:hAnsi="Arial Narrow"/>
          <w:sz w:val="20"/>
          <w:szCs w:val="20"/>
        </w:rPr>
        <w:tab/>
      </w:r>
      <w:r w:rsidRPr="00173E7B">
        <w:rPr>
          <w:rFonts w:ascii="Arial Narrow" w:hAnsi="Arial Narrow"/>
          <w:sz w:val="20"/>
          <w:szCs w:val="20"/>
        </w:rPr>
        <w:tab/>
        <w:t xml:space="preserve"> </w:t>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27F1FC88" w14:textId="2FAC3EF5" w:rsidR="000C30FD" w:rsidRPr="00173E7B" w:rsidRDefault="00413FFF" w:rsidP="000C30FD">
      <w:pPr>
        <w:spacing w:after="240" w:line="276" w:lineRule="auto"/>
        <w:jc w:val="both"/>
        <w:rPr>
          <w:rFonts w:ascii="Arial Narrow" w:hAnsi="Arial Narrow"/>
          <w:bCs/>
        </w:rPr>
      </w:pPr>
      <w:bookmarkStart w:id="265" w:name="_Hlk95731629"/>
      <w:r w:rsidRPr="00173E7B">
        <w:rPr>
          <w:rFonts w:ascii="Arial Narrow" w:hAnsi="Arial Narrow"/>
          <w:bCs/>
        </w:rPr>
        <w:t xml:space="preserve">Podíl </w:t>
      </w:r>
      <w:r w:rsidRPr="00173E7B">
        <w:rPr>
          <w:rFonts w:ascii="Arial Narrow" w:hAnsi="Arial Narrow"/>
        </w:rPr>
        <w:t>žáků s jinou než českou státní příslušností</w:t>
      </w:r>
      <w:r w:rsidRPr="00173E7B">
        <w:rPr>
          <w:rFonts w:ascii="Arial Narrow" w:hAnsi="Arial Narrow"/>
          <w:bCs/>
        </w:rPr>
        <w:t xml:space="preserve"> na celkovém počtu žáků SŠ se za posledních 15 let více než ztrojnásobil</w:t>
      </w:r>
      <w:r w:rsidR="00390861" w:rsidRPr="00173E7B">
        <w:rPr>
          <w:rFonts w:ascii="Arial Narrow" w:hAnsi="Arial Narrow"/>
          <w:bCs/>
        </w:rPr>
        <w:t>,</w:t>
      </w:r>
      <w:r w:rsidR="00390861" w:rsidRPr="00173E7B">
        <w:rPr>
          <w:rFonts w:ascii="Arial Narrow" w:hAnsi="Arial Narrow"/>
        </w:rPr>
        <w:t xml:space="preserve"> jak ukazuje graf č. 42 a následně v reálných číslech tabulka č. 12</w:t>
      </w:r>
      <w:r w:rsidRPr="00173E7B">
        <w:rPr>
          <w:rFonts w:ascii="Arial Narrow" w:hAnsi="Arial Narrow"/>
          <w:bCs/>
        </w:rPr>
        <w:t xml:space="preserve">. Zatímco ve školním roce 2005/2006 tvořily </w:t>
      </w:r>
      <w:r w:rsidRPr="00173E7B">
        <w:rPr>
          <w:rFonts w:ascii="Arial Narrow" w:hAnsi="Arial Narrow"/>
        </w:rPr>
        <w:t>žáci s jinou než českou státní příslušností</w:t>
      </w:r>
      <w:r w:rsidRPr="00173E7B">
        <w:rPr>
          <w:rFonts w:ascii="Arial Narrow" w:hAnsi="Arial Narrow"/>
          <w:bCs/>
        </w:rPr>
        <w:t xml:space="preserve"> 0,5 % všech žáků SŠ v Jihomoravském kraj, ve školním roce 2021/2022 to bylo již 1,9 %. </w:t>
      </w:r>
      <w:r w:rsidR="000C30FD" w:rsidRPr="00173E7B">
        <w:rPr>
          <w:rFonts w:ascii="Arial Narrow" w:hAnsi="Arial Narrow"/>
          <w:bCs/>
        </w:rPr>
        <w:t>V Jihomoravském kraji tak byl dlouhodobě podíl žáků SŠ zhruba o 0,4 % nižší než podíl těchto žáků v celé ČR.</w:t>
      </w:r>
    </w:p>
    <w:p w14:paraId="0C1EC1AE" w14:textId="5D760523" w:rsidR="00413FFF" w:rsidRPr="00173E7B" w:rsidRDefault="000C30FD" w:rsidP="000C30FD">
      <w:pPr>
        <w:spacing w:after="240" w:line="276" w:lineRule="auto"/>
        <w:jc w:val="both"/>
        <w:rPr>
          <w:rFonts w:ascii="Arial Narrow" w:hAnsi="Arial Narrow"/>
          <w:bCs/>
        </w:rPr>
      </w:pPr>
      <w:r w:rsidRPr="00173E7B">
        <w:rPr>
          <w:rFonts w:ascii="Arial Narrow" w:hAnsi="Arial Narrow"/>
          <w:bCs/>
        </w:rPr>
        <w:t>Proměnu v podílu dětí s jinou než českou státní příslušností na SŠ přinesl školní rok 2022/2023, kdy v souvislosti s válkou na Ukrajině došlo k příchodu většího počtu žáků s jinou než českou státní příslušností ze třetích zemí. V důsledku toho se podíl zmiňovaných osob v JMK skokově zvýšil z 1,9 % na 2,6 %. V JMK je v současnosti podíl žáků s jinou než českou státní příslušností o 0,5 % nižší, než je tomu na celorepublikové úrovni (zde tvoří 3,1 %). Přestože se jedná o bezprecedentní skokové navýšení, v kontextu meziročního růstu na základních školách a předškolním vzdělávání je tento nárust relativně mírný.</w:t>
      </w:r>
    </w:p>
    <w:bookmarkEnd w:id="265"/>
    <w:p w14:paraId="61FE1775" w14:textId="77777777" w:rsidR="000C30FD" w:rsidRPr="00173E7B" w:rsidRDefault="000C30FD" w:rsidP="003937B0">
      <w:pPr>
        <w:spacing w:after="240" w:line="276" w:lineRule="auto"/>
        <w:jc w:val="both"/>
        <w:rPr>
          <w:rFonts w:ascii="Arial Narrow" w:hAnsi="Arial Narrow"/>
          <w:bCs/>
          <w:color w:val="FF0000"/>
        </w:rPr>
      </w:pPr>
    </w:p>
    <w:p w14:paraId="2F9A24C6" w14:textId="77777777" w:rsidR="00390861" w:rsidRPr="00173E7B" w:rsidRDefault="00390861" w:rsidP="003937B0">
      <w:pPr>
        <w:spacing w:after="240" w:line="276" w:lineRule="auto"/>
        <w:jc w:val="both"/>
        <w:rPr>
          <w:rFonts w:ascii="Arial Narrow" w:hAnsi="Arial Narrow"/>
          <w:bCs/>
          <w:color w:val="FF0000"/>
        </w:rPr>
      </w:pPr>
    </w:p>
    <w:p w14:paraId="6B15DD65" w14:textId="77777777" w:rsidR="000C30FD" w:rsidRPr="00173E7B" w:rsidRDefault="000C30FD" w:rsidP="003937B0">
      <w:pPr>
        <w:spacing w:after="240" w:line="276" w:lineRule="auto"/>
        <w:jc w:val="both"/>
        <w:rPr>
          <w:rFonts w:ascii="Arial Narrow" w:hAnsi="Arial Narrow"/>
          <w:bCs/>
          <w:color w:val="FF0000"/>
        </w:rPr>
      </w:pPr>
    </w:p>
    <w:p w14:paraId="0323B788" w14:textId="77777777" w:rsidR="000C30FD" w:rsidRPr="00173E7B" w:rsidRDefault="000C30FD" w:rsidP="003937B0">
      <w:pPr>
        <w:spacing w:after="240" w:line="276" w:lineRule="auto"/>
        <w:jc w:val="both"/>
        <w:rPr>
          <w:rFonts w:ascii="Arial Narrow" w:hAnsi="Arial Narrow"/>
          <w:bCs/>
          <w:color w:val="FF0000"/>
        </w:rPr>
      </w:pPr>
    </w:p>
    <w:p w14:paraId="48FE773E" w14:textId="77777777" w:rsidR="000C30FD" w:rsidRPr="00173E7B" w:rsidRDefault="000C30FD" w:rsidP="003937B0">
      <w:pPr>
        <w:spacing w:after="240" w:line="276" w:lineRule="auto"/>
        <w:jc w:val="both"/>
        <w:rPr>
          <w:rFonts w:ascii="Arial Narrow" w:hAnsi="Arial Narrow"/>
          <w:bCs/>
          <w:color w:val="FF0000"/>
        </w:rPr>
      </w:pPr>
    </w:p>
    <w:p w14:paraId="308CC552" w14:textId="77777777" w:rsidR="000C30FD" w:rsidRPr="00173E7B" w:rsidRDefault="000C30FD" w:rsidP="003937B0">
      <w:pPr>
        <w:spacing w:after="240" w:line="276" w:lineRule="auto"/>
        <w:jc w:val="both"/>
        <w:rPr>
          <w:rFonts w:ascii="Arial Narrow" w:hAnsi="Arial Narrow"/>
          <w:bCs/>
          <w:color w:val="FF0000"/>
        </w:rPr>
      </w:pPr>
    </w:p>
    <w:p w14:paraId="540FA30A" w14:textId="77777777" w:rsidR="000C30FD" w:rsidRPr="00173E7B" w:rsidRDefault="000C30FD" w:rsidP="003937B0">
      <w:pPr>
        <w:spacing w:after="240" w:line="276" w:lineRule="auto"/>
        <w:jc w:val="both"/>
        <w:rPr>
          <w:rFonts w:ascii="Arial Narrow" w:hAnsi="Arial Narrow"/>
          <w:bCs/>
          <w:color w:val="FF0000"/>
        </w:rPr>
      </w:pPr>
    </w:p>
    <w:p w14:paraId="3B36E5E0" w14:textId="2492128D" w:rsidR="00856205" w:rsidRPr="00173E7B" w:rsidRDefault="00856205" w:rsidP="00856205">
      <w:pPr>
        <w:spacing w:line="276" w:lineRule="auto"/>
        <w:jc w:val="both"/>
        <w:rPr>
          <w:rFonts w:ascii="Arial Narrow" w:hAnsi="Arial Narrow"/>
          <w:b/>
          <w:bCs/>
          <w:sz w:val="20"/>
          <w:szCs w:val="20"/>
        </w:rPr>
      </w:pPr>
      <w:bookmarkStart w:id="266" w:name="_Toc94443746"/>
      <w:bookmarkStart w:id="267" w:name="_Toc136428886"/>
      <w:r w:rsidRPr="00173E7B">
        <w:rPr>
          <w:rFonts w:ascii="Arial Narrow" w:hAnsi="Arial Narrow"/>
          <w:b/>
          <w:sz w:val="20"/>
          <w:szCs w:val="20"/>
        </w:rPr>
        <w:lastRenderedPageBreak/>
        <w:t xml:space="preserve">Graf </w:t>
      </w:r>
      <w:r w:rsidR="00B63C25" w:rsidRPr="00173E7B">
        <w:rPr>
          <w:rFonts w:ascii="Arial Narrow" w:hAnsi="Arial Narrow"/>
          <w:b/>
          <w:sz w:val="20"/>
          <w:szCs w:val="20"/>
        </w:rPr>
        <w:fldChar w:fldCharType="begin"/>
      </w:r>
      <w:r w:rsidR="00B63C25" w:rsidRPr="00173E7B">
        <w:rPr>
          <w:rFonts w:ascii="Arial Narrow" w:hAnsi="Arial Narrow"/>
          <w:b/>
          <w:sz w:val="20"/>
          <w:szCs w:val="20"/>
        </w:rPr>
        <w:instrText xml:space="preserve"> SEQ Graf \* ARABIC </w:instrText>
      </w:r>
      <w:r w:rsidR="00B63C25" w:rsidRPr="00173E7B">
        <w:rPr>
          <w:rFonts w:ascii="Arial Narrow" w:hAnsi="Arial Narrow"/>
          <w:b/>
          <w:sz w:val="20"/>
          <w:szCs w:val="20"/>
        </w:rPr>
        <w:fldChar w:fldCharType="separate"/>
      </w:r>
      <w:r w:rsidR="009F49C8" w:rsidRPr="00173E7B">
        <w:rPr>
          <w:rFonts w:ascii="Arial Narrow" w:hAnsi="Arial Narrow"/>
          <w:b/>
          <w:noProof/>
          <w:sz w:val="20"/>
          <w:szCs w:val="20"/>
        </w:rPr>
        <w:t>42</w:t>
      </w:r>
      <w:r w:rsidR="00B63C25" w:rsidRPr="00173E7B">
        <w:rPr>
          <w:rFonts w:ascii="Arial Narrow" w:hAnsi="Arial Narrow"/>
          <w:b/>
          <w:sz w:val="20"/>
          <w:szCs w:val="20"/>
        </w:rPr>
        <w:fldChar w:fldCharType="end"/>
      </w:r>
      <w:r w:rsidRPr="00173E7B">
        <w:rPr>
          <w:rFonts w:ascii="Arial Narrow" w:hAnsi="Arial Narrow"/>
          <w:b/>
          <w:sz w:val="20"/>
          <w:szCs w:val="20"/>
        </w:rPr>
        <w:t xml:space="preserve">: </w:t>
      </w:r>
      <w:r w:rsidRPr="00173E7B">
        <w:rPr>
          <w:rFonts w:ascii="Arial Narrow" w:hAnsi="Arial Narrow"/>
          <w:b/>
          <w:bCs/>
          <w:sz w:val="20"/>
          <w:szCs w:val="20"/>
        </w:rPr>
        <w:t>Podíl žáků s jinou než českou státní příslušností na celkovém počtu studentů SŠ</w:t>
      </w:r>
      <w:bookmarkEnd w:id="266"/>
      <w:r w:rsidR="001138E8" w:rsidRPr="00173E7B">
        <w:rPr>
          <w:rFonts w:ascii="Arial Narrow" w:hAnsi="Arial Narrow"/>
          <w:b/>
          <w:bCs/>
          <w:sz w:val="20"/>
          <w:szCs w:val="20"/>
        </w:rPr>
        <w:t xml:space="preserve"> v Jihomoravském kraji</w:t>
      </w:r>
      <w:bookmarkEnd w:id="267"/>
      <w:r w:rsidRPr="00173E7B">
        <w:rPr>
          <w:rFonts w:ascii="Arial Narrow" w:hAnsi="Arial Narrow"/>
          <w:b/>
          <w:bCs/>
          <w:sz w:val="20"/>
          <w:szCs w:val="20"/>
        </w:rPr>
        <w:t xml:space="preserve"> </w:t>
      </w:r>
    </w:p>
    <w:p w14:paraId="70DA129D" w14:textId="1A03A2B0" w:rsidR="009A30B6" w:rsidRPr="00173E7B" w:rsidRDefault="00413FFF" w:rsidP="7CC7BF57">
      <w:pPr>
        <w:rPr>
          <w:rFonts w:ascii="Arial Narrow" w:hAnsi="Arial Narrow"/>
        </w:rPr>
      </w:pPr>
      <w:r w:rsidRPr="00173E7B">
        <w:rPr>
          <w:rFonts w:ascii="Arial Narrow" w:hAnsi="Arial Narrow"/>
          <w:bCs/>
          <w:noProof/>
          <w:lang w:eastAsia="cs-CZ"/>
        </w:rPr>
        <w:drawing>
          <wp:inline distT="0" distB="0" distL="0" distR="0" wp14:anchorId="1884F821" wp14:editId="1E52C53A">
            <wp:extent cx="5715000" cy="3495675"/>
            <wp:effectExtent l="0" t="0" r="0" b="0"/>
            <wp:docPr id="2077" name="Graf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F29ABB1" w14:textId="478191AD" w:rsidR="00AC736A" w:rsidRPr="00173E7B" w:rsidRDefault="00E568AB" w:rsidP="00390861">
      <w:pPr>
        <w:spacing w:after="240" w:line="276" w:lineRule="auto"/>
        <w:rPr>
          <w:rFonts w:ascii="Arial Narrow" w:eastAsia="Calibri" w:hAnsi="Arial Narrow"/>
          <w:bCs/>
        </w:rPr>
      </w:pPr>
      <w:r w:rsidRPr="00173E7B">
        <w:rPr>
          <w:rFonts w:ascii="Arial Narrow" w:hAnsi="Arial Narrow"/>
          <w:sz w:val="20"/>
          <w:szCs w:val="20"/>
        </w:rPr>
        <w:t xml:space="preserve">Zdroj: </w:t>
      </w:r>
      <w:r w:rsidR="00732A00" w:rsidRPr="00173E7B">
        <w:rPr>
          <w:rFonts w:ascii="Arial Narrow" w:hAnsi="Arial Narrow"/>
          <w:sz w:val="20"/>
          <w:szCs w:val="20"/>
        </w:rPr>
        <w:t>M</w:t>
      </w:r>
      <w:r w:rsidR="00732A00" w:rsidRPr="00173E7B">
        <w:rPr>
          <w:rFonts w:ascii="Arial Narrow" w:hAnsi="Arial Narrow" w:cs="Arial"/>
          <w:color w:val="000000"/>
          <w:sz w:val="20"/>
          <w:szCs w:val="20"/>
        </w:rPr>
        <w:t>inisterstvo školství, mládeže a tělovýchovy</w:t>
      </w:r>
      <w:r w:rsidRPr="00173E7B">
        <w:rPr>
          <w:rFonts w:ascii="Arial Narrow" w:hAnsi="Arial Narrow"/>
          <w:sz w:val="20"/>
          <w:szCs w:val="20"/>
        </w:rPr>
        <w:t xml:space="preserve"> </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15053F24" w14:textId="16913D3C" w:rsidR="009A30B6" w:rsidRPr="00173E7B" w:rsidRDefault="495E27D3" w:rsidP="00E17404">
      <w:pPr>
        <w:spacing w:line="276" w:lineRule="auto"/>
        <w:jc w:val="both"/>
        <w:rPr>
          <w:rFonts w:ascii="Arial Narrow" w:hAnsi="Arial Narrow"/>
          <w:b/>
          <w:bCs/>
          <w:sz w:val="24"/>
          <w:szCs w:val="24"/>
        </w:rPr>
      </w:pPr>
      <w:bookmarkStart w:id="268" w:name="_Toc136429223"/>
      <w:r w:rsidRPr="00173E7B">
        <w:rPr>
          <w:rFonts w:ascii="Arial Narrow" w:hAnsi="Arial Narrow"/>
          <w:b/>
          <w:bCs/>
          <w:sz w:val="20"/>
          <w:szCs w:val="20"/>
        </w:rPr>
        <w:t xml:space="preserve">Tabulka </w:t>
      </w:r>
      <w:r w:rsidR="00E17404" w:rsidRPr="00173E7B">
        <w:rPr>
          <w:rFonts w:ascii="Arial Narrow" w:hAnsi="Arial Narrow"/>
          <w:b/>
          <w:bCs/>
          <w:sz w:val="20"/>
          <w:szCs w:val="20"/>
        </w:rPr>
        <w:fldChar w:fldCharType="begin"/>
      </w:r>
      <w:r w:rsidR="00E17404" w:rsidRPr="00173E7B">
        <w:rPr>
          <w:rFonts w:ascii="Arial Narrow" w:hAnsi="Arial Narrow"/>
          <w:b/>
          <w:bCs/>
          <w:sz w:val="20"/>
          <w:szCs w:val="20"/>
        </w:rPr>
        <w:instrText xml:space="preserve"> SEQ Tabulka \* ARABIC </w:instrText>
      </w:r>
      <w:r w:rsidR="00E17404" w:rsidRPr="00173E7B">
        <w:rPr>
          <w:rFonts w:ascii="Arial Narrow" w:hAnsi="Arial Narrow"/>
          <w:b/>
          <w:bCs/>
          <w:sz w:val="20"/>
          <w:szCs w:val="20"/>
        </w:rPr>
        <w:fldChar w:fldCharType="separate"/>
      </w:r>
      <w:r w:rsidR="7DE39459" w:rsidRPr="00173E7B">
        <w:rPr>
          <w:rFonts w:ascii="Arial Narrow" w:hAnsi="Arial Narrow"/>
          <w:b/>
          <w:bCs/>
          <w:noProof/>
          <w:sz w:val="20"/>
          <w:szCs w:val="20"/>
        </w:rPr>
        <w:t>12</w:t>
      </w:r>
      <w:r w:rsidR="00E17404" w:rsidRPr="00173E7B">
        <w:rPr>
          <w:rFonts w:ascii="Arial Narrow" w:hAnsi="Arial Narrow"/>
          <w:b/>
          <w:bCs/>
          <w:sz w:val="20"/>
          <w:szCs w:val="20"/>
        </w:rPr>
        <w:fldChar w:fldCharType="end"/>
      </w:r>
      <w:r w:rsidRPr="00173E7B">
        <w:rPr>
          <w:rFonts w:ascii="Arial Narrow" w:hAnsi="Arial Narrow"/>
          <w:b/>
          <w:bCs/>
          <w:sz w:val="20"/>
          <w:szCs w:val="20"/>
        </w:rPr>
        <w:t xml:space="preserve">:  </w:t>
      </w:r>
      <w:r w:rsidRPr="00173E7B">
        <w:rPr>
          <w:rFonts w:ascii="Arial Narrow" w:hAnsi="Arial Narrow"/>
          <w:b/>
          <w:bCs/>
          <w:color w:val="000000" w:themeColor="text1"/>
          <w:sz w:val="20"/>
          <w:szCs w:val="20"/>
        </w:rPr>
        <w:t xml:space="preserve">Vývoj počtu žáků na </w:t>
      </w:r>
      <w:r w:rsidR="6177E207" w:rsidRPr="00173E7B">
        <w:rPr>
          <w:rFonts w:ascii="Arial Narrow" w:hAnsi="Arial Narrow"/>
          <w:b/>
          <w:bCs/>
          <w:color w:val="000000" w:themeColor="text1"/>
          <w:sz w:val="20"/>
          <w:szCs w:val="20"/>
        </w:rPr>
        <w:t>S</w:t>
      </w:r>
      <w:r w:rsidRPr="00173E7B">
        <w:rPr>
          <w:rFonts w:ascii="Arial Narrow" w:hAnsi="Arial Narrow"/>
          <w:b/>
          <w:bCs/>
          <w:color w:val="000000" w:themeColor="text1"/>
          <w:sz w:val="20"/>
          <w:szCs w:val="20"/>
        </w:rPr>
        <w:t>Š s jinou než českou státní příslušností v Jihomoravském kraji v letech 2005-202</w:t>
      </w:r>
      <w:r w:rsidR="000C30FD" w:rsidRPr="00173E7B">
        <w:rPr>
          <w:rFonts w:ascii="Arial Narrow" w:hAnsi="Arial Narrow"/>
          <w:b/>
          <w:bCs/>
          <w:color w:val="000000" w:themeColor="text1"/>
          <w:sz w:val="20"/>
          <w:szCs w:val="20"/>
        </w:rPr>
        <w:t>3</w:t>
      </w:r>
      <w:bookmarkEnd w:id="268"/>
    </w:p>
    <w:tbl>
      <w:tblPr>
        <w:tblStyle w:val="Svtltabulkasmkou1zvraznn11"/>
        <w:tblW w:w="8818" w:type="dxa"/>
        <w:tblInd w:w="108" w:type="dxa"/>
        <w:tblLook w:val="04A0" w:firstRow="1" w:lastRow="0" w:firstColumn="1" w:lastColumn="0" w:noHBand="0" w:noVBand="1"/>
      </w:tblPr>
      <w:tblGrid>
        <w:gridCol w:w="915"/>
        <w:gridCol w:w="1324"/>
        <w:gridCol w:w="1476"/>
        <w:gridCol w:w="1417"/>
        <w:gridCol w:w="1701"/>
        <w:gridCol w:w="1985"/>
      </w:tblGrid>
      <w:tr w:rsidR="000C30FD" w:rsidRPr="00173E7B" w14:paraId="4A0DB8DF" w14:textId="77777777" w:rsidTr="000C30F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5" w:type="dxa"/>
            <w:vMerge w:val="restart"/>
            <w:shd w:val="clear" w:color="auto" w:fill="D9E2F3" w:themeFill="accent1" w:themeFillTint="33"/>
            <w:noWrap/>
            <w:hideMark/>
          </w:tcPr>
          <w:p w14:paraId="19BAD6D4" w14:textId="77777777" w:rsidR="000C30FD" w:rsidRPr="00173E7B" w:rsidRDefault="000C30FD" w:rsidP="004A0C47">
            <w:pPr>
              <w:jc w:val="center"/>
              <w:rPr>
                <w:rFonts w:ascii="Arial Narrow" w:eastAsia="Times New Roman" w:hAnsi="Arial Narrow" w:cs="Tahoma"/>
                <w:b w:val="0"/>
                <w:bCs w:val="0"/>
                <w:sz w:val="18"/>
                <w:szCs w:val="18"/>
                <w:lang w:eastAsia="cs-CZ"/>
              </w:rPr>
            </w:pPr>
          </w:p>
        </w:tc>
        <w:tc>
          <w:tcPr>
            <w:tcW w:w="1324" w:type="dxa"/>
            <w:vMerge w:val="restart"/>
            <w:shd w:val="clear" w:color="auto" w:fill="D9E2F3" w:themeFill="accent1" w:themeFillTint="33"/>
            <w:vAlign w:val="center"/>
            <w:hideMark/>
          </w:tcPr>
          <w:p w14:paraId="2FD03DFC" w14:textId="77777777" w:rsidR="000C30FD" w:rsidRPr="00173E7B" w:rsidRDefault="000C30FD"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bCs w:val="0"/>
                <w:sz w:val="18"/>
                <w:szCs w:val="18"/>
                <w:lang w:eastAsia="cs-CZ"/>
              </w:rPr>
            </w:pPr>
            <w:r w:rsidRPr="00173E7B">
              <w:rPr>
                <w:rFonts w:ascii="Arial Narrow" w:eastAsia="Times New Roman" w:hAnsi="Arial Narrow" w:cs="Tahoma"/>
                <w:sz w:val="18"/>
                <w:szCs w:val="18"/>
                <w:lang w:eastAsia="cs-CZ"/>
              </w:rPr>
              <w:t>Žáci SŠ V ČR celkem</w:t>
            </w:r>
          </w:p>
        </w:tc>
        <w:tc>
          <w:tcPr>
            <w:tcW w:w="6579" w:type="dxa"/>
            <w:gridSpan w:val="4"/>
            <w:shd w:val="clear" w:color="auto" w:fill="D9E2F3" w:themeFill="accent1" w:themeFillTint="33"/>
            <w:vAlign w:val="center"/>
            <w:hideMark/>
          </w:tcPr>
          <w:p w14:paraId="62E6C483" w14:textId="77777777" w:rsidR="000C30FD" w:rsidRPr="00173E7B" w:rsidRDefault="000C30FD"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bCs w:val="0"/>
                <w:sz w:val="18"/>
                <w:szCs w:val="18"/>
                <w:lang w:eastAsia="cs-CZ"/>
              </w:rPr>
            </w:pPr>
            <w:r w:rsidRPr="00173E7B">
              <w:rPr>
                <w:rFonts w:ascii="Arial Narrow" w:eastAsia="Times New Roman" w:hAnsi="Arial Narrow" w:cs="Tahoma"/>
                <w:sz w:val="18"/>
                <w:szCs w:val="18"/>
                <w:lang w:eastAsia="cs-CZ"/>
              </w:rPr>
              <w:t>v tom státní občanství</w:t>
            </w:r>
          </w:p>
        </w:tc>
      </w:tr>
      <w:tr w:rsidR="000C30FD" w:rsidRPr="00173E7B" w14:paraId="6CE99FBD" w14:textId="77777777" w:rsidTr="000C30FD">
        <w:trPr>
          <w:trHeight w:val="415"/>
        </w:trPr>
        <w:tc>
          <w:tcPr>
            <w:cnfStyle w:val="001000000000" w:firstRow="0" w:lastRow="0" w:firstColumn="1" w:lastColumn="0" w:oddVBand="0" w:evenVBand="0" w:oddHBand="0" w:evenHBand="0" w:firstRowFirstColumn="0" w:firstRowLastColumn="0" w:lastRowFirstColumn="0" w:lastRowLastColumn="0"/>
            <w:tcW w:w="915" w:type="dxa"/>
            <w:vMerge/>
            <w:shd w:val="clear" w:color="auto" w:fill="D9E2F3" w:themeFill="accent1" w:themeFillTint="33"/>
            <w:noWrap/>
            <w:hideMark/>
          </w:tcPr>
          <w:p w14:paraId="0B7A1057" w14:textId="77777777" w:rsidR="000C30FD" w:rsidRPr="00173E7B" w:rsidRDefault="000C30FD" w:rsidP="004A0C47">
            <w:pPr>
              <w:jc w:val="center"/>
              <w:rPr>
                <w:rFonts w:ascii="Arial Narrow" w:eastAsia="Times New Roman" w:hAnsi="Arial Narrow" w:cs="Tahoma"/>
                <w:b w:val="0"/>
                <w:bCs w:val="0"/>
                <w:sz w:val="18"/>
                <w:szCs w:val="18"/>
                <w:lang w:eastAsia="cs-CZ"/>
              </w:rPr>
            </w:pPr>
          </w:p>
        </w:tc>
        <w:tc>
          <w:tcPr>
            <w:tcW w:w="1324" w:type="dxa"/>
            <w:vMerge/>
            <w:shd w:val="clear" w:color="auto" w:fill="D9E2F3" w:themeFill="accent1" w:themeFillTint="33"/>
            <w:vAlign w:val="center"/>
            <w:hideMark/>
          </w:tcPr>
          <w:p w14:paraId="64D19E76"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p>
        </w:tc>
        <w:tc>
          <w:tcPr>
            <w:tcW w:w="1476" w:type="dxa"/>
            <w:shd w:val="clear" w:color="auto" w:fill="D9E2F3" w:themeFill="accent1" w:themeFillTint="33"/>
            <w:vAlign w:val="center"/>
            <w:hideMark/>
          </w:tcPr>
          <w:p w14:paraId="58B9124C"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české</w:t>
            </w:r>
          </w:p>
        </w:tc>
        <w:tc>
          <w:tcPr>
            <w:tcW w:w="1417" w:type="dxa"/>
            <w:shd w:val="clear" w:color="auto" w:fill="D9E2F3" w:themeFill="accent1" w:themeFillTint="33"/>
            <w:vAlign w:val="center"/>
            <w:hideMark/>
          </w:tcPr>
          <w:p w14:paraId="4EFFC9FF"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slovenské</w:t>
            </w:r>
          </w:p>
        </w:tc>
        <w:tc>
          <w:tcPr>
            <w:tcW w:w="1701" w:type="dxa"/>
            <w:shd w:val="clear" w:color="auto" w:fill="D9E2F3" w:themeFill="accent1" w:themeFillTint="33"/>
            <w:vAlign w:val="center"/>
            <w:hideMark/>
          </w:tcPr>
          <w:p w14:paraId="45F5140D"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ostatní státy EU 27</w:t>
            </w:r>
          </w:p>
        </w:tc>
        <w:tc>
          <w:tcPr>
            <w:tcW w:w="1985" w:type="dxa"/>
            <w:shd w:val="clear" w:color="auto" w:fill="D9E2F3" w:themeFill="accent1" w:themeFillTint="33"/>
            <w:vAlign w:val="center"/>
            <w:hideMark/>
          </w:tcPr>
          <w:p w14:paraId="660F1D73"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sidRPr="00173E7B">
              <w:rPr>
                <w:rFonts w:ascii="Arial Narrow" w:eastAsia="Times New Roman" w:hAnsi="Arial Narrow" w:cs="Tahoma"/>
                <w:b/>
                <w:bCs/>
                <w:sz w:val="18"/>
                <w:szCs w:val="18"/>
                <w:lang w:eastAsia="cs-CZ"/>
              </w:rPr>
              <w:t>třetí země a zatím nezjištěné</w:t>
            </w:r>
          </w:p>
        </w:tc>
      </w:tr>
      <w:tr w:rsidR="000C30FD" w:rsidRPr="00173E7B" w14:paraId="2C5E5732"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tcPr>
          <w:p w14:paraId="59A20321"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2022/2023</w:t>
            </w:r>
          </w:p>
        </w:tc>
        <w:tc>
          <w:tcPr>
            <w:tcW w:w="1324" w:type="dxa"/>
            <w:vAlign w:val="center"/>
          </w:tcPr>
          <w:p w14:paraId="375EF15D" w14:textId="1778840B"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49 863</w:t>
            </w:r>
          </w:p>
        </w:tc>
        <w:tc>
          <w:tcPr>
            <w:tcW w:w="1476" w:type="dxa"/>
            <w:vAlign w:val="center"/>
          </w:tcPr>
          <w:p w14:paraId="505E5799" w14:textId="02C31603"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48 560</w:t>
            </w:r>
          </w:p>
        </w:tc>
        <w:tc>
          <w:tcPr>
            <w:tcW w:w="1417" w:type="dxa"/>
            <w:vAlign w:val="center"/>
          </w:tcPr>
          <w:p w14:paraId="4E53681D"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268</w:t>
            </w:r>
          </w:p>
        </w:tc>
        <w:tc>
          <w:tcPr>
            <w:tcW w:w="1701" w:type="dxa"/>
            <w:vAlign w:val="center"/>
          </w:tcPr>
          <w:p w14:paraId="70CE1113"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61</w:t>
            </w:r>
          </w:p>
        </w:tc>
        <w:tc>
          <w:tcPr>
            <w:tcW w:w="1985" w:type="dxa"/>
            <w:vAlign w:val="bottom"/>
          </w:tcPr>
          <w:p w14:paraId="2C71FF5D"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974</w:t>
            </w:r>
          </w:p>
        </w:tc>
      </w:tr>
      <w:tr w:rsidR="000C30FD" w:rsidRPr="00173E7B" w14:paraId="35B14686"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tcPr>
          <w:p w14:paraId="3A43ECC9" w14:textId="77777777" w:rsidR="000C30FD" w:rsidRPr="00173E7B" w:rsidRDefault="000C30FD" w:rsidP="004A0C47">
            <w:pPr>
              <w:jc w:val="center"/>
              <w:rPr>
                <w:rFonts w:ascii="Arial Narrow" w:eastAsia="Times New Roman" w:hAnsi="Arial Narrow"/>
                <w:sz w:val="18"/>
                <w:szCs w:val="18"/>
                <w:lang w:eastAsia="cs-CZ"/>
              </w:rPr>
            </w:pPr>
            <w:r w:rsidRPr="00173E7B">
              <w:rPr>
                <w:rFonts w:ascii="Arial Narrow" w:eastAsia="Times New Roman" w:hAnsi="Arial Narrow"/>
                <w:b w:val="0"/>
                <w:bCs w:val="0"/>
                <w:sz w:val="18"/>
                <w:szCs w:val="18"/>
                <w:lang w:eastAsia="cs-CZ"/>
              </w:rPr>
              <w:t>2021/2022</w:t>
            </w:r>
          </w:p>
        </w:tc>
        <w:tc>
          <w:tcPr>
            <w:tcW w:w="1324" w:type="dxa"/>
            <w:vAlign w:val="center"/>
          </w:tcPr>
          <w:p w14:paraId="5ADFA9C5"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47 978</w:t>
            </w:r>
          </w:p>
        </w:tc>
        <w:tc>
          <w:tcPr>
            <w:tcW w:w="1476" w:type="dxa"/>
            <w:vAlign w:val="center"/>
          </w:tcPr>
          <w:p w14:paraId="5180C0BC"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47 090</w:t>
            </w:r>
          </w:p>
        </w:tc>
        <w:tc>
          <w:tcPr>
            <w:tcW w:w="1417" w:type="dxa"/>
            <w:vAlign w:val="center"/>
          </w:tcPr>
          <w:p w14:paraId="536EC1CA"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279</w:t>
            </w:r>
          </w:p>
        </w:tc>
        <w:tc>
          <w:tcPr>
            <w:tcW w:w="1701" w:type="dxa"/>
            <w:vAlign w:val="center"/>
          </w:tcPr>
          <w:p w14:paraId="5B0D45E3"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56</w:t>
            </w:r>
          </w:p>
        </w:tc>
        <w:tc>
          <w:tcPr>
            <w:tcW w:w="1985" w:type="dxa"/>
            <w:vAlign w:val="bottom"/>
          </w:tcPr>
          <w:p w14:paraId="273EF7B3"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553</w:t>
            </w:r>
          </w:p>
        </w:tc>
      </w:tr>
      <w:tr w:rsidR="000C30FD" w:rsidRPr="00173E7B" w14:paraId="034B9DD7"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6CEB5ADE"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2020/2021</w:t>
            </w:r>
          </w:p>
        </w:tc>
        <w:tc>
          <w:tcPr>
            <w:tcW w:w="1324" w:type="dxa"/>
            <w:vAlign w:val="center"/>
          </w:tcPr>
          <w:p w14:paraId="1C09EED6"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46 758</w:t>
            </w:r>
          </w:p>
        </w:tc>
        <w:tc>
          <w:tcPr>
            <w:tcW w:w="1476" w:type="dxa"/>
            <w:vAlign w:val="center"/>
          </w:tcPr>
          <w:p w14:paraId="441C48B5"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45 873</w:t>
            </w:r>
          </w:p>
        </w:tc>
        <w:tc>
          <w:tcPr>
            <w:tcW w:w="1417" w:type="dxa"/>
            <w:vAlign w:val="center"/>
          </w:tcPr>
          <w:p w14:paraId="0C1E0DBE"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256</w:t>
            </w:r>
          </w:p>
        </w:tc>
        <w:tc>
          <w:tcPr>
            <w:tcW w:w="1701" w:type="dxa"/>
            <w:vAlign w:val="center"/>
          </w:tcPr>
          <w:p w14:paraId="7801D829"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50</w:t>
            </w:r>
          </w:p>
        </w:tc>
        <w:tc>
          <w:tcPr>
            <w:tcW w:w="1985" w:type="dxa"/>
            <w:vAlign w:val="bottom"/>
          </w:tcPr>
          <w:p w14:paraId="79CE8830"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579</w:t>
            </w:r>
          </w:p>
        </w:tc>
      </w:tr>
      <w:tr w:rsidR="000C30FD" w:rsidRPr="00173E7B" w14:paraId="09AAE20B"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06F2F316"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2019/2020</w:t>
            </w:r>
          </w:p>
        </w:tc>
        <w:tc>
          <w:tcPr>
            <w:tcW w:w="1324" w:type="dxa"/>
            <w:vAlign w:val="center"/>
          </w:tcPr>
          <w:p w14:paraId="31644C64"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45 751</w:t>
            </w:r>
          </w:p>
        </w:tc>
        <w:tc>
          <w:tcPr>
            <w:tcW w:w="1476" w:type="dxa"/>
            <w:vAlign w:val="center"/>
          </w:tcPr>
          <w:p w14:paraId="6FD3680A"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44 858</w:t>
            </w:r>
          </w:p>
        </w:tc>
        <w:tc>
          <w:tcPr>
            <w:tcW w:w="1417" w:type="dxa"/>
            <w:vAlign w:val="center"/>
          </w:tcPr>
          <w:p w14:paraId="1C4B42C8"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262</w:t>
            </w:r>
          </w:p>
        </w:tc>
        <w:tc>
          <w:tcPr>
            <w:tcW w:w="1701" w:type="dxa"/>
            <w:vAlign w:val="center"/>
          </w:tcPr>
          <w:p w14:paraId="0E4DA72F"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58</w:t>
            </w:r>
          </w:p>
        </w:tc>
        <w:tc>
          <w:tcPr>
            <w:tcW w:w="1985" w:type="dxa"/>
            <w:vAlign w:val="bottom"/>
          </w:tcPr>
          <w:p w14:paraId="54137636"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573</w:t>
            </w:r>
          </w:p>
        </w:tc>
      </w:tr>
      <w:tr w:rsidR="000C30FD" w:rsidRPr="00173E7B" w14:paraId="1394F982"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7BAE6D1A"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2018/2019</w:t>
            </w:r>
          </w:p>
        </w:tc>
        <w:tc>
          <w:tcPr>
            <w:tcW w:w="1324" w:type="dxa"/>
            <w:vAlign w:val="center"/>
          </w:tcPr>
          <w:p w14:paraId="6D9C659E"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45 611</w:t>
            </w:r>
          </w:p>
        </w:tc>
        <w:tc>
          <w:tcPr>
            <w:tcW w:w="1476" w:type="dxa"/>
            <w:vAlign w:val="center"/>
          </w:tcPr>
          <w:p w14:paraId="23F36340"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44 720</w:t>
            </w:r>
          </w:p>
        </w:tc>
        <w:tc>
          <w:tcPr>
            <w:tcW w:w="1417" w:type="dxa"/>
            <w:vAlign w:val="center"/>
          </w:tcPr>
          <w:p w14:paraId="4B3343AC"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238</w:t>
            </w:r>
          </w:p>
        </w:tc>
        <w:tc>
          <w:tcPr>
            <w:tcW w:w="1701" w:type="dxa"/>
            <w:vAlign w:val="center"/>
          </w:tcPr>
          <w:p w14:paraId="08B80AE2"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56</w:t>
            </w:r>
          </w:p>
        </w:tc>
        <w:tc>
          <w:tcPr>
            <w:tcW w:w="1985" w:type="dxa"/>
            <w:vAlign w:val="bottom"/>
          </w:tcPr>
          <w:p w14:paraId="17863B13"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597</w:t>
            </w:r>
          </w:p>
        </w:tc>
      </w:tr>
      <w:tr w:rsidR="000C30FD" w:rsidRPr="00173E7B" w14:paraId="53B3D849"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5534AD24"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2017/2018</w:t>
            </w:r>
          </w:p>
        </w:tc>
        <w:tc>
          <w:tcPr>
            <w:tcW w:w="1324" w:type="dxa"/>
            <w:vAlign w:val="center"/>
          </w:tcPr>
          <w:p w14:paraId="60E331C4"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45 918</w:t>
            </w:r>
          </w:p>
        </w:tc>
        <w:tc>
          <w:tcPr>
            <w:tcW w:w="1476" w:type="dxa"/>
            <w:vAlign w:val="center"/>
          </w:tcPr>
          <w:p w14:paraId="06F9176E"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45 100</w:t>
            </w:r>
          </w:p>
        </w:tc>
        <w:tc>
          <w:tcPr>
            <w:tcW w:w="1417" w:type="dxa"/>
            <w:vAlign w:val="center"/>
          </w:tcPr>
          <w:p w14:paraId="1D0487AB"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220</w:t>
            </w:r>
          </w:p>
        </w:tc>
        <w:tc>
          <w:tcPr>
            <w:tcW w:w="1701" w:type="dxa"/>
            <w:vAlign w:val="center"/>
          </w:tcPr>
          <w:p w14:paraId="51D56125"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54</w:t>
            </w:r>
          </w:p>
        </w:tc>
        <w:tc>
          <w:tcPr>
            <w:tcW w:w="1985" w:type="dxa"/>
            <w:vAlign w:val="bottom"/>
          </w:tcPr>
          <w:p w14:paraId="01FCA0DC"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544</w:t>
            </w:r>
          </w:p>
        </w:tc>
      </w:tr>
      <w:tr w:rsidR="000C30FD" w:rsidRPr="00173E7B" w14:paraId="7D9EC1D2"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357D437C"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2016/2017</w:t>
            </w:r>
          </w:p>
        </w:tc>
        <w:tc>
          <w:tcPr>
            <w:tcW w:w="1324" w:type="dxa"/>
            <w:vAlign w:val="center"/>
          </w:tcPr>
          <w:p w14:paraId="2192CA29"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46 183</w:t>
            </w:r>
          </w:p>
        </w:tc>
        <w:tc>
          <w:tcPr>
            <w:tcW w:w="1476" w:type="dxa"/>
            <w:vAlign w:val="center"/>
          </w:tcPr>
          <w:p w14:paraId="17623FC5"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45 396</w:t>
            </w:r>
          </w:p>
        </w:tc>
        <w:tc>
          <w:tcPr>
            <w:tcW w:w="1417" w:type="dxa"/>
            <w:vAlign w:val="center"/>
          </w:tcPr>
          <w:p w14:paraId="2F3516E0"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204</w:t>
            </w:r>
          </w:p>
        </w:tc>
        <w:tc>
          <w:tcPr>
            <w:tcW w:w="1701" w:type="dxa"/>
            <w:vAlign w:val="center"/>
          </w:tcPr>
          <w:p w14:paraId="22BB4C98"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58</w:t>
            </w:r>
          </w:p>
        </w:tc>
        <w:tc>
          <w:tcPr>
            <w:tcW w:w="1985" w:type="dxa"/>
            <w:vAlign w:val="bottom"/>
          </w:tcPr>
          <w:p w14:paraId="0676260F"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525</w:t>
            </w:r>
          </w:p>
        </w:tc>
      </w:tr>
      <w:tr w:rsidR="000C30FD" w:rsidRPr="00173E7B" w14:paraId="2687C4D0"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4E7E9438"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2015/2016</w:t>
            </w:r>
          </w:p>
        </w:tc>
        <w:tc>
          <w:tcPr>
            <w:tcW w:w="1324" w:type="dxa"/>
            <w:vAlign w:val="center"/>
          </w:tcPr>
          <w:p w14:paraId="6908F6CB"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46 691</w:t>
            </w:r>
          </w:p>
        </w:tc>
        <w:tc>
          <w:tcPr>
            <w:tcW w:w="1476" w:type="dxa"/>
            <w:vAlign w:val="center"/>
          </w:tcPr>
          <w:p w14:paraId="17F0AA68"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45 924</w:t>
            </w:r>
          </w:p>
        </w:tc>
        <w:tc>
          <w:tcPr>
            <w:tcW w:w="1417" w:type="dxa"/>
            <w:vAlign w:val="center"/>
          </w:tcPr>
          <w:p w14:paraId="06C61766"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197</w:t>
            </w:r>
          </w:p>
        </w:tc>
        <w:tc>
          <w:tcPr>
            <w:tcW w:w="1701" w:type="dxa"/>
            <w:vAlign w:val="center"/>
          </w:tcPr>
          <w:p w14:paraId="787C5FB2"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55</w:t>
            </w:r>
          </w:p>
        </w:tc>
        <w:tc>
          <w:tcPr>
            <w:tcW w:w="1985" w:type="dxa"/>
            <w:vAlign w:val="bottom"/>
          </w:tcPr>
          <w:p w14:paraId="56701FFB"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515</w:t>
            </w:r>
          </w:p>
        </w:tc>
      </w:tr>
      <w:tr w:rsidR="000C30FD" w:rsidRPr="00173E7B" w14:paraId="174B8ED4"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4196373B"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2014/2015</w:t>
            </w:r>
          </w:p>
        </w:tc>
        <w:tc>
          <w:tcPr>
            <w:tcW w:w="1324" w:type="dxa"/>
            <w:vAlign w:val="center"/>
          </w:tcPr>
          <w:p w14:paraId="3AD199D7"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47 791</w:t>
            </w:r>
          </w:p>
        </w:tc>
        <w:tc>
          <w:tcPr>
            <w:tcW w:w="1476" w:type="dxa"/>
            <w:vAlign w:val="center"/>
          </w:tcPr>
          <w:p w14:paraId="1607AAEB"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47 023</w:t>
            </w:r>
          </w:p>
        </w:tc>
        <w:tc>
          <w:tcPr>
            <w:tcW w:w="1417" w:type="dxa"/>
            <w:vAlign w:val="center"/>
          </w:tcPr>
          <w:p w14:paraId="3F34BCBB"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211</w:t>
            </w:r>
          </w:p>
        </w:tc>
        <w:tc>
          <w:tcPr>
            <w:tcW w:w="1701" w:type="dxa"/>
            <w:vAlign w:val="center"/>
          </w:tcPr>
          <w:p w14:paraId="65393716"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56</w:t>
            </w:r>
          </w:p>
        </w:tc>
        <w:tc>
          <w:tcPr>
            <w:tcW w:w="1985" w:type="dxa"/>
            <w:vAlign w:val="bottom"/>
          </w:tcPr>
          <w:p w14:paraId="5F032912"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501</w:t>
            </w:r>
          </w:p>
        </w:tc>
      </w:tr>
      <w:tr w:rsidR="000C30FD" w:rsidRPr="00173E7B" w14:paraId="7FADE024"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48B31516"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2013/2014</w:t>
            </w:r>
          </w:p>
        </w:tc>
        <w:tc>
          <w:tcPr>
            <w:tcW w:w="1324" w:type="dxa"/>
            <w:vAlign w:val="center"/>
          </w:tcPr>
          <w:p w14:paraId="193CBE11"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49 665</w:t>
            </w:r>
          </w:p>
        </w:tc>
        <w:tc>
          <w:tcPr>
            <w:tcW w:w="1476" w:type="dxa"/>
            <w:vAlign w:val="center"/>
          </w:tcPr>
          <w:p w14:paraId="4A545A2E"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48 871</w:t>
            </w:r>
          </w:p>
        </w:tc>
        <w:tc>
          <w:tcPr>
            <w:tcW w:w="1417" w:type="dxa"/>
            <w:vAlign w:val="center"/>
          </w:tcPr>
          <w:p w14:paraId="211485E8"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199</w:t>
            </w:r>
          </w:p>
        </w:tc>
        <w:tc>
          <w:tcPr>
            <w:tcW w:w="1701" w:type="dxa"/>
            <w:vAlign w:val="center"/>
          </w:tcPr>
          <w:p w14:paraId="2B61DE0A"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54</w:t>
            </w:r>
          </w:p>
        </w:tc>
        <w:tc>
          <w:tcPr>
            <w:tcW w:w="1985" w:type="dxa"/>
            <w:vAlign w:val="bottom"/>
          </w:tcPr>
          <w:p w14:paraId="648FE76B"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541</w:t>
            </w:r>
          </w:p>
        </w:tc>
      </w:tr>
      <w:tr w:rsidR="000C30FD" w:rsidRPr="00173E7B" w14:paraId="17BD626C"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4C7CB0F9"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2012/2013</w:t>
            </w:r>
          </w:p>
        </w:tc>
        <w:tc>
          <w:tcPr>
            <w:tcW w:w="1324" w:type="dxa"/>
            <w:vAlign w:val="center"/>
          </w:tcPr>
          <w:p w14:paraId="669E2FE0"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52 638</w:t>
            </w:r>
          </w:p>
        </w:tc>
        <w:tc>
          <w:tcPr>
            <w:tcW w:w="1476" w:type="dxa"/>
            <w:vAlign w:val="center"/>
          </w:tcPr>
          <w:p w14:paraId="5D9F8209"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51 886</w:t>
            </w:r>
          </w:p>
        </w:tc>
        <w:tc>
          <w:tcPr>
            <w:tcW w:w="1417" w:type="dxa"/>
            <w:vAlign w:val="center"/>
          </w:tcPr>
          <w:p w14:paraId="4B4C6F0E"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185</w:t>
            </w:r>
          </w:p>
        </w:tc>
        <w:tc>
          <w:tcPr>
            <w:tcW w:w="1701" w:type="dxa"/>
            <w:vAlign w:val="center"/>
          </w:tcPr>
          <w:p w14:paraId="4E4D597B"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38</w:t>
            </w:r>
          </w:p>
        </w:tc>
        <w:tc>
          <w:tcPr>
            <w:tcW w:w="1985" w:type="dxa"/>
            <w:vAlign w:val="bottom"/>
          </w:tcPr>
          <w:p w14:paraId="086EA505"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529</w:t>
            </w:r>
          </w:p>
        </w:tc>
      </w:tr>
      <w:tr w:rsidR="000C30FD" w:rsidRPr="00173E7B" w14:paraId="1264A97C"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57758626"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2011/2012</w:t>
            </w:r>
          </w:p>
        </w:tc>
        <w:tc>
          <w:tcPr>
            <w:tcW w:w="1324" w:type="dxa"/>
            <w:vAlign w:val="center"/>
          </w:tcPr>
          <w:p w14:paraId="52A8537E"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56 498</w:t>
            </w:r>
          </w:p>
        </w:tc>
        <w:tc>
          <w:tcPr>
            <w:tcW w:w="1476" w:type="dxa"/>
            <w:vAlign w:val="center"/>
          </w:tcPr>
          <w:p w14:paraId="1E97F400"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55 739</w:t>
            </w:r>
          </w:p>
        </w:tc>
        <w:tc>
          <w:tcPr>
            <w:tcW w:w="1417" w:type="dxa"/>
            <w:vAlign w:val="center"/>
          </w:tcPr>
          <w:p w14:paraId="467854B4"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177</w:t>
            </w:r>
          </w:p>
        </w:tc>
        <w:tc>
          <w:tcPr>
            <w:tcW w:w="1701" w:type="dxa"/>
            <w:vAlign w:val="center"/>
          </w:tcPr>
          <w:p w14:paraId="115659C8"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43</w:t>
            </w:r>
          </w:p>
        </w:tc>
        <w:tc>
          <w:tcPr>
            <w:tcW w:w="1985" w:type="dxa"/>
            <w:vAlign w:val="bottom"/>
          </w:tcPr>
          <w:p w14:paraId="38BEFFB6"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539</w:t>
            </w:r>
          </w:p>
        </w:tc>
      </w:tr>
      <w:tr w:rsidR="000C30FD" w:rsidRPr="00173E7B" w14:paraId="7B0C1CB8"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3AC6AEA6"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2010/2011</w:t>
            </w:r>
          </w:p>
        </w:tc>
        <w:tc>
          <w:tcPr>
            <w:tcW w:w="1324" w:type="dxa"/>
            <w:vAlign w:val="center"/>
          </w:tcPr>
          <w:p w14:paraId="7326DD69"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60 183</w:t>
            </w:r>
          </w:p>
        </w:tc>
        <w:tc>
          <w:tcPr>
            <w:tcW w:w="1476" w:type="dxa"/>
            <w:vAlign w:val="center"/>
          </w:tcPr>
          <w:p w14:paraId="3508ED72"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59 483</w:t>
            </w:r>
          </w:p>
        </w:tc>
        <w:tc>
          <w:tcPr>
            <w:tcW w:w="1417" w:type="dxa"/>
            <w:vAlign w:val="center"/>
          </w:tcPr>
          <w:p w14:paraId="328A0243"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170</w:t>
            </w:r>
          </w:p>
        </w:tc>
        <w:tc>
          <w:tcPr>
            <w:tcW w:w="1701" w:type="dxa"/>
            <w:vAlign w:val="center"/>
          </w:tcPr>
          <w:p w14:paraId="738581A1"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40</w:t>
            </w:r>
          </w:p>
        </w:tc>
        <w:tc>
          <w:tcPr>
            <w:tcW w:w="1985" w:type="dxa"/>
            <w:vAlign w:val="bottom"/>
          </w:tcPr>
          <w:p w14:paraId="63CAEDA7"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490</w:t>
            </w:r>
          </w:p>
        </w:tc>
      </w:tr>
      <w:tr w:rsidR="000C30FD" w:rsidRPr="00173E7B" w14:paraId="0C4ADD56"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1AB6C51E"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2009/2010</w:t>
            </w:r>
          </w:p>
        </w:tc>
        <w:tc>
          <w:tcPr>
            <w:tcW w:w="1324" w:type="dxa"/>
            <w:vAlign w:val="center"/>
          </w:tcPr>
          <w:p w14:paraId="70B4D68E"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62 996</w:t>
            </w:r>
          </w:p>
        </w:tc>
        <w:tc>
          <w:tcPr>
            <w:tcW w:w="1476" w:type="dxa"/>
            <w:vAlign w:val="center"/>
          </w:tcPr>
          <w:p w14:paraId="6497EA70"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62 366</w:t>
            </w:r>
          </w:p>
        </w:tc>
        <w:tc>
          <w:tcPr>
            <w:tcW w:w="1417" w:type="dxa"/>
            <w:vAlign w:val="center"/>
          </w:tcPr>
          <w:p w14:paraId="3309B769"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145</w:t>
            </w:r>
          </w:p>
        </w:tc>
        <w:tc>
          <w:tcPr>
            <w:tcW w:w="1701" w:type="dxa"/>
            <w:vAlign w:val="center"/>
          </w:tcPr>
          <w:p w14:paraId="16CE0021"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36</w:t>
            </w:r>
          </w:p>
        </w:tc>
        <w:tc>
          <w:tcPr>
            <w:tcW w:w="1985" w:type="dxa"/>
            <w:vAlign w:val="bottom"/>
          </w:tcPr>
          <w:p w14:paraId="77E7A250"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449</w:t>
            </w:r>
          </w:p>
        </w:tc>
      </w:tr>
      <w:tr w:rsidR="000C30FD" w:rsidRPr="00173E7B" w14:paraId="3A7788C2"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2F19F2E7"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2008/2009</w:t>
            </w:r>
          </w:p>
        </w:tc>
        <w:tc>
          <w:tcPr>
            <w:tcW w:w="1324" w:type="dxa"/>
            <w:vAlign w:val="center"/>
          </w:tcPr>
          <w:p w14:paraId="11884669"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64 333</w:t>
            </w:r>
          </w:p>
        </w:tc>
        <w:tc>
          <w:tcPr>
            <w:tcW w:w="1476" w:type="dxa"/>
            <w:vAlign w:val="center"/>
          </w:tcPr>
          <w:p w14:paraId="3401F05A"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63 774</w:t>
            </w:r>
          </w:p>
        </w:tc>
        <w:tc>
          <w:tcPr>
            <w:tcW w:w="1417" w:type="dxa"/>
            <w:vAlign w:val="center"/>
          </w:tcPr>
          <w:p w14:paraId="496E8E1A"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121</w:t>
            </w:r>
          </w:p>
        </w:tc>
        <w:tc>
          <w:tcPr>
            <w:tcW w:w="1701" w:type="dxa"/>
            <w:vAlign w:val="center"/>
          </w:tcPr>
          <w:p w14:paraId="314E5A61"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45</w:t>
            </w:r>
          </w:p>
        </w:tc>
        <w:tc>
          <w:tcPr>
            <w:tcW w:w="1985" w:type="dxa"/>
            <w:vAlign w:val="bottom"/>
          </w:tcPr>
          <w:p w14:paraId="25EE1A66"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393</w:t>
            </w:r>
          </w:p>
        </w:tc>
      </w:tr>
      <w:tr w:rsidR="000C30FD" w:rsidRPr="00173E7B" w14:paraId="2C46A1A6"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16C63BD1"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2007/2008</w:t>
            </w:r>
          </w:p>
        </w:tc>
        <w:tc>
          <w:tcPr>
            <w:tcW w:w="1324" w:type="dxa"/>
            <w:vAlign w:val="center"/>
          </w:tcPr>
          <w:p w14:paraId="4DF18363"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65 148</w:t>
            </w:r>
          </w:p>
        </w:tc>
        <w:tc>
          <w:tcPr>
            <w:tcW w:w="1476" w:type="dxa"/>
            <w:vAlign w:val="center"/>
          </w:tcPr>
          <w:p w14:paraId="454A4B3A"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64 648</w:t>
            </w:r>
          </w:p>
        </w:tc>
        <w:tc>
          <w:tcPr>
            <w:tcW w:w="1417" w:type="dxa"/>
            <w:vAlign w:val="center"/>
          </w:tcPr>
          <w:p w14:paraId="4E34B6E1"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111</w:t>
            </w:r>
          </w:p>
        </w:tc>
        <w:tc>
          <w:tcPr>
            <w:tcW w:w="1701" w:type="dxa"/>
            <w:vAlign w:val="center"/>
          </w:tcPr>
          <w:p w14:paraId="5758A22A"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47</w:t>
            </w:r>
          </w:p>
        </w:tc>
        <w:tc>
          <w:tcPr>
            <w:tcW w:w="1985" w:type="dxa"/>
            <w:vAlign w:val="bottom"/>
          </w:tcPr>
          <w:p w14:paraId="7E520995"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342</w:t>
            </w:r>
          </w:p>
        </w:tc>
      </w:tr>
      <w:tr w:rsidR="000C30FD" w:rsidRPr="00173E7B" w14:paraId="11F3EF87"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2CB43559"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2006/2007</w:t>
            </w:r>
          </w:p>
        </w:tc>
        <w:tc>
          <w:tcPr>
            <w:tcW w:w="1324" w:type="dxa"/>
            <w:vAlign w:val="center"/>
          </w:tcPr>
          <w:p w14:paraId="186F5B38"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66 411</w:t>
            </w:r>
          </w:p>
        </w:tc>
        <w:tc>
          <w:tcPr>
            <w:tcW w:w="1476" w:type="dxa"/>
            <w:vAlign w:val="center"/>
          </w:tcPr>
          <w:p w14:paraId="030B3C8E"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65 957</w:t>
            </w:r>
          </w:p>
        </w:tc>
        <w:tc>
          <w:tcPr>
            <w:tcW w:w="1417" w:type="dxa"/>
            <w:vAlign w:val="center"/>
          </w:tcPr>
          <w:p w14:paraId="611EB274"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109</w:t>
            </w:r>
          </w:p>
        </w:tc>
        <w:tc>
          <w:tcPr>
            <w:tcW w:w="1701" w:type="dxa"/>
            <w:vAlign w:val="center"/>
          </w:tcPr>
          <w:p w14:paraId="71B1060C"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33</w:t>
            </w:r>
          </w:p>
        </w:tc>
        <w:tc>
          <w:tcPr>
            <w:tcW w:w="1985" w:type="dxa"/>
            <w:vAlign w:val="bottom"/>
          </w:tcPr>
          <w:p w14:paraId="2F41FF82"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312</w:t>
            </w:r>
          </w:p>
        </w:tc>
      </w:tr>
      <w:tr w:rsidR="000C30FD" w:rsidRPr="00173E7B" w14:paraId="7105C490" w14:textId="77777777" w:rsidTr="000C30FD">
        <w:trPr>
          <w:trHeight w:val="227"/>
        </w:trPr>
        <w:tc>
          <w:tcPr>
            <w:cnfStyle w:val="001000000000" w:firstRow="0" w:lastRow="0" w:firstColumn="1" w:lastColumn="0" w:oddVBand="0" w:evenVBand="0" w:oddHBand="0" w:evenHBand="0" w:firstRowFirstColumn="0" w:firstRowLastColumn="0" w:lastRowFirstColumn="0" w:lastRowLastColumn="0"/>
            <w:tcW w:w="915" w:type="dxa"/>
            <w:shd w:val="clear" w:color="auto" w:fill="D9E2F3" w:themeFill="accent1" w:themeFillTint="33"/>
            <w:noWrap/>
            <w:hideMark/>
          </w:tcPr>
          <w:p w14:paraId="5638C497" w14:textId="77777777" w:rsidR="000C30FD" w:rsidRPr="00173E7B" w:rsidRDefault="000C30FD" w:rsidP="004A0C47">
            <w:pPr>
              <w:jc w:val="center"/>
              <w:rPr>
                <w:rFonts w:ascii="Arial Narrow" w:eastAsia="Times New Roman" w:hAnsi="Arial Narrow"/>
                <w:b w:val="0"/>
                <w:bCs w:val="0"/>
                <w:sz w:val="18"/>
                <w:szCs w:val="18"/>
                <w:lang w:eastAsia="cs-CZ"/>
              </w:rPr>
            </w:pPr>
            <w:r w:rsidRPr="00173E7B">
              <w:rPr>
                <w:rFonts w:ascii="Arial Narrow" w:eastAsia="Times New Roman" w:hAnsi="Arial Narrow"/>
                <w:b w:val="0"/>
                <w:bCs w:val="0"/>
                <w:sz w:val="18"/>
                <w:szCs w:val="18"/>
                <w:lang w:eastAsia="cs-CZ"/>
              </w:rPr>
              <w:t>2005/2006</w:t>
            </w:r>
          </w:p>
        </w:tc>
        <w:tc>
          <w:tcPr>
            <w:tcW w:w="1324" w:type="dxa"/>
            <w:vAlign w:val="center"/>
          </w:tcPr>
          <w:p w14:paraId="5ADAB7AF"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66 969</w:t>
            </w:r>
          </w:p>
        </w:tc>
        <w:tc>
          <w:tcPr>
            <w:tcW w:w="1476" w:type="dxa"/>
            <w:vAlign w:val="center"/>
          </w:tcPr>
          <w:p w14:paraId="13C5A4D2"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66 617</w:t>
            </w:r>
          </w:p>
        </w:tc>
        <w:tc>
          <w:tcPr>
            <w:tcW w:w="1417" w:type="dxa"/>
            <w:vAlign w:val="center"/>
          </w:tcPr>
          <w:p w14:paraId="2050C383"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70</w:t>
            </w:r>
          </w:p>
        </w:tc>
        <w:tc>
          <w:tcPr>
            <w:tcW w:w="1701" w:type="dxa"/>
            <w:vAlign w:val="center"/>
          </w:tcPr>
          <w:p w14:paraId="55694D68"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173E7B">
              <w:rPr>
                <w:rFonts w:ascii="Arial Narrow" w:hAnsi="Arial Narrow" w:cs="Tahoma"/>
                <w:color w:val="000000"/>
                <w:sz w:val="18"/>
                <w:szCs w:val="18"/>
              </w:rPr>
              <w:t>21</w:t>
            </w:r>
          </w:p>
        </w:tc>
        <w:tc>
          <w:tcPr>
            <w:tcW w:w="1985" w:type="dxa"/>
            <w:vAlign w:val="bottom"/>
          </w:tcPr>
          <w:p w14:paraId="43CB804C" w14:textId="77777777" w:rsidR="000C30FD" w:rsidRPr="00173E7B" w:rsidRDefault="000C30FD"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173E7B">
              <w:rPr>
                <w:rFonts w:ascii="Arial Narrow" w:hAnsi="Arial Narrow" w:cs="Tahoma"/>
                <w:color w:val="000000"/>
                <w:sz w:val="18"/>
                <w:szCs w:val="18"/>
              </w:rPr>
              <w:t>261</w:t>
            </w:r>
          </w:p>
        </w:tc>
      </w:tr>
    </w:tbl>
    <w:p w14:paraId="5C94964A" w14:textId="5CE6F5D8" w:rsidR="00AC736A" w:rsidRDefault="00E568AB" w:rsidP="009A30B6">
      <w:pPr>
        <w:spacing w:line="276" w:lineRule="auto"/>
        <w:rPr>
          <w:rFonts w:ascii="Arial Narrow" w:hAnsi="Arial Narrow"/>
          <w:sz w:val="20"/>
          <w:szCs w:val="20"/>
        </w:rPr>
      </w:pPr>
      <w:r w:rsidRPr="00173E7B">
        <w:rPr>
          <w:rFonts w:ascii="Arial Narrow" w:hAnsi="Arial Narrow"/>
          <w:sz w:val="20"/>
          <w:szCs w:val="20"/>
        </w:rPr>
        <w:t xml:space="preserve">Zdroj: </w:t>
      </w:r>
      <w:r w:rsidR="004824E9" w:rsidRPr="00173E7B">
        <w:rPr>
          <w:rFonts w:ascii="Arial Narrow" w:hAnsi="Arial Narrow"/>
          <w:sz w:val="20"/>
          <w:szCs w:val="20"/>
        </w:rPr>
        <w:t>M</w:t>
      </w:r>
      <w:r w:rsidR="004824E9" w:rsidRPr="00173E7B">
        <w:rPr>
          <w:rFonts w:ascii="Arial Narrow" w:hAnsi="Arial Narrow" w:cs="Arial"/>
          <w:color w:val="000000"/>
          <w:sz w:val="20"/>
          <w:szCs w:val="20"/>
        </w:rPr>
        <w:t>inisterstvo školství, mládeže a tělovýchovy</w:t>
      </w:r>
      <w:r w:rsidRPr="00173E7B">
        <w:rPr>
          <w:rFonts w:ascii="Arial Narrow" w:hAnsi="Arial Narrow"/>
          <w:sz w:val="20"/>
          <w:szCs w:val="20"/>
        </w:rPr>
        <w:tab/>
      </w:r>
      <w:r w:rsidRPr="00173E7B">
        <w:rPr>
          <w:rFonts w:ascii="Arial Narrow" w:hAnsi="Arial Narrow"/>
          <w:sz w:val="20"/>
          <w:szCs w:val="20"/>
        </w:rPr>
        <w:tab/>
      </w:r>
      <w:r w:rsidRPr="00173E7B">
        <w:rPr>
          <w:rFonts w:ascii="Arial Narrow" w:hAnsi="Arial Narrow"/>
          <w:sz w:val="20"/>
          <w:szCs w:val="20"/>
        </w:rPr>
        <w:tab/>
        <w:t xml:space="preserve"> </w:t>
      </w:r>
      <w:r w:rsidRPr="00173E7B">
        <w:rPr>
          <w:rFonts w:ascii="Arial Narrow" w:hAnsi="Arial Narrow"/>
          <w:sz w:val="20"/>
          <w:szCs w:val="20"/>
        </w:rPr>
        <w:tab/>
        <w:t xml:space="preserve">          Graf: AUGUR </w:t>
      </w:r>
      <w:proofErr w:type="spellStart"/>
      <w:r w:rsidRPr="00173E7B">
        <w:rPr>
          <w:rFonts w:ascii="Arial Narrow" w:hAnsi="Arial Narrow"/>
          <w:sz w:val="20"/>
          <w:szCs w:val="20"/>
        </w:rPr>
        <w:t>Consulting</w:t>
      </w:r>
      <w:proofErr w:type="spellEnd"/>
      <w:r w:rsidRPr="00173E7B">
        <w:rPr>
          <w:rFonts w:ascii="Arial Narrow" w:hAnsi="Arial Narrow"/>
          <w:sz w:val="20"/>
          <w:szCs w:val="20"/>
        </w:rPr>
        <w:t xml:space="preserve"> </w:t>
      </w:r>
      <w:proofErr w:type="spellStart"/>
      <w:r w:rsidRPr="00173E7B">
        <w:rPr>
          <w:rFonts w:ascii="Arial Narrow" w:hAnsi="Arial Narrow"/>
          <w:sz w:val="20"/>
          <w:szCs w:val="20"/>
        </w:rPr>
        <w:t>s.r.o</w:t>
      </w:r>
      <w:proofErr w:type="spellEnd"/>
    </w:p>
    <w:p w14:paraId="644C4399" w14:textId="77777777" w:rsidR="00390861" w:rsidRDefault="00390861" w:rsidP="009A30B6">
      <w:pPr>
        <w:spacing w:line="276" w:lineRule="auto"/>
        <w:rPr>
          <w:rFonts w:ascii="Arial Narrow" w:hAnsi="Arial Narrow"/>
          <w:sz w:val="20"/>
          <w:szCs w:val="20"/>
        </w:rPr>
      </w:pPr>
    </w:p>
    <w:p w14:paraId="5F14968C" w14:textId="77777777" w:rsidR="00390861" w:rsidRDefault="00390861" w:rsidP="009A30B6">
      <w:pPr>
        <w:spacing w:line="276" w:lineRule="auto"/>
        <w:rPr>
          <w:rFonts w:ascii="Arial Narrow" w:hAnsi="Arial Narrow"/>
          <w:sz w:val="20"/>
          <w:szCs w:val="20"/>
        </w:rPr>
      </w:pPr>
    </w:p>
    <w:p w14:paraId="41D117AE" w14:textId="77777777" w:rsidR="00390861" w:rsidRPr="00CF5826" w:rsidRDefault="00390861" w:rsidP="009A30B6">
      <w:pPr>
        <w:spacing w:line="276" w:lineRule="auto"/>
        <w:rPr>
          <w:rFonts w:ascii="Arial Narrow" w:eastAsia="Calibri" w:hAnsi="Arial Narrow"/>
          <w:bCs/>
        </w:rPr>
      </w:pPr>
    </w:p>
    <w:p w14:paraId="2CA04D13" w14:textId="77777777" w:rsidR="00B21467" w:rsidRPr="00B21467" w:rsidRDefault="00B21467" w:rsidP="008B3D36">
      <w:pPr>
        <w:pStyle w:val="Odstavecseseznamem"/>
        <w:keepNext/>
        <w:keepLines/>
        <w:numPr>
          <w:ilvl w:val="2"/>
          <w:numId w:val="14"/>
        </w:numPr>
        <w:spacing w:before="200" w:line="276" w:lineRule="auto"/>
        <w:contextualSpacing w:val="0"/>
        <w:jc w:val="both"/>
        <w:outlineLvl w:val="2"/>
        <w:rPr>
          <w:rFonts w:ascii="Arial Narrow" w:eastAsiaTheme="majorEastAsia" w:hAnsi="Arial Narrow" w:cs="Arial"/>
          <w:b/>
          <w:bCs/>
          <w:vanish/>
          <w:color w:val="002060"/>
          <w:sz w:val="26"/>
          <w:szCs w:val="26"/>
          <w:u w:val="single"/>
        </w:rPr>
      </w:pPr>
      <w:bookmarkStart w:id="269" w:name="_Toc125635424"/>
      <w:bookmarkStart w:id="270" w:name="_Toc132629131"/>
      <w:bookmarkStart w:id="271" w:name="_Toc136876078"/>
      <w:bookmarkEnd w:id="269"/>
      <w:bookmarkEnd w:id="270"/>
      <w:bookmarkEnd w:id="271"/>
    </w:p>
    <w:p w14:paraId="173E2962" w14:textId="77777777" w:rsidR="00B21467" w:rsidRPr="00B21467" w:rsidRDefault="00B21467" w:rsidP="008B3D36">
      <w:pPr>
        <w:pStyle w:val="Odstavecseseznamem"/>
        <w:keepNext/>
        <w:keepLines/>
        <w:numPr>
          <w:ilvl w:val="2"/>
          <w:numId w:val="14"/>
        </w:numPr>
        <w:spacing w:before="200" w:line="276" w:lineRule="auto"/>
        <w:contextualSpacing w:val="0"/>
        <w:jc w:val="both"/>
        <w:outlineLvl w:val="2"/>
        <w:rPr>
          <w:rFonts w:ascii="Arial Narrow" w:eastAsiaTheme="majorEastAsia" w:hAnsi="Arial Narrow" w:cs="Arial"/>
          <w:b/>
          <w:bCs/>
          <w:vanish/>
          <w:color w:val="002060"/>
          <w:sz w:val="26"/>
          <w:szCs w:val="26"/>
          <w:u w:val="single"/>
        </w:rPr>
      </w:pPr>
      <w:bookmarkStart w:id="272" w:name="_Toc125635425"/>
      <w:bookmarkStart w:id="273" w:name="_Toc132629132"/>
      <w:bookmarkStart w:id="274" w:name="_Toc136876079"/>
      <w:bookmarkEnd w:id="272"/>
      <w:bookmarkEnd w:id="273"/>
      <w:bookmarkEnd w:id="274"/>
    </w:p>
    <w:p w14:paraId="418B44A2" w14:textId="77777777" w:rsidR="00B21467" w:rsidRPr="00B21467" w:rsidRDefault="00B21467" w:rsidP="008B3D36">
      <w:pPr>
        <w:pStyle w:val="Odstavecseseznamem"/>
        <w:keepNext/>
        <w:keepLines/>
        <w:numPr>
          <w:ilvl w:val="2"/>
          <w:numId w:val="14"/>
        </w:numPr>
        <w:spacing w:before="200" w:line="276" w:lineRule="auto"/>
        <w:contextualSpacing w:val="0"/>
        <w:jc w:val="both"/>
        <w:outlineLvl w:val="2"/>
        <w:rPr>
          <w:rFonts w:ascii="Arial Narrow" w:eastAsiaTheme="majorEastAsia" w:hAnsi="Arial Narrow" w:cs="Arial"/>
          <w:b/>
          <w:bCs/>
          <w:vanish/>
          <w:color w:val="002060"/>
          <w:sz w:val="26"/>
          <w:szCs w:val="26"/>
          <w:u w:val="single"/>
        </w:rPr>
      </w:pPr>
      <w:bookmarkStart w:id="275" w:name="_Toc125635426"/>
      <w:bookmarkStart w:id="276" w:name="_Toc132629133"/>
      <w:bookmarkStart w:id="277" w:name="_Toc136876080"/>
      <w:bookmarkEnd w:id="275"/>
      <w:bookmarkEnd w:id="276"/>
      <w:bookmarkEnd w:id="277"/>
    </w:p>
    <w:p w14:paraId="7EA573D2" w14:textId="77777777" w:rsidR="00B21467" w:rsidRPr="00B21467" w:rsidRDefault="00B21467" w:rsidP="008B3D36">
      <w:pPr>
        <w:pStyle w:val="Odstavecseseznamem"/>
        <w:keepNext/>
        <w:keepLines/>
        <w:numPr>
          <w:ilvl w:val="2"/>
          <w:numId w:val="14"/>
        </w:numPr>
        <w:spacing w:before="200" w:line="276" w:lineRule="auto"/>
        <w:contextualSpacing w:val="0"/>
        <w:jc w:val="both"/>
        <w:outlineLvl w:val="2"/>
        <w:rPr>
          <w:rFonts w:ascii="Arial Narrow" w:eastAsiaTheme="majorEastAsia" w:hAnsi="Arial Narrow" w:cs="Arial"/>
          <w:b/>
          <w:bCs/>
          <w:vanish/>
          <w:color w:val="002060"/>
          <w:sz w:val="26"/>
          <w:szCs w:val="26"/>
          <w:u w:val="single"/>
        </w:rPr>
      </w:pPr>
      <w:bookmarkStart w:id="278" w:name="_Toc125635427"/>
      <w:bookmarkStart w:id="279" w:name="_Toc132629134"/>
      <w:bookmarkStart w:id="280" w:name="_Toc136876081"/>
      <w:bookmarkEnd w:id="278"/>
      <w:bookmarkEnd w:id="279"/>
      <w:bookmarkEnd w:id="280"/>
    </w:p>
    <w:p w14:paraId="782A67D4" w14:textId="77777777" w:rsidR="00B21467" w:rsidRPr="00B21467" w:rsidRDefault="00B21467" w:rsidP="008B3D36">
      <w:pPr>
        <w:pStyle w:val="Odstavecseseznamem"/>
        <w:keepNext/>
        <w:keepLines/>
        <w:numPr>
          <w:ilvl w:val="2"/>
          <w:numId w:val="14"/>
        </w:numPr>
        <w:spacing w:before="200" w:line="276" w:lineRule="auto"/>
        <w:contextualSpacing w:val="0"/>
        <w:jc w:val="both"/>
        <w:outlineLvl w:val="2"/>
        <w:rPr>
          <w:rFonts w:ascii="Arial Narrow" w:eastAsiaTheme="majorEastAsia" w:hAnsi="Arial Narrow" w:cs="Arial"/>
          <w:b/>
          <w:bCs/>
          <w:vanish/>
          <w:color w:val="002060"/>
          <w:sz w:val="26"/>
          <w:szCs w:val="26"/>
          <w:u w:val="single"/>
        </w:rPr>
      </w:pPr>
      <w:bookmarkStart w:id="281" w:name="_Toc125635428"/>
      <w:bookmarkStart w:id="282" w:name="_Toc132629135"/>
      <w:bookmarkStart w:id="283" w:name="_Toc136876082"/>
      <w:bookmarkEnd w:id="281"/>
      <w:bookmarkEnd w:id="282"/>
      <w:bookmarkEnd w:id="283"/>
    </w:p>
    <w:p w14:paraId="1F0F5020" w14:textId="77777777" w:rsidR="00B21467" w:rsidRPr="00B21467" w:rsidRDefault="00B21467" w:rsidP="008B3D36">
      <w:pPr>
        <w:pStyle w:val="Odstavecseseznamem"/>
        <w:keepNext/>
        <w:keepLines/>
        <w:numPr>
          <w:ilvl w:val="2"/>
          <w:numId w:val="14"/>
        </w:numPr>
        <w:spacing w:before="200" w:line="276" w:lineRule="auto"/>
        <w:contextualSpacing w:val="0"/>
        <w:jc w:val="both"/>
        <w:outlineLvl w:val="2"/>
        <w:rPr>
          <w:rFonts w:ascii="Arial Narrow" w:eastAsiaTheme="majorEastAsia" w:hAnsi="Arial Narrow" w:cs="Arial"/>
          <w:b/>
          <w:bCs/>
          <w:vanish/>
          <w:color w:val="002060"/>
          <w:sz w:val="26"/>
          <w:szCs w:val="26"/>
          <w:u w:val="single"/>
        </w:rPr>
      </w:pPr>
      <w:bookmarkStart w:id="284" w:name="_Toc125635429"/>
      <w:bookmarkStart w:id="285" w:name="_Toc132629136"/>
      <w:bookmarkStart w:id="286" w:name="_Toc136876083"/>
      <w:bookmarkEnd w:id="284"/>
      <w:bookmarkEnd w:id="285"/>
      <w:bookmarkEnd w:id="286"/>
    </w:p>
    <w:p w14:paraId="6DF0A0DC" w14:textId="77777777" w:rsidR="00B21467" w:rsidRPr="00B21467" w:rsidRDefault="00B21467" w:rsidP="008B3D36">
      <w:pPr>
        <w:pStyle w:val="Odstavecseseznamem"/>
        <w:keepNext/>
        <w:keepLines/>
        <w:numPr>
          <w:ilvl w:val="2"/>
          <w:numId w:val="14"/>
        </w:numPr>
        <w:spacing w:before="200" w:line="276" w:lineRule="auto"/>
        <w:contextualSpacing w:val="0"/>
        <w:jc w:val="both"/>
        <w:outlineLvl w:val="2"/>
        <w:rPr>
          <w:rFonts w:ascii="Arial Narrow" w:eastAsiaTheme="majorEastAsia" w:hAnsi="Arial Narrow" w:cs="Arial"/>
          <w:b/>
          <w:bCs/>
          <w:vanish/>
          <w:color w:val="002060"/>
          <w:sz w:val="26"/>
          <w:szCs w:val="26"/>
          <w:u w:val="single"/>
        </w:rPr>
      </w:pPr>
      <w:bookmarkStart w:id="287" w:name="_Toc125635430"/>
      <w:bookmarkStart w:id="288" w:name="_Toc132629137"/>
      <w:bookmarkStart w:id="289" w:name="_Toc136876084"/>
      <w:bookmarkEnd w:id="287"/>
      <w:bookmarkEnd w:id="288"/>
      <w:bookmarkEnd w:id="289"/>
    </w:p>
    <w:p w14:paraId="240747CB" w14:textId="77777777" w:rsidR="00B21467" w:rsidRPr="00B21467" w:rsidRDefault="00B21467" w:rsidP="008B3D36">
      <w:pPr>
        <w:pStyle w:val="Odstavecseseznamem"/>
        <w:keepNext/>
        <w:keepLines/>
        <w:numPr>
          <w:ilvl w:val="2"/>
          <w:numId w:val="14"/>
        </w:numPr>
        <w:spacing w:before="200" w:line="276" w:lineRule="auto"/>
        <w:contextualSpacing w:val="0"/>
        <w:jc w:val="both"/>
        <w:outlineLvl w:val="2"/>
        <w:rPr>
          <w:rFonts w:ascii="Arial Narrow" w:eastAsiaTheme="majorEastAsia" w:hAnsi="Arial Narrow" w:cs="Arial"/>
          <w:b/>
          <w:bCs/>
          <w:vanish/>
          <w:color w:val="002060"/>
          <w:sz w:val="26"/>
          <w:szCs w:val="26"/>
          <w:u w:val="single"/>
        </w:rPr>
      </w:pPr>
      <w:bookmarkStart w:id="290" w:name="_Toc125635431"/>
      <w:bookmarkStart w:id="291" w:name="_Toc132629138"/>
      <w:bookmarkStart w:id="292" w:name="_Toc136876085"/>
      <w:bookmarkEnd w:id="290"/>
      <w:bookmarkEnd w:id="291"/>
      <w:bookmarkEnd w:id="292"/>
    </w:p>
    <w:p w14:paraId="4B568726" w14:textId="43580D69" w:rsidR="00AC736A" w:rsidRPr="00AE234F" w:rsidRDefault="00C16D76" w:rsidP="008B3D36">
      <w:pPr>
        <w:pStyle w:val="Nadpis3"/>
        <w:numPr>
          <w:ilvl w:val="2"/>
          <w:numId w:val="14"/>
        </w:numPr>
        <w:spacing w:line="276" w:lineRule="auto"/>
        <w:rPr>
          <w:color w:val="2F5496" w:themeColor="accent1" w:themeShade="BF"/>
        </w:rPr>
      </w:pPr>
      <w:bookmarkStart w:id="293" w:name="_Toc136876086"/>
      <w:r w:rsidRPr="00AE234F">
        <w:t xml:space="preserve">Dílčí </w:t>
      </w:r>
      <w:r w:rsidR="00EB245F" w:rsidRPr="00AE234F">
        <w:t>shrnutí kapitoly III. 1.</w:t>
      </w:r>
      <w:bookmarkEnd w:id="293"/>
      <w:r w:rsidR="00EB245F" w:rsidRPr="00AE234F">
        <w:t xml:space="preserve"> </w:t>
      </w:r>
    </w:p>
    <w:p w14:paraId="518B96B8" w14:textId="77777777" w:rsidR="00AC736A" w:rsidRPr="00F93E90" w:rsidRDefault="00AC736A" w:rsidP="009A30B6">
      <w:pPr>
        <w:spacing w:line="276" w:lineRule="auto"/>
        <w:rPr>
          <w:rFonts w:ascii="Arial Narrow" w:hAnsi="Arial Narrow"/>
          <w:b/>
          <w:color w:val="2F5496" w:themeColor="accent1" w:themeShade="BF"/>
        </w:rPr>
      </w:pPr>
    </w:p>
    <w:p w14:paraId="36C089CA" w14:textId="77777777" w:rsidR="004310EA" w:rsidRPr="00D91303" w:rsidRDefault="004310EA" w:rsidP="004310EA">
      <w:pPr>
        <w:spacing w:line="276" w:lineRule="auto"/>
        <w:jc w:val="both"/>
        <w:rPr>
          <w:rFonts w:ascii="Arial Narrow" w:hAnsi="Arial Narrow"/>
        </w:rPr>
      </w:pPr>
      <w:r w:rsidRPr="00100662">
        <w:rPr>
          <w:rFonts w:ascii="Arial Narrow" w:hAnsi="Arial Narrow"/>
        </w:rPr>
        <w:t xml:space="preserve">Závěrem této kapitoly si dovolujeme stručné shrnutí základních poznatků, které vyplývají ze sekundární analýzy </w:t>
      </w:r>
      <w:r>
        <w:rPr>
          <w:rFonts w:ascii="Arial Narrow" w:hAnsi="Arial Narrow"/>
        </w:rPr>
        <w:t>v</w:t>
      </w:r>
      <w:r w:rsidRPr="00100662">
        <w:rPr>
          <w:rFonts w:ascii="Arial Narrow" w:hAnsi="Arial Narrow"/>
        </w:rPr>
        <w:t>ýznamn</w:t>
      </w:r>
      <w:r>
        <w:rPr>
          <w:rFonts w:ascii="Arial Narrow" w:hAnsi="Arial Narrow"/>
        </w:rPr>
        <w:t>ých</w:t>
      </w:r>
      <w:r w:rsidRPr="00100662">
        <w:rPr>
          <w:rFonts w:ascii="Arial Narrow" w:hAnsi="Arial Narrow"/>
        </w:rPr>
        <w:t xml:space="preserve"> socio-demografick</w:t>
      </w:r>
      <w:r>
        <w:rPr>
          <w:rFonts w:ascii="Arial Narrow" w:hAnsi="Arial Narrow"/>
        </w:rPr>
        <w:t>ých</w:t>
      </w:r>
      <w:r w:rsidRPr="00100662">
        <w:rPr>
          <w:rFonts w:ascii="Arial Narrow" w:hAnsi="Arial Narrow"/>
        </w:rPr>
        <w:t xml:space="preserve"> a socio-ekonomick</w:t>
      </w:r>
      <w:r>
        <w:rPr>
          <w:rFonts w:ascii="Arial Narrow" w:hAnsi="Arial Narrow"/>
        </w:rPr>
        <w:t>ých</w:t>
      </w:r>
      <w:r w:rsidRPr="00100662">
        <w:rPr>
          <w:rFonts w:ascii="Arial Narrow" w:hAnsi="Arial Narrow"/>
        </w:rPr>
        <w:t xml:space="preserve"> dat pro oblast osob s jinou než českou státní příslušností v České republice a Jihomoravském kraji</w:t>
      </w:r>
      <w:r>
        <w:rPr>
          <w:rFonts w:ascii="Arial Narrow" w:hAnsi="Arial Narrow"/>
        </w:rPr>
        <w:t xml:space="preserve">. Tyto údaje jsou součástí projektu </w:t>
      </w:r>
      <w:r>
        <w:rPr>
          <w:rStyle w:val="normaltextrun"/>
          <w:rFonts w:ascii="Arial Narrow" w:hAnsi="Arial Narrow"/>
          <w:color w:val="000000"/>
          <w:shd w:val="clear" w:color="auto" w:fill="FFFFFF"/>
        </w:rPr>
        <w:t xml:space="preserve">„Analýza potřeb klíčových aktérů </w:t>
      </w:r>
      <w:r w:rsidRPr="00D91303">
        <w:rPr>
          <w:rStyle w:val="normaltextrun"/>
          <w:rFonts w:ascii="Arial Narrow" w:hAnsi="Arial Narrow"/>
          <w:color w:val="000000"/>
          <w:shd w:val="clear" w:color="auto" w:fill="FFFFFF"/>
        </w:rPr>
        <w:t>v</w:t>
      </w:r>
      <w:r w:rsidRPr="00D91303">
        <w:rPr>
          <w:rStyle w:val="normaltextrun"/>
          <w:rFonts w:ascii="Arial" w:hAnsi="Arial" w:cs="Arial"/>
          <w:color w:val="000000"/>
          <w:shd w:val="clear" w:color="auto" w:fill="FFFFFF"/>
        </w:rPr>
        <w:t> </w:t>
      </w:r>
      <w:r w:rsidRPr="00D91303">
        <w:rPr>
          <w:rStyle w:val="normaltextrun"/>
          <w:rFonts w:ascii="Arial Narrow" w:hAnsi="Arial Narrow"/>
          <w:color w:val="000000"/>
          <w:shd w:val="clear" w:color="auto" w:fill="FFFFFF"/>
        </w:rPr>
        <w:t>oblasti zam</w:t>
      </w:r>
      <w:r w:rsidRPr="00D91303">
        <w:rPr>
          <w:rStyle w:val="normaltextrun"/>
          <w:rFonts w:ascii="Arial Narrow" w:hAnsi="Arial Narrow" w:cs="Arial Narrow"/>
          <w:color w:val="000000"/>
          <w:shd w:val="clear" w:color="auto" w:fill="FFFFFF"/>
        </w:rPr>
        <w:t>ě</w:t>
      </w:r>
      <w:r w:rsidRPr="00D91303">
        <w:rPr>
          <w:rStyle w:val="normaltextrun"/>
          <w:rFonts w:ascii="Arial Narrow" w:hAnsi="Arial Narrow"/>
          <w:color w:val="000000"/>
          <w:shd w:val="clear" w:color="auto" w:fill="FFFFFF"/>
        </w:rPr>
        <w:t>stn</w:t>
      </w:r>
      <w:r w:rsidRPr="00D91303">
        <w:rPr>
          <w:rStyle w:val="normaltextrun"/>
          <w:rFonts w:ascii="Arial Narrow" w:hAnsi="Arial Narrow" w:cs="Arial Narrow"/>
          <w:color w:val="000000"/>
          <w:shd w:val="clear" w:color="auto" w:fill="FFFFFF"/>
        </w:rPr>
        <w:t>á</w:t>
      </w:r>
      <w:r w:rsidRPr="00D91303">
        <w:rPr>
          <w:rStyle w:val="normaltextrun"/>
          <w:rFonts w:ascii="Arial Narrow" w:hAnsi="Arial Narrow"/>
          <w:color w:val="000000"/>
          <w:shd w:val="clear" w:color="auto" w:fill="FFFFFF"/>
        </w:rPr>
        <w:t>v</w:t>
      </w:r>
      <w:r w:rsidRPr="00D91303">
        <w:rPr>
          <w:rStyle w:val="normaltextrun"/>
          <w:rFonts w:ascii="Arial Narrow" w:hAnsi="Arial Narrow" w:cs="Arial Narrow"/>
          <w:color w:val="000000"/>
          <w:shd w:val="clear" w:color="auto" w:fill="FFFFFF"/>
        </w:rPr>
        <w:t>á</w:t>
      </w:r>
      <w:r w:rsidRPr="00D91303">
        <w:rPr>
          <w:rStyle w:val="normaltextrun"/>
          <w:rFonts w:ascii="Arial Narrow" w:hAnsi="Arial Narrow"/>
          <w:color w:val="000000"/>
          <w:shd w:val="clear" w:color="auto" w:fill="FFFFFF"/>
        </w:rPr>
        <w:t>n</w:t>
      </w:r>
      <w:r w:rsidRPr="00D91303">
        <w:rPr>
          <w:rStyle w:val="normaltextrun"/>
          <w:rFonts w:ascii="Arial Narrow" w:hAnsi="Arial Narrow" w:cs="Arial Narrow"/>
          <w:color w:val="000000"/>
          <w:shd w:val="clear" w:color="auto" w:fill="FFFFFF"/>
        </w:rPr>
        <w:t>í</w:t>
      </w:r>
      <w:r w:rsidRPr="00D91303">
        <w:rPr>
          <w:rStyle w:val="normaltextrun"/>
          <w:rFonts w:ascii="Arial Narrow" w:hAnsi="Arial Narrow"/>
          <w:color w:val="000000"/>
          <w:shd w:val="clear" w:color="auto" w:fill="FFFFFF"/>
        </w:rPr>
        <w:t xml:space="preserve"> cizinc</w:t>
      </w:r>
      <w:r w:rsidRPr="00D91303">
        <w:rPr>
          <w:rStyle w:val="normaltextrun"/>
          <w:rFonts w:ascii="Arial Narrow" w:hAnsi="Arial Narrow" w:cs="Arial Narrow"/>
          <w:color w:val="000000"/>
          <w:shd w:val="clear" w:color="auto" w:fill="FFFFFF"/>
        </w:rPr>
        <w:t>ů</w:t>
      </w:r>
      <w:r w:rsidRPr="00D91303">
        <w:rPr>
          <w:rStyle w:val="normaltextrun"/>
          <w:rFonts w:ascii="Arial Narrow" w:hAnsi="Arial Narrow"/>
          <w:color w:val="000000"/>
          <w:shd w:val="clear" w:color="auto" w:fill="FFFFFF"/>
        </w:rPr>
        <w:t xml:space="preserve"> v JMK“.</w:t>
      </w:r>
    </w:p>
    <w:p w14:paraId="1372D2D7" w14:textId="77777777" w:rsidR="004310EA" w:rsidRPr="00D91303" w:rsidRDefault="004310EA" w:rsidP="004310EA"/>
    <w:p w14:paraId="370F4E62" w14:textId="7FC52480" w:rsidR="004310EA" w:rsidRPr="00F93E90" w:rsidRDefault="004310EA" w:rsidP="004310EA">
      <w:pPr>
        <w:spacing w:after="240" w:line="276" w:lineRule="auto"/>
        <w:jc w:val="both"/>
        <w:rPr>
          <w:rFonts w:ascii="Arial Narrow" w:hAnsi="Arial Narrow" w:cstheme="minorBidi"/>
        </w:rPr>
      </w:pPr>
      <w:r w:rsidRPr="00D91303">
        <w:rPr>
          <w:rFonts w:ascii="Arial Narrow" w:hAnsi="Arial Narrow"/>
        </w:rPr>
        <w:t xml:space="preserve">Jak vyplývá z analýzy sekundárních dat, k 31. 12. 2022 žilo v České republice celkem 1 116 154 osob s jinou než českou státní příslušností, které tvořily přibližně 1/10 (10,6 %) všech obyvatel České republiky. Mezi lety 2004 a 2022 se podíl osob s jinou než českou státní příslušností na celkovém počtu obyvatel České republiky zvýšil o 8,1 %. Podobně jako podíl osob s jinou než českou státní příslušností na celkovém počtu obyvatel narůstá také </w:t>
      </w:r>
      <w:r w:rsidRPr="00D91303">
        <w:rPr>
          <w:rFonts w:ascii="Arial Narrow" w:hAnsi="Arial Narrow"/>
          <w:bCs/>
        </w:rPr>
        <w:t xml:space="preserve">tempo meziročního </w:t>
      </w:r>
      <w:r w:rsidRPr="00D91303">
        <w:rPr>
          <w:rFonts w:ascii="Arial Narrow" w:hAnsi="Arial Narrow" w:cs="Segoe UI"/>
          <w:shd w:val="clear" w:color="auto" w:fill="FFFFFF"/>
        </w:rPr>
        <w:t xml:space="preserve">nárůstu počtu osob s jinou než českou státní příslušností v České republice. </w:t>
      </w:r>
      <w:r w:rsidRPr="00D91303">
        <w:rPr>
          <w:rFonts w:ascii="Arial Narrow" w:hAnsi="Arial Narrow"/>
        </w:rPr>
        <w:t xml:space="preserve">Zatímco v roce 2015 se jednalo o meziroční nárůst 3,5 %, od roku 2016 se jedná v průměru o 6,24 %. Ke skokovému nárůstu došlo v roce 2022, kdy z 6,3 % podílu osob s jinou než českou státní příslušností došlo k nárůstu o 4,3 % na </w:t>
      </w:r>
      <w:r w:rsidR="00D91303" w:rsidRPr="00D91303">
        <w:rPr>
          <w:rFonts w:ascii="Arial Narrow" w:hAnsi="Arial Narrow"/>
        </w:rPr>
        <w:br/>
      </w:r>
      <w:r w:rsidRPr="00D91303">
        <w:rPr>
          <w:rFonts w:ascii="Arial Narrow" w:hAnsi="Arial Narrow"/>
        </w:rPr>
        <w:t>10,6 %. Meziročně se tedy počet osob s jinou než českou státní příslušností na území ČR zvýšil o 41 %.</w:t>
      </w:r>
      <w:r>
        <w:rPr>
          <w:rFonts w:ascii="Arial Narrow" w:hAnsi="Arial Narrow"/>
        </w:rPr>
        <w:t xml:space="preserve"> </w:t>
      </w:r>
    </w:p>
    <w:p w14:paraId="613EDBFE" w14:textId="65CA3F9B" w:rsidR="004310EA" w:rsidRPr="00173E7B" w:rsidRDefault="7B597429" w:rsidP="004310EA">
      <w:pPr>
        <w:spacing w:after="240" w:line="276" w:lineRule="auto"/>
        <w:jc w:val="both"/>
        <w:rPr>
          <w:rFonts w:ascii="Arial Narrow" w:hAnsi="Arial Narrow"/>
          <w:b/>
          <w:bCs/>
        </w:rPr>
      </w:pPr>
      <w:r w:rsidRPr="00173E7B">
        <w:rPr>
          <w:rFonts w:ascii="Arial Narrow" w:hAnsi="Arial Narrow"/>
        </w:rPr>
        <w:t>Mezi osobami s jinou než českou státní příslušností žijícími v České republice dlouhodobě převládají občané třetích zemí nad občany ze zemí EU. Do roku 2022 také převládali muži nad ženami</w:t>
      </w:r>
      <w:r w:rsidR="000C30FD" w:rsidRPr="00173E7B">
        <w:rPr>
          <w:rFonts w:ascii="Arial Narrow" w:hAnsi="Arial Narrow"/>
        </w:rPr>
        <w:t>.</w:t>
      </w:r>
      <w:r w:rsidR="004310EA" w:rsidRPr="00173E7B">
        <w:rPr>
          <w:rStyle w:val="Znakapoznpodarou"/>
          <w:rFonts w:ascii="Arial Narrow" w:hAnsi="Arial Narrow"/>
        </w:rPr>
        <w:footnoteReference w:id="18"/>
      </w:r>
      <w:r w:rsidRPr="00173E7B">
        <w:rPr>
          <w:rFonts w:ascii="Arial Narrow" w:hAnsi="Arial Narrow"/>
        </w:rPr>
        <w:t xml:space="preserve"> </w:t>
      </w:r>
      <w:r w:rsidR="000C30FD" w:rsidRPr="00173E7B">
        <w:rPr>
          <w:rFonts w:ascii="Arial Narrow" w:hAnsi="Arial Narrow"/>
        </w:rPr>
        <w:t xml:space="preserve">Vlivem migrační vlny v důsledku ruské agrese na Ukrajině je nyní podíl žen srovnatelný s podílem mužů. V části krajů podíl žen ve skupině osob s jinou než českou státní příslušností dokonce převýšil podíl mužů. </w:t>
      </w:r>
      <w:r w:rsidRPr="00173E7B">
        <w:rPr>
          <w:rFonts w:ascii="Arial Narrow" w:hAnsi="Arial Narrow"/>
        </w:rPr>
        <w:t xml:space="preserve">Nejvíce osob s jinou než českou státní příslušností v České republice žije na území hlavního města Prahy a Středočeského kraje </w:t>
      </w:r>
      <w:r w:rsidR="000C30FD" w:rsidRPr="00173E7B">
        <w:rPr>
          <w:rFonts w:ascii="Arial Narrow" w:hAnsi="Arial Narrow"/>
        </w:rPr>
        <w:t>–</w:t>
      </w:r>
      <w:r w:rsidRPr="00173E7B">
        <w:rPr>
          <w:rFonts w:ascii="Arial Narrow" w:hAnsi="Arial Narrow"/>
        </w:rPr>
        <w:t xml:space="preserve"> ke konci roku 2022 byla v této oblasti koncentrována více než třetina všech osob s jinou než českou státní příslušností v České republice (31 %). Na území Jihomoravského kraje k tomuto datu žilo celkem 111 130 </w:t>
      </w:r>
      <w:r w:rsidR="28C4862E" w:rsidRPr="00173E7B">
        <w:rPr>
          <w:rFonts w:ascii="Arial Narrow" w:hAnsi="Arial Narrow"/>
        </w:rPr>
        <w:t xml:space="preserve">osob </w:t>
      </w:r>
      <w:r w:rsidRPr="00173E7B">
        <w:rPr>
          <w:rFonts w:ascii="Arial Narrow" w:hAnsi="Arial Narrow"/>
        </w:rPr>
        <w:t xml:space="preserve">s jinou než českou státní příslušností. Každá desátá osoba s jinou než českou státní příslušností tedy pobývala na území JMK. </w:t>
      </w:r>
      <w:r w:rsidRPr="00173E7B">
        <w:rPr>
          <w:rFonts w:ascii="Arial Narrow" w:hAnsi="Arial Narrow"/>
          <w:noProof/>
        </w:rPr>
        <w:t xml:space="preserve">Mezi </w:t>
      </w:r>
      <w:r w:rsidRPr="00173E7B">
        <w:rPr>
          <w:rFonts w:ascii="Arial Narrow" w:hAnsi="Arial Narrow"/>
        </w:rPr>
        <w:t>osobami s jinou než českou státní příslušností</w:t>
      </w:r>
      <w:r w:rsidRPr="00173E7B">
        <w:rPr>
          <w:rFonts w:ascii="Arial Narrow" w:hAnsi="Arial Narrow"/>
          <w:noProof/>
        </w:rPr>
        <w:t xml:space="preserve"> v Jihomoravském kraji, podobně jako v rámci celé České republiky, dlouhodobě převažují občané třetích zemí</w:t>
      </w:r>
      <w:r w:rsidRPr="00173E7B">
        <w:rPr>
          <w:rFonts w:ascii="Arial Narrow" w:hAnsi="Arial Narrow"/>
        </w:rPr>
        <w:t xml:space="preserve">. Také v rámci Jihomoravského kraje dochází, podobně jako v případě České republiky, ke skokovému meziročnímu nárůstu podílu osob s jinou než českou státní příslušností na celkovém počtu obyvatel kraje. Zatímco v roce 2006 tvořily osoby s jinou než českou státní příslušností zhruba 2,5 % všech obyvatel Jihomoravského kraje, v roce 2020 to bylo již 4,9 %. Skokový nárust </w:t>
      </w:r>
      <w:r w:rsidR="28C4862E" w:rsidRPr="00173E7B">
        <w:rPr>
          <w:rFonts w:ascii="Arial Narrow" w:hAnsi="Arial Narrow"/>
        </w:rPr>
        <w:t xml:space="preserve">v roce </w:t>
      </w:r>
      <w:r w:rsidRPr="00173E7B">
        <w:rPr>
          <w:rFonts w:ascii="Arial Narrow" w:hAnsi="Arial Narrow"/>
        </w:rPr>
        <w:t>2022 představoval růst podílu osob s jinou než českou státní příslušností vůč</w:t>
      </w:r>
      <w:r w:rsidR="28C4862E" w:rsidRPr="00173E7B">
        <w:rPr>
          <w:rFonts w:ascii="Arial Narrow" w:hAnsi="Arial Narrow"/>
        </w:rPr>
        <w:t>i</w:t>
      </w:r>
      <w:r w:rsidRPr="00173E7B">
        <w:rPr>
          <w:rFonts w:ascii="Arial Narrow" w:hAnsi="Arial Narrow"/>
        </w:rPr>
        <w:t xml:space="preserve"> obyvatelům JMK z</w:t>
      </w:r>
      <w:r w:rsidR="28C4862E" w:rsidRPr="00173E7B">
        <w:rPr>
          <w:rFonts w:ascii="Arial Narrow" w:hAnsi="Arial Narrow"/>
        </w:rPr>
        <w:t xml:space="preserve"> </w:t>
      </w:r>
      <w:r w:rsidR="00D91303" w:rsidRPr="00173E7B">
        <w:rPr>
          <w:rFonts w:ascii="Arial Narrow" w:hAnsi="Arial Narrow"/>
        </w:rPr>
        <w:br/>
      </w:r>
      <w:r w:rsidRPr="00173E7B">
        <w:rPr>
          <w:rFonts w:ascii="Arial Narrow" w:hAnsi="Arial Narrow"/>
        </w:rPr>
        <w:t xml:space="preserve">5,3 % (2021) na 9,4 % (2022). </w:t>
      </w:r>
      <w:r w:rsidRPr="00173E7B">
        <w:rPr>
          <w:rFonts w:ascii="Arial Narrow" w:hAnsi="Arial Narrow"/>
          <w:b/>
          <w:bCs/>
        </w:rPr>
        <w:t xml:space="preserve">Počet cizinců v JMK se za rok 2022 téměř zdvojnásobnil. </w:t>
      </w:r>
    </w:p>
    <w:p w14:paraId="438A89AC" w14:textId="54D33C9E" w:rsidR="004310EA" w:rsidRPr="00173E7B" w:rsidRDefault="004310EA" w:rsidP="7CC7BF57">
      <w:pPr>
        <w:spacing w:before="240" w:after="240" w:line="276" w:lineRule="auto"/>
        <w:jc w:val="both"/>
        <w:rPr>
          <w:rFonts w:ascii="Arial Narrow" w:hAnsi="Arial Narrow"/>
        </w:rPr>
      </w:pPr>
      <w:r w:rsidRPr="00173E7B">
        <w:rPr>
          <w:rFonts w:ascii="Arial Narrow" w:hAnsi="Arial Narrow"/>
        </w:rPr>
        <w:t>Podíváme-li se na nejčastější země původu dle kategorie země původu, z hlediska osob pocházejících ze zemí EU dominovali občané Slovenska, kteří k 31. 12. 2022 tvořili 53,7 % všech osob pocházejících ze zemí EU žijících na území České republiky. Druhou nejpočetnější skupin</w:t>
      </w:r>
      <w:r w:rsidR="00D91303" w:rsidRPr="00173E7B">
        <w:rPr>
          <w:rFonts w:ascii="Arial Narrow" w:hAnsi="Arial Narrow"/>
        </w:rPr>
        <w:t>u</w:t>
      </w:r>
      <w:r w:rsidRPr="00173E7B">
        <w:rPr>
          <w:rFonts w:ascii="Arial Narrow" w:hAnsi="Arial Narrow"/>
        </w:rPr>
        <w:t xml:space="preserve"> </w:t>
      </w:r>
      <w:r w:rsidR="00D91303" w:rsidRPr="00173E7B">
        <w:rPr>
          <w:rFonts w:ascii="Arial Narrow" w:hAnsi="Arial Narrow"/>
        </w:rPr>
        <w:t>osob</w:t>
      </w:r>
      <w:r w:rsidRPr="00173E7B">
        <w:rPr>
          <w:rFonts w:ascii="Arial Narrow" w:hAnsi="Arial Narrow"/>
        </w:rPr>
        <w:t xml:space="preserve"> ze zemí EU tvořili občané </w:t>
      </w:r>
      <w:r w:rsidR="00CF5826" w:rsidRPr="00173E7B">
        <w:rPr>
          <w:rFonts w:ascii="Arial Narrow" w:hAnsi="Arial Narrow"/>
        </w:rPr>
        <w:t>Polska</w:t>
      </w:r>
      <w:r w:rsidRPr="00173E7B">
        <w:rPr>
          <w:rFonts w:ascii="Arial Narrow" w:hAnsi="Arial Narrow"/>
        </w:rPr>
        <w:t xml:space="preserve"> (</w:t>
      </w:r>
      <w:r w:rsidR="00CF5826" w:rsidRPr="00173E7B">
        <w:rPr>
          <w:rFonts w:ascii="Arial Narrow" w:hAnsi="Arial Narrow"/>
        </w:rPr>
        <w:t>8</w:t>
      </w:r>
      <w:r w:rsidRPr="00173E7B">
        <w:rPr>
          <w:rFonts w:ascii="Arial Narrow" w:hAnsi="Arial Narrow"/>
        </w:rPr>
        <w:t>,</w:t>
      </w:r>
      <w:r w:rsidR="00CF5826" w:rsidRPr="00173E7B">
        <w:rPr>
          <w:rFonts w:ascii="Arial Narrow" w:hAnsi="Arial Narrow"/>
        </w:rPr>
        <w:t>1</w:t>
      </w:r>
      <w:r w:rsidRPr="00173E7B">
        <w:rPr>
          <w:rFonts w:ascii="Arial Narrow" w:hAnsi="Arial Narrow"/>
        </w:rPr>
        <w:t xml:space="preserve"> %) a </w:t>
      </w:r>
      <w:r w:rsidR="00CF5826" w:rsidRPr="00173E7B">
        <w:rPr>
          <w:rFonts w:ascii="Arial Narrow" w:hAnsi="Arial Narrow"/>
        </w:rPr>
        <w:t xml:space="preserve">třetí </w:t>
      </w:r>
      <w:r w:rsidRPr="00173E7B">
        <w:rPr>
          <w:rFonts w:ascii="Arial Narrow" w:hAnsi="Arial Narrow"/>
        </w:rPr>
        <w:t xml:space="preserve">občané </w:t>
      </w:r>
      <w:r w:rsidR="00CF5826" w:rsidRPr="00173E7B">
        <w:rPr>
          <w:rFonts w:ascii="Arial Narrow" w:hAnsi="Arial Narrow"/>
        </w:rPr>
        <w:t>Německa</w:t>
      </w:r>
      <w:r w:rsidRPr="00173E7B">
        <w:rPr>
          <w:rFonts w:ascii="Arial Narrow" w:hAnsi="Arial Narrow"/>
        </w:rPr>
        <w:t xml:space="preserve"> (</w:t>
      </w:r>
      <w:r w:rsidR="00CF5826" w:rsidRPr="00173E7B">
        <w:rPr>
          <w:rFonts w:ascii="Arial Narrow" w:hAnsi="Arial Narrow"/>
        </w:rPr>
        <w:t>6</w:t>
      </w:r>
      <w:r w:rsidRPr="00173E7B">
        <w:rPr>
          <w:rFonts w:ascii="Arial Narrow" w:hAnsi="Arial Narrow"/>
        </w:rPr>
        <w:t>,</w:t>
      </w:r>
      <w:r w:rsidR="00CF5826" w:rsidRPr="00173E7B">
        <w:rPr>
          <w:rFonts w:ascii="Arial Narrow" w:hAnsi="Arial Narrow"/>
        </w:rPr>
        <w:t>4</w:t>
      </w:r>
      <w:r w:rsidRPr="00173E7B">
        <w:rPr>
          <w:rFonts w:ascii="Arial Narrow" w:hAnsi="Arial Narrow"/>
        </w:rPr>
        <w:t xml:space="preserve"> %). Téměř 100 % osob (96,4 %) s jinou než českou státní příslušností pocházejících ze zemí EU, kte</w:t>
      </w:r>
      <w:r w:rsidR="00D91303" w:rsidRPr="00173E7B">
        <w:rPr>
          <w:rFonts w:ascii="Arial Narrow" w:hAnsi="Arial Narrow"/>
        </w:rPr>
        <w:t>ré</w:t>
      </w:r>
      <w:r w:rsidRPr="00173E7B">
        <w:rPr>
          <w:rFonts w:ascii="Arial Narrow" w:hAnsi="Arial Narrow"/>
        </w:rPr>
        <w:t xml:space="preserve"> k 31. 12. 2022 </w:t>
      </w:r>
      <w:r w:rsidR="00D91303" w:rsidRPr="00173E7B">
        <w:rPr>
          <w:rFonts w:ascii="Arial Narrow" w:hAnsi="Arial Narrow"/>
        </w:rPr>
        <w:t>pobývaly</w:t>
      </w:r>
      <w:r w:rsidRPr="00173E7B">
        <w:rPr>
          <w:rFonts w:ascii="Arial Narrow" w:hAnsi="Arial Narrow"/>
        </w:rPr>
        <w:t xml:space="preserve"> na území České republiky, tvořili občané 10 zemí – Slovenska, Německa, Polska, Rumunska, Bulharska, Velké Británie</w:t>
      </w:r>
      <w:r w:rsidRPr="00173E7B">
        <w:rPr>
          <w:rStyle w:val="Znakapoznpodarou"/>
          <w:rFonts w:ascii="Arial Narrow" w:hAnsi="Arial Narrow"/>
        </w:rPr>
        <w:footnoteReference w:id="19"/>
      </w:r>
      <w:r w:rsidRPr="00173E7B">
        <w:rPr>
          <w:rFonts w:ascii="Arial Narrow" w:hAnsi="Arial Narrow"/>
        </w:rPr>
        <w:t xml:space="preserve">, Maďarska, Itálie, Francie a Rakouska. </w:t>
      </w:r>
    </w:p>
    <w:p w14:paraId="34D062A1" w14:textId="595ABED6" w:rsidR="004310EA" w:rsidRPr="00173E7B" w:rsidRDefault="004310EA" w:rsidP="7CC7BF57">
      <w:pPr>
        <w:spacing w:before="240" w:after="240" w:line="276" w:lineRule="auto"/>
        <w:jc w:val="both"/>
        <w:rPr>
          <w:rFonts w:ascii="Arial Narrow" w:hAnsi="Arial Narrow"/>
        </w:rPr>
      </w:pPr>
      <w:r w:rsidRPr="00173E7B">
        <w:rPr>
          <w:rFonts w:ascii="Arial Narrow" w:hAnsi="Arial Narrow"/>
        </w:rPr>
        <w:t>Z hlediska osob pocházejících ze třetích zemí dominovali občané Ukrajiny, kteří k 31. 12. 2022 tvořili 57,5 % (nárůst podílu</w:t>
      </w:r>
      <w:r w:rsidR="33117F23" w:rsidRPr="00173E7B">
        <w:rPr>
          <w:rFonts w:ascii="Arial Narrow" w:hAnsi="Arial Narrow"/>
        </w:rPr>
        <w:t xml:space="preserve"> během roku 2022</w:t>
      </w:r>
      <w:r w:rsidRPr="00173E7B">
        <w:rPr>
          <w:rFonts w:ascii="Arial Narrow" w:hAnsi="Arial Narrow"/>
        </w:rPr>
        <w:t xml:space="preserve"> o 15,1 %) všech osob pocházejících ze třetích zemí žijících na území České republiky. </w:t>
      </w:r>
      <w:bookmarkStart w:id="294" w:name="_Hlk128483683"/>
      <w:r w:rsidRPr="00173E7B">
        <w:rPr>
          <w:rFonts w:ascii="Arial Narrow" w:hAnsi="Arial Narrow"/>
        </w:rPr>
        <w:t>Druhou a třetí nejpočetnější skupin</w:t>
      </w:r>
      <w:r w:rsidR="0005257E" w:rsidRPr="00173E7B">
        <w:rPr>
          <w:rFonts w:ascii="Arial Narrow" w:hAnsi="Arial Narrow"/>
        </w:rPr>
        <w:t>o</w:t>
      </w:r>
      <w:r w:rsidRPr="00173E7B">
        <w:rPr>
          <w:rFonts w:ascii="Arial Narrow" w:hAnsi="Arial Narrow"/>
        </w:rPr>
        <w:t xml:space="preserve">u občanů ze třetích zemí tvořili občané Vietnamu (7,5 %) a občané Ruska (4,9 </w:t>
      </w:r>
      <w:r w:rsidRPr="00173E7B">
        <w:rPr>
          <w:rFonts w:ascii="Arial Narrow" w:hAnsi="Arial Narrow"/>
        </w:rPr>
        <w:lastRenderedPageBreak/>
        <w:t xml:space="preserve">%). </w:t>
      </w:r>
      <w:r w:rsidR="0005257E" w:rsidRPr="00173E7B">
        <w:rPr>
          <w:rFonts w:ascii="Arial Narrow" w:hAnsi="Arial Narrow"/>
        </w:rPr>
        <w:t xml:space="preserve">Celkem </w:t>
      </w:r>
      <w:r w:rsidRPr="00173E7B">
        <w:rPr>
          <w:rFonts w:ascii="Arial Narrow" w:hAnsi="Arial Narrow"/>
        </w:rPr>
        <w:t xml:space="preserve">90,9 % osob s jinou než českou státní příslušností pocházejících ze třetích zemí, </w:t>
      </w:r>
      <w:r w:rsidR="0005257E" w:rsidRPr="00173E7B">
        <w:rPr>
          <w:rFonts w:ascii="Arial Narrow" w:hAnsi="Arial Narrow"/>
        </w:rPr>
        <w:t>které</w:t>
      </w:r>
      <w:r w:rsidRPr="00173E7B">
        <w:rPr>
          <w:rFonts w:ascii="Arial Narrow" w:hAnsi="Arial Narrow"/>
        </w:rPr>
        <w:t xml:space="preserve"> k 31. 12. 2020 </w:t>
      </w:r>
      <w:r w:rsidR="0005257E" w:rsidRPr="00173E7B">
        <w:rPr>
          <w:rFonts w:ascii="Arial Narrow" w:hAnsi="Arial Narrow"/>
        </w:rPr>
        <w:t>pobývaly</w:t>
      </w:r>
      <w:r w:rsidRPr="00173E7B">
        <w:rPr>
          <w:rFonts w:ascii="Arial Narrow" w:hAnsi="Arial Narrow"/>
        </w:rPr>
        <w:t xml:space="preserve"> na území České republiky, tvořili občané 10 zemí – Ukrajiny, Vietnamu, Ruska, Mongolska, USA, Číny, Srbska, Běloruska, Moldavska a Kazachstánu</w:t>
      </w:r>
      <w:bookmarkEnd w:id="294"/>
      <w:r w:rsidRPr="00173E7B">
        <w:rPr>
          <w:rFonts w:ascii="Arial Narrow" w:hAnsi="Arial Narrow"/>
        </w:rPr>
        <w:t>.</w:t>
      </w:r>
    </w:p>
    <w:p w14:paraId="3964777B" w14:textId="77777777" w:rsidR="004310EA" w:rsidRPr="00173E7B" w:rsidRDefault="004310EA" w:rsidP="004310EA">
      <w:pPr>
        <w:spacing w:after="240" w:line="276" w:lineRule="auto"/>
        <w:jc w:val="both"/>
        <w:rPr>
          <w:rFonts w:ascii="Arial Narrow" w:hAnsi="Arial Narrow"/>
        </w:rPr>
      </w:pPr>
      <w:r w:rsidRPr="00173E7B">
        <w:rPr>
          <w:rFonts w:ascii="Arial Narrow" w:hAnsi="Arial Narrow"/>
        </w:rPr>
        <w:t xml:space="preserve">V České republice dlouhodobě mezi osobami s jinou než českou státní příslušností převažují občané Ukrajiny, Slovenska a Vietnamu. V posledních 10 letech zaujímají občané těchto tří států průměrně 57 % všech osob s jinou než českou státní příslušností pobývajících na území České republiky. To se změnilo v roce 2022, kdy nadpoloviční podíl všech osob s jinou než českou státní příslušností tvořili pouze občané Ukrajiny (57,5 %). Situace je obdobná také v rámci Jihomoravského kraje, kde k 31. 12. 2022 občané Ukrajiny tvořili 56,3 % všech osob s jinou než českou státní příslušností. </w:t>
      </w:r>
    </w:p>
    <w:p w14:paraId="5E487DFA" w14:textId="3F04DA65" w:rsidR="004310EA" w:rsidRPr="00173E7B" w:rsidRDefault="7B597429" w:rsidP="004310EA">
      <w:pPr>
        <w:spacing w:after="240" w:line="276" w:lineRule="auto"/>
        <w:jc w:val="both"/>
        <w:rPr>
          <w:rFonts w:ascii="Arial Narrow" w:hAnsi="Arial Narrow"/>
        </w:rPr>
      </w:pPr>
      <w:r w:rsidRPr="00173E7B">
        <w:rPr>
          <w:rFonts w:ascii="Arial Narrow" w:hAnsi="Arial Narrow"/>
        </w:rPr>
        <w:t>Další početně významně zastoupenou skupinu tvoří občané Slovenska, a to jak v případě celé České republiky, kdy občané Slovenska k tomuto datu tvořili 10,5 % všech osob s jinou než českou státní příslušností, tak Jihomoravského kraje, kde se jednalo o 14,1 %.</w:t>
      </w:r>
      <w:r w:rsidR="11A52E96" w:rsidRPr="00173E7B">
        <w:rPr>
          <w:rFonts w:ascii="Arial Narrow" w:hAnsi="Arial Narrow"/>
        </w:rPr>
        <w:t xml:space="preserve"> </w:t>
      </w:r>
      <w:r w:rsidRPr="00173E7B">
        <w:rPr>
          <w:rFonts w:ascii="Arial Narrow" w:hAnsi="Arial Narrow"/>
        </w:rPr>
        <w:t xml:space="preserve">Podíl občanů Slovenska žijících v Jihomoravském kraji je dlouhodobě vyšší než podíl občanů Slovenska na celkovém počtu osob s jinou než českou státní příslušností žijících na území celé České republiky, což je mimo jiné dáno i geografickou blízkostí Jihomoravského kraje a Slovenska. Zatímco v případě Jihomoravského kraje podíl občanů Slovenska od roku 2015 do roku 2020 zůstával poměrně stabilní, v rámci celorepublikového průměru dlouhodobě mírně klesá. </w:t>
      </w:r>
      <w:r w:rsidR="000C30FD" w:rsidRPr="00173E7B">
        <w:rPr>
          <w:rFonts w:ascii="Arial Narrow" w:hAnsi="Arial Narrow"/>
        </w:rPr>
        <w:t>V letech 2021 a zvláště v roce 2022 můžeme pozorovat, že podíl Slovenských občanů vůči ostatním cizincům klesá i v Jihomoravském kraji, přestože celkový počet občanů Slovenska v JMK i ČR meziročně roste. Vysvětlení lze spatřovat v dlouhodobém nárůstu počtu osob jiných státních příslušností, především osob s ukrajinskou státní příslušností.</w:t>
      </w:r>
    </w:p>
    <w:p w14:paraId="1E15C6ED" w14:textId="0C84354D" w:rsidR="004310EA" w:rsidRPr="00173E7B" w:rsidRDefault="004310EA" w:rsidP="004310EA">
      <w:pPr>
        <w:spacing w:after="240" w:line="276" w:lineRule="auto"/>
        <w:jc w:val="both"/>
        <w:rPr>
          <w:rFonts w:ascii="Arial Narrow" w:hAnsi="Arial Narrow"/>
          <w:bCs/>
        </w:rPr>
      </w:pPr>
      <w:r w:rsidRPr="00173E7B">
        <w:rPr>
          <w:rFonts w:ascii="Arial Narrow" w:hAnsi="Arial Narrow"/>
          <w:bCs/>
        </w:rPr>
        <w:t xml:space="preserve">Počet občanů Ukrajiny žijících na území České republiky mezi lety 2021 a 2022 stoupl o více </w:t>
      </w:r>
      <w:r w:rsidR="0005257E" w:rsidRPr="00173E7B">
        <w:rPr>
          <w:rFonts w:ascii="Arial Narrow" w:hAnsi="Arial Narrow"/>
          <w:bCs/>
        </w:rPr>
        <w:t>než</w:t>
      </w:r>
      <w:r w:rsidRPr="00173E7B">
        <w:rPr>
          <w:rFonts w:ascii="Arial Narrow" w:hAnsi="Arial Narrow"/>
          <w:bCs/>
        </w:rPr>
        <w:t xml:space="preserve"> </w:t>
      </w:r>
      <w:r w:rsidR="00F53948" w:rsidRPr="00173E7B">
        <w:rPr>
          <w:rFonts w:ascii="Arial Narrow" w:hAnsi="Arial Narrow"/>
          <w:bCs/>
        </w:rPr>
        <w:t>trojnásobně</w:t>
      </w:r>
      <w:r w:rsidRPr="00173E7B">
        <w:rPr>
          <w:rFonts w:ascii="Arial Narrow" w:hAnsi="Arial Narrow"/>
          <w:bCs/>
        </w:rPr>
        <w:t xml:space="preserve"> (</w:t>
      </w:r>
      <w:r w:rsidR="00F53948" w:rsidRPr="00173E7B">
        <w:rPr>
          <w:rFonts w:ascii="Arial Narrow" w:hAnsi="Arial Narrow"/>
          <w:bCs/>
        </w:rPr>
        <w:t>meziročně o 223,58 %</w:t>
      </w:r>
      <w:r w:rsidRPr="00173E7B">
        <w:rPr>
          <w:rFonts w:ascii="Arial Narrow" w:hAnsi="Arial Narrow"/>
          <w:bCs/>
        </w:rPr>
        <w:t xml:space="preserve">), to vedlo k výrazné proměně poměru národností osob s jinou než českou státní příslušností. Občané Ukrajiny tvořili k 31. 12. 2022 více než polovinu všech osob s jinou než českou státní příslušností žijících v Jihomoravském kraji. </w:t>
      </w:r>
    </w:p>
    <w:p w14:paraId="08613700" w14:textId="007BC8BB" w:rsidR="00F53948" w:rsidRPr="00173E7B" w:rsidRDefault="00F53948" w:rsidP="7CC7BF57">
      <w:pPr>
        <w:spacing w:after="120" w:line="276" w:lineRule="auto"/>
        <w:jc w:val="both"/>
        <w:rPr>
          <w:rFonts w:ascii="Arial Narrow" w:hAnsi="Arial Narrow"/>
          <w:bCs/>
        </w:rPr>
      </w:pPr>
      <w:r w:rsidRPr="00173E7B">
        <w:rPr>
          <w:rFonts w:ascii="Arial Narrow" w:hAnsi="Arial Narrow"/>
          <w:bCs/>
        </w:rPr>
        <w:t>V případně občanů Vietnamu lze pozorovat dlouhodobý pokles jejich podílů na celkovém počtu osob s jinou než českou státní příslušností, a to jak z hlediska celé České republiky, tak v rámci Jihomoravského kraje. Pokles podílu počtu obyvatel Vietnamu lze vysvětlit dlouhodobě stabilním počtem těchto osob a naproti tomu růstem celkového počtu občanů jiných států v ČR i JMK.</w:t>
      </w:r>
    </w:p>
    <w:p w14:paraId="0FBB4E37" w14:textId="621DAB71" w:rsidR="004310EA" w:rsidRPr="00173E7B" w:rsidRDefault="004310EA" w:rsidP="7CC7BF57">
      <w:pPr>
        <w:spacing w:after="120" w:line="276" w:lineRule="auto"/>
        <w:jc w:val="both"/>
        <w:rPr>
          <w:rFonts w:ascii="Arial Narrow" w:hAnsi="Arial Narrow"/>
        </w:rPr>
      </w:pPr>
      <w:r w:rsidRPr="00173E7B">
        <w:rPr>
          <w:rFonts w:ascii="Arial Narrow" w:hAnsi="Arial Narrow"/>
        </w:rPr>
        <w:t xml:space="preserve">Občané Ruska představují čtvrtou nejčastější skupinu mezi osobami s jinou než českou státní příslušností v České republice i Jihomoravském kraji. Z hlediska celé České republiky se podíl počtu občanů Ruska mezi lety 2010 a 2020 pohyboval stabilně v rozmezí 6,6 – 7,5 %. V Jihomoravském kraji podíl občanů Ruska meziročně narůstal až do roku 2021. Zatímco v roce 2010 tvořili občané Ruska 2,8 % všech osob s jinou než českou státní příslušností v Jihomoravském kraji, v roce 2021 to bylo již 5,7 %. V roce 2022 došlo k výraznému propadu podílu občanů Ruské </w:t>
      </w:r>
      <w:r w:rsidR="00C12AF4" w:rsidRPr="00173E7B">
        <w:rPr>
          <w:rFonts w:ascii="Arial Narrow" w:hAnsi="Arial Narrow"/>
        </w:rPr>
        <w:t>federace,</w:t>
      </w:r>
      <w:r w:rsidRPr="00173E7B">
        <w:rPr>
          <w:rFonts w:ascii="Arial Narrow" w:hAnsi="Arial Narrow"/>
        </w:rPr>
        <w:t xml:space="preserve"> a to jak na úrovni ČR (3,3 %), tak v JMK (5,7 %).</w:t>
      </w:r>
      <w:r w:rsidR="00F53948" w:rsidRPr="00173E7B">
        <w:rPr>
          <w:rFonts w:ascii="Arial Narrow" w:hAnsi="Arial Narrow"/>
        </w:rPr>
        <w:t xml:space="preserve"> K poklesu počtu občanů Ruské federace došlo poprvé od roku 2005. Pokles počtu může být způsobený emigrací do jiných států nebo návratem do země původu, případně získáním českého občanství.</w:t>
      </w:r>
    </w:p>
    <w:p w14:paraId="1FB457CB" w14:textId="03CBA532" w:rsidR="004310EA" w:rsidRPr="00173E7B" w:rsidRDefault="004310EA" w:rsidP="004310EA">
      <w:pPr>
        <w:spacing w:after="160" w:line="276" w:lineRule="auto"/>
        <w:jc w:val="both"/>
        <w:rPr>
          <w:rFonts w:ascii="Arial Narrow" w:hAnsi="Arial Narrow"/>
          <w:bCs/>
        </w:rPr>
      </w:pPr>
      <w:r w:rsidRPr="00173E7B">
        <w:rPr>
          <w:rFonts w:ascii="Arial Narrow" w:hAnsi="Arial Narrow"/>
          <w:bCs/>
        </w:rPr>
        <w:t>Podobně jako v případě celé České republiky, i v Jihomoravském kraji přestali mezi osobami s jinou než českou státní příslušností z hlediska pohlaví převažovat muži nad ženami. V roce 2022 došlo v důsledku příchodu většího množství žen z Ukrajiny k převrácení zmíněného poměru. V současnosti se v</w:t>
      </w:r>
      <w:r w:rsidR="00C12AF4" w:rsidRPr="00173E7B">
        <w:rPr>
          <w:rFonts w:ascii="Arial Narrow" w:hAnsi="Arial Narrow"/>
          <w:bCs/>
        </w:rPr>
        <w:t> Jihomoravském kraji</w:t>
      </w:r>
      <w:r w:rsidRPr="00173E7B">
        <w:rPr>
          <w:rFonts w:ascii="Arial Narrow" w:hAnsi="Arial Narrow"/>
          <w:bCs/>
        </w:rPr>
        <w:t xml:space="preserve"> nachází 51 % žen, což znamená meziroční vzestup o 8,1 %.</w:t>
      </w:r>
    </w:p>
    <w:p w14:paraId="6498C8FB" w14:textId="353BC73F" w:rsidR="004310EA" w:rsidRPr="00173E7B" w:rsidRDefault="004310EA" w:rsidP="004310EA">
      <w:pPr>
        <w:spacing w:after="120" w:line="276" w:lineRule="auto"/>
        <w:jc w:val="both"/>
        <w:rPr>
          <w:rFonts w:ascii="Arial Narrow" w:hAnsi="Arial Narrow"/>
          <w:bCs/>
        </w:rPr>
      </w:pPr>
      <w:r w:rsidRPr="00173E7B">
        <w:rPr>
          <w:rFonts w:ascii="Arial Narrow" w:hAnsi="Arial Narrow"/>
          <w:bCs/>
        </w:rPr>
        <w:t>Podíváme-li se na strukturu osob s jinou než českou státní příslušností žijící</w:t>
      </w:r>
      <w:r w:rsidR="00C12AF4" w:rsidRPr="00173E7B">
        <w:rPr>
          <w:rFonts w:ascii="Arial Narrow" w:hAnsi="Arial Narrow"/>
          <w:bCs/>
        </w:rPr>
        <w:t xml:space="preserve">ch </w:t>
      </w:r>
      <w:r w:rsidRPr="00173E7B">
        <w:rPr>
          <w:rFonts w:ascii="Arial Narrow" w:hAnsi="Arial Narrow"/>
          <w:bCs/>
        </w:rPr>
        <w:t xml:space="preserve">na území České republiky z hlediska kategorie pobytu, základní dělení představují kategorie trvalý a přechodný pobyt. U občanů Slovenska, Polska a </w:t>
      </w:r>
      <w:r w:rsidRPr="00173E7B">
        <w:rPr>
          <w:rFonts w:ascii="Arial Narrow" w:hAnsi="Arial Narrow"/>
          <w:bCs/>
        </w:rPr>
        <w:lastRenderedPageBreak/>
        <w:t>Vietnamu převyšuje výrazným způsobem status trvalého pobytu nad pobytem přechodným. U osob ze zemí EU/EHP obecně převažuje, s výjimkou občanů Slovenska a Polska, status přechodného pobytu, což souvisí s volným pohybem osob, jednou ze základních svobod zaručenou občanům Evropské unie na základě unijního práva.</w:t>
      </w:r>
      <w:r w:rsidRPr="00173E7B">
        <w:rPr>
          <w:rStyle w:val="Znakapoznpodarou"/>
          <w:rFonts w:ascii="Arial Narrow" w:hAnsi="Arial Narrow"/>
          <w:bCs/>
        </w:rPr>
        <w:footnoteReference w:id="20"/>
      </w:r>
    </w:p>
    <w:p w14:paraId="58F345B7" w14:textId="375B82D1" w:rsidR="00C12AF4" w:rsidRPr="00C12AF4" w:rsidRDefault="00C12AF4" w:rsidP="7CC7BF57">
      <w:pPr>
        <w:spacing w:after="120" w:line="276" w:lineRule="auto"/>
        <w:jc w:val="both"/>
        <w:rPr>
          <w:rFonts w:ascii="Arial Narrow" w:hAnsi="Arial Narrow"/>
        </w:rPr>
      </w:pPr>
      <w:r w:rsidRPr="00173E7B">
        <w:rPr>
          <w:rFonts w:ascii="Arial Narrow" w:hAnsi="Arial Narrow"/>
        </w:rPr>
        <w:t xml:space="preserve">V roce 2022 bylo evidováno 1 689 žádostí o mezinárodní ochranu. Ve srovnání s rokem 2021 se jedná o nárůst o 20 %. Nejčastěji žádaly o mezinárodní ochranu osoby z Ukrajiny, Turecka a Ruské federace. Z toho byl azyl nebo doplňková ochrana uděleny celkem 481 lidem. </w:t>
      </w:r>
      <w:r w:rsidR="00CF5826" w:rsidRPr="00173E7B">
        <w:rPr>
          <w:rFonts w:ascii="Arial Narrow" w:hAnsi="Arial Narrow"/>
        </w:rPr>
        <w:t xml:space="preserve">Za výrazným nárůstem počtu cizinců na území ČR stojí příchod většího počtu občanů Ukrajiny v důsledku vypuknutí válečného konfliktu, kterým byla ve většině případů udělena dočasná ochrana. </w:t>
      </w:r>
      <w:r w:rsidRPr="00173E7B">
        <w:rPr>
          <w:rFonts w:ascii="Arial Narrow" w:hAnsi="Arial Narrow"/>
        </w:rPr>
        <w:t>Od 24. 2. 2022 do 31. 12. 2022 bylo v České republice vydáno celkem 473 216 dočasných ochran. Česká republika měla v roce 2022 největší počet vydaných dočasných ochran v rámci EU v přepočtu na obyvatele.</w:t>
      </w:r>
      <w:r w:rsidRPr="7CC7BF57">
        <w:rPr>
          <w:rFonts w:ascii="Arial Narrow" w:hAnsi="Arial Narrow"/>
        </w:rPr>
        <w:t xml:space="preserve"> </w:t>
      </w:r>
    </w:p>
    <w:p w14:paraId="07C65E24" w14:textId="4F29B85D" w:rsidR="00C12AF4" w:rsidRPr="00C12AF4" w:rsidRDefault="00C12AF4" w:rsidP="00C12AF4">
      <w:pPr>
        <w:spacing w:after="120" w:line="276" w:lineRule="auto"/>
        <w:jc w:val="both"/>
        <w:rPr>
          <w:rFonts w:ascii="Arial Narrow" w:hAnsi="Arial Narrow"/>
          <w:bCs/>
        </w:rPr>
      </w:pPr>
      <w:r w:rsidRPr="00C12AF4">
        <w:rPr>
          <w:rFonts w:ascii="Arial Narrow" w:hAnsi="Arial Narrow"/>
          <w:bCs/>
        </w:rPr>
        <w:t xml:space="preserve">Dle dat Ministerstva vnitra ČR byl počet osob s uděleným pobytovým oprávněním v souvislosti s válkou na Ukrajině ke dni 1. 1. 2023 v Jihomoravském kraji celkem 44 371 osob. Největší počet těchto osob byl evidován v obcích Brno-město, Znojmo, Břeclav, Blansko, Kuřim, Vyškov, Modřice, Pohořelice, Bzenec a Hodonín. Součet dat nicméně nemusí přesně odpovídat, například kvůli odchylkám způsobeným špatně vyplněnou žádostí nebo kvůli iniciativám jednotlivců, kteří </w:t>
      </w:r>
      <w:r w:rsidR="007A5B21">
        <w:rPr>
          <w:rFonts w:ascii="Arial Narrow" w:hAnsi="Arial Narrow"/>
          <w:bCs/>
        </w:rPr>
        <w:t>osobám z Ukrajiny</w:t>
      </w:r>
      <w:r w:rsidRPr="00C12AF4">
        <w:rPr>
          <w:rFonts w:ascii="Arial Narrow" w:hAnsi="Arial Narrow"/>
          <w:bCs/>
        </w:rPr>
        <w:t xml:space="preserve"> pomáhají po vlastní ose.</w:t>
      </w:r>
    </w:p>
    <w:p w14:paraId="51578949" w14:textId="0AB4BB15" w:rsidR="00C12AF4" w:rsidRPr="00F93E90" w:rsidRDefault="00C12AF4" w:rsidP="00C12AF4">
      <w:pPr>
        <w:spacing w:after="120" w:line="276" w:lineRule="auto"/>
        <w:jc w:val="both"/>
        <w:rPr>
          <w:rFonts w:ascii="Arial Narrow" w:hAnsi="Arial Narrow"/>
          <w:bCs/>
        </w:rPr>
      </w:pPr>
      <w:r w:rsidRPr="00C12AF4">
        <w:rPr>
          <w:rFonts w:ascii="Arial Narrow" w:hAnsi="Arial Narrow"/>
          <w:bCs/>
        </w:rPr>
        <w:t xml:space="preserve">Většina všech evidovaných </w:t>
      </w:r>
      <w:r w:rsidR="007A5B21">
        <w:rPr>
          <w:rFonts w:ascii="Arial Narrow" w:hAnsi="Arial Narrow"/>
          <w:bCs/>
        </w:rPr>
        <w:t>osob z Ukrajiny</w:t>
      </w:r>
      <w:r w:rsidRPr="00C12AF4">
        <w:rPr>
          <w:rFonts w:ascii="Arial Narrow" w:hAnsi="Arial Narrow"/>
          <w:bCs/>
        </w:rPr>
        <w:t>, kterým bylo k 1. 1. 2023 uděleno pobytové oprávnění v souvislosti s válkou, byly ženy. Celkem se jednalo o 16 245 mužů a 28 126 žen. Zejména se jednalo o ženy ve věku 18–65 let (20 279 osob), mužů v této kategorii bylo celkem 8 848. Početnou kategorii tvořily rovněž děti od sedmi do patnácti let (3 775 mužů a 3 770 žen).</w:t>
      </w:r>
    </w:p>
    <w:p w14:paraId="6B23C1A7" w14:textId="77777777" w:rsidR="00C12AF4" w:rsidRDefault="004310EA" w:rsidP="004310EA">
      <w:pPr>
        <w:spacing w:after="120" w:line="276" w:lineRule="auto"/>
        <w:jc w:val="both"/>
        <w:rPr>
          <w:rFonts w:ascii="Arial Narrow" w:eastAsia="Calibri" w:hAnsi="Arial Narrow"/>
          <w:bCs/>
        </w:rPr>
      </w:pPr>
      <w:r w:rsidRPr="00F93E90">
        <w:rPr>
          <w:rFonts w:ascii="Arial Narrow" w:eastAsia="Calibri" w:hAnsi="Arial Narrow"/>
          <w:bCs/>
        </w:rPr>
        <w:t xml:space="preserve">Věková struktura </w:t>
      </w:r>
      <w:r w:rsidRPr="00F93E90">
        <w:rPr>
          <w:rFonts w:ascii="Arial Narrow" w:hAnsi="Arial Narrow"/>
          <w:bCs/>
        </w:rPr>
        <w:t>osob s jinou než českou státní příslušností</w:t>
      </w:r>
      <w:r w:rsidRPr="00F93E90">
        <w:rPr>
          <w:rFonts w:ascii="Arial Narrow" w:eastAsia="Calibri" w:hAnsi="Arial Narrow"/>
          <w:bCs/>
        </w:rPr>
        <w:t xml:space="preserve"> v České republice </w:t>
      </w:r>
      <w:r>
        <w:rPr>
          <w:rFonts w:ascii="Arial Narrow" w:eastAsia="Calibri" w:hAnsi="Arial Narrow"/>
          <w:bCs/>
        </w:rPr>
        <w:t>byla do roku 2021</w:t>
      </w:r>
      <w:r w:rsidRPr="00F93E90">
        <w:rPr>
          <w:rFonts w:ascii="Arial Narrow" w:eastAsia="Calibri" w:hAnsi="Arial Narrow"/>
          <w:bCs/>
        </w:rPr>
        <w:t xml:space="preserve"> meziročně stabilní. Více než 8 z 10 </w:t>
      </w:r>
      <w:r w:rsidRPr="00F93E90">
        <w:rPr>
          <w:rFonts w:ascii="Arial Narrow" w:hAnsi="Arial Narrow"/>
          <w:bCs/>
        </w:rPr>
        <w:t>osob s jinou než českou státní příslušností</w:t>
      </w:r>
      <w:r w:rsidRPr="00F93E90">
        <w:rPr>
          <w:rFonts w:ascii="Arial Narrow" w:eastAsia="Calibri" w:hAnsi="Arial Narrow"/>
          <w:bCs/>
        </w:rPr>
        <w:t xml:space="preserve"> (84,0 % v roce 2020) na území České republiky </w:t>
      </w:r>
      <w:r w:rsidR="00C12AF4">
        <w:rPr>
          <w:rFonts w:ascii="Arial Narrow" w:eastAsia="Calibri" w:hAnsi="Arial Narrow"/>
          <w:bCs/>
        </w:rPr>
        <w:t>byla</w:t>
      </w:r>
      <w:r w:rsidRPr="00F93E90">
        <w:rPr>
          <w:rFonts w:ascii="Arial Narrow" w:eastAsia="Calibri" w:hAnsi="Arial Narrow"/>
          <w:bCs/>
        </w:rPr>
        <w:t xml:space="preserve"> v produktivním věku, tj. ve věku 15-64 let.</w:t>
      </w:r>
      <w:r>
        <w:rPr>
          <w:rFonts w:ascii="Arial Narrow" w:eastAsia="Calibri" w:hAnsi="Arial Narrow"/>
          <w:bCs/>
        </w:rPr>
        <w:t xml:space="preserve"> </w:t>
      </w:r>
      <w:r w:rsidRPr="00F93E90">
        <w:rPr>
          <w:rFonts w:ascii="Arial Narrow" w:eastAsia="Calibri" w:hAnsi="Arial Narrow"/>
          <w:bCs/>
        </w:rPr>
        <w:t xml:space="preserve">Podobně podíl počtu dětí na celkovém počtu </w:t>
      </w:r>
      <w:r w:rsidRPr="00F93E90">
        <w:rPr>
          <w:rFonts w:ascii="Arial Narrow" w:hAnsi="Arial Narrow"/>
          <w:bCs/>
        </w:rPr>
        <w:t>osob s jinou než českou státní příslušností</w:t>
      </w:r>
      <w:r w:rsidRPr="00F93E90">
        <w:rPr>
          <w:rFonts w:ascii="Arial Narrow" w:eastAsia="Calibri" w:hAnsi="Arial Narrow"/>
          <w:bCs/>
        </w:rPr>
        <w:t xml:space="preserve"> se dlouhodobě </w:t>
      </w:r>
      <w:r>
        <w:rPr>
          <w:rFonts w:ascii="Arial Narrow" w:eastAsia="Calibri" w:hAnsi="Arial Narrow"/>
          <w:bCs/>
        </w:rPr>
        <w:t>pohyboval</w:t>
      </w:r>
      <w:r w:rsidRPr="00F93E90">
        <w:rPr>
          <w:rFonts w:ascii="Arial Narrow" w:eastAsia="Calibri" w:hAnsi="Arial Narrow"/>
          <w:bCs/>
        </w:rPr>
        <w:t xml:space="preserve"> v průměru 9,</w:t>
      </w:r>
      <w:r>
        <w:rPr>
          <w:rFonts w:ascii="Arial Narrow" w:eastAsia="Calibri" w:hAnsi="Arial Narrow"/>
          <w:bCs/>
        </w:rPr>
        <w:t>82</w:t>
      </w:r>
      <w:r w:rsidRPr="00F93E90">
        <w:rPr>
          <w:rFonts w:ascii="Arial Narrow" w:eastAsia="Calibri" w:hAnsi="Arial Narrow"/>
          <w:bCs/>
        </w:rPr>
        <w:t xml:space="preserve"> %</w:t>
      </w:r>
      <w:r>
        <w:rPr>
          <w:rFonts w:ascii="Arial Narrow" w:eastAsia="Calibri" w:hAnsi="Arial Narrow"/>
          <w:bCs/>
        </w:rPr>
        <w:t xml:space="preserve"> (data do roku 2021 včetně)</w:t>
      </w:r>
      <w:r w:rsidRPr="00F93E90">
        <w:rPr>
          <w:rFonts w:ascii="Arial Narrow" w:eastAsia="Calibri" w:hAnsi="Arial Narrow"/>
          <w:bCs/>
        </w:rPr>
        <w:t xml:space="preserve">. </w:t>
      </w:r>
    </w:p>
    <w:p w14:paraId="7CF15516" w14:textId="04A26EB7" w:rsidR="004310EA" w:rsidRPr="00F93E90" w:rsidRDefault="004310EA" w:rsidP="004310EA">
      <w:pPr>
        <w:spacing w:after="120" w:line="276" w:lineRule="auto"/>
        <w:jc w:val="both"/>
        <w:rPr>
          <w:rFonts w:ascii="Arial Narrow" w:hAnsi="Arial Narrow"/>
        </w:rPr>
      </w:pPr>
      <w:r w:rsidRPr="00F93E90">
        <w:rPr>
          <w:rFonts w:ascii="Arial Narrow" w:hAnsi="Arial Narrow"/>
          <w:bCs/>
          <w:noProof/>
        </w:rPr>
        <w:t>Podíváme-li se na dostupná data týkající se věkové struktury osob s jinou než českou státní příslušností na území Jihomoravského kraje, oproti celorepublikovému průměru žije na území Jihomoravského kraje dlouhodobě vyšší podíl osob v produktivním věku, který se však meziročně snižuje. Zatímco v roce 2005 bylo 90,7 % všech osob s </w:t>
      </w:r>
      <w:r w:rsidRPr="00C12AF4">
        <w:rPr>
          <w:rFonts w:ascii="Arial Narrow" w:hAnsi="Arial Narrow"/>
          <w:bCs/>
          <w:noProof/>
        </w:rPr>
        <w:t>jinou než českou státní příslušností žijících na území Jihomoravského kraje v produktivním věku, v roce 2021 to bylo 87,3 %.</w:t>
      </w:r>
      <w:r w:rsidRPr="00C12AF4">
        <w:rPr>
          <w:rFonts w:ascii="Arial Narrow" w:hAnsi="Arial Narrow"/>
        </w:rPr>
        <w:t xml:space="preserve"> </w:t>
      </w:r>
    </w:p>
    <w:p w14:paraId="515A1EA8" w14:textId="773709E1" w:rsidR="004310EA" w:rsidRDefault="7B597429" w:rsidP="004310EA">
      <w:pPr>
        <w:spacing w:after="120" w:line="276" w:lineRule="auto"/>
        <w:jc w:val="both"/>
        <w:rPr>
          <w:rFonts w:ascii="Arial Narrow" w:hAnsi="Arial Narrow"/>
        </w:rPr>
      </w:pPr>
      <w:r w:rsidRPr="00F93E90">
        <w:rPr>
          <w:rFonts w:ascii="Arial Narrow" w:hAnsi="Arial Narrow"/>
        </w:rPr>
        <w:t>V rámci pěti okresů Jihomoravského kraje</w:t>
      </w:r>
      <w:r w:rsidR="004310EA" w:rsidRPr="00F93E90">
        <w:rPr>
          <w:rStyle w:val="Znakapoznpodarou"/>
          <w:rFonts w:ascii="Arial Narrow" w:hAnsi="Arial Narrow"/>
        </w:rPr>
        <w:footnoteReference w:id="21"/>
      </w:r>
      <w:r w:rsidRPr="00F93E90">
        <w:rPr>
          <w:rFonts w:ascii="Arial Narrow" w:hAnsi="Arial Narrow"/>
        </w:rPr>
        <w:t xml:space="preserve"> z celkových sedmi byl k 31. 12. 2020 zaznamenán průměrný věk nižší než 40 let. Okres Brno-město byl zároveň vyhodnocen jako okres s nejnižším průměrným věkem (34,8</w:t>
      </w:r>
      <w:r w:rsidR="00CF5826">
        <w:rPr>
          <w:rFonts w:ascii="Arial Narrow" w:hAnsi="Arial Narrow"/>
        </w:rPr>
        <w:t xml:space="preserve"> let</w:t>
      </w:r>
      <w:r w:rsidRPr="00F93E90">
        <w:rPr>
          <w:rFonts w:ascii="Arial Narrow" w:hAnsi="Arial Narrow"/>
        </w:rPr>
        <w:t xml:space="preserve">) osob s jinou než českou státní příslušností v rámci srovnání se všemi okresy České republiky. Vyšší průměrný věk </w:t>
      </w:r>
      <w:r w:rsidR="00C12AF4">
        <w:rPr>
          <w:rFonts w:ascii="Arial Narrow" w:hAnsi="Arial Narrow"/>
        </w:rPr>
        <w:br/>
      </w:r>
      <w:r w:rsidRPr="00F93E90">
        <w:rPr>
          <w:rFonts w:ascii="Arial Narrow" w:hAnsi="Arial Narrow"/>
        </w:rPr>
        <w:t>(</w:t>
      </w:r>
      <w:r w:rsidR="48937C61" w:rsidRPr="00F93E90">
        <w:rPr>
          <w:rFonts w:ascii="Arial Narrow" w:hAnsi="Arial Narrow"/>
        </w:rPr>
        <w:t>40–42</w:t>
      </w:r>
      <w:r w:rsidRPr="00F93E90">
        <w:rPr>
          <w:rFonts w:ascii="Arial Narrow" w:hAnsi="Arial Narrow"/>
        </w:rPr>
        <w:t xml:space="preserve"> let) byl zaznamenán pouze v příhraničních okresech Znojmo a Hodonín. </w:t>
      </w:r>
    </w:p>
    <w:p w14:paraId="0DD54CEA" w14:textId="1A463C52" w:rsidR="00C12AF4" w:rsidRPr="00F93E90" w:rsidRDefault="00C12AF4" w:rsidP="004310EA">
      <w:pPr>
        <w:spacing w:after="120" w:line="276" w:lineRule="auto"/>
        <w:jc w:val="both"/>
        <w:rPr>
          <w:rFonts w:ascii="Arial Narrow" w:hAnsi="Arial Narrow"/>
        </w:rPr>
      </w:pPr>
      <w:r w:rsidRPr="00C12AF4">
        <w:rPr>
          <w:rFonts w:ascii="Arial Narrow" w:hAnsi="Arial Narrow"/>
        </w:rPr>
        <w:t xml:space="preserve">Lze předpokládat, že v důsledku změn ve struktuře osob s jinou než českou státní příslušností v roce 2022 a vzhledem ke zvýšené migraci osob prchajících před válkou na Ukrajině mohlo dojít k proměně věkové struktury </w:t>
      </w:r>
      <w:r w:rsidRPr="00C12AF4">
        <w:rPr>
          <w:rFonts w:ascii="Arial Narrow" w:hAnsi="Arial Narrow"/>
        </w:rPr>
        <w:lastRenderedPageBreak/>
        <w:t>osob s jinou než českou státní příslušností jak v ČR, tak na území JMK. V době odevzdání aktualizované závěrečné zprávy nebyla data za rok 2022 dostupná.</w:t>
      </w:r>
      <w:r>
        <w:rPr>
          <w:rFonts w:ascii="Arial Narrow" w:hAnsi="Arial Narrow"/>
        </w:rPr>
        <w:t xml:space="preserve"> </w:t>
      </w:r>
    </w:p>
    <w:p w14:paraId="09570201" w14:textId="2C4FB3F7" w:rsidR="004310EA" w:rsidRPr="00173E7B" w:rsidRDefault="004310EA" w:rsidP="004310EA">
      <w:pPr>
        <w:spacing w:after="120" w:line="276" w:lineRule="auto"/>
        <w:jc w:val="both"/>
        <w:rPr>
          <w:rFonts w:ascii="Arial Narrow" w:hAnsi="Arial Narrow"/>
          <w:bCs/>
          <w:noProof/>
        </w:rPr>
      </w:pPr>
      <w:r w:rsidRPr="00F93E90">
        <w:rPr>
          <w:rFonts w:ascii="Arial Narrow" w:hAnsi="Arial Narrow"/>
          <w:bCs/>
          <w:noProof/>
        </w:rPr>
        <w:t>Rychlost nárůstu podílu dětí a osob v seniorském věku s jinou než českou státní příslušností v Jihomoravském kraji</w:t>
      </w:r>
      <w:r>
        <w:rPr>
          <w:rFonts w:ascii="Arial Narrow" w:hAnsi="Arial Narrow"/>
          <w:bCs/>
          <w:noProof/>
        </w:rPr>
        <w:t xml:space="preserve"> do roku 2021 včetně</w:t>
      </w:r>
      <w:r w:rsidRPr="00F93E90">
        <w:rPr>
          <w:rFonts w:ascii="Arial Narrow" w:hAnsi="Arial Narrow"/>
          <w:bCs/>
          <w:noProof/>
        </w:rPr>
        <w:t xml:space="preserve"> je srovnatelná s nárůstem podílu těchto skupin z hlediska celorepublikového průměru, tedy přibližně 1,5 % mezi lety 2005 a 202</w:t>
      </w:r>
      <w:r>
        <w:rPr>
          <w:rFonts w:ascii="Arial Narrow" w:hAnsi="Arial Narrow"/>
          <w:bCs/>
          <w:noProof/>
        </w:rPr>
        <w:t>1</w:t>
      </w:r>
      <w:r w:rsidRPr="00F93E90">
        <w:rPr>
          <w:rFonts w:ascii="Arial Narrow" w:hAnsi="Arial Narrow"/>
          <w:bCs/>
          <w:noProof/>
        </w:rPr>
        <w:t xml:space="preserve"> v případě dětí ve věku 0-14 let a 2,9 % v případě osob v seniorském věku, tj. 65 let a více. </w:t>
      </w:r>
      <w:r w:rsidRPr="00C34A3A">
        <w:rPr>
          <w:rFonts w:ascii="Arial Narrow" w:hAnsi="Arial Narrow"/>
          <w:bCs/>
          <w:noProof/>
        </w:rPr>
        <w:t>V důsledku absence dat s dostatečnou podrobností a vhodnými ukazatel</w:t>
      </w:r>
      <w:r w:rsidR="00C34A3A" w:rsidRPr="00C34A3A">
        <w:rPr>
          <w:rFonts w:ascii="Arial Narrow" w:hAnsi="Arial Narrow"/>
          <w:bCs/>
          <w:noProof/>
        </w:rPr>
        <w:t>i</w:t>
      </w:r>
      <w:r w:rsidRPr="00C34A3A">
        <w:rPr>
          <w:rFonts w:ascii="Arial Narrow" w:hAnsi="Arial Narrow"/>
          <w:bCs/>
          <w:noProof/>
        </w:rPr>
        <w:t xml:space="preserve"> nebylo možné v době </w:t>
      </w:r>
      <w:r w:rsidR="00C34A3A" w:rsidRPr="00C34A3A">
        <w:rPr>
          <w:rFonts w:ascii="Arial Narrow" w:hAnsi="Arial Narrow"/>
          <w:bCs/>
          <w:noProof/>
        </w:rPr>
        <w:t>odevzdání aktualizované závěrečné zprávy</w:t>
      </w:r>
      <w:r w:rsidRPr="00C34A3A">
        <w:rPr>
          <w:rFonts w:ascii="Arial Narrow" w:hAnsi="Arial Narrow"/>
          <w:bCs/>
          <w:noProof/>
        </w:rPr>
        <w:t xml:space="preserve"> analyzovat proměnu věkových struktur v roce 2022. Lze </w:t>
      </w:r>
      <w:r w:rsidR="00C34A3A" w:rsidRPr="00C34A3A">
        <w:rPr>
          <w:rFonts w:ascii="Arial Narrow" w:hAnsi="Arial Narrow"/>
          <w:bCs/>
          <w:noProof/>
        </w:rPr>
        <w:t>však</w:t>
      </w:r>
      <w:r w:rsidRPr="00C34A3A">
        <w:rPr>
          <w:rFonts w:ascii="Arial Narrow" w:hAnsi="Arial Narrow"/>
          <w:bCs/>
          <w:noProof/>
        </w:rPr>
        <w:t xml:space="preserve"> předpokládat, že v důsledku války na Ukrajniě a tím vzniklé zvýšené migraci specifických skupin osob došlo i </w:t>
      </w:r>
      <w:r w:rsidRPr="00173E7B">
        <w:rPr>
          <w:rFonts w:ascii="Arial Narrow" w:hAnsi="Arial Narrow"/>
          <w:bCs/>
          <w:noProof/>
        </w:rPr>
        <w:t>k proměně sledované věkové struktury.</w:t>
      </w:r>
    </w:p>
    <w:p w14:paraId="13C2289B" w14:textId="5FFB418E" w:rsidR="00F53948" w:rsidRPr="00173E7B" w:rsidRDefault="00F53948" w:rsidP="00F53948">
      <w:pPr>
        <w:spacing w:before="240" w:line="276" w:lineRule="auto"/>
        <w:jc w:val="both"/>
        <w:rPr>
          <w:rFonts w:ascii="Arial Narrow" w:hAnsi="Arial Narrow"/>
          <w:bCs/>
        </w:rPr>
      </w:pPr>
      <w:r w:rsidRPr="00173E7B">
        <w:rPr>
          <w:rFonts w:ascii="Arial Narrow" w:hAnsi="Arial Narrow"/>
          <w:bCs/>
        </w:rPr>
        <w:t xml:space="preserve">Ve školním roce 2022/2023 navštěvovalo mateřské školy v České republice celkem 369 205 dětí, z toho 19 567 s jinou než českou státní příslušností. </w:t>
      </w:r>
      <w:r w:rsidRPr="00173E7B">
        <w:rPr>
          <w:rFonts w:ascii="Arial Narrow" w:hAnsi="Arial Narrow"/>
          <w:b/>
        </w:rPr>
        <w:t>Meziročně tak došlo k nárůstu počtu dětí s jiným než českým občanstvím o zhruba 62 %.</w:t>
      </w:r>
      <w:r w:rsidRPr="00173E7B">
        <w:rPr>
          <w:rFonts w:ascii="Arial Narrow" w:hAnsi="Arial Narrow"/>
          <w:bCs/>
        </w:rPr>
        <w:t xml:space="preserve"> Převážnou část dětí s jiným než českým státním občanstvím v</w:t>
      </w:r>
      <w:r w:rsidR="00E4379D" w:rsidRPr="00173E7B">
        <w:rPr>
          <w:rFonts w:ascii="Arial Narrow" w:hAnsi="Arial Narrow"/>
          <w:bCs/>
        </w:rPr>
        <w:t> mateřských školách</w:t>
      </w:r>
      <w:r w:rsidRPr="00173E7B">
        <w:rPr>
          <w:rFonts w:ascii="Arial Narrow" w:hAnsi="Arial Narrow"/>
          <w:bCs/>
        </w:rPr>
        <w:t xml:space="preserve"> tvoří děti s občanstvím třetích zemí (celkem 81,4 %). V Jihomoravském kraji je ve školním roce 2022/2023 celkem 42 422 dětí v</w:t>
      </w:r>
      <w:r w:rsidR="00E4379D" w:rsidRPr="00173E7B">
        <w:rPr>
          <w:rFonts w:ascii="Arial Narrow" w:hAnsi="Arial Narrow"/>
          <w:bCs/>
        </w:rPr>
        <w:t> mateřských školách</w:t>
      </w:r>
      <w:r w:rsidRPr="00173E7B">
        <w:rPr>
          <w:rFonts w:ascii="Arial Narrow" w:hAnsi="Arial Narrow"/>
          <w:bCs/>
        </w:rPr>
        <w:t xml:space="preserve">, z toho 1 518 dětí s jinou než českou státní příslušností. </w:t>
      </w:r>
      <w:r w:rsidRPr="00173E7B">
        <w:rPr>
          <w:rFonts w:ascii="Arial Narrow" w:hAnsi="Arial Narrow"/>
          <w:b/>
        </w:rPr>
        <w:t>Oproti předchozímu školnímu roku 2021/2022 se jedná o zhruba 56% nárůst</w:t>
      </w:r>
      <w:r w:rsidR="00E4379D" w:rsidRPr="00173E7B">
        <w:rPr>
          <w:rFonts w:ascii="Arial Narrow" w:hAnsi="Arial Narrow"/>
          <w:bCs/>
        </w:rPr>
        <w:t>.</w:t>
      </w:r>
      <w:r w:rsidRPr="00173E7B">
        <w:rPr>
          <w:rFonts w:ascii="Arial Narrow" w:hAnsi="Arial Narrow"/>
          <w:bCs/>
        </w:rPr>
        <w:t xml:space="preserve"> Nejvíce dětí v</w:t>
      </w:r>
      <w:r w:rsidR="00E4379D" w:rsidRPr="00173E7B">
        <w:rPr>
          <w:rFonts w:ascii="Arial Narrow" w:hAnsi="Arial Narrow"/>
          <w:bCs/>
        </w:rPr>
        <w:t> mateřských školách</w:t>
      </w:r>
      <w:r w:rsidRPr="00173E7B">
        <w:rPr>
          <w:rFonts w:ascii="Arial Narrow" w:hAnsi="Arial Narrow"/>
          <w:bCs/>
        </w:rPr>
        <w:t xml:space="preserve"> (75,3 %) mělo státní příslušnost třetích zemí. Celkový nárůst počtu dětí s jinou než českou státní příslušností je tvořen především dětmi ze třetích zemí, jejichž počet se meziročně zvýšil o 95,3 %. Podíl dětí s jinou než českou státní příslušností na celkovém počtu dětí v</w:t>
      </w:r>
      <w:r w:rsidR="00E4379D" w:rsidRPr="00173E7B">
        <w:rPr>
          <w:rFonts w:ascii="Arial Narrow" w:hAnsi="Arial Narrow"/>
          <w:bCs/>
        </w:rPr>
        <w:t> mateřských školách</w:t>
      </w:r>
      <w:r w:rsidRPr="00173E7B">
        <w:rPr>
          <w:rFonts w:ascii="Arial Narrow" w:hAnsi="Arial Narrow"/>
          <w:bCs/>
        </w:rPr>
        <w:t xml:space="preserve"> se mezi lety 2005 až 2021 více než zdvojnásobil. Zatímco ve školním roce 2005/2006 tvořily tyto osoby 0,8 % všech dětí v</w:t>
      </w:r>
      <w:r w:rsidR="00E4379D" w:rsidRPr="00173E7B">
        <w:rPr>
          <w:rFonts w:ascii="Arial Narrow" w:hAnsi="Arial Narrow"/>
          <w:bCs/>
        </w:rPr>
        <w:t> mateřských školách</w:t>
      </w:r>
      <w:r w:rsidRPr="00173E7B">
        <w:rPr>
          <w:rFonts w:ascii="Arial Narrow" w:hAnsi="Arial Narrow"/>
          <w:bCs/>
        </w:rPr>
        <w:t xml:space="preserve"> v Jihomoravském kraji, ve školním roce 2021/2022 to bylo 2,3 %. Jihomoravský kraj tak měl v celorepublikovém srovnání zhruba o 1 % nižší podíl dětí s jinou než českou státní příslušností v předškolním vzdělávání. Období pandemie covid-19 znamenalo stejně jako na úrovni celé ČR zastavení nárůstu. V roce 2022 pak došlo vlivem konfliktu na Ukrajině ke skokovému nárůstu. Podíl dětí s jinou než českou státní příslušností v</w:t>
      </w:r>
      <w:r w:rsidR="00E4379D" w:rsidRPr="00173E7B">
        <w:rPr>
          <w:rFonts w:ascii="Arial Narrow" w:hAnsi="Arial Narrow"/>
          <w:bCs/>
        </w:rPr>
        <w:t> mateřských školách</w:t>
      </w:r>
      <w:r w:rsidRPr="00173E7B">
        <w:rPr>
          <w:rFonts w:ascii="Arial Narrow" w:hAnsi="Arial Narrow"/>
          <w:bCs/>
        </w:rPr>
        <w:t xml:space="preserve"> v JMK se z 2,3 % zvýšil na 3,6 %. Na úrovni ČR pak došlo ke zvýšení z 3,4 % na 5,3 %.</w:t>
      </w:r>
    </w:p>
    <w:p w14:paraId="50BB17B6" w14:textId="282833FB" w:rsidR="00F93E90" w:rsidRPr="00173E7B" w:rsidRDefault="00F53948" w:rsidP="00F53948">
      <w:pPr>
        <w:spacing w:before="240" w:after="240" w:line="276" w:lineRule="auto"/>
        <w:jc w:val="both"/>
        <w:rPr>
          <w:rFonts w:ascii="Arial Narrow" w:hAnsi="Arial Narrow"/>
          <w:bCs/>
        </w:rPr>
      </w:pPr>
      <w:r w:rsidRPr="00173E7B">
        <w:rPr>
          <w:rFonts w:ascii="Arial Narrow" w:hAnsi="Arial Narrow"/>
          <w:bCs/>
        </w:rPr>
        <w:t xml:space="preserve">Ve školním roce 2022/2021 navštěvovalo základní školy v České republice celkem 1 007 778 žáků, z toho 72 748 dětí s jinou než českou státní příslušností. </w:t>
      </w:r>
      <w:r w:rsidRPr="00173E7B">
        <w:rPr>
          <w:rFonts w:ascii="Arial Narrow" w:hAnsi="Arial Narrow"/>
          <w:b/>
        </w:rPr>
        <w:t>Meziročně tak došlo k nárůstu počtu žáků s jiným než českým občanstvím o zhruba 138 %.</w:t>
      </w:r>
      <w:r w:rsidRPr="00173E7B">
        <w:rPr>
          <w:rFonts w:ascii="Arial Narrow" w:hAnsi="Arial Narrow"/>
          <w:bCs/>
        </w:rPr>
        <w:t xml:space="preserve"> Zatím co v</w:t>
      </w:r>
      <w:r w:rsidR="00E4379D" w:rsidRPr="00173E7B">
        <w:rPr>
          <w:rFonts w:ascii="Arial Narrow" w:hAnsi="Arial Narrow"/>
          <w:bCs/>
        </w:rPr>
        <w:t>e školním</w:t>
      </w:r>
      <w:r w:rsidRPr="00173E7B">
        <w:rPr>
          <w:rFonts w:ascii="Arial Narrow" w:hAnsi="Arial Narrow"/>
          <w:bCs/>
        </w:rPr>
        <w:t xml:space="preserve"> roce 2021/2022 bylo na základních školách 30 543 žáku s jinou než českou státní příslušností v</w:t>
      </w:r>
      <w:r w:rsidR="00E4379D" w:rsidRPr="00173E7B">
        <w:rPr>
          <w:rFonts w:ascii="Arial Narrow" w:hAnsi="Arial Narrow"/>
          <w:bCs/>
        </w:rPr>
        <w:t>e školním</w:t>
      </w:r>
      <w:r w:rsidRPr="00173E7B">
        <w:rPr>
          <w:rFonts w:ascii="Arial Narrow" w:hAnsi="Arial Narrow"/>
          <w:bCs/>
        </w:rPr>
        <w:t xml:space="preserve"> roce 2022/2023 to bylo již 72 748. Z dat vyplývá, že tento nárůst je způsoben příchodem občanů Ukrajiny v důsledku ruské agrese na Ukrajině. Současně je patrné, že právě základní vzdělávání zaznamenalo nejvyšší nárůst počtu osob s jinou než českou státní příslušností. Převážnou část žáků s jiným než českým státním občanstvím v </w:t>
      </w:r>
      <w:r w:rsidR="00E4379D" w:rsidRPr="00173E7B">
        <w:rPr>
          <w:rFonts w:ascii="Arial Narrow" w:hAnsi="Arial Narrow"/>
          <w:bCs/>
        </w:rPr>
        <w:t>základním</w:t>
      </w:r>
      <w:r w:rsidRPr="00173E7B">
        <w:rPr>
          <w:rFonts w:ascii="Arial Narrow" w:hAnsi="Arial Narrow"/>
          <w:bCs/>
        </w:rPr>
        <w:t xml:space="preserve"> vzdělávání nyní tvoří děti s občanstvím třetích zemí (celkem 87,6 %). Ve školním roce 2022/2023 navštěvovalo základní školy v Jihomoravském kraji celkem 112 842 žáků, z toho 6 414 žáků s jinou než českou státní příslušnost. </w:t>
      </w:r>
      <w:r w:rsidRPr="00173E7B">
        <w:rPr>
          <w:rFonts w:ascii="Arial Narrow" w:hAnsi="Arial Narrow"/>
          <w:b/>
        </w:rPr>
        <w:t xml:space="preserve">Oproti předchozímu školnímu roku 2021/2022 se jedná o zhruba 166% nárůst </w:t>
      </w:r>
      <w:r w:rsidRPr="00173E7B">
        <w:rPr>
          <w:rFonts w:ascii="Arial Narrow" w:hAnsi="Arial Narrow"/>
          <w:bCs/>
        </w:rPr>
        <w:t>(v předchozím roce byl počet těchto žáku 2 404). Podíl osob s jinou než českou státní příslušností na celkovém počtu žáků se za posledních mezi léty 2005 až 2021 let více než zdvojnásobil. Zatímco ve školním roce 2005/2006 tvořili žáci s jinou než českou státní příslušností 1 % všech žáků, ve školním roce 2021/2022 to bylo již 2,2 %. Růst podílu žáků s jinou než českou státní příslušností v Jihomoravském kraji je tak mírně nižší než byl na celorepublikové úrovni, kde ve školním roce 2021/2022 tvořil podíl zmiňované skupiny žáků 3,2 %. Podíl dětí s jinou než českou státní příslušností v na základních školách v JMK se mezi školními roky 2021/2022 a 2022/2023 zvýšil z 2,2 % na 5,7 %. Na úrovni ČR pak došlo ke zvýšení z 3,2 % na 7,2 %.</w:t>
      </w:r>
    </w:p>
    <w:p w14:paraId="4DE62F29" w14:textId="5BAD3E6D" w:rsidR="00F53948" w:rsidRDefault="00F53948" w:rsidP="00F53948">
      <w:pPr>
        <w:spacing w:after="240" w:line="276" w:lineRule="auto"/>
        <w:jc w:val="both"/>
        <w:rPr>
          <w:rFonts w:ascii="Arial Narrow" w:hAnsi="Arial Narrow"/>
          <w:bCs/>
        </w:rPr>
      </w:pPr>
      <w:r w:rsidRPr="00173E7B">
        <w:rPr>
          <w:rFonts w:ascii="Arial Narrow" w:hAnsi="Arial Narrow"/>
          <w:bCs/>
        </w:rPr>
        <w:t xml:space="preserve">Ve školním roce 2022/2023 navštěvovalo střední školy v České republice celkem 463 181 žáků, z toho 14 128 žáků s jinou než českou státní příslušností. </w:t>
      </w:r>
      <w:r w:rsidRPr="00173E7B">
        <w:rPr>
          <w:rFonts w:ascii="Arial Narrow" w:hAnsi="Arial Narrow"/>
          <w:b/>
        </w:rPr>
        <w:t>Meziročně tak došlo k nárůstu počtu žáků s jiným než českým občanstvím o zhruba 17 %.</w:t>
      </w:r>
      <w:r w:rsidRPr="00173E7B">
        <w:rPr>
          <w:rFonts w:ascii="Arial Narrow" w:hAnsi="Arial Narrow"/>
          <w:bCs/>
        </w:rPr>
        <w:t xml:space="preserve"> Převážnou část žáků s jiným než českým státním občanstvím v</w:t>
      </w:r>
      <w:r w:rsidR="00E4379D" w:rsidRPr="00173E7B">
        <w:rPr>
          <w:rFonts w:ascii="Arial Narrow" w:hAnsi="Arial Narrow"/>
          <w:bCs/>
        </w:rPr>
        <w:t>e středoškolském</w:t>
      </w:r>
      <w:r w:rsidRPr="00173E7B">
        <w:rPr>
          <w:rFonts w:ascii="Arial Narrow" w:hAnsi="Arial Narrow"/>
          <w:bCs/>
        </w:rPr>
        <w:t xml:space="preserve"> </w:t>
      </w:r>
      <w:r w:rsidRPr="00173E7B">
        <w:rPr>
          <w:rFonts w:ascii="Arial Narrow" w:hAnsi="Arial Narrow"/>
          <w:bCs/>
        </w:rPr>
        <w:lastRenderedPageBreak/>
        <w:t xml:space="preserve">vzdělávání nyní tvoří žáci s občanstvím třetích zemí (celkem 78,9 %). Ve školním roce 2022/2023 navštěvuje střední školy v Jihomoravském kraji celkem 49 863 žáků, z toho 1 303 žáků s jinou než českou státní příslušností. </w:t>
      </w:r>
      <w:r w:rsidRPr="00173E7B">
        <w:rPr>
          <w:rFonts w:ascii="Arial Narrow" w:hAnsi="Arial Narrow"/>
          <w:b/>
        </w:rPr>
        <w:t>Oproti předchozímu školnímu roku 2021/2022 se jedná o zhruba 47% nárůst</w:t>
      </w:r>
      <w:r w:rsidRPr="00173E7B">
        <w:rPr>
          <w:rFonts w:ascii="Arial Narrow" w:hAnsi="Arial Narrow"/>
          <w:bCs/>
        </w:rPr>
        <w:t xml:space="preserve">. Podíl </w:t>
      </w:r>
      <w:r w:rsidRPr="00173E7B">
        <w:rPr>
          <w:rFonts w:ascii="Arial Narrow" w:hAnsi="Arial Narrow"/>
        </w:rPr>
        <w:t>žáků s jinou než českou státní příslušností</w:t>
      </w:r>
      <w:r w:rsidRPr="00173E7B">
        <w:rPr>
          <w:rFonts w:ascii="Arial Narrow" w:hAnsi="Arial Narrow"/>
          <w:bCs/>
        </w:rPr>
        <w:t xml:space="preserve"> na celkovém počtu žáků SŠ se mezi lety 2005 až 2021 více než ztrojnásobil. Zatímco ve školním roce 2005/2006 tvořily </w:t>
      </w:r>
      <w:r w:rsidRPr="00173E7B">
        <w:rPr>
          <w:rFonts w:ascii="Arial Narrow" w:hAnsi="Arial Narrow"/>
        </w:rPr>
        <w:t>žáci s jinou než českou státní příslušností</w:t>
      </w:r>
      <w:r w:rsidRPr="00173E7B">
        <w:rPr>
          <w:rFonts w:ascii="Arial Narrow" w:hAnsi="Arial Narrow"/>
          <w:bCs/>
        </w:rPr>
        <w:t xml:space="preserve"> 0,5 % všech žáků SŠ v Jihomoravském kraj, ve školním roce 2021/2022 to bylo již 1,9 %. V Jihomoravském kraji tak byl dlouhodobě podíl žáků SŠ zhruba o 0,4 % nižší než podíl těchto žáků v celé ČR. V souvislosti s válkou na Ukrajině došlo i na středních školách k nárůstu počtu žáků s jinou než českou státní příslušností. V JMK tento růst představoval skokový posun z 1,9 % na 2,6 % a na celostátní úrovni z 2,3 % na 3,1 %.</w:t>
      </w:r>
    </w:p>
    <w:p w14:paraId="16D6EA46" w14:textId="77777777" w:rsidR="00F53948" w:rsidRPr="0086552B" w:rsidRDefault="00F53948" w:rsidP="00F53948">
      <w:pPr>
        <w:spacing w:before="240" w:line="276" w:lineRule="auto"/>
        <w:jc w:val="both"/>
        <w:rPr>
          <w:rFonts w:ascii="Arial Narrow" w:hAnsi="Arial Narrow"/>
          <w:bCs/>
        </w:rPr>
      </w:pPr>
    </w:p>
    <w:p w14:paraId="7321E97B" w14:textId="77777777" w:rsidR="00AC736A" w:rsidRDefault="00AC736A" w:rsidP="009A30B6">
      <w:pPr>
        <w:spacing w:line="276" w:lineRule="auto"/>
        <w:rPr>
          <w:rFonts w:ascii="Arial Narrow" w:hAnsi="Arial Narrow"/>
          <w:b/>
          <w:color w:val="2F5496" w:themeColor="accent1" w:themeShade="BF"/>
        </w:rPr>
      </w:pPr>
    </w:p>
    <w:p w14:paraId="77070F50" w14:textId="77777777" w:rsidR="00AC736A" w:rsidRDefault="00AC736A" w:rsidP="009A30B6">
      <w:pPr>
        <w:spacing w:line="276" w:lineRule="auto"/>
        <w:rPr>
          <w:rFonts w:ascii="Arial Narrow" w:hAnsi="Arial Narrow"/>
          <w:b/>
          <w:color w:val="2F5496" w:themeColor="accent1" w:themeShade="BF"/>
        </w:rPr>
      </w:pPr>
    </w:p>
    <w:p w14:paraId="5B4E3EFB" w14:textId="1AA6A252" w:rsidR="00D67835" w:rsidRDefault="00E4379D" w:rsidP="00E4379D">
      <w:pPr>
        <w:spacing w:after="160" w:line="259" w:lineRule="auto"/>
        <w:rPr>
          <w:rFonts w:ascii="Arial Narrow" w:hAnsi="Arial Narrow"/>
          <w:b/>
          <w:color w:val="2F5496" w:themeColor="accent1" w:themeShade="BF"/>
        </w:rPr>
      </w:pPr>
      <w:r>
        <w:rPr>
          <w:rFonts w:ascii="Arial Narrow" w:hAnsi="Arial Narrow"/>
          <w:b/>
          <w:color w:val="2F5496" w:themeColor="accent1" w:themeShade="BF"/>
        </w:rPr>
        <w:br w:type="page"/>
      </w:r>
    </w:p>
    <w:p w14:paraId="0B3897F0" w14:textId="7C6C9F0E" w:rsidR="00D6793F" w:rsidRPr="00DF3041" w:rsidRDefault="00D6793F" w:rsidP="00D6793F">
      <w:pPr>
        <w:pStyle w:val="Nadpis2"/>
        <w:ind w:left="426"/>
        <w:jc w:val="both"/>
        <w:rPr>
          <w:rFonts w:ascii="Arial Narrow" w:hAnsi="Arial Narrow"/>
          <w:sz w:val="30"/>
          <w:szCs w:val="30"/>
        </w:rPr>
      </w:pPr>
      <w:bookmarkStart w:id="295" w:name="_Toc94178152"/>
      <w:bookmarkStart w:id="296" w:name="_Toc136876087"/>
      <w:bookmarkStart w:id="297" w:name="_Hlk93654830"/>
      <w:bookmarkStart w:id="298" w:name="_Hlk92726540"/>
      <w:r w:rsidRPr="00DF3041">
        <w:rPr>
          <w:rFonts w:ascii="Arial Narrow" w:hAnsi="Arial Narrow"/>
          <w:sz w:val="30"/>
          <w:szCs w:val="30"/>
        </w:rPr>
        <w:lastRenderedPageBreak/>
        <w:t xml:space="preserve">Vývoj struktury všech uchazečů o zaměstnání s důrazem na </w:t>
      </w:r>
      <w:r w:rsidR="00074716" w:rsidRPr="00DF3041">
        <w:rPr>
          <w:rFonts w:ascii="Arial Narrow" w:hAnsi="Arial Narrow"/>
          <w:sz w:val="30"/>
          <w:szCs w:val="30"/>
        </w:rPr>
        <w:t>osoby s jinou než českou státní příslušností</w:t>
      </w:r>
      <w:r w:rsidRPr="00DF3041">
        <w:rPr>
          <w:rFonts w:ascii="Arial Narrow" w:hAnsi="Arial Narrow"/>
          <w:sz w:val="30"/>
          <w:szCs w:val="30"/>
        </w:rPr>
        <w:t xml:space="preserve"> v jednotlivých letech od r. 2008 do současnosti</w:t>
      </w:r>
      <w:bookmarkEnd w:id="295"/>
      <w:bookmarkEnd w:id="296"/>
    </w:p>
    <w:p w14:paraId="15297F39" w14:textId="77777777" w:rsidR="00D6793F" w:rsidRPr="00CE357F" w:rsidRDefault="00D6793F" w:rsidP="00D6793F">
      <w:pPr>
        <w:pStyle w:val="Normlnweb"/>
        <w:spacing w:before="0" w:beforeAutospacing="0" w:after="0" w:afterAutospacing="0" w:line="276" w:lineRule="auto"/>
        <w:jc w:val="both"/>
        <w:rPr>
          <w:rFonts w:ascii="Arial Narrow" w:hAnsi="Arial Narrow" w:cstheme="minorHAnsi"/>
          <w:sz w:val="22"/>
          <w:szCs w:val="22"/>
          <w:highlight w:val="green"/>
        </w:rPr>
      </w:pPr>
    </w:p>
    <w:p w14:paraId="1B4B6EC2" w14:textId="77777777" w:rsidR="00D6793F" w:rsidRPr="00CE357F" w:rsidRDefault="00D6793F" w:rsidP="00D6793F">
      <w:pPr>
        <w:pStyle w:val="Nadpis3"/>
      </w:pPr>
      <w:bookmarkStart w:id="299" w:name="_Toc94178153"/>
      <w:bookmarkStart w:id="300" w:name="_Toc136876088"/>
      <w:r w:rsidRPr="00CE357F">
        <w:t>Struktura uchazečů o zaměstnání s českou státní příslušností</w:t>
      </w:r>
      <w:bookmarkEnd w:id="299"/>
      <w:bookmarkEnd w:id="300"/>
    </w:p>
    <w:p w14:paraId="37E4B68F" w14:textId="77777777" w:rsidR="00D6793F" w:rsidRPr="00CE357F" w:rsidRDefault="00D6793F" w:rsidP="00D6793F">
      <w:pPr>
        <w:autoSpaceDE w:val="0"/>
        <w:autoSpaceDN w:val="0"/>
        <w:adjustRightInd w:val="0"/>
        <w:spacing w:line="276" w:lineRule="auto"/>
        <w:jc w:val="both"/>
        <w:rPr>
          <w:rFonts w:ascii="Arial Narrow" w:hAnsi="Arial Narrow"/>
        </w:rPr>
      </w:pPr>
    </w:p>
    <w:bookmarkEnd w:id="297"/>
    <w:p w14:paraId="7F0A26AA" w14:textId="52C84FA3" w:rsidR="00D70A26" w:rsidRDefault="00D70A26" w:rsidP="00D70A26">
      <w:pPr>
        <w:pStyle w:val="Normlnweb"/>
        <w:spacing w:before="0" w:beforeAutospacing="0" w:after="120" w:afterAutospacing="0" w:line="276" w:lineRule="auto"/>
        <w:jc w:val="both"/>
        <w:rPr>
          <w:rFonts w:ascii="Arial Narrow" w:hAnsi="Arial Narrow"/>
          <w:sz w:val="22"/>
          <w:szCs w:val="22"/>
        </w:rPr>
      </w:pPr>
      <w:r w:rsidRPr="00CE357F">
        <w:rPr>
          <w:rFonts w:ascii="Arial Narrow" w:hAnsi="Arial Narrow"/>
          <w:sz w:val="22"/>
          <w:szCs w:val="22"/>
        </w:rPr>
        <w:t xml:space="preserve">Podíváme-li se na vývoj struktury </w:t>
      </w:r>
      <w:r w:rsidR="00F127A2">
        <w:rPr>
          <w:rFonts w:ascii="Arial Narrow" w:hAnsi="Arial Narrow"/>
          <w:sz w:val="22"/>
          <w:szCs w:val="22"/>
        </w:rPr>
        <w:t xml:space="preserve">evidovaných </w:t>
      </w:r>
      <w:r w:rsidRPr="00CE357F">
        <w:rPr>
          <w:rFonts w:ascii="Arial Narrow" w:hAnsi="Arial Narrow"/>
          <w:sz w:val="22"/>
          <w:szCs w:val="22"/>
        </w:rPr>
        <w:t>uchazečů o zaměstnání v Jihomoravském kraji z hled</w:t>
      </w:r>
      <w:r>
        <w:rPr>
          <w:rFonts w:ascii="Arial Narrow" w:hAnsi="Arial Narrow"/>
          <w:sz w:val="22"/>
          <w:szCs w:val="22"/>
        </w:rPr>
        <w:t>iska věku</w:t>
      </w:r>
      <w:r w:rsidR="007A5B21">
        <w:rPr>
          <w:rFonts w:ascii="Arial Narrow" w:hAnsi="Arial Narrow"/>
          <w:sz w:val="22"/>
          <w:szCs w:val="22"/>
        </w:rPr>
        <w:t xml:space="preserve"> (graf č. 43)</w:t>
      </w:r>
      <w:r>
        <w:rPr>
          <w:rFonts w:ascii="Arial Narrow" w:hAnsi="Arial Narrow"/>
          <w:sz w:val="22"/>
          <w:szCs w:val="22"/>
        </w:rPr>
        <w:t>, do roku 2022</w:t>
      </w:r>
      <w:r w:rsidRPr="00CE357F">
        <w:rPr>
          <w:rFonts w:ascii="Arial Narrow" w:hAnsi="Arial Narrow"/>
          <w:sz w:val="22"/>
          <w:szCs w:val="22"/>
        </w:rPr>
        <w:t xml:space="preserve"> výrazně narostl podíl uchazečů ve věku 55 let a více. Zatímco v prosinci roku 2014 tvořili u</w:t>
      </w:r>
      <w:r>
        <w:rPr>
          <w:rFonts w:ascii="Arial Narrow" w:hAnsi="Arial Narrow"/>
          <w:sz w:val="22"/>
          <w:szCs w:val="22"/>
        </w:rPr>
        <w:t>chazeči ve věku 55 let a více 17,4</w:t>
      </w:r>
      <w:r w:rsidRPr="00CE357F">
        <w:rPr>
          <w:rFonts w:ascii="Arial Narrow" w:hAnsi="Arial Narrow"/>
          <w:sz w:val="22"/>
          <w:szCs w:val="22"/>
        </w:rPr>
        <w:t xml:space="preserve"> % všech uchazečů o </w:t>
      </w:r>
      <w:r>
        <w:rPr>
          <w:rFonts w:ascii="Arial Narrow" w:hAnsi="Arial Narrow"/>
          <w:sz w:val="22"/>
          <w:szCs w:val="22"/>
        </w:rPr>
        <w:t>zaměstnání, v prosinci roku 2022 to bylo</w:t>
      </w:r>
      <w:r w:rsidRPr="00CE357F">
        <w:rPr>
          <w:rFonts w:ascii="Arial Narrow" w:hAnsi="Arial Narrow"/>
          <w:sz w:val="22"/>
          <w:szCs w:val="22"/>
        </w:rPr>
        <w:t xml:space="preserve"> </w:t>
      </w:r>
      <w:r>
        <w:rPr>
          <w:rFonts w:ascii="Arial Narrow" w:hAnsi="Arial Narrow"/>
          <w:sz w:val="22"/>
          <w:szCs w:val="22"/>
        </w:rPr>
        <w:t xml:space="preserve">24,9 % uchazečů. </w:t>
      </w:r>
      <w:r w:rsidRPr="00EB6590">
        <w:rPr>
          <w:rFonts w:ascii="Arial Narrow" w:hAnsi="Arial Narrow"/>
          <w:sz w:val="22"/>
          <w:szCs w:val="22"/>
        </w:rPr>
        <w:t xml:space="preserve">Nejvíce </w:t>
      </w:r>
      <w:r>
        <w:rPr>
          <w:rFonts w:ascii="Arial Narrow" w:hAnsi="Arial Narrow"/>
          <w:sz w:val="22"/>
          <w:szCs w:val="22"/>
        </w:rPr>
        <w:t xml:space="preserve">jich bylo evidováno v roce 2021, kdy uchazeči ve věku 55 a více tvořili </w:t>
      </w:r>
      <w:r w:rsidRPr="00CE357F">
        <w:rPr>
          <w:rFonts w:ascii="Arial Narrow" w:hAnsi="Arial Narrow"/>
          <w:sz w:val="22"/>
          <w:szCs w:val="22"/>
        </w:rPr>
        <w:t xml:space="preserve">25,8 % všech uchazečů. </w:t>
      </w:r>
    </w:p>
    <w:p w14:paraId="43DD8186" w14:textId="2CB78CDA" w:rsidR="00D70A26" w:rsidRDefault="00D70A26" w:rsidP="00D70A26">
      <w:pPr>
        <w:pStyle w:val="Normlnweb"/>
        <w:spacing w:before="0" w:beforeAutospacing="0" w:after="120" w:afterAutospacing="0" w:line="276" w:lineRule="auto"/>
        <w:jc w:val="both"/>
        <w:rPr>
          <w:rFonts w:ascii="Arial Narrow" w:hAnsi="Arial Narrow"/>
          <w:sz w:val="22"/>
          <w:szCs w:val="22"/>
        </w:rPr>
      </w:pPr>
      <w:r w:rsidRPr="00CE357F">
        <w:rPr>
          <w:rFonts w:ascii="Arial Narrow" w:hAnsi="Arial Narrow"/>
          <w:sz w:val="22"/>
          <w:szCs w:val="22"/>
        </w:rPr>
        <w:t>Naopak, podíl nejmladších uchazečů ve věku 15-24 mezi lety 2014 a 2021 klesl o 3,5 %</w:t>
      </w:r>
      <w:r>
        <w:rPr>
          <w:rFonts w:ascii="Arial Narrow" w:hAnsi="Arial Narrow"/>
          <w:sz w:val="22"/>
          <w:szCs w:val="22"/>
        </w:rPr>
        <w:t>. V roce 2022 se meziročně opět lehce zvýšil na 12,6 %. Mezi lety 2014 a 2022</w:t>
      </w:r>
      <w:r w:rsidRPr="00CE357F">
        <w:rPr>
          <w:rFonts w:ascii="Arial Narrow" w:hAnsi="Arial Narrow"/>
          <w:sz w:val="22"/>
          <w:szCs w:val="22"/>
        </w:rPr>
        <w:t xml:space="preserve"> výrazně poklesl také podíl uchazečů ve věku 25-39 let. Zatímco v prosinci 2014 tvořila tato věková skupina celkem 35,2 % všec</w:t>
      </w:r>
      <w:r>
        <w:rPr>
          <w:rFonts w:ascii="Arial Narrow" w:hAnsi="Arial Narrow"/>
          <w:sz w:val="22"/>
          <w:szCs w:val="22"/>
        </w:rPr>
        <w:t>h uchazečů, v prosinci roku 2022 to bylo 28,7</w:t>
      </w:r>
      <w:r w:rsidRPr="00CE357F">
        <w:rPr>
          <w:rFonts w:ascii="Arial Narrow" w:hAnsi="Arial Narrow"/>
          <w:sz w:val="22"/>
          <w:szCs w:val="22"/>
        </w:rPr>
        <w:t xml:space="preserve"> %. Strukturu ucha</w:t>
      </w:r>
      <w:r>
        <w:rPr>
          <w:rFonts w:ascii="Arial Narrow" w:hAnsi="Arial Narrow"/>
          <w:sz w:val="22"/>
          <w:szCs w:val="22"/>
        </w:rPr>
        <w:t>zečů dle věku v letech 2020-2022</w:t>
      </w:r>
      <w:r w:rsidRPr="00CE357F">
        <w:rPr>
          <w:rFonts w:ascii="Arial Narrow" w:hAnsi="Arial Narrow"/>
          <w:sz w:val="22"/>
          <w:szCs w:val="22"/>
        </w:rPr>
        <w:t xml:space="preserve"> významně nepoznamenala celosvětová pandemie viru SARS-CoV-2</w:t>
      </w:r>
      <w:r>
        <w:rPr>
          <w:rFonts w:ascii="Arial Narrow" w:hAnsi="Arial Narrow"/>
          <w:sz w:val="22"/>
          <w:szCs w:val="22"/>
        </w:rPr>
        <w:t xml:space="preserve"> ani rusko-ukrajinský ozbrojený konflikt</w:t>
      </w:r>
      <w:r w:rsidRPr="00CE357F">
        <w:rPr>
          <w:rFonts w:ascii="Arial Narrow" w:hAnsi="Arial Narrow"/>
          <w:sz w:val="22"/>
          <w:szCs w:val="22"/>
        </w:rPr>
        <w:t>.</w:t>
      </w:r>
      <w:r w:rsidRPr="00CE357F" w:rsidDel="00696A33">
        <w:rPr>
          <w:rFonts w:ascii="Arial Narrow" w:hAnsi="Arial Narrow"/>
          <w:sz w:val="22"/>
          <w:szCs w:val="22"/>
        </w:rPr>
        <w:t xml:space="preserve"> </w:t>
      </w:r>
      <w:r w:rsidRPr="00CE357F">
        <w:rPr>
          <w:rFonts w:ascii="Arial Narrow" w:hAnsi="Arial Narrow"/>
          <w:sz w:val="22"/>
          <w:szCs w:val="22"/>
        </w:rPr>
        <w:t>Podíl uchazečů ve věku 15-24 let a 40-54 let zůstával meziročně</w:t>
      </w:r>
      <w:r>
        <w:rPr>
          <w:rFonts w:ascii="Arial Narrow" w:hAnsi="Arial Narrow"/>
          <w:sz w:val="22"/>
          <w:szCs w:val="22"/>
        </w:rPr>
        <w:t xml:space="preserve"> stabilní. K mírnému snížení</w:t>
      </w:r>
      <w:r w:rsidRPr="00CE357F">
        <w:rPr>
          <w:rFonts w:ascii="Arial Narrow" w:hAnsi="Arial Narrow"/>
          <w:sz w:val="22"/>
          <w:szCs w:val="22"/>
        </w:rPr>
        <w:t xml:space="preserve"> podíl</w:t>
      </w:r>
      <w:r>
        <w:rPr>
          <w:rFonts w:ascii="Arial Narrow" w:hAnsi="Arial Narrow"/>
          <w:sz w:val="22"/>
          <w:szCs w:val="22"/>
        </w:rPr>
        <w:t>u uchazečů došlo v letech 2020-2022 i ve věkové kategorii 25-39 let (o 2,3</w:t>
      </w:r>
      <w:r w:rsidRPr="00CE357F">
        <w:rPr>
          <w:rFonts w:ascii="Arial Narrow" w:hAnsi="Arial Narrow"/>
          <w:sz w:val="22"/>
          <w:szCs w:val="22"/>
        </w:rPr>
        <w:t xml:space="preserve"> %). </w:t>
      </w:r>
    </w:p>
    <w:p w14:paraId="6EAE7AAD" w14:textId="384AF213" w:rsidR="00D70A26" w:rsidRPr="00CE357F" w:rsidRDefault="00D70A26" w:rsidP="00D70A26">
      <w:pPr>
        <w:spacing w:line="276" w:lineRule="auto"/>
        <w:jc w:val="both"/>
        <w:rPr>
          <w:rFonts w:ascii="Arial Narrow" w:hAnsi="Arial Narrow"/>
          <w:b/>
          <w:sz w:val="20"/>
          <w:szCs w:val="20"/>
        </w:rPr>
      </w:pPr>
      <w:bookmarkStart w:id="301" w:name="_Toc94443747"/>
      <w:bookmarkStart w:id="302" w:name="_Toc136428887"/>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43</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Struktura uchazečů o zaměstnání v Jihomo</w:t>
      </w:r>
      <w:r>
        <w:rPr>
          <w:rFonts w:ascii="Arial Narrow" w:hAnsi="Arial Narrow"/>
          <w:b/>
          <w:bCs/>
          <w:sz w:val="20"/>
          <w:szCs w:val="20"/>
        </w:rPr>
        <w:t>ravském kraji v letech 2014-2022</w:t>
      </w:r>
      <w:r w:rsidRPr="00CE357F">
        <w:rPr>
          <w:rFonts w:ascii="Arial Narrow" w:hAnsi="Arial Narrow"/>
          <w:b/>
          <w:bCs/>
          <w:sz w:val="20"/>
          <w:szCs w:val="20"/>
        </w:rPr>
        <w:t xml:space="preserve"> podle věku</w:t>
      </w:r>
      <w:bookmarkEnd w:id="301"/>
      <w:bookmarkEnd w:id="302"/>
    </w:p>
    <w:p w14:paraId="36A53277" w14:textId="77777777" w:rsidR="00D70A26" w:rsidRPr="00CE357F" w:rsidRDefault="00D70A26" w:rsidP="00D70A26">
      <w:pPr>
        <w:pStyle w:val="Normlnweb"/>
        <w:spacing w:before="0" w:beforeAutospacing="0" w:after="0" w:afterAutospacing="0" w:line="276" w:lineRule="auto"/>
        <w:jc w:val="both"/>
        <w:rPr>
          <w:rFonts w:ascii="Arial Narrow" w:hAnsi="Arial Narrow" w:cstheme="minorHAnsi"/>
          <w:b/>
          <w:bCs/>
          <w:sz w:val="28"/>
          <w:szCs w:val="28"/>
        </w:rPr>
      </w:pPr>
      <w:r w:rsidRPr="00CE357F">
        <w:rPr>
          <w:rFonts w:ascii="Arial Narrow" w:hAnsi="Arial Narrow" w:cstheme="minorHAnsi"/>
          <w:b/>
          <w:bCs/>
          <w:noProof/>
          <w:sz w:val="28"/>
          <w:szCs w:val="28"/>
        </w:rPr>
        <w:drawing>
          <wp:inline distT="0" distB="0" distL="0" distR="0" wp14:anchorId="4764454C" wp14:editId="6CC35D6F">
            <wp:extent cx="5642919" cy="2183027"/>
            <wp:effectExtent l="0" t="0" r="15240" b="8255"/>
            <wp:docPr id="2131" name="Graf 2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D954B69" w14:textId="77777777" w:rsidR="007A5B21" w:rsidRDefault="00D70A26" w:rsidP="007A5B21">
      <w:pPr>
        <w:pStyle w:val="Normlnweb"/>
        <w:spacing w:before="0" w:beforeAutospacing="0" w:after="240" w:afterAutospacing="0"/>
        <w:jc w:val="both"/>
        <w:rPr>
          <w:rFonts w:ascii="Arial Narrow" w:hAnsi="Arial Narrow" w:cstheme="minorHAnsi"/>
          <w:b/>
          <w:bCs/>
          <w:color w:val="C00000"/>
          <w:sz w:val="22"/>
          <w:szCs w:val="28"/>
        </w:rPr>
      </w:pPr>
      <w:r w:rsidRPr="00CE357F">
        <w:rPr>
          <w:rFonts w:ascii="Arial Narrow" w:hAnsi="Arial Narrow"/>
          <w:sz w:val="20"/>
        </w:rPr>
        <w:t xml:space="preserve">Zdroj: Ministerstvo práce a sociálních věcí, data </w:t>
      </w:r>
      <w:r>
        <w:rPr>
          <w:rFonts w:ascii="Arial Narrow" w:hAnsi="Arial Narrow"/>
          <w:sz w:val="20"/>
        </w:rPr>
        <w:t>z měsíc prosinec</w:t>
      </w:r>
      <w:r w:rsidRPr="00CE357F">
        <w:rPr>
          <w:rFonts w:ascii="Arial Narrow" w:hAnsi="Arial Narrow"/>
          <w:sz w:val="20"/>
        </w:rPr>
        <w:t xml:space="preserve">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2AA00952" w14:textId="235DB92A" w:rsidR="00D70A26" w:rsidRPr="007A5B21" w:rsidRDefault="00D70A26" w:rsidP="007A5B21">
      <w:pPr>
        <w:pStyle w:val="Normlnweb"/>
        <w:spacing w:before="0" w:beforeAutospacing="0" w:after="240" w:afterAutospacing="0"/>
        <w:jc w:val="both"/>
        <w:rPr>
          <w:rFonts w:ascii="Arial Narrow" w:hAnsi="Arial Narrow" w:cstheme="minorHAnsi"/>
          <w:b/>
          <w:bCs/>
          <w:sz w:val="22"/>
          <w:szCs w:val="28"/>
        </w:rPr>
      </w:pPr>
      <w:r w:rsidRPr="00CE357F">
        <w:rPr>
          <w:rFonts w:ascii="Arial Narrow" w:hAnsi="Arial Narrow" w:cstheme="minorHAnsi"/>
          <w:b/>
          <w:bCs/>
          <w:color w:val="C00000"/>
          <w:sz w:val="22"/>
          <w:szCs w:val="28"/>
        </w:rPr>
        <w:t>Struktura uchazečů o zaměstnání s českou státní příslušností podle délky nezaměstnanosti</w:t>
      </w:r>
    </w:p>
    <w:p w14:paraId="589266D4" w14:textId="766C2C3C" w:rsidR="00D70A26" w:rsidRDefault="00D70A26" w:rsidP="00D70A26">
      <w:pPr>
        <w:pStyle w:val="Normlnweb"/>
        <w:spacing w:before="240" w:beforeAutospacing="0" w:after="240" w:afterAutospacing="0" w:line="276" w:lineRule="auto"/>
        <w:jc w:val="both"/>
        <w:rPr>
          <w:rFonts w:ascii="Arial Narrow" w:hAnsi="Arial Narrow"/>
          <w:sz w:val="22"/>
          <w:szCs w:val="22"/>
        </w:rPr>
      </w:pPr>
      <w:r w:rsidRPr="00470A2D">
        <w:rPr>
          <w:rFonts w:ascii="Arial Narrow" w:hAnsi="Arial Narrow"/>
          <w:sz w:val="22"/>
        </w:rPr>
        <w:t xml:space="preserve">Podíváme-li se na vývoj struktury </w:t>
      </w:r>
      <w:r w:rsidR="00F127A2">
        <w:rPr>
          <w:rFonts w:ascii="Arial Narrow" w:hAnsi="Arial Narrow"/>
          <w:sz w:val="22"/>
          <w:szCs w:val="22"/>
        </w:rPr>
        <w:t xml:space="preserve">evidovaných </w:t>
      </w:r>
      <w:r w:rsidRPr="00470A2D">
        <w:rPr>
          <w:rFonts w:ascii="Arial Narrow" w:hAnsi="Arial Narrow"/>
          <w:sz w:val="22"/>
        </w:rPr>
        <w:t>uchazečů o zaměstnání v Jihomoravském kraji z hlediska délky nezaměstnanosti</w:t>
      </w:r>
      <w:r w:rsidR="007A5B21">
        <w:rPr>
          <w:rFonts w:ascii="Arial Narrow" w:hAnsi="Arial Narrow"/>
          <w:sz w:val="22"/>
        </w:rPr>
        <w:t xml:space="preserve"> (grafy č. 44 a č. 45)</w:t>
      </w:r>
      <w:r w:rsidRPr="00470A2D">
        <w:rPr>
          <w:rFonts w:ascii="Arial Narrow" w:hAnsi="Arial Narrow"/>
          <w:sz w:val="22"/>
        </w:rPr>
        <w:t xml:space="preserve">, největší podíl mají dlouhodobě uchazeči, kteří jsou nezaměstnaní v rozmezí 0-3 měsíců. Výrazný pokles podílu této skupiny uchazečů o zaměstnání v letech 2020 a 2021 může souviset s dopady </w:t>
      </w:r>
      <w:r w:rsidRPr="00470A2D">
        <w:rPr>
          <w:rFonts w:ascii="Arial Narrow" w:hAnsi="Arial Narrow"/>
          <w:sz w:val="22"/>
          <w:szCs w:val="22"/>
        </w:rPr>
        <w:t xml:space="preserve">celosvětové pandemie viru SARS-CoV-2, v důsledku čehož se výrazně prodloužila délka nezaměstnanosti, což dokládá nárůst podílu osob s délkou nezaměstnanosti v rozmezí 12-24 měsíců (o 3,3 % mezi lety 2019 a 2021) a více než 24 měsíců (o 6,0 % mezi lety 2019 a 2021). V roce 2022 se opětovně zvýšil počet uchazečů s délkou nezaměstnanosti 0-3 měsíců a 3-6 měsíců. Naopak došlo k prudkému poklesu nezaměstnaných 12-24 měsíců (o 5,3 % oproti roku 2021). </w:t>
      </w:r>
    </w:p>
    <w:p w14:paraId="5EBBBFAE" w14:textId="77777777" w:rsidR="007A5B21" w:rsidRPr="00470A2D" w:rsidRDefault="007A5B21" w:rsidP="00D70A26">
      <w:pPr>
        <w:pStyle w:val="Normlnweb"/>
        <w:spacing w:before="240" w:beforeAutospacing="0" w:after="240" w:afterAutospacing="0" w:line="276" w:lineRule="auto"/>
        <w:jc w:val="both"/>
        <w:rPr>
          <w:rFonts w:ascii="Arial Narrow" w:hAnsi="Arial Narrow"/>
          <w:sz w:val="22"/>
          <w:szCs w:val="22"/>
        </w:rPr>
      </w:pPr>
    </w:p>
    <w:p w14:paraId="037FBD45" w14:textId="6DACF676" w:rsidR="00D70A26" w:rsidRPr="00CE357F" w:rsidRDefault="00D70A26" w:rsidP="00D70A26">
      <w:pPr>
        <w:jc w:val="both"/>
        <w:rPr>
          <w:rFonts w:ascii="Arial Narrow" w:hAnsi="Arial Narrow"/>
          <w:b/>
          <w:sz w:val="20"/>
          <w:szCs w:val="20"/>
        </w:rPr>
      </w:pPr>
      <w:bookmarkStart w:id="303" w:name="_Toc94443748"/>
      <w:bookmarkStart w:id="304" w:name="_Toc136428888"/>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44</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Struktura uchazečů o zaměstnání v Jihomo</w:t>
      </w:r>
      <w:r>
        <w:rPr>
          <w:rFonts w:ascii="Arial Narrow" w:hAnsi="Arial Narrow"/>
          <w:b/>
          <w:bCs/>
          <w:sz w:val="20"/>
          <w:szCs w:val="20"/>
        </w:rPr>
        <w:t>ravském kraji v letech 2014-2022</w:t>
      </w:r>
      <w:r w:rsidRPr="00CE357F">
        <w:rPr>
          <w:rFonts w:ascii="Arial Narrow" w:hAnsi="Arial Narrow"/>
          <w:b/>
          <w:bCs/>
          <w:sz w:val="20"/>
          <w:szCs w:val="20"/>
        </w:rPr>
        <w:t xml:space="preserve"> podle délky nezaměstnanosti </w:t>
      </w:r>
      <w:r>
        <w:rPr>
          <w:rFonts w:ascii="Arial Narrow" w:hAnsi="Arial Narrow"/>
          <w:b/>
          <w:bCs/>
          <w:sz w:val="20"/>
          <w:szCs w:val="20"/>
        </w:rPr>
        <w:br/>
      </w:r>
      <w:r w:rsidRPr="00CE357F">
        <w:rPr>
          <w:rFonts w:ascii="Arial Narrow" w:hAnsi="Arial Narrow"/>
          <w:b/>
          <w:bCs/>
          <w:sz w:val="20"/>
          <w:szCs w:val="20"/>
        </w:rPr>
        <w:t>(0-12 měsíců)</w:t>
      </w:r>
      <w:bookmarkEnd w:id="303"/>
      <w:bookmarkEnd w:id="304"/>
    </w:p>
    <w:p w14:paraId="568CA2E8" w14:textId="77777777" w:rsidR="00D70A26" w:rsidRPr="00CE357F" w:rsidRDefault="00D70A26" w:rsidP="00D70A26">
      <w:pPr>
        <w:pStyle w:val="Normlnweb"/>
        <w:spacing w:before="0" w:beforeAutospacing="0" w:after="0" w:afterAutospacing="0" w:line="276" w:lineRule="auto"/>
        <w:jc w:val="both"/>
        <w:rPr>
          <w:rFonts w:ascii="Arial Narrow" w:hAnsi="Arial Narrow" w:cstheme="minorHAnsi"/>
          <w:sz w:val="22"/>
          <w:szCs w:val="22"/>
          <w:highlight w:val="yellow"/>
        </w:rPr>
      </w:pPr>
      <w:r w:rsidRPr="00CE357F">
        <w:rPr>
          <w:rFonts w:ascii="Arial Narrow" w:hAnsi="Arial Narrow" w:cstheme="minorHAnsi"/>
          <w:b/>
          <w:bCs/>
          <w:noProof/>
          <w:sz w:val="28"/>
          <w:szCs w:val="28"/>
        </w:rPr>
        <w:drawing>
          <wp:inline distT="0" distB="0" distL="0" distR="0" wp14:anchorId="1DE44996" wp14:editId="59E7C673">
            <wp:extent cx="5824152" cy="2652583"/>
            <wp:effectExtent l="0" t="0" r="5715" b="14605"/>
            <wp:docPr id="2132" name="Graf 2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C5289E0" w14:textId="77777777" w:rsidR="00D70A26" w:rsidRPr="00CE357F" w:rsidRDefault="00D70A26" w:rsidP="00D70A26">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Zdroj: 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35805049" w14:textId="77777777" w:rsidR="00D70A26" w:rsidRPr="00CE357F" w:rsidRDefault="00D70A26" w:rsidP="00D70A26">
      <w:pPr>
        <w:pStyle w:val="Normlnweb"/>
        <w:spacing w:before="0" w:beforeAutospacing="0" w:after="0" w:afterAutospacing="0" w:line="276" w:lineRule="auto"/>
        <w:jc w:val="both"/>
        <w:rPr>
          <w:rFonts w:ascii="Arial Narrow" w:hAnsi="Arial Narrow" w:cstheme="minorHAnsi"/>
          <w:sz w:val="22"/>
          <w:szCs w:val="22"/>
          <w:highlight w:val="yellow"/>
        </w:rPr>
      </w:pPr>
    </w:p>
    <w:p w14:paraId="1694C861" w14:textId="799FA58A" w:rsidR="00D70A26" w:rsidRPr="00CE357F" w:rsidRDefault="00D70A26" w:rsidP="00D70A26">
      <w:pPr>
        <w:jc w:val="both"/>
        <w:rPr>
          <w:rFonts w:ascii="Arial Narrow" w:hAnsi="Arial Narrow"/>
          <w:b/>
          <w:sz w:val="20"/>
          <w:szCs w:val="20"/>
        </w:rPr>
      </w:pPr>
      <w:bookmarkStart w:id="305" w:name="_Toc94443749"/>
      <w:bookmarkStart w:id="306" w:name="_Toc136428889"/>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45</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 xml:space="preserve">Struktura uchazečů o zaměstnání v Jihomoravském kraji v letech </w:t>
      </w:r>
      <w:r>
        <w:rPr>
          <w:rFonts w:ascii="Arial Narrow" w:hAnsi="Arial Narrow"/>
          <w:b/>
          <w:bCs/>
          <w:sz w:val="20"/>
          <w:szCs w:val="20"/>
        </w:rPr>
        <w:t>2014-2022</w:t>
      </w:r>
      <w:r w:rsidRPr="00CE357F">
        <w:rPr>
          <w:rFonts w:ascii="Arial Narrow" w:hAnsi="Arial Narrow"/>
          <w:b/>
          <w:bCs/>
          <w:sz w:val="20"/>
          <w:szCs w:val="20"/>
        </w:rPr>
        <w:t xml:space="preserve"> podle délky nezaměstnanosti (12–24 měsíců a více)</w:t>
      </w:r>
      <w:bookmarkEnd w:id="305"/>
      <w:bookmarkEnd w:id="306"/>
    </w:p>
    <w:p w14:paraId="64D7EC21" w14:textId="77777777" w:rsidR="00D70A26" w:rsidRPr="00CE357F" w:rsidRDefault="00D70A26" w:rsidP="00D70A26">
      <w:pPr>
        <w:pStyle w:val="Normlnweb"/>
        <w:spacing w:before="0" w:beforeAutospacing="0" w:after="0" w:afterAutospacing="0" w:line="276" w:lineRule="auto"/>
        <w:jc w:val="both"/>
        <w:rPr>
          <w:rFonts w:ascii="Arial Narrow" w:hAnsi="Arial Narrow" w:cstheme="minorHAnsi"/>
          <w:sz w:val="22"/>
          <w:szCs w:val="22"/>
          <w:highlight w:val="yellow"/>
        </w:rPr>
      </w:pPr>
      <w:r w:rsidRPr="00CE357F">
        <w:rPr>
          <w:rFonts w:ascii="Arial Narrow" w:hAnsi="Arial Narrow" w:cstheme="minorHAnsi"/>
          <w:b/>
          <w:bCs/>
          <w:noProof/>
          <w:sz w:val="28"/>
          <w:szCs w:val="28"/>
        </w:rPr>
        <w:drawing>
          <wp:inline distT="0" distB="0" distL="0" distR="0" wp14:anchorId="2BB50424" wp14:editId="5A6CB52A">
            <wp:extent cx="5815914" cy="2290119"/>
            <wp:effectExtent l="0" t="0" r="13970" b="15240"/>
            <wp:docPr id="2133" name="Graf 2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A8AA559" w14:textId="77777777" w:rsidR="00D70A26" w:rsidRPr="00CE357F" w:rsidRDefault="00D70A26" w:rsidP="00D70A26">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Zdroj: 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5F957F0C" w14:textId="77777777" w:rsidR="00D70A26" w:rsidRDefault="00D70A26" w:rsidP="00D70A26">
      <w:pPr>
        <w:pStyle w:val="Normlnweb"/>
        <w:spacing w:before="0" w:beforeAutospacing="0" w:after="240" w:afterAutospacing="0" w:line="276" w:lineRule="auto"/>
        <w:jc w:val="both"/>
        <w:rPr>
          <w:rFonts w:ascii="Arial Narrow" w:hAnsi="Arial Narrow" w:cstheme="minorHAnsi"/>
          <w:b/>
          <w:bCs/>
          <w:color w:val="C00000"/>
          <w:sz w:val="22"/>
          <w:szCs w:val="28"/>
        </w:rPr>
      </w:pPr>
    </w:p>
    <w:p w14:paraId="43F62EBC" w14:textId="4E139059" w:rsidR="00D70A26" w:rsidRPr="00CE357F" w:rsidRDefault="00D70A26" w:rsidP="00D70A26">
      <w:pPr>
        <w:pStyle w:val="Normlnweb"/>
        <w:spacing w:before="0" w:beforeAutospacing="0" w:after="240" w:afterAutospacing="0" w:line="276" w:lineRule="auto"/>
        <w:jc w:val="both"/>
        <w:rPr>
          <w:rFonts w:ascii="Arial Narrow" w:hAnsi="Arial Narrow" w:cstheme="minorHAnsi"/>
          <w:b/>
          <w:bCs/>
          <w:color w:val="C00000"/>
          <w:sz w:val="22"/>
          <w:szCs w:val="28"/>
        </w:rPr>
      </w:pPr>
      <w:r w:rsidRPr="00CE357F">
        <w:rPr>
          <w:rFonts w:ascii="Arial Narrow" w:hAnsi="Arial Narrow" w:cstheme="minorHAnsi"/>
          <w:b/>
          <w:bCs/>
          <w:color w:val="C00000"/>
          <w:sz w:val="22"/>
          <w:szCs w:val="28"/>
        </w:rPr>
        <w:t>Struktura uchazečů o zaměstnání s českou státní příslušností podle dosaženého vzdělání</w:t>
      </w:r>
      <w:r w:rsidRPr="00CE357F">
        <w:rPr>
          <w:rStyle w:val="Znakapoznpodarou"/>
          <w:rFonts w:ascii="Arial Narrow" w:hAnsi="Arial Narrow" w:cstheme="minorHAnsi"/>
          <w:b/>
          <w:bCs/>
          <w:color w:val="C00000"/>
          <w:sz w:val="22"/>
          <w:szCs w:val="28"/>
        </w:rPr>
        <w:footnoteReference w:id="22"/>
      </w:r>
    </w:p>
    <w:p w14:paraId="488A7710" w14:textId="56C38DF4" w:rsidR="00D70A26" w:rsidRDefault="00D70A26" w:rsidP="00D70A26">
      <w:pPr>
        <w:pStyle w:val="Normlnweb"/>
        <w:spacing w:before="0" w:beforeAutospacing="0" w:after="120" w:afterAutospacing="0" w:line="276" w:lineRule="auto"/>
        <w:jc w:val="both"/>
        <w:rPr>
          <w:rFonts w:ascii="Arial Narrow" w:hAnsi="Arial Narrow"/>
          <w:sz w:val="22"/>
        </w:rPr>
      </w:pPr>
      <w:r w:rsidRPr="00470A2D">
        <w:rPr>
          <w:rFonts w:ascii="Arial Narrow" w:hAnsi="Arial Narrow"/>
          <w:sz w:val="22"/>
        </w:rPr>
        <w:t>Vývoj struktury</w:t>
      </w:r>
      <w:r w:rsidR="00F127A2">
        <w:rPr>
          <w:rFonts w:ascii="Arial Narrow" w:hAnsi="Arial Narrow"/>
          <w:sz w:val="22"/>
        </w:rPr>
        <w:t xml:space="preserve"> evidovaných</w:t>
      </w:r>
      <w:r w:rsidRPr="00470A2D">
        <w:rPr>
          <w:rFonts w:ascii="Arial Narrow" w:hAnsi="Arial Narrow"/>
          <w:sz w:val="22"/>
        </w:rPr>
        <w:t xml:space="preserve"> uchazečů o zaměstnání v Jihomoravském kraji</w:t>
      </w:r>
      <w:r w:rsidR="00D1200B">
        <w:rPr>
          <w:rFonts w:ascii="Arial Narrow" w:hAnsi="Arial Narrow"/>
          <w:sz w:val="22"/>
        </w:rPr>
        <w:t xml:space="preserve"> (graf č. 46)</w:t>
      </w:r>
      <w:r w:rsidRPr="00470A2D">
        <w:rPr>
          <w:rFonts w:ascii="Arial Narrow" w:hAnsi="Arial Narrow"/>
          <w:sz w:val="22"/>
        </w:rPr>
        <w:t xml:space="preserve"> z hlediska jejich nejvyššího dosaženého vzdělání je od roku 2015 poměrně stabilní. Podíl uchazečů se středoškolským vzděláním bez maturity se v letech 2015-2022 postupně snižoval (o téměř 5 % za sledované období). K výrazným změnám nedošlo ani mezi uchazeči se základním vzděláním a se středním vzděláním s maturitou, kde se rozdíly v podílech pohybují </w:t>
      </w:r>
      <w:r w:rsidRPr="00470A2D">
        <w:rPr>
          <w:rFonts w:ascii="Arial Narrow" w:hAnsi="Arial Narrow"/>
          <w:sz w:val="22"/>
        </w:rPr>
        <w:lastRenderedPageBreak/>
        <w:t>v rozmezí 1-2 %. Podíl uchazečů se základním vzděláním a s</w:t>
      </w:r>
      <w:r w:rsidR="004A0C47">
        <w:rPr>
          <w:rFonts w:ascii="Arial Narrow" w:hAnsi="Arial Narrow"/>
          <w:sz w:val="22"/>
        </w:rPr>
        <w:t> </w:t>
      </w:r>
      <w:r w:rsidRPr="00470A2D">
        <w:rPr>
          <w:rFonts w:ascii="Arial Narrow" w:hAnsi="Arial Narrow"/>
          <w:sz w:val="22"/>
        </w:rPr>
        <w:t>vysokoškolským</w:t>
      </w:r>
      <w:r w:rsidR="004A0C47">
        <w:rPr>
          <w:rFonts w:ascii="Arial Narrow" w:hAnsi="Arial Narrow"/>
          <w:sz w:val="22"/>
        </w:rPr>
        <w:t xml:space="preserve"> či vyšším odborným</w:t>
      </w:r>
      <w:r w:rsidR="00383655">
        <w:rPr>
          <w:rStyle w:val="Znakapoznpodarou"/>
          <w:rFonts w:ascii="Arial Narrow" w:hAnsi="Arial Narrow"/>
          <w:sz w:val="22"/>
        </w:rPr>
        <w:footnoteReference w:id="23"/>
      </w:r>
      <w:r w:rsidRPr="00470A2D">
        <w:rPr>
          <w:rFonts w:ascii="Arial Narrow" w:hAnsi="Arial Narrow"/>
          <w:sz w:val="22"/>
        </w:rPr>
        <w:t xml:space="preserve"> vzděláním od roku 2015 kontinuálně roste. </w:t>
      </w:r>
    </w:p>
    <w:p w14:paraId="2ED65D7C" w14:textId="67F34D84" w:rsidR="00D70A26" w:rsidRPr="00D70A26" w:rsidRDefault="7C3C0FB0" w:rsidP="2460258F">
      <w:pPr>
        <w:pStyle w:val="Normlnweb"/>
        <w:spacing w:before="0" w:beforeAutospacing="0" w:after="120" w:afterAutospacing="0" w:line="276" w:lineRule="auto"/>
        <w:rPr>
          <w:rFonts w:ascii="Arial Narrow" w:hAnsi="Arial Narrow" w:cstheme="minorBidi"/>
          <w:sz w:val="22"/>
          <w:szCs w:val="22"/>
          <w:highlight w:val="yellow"/>
        </w:rPr>
      </w:pPr>
      <w:bookmarkStart w:id="307" w:name="_Toc94443750"/>
      <w:bookmarkStart w:id="308" w:name="_Toc136428890"/>
      <w:r w:rsidRPr="2460258F">
        <w:rPr>
          <w:rFonts w:ascii="Arial Narrow" w:hAnsi="Arial Narrow"/>
          <w:b/>
          <w:bCs/>
          <w:sz w:val="20"/>
          <w:szCs w:val="20"/>
        </w:rPr>
        <w:t xml:space="preserve">Graf </w:t>
      </w:r>
      <w:r w:rsidR="00D70A26" w:rsidRPr="2460258F">
        <w:rPr>
          <w:rFonts w:ascii="Arial Narrow" w:hAnsi="Arial Narrow"/>
          <w:b/>
          <w:bCs/>
          <w:sz w:val="20"/>
          <w:szCs w:val="20"/>
        </w:rPr>
        <w:fldChar w:fldCharType="begin"/>
      </w:r>
      <w:r w:rsidR="00D70A26" w:rsidRPr="2460258F">
        <w:rPr>
          <w:rFonts w:ascii="Arial Narrow" w:hAnsi="Arial Narrow"/>
          <w:b/>
          <w:bCs/>
          <w:sz w:val="20"/>
          <w:szCs w:val="20"/>
        </w:rPr>
        <w:instrText xml:space="preserve"> SEQ Graf \* ARABIC </w:instrText>
      </w:r>
      <w:r w:rsidR="00D70A26" w:rsidRPr="2460258F">
        <w:rPr>
          <w:rFonts w:ascii="Arial Narrow" w:hAnsi="Arial Narrow"/>
          <w:b/>
          <w:bCs/>
          <w:sz w:val="20"/>
          <w:szCs w:val="20"/>
        </w:rPr>
        <w:fldChar w:fldCharType="separate"/>
      </w:r>
      <w:r w:rsidR="009F49C8">
        <w:rPr>
          <w:rFonts w:ascii="Arial Narrow" w:hAnsi="Arial Narrow"/>
          <w:b/>
          <w:bCs/>
          <w:noProof/>
          <w:sz w:val="20"/>
          <w:szCs w:val="20"/>
        </w:rPr>
        <w:t>46</w:t>
      </w:r>
      <w:r w:rsidR="00D70A26" w:rsidRPr="2460258F">
        <w:rPr>
          <w:rFonts w:ascii="Arial Narrow" w:hAnsi="Arial Narrow"/>
          <w:b/>
          <w:bCs/>
          <w:sz w:val="20"/>
          <w:szCs w:val="20"/>
        </w:rPr>
        <w:fldChar w:fldCharType="end"/>
      </w:r>
      <w:r w:rsidRPr="2460258F">
        <w:rPr>
          <w:rFonts w:ascii="Arial Narrow" w:hAnsi="Arial Narrow"/>
          <w:b/>
          <w:bCs/>
          <w:sz w:val="20"/>
          <w:szCs w:val="20"/>
        </w:rPr>
        <w:t xml:space="preserve">: </w:t>
      </w:r>
      <w:r w:rsidRPr="00CE357F">
        <w:rPr>
          <w:rFonts w:ascii="Arial Narrow" w:hAnsi="Arial Narrow"/>
          <w:b/>
          <w:bCs/>
          <w:sz w:val="20"/>
          <w:szCs w:val="20"/>
        </w:rPr>
        <w:t>Struktura uchazečů o zaměstnání v Jihomo</w:t>
      </w:r>
      <w:r>
        <w:rPr>
          <w:rFonts w:ascii="Arial Narrow" w:hAnsi="Arial Narrow"/>
          <w:b/>
          <w:bCs/>
          <w:sz w:val="20"/>
          <w:szCs w:val="20"/>
        </w:rPr>
        <w:t>ravském kraji v letech 2015-2022</w:t>
      </w:r>
      <w:r w:rsidRPr="00CE357F">
        <w:rPr>
          <w:rFonts w:ascii="Arial Narrow" w:hAnsi="Arial Narrow"/>
          <w:b/>
          <w:bCs/>
          <w:sz w:val="20"/>
          <w:szCs w:val="20"/>
        </w:rPr>
        <w:t xml:space="preserve"> podle dosaženého vzdělání</w:t>
      </w:r>
      <w:bookmarkEnd w:id="307"/>
      <w:r w:rsidR="00D70A26" w:rsidRPr="00CE357F">
        <w:rPr>
          <w:rFonts w:ascii="Arial Narrow" w:hAnsi="Arial Narrow" w:cstheme="minorHAnsi"/>
          <w:b/>
          <w:bCs/>
          <w:noProof/>
          <w:sz w:val="28"/>
          <w:szCs w:val="28"/>
        </w:rPr>
        <w:drawing>
          <wp:inline distT="0" distB="0" distL="0" distR="0" wp14:anchorId="176EEF2A" wp14:editId="2215D7BE">
            <wp:extent cx="5760720" cy="3649980"/>
            <wp:effectExtent l="0" t="0" r="11430" b="762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2460258F">
        <w:rPr>
          <w:rFonts w:ascii="Arial Narrow" w:hAnsi="Arial Narrow"/>
          <w:sz w:val="20"/>
          <w:szCs w:val="20"/>
        </w:rPr>
        <w:t>Zdroj: Ministerstvo práce a sociálních věcí, data za měsíc prosinec daného roku</w:t>
      </w:r>
      <w:r w:rsidR="00D70A26" w:rsidRPr="00CE357F">
        <w:rPr>
          <w:rFonts w:ascii="Arial Narrow" w:hAnsi="Arial Narrow"/>
          <w:sz w:val="20"/>
        </w:rPr>
        <w:tab/>
      </w:r>
      <w:r w:rsidRPr="2460258F">
        <w:rPr>
          <w:rFonts w:ascii="Arial Narrow" w:hAnsi="Arial Narrow"/>
          <w:sz w:val="20"/>
          <w:szCs w:val="20"/>
        </w:rPr>
        <w:t xml:space="preserve">         Graf: AUGUR </w:t>
      </w:r>
      <w:proofErr w:type="spellStart"/>
      <w:r w:rsidRPr="000B1AF4">
        <w:rPr>
          <w:rFonts w:ascii="Arial Narrow" w:hAnsi="Arial Narrow"/>
          <w:sz w:val="20"/>
          <w:szCs w:val="20"/>
        </w:rPr>
        <w:t>Consulting</w:t>
      </w:r>
      <w:proofErr w:type="spellEnd"/>
      <w:r w:rsidRPr="000B1AF4">
        <w:rPr>
          <w:rFonts w:ascii="Arial Narrow" w:hAnsi="Arial Narrow"/>
          <w:sz w:val="20"/>
          <w:szCs w:val="20"/>
        </w:rPr>
        <w:t>,</w:t>
      </w:r>
      <w:r w:rsidRPr="2460258F">
        <w:rPr>
          <w:rFonts w:ascii="Arial Narrow" w:hAnsi="Arial Narrow"/>
          <w:sz w:val="20"/>
          <w:szCs w:val="20"/>
        </w:rPr>
        <w:t xml:space="preserve"> s.r.o.</w:t>
      </w:r>
      <w:bookmarkEnd w:id="308"/>
    </w:p>
    <w:p w14:paraId="70CD28AC" w14:textId="77777777" w:rsidR="00D70A26" w:rsidRPr="00CE357F" w:rsidRDefault="00D70A26" w:rsidP="00D70A26">
      <w:pPr>
        <w:pStyle w:val="Normlnweb"/>
        <w:spacing w:before="0" w:beforeAutospacing="0" w:after="0" w:afterAutospacing="0" w:line="276" w:lineRule="auto"/>
        <w:jc w:val="both"/>
        <w:rPr>
          <w:rFonts w:ascii="Arial Narrow" w:hAnsi="Arial Narrow" w:cstheme="minorHAnsi"/>
          <w:sz w:val="22"/>
          <w:szCs w:val="22"/>
          <w:highlight w:val="yellow"/>
        </w:rPr>
      </w:pPr>
    </w:p>
    <w:p w14:paraId="099E4B65" w14:textId="77777777" w:rsidR="00D70A26" w:rsidRPr="00CE357F" w:rsidRDefault="00D70A26" w:rsidP="00D70A26">
      <w:pPr>
        <w:pStyle w:val="Normlnweb"/>
        <w:spacing w:before="0" w:beforeAutospacing="0" w:after="240" w:afterAutospacing="0" w:line="276" w:lineRule="auto"/>
        <w:jc w:val="both"/>
        <w:rPr>
          <w:rFonts w:ascii="Arial Narrow" w:hAnsi="Arial Narrow" w:cstheme="minorHAnsi"/>
          <w:b/>
          <w:bCs/>
          <w:color w:val="C00000"/>
          <w:sz w:val="22"/>
          <w:szCs w:val="28"/>
        </w:rPr>
      </w:pPr>
      <w:r w:rsidRPr="00CE357F">
        <w:rPr>
          <w:rFonts w:ascii="Arial Narrow" w:hAnsi="Arial Narrow" w:cstheme="minorHAnsi"/>
          <w:b/>
          <w:bCs/>
          <w:color w:val="C00000"/>
          <w:sz w:val="22"/>
          <w:szCs w:val="28"/>
        </w:rPr>
        <w:t>Struktura volných pracovních míst podle zaměstnavatelem požadovaného vzdělání</w:t>
      </w:r>
      <w:r w:rsidRPr="00CE357F">
        <w:rPr>
          <w:rStyle w:val="Znakapoznpodarou"/>
          <w:rFonts w:ascii="Arial Narrow" w:hAnsi="Arial Narrow" w:cstheme="minorHAnsi"/>
          <w:b/>
          <w:bCs/>
          <w:color w:val="C00000"/>
          <w:sz w:val="22"/>
          <w:szCs w:val="28"/>
        </w:rPr>
        <w:footnoteReference w:id="24"/>
      </w:r>
    </w:p>
    <w:p w14:paraId="2E1DD055" w14:textId="33D0B903" w:rsidR="00F127A2" w:rsidRDefault="00D70A26" w:rsidP="7CC7BF57">
      <w:pPr>
        <w:pStyle w:val="Normlnweb"/>
        <w:spacing w:before="0" w:beforeAutospacing="0" w:after="120" w:afterAutospacing="0" w:line="276" w:lineRule="auto"/>
        <w:jc w:val="both"/>
        <w:rPr>
          <w:rFonts w:ascii="Arial Narrow" w:hAnsi="Arial Narrow"/>
          <w:sz w:val="22"/>
          <w:szCs w:val="22"/>
        </w:rPr>
      </w:pPr>
      <w:r w:rsidRPr="2E13D2E5">
        <w:rPr>
          <w:rFonts w:ascii="Arial Narrow" w:hAnsi="Arial Narrow"/>
          <w:sz w:val="22"/>
          <w:szCs w:val="22"/>
        </w:rPr>
        <w:t>Mezi zaměstnavatelem požadovan</w:t>
      </w:r>
      <w:r w:rsidR="00F127A2" w:rsidRPr="2E13D2E5">
        <w:rPr>
          <w:rFonts w:ascii="Arial Narrow" w:hAnsi="Arial Narrow"/>
          <w:sz w:val="22"/>
          <w:szCs w:val="22"/>
        </w:rPr>
        <w:t>ým</w:t>
      </w:r>
      <w:r w:rsidRPr="2E13D2E5">
        <w:rPr>
          <w:rFonts w:ascii="Arial Narrow" w:hAnsi="Arial Narrow"/>
          <w:sz w:val="22"/>
          <w:szCs w:val="22"/>
        </w:rPr>
        <w:t xml:space="preserve"> stupně</w:t>
      </w:r>
      <w:r w:rsidR="00F127A2" w:rsidRPr="2E13D2E5">
        <w:rPr>
          <w:rFonts w:ascii="Arial Narrow" w:hAnsi="Arial Narrow"/>
          <w:sz w:val="22"/>
          <w:szCs w:val="22"/>
        </w:rPr>
        <w:t>m</w:t>
      </w:r>
      <w:r w:rsidRPr="2E13D2E5">
        <w:rPr>
          <w:rFonts w:ascii="Arial Narrow" w:hAnsi="Arial Narrow"/>
          <w:sz w:val="22"/>
          <w:szCs w:val="22"/>
        </w:rPr>
        <w:t xml:space="preserve"> vzdělání dlouhodobě dominuje </w:t>
      </w:r>
      <w:r w:rsidRPr="2E13D2E5">
        <w:rPr>
          <w:rFonts w:ascii="Arial Narrow" w:hAnsi="Arial Narrow"/>
          <w:b/>
          <w:bCs/>
          <w:sz w:val="22"/>
          <w:szCs w:val="22"/>
        </w:rPr>
        <w:t>základní úroveň vzdělání</w:t>
      </w:r>
      <w:r w:rsidRPr="2E13D2E5">
        <w:rPr>
          <w:rFonts w:ascii="Arial Narrow" w:hAnsi="Arial Narrow"/>
          <w:sz w:val="22"/>
          <w:szCs w:val="22"/>
        </w:rPr>
        <w:t xml:space="preserve"> (včetně neukončeného). </w:t>
      </w:r>
      <w:bookmarkStart w:id="309" w:name="_Hlk95739050"/>
      <w:r w:rsidRPr="2E13D2E5">
        <w:rPr>
          <w:rFonts w:ascii="Arial Narrow" w:hAnsi="Arial Narrow"/>
          <w:sz w:val="22"/>
          <w:szCs w:val="22"/>
        </w:rPr>
        <w:t xml:space="preserve">Poptávka po uchazečích s tímto stupněm vzdělání dlouhodobě narůstá, zatímco v prosinci roku 2015 bylo základní vzdělání (včetně neukončeného) požadováno u 36,3 % pozic, v prosinci roku 2022 již u celkem 73,6 % pozic. Dlouhodobě klesá naopak poptávka po uchazečích se středním vzděláním bez maturity, zatímco v prosinci roku 2015 bylo střední vzdělání bez maturity požadováno u 41,6 % pozic, v prosinci roku 2022 to bylo pouze 12,7 % pozic. </w:t>
      </w:r>
      <w:bookmarkEnd w:id="309"/>
      <w:r w:rsidRPr="2E13D2E5">
        <w:rPr>
          <w:rFonts w:ascii="Arial Narrow" w:hAnsi="Arial Narrow"/>
          <w:sz w:val="22"/>
          <w:szCs w:val="22"/>
        </w:rPr>
        <w:t>Poptávka po uchazečích s úplným středním, vyšším odborným/vysokoškolsk</w:t>
      </w:r>
      <w:r w:rsidR="00F127A2" w:rsidRPr="2E13D2E5">
        <w:rPr>
          <w:rFonts w:ascii="Arial Narrow" w:hAnsi="Arial Narrow"/>
          <w:sz w:val="22"/>
          <w:szCs w:val="22"/>
        </w:rPr>
        <w:t>ý</w:t>
      </w:r>
      <w:r w:rsidRPr="2E13D2E5">
        <w:rPr>
          <w:rFonts w:ascii="Arial Narrow" w:hAnsi="Arial Narrow"/>
          <w:sz w:val="22"/>
          <w:szCs w:val="22"/>
        </w:rPr>
        <w:t>m vzdělání</w:t>
      </w:r>
      <w:r w:rsidR="00F127A2" w:rsidRPr="2E13D2E5">
        <w:rPr>
          <w:rFonts w:ascii="Arial Narrow" w:hAnsi="Arial Narrow"/>
          <w:sz w:val="22"/>
          <w:szCs w:val="22"/>
        </w:rPr>
        <w:t>m</w:t>
      </w:r>
      <w:r w:rsidR="00FF5F33">
        <w:rPr>
          <w:rStyle w:val="Znakapoznpodarou"/>
          <w:rFonts w:ascii="Arial Narrow" w:hAnsi="Arial Narrow"/>
          <w:sz w:val="22"/>
          <w:szCs w:val="22"/>
        </w:rPr>
        <w:footnoteReference w:id="25"/>
      </w:r>
      <w:r w:rsidRPr="2E13D2E5">
        <w:rPr>
          <w:rFonts w:ascii="Arial Narrow" w:hAnsi="Arial Narrow"/>
          <w:sz w:val="22"/>
          <w:szCs w:val="22"/>
        </w:rPr>
        <w:t xml:space="preserve"> taktéž mezi lety 2015 a 2022 klesla. U středního vzdělání to bylo o zhruba 5,0 % a u vyššího odborného/ vysokoškolského o zhruba 3,0 %. </w:t>
      </w:r>
    </w:p>
    <w:p w14:paraId="5D2F3C62" w14:textId="0F3DDE93" w:rsidR="00F127A2" w:rsidRDefault="00D70A26" w:rsidP="00D1200B">
      <w:pPr>
        <w:pStyle w:val="Normlnweb"/>
        <w:spacing w:before="0" w:beforeAutospacing="0" w:after="120" w:afterAutospacing="0" w:line="276" w:lineRule="auto"/>
        <w:jc w:val="both"/>
        <w:rPr>
          <w:rFonts w:ascii="Arial Narrow" w:hAnsi="Arial Narrow"/>
          <w:sz w:val="22"/>
        </w:rPr>
      </w:pPr>
      <w:r w:rsidRPr="00483968">
        <w:rPr>
          <w:rFonts w:ascii="Arial Narrow" w:hAnsi="Arial Narrow"/>
          <w:sz w:val="22"/>
        </w:rPr>
        <w:lastRenderedPageBreak/>
        <w:t>Strukturu volných pracovních míst v Jihomoravském kraji v letech 2015-2022 podle zaměstnavatelem požadovaného vzdělání podrobně dokumentuje graf</w:t>
      </w:r>
      <w:r w:rsidR="00D1200B">
        <w:rPr>
          <w:rFonts w:ascii="Arial Narrow" w:hAnsi="Arial Narrow"/>
          <w:sz w:val="22"/>
        </w:rPr>
        <w:t xml:space="preserve"> č. 47</w:t>
      </w:r>
      <w:r w:rsidRPr="00483968">
        <w:rPr>
          <w:rFonts w:ascii="Arial Narrow" w:hAnsi="Arial Narrow"/>
          <w:sz w:val="22"/>
        </w:rPr>
        <w:t>.</w:t>
      </w:r>
    </w:p>
    <w:p w14:paraId="7470F1BD" w14:textId="0F96B09C" w:rsidR="00D70A26" w:rsidRPr="00CE357F" w:rsidRDefault="00D70A26" w:rsidP="00D70A26">
      <w:pPr>
        <w:jc w:val="both"/>
        <w:rPr>
          <w:rFonts w:ascii="Arial Narrow" w:hAnsi="Arial Narrow"/>
          <w:b/>
          <w:bCs/>
          <w:sz w:val="20"/>
          <w:szCs w:val="20"/>
        </w:rPr>
      </w:pPr>
      <w:bookmarkStart w:id="310" w:name="_Toc94443751"/>
      <w:bookmarkStart w:id="311" w:name="_Toc136428891"/>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47</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Struktura volných pracovních míst v Jihomo</w:t>
      </w:r>
      <w:r>
        <w:rPr>
          <w:rFonts w:ascii="Arial Narrow" w:hAnsi="Arial Narrow"/>
          <w:b/>
          <w:bCs/>
          <w:sz w:val="20"/>
          <w:szCs w:val="20"/>
        </w:rPr>
        <w:t>ravském kraji v letech 2015-2022</w:t>
      </w:r>
      <w:r w:rsidRPr="00CE357F">
        <w:rPr>
          <w:rFonts w:ascii="Arial Narrow" w:hAnsi="Arial Narrow"/>
          <w:b/>
          <w:bCs/>
          <w:sz w:val="20"/>
          <w:szCs w:val="20"/>
        </w:rPr>
        <w:t xml:space="preserve"> podle zaměstnavatelem požadovaného vzdělání</w:t>
      </w:r>
      <w:bookmarkEnd w:id="310"/>
      <w:bookmarkEnd w:id="311"/>
    </w:p>
    <w:p w14:paraId="2BF6E602" w14:textId="77777777" w:rsidR="00D70A26" w:rsidRPr="00CE357F" w:rsidRDefault="00D70A26" w:rsidP="00D70A26">
      <w:pPr>
        <w:pStyle w:val="Normlnweb"/>
        <w:spacing w:before="0" w:beforeAutospacing="0" w:after="0" w:afterAutospacing="0" w:line="276" w:lineRule="auto"/>
        <w:rPr>
          <w:rFonts w:ascii="Arial Narrow" w:hAnsi="Arial Narrow" w:cstheme="minorHAnsi"/>
          <w:sz w:val="22"/>
          <w:szCs w:val="22"/>
          <w:highlight w:val="yellow"/>
        </w:rPr>
      </w:pPr>
      <w:r w:rsidRPr="00CE357F">
        <w:rPr>
          <w:rFonts w:ascii="Arial Narrow" w:hAnsi="Arial Narrow" w:cstheme="minorHAnsi"/>
          <w:b/>
          <w:bCs/>
          <w:noProof/>
          <w:sz w:val="28"/>
          <w:szCs w:val="28"/>
        </w:rPr>
        <w:drawing>
          <wp:inline distT="0" distB="0" distL="0" distR="0" wp14:anchorId="64B6B845" wp14:editId="50C82A9F">
            <wp:extent cx="5715000" cy="4381500"/>
            <wp:effectExtent l="0" t="0" r="0" b="0"/>
            <wp:docPr id="2084" name="Graf 2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9E2A86E" w14:textId="77777777" w:rsidR="00D70A26" w:rsidRPr="00CE357F" w:rsidRDefault="7C3C0FB0" w:rsidP="2460258F">
      <w:pPr>
        <w:pStyle w:val="Normlnweb"/>
        <w:spacing w:before="0" w:beforeAutospacing="0" w:after="0" w:afterAutospacing="0" w:line="276" w:lineRule="auto"/>
        <w:jc w:val="both"/>
        <w:rPr>
          <w:rFonts w:ascii="Arial Narrow" w:hAnsi="Arial Narrow" w:cstheme="minorBidi"/>
          <w:b/>
          <w:bCs/>
          <w:sz w:val="22"/>
          <w:szCs w:val="22"/>
        </w:rPr>
      </w:pPr>
      <w:r w:rsidRPr="2460258F">
        <w:rPr>
          <w:rFonts w:ascii="Arial Narrow" w:hAnsi="Arial Narrow"/>
          <w:sz w:val="20"/>
          <w:szCs w:val="20"/>
        </w:rPr>
        <w:t>Zdroj: Ministerstvo práce a sociálních věcí, data za měsíc prosinec daného roku</w:t>
      </w:r>
      <w:r w:rsidR="00D70A26">
        <w:tab/>
      </w:r>
      <w:r w:rsidRPr="2460258F">
        <w:rPr>
          <w:rFonts w:ascii="Arial Narrow" w:hAnsi="Arial Narrow"/>
          <w:sz w:val="20"/>
          <w:szCs w:val="20"/>
        </w:rPr>
        <w:t xml:space="preserve">         Graf: AUGUR </w:t>
      </w:r>
      <w:proofErr w:type="spellStart"/>
      <w:r w:rsidRPr="000B1AF4">
        <w:rPr>
          <w:rFonts w:ascii="Arial Narrow" w:hAnsi="Arial Narrow"/>
          <w:sz w:val="20"/>
          <w:szCs w:val="20"/>
        </w:rPr>
        <w:t>Consulting</w:t>
      </w:r>
      <w:proofErr w:type="spellEnd"/>
      <w:r w:rsidRPr="000B1AF4">
        <w:rPr>
          <w:rFonts w:ascii="Arial Narrow" w:hAnsi="Arial Narrow"/>
          <w:sz w:val="20"/>
          <w:szCs w:val="20"/>
        </w:rPr>
        <w:t>,</w:t>
      </w:r>
      <w:r w:rsidRPr="2460258F">
        <w:rPr>
          <w:rFonts w:ascii="Arial Narrow" w:hAnsi="Arial Narrow"/>
          <w:sz w:val="20"/>
          <w:szCs w:val="20"/>
        </w:rPr>
        <w:t xml:space="preserve"> s.r.o.</w:t>
      </w:r>
    </w:p>
    <w:p w14:paraId="03CB46A0" w14:textId="77777777" w:rsidR="00D6793F" w:rsidRPr="00CE357F" w:rsidRDefault="00D6793F" w:rsidP="00D6793F">
      <w:pPr>
        <w:rPr>
          <w:rFonts w:ascii="Arial Narrow" w:hAnsi="Arial Narrow"/>
        </w:rPr>
      </w:pPr>
    </w:p>
    <w:p w14:paraId="28611502" w14:textId="77777777" w:rsidR="00D6793F" w:rsidRPr="00CE357F" w:rsidRDefault="00D6793F" w:rsidP="00D6793F">
      <w:pPr>
        <w:pStyle w:val="Nadpis3"/>
      </w:pPr>
      <w:bookmarkStart w:id="312" w:name="_Toc94178154"/>
      <w:bookmarkStart w:id="313" w:name="_Toc136876089"/>
      <w:bookmarkStart w:id="314" w:name="_Hlk95740022"/>
      <w:r w:rsidRPr="00CE357F">
        <w:t>Struktura uchazečů o zaměstnání s jinou než českou státní příslušností</w:t>
      </w:r>
      <w:bookmarkEnd w:id="312"/>
      <w:bookmarkEnd w:id="313"/>
    </w:p>
    <w:bookmarkEnd w:id="314"/>
    <w:p w14:paraId="2F6FC000" w14:textId="77777777" w:rsidR="00D6793F" w:rsidRPr="00CE357F" w:rsidRDefault="00D6793F" w:rsidP="00D6793F">
      <w:pPr>
        <w:rPr>
          <w:rFonts w:ascii="Arial Narrow" w:hAnsi="Arial Narrow"/>
        </w:rPr>
      </w:pPr>
    </w:p>
    <w:p w14:paraId="0550F6EC" w14:textId="77777777" w:rsidR="00F127A2" w:rsidRPr="00CE357F" w:rsidRDefault="00F127A2" w:rsidP="00F127A2">
      <w:pPr>
        <w:autoSpaceDE w:val="0"/>
        <w:autoSpaceDN w:val="0"/>
        <w:adjustRightInd w:val="0"/>
        <w:spacing w:line="276" w:lineRule="auto"/>
        <w:jc w:val="both"/>
        <w:rPr>
          <w:rFonts w:ascii="Arial Narrow" w:hAnsi="Arial Narrow"/>
        </w:rPr>
      </w:pPr>
      <w:r w:rsidRPr="00CE357F">
        <w:rPr>
          <w:rFonts w:ascii="Arial Narrow" w:hAnsi="Arial Narrow"/>
        </w:rPr>
        <w:t xml:space="preserve">Níže prezentovaná data dokumentují vývoj struktury uchazečů o zaměstnání s jinou než českou státní příslušností v Jihomoravském kraji z hlediska země původu uchazečů, věku, délky nezaměstnanosti a nejvyššího dosaženého stupně vzdělání. Struktura uchazečů s jinou než českou státní příslušností z hlediska věku, délky nezaměstnanosti a dosaženého stupně vzdělání je evidována pouze za uchazeče ze zemí EU/EHP, pro občany třetích </w:t>
      </w:r>
      <w:r>
        <w:rPr>
          <w:rFonts w:ascii="Arial Narrow" w:hAnsi="Arial Narrow"/>
        </w:rPr>
        <w:t xml:space="preserve">zemí </w:t>
      </w:r>
      <w:r w:rsidRPr="00CE357F">
        <w:rPr>
          <w:rFonts w:ascii="Arial Narrow" w:hAnsi="Arial Narrow"/>
        </w:rPr>
        <w:t>nejsou tyto statistiky evidovány.</w:t>
      </w:r>
    </w:p>
    <w:p w14:paraId="49E090AE" w14:textId="4345F83A" w:rsidR="00F127A2" w:rsidRDefault="00F127A2" w:rsidP="00F127A2">
      <w:pPr>
        <w:autoSpaceDE w:val="0"/>
        <w:autoSpaceDN w:val="0"/>
        <w:adjustRightInd w:val="0"/>
        <w:spacing w:before="240" w:after="240" w:line="276" w:lineRule="auto"/>
        <w:jc w:val="both"/>
        <w:rPr>
          <w:rFonts w:ascii="Arial Narrow" w:hAnsi="Arial Narrow"/>
        </w:rPr>
      </w:pPr>
      <w:r w:rsidRPr="00CE357F">
        <w:rPr>
          <w:rFonts w:ascii="Arial Narrow" w:hAnsi="Arial Narrow"/>
        </w:rPr>
        <w:t>V důsledku změny informačního systému na Ministerstvu práce a sociálních věcí jsou statistiky</w:t>
      </w:r>
      <w:r w:rsidRPr="00CE357F">
        <w:rPr>
          <w:rFonts w:ascii="Arial Narrow" w:hAnsi="Arial Narrow"/>
        </w:rPr>
        <w:br/>
        <w:t>týkající se struktury uchazečů o zaměstnání občanů České republiky i uchazečů s jinou než českou státní příslušností za období do roku 2013 velmi omezené. Za toto období jsou k dispozici pouze kvalifikované odhady celkového počtu zahraničních zaměstnanců, které neumožňují podrobnější práci s těmito daty. V následujících kapitolách pracujeme s dostupnými d</w:t>
      </w:r>
      <w:r w:rsidR="00384A4F">
        <w:rPr>
          <w:rFonts w:ascii="Arial Narrow" w:hAnsi="Arial Narrow"/>
        </w:rPr>
        <w:t>aty od roku 2014 do současnosti</w:t>
      </w:r>
    </w:p>
    <w:p w14:paraId="68316342" w14:textId="77777777" w:rsidR="00D1200B" w:rsidRPr="00384A4F" w:rsidRDefault="00D1200B" w:rsidP="00F127A2">
      <w:pPr>
        <w:autoSpaceDE w:val="0"/>
        <w:autoSpaceDN w:val="0"/>
        <w:adjustRightInd w:val="0"/>
        <w:spacing w:before="240" w:after="240" w:line="276" w:lineRule="auto"/>
        <w:jc w:val="both"/>
        <w:rPr>
          <w:rFonts w:ascii="Arial Narrow" w:hAnsi="Arial Narrow"/>
        </w:rPr>
      </w:pPr>
    </w:p>
    <w:p w14:paraId="199C63AA" w14:textId="77777777" w:rsidR="00F127A2" w:rsidRPr="00CE357F" w:rsidRDefault="00F127A2" w:rsidP="00F127A2">
      <w:pPr>
        <w:spacing w:after="240" w:line="276" w:lineRule="auto"/>
        <w:jc w:val="both"/>
        <w:rPr>
          <w:rFonts w:ascii="Arial Narrow" w:hAnsi="Arial Narrow"/>
          <w:b/>
          <w:bCs/>
          <w:color w:val="C00000"/>
        </w:rPr>
      </w:pPr>
      <w:r w:rsidRPr="00CE357F">
        <w:rPr>
          <w:rFonts w:ascii="Arial Narrow" w:hAnsi="Arial Narrow"/>
          <w:b/>
          <w:bCs/>
          <w:color w:val="C00000"/>
        </w:rPr>
        <w:lastRenderedPageBreak/>
        <w:t>Struktura uchazečů o zaměstnání s jinou než českou státní příslušností podle země původu</w:t>
      </w:r>
    </w:p>
    <w:p w14:paraId="1FA82882" w14:textId="77777777" w:rsidR="00F127A2" w:rsidRPr="00CE357F" w:rsidRDefault="00F127A2" w:rsidP="00F127A2">
      <w:pPr>
        <w:spacing w:after="240" w:line="276" w:lineRule="auto"/>
        <w:jc w:val="both"/>
        <w:rPr>
          <w:rFonts w:ascii="Arial Narrow" w:hAnsi="Arial Narrow"/>
          <w:b/>
          <w:bCs/>
          <w:u w:val="single"/>
        </w:rPr>
      </w:pPr>
      <w:r w:rsidRPr="00CE357F">
        <w:rPr>
          <w:rFonts w:ascii="Arial Narrow" w:hAnsi="Arial Narrow"/>
          <w:b/>
          <w:bCs/>
          <w:u w:val="single"/>
        </w:rPr>
        <w:t xml:space="preserve">Uchazeči o zaměstnání ze zemí EU/EHP </w:t>
      </w:r>
    </w:p>
    <w:p w14:paraId="160ADFC1" w14:textId="06F33629" w:rsidR="00F127A2" w:rsidRPr="00C10779" w:rsidRDefault="000601DC" w:rsidP="00F127A2">
      <w:pPr>
        <w:spacing w:after="120" w:line="276" w:lineRule="auto"/>
        <w:jc w:val="both"/>
        <w:rPr>
          <w:rFonts w:ascii="Arial Narrow" w:hAnsi="Arial Narrow"/>
        </w:rPr>
      </w:pPr>
      <w:bookmarkStart w:id="315" w:name="_Hlk95739432"/>
      <w:r w:rsidRPr="2460258F">
        <w:rPr>
          <w:rFonts w:ascii="Arial Narrow" w:hAnsi="Arial Narrow"/>
        </w:rPr>
        <w:t xml:space="preserve">V prosinci roku 2022 bylo v Jihomoravském kraji evidováno celkem 831 uchazečů o zaměstnání ze zemí EU/EHP, což bylo přibližně 11,8 % všech uchazečů z EU/EHP v České republice. Více než 4/5 uchazečů (81,82 %) byli občané Slovenské republiky. Druhou nejčastější národností mezi uchazeči z EU/EHP byli v prosinci 2022 uchazeči z Polska, kteří tvořili 3,36 % všech uchazečů z EU/EHP a uchazeči z Bulharska, kteří tvořili 2,76 % těchto uchazečů. Mezi uchazeči celkově dlouhodobě mírně převažují ženy nad muži. </w:t>
      </w:r>
      <w:bookmarkStart w:id="316" w:name="_Hlk95739492"/>
      <w:bookmarkEnd w:id="315"/>
      <w:r w:rsidRPr="2460258F">
        <w:rPr>
          <w:rFonts w:ascii="Arial Narrow" w:hAnsi="Arial Narrow"/>
        </w:rPr>
        <w:t>V prosinci 2022 se jednalo</w:t>
      </w:r>
      <w:r w:rsidR="001D7978">
        <w:rPr>
          <w:rFonts w:ascii="Arial Narrow" w:hAnsi="Arial Narrow"/>
        </w:rPr>
        <w:t xml:space="preserve"> </w:t>
      </w:r>
      <w:r w:rsidRPr="2460258F">
        <w:rPr>
          <w:rFonts w:ascii="Arial Narrow" w:hAnsi="Arial Narrow"/>
        </w:rPr>
        <w:t>o</w:t>
      </w:r>
      <w:r w:rsidR="001D7978">
        <w:rPr>
          <w:rFonts w:ascii="Arial Narrow" w:hAnsi="Arial Narrow"/>
        </w:rPr>
        <w:t xml:space="preserve"> </w:t>
      </w:r>
      <w:r w:rsidRPr="2460258F">
        <w:rPr>
          <w:rFonts w:ascii="Arial Narrow" w:hAnsi="Arial Narrow"/>
        </w:rPr>
        <w:t xml:space="preserve">52,94 % uchazeček žen a 47,05 % uchazečů mužů. Podíváme-li se podrobněji na podíly mužů a žen v rámci uchazečů z jednotlivých států EU/EHP, lze konstatovat, že za celkovou převahou žen z hlediska pohlaví uchazečů, stojí zejména uchazeči ze Slovenska a Rumunska. </w:t>
      </w:r>
      <w:bookmarkEnd w:id="316"/>
      <w:r w:rsidRPr="2460258F">
        <w:rPr>
          <w:rFonts w:ascii="Arial Narrow" w:hAnsi="Arial Narrow"/>
        </w:rPr>
        <w:t xml:space="preserve">Z hlediska uchazečů z ostatních zemí je podíl mužů a žen vyrovnaný, nebo převažují muži nad ženami. </w:t>
      </w:r>
      <w:r w:rsidR="00F127A2" w:rsidRPr="00CE357F">
        <w:rPr>
          <w:rFonts w:ascii="Arial Narrow" w:hAnsi="Arial Narrow"/>
        </w:rPr>
        <w:t>Strukturu uchazečů z EU/EHP podle občanství a pohlaví za měsíc prosinec 2</w:t>
      </w:r>
      <w:r w:rsidR="00F127A2">
        <w:rPr>
          <w:rFonts w:ascii="Arial Narrow" w:hAnsi="Arial Narrow"/>
        </w:rPr>
        <w:t>022</w:t>
      </w:r>
      <w:r w:rsidR="00F127A2" w:rsidRPr="00CE357F">
        <w:rPr>
          <w:rFonts w:ascii="Arial Narrow" w:hAnsi="Arial Narrow"/>
        </w:rPr>
        <w:t xml:space="preserve"> podrobně dokumentuje tabulka</w:t>
      </w:r>
      <w:r w:rsidR="00D1200B">
        <w:rPr>
          <w:rFonts w:ascii="Arial Narrow" w:hAnsi="Arial Narrow"/>
        </w:rPr>
        <w:t xml:space="preserve"> č. 13</w:t>
      </w:r>
      <w:r w:rsidR="00F127A2" w:rsidRPr="00CE357F">
        <w:rPr>
          <w:rFonts w:ascii="Arial Narrow" w:hAnsi="Arial Narrow"/>
        </w:rPr>
        <w:t xml:space="preserve">. </w:t>
      </w:r>
    </w:p>
    <w:p w14:paraId="3A36AC55" w14:textId="40A0A015" w:rsidR="00F127A2" w:rsidRPr="00CE357F" w:rsidRDefault="00F127A2" w:rsidP="00F127A2">
      <w:pPr>
        <w:spacing w:line="276" w:lineRule="auto"/>
        <w:jc w:val="both"/>
        <w:rPr>
          <w:rFonts w:ascii="Arial Narrow" w:hAnsi="Arial Narrow"/>
          <w:b/>
          <w:sz w:val="24"/>
          <w:szCs w:val="24"/>
        </w:rPr>
      </w:pPr>
      <w:bookmarkStart w:id="317" w:name="_Toc136429224"/>
      <w:r w:rsidRPr="00CE357F">
        <w:rPr>
          <w:rFonts w:ascii="Arial Narrow" w:hAnsi="Arial Narrow"/>
          <w:b/>
          <w:sz w:val="20"/>
          <w:szCs w:val="20"/>
        </w:rPr>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13</w:t>
      </w:r>
      <w:r w:rsidRPr="00CE357F">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 xml:space="preserve"> </w:t>
      </w:r>
      <w:r w:rsidRPr="00CE357F">
        <w:rPr>
          <w:rFonts w:ascii="Arial Narrow" w:hAnsi="Arial Narrow"/>
          <w:b/>
          <w:color w:val="000000" w:themeColor="text1"/>
          <w:sz w:val="20"/>
          <w:szCs w:val="20"/>
        </w:rPr>
        <w:t xml:space="preserve">Struktura uchazečů o zaměstnání z EU/EHP podle občanství a pohlaví </w:t>
      </w:r>
      <w:r>
        <w:rPr>
          <w:rFonts w:ascii="Arial Narrow" w:hAnsi="Arial Narrow"/>
          <w:b/>
          <w:color w:val="000000" w:themeColor="text1"/>
          <w:sz w:val="20"/>
          <w:szCs w:val="20"/>
        </w:rPr>
        <w:t>za měsíc prosinec</w:t>
      </w:r>
      <w:r w:rsidRPr="00CE357F">
        <w:rPr>
          <w:rFonts w:ascii="Arial Narrow" w:hAnsi="Arial Narrow"/>
          <w:b/>
          <w:color w:val="000000" w:themeColor="text1"/>
          <w:sz w:val="20"/>
          <w:szCs w:val="20"/>
        </w:rPr>
        <w:t xml:space="preserve"> 202</w:t>
      </w:r>
      <w:r>
        <w:rPr>
          <w:rFonts w:ascii="Arial Narrow" w:hAnsi="Arial Narrow"/>
          <w:b/>
          <w:color w:val="000000" w:themeColor="text1"/>
          <w:sz w:val="20"/>
          <w:szCs w:val="20"/>
        </w:rPr>
        <w:t>2</w:t>
      </w:r>
      <w:bookmarkEnd w:id="317"/>
      <w:r w:rsidRPr="00CE357F">
        <w:rPr>
          <w:rFonts w:ascii="Arial Narrow" w:hAnsi="Arial Narrow"/>
          <w:b/>
          <w:color w:val="000000" w:themeColor="text1"/>
          <w:sz w:val="20"/>
          <w:szCs w:val="20"/>
        </w:rPr>
        <w:t xml:space="preserve"> </w:t>
      </w:r>
    </w:p>
    <w:tbl>
      <w:tblPr>
        <w:tblStyle w:val="Svtltabulkasmkou1zvraznn12"/>
        <w:tblW w:w="9072" w:type="dxa"/>
        <w:tblInd w:w="108" w:type="dxa"/>
        <w:tblLook w:val="04A0" w:firstRow="1" w:lastRow="0" w:firstColumn="1" w:lastColumn="0" w:noHBand="0" w:noVBand="1"/>
      </w:tblPr>
      <w:tblGrid>
        <w:gridCol w:w="3573"/>
        <w:gridCol w:w="2551"/>
        <w:gridCol w:w="1276"/>
        <w:gridCol w:w="1672"/>
      </w:tblGrid>
      <w:tr w:rsidR="00F127A2" w:rsidRPr="00CE357F" w14:paraId="222E7639" w14:textId="77777777" w:rsidTr="004A0C4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D9E2F3" w:themeFill="accent1" w:themeFillTint="33"/>
            <w:vAlign w:val="center"/>
          </w:tcPr>
          <w:p w14:paraId="5E7DFBB7" w14:textId="77777777" w:rsidR="00F127A2" w:rsidRPr="00CE357F" w:rsidRDefault="00F127A2"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Uchazeči z EU/EHP podle </w:t>
            </w:r>
            <w:r>
              <w:rPr>
                <w:rFonts w:ascii="Arial Narrow" w:eastAsia="Times New Roman" w:hAnsi="Arial Narrow" w:cs="Arial"/>
                <w:sz w:val="18"/>
                <w:szCs w:val="18"/>
                <w:lang w:eastAsia="cs-CZ"/>
              </w:rPr>
              <w:t>občanství za měsíc prosinec 2022</w:t>
            </w:r>
          </w:p>
        </w:tc>
      </w:tr>
      <w:tr w:rsidR="00F127A2" w:rsidRPr="00CE357F" w14:paraId="035456B1" w14:textId="77777777" w:rsidTr="004A0C47">
        <w:trPr>
          <w:trHeight w:val="283"/>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hideMark/>
          </w:tcPr>
          <w:p w14:paraId="6B7A1AE8" w14:textId="77777777" w:rsidR="00F127A2" w:rsidRPr="00CE357F" w:rsidRDefault="00F127A2" w:rsidP="004A0C47">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sz w:val="18"/>
                <w:szCs w:val="18"/>
                <w:lang w:eastAsia="cs-CZ"/>
              </w:rPr>
              <w:t>Státní příslušnost</w:t>
            </w:r>
          </w:p>
        </w:tc>
        <w:tc>
          <w:tcPr>
            <w:tcW w:w="2551" w:type="dxa"/>
            <w:shd w:val="clear" w:color="auto" w:fill="D9E2F3" w:themeFill="accent1" w:themeFillTint="33"/>
            <w:vAlign w:val="center"/>
          </w:tcPr>
          <w:p w14:paraId="46672AF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Uchazeči celkem</w:t>
            </w:r>
          </w:p>
        </w:tc>
        <w:tc>
          <w:tcPr>
            <w:tcW w:w="1276" w:type="dxa"/>
            <w:shd w:val="clear" w:color="auto" w:fill="D9E2F3" w:themeFill="accent1" w:themeFillTint="33"/>
            <w:vAlign w:val="center"/>
          </w:tcPr>
          <w:p w14:paraId="7EE758B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 ženy</w:t>
            </w:r>
          </w:p>
        </w:tc>
        <w:tc>
          <w:tcPr>
            <w:tcW w:w="1672" w:type="dxa"/>
            <w:shd w:val="clear" w:color="auto" w:fill="D9E2F3" w:themeFill="accent1" w:themeFillTint="33"/>
            <w:vAlign w:val="center"/>
          </w:tcPr>
          <w:p w14:paraId="0C430CF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 muži</w:t>
            </w:r>
          </w:p>
        </w:tc>
      </w:tr>
      <w:tr w:rsidR="00F127A2" w:rsidRPr="00CE357F" w14:paraId="21A714E7"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558E6F4F" w14:textId="77777777" w:rsidR="00F127A2" w:rsidRPr="00CE357F" w:rsidRDefault="00F127A2" w:rsidP="004A0C47">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EU/EHP v ČR celkem</w:t>
            </w:r>
          </w:p>
        </w:tc>
        <w:tc>
          <w:tcPr>
            <w:tcW w:w="2551" w:type="dxa"/>
            <w:vAlign w:val="center"/>
          </w:tcPr>
          <w:p w14:paraId="54510D94" w14:textId="4B42977F"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7 057</w:t>
            </w:r>
          </w:p>
        </w:tc>
        <w:tc>
          <w:tcPr>
            <w:tcW w:w="1276" w:type="dxa"/>
            <w:vAlign w:val="center"/>
          </w:tcPr>
          <w:p w14:paraId="4482DC7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3 685</w:t>
            </w:r>
          </w:p>
        </w:tc>
        <w:tc>
          <w:tcPr>
            <w:tcW w:w="1672" w:type="dxa"/>
            <w:vAlign w:val="center"/>
          </w:tcPr>
          <w:p w14:paraId="6B511BD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3 372</w:t>
            </w:r>
          </w:p>
        </w:tc>
      </w:tr>
      <w:tr w:rsidR="00F127A2" w:rsidRPr="00CE357F" w14:paraId="0C01EDE3"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21D9A222" w14:textId="77777777" w:rsidR="00F127A2" w:rsidRPr="00CE357F" w:rsidRDefault="00F127A2" w:rsidP="004A0C47">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EU/EHP v JMK</w:t>
            </w:r>
          </w:p>
        </w:tc>
        <w:tc>
          <w:tcPr>
            <w:tcW w:w="2551" w:type="dxa"/>
            <w:vAlign w:val="center"/>
          </w:tcPr>
          <w:p w14:paraId="352DBF6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831</w:t>
            </w:r>
          </w:p>
        </w:tc>
        <w:tc>
          <w:tcPr>
            <w:tcW w:w="1276" w:type="dxa"/>
            <w:vAlign w:val="center"/>
          </w:tcPr>
          <w:p w14:paraId="3713BB9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440</w:t>
            </w:r>
          </w:p>
        </w:tc>
        <w:tc>
          <w:tcPr>
            <w:tcW w:w="1672" w:type="dxa"/>
            <w:vAlign w:val="center"/>
          </w:tcPr>
          <w:p w14:paraId="0B10510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391</w:t>
            </w:r>
          </w:p>
        </w:tc>
      </w:tr>
      <w:tr w:rsidR="00256C97" w:rsidRPr="00CE357F" w14:paraId="2A1D07E3"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410FDD9B" w14:textId="77777777" w:rsidR="00256C97" w:rsidRPr="00CE357F" w:rsidRDefault="00256C9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toho:</w:t>
            </w:r>
          </w:p>
        </w:tc>
        <w:tc>
          <w:tcPr>
            <w:tcW w:w="5499" w:type="dxa"/>
            <w:gridSpan w:val="3"/>
            <w:vAlign w:val="center"/>
          </w:tcPr>
          <w:p w14:paraId="26BC8A94" w14:textId="77777777" w:rsidR="00256C97" w:rsidRPr="00CE357F" w:rsidRDefault="00256C97"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F127A2" w:rsidRPr="00CE357F" w14:paraId="2381B19B"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36C46B2E"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Slovensko</w:t>
            </w:r>
          </w:p>
        </w:tc>
        <w:tc>
          <w:tcPr>
            <w:tcW w:w="2551" w:type="dxa"/>
            <w:vAlign w:val="center"/>
          </w:tcPr>
          <w:p w14:paraId="285083C7" w14:textId="77777777" w:rsidR="00F127A2" w:rsidRPr="003013D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3D2">
              <w:rPr>
                <w:rFonts w:ascii="Arial Narrow" w:hAnsi="Arial Narrow" w:cs="Arial"/>
                <w:bCs/>
                <w:sz w:val="18"/>
                <w:szCs w:val="18"/>
              </w:rPr>
              <w:t>680</w:t>
            </w:r>
          </w:p>
        </w:tc>
        <w:tc>
          <w:tcPr>
            <w:tcW w:w="1276" w:type="dxa"/>
            <w:vAlign w:val="center"/>
          </w:tcPr>
          <w:p w14:paraId="33DC2862" w14:textId="77777777" w:rsidR="00F127A2" w:rsidRPr="003013D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3D2">
              <w:rPr>
                <w:rFonts w:ascii="Arial Narrow" w:hAnsi="Arial Narrow" w:cs="Arial"/>
                <w:bCs/>
                <w:sz w:val="18"/>
                <w:szCs w:val="18"/>
              </w:rPr>
              <w:t>375</w:t>
            </w:r>
          </w:p>
        </w:tc>
        <w:tc>
          <w:tcPr>
            <w:tcW w:w="1672" w:type="dxa"/>
            <w:vAlign w:val="center"/>
          </w:tcPr>
          <w:p w14:paraId="20060F32" w14:textId="77777777" w:rsidR="00F127A2" w:rsidRPr="003013D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3013D2">
              <w:rPr>
                <w:rFonts w:ascii="Arial Narrow" w:hAnsi="Arial Narrow" w:cs="Arial"/>
                <w:bCs/>
                <w:sz w:val="18"/>
                <w:szCs w:val="18"/>
              </w:rPr>
              <w:t>305</w:t>
            </w:r>
          </w:p>
        </w:tc>
      </w:tr>
      <w:tr w:rsidR="00F127A2" w:rsidRPr="00CE357F" w14:paraId="69DFE797"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418742E0"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Polsko</w:t>
            </w:r>
          </w:p>
        </w:tc>
        <w:tc>
          <w:tcPr>
            <w:tcW w:w="2551" w:type="dxa"/>
            <w:vAlign w:val="center"/>
          </w:tcPr>
          <w:p w14:paraId="7D1D74B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28</w:t>
            </w:r>
          </w:p>
        </w:tc>
        <w:tc>
          <w:tcPr>
            <w:tcW w:w="1276" w:type="dxa"/>
            <w:vAlign w:val="center"/>
          </w:tcPr>
          <w:p w14:paraId="6E13C5E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16</w:t>
            </w:r>
          </w:p>
        </w:tc>
        <w:tc>
          <w:tcPr>
            <w:tcW w:w="1672" w:type="dxa"/>
            <w:vAlign w:val="center"/>
          </w:tcPr>
          <w:p w14:paraId="079B3F8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12</w:t>
            </w:r>
          </w:p>
        </w:tc>
      </w:tr>
      <w:tr w:rsidR="00F127A2" w:rsidRPr="00CE357F" w14:paraId="3AA5A73A"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4DC480BE"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Bulharsko</w:t>
            </w:r>
          </w:p>
        </w:tc>
        <w:tc>
          <w:tcPr>
            <w:tcW w:w="2551" w:type="dxa"/>
            <w:vAlign w:val="center"/>
          </w:tcPr>
          <w:p w14:paraId="068BE0A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23</w:t>
            </w:r>
          </w:p>
        </w:tc>
        <w:tc>
          <w:tcPr>
            <w:tcW w:w="1276" w:type="dxa"/>
            <w:vAlign w:val="center"/>
          </w:tcPr>
          <w:p w14:paraId="3F36222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10</w:t>
            </w:r>
          </w:p>
        </w:tc>
        <w:tc>
          <w:tcPr>
            <w:tcW w:w="1672" w:type="dxa"/>
            <w:vAlign w:val="center"/>
          </w:tcPr>
          <w:p w14:paraId="1AC9614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13</w:t>
            </w:r>
          </w:p>
        </w:tc>
      </w:tr>
      <w:tr w:rsidR="00F127A2" w:rsidRPr="00CE357F" w14:paraId="1C8AE4A5"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000D2C06"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Rumunsko</w:t>
            </w:r>
          </w:p>
        </w:tc>
        <w:tc>
          <w:tcPr>
            <w:tcW w:w="2551" w:type="dxa"/>
            <w:vAlign w:val="center"/>
          </w:tcPr>
          <w:p w14:paraId="145E8E6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19</w:t>
            </w:r>
          </w:p>
        </w:tc>
        <w:tc>
          <w:tcPr>
            <w:tcW w:w="1276" w:type="dxa"/>
            <w:vAlign w:val="center"/>
          </w:tcPr>
          <w:p w14:paraId="0A894C4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14</w:t>
            </w:r>
          </w:p>
        </w:tc>
        <w:tc>
          <w:tcPr>
            <w:tcW w:w="1672" w:type="dxa"/>
            <w:vAlign w:val="center"/>
          </w:tcPr>
          <w:p w14:paraId="503F040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5</w:t>
            </w:r>
          </w:p>
        </w:tc>
      </w:tr>
      <w:tr w:rsidR="00F127A2" w:rsidRPr="00CE357F" w14:paraId="0DDF2701"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17725C9E"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Itálie</w:t>
            </w:r>
          </w:p>
        </w:tc>
        <w:tc>
          <w:tcPr>
            <w:tcW w:w="2551" w:type="dxa"/>
            <w:vAlign w:val="center"/>
          </w:tcPr>
          <w:p w14:paraId="1957E89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13</w:t>
            </w:r>
          </w:p>
        </w:tc>
        <w:tc>
          <w:tcPr>
            <w:tcW w:w="1276" w:type="dxa"/>
            <w:vAlign w:val="center"/>
          </w:tcPr>
          <w:p w14:paraId="5C830F3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0</w:t>
            </w:r>
          </w:p>
        </w:tc>
        <w:tc>
          <w:tcPr>
            <w:tcW w:w="1672" w:type="dxa"/>
            <w:vAlign w:val="center"/>
          </w:tcPr>
          <w:p w14:paraId="2AEAD44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13</w:t>
            </w:r>
          </w:p>
        </w:tc>
      </w:tr>
      <w:tr w:rsidR="00F127A2" w:rsidRPr="00CE357F" w14:paraId="0343BE80"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44E7F81A"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Řecko</w:t>
            </w:r>
          </w:p>
        </w:tc>
        <w:tc>
          <w:tcPr>
            <w:tcW w:w="2551" w:type="dxa"/>
            <w:vAlign w:val="center"/>
          </w:tcPr>
          <w:p w14:paraId="1225D3C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11</w:t>
            </w:r>
          </w:p>
        </w:tc>
        <w:tc>
          <w:tcPr>
            <w:tcW w:w="1276" w:type="dxa"/>
            <w:vAlign w:val="center"/>
          </w:tcPr>
          <w:p w14:paraId="5039C34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5</w:t>
            </w:r>
          </w:p>
        </w:tc>
        <w:tc>
          <w:tcPr>
            <w:tcW w:w="1672" w:type="dxa"/>
            <w:vAlign w:val="center"/>
          </w:tcPr>
          <w:p w14:paraId="5305095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6</w:t>
            </w:r>
          </w:p>
        </w:tc>
      </w:tr>
      <w:tr w:rsidR="00F127A2" w:rsidRPr="00CE357F" w14:paraId="3A408D45"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58EFE5F4"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Maďarsko</w:t>
            </w:r>
          </w:p>
        </w:tc>
        <w:tc>
          <w:tcPr>
            <w:tcW w:w="2551" w:type="dxa"/>
            <w:vAlign w:val="center"/>
          </w:tcPr>
          <w:p w14:paraId="065596F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w:t>
            </w:r>
          </w:p>
        </w:tc>
        <w:tc>
          <w:tcPr>
            <w:tcW w:w="1276" w:type="dxa"/>
            <w:vAlign w:val="center"/>
          </w:tcPr>
          <w:p w14:paraId="1C8E2E1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w:t>
            </w:r>
          </w:p>
        </w:tc>
        <w:tc>
          <w:tcPr>
            <w:tcW w:w="1672" w:type="dxa"/>
            <w:vAlign w:val="center"/>
          </w:tcPr>
          <w:p w14:paraId="158C164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6</w:t>
            </w:r>
          </w:p>
        </w:tc>
      </w:tr>
      <w:tr w:rsidR="00F127A2" w:rsidRPr="00CE357F" w14:paraId="65DAD84D"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59786F39"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Německo</w:t>
            </w:r>
          </w:p>
        </w:tc>
        <w:tc>
          <w:tcPr>
            <w:tcW w:w="2551" w:type="dxa"/>
            <w:vAlign w:val="center"/>
          </w:tcPr>
          <w:p w14:paraId="7C4FD1C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9</w:t>
            </w:r>
          </w:p>
        </w:tc>
        <w:tc>
          <w:tcPr>
            <w:tcW w:w="1276" w:type="dxa"/>
            <w:vAlign w:val="center"/>
          </w:tcPr>
          <w:p w14:paraId="1D2F5A4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w:t>
            </w:r>
          </w:p>
        </w:tc>
        <w:tc>
          <w:tcPr>
            <w:tcW w:w="1672" w:type="dxa"/>
            <w:vAlign w:val="center"/>
          </w:tcPr>
          <w:p w14:paraId="3CA6CB8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5</w:t>
            </w:r>
          </w:p>
        </w:tc>
      </w:tr>
      <w:tr w:rsidR="00F127A2" w:rsidRPr="00CE357F" w14:paraId="71B980B5"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17A8EF25"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Chorvatsko</w:t>
            </w:r>
          </w:p>
        </w:tc>
        <w:tc>
          <w:tcPr>
            <w:tcW w:w="2551" w:type="dxa"/>
            <w:vAlign w:val="center"/>
          </w:tcPr>
          <w:p w14:paraId="46EB2AD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7</w:t>
            </w:r>
          </w:p>
        </w:tc>
        <w:tc>
          <w:tcPr>
            <w:tcW w:w="1276" w:type="dxa"/>
            <w:vAlign w:val="center"/>
          </w:tcPr>
          <w:p w14:paraId="46D86AF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w:t>
            </w:r>
          </w:p>
        </w:tc>
        <w:tc>
          <w:tcPr>
            <w:tcW w:w="1672" w:type="dxa"/>
            <w:vAlign w:val="center"/>
          </w:tcPr>
          <w:p w14:paraId="778CDAF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w:t>
            </w:r>
          </w:p>
        </w:tc>
      </w:tr>
      <w:tr w:rsidR="00F127A2" w:rsidRPr="00CE357F" w14:paraId="37BCCD5C"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748BA280" w14:textId="77777777" w:rsidR="00F127A2" w:rsidRPr="00CE357F" w:rsidRDefault="00F127A2" w:rsidP="004A0C47">
            <w:pPr>
              <w:jc w:val="center"/>
              <w:rPr>
                <w:rFonts w:ascii="Arial Narrow" w:eastAsia="Times New Roman" w:hAnsi="Arial Narrow" w:cs="Arial"/>
                <w:sz w:val="18"/>
                <w:szCs w:val="18"/>
                <w:lang w:eastAsia="cs-CZ"/>
              </w:rPr>
            </w:pPr>
            <w:r>
              <w:rPr>
                <w:rFonts w:ascii="Arial Narrow" w:hAnsi="Arial Narrow"/>
                <w:b w:val="0"/>
                <w:bCs w:val="0"/>
                <w:sz w:val="18"/>
                <w:szCs w:val="18"/>
              </w:rPr>
              <w:t>Ostatní</w:t>
            </w:r>
          </w:p>
        </w:tc>
        <w:tc>
          <w:tcPr>
            <w:tcW w:w="2551" w:type="dxa"/>
            <w:vAlign w:val="center"/>
          </w:tcPr>
          <w:p w14:paraId="2BE6075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32</w:t>
            </w:r>
          </w:p>
        </w:tc>
        <w:tc>
          <w:tcPr>
            <w:tcW w:w="1276" w:type="dxa"/>
            <w:vAlign w:val="center"/>
          </w:tcPr>
          <w:p w14:paraId="32B4F57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10</w:t>
            </w:r>
          </w:p>
        </w:tc>
        <w:tc>
          <w:tcPr>
            <w:tcW w:w="1672" w:type="dxa"/>
            <w:vAlign w:val="center"/>
          </w:tcPr>
          <w:p w14:paraId="6339B40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22</w:t>
            </w:r>
          </w:p>
        </w:tc>
      </w:tr>
    </w:tbl>
    <w:p w14:paraId="611F0136"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Ministerstvo práce a sociálních věcí, data za měsíc prosinec daného roku</w:t>
      </w:r>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7D7E56B2" w14:textId="77777777" w:rsidR="00F127A2" w:rsidRPr="00CE357F" w:rsidRDefault="00F127A2" w:rsidP="00F127A2">
      <w:pPr>
        <w:spacing w:line="276" w:lineRule="auto"/>
        <w:rPr>
          <w:rFonts w:ascii="Arial Narrow" w:eastAsia="Times New Roman" w:hAnsi="Arial Narrow" w:cs="Arial"/>
          <w:color w:val="000000"/>
          <w:lang w:eastAsia="cs-CZ"/>
        </w:rPr>
      </w:pPr>
    </w:p>
    <w:p w14:paraId="72D0E1F2" w14:textId="2CCE0D12" w:rsidR="00F127A2" w:rsidRPr="00CE357F" w:rsidRDefault="00F127A2" w:rsidP="00F127A2">
      <w:pPr>
        <w:spacing w:after="120" w:line="276" w:lineRule="auto"/>
        <w:jc w:val="both"/>
        <w:rPr>
          <w:rFonts w:ascii="Arial Narrow" w:eastAsia="Times New Roman" w:hAnsi="Arial Narrow" w:cs="Arial"/>
          <w:color w:val="000000"/>
          <w:lang w:eastAsia="cs-CZ"/>
        </w:rPr>
      </w:pPr>
      <w:r w:rsidRPr="00CE357F">
        <w:rPr>
          <w:rFonts w:ascii="Arial Narrow" w:eastAsia="Times New Roman" w:hAnsi="Arial Narrow" w:cs="Arial"/>
          <w:color w:val="000000"/>
          <w:lang w:eastAsia="cs-CZ"/>
        </w:rPr>
        <w:t>Počet uchazečů z EU/EHP v rámci celé České r</w:t>
      </w:r>
      <w:r>
        <w:rPr>
          <w:rFonts w:ascii="Arial Narrow" w:eastAsia="Times New Roman" w:hAnsi="Arial Narrow" w:cs="Arial"/>
          <w:color w:val="000000"/>
          <w:lang w:eastAsia="cs-CZ"/>
        </w:rPr>
        <w:t>epubliky v první polovině</w:t>
      </w:r>
      <w:r w:rsidRPr="00CE357F">
        <w:rPr>
          <w:rFonts w:ascii="Arial Narrow" w:eastAsia="Times New Roman" w:hAnsi="Arial Narrow" w:cs="Arial"/>
          <w:color w:val="000000"/>
          <w:lang w:eastAsia="cs-CZ"/>
        </w:rPr>
        <w:t xml:space="preserve"> ro</w:t>
      </w:r>
      <w:r>
        <w:rPr>
          <w:rFonts w:ascii="Arial Narrow" w:eastAsia="Times New Roman" w:hAnsi="Arial Narrow" w:cs="Arial"/>
          <w:color w:val="000000"/>
          <w:lang w:eastAsia="cs-CZ"/>
        </w:rPr>
        <w:t>ku 2022</w:t>
      </w:r>
      <w:r w:rsidR="00053E14">
        <w:rPr>
          <w:rFonts w:ascii="Arial Narrow" w:eastAsia="Times New Roman" w:hAnsi="Arial Narrow" w:cs="Arial"/>
          <w:color w:val="000000"/>
          <w:lang w:eastAsia="cs-CZ"/>
        </w:rPr>
        <w:t>, jak ukazuje graf č. 48,</w:t>
      </w:r>
      <w:r w:rsidRPr="00CE357F">
        <w:rPr>
          <w:rFonts w:ascii="Arial Narrow" w:eastAsia="Times New Roman" w:hAnsi="Arial Narrow" w:cs="Arial"/>
          <w:color w:val="000000"/>
          <w:lang w:eastAsia="cs-CZ"/>
        </w:rPr>
        <w:t xml:space="preserve"> </w:t>
      </w:r>
      <w:r>
        <w:rPr>
          <w:rFonts w:ascii="Arial Narrow" w:eastAsia="Times New Roman" w:hAnsi="Arial Narrow" w:cs="Arial"/>
          <w:color w:val="000000"/>
          <w:lang w:eastAsia="cs-CZ"/>
        </w:rPr>
        <w:t>mírně klesal, ve druhé polovině se ale opět zvyšoval. V lednu 2022 tedy bylo evidováno 6 770</w:t>
      </w:r>
      <w:r w:rsidRPr="00CE357F">
        <w:rPr>
          <w:rFonts w:ascii="Arial Narrow" w:eastAsia="Times New Roman" w:hAnsi="Arial Narrow" w:cs="Arial"/>
          <w:color w:val="000000"/>
          <w:lang w:eastAsia="cs-CZ"/>
        </w:rPr>
        <w:t xml:space="preserve"> uchazečů, </w:t>
      </w:r>
      <w:r>
        <w:rPr>
          <w:rFonts w:ascii="Arial Narrow" w:eastAsia="Times New Roman" w:hAnsi="Arial Narrow" w:cs="Arial"/>
          <w:color w:val="000000"/>
          <w:lang w:eastAsia="cs-CZ"/>
        </w:rPr>
        <w:t xml:space="preserve">v červnu jich bylo 6 309, </w:t>
      </w:r>
      <w:r w:rsidR="008C78FF">
        <w:rPr>
          <w:rFonts w:ascii="Arial Narrow" w:eastAsia="Times New Roman" w:hAnsi="Arial Narrow" w:cs="Arial"/>
          <w:color w:val="000000"/>
          <w:lang w:eastAsia="cs-CZ"/>
        </w:rPr>
        <w:t>nicméně</w:t>
      </w:r>
      <w:r>
        <w:rPr>
          <w:rFonts w:ascii="Arial Narrow" w:eastAsia="Times New Roman" w:hAnsi="Arial Narrow" w:cs="Arial"/>
          <w:color w:val="000000"/>
          <w:lang w:eastAsia="cs-CZ"/>
        </w:rPr>
        <w:t xml:space="preserve"> v prosinci 2022 </w:t>
      </w:r>
      <w:r w:rsidR="008C78FF">
        <w:rPr>
          <w:rFonts w:ascii="Arial Narrow" w:eastAsia="Times New Roman" w:hAnsi="Arial Narrow" w:cs="Arial"/>
          <w:color w:val="000000"/>
          <w:lang w:eastAsia="cs-CZ"/>
        </w:rPr>
        <w:t>opět</w:t>
      </w:r>
      <w:r>
        <w:rPr>
          <w:rFonts w:ascii="Arial Narrow" w:eastAsia="Times New Roman" w:hAnsi="Arial Narrow" w:cs="Arial"/>
          <w:color w:val="000000"/>
          <w:lang w:eastAsia="cs-CZ"/>
        </w:rPr>
        <w:t xml:space="preserve"> 7 057</w:t>
      </w:r>
      <w:r w:rsidRPr="00CE357F">
        <w:rPr>
          <w:rFonts w:ascii="Arial Narrow" w:eastAsia="Times New Roman" w:hAnsi="Arial Narrow" w:cs="Arial"/>
          <w:color w:val="000000"/>
          <w:lang w:eastAsia="cs-CZ"/>
        </w:rPr>
        <w:t xml:space="preserve">. </w:t>
      </w:r>
    </w:p>
    <w:p w14:paraId="527907B6" w14:textId="77777777" w:rsidR="00F127A2" w:rsidRPr="00CE357F" w:rsidRDefault="00F127A2" w:rsidP="00F127A2">
      <w:pPr>
        <w:spacing w:after="120" w:line="276" w:lineRule="auto"/>
        <w:jc w:val="both"/>
        <w:rPr>
          <w:rFonts w:ascii="Arial Narrow" w:eastAsia="Times New Roman" w:hAnsi="Arial Narrow" w:cs="Arial"/>
          <w:color w:val="000000"/>
          <w:lang w:eastAsia="cs-CZ"/>
        </w:rPr>
      </w:pPr>
      <w:r>
        <w:rPr>
          <w:rFonts w:ascii="Arial Narrow" w:eastAsia="Times New Roman" w:hAnsi="Arial Narrow" w:cs="Arial"/>
          <w:color w:val="000000"/>
          <w:lang w:eastAsia="cs-CZ"/>
        </w:rPr>
        <w:t>P</w:t>
      </w:r>
      <w:r w:rsidRPr="00CE357F">
        <w:rPr>
          <w:rFonts w:ascii="Arial Narrow" w:eastAsia="Times New Roman" w:hAnsi="Arial Narrow" w:cs="Arial"/>
          <w:color w:val="000000"/>
          <w:lang w:eastAsia="cs-CZ"/>
        </w:rPr>
        <w:t>očt</w:t>
      </w:r>
      <w:r>
        <w:rPr>
          <w:rFonts w:ascii="Arial Narrow" w:eastAsia="Times New Roman" w:hAnsi="Arial Narrow" w:cs="Arial"/>
          <w:color w:val="000000"/>
          <w:lang w:eastAsia="cs-CZ"/>
        </w:rPr>
        <w:t>u</w:t>
      </w:r>
      <w:r w:rsidRPr="00CE357F">
        <w:rPr>
          <w:rFonts w:ascii="Arial Narrow" w:eastAsia="Times New Roman" w:hAnsi="Arial Narrow" w:cs="Arial"/>
          <w:color w:val="000000"/>
          <w:lang w:eastAsia="cs-CZ"/>
        </w:rPr>
        <w:t xml:space="preserve"> uchazečů z EU/EHP v Jihomoravském kraji </w:t>
      </w:r>
      <w:r>
        <w:rPr>
          <w:rFonts w:ascii="Arial Narrow" w:eastAsia="Times New Roman" w:hAnsi="Arial Narrow" w:cs="Arial"/>
          <w:color w:val="000000"/>
          <w:lang w:eastAsia="cs-CZ"/>
        </w:rPr>
        <w:t xml:space="preserve">byl poměrně stabilní v průběhu celého roku, přičemž podobně jako v rámci celé ČR byl za rok 2022 nejnižší počet evidovaných uchazečů v červnu (710 uchazečů) a nejvyšší v prosinci (831 uchazečů). </w:t>
      </w:r>
    </w:p>
    <w:p w14:paraId="1EAAD4C0" w14:textId="77777777" w:rsidR="00F127A2" w:rsidRDefault="00F127A2" w:rsidP="00F127A2">
      <w:pPr>
        <w:jc w:val="both"/>
        <w:rPr>
          <w:rFonts w:ascii="Arial Narrow" w:eastAsia="Times New Roman" w:hAnsi="Arial Narrow" w:cs="Arial"/>
          <w:color w:val="000000"/>
          <w:lang w:eastAsia="cs-CZ"/>
        </w:rPr>
      </w:pPr>
      <w:bookmarkStart w:id="318" w:name="_Toc94443752"/>
    </w:p>
    <w:p w14:paraId="3AABDCCC" w14:textId="77777777" w:rsidR="00053E14" w:rsidRDefault="00053E14" w:rsidP="00F127A2">
      <w:pPr>
        <w:jc w:val="both"/>
        <w:rPr>
          <w:rFonts w:ascii="Arial Narrow" w:eastAsia="Times New Roman" w:hAnsi="Arial Narrow" w:cs="Arial"/>
          <w:color w:val="000000"/>
          <w:lang w:eastAsia="cs-CZ"/>
        </w:rPr>
      </w:pPr>
    </w:p>
    <w:p w14:paraId="057C60FE" w14:textId="77777777" w:rsidR="00053E14" w:rsidRDefault="00053E14" w:rsidP="00F127A2">
      <w:pPr>
        <w:jc w:val="both"/>
        <w:rPr>
          <w:rFonts w:ascii="Arial Narrow" w:eastAsia="Times New Roman" w:hAnsi="Arial Narrow" w:cs="Arial"/>
          <w:color w:val="000000"/>
          <w:lang w:eastAsia="cs-CZ"/>
        </w:rPr>
      </w:pPr>
    </w:p>
    <w:p w14:paraId="455082BA" w14:textId="77777777" w:rsidR="00053E14" w:rsidRDefault="00053E14" w:rsidP="00F127A2">
      <w:pPr>
        <w:jc w:val="both"/>
        <w:rPr>
          <w:rFonts w:ascii="Arial Narrow" w:eastAsia="Times New Roman" w:hAnsi="Arial Narrow" w:cs="Arial"/>
          <w:color w:val="000000"/>
          <w:lang w:eastAsia="cs-CZ"/>
        </w:rPr>
      </w:pPr>
    </w:p>
    <w:p w14:paraId="5DB63E84" w14:textId="77777777" w:rsidR="00053E14" w:rsidRDefault="00053E14" w:rsidP="00F127A2">
      <w:pPr>
        <w:jc w:val="both"/>
        <w:rPr>
          <w:rFonts w:ascii="Arial Narrow" w:eastAsia="Times New Roman" w:hAnsi="Arial Narrow" w:cs="Arial"/>
          <w:color w:val="000000"/>
          <w:lang w:eastAsia="cs-CZ"/>
        </w:rPr>
      </w:pPr>
    </w:p>
    <w:p w14:paraId="300A8572" w14:textId="77777777" w:rsidR="00053E14" w:rsidRDefault="00053E14" w:rsidP="00F127A2">
      <w:pPr>
        <w:jc w:val="both"/>
        <w:rPr>
          <w:rFonts w:ascii="Arial Narrow" w:eastAsia="Times New Roman" w:hAnsi="Arial Narrow" w:cs="Arial"/>
          <w:color w:val="000000"/>
          <w:lang w:eastAsia="cs-CZ"/>
        </w:rPr>
      </w:pPr>
    </w:p>
    <w:p w14:paraId="1B1DCF3B" w14:textId="77777777" w:rsidR="00053E14" w:rsidRDefault="00053E14" w:rsidP="00F127A2">
      <w:pPr>
        <w:jc w:val="both"/>
        <w:rPr>
          <w:rFonts w:ascii="Arial Narrow" w:eastAsia="Times New Roman" w:hAnsi="Arial Narrow" w:cs="Arial"/>
          <w:color w:val="000000"/>
          <w:lang w:eastAsia="cs-CZ"/>
        </w:rPr>
      </w:pPr>
    </w:p>
    <w:p w14:paraId="64B8E2C9" w14:textId="77777777" w:rsidR="00053E14" w:rsidRDefault="00053E14" w:rsidP="00F127A2">
      <w:pPr>
        <w:jc w:val="both"/>
        <w:rPr>
          <w:rFonts w:ascii="Arial Narrow" w:eastAsia="Times New Roman" w:hAnsi="Arial Narrow" w:cs="Arial"/>
          <w:color w:val="000000"/>
          <w:lang w:eastAsia="cs-CZ"/>
        </w:rPr>
      </w:pPr>
    </w:p>
    <w:p w14:paraId="0E609F4B" w14:textId="77777777" w:rsidR="00053E14" w:rsidRDefault="00053E14" w:rsidP="00F127A2">
      <w:pPr>
        <w:jc w:val="both"/>
        <w:rPr>
          <w:rFonts w:ascii="Arial Narrow" w:eastAsia="Times New Roman" w:hAnsi="Arial Narrow" w:cs="Arial"/>
          <w:color w:val="000000"/>
          <w:lang w:eastAsia="cs-CZ"/>
        </w:rPr>
      </w:pPr>
    </w:p>
    <w:p w14:paraId="416FA9BB" w14:textId="77777777" w:rsidR="00053E14" w:rsidRDefault="00053E14" w:rsidP="00F127A2">
      <w:pPr>
        <w:jc w:val="both"/>
        <w:rPr>
          <w:rFonts w:ascii="Arial Narrow" w:hAnsi="Arial Narrow"/>
          <w:b/>
          <w:sz w:val="20"/>
          <w:szCs w:val="20"/>
        </w:rPr>
      </w:pPr>
    </w:p>
    <w:p w14:paraId="1AB09821" w14:textId="77777777" w:rsidR="00F127A2" w:rsidRDefault="00F127A2" w:rsidP="00F127A2">
      <w:pPr>
        <w:jc w:val="both"/>
        <w:rPr>
          <w:rFonts w:ascii="Arial Narrow" w:hAnsi="Arial Narrow"/>
          <w:b/>
          <w:sz w:val="20"/>
          <w:szCs w:val="20"/>
        </w:rPr>
      </w:pPr>
    </w:p>
    <w:p w14:paraId="03C8DD51" w14:textId="0E3243A5" w:rsidR="00F127A2" w:rsidRPr="00CE357F" w:rsidRDefault="00F127A2" w:rsidP="00F127A2">
      <w:pPr>
        <w:jc w:val="both"/>
        <w:rPr>
          <w:rFonts w:ascii="Arial Narrow" w:hAnsi="Arial Narrow"/>
          <w:b/>
          <w:bCs/>
          <w:sz w:val="20"/>
          <w:szCs w:val="20"/>
        </w:rPr>
      </w:pPr>
      <w:bookmarkStart w:id="319" w:name="_Toc136428892"/>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48</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Vývoj počtu uchazečů z EU/EHP dle jednotlivých měsíců v roce 202</w:t>
      </w:r>
      <w:bookmarkEnd w:id="318"/>
      <w:r>
        <w:rPr>
          <w:rFonts w:ascii="Arial Narrow" w:hAnsi="Arial Narrow"/>
          <w:b/>
          <w:bCs/>
          <w:sz w:val="20"/>
          <w:szCs w:val="20"/>
        </w:rPr>
        <w:t>2</w:t>
      </w:r>
      <w:bookmarkEnd w:id="319"/>
    </w:p>
    <w:p w14:paraId="4BDF3029" w14:textId="77777777" w:rsidR="00F127A2" w:rsidRPr="00CE357F" w:rsidRDefault="00F127A2" w:rsidP="00F127A2">
      <w:pPr>
        <w:spacing w:line="276" w:lineRule="auto"/>
        <w:rPr>
          <w:rFonts w:ascii="Arial Narrow" w:hAnsi="Arial Narrow"/>
          <w:b/>
          <w:color w:val="2F5496" w:themeColor="accent1" w:themeShade="BF"/>
        </w:rPr>
      </w:pPr>
      <w:r w:rsidRPr="00CE357F">
        <w:rPr>
          <w:rFonts w:ascii="Arial Narrow" w:hAnsi="Arial Narrow"/>
          <w:b/>
          <w:noProof/>
          <w:color w:val="2F5496" w:themeColor="accent1" w:themeShade="BF"/>
          <w:sz w:val="20"/>
          <w:szCs w:val="20"/>
          <w:lang w:eastAsia="cs-CZ"/>
        </w:rPr>
        <w:drawing>
          <wp:inline distT="0" distB="0" distL="0" distR="0" wp14:anchorId="2A2F596B" wp14:editId="75861FA8">
            <wp:extent cx="5734050" cy="230505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C477687"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6C9AE684" w14:textId="77777777" w:rsidR="00F127A2" w:rsidRPr="00CE357F" w:rsidRDefault="00F127A2" w:rsidP="00F127A2">
      <w:pPr>
        <w:spacing w:line="276" w:lineRule="auto"/>
        <w:rPr>
          <w:rFonts w:ascii="Arial Narrow" w:hAnsi="Arial Narrow"/>
          <w:b/>
          <w:color w:val="2F5496" w:themeColor="accent1" w:themeShade="BF"/>
        </w:rPr>
      </w:pPr>
    </w:p>
    <w:p w14:paraId="0D8A4F1E" w14:textId="76D86A3A" w:rsidR="00F127A2" w:rsidRPr="000627ED" w:rsidRDefault="00F127A2" w:rsidP="00F127A2">
      <w:pPr>
        <w:spacing w:after="120" w:line="276" w:lineRule="auto"/>
        <w:jc w:val="both"/>
        <w:rPr>
          <w:rFonts w:ascii="Arial Narrow" w:hAnsi="Arial Narrow"/>
        </w:rPr>
      </w:pPr>
      <w:r w:rsidRPr="000627ED">
        <w:rPr>
          <w:rFonts w:ascii="Arial Narrow" w:hAnsi="Arial Narrow"/>
        </w:rPr>
        <w:t xml:space="preserve">Podíváme-li se na vývoj počtu uchazečů z EU/EHP v měsíci prosinec mezi lety 2014 a 2022 nejvyšší počet uchazečů v Jihomoravském kraji byl zaznamenán v prosinci 2014, </w:t>
      </w:r>
      <w:r w:rsidR="008C78FF">
        <w:rPr>
          <w:rFonts w:ascii="Arial Narrow" w:hAnsi="Arial Narrow"/>
        </w:rPr>
        <w:t xml:space="preserve">jednalo se </w:t>
      </w:r>
      <w:r w:rsidRPr="000627ED">
        <w:rPr>
          <w:rFonts w:ascii="Arial Narrow" w:hAnsi="Arial Narrow"/>
        </w:rPr>
        <w:t>celkem</w:t>
      </w:r>
      <w:r w:rsidR="008C78FF">
        <w:rPr>
          <w:rFonts w:ascii="Arial Narrow" w:hAnsi="Arial Narrow"/>
        </w:rPr>
        <w:t xml:space="preserve"> o</w:t>
      </w:r>
      <w:r w:rsidRPr="000627ED">
        <w:rPr>
          <w:rFonts w:ascii="Arial Narrow" w:hAnsi="Arial Narrow"/>
        </w:rPr>
        <w:t xml:space="preserve"> 818 uchazečů. Počet uchazečů mezi lety 2014 a 2018 postupně klesal a v prosinci 2019 bylo evidováno 575 uchazečů. Během posledních 2 let počet uchazečů z EU/EHP v Jihomoravském kraji postupně opět narůstá a v prosinci roku 2021 bylo evidováno 744 uchazečů. Z hlediska občanství uchazečů z EU/EHP jde nejčastěji o </w:t>
      </w:r>
      <w:bookmarkStart w:id="320" w:name="_Hlk95739543"/>
      <w:r w:rsidRPr="000627ED">
        <w:rPr>
          <w:rFonts w:ascii="Arial Narrow" w:hAnsi="Arial Narrow"/>
        </w:rPr>
        <w:t>občany Slovenské republiky, kteří dlouhodobě tvoří průměrně 80 % všech uchazečů.</w:t>
      </w:r>
      <w:bookmarkEnd w:id="320"/>
      <w:r w:rsidRPr="000627ED">
        <w:rPr>
          <w:rFonts w:ascii="Arial Narrow" w:hAnsi="Arial Narrow"/>
        </w:rPr>
        <w:t xml:space="preserve"> </w:t>
      </w:r>
      <w:bookmarkStart w:id="321" w:name="_Hlk95739625"/>
      <w:r w:rsidRPr="000627ED">
        <w:rPr>
          <w:rFonts w:ascii="Arial Narrow" w:hAnsi="Arial Narrow"/>
        </w:rPr>
        <w:t>Uchazeči z Bulharska, Polska a Rumunska tvoří pravidelně průměrně 10 % všech uchazečů z EU/EHP v Jihomoravském kraji</w:t>
      </w:r>
      <w:bookmarkEnd w:id="321"/>
      <w:r w:rsidRPr="000627ED">
        <w:rPr>
          <w:rFonts w:ascii="Arial Narrow" w:hAnsi="Arial Narrow"/>
        </w:rPr>
        <w:t xml:space="preserve">. Zbývajících přibližně 10 % uchazečů tvoří občané jiných států z EU/EHP. </w:t>
      </w:r>
    </w:p>
    <w:p w14:paraId="0E09DA70" w14:textId="43EB586C" w:rsidR="00F127A2" w:rsidRPr="000627ED" w:rsidRDefault="00F127A2" w:rsidP="00F127A2">
      <w:pPr>
        <w:spacing w:after="120" w:line="276" w:lineRule="auto"/>
        <w:jc w:val="both"/>
        <w:rPr>
          <w:rFonts w:ascii="Arial Narrow" w:hAnsi="Arial Narrow"/>
        </w:rPr>
      </w:pPr>
      <w:bookmarkStart w:id="322" w:name="_Hlk95739733"/>
      <w:r w:rsidRPr="000627ED">
        <w:rPr>
          <w:rFonts w:ascii="Arial Narrow" w:hAnsi="Arial Narrow"/>
        </w:rPr>
        <w:t>Vývoj počtu uchazečů z EU/EHP v Jihomoravském kraji je takřka totožný s vývojem počtu uchazečů z těchto zemí v rámci celé České republiky. Uchazeči z Jihomoravského kraje mezi lety 2014 a 2021 průměrně tvořili 11 % všech uchazečů z EU/EHP v České republice</w:t>
      </w:r>
      <w:bookmarkEnd w:id="322"/>
      <w:r w:rsidRPr="000627ED">
        <w:rPr>
          <w:rFonts w:ascii="Arial Narrow" w:hAnsi="Arial Narrow"/>
        </w:rPr>
        <w:t>. Vývoj počtu uchazečů podle občanství v měsíci prosinec let 2014–202</w:t>
      </w:r>
      <w:r w:rsidR="008C78FF">
        <w:rPr>
          <w:rFonts w:ascii="Arial Narrow" w:hAnsi="Arial Narrow"/>
        </w:rPr>
        <w:t>2</w:t>
      </w:r>
      <w:r w:rsidRPr="000627ED">
        <w:rPr>
          <w:rFonts w:ascii="Arial Narrow" w:hAnsi="Arial Narrow"/>
        </w:rPr>
        <w:t xml:space="preserve"> včetně nejčastěji evidovaných občanství a počtu uchazečů podrobně dokumentuje tabulka</w:t>
      </w:r>
      <w:r w:rsidR="00053E14">
        <w:rPr>
          <w:rFonts w:ascii="Arial Narrow" w:hAnsi="Arial Narrow"/>
        </w:rPr>
        <w:t xml:space="preserve"> č. 14</w:t>
      </w:r>
      <w:r w:rsidRPr="000627ED">
        <w:rPr>
          <w:rFonts w:ascii="Arial Narrow" w:hAnsi="Arial Narrow"/>
        </w:rPr>
        <w:t xml:space="preserve">.  </w:t>
      </w:r>
    </w:p>
    <w:p w14:paraId="2B0DB86E" w14:textId="03D55ACB" w:rsidR="00F127A2" w:rsidRPr="00CE357F" w:rsidRDefault="00F127A2" w:rsidP="00F127A2">
      <w:pPr>
        <w:spacing w:line="276" w:lineRule="auto"/>
        <w:jc w:val="both"/>
        <w:rPr>
          <w:rFonts w:ascii="Arial Narrow" w:hAnsi="Arial Narrow"/>
          <w:b/>
          <w:sz w:val="24"/>
        </w:rPr>
      </w:pPr>
      <w:bookmarkStart w:id="323" w:name="_Toc136429225"/>
      <w:r w:rsidRPr="00CE357F">
        <w:rPr>
          <w:rFonts w:ascii="Arial Narrow" w:hAnsi="Arial Narrow"/>
          <w:b/>
          <w:sz w:val="20"/>
          <w:szCs w:val="18"/>
        </w:rPr>
        <w:t xml:space="preserve">Tabulka </w:t>
      </w:r>
      <w:r w:rsidRPr="00CE357F">
        <w:rPr>
          <w:rFonts w:ascii="Arial Narrow" w:hAnsi="Arial Narrow"/>
          <w:b/>
          <w:sz w:val="20"/>
          <w:szCs w:val="18"/>
        </w:rPr>
        <w:fldChar w:fldCharType="begin"/>
      </w:r>
      <w:r w:rsidRPr="00CE357F">
        <w:rPr>
          <w:rFonts w:ascii="Arial Narrow" w:hAnsi="Arial Narrow"/>
          <w:b/>
          <w:sz w:val="20"/>
          <w:szCs w:val="18"/>
        </w:rPr>
        <w:instrText xml:space="preserve"> SEQ Tabulka \* ARABIC </w:instrText>
      </w:r>
      <w:r w:rsidRPr="00CE357F">
        <w:rPr>
          <w:rFonts w:ascii="Arial Narrow" w:hAnsi="Arial Narrow"/>
          <w:b/>
          <w:sz w:val="20"/>
          <w:szCs w:val="18"/>
        </w:rPr>
        <w:fldChar w:fldCharType="separate"/>
      </w:r>
      <w:r w:rsidR="00256C97">
        <w:rPr>
          <w:rFonts w:ascii="Arial Narrow" w:hAnsi="Arial Narrow"/>
          <w:b/>
          <w:noProof/>
          <w:sz w:val="20"/>
          <w:szCs w:val="18"/>
        </w:rPr>
        <w:t>14</w:t>
      </w:r>
      <w:r w:rsidRPr="00CE357F">
        <w:rPr>
          <w:rFonts w:ascii="Arial Narrow" w:hAnsi="Arial Narrow"/>
          <w:b/>
          <w:sz w:val="20"/>
          <w:szCs w:val="18"/>
        </w:rPr>
        <w:fldChar w:fldCharType="end"/>
      </w:r>
      <w:r w:rsidRPr="00CE357F">
        <w:rPr>
          <w:rFonts w:ascii="Arial Narrow" w:hAnsi="Arial Narrow"/>
          <w:b/>
          <w:sz w:val="20"/>
          <w:szCs w:val="18"/>
        </w:rPr>
        <w:t xml:space="preserve">: </w:t>
      </w:r>
      <w:r w:rsidRPr="00CE357F">
        <w:rPr>
          <w:rFonts w:ascii="Arial Narrow" w:hAnsi="Arial Narrow"/>
          <w:b/>
          <w:bCs/>
          <w:sz w:val="20"/>
          <w:szCs w:val="18"/>
        </w:rPr>
        <w:t xml:space="preserve"> </w:t>
      </w:r>
      <w:r w:rsidRPr="00CE357F">
        <w:rPr>
          <w:rFonts w:ascii="Arial Narrow" w:hAnsi="Arial Narrow"/>
          <w:b/>
          <w:color w:val="000000" w:themeColor="text1"/>
          <w:sz w:val="20"/>
          <w:szCs w:val="18"/>
        </w:rPr>
        <w:t>Struktura uchazečů o zaměstnání z EU/EHP v ČR a JMK v letech 2014-202</w:t>
      </w:r>
      <w:r>
        <w:rPr>
          <w:rFonts w:ascii="Arial Narrow" w:hAnsi="Arial Narrow"/>
          <w:b/>
          <w:color w:val="000000" w:themeColor="text1"/>
          <w:sz w:val="20"/>
          <w:szCs w:val="18"/>
        </w:rPr>
        <w:t>2</w:t>
      </w:r>
      <w:bookmarkEnd w:id="323"/>
    </w:p>
    <w:tbl>
      <w:tblPr>
        <w:tblStyle w:val="Svtltabulkasmkou1zvraznn12"/>
        <w:tblW w:w="9179" w:type="dxa"/>
        <w:tblLook w:val="04A0" w:firstRow="1" w:lastRow="0" w:firstColumn="1" w:lastColumn="0" w:noHBand="0" w:noVBand="1"/>
      </w:tblPr>
      <w:tblGrid>
        <w:gridCol w:w="881"/>
        <w:gridCol w:w="922"/>
        <w:gridCol w:w="922"/>
        <w:gridCol w:w="922"/>
        <w:gridCol w:w="922"/>
        <w:gridCol w:w="922"/>
        <w:gridCol w:w="922"/>
        <w:gridCol w:w="922"/>
        <w:gridCol w:w="922"/>
        <w:gridCol w:w="922"/>
      </w:tblGrid>
      <w:tr w:rsidR="00F127A2" w:rsidRPr="00CE357F" w14:paraId="042BF8E0" w14:textId="77777777" w:rsidTr="004A0C47">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179" w:type="dxa"/>
            <w:gridSpan w:val="10"/>
            <w:shd w:val="clear" w:color="auto" w:fill="D9E2F3" w:themeFill="accent1" w:themeFillTint="33"/>
            <w:vAlign w:val="center"/>
          </w:tcPr>
          <w:p w14:paraId="48692136" w14:textId="77777777" w:rsidR="00F127A2" w:rsidRPr="00CE357F" w:rsidRDefault="00F127A2"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Uchazeči z EU/EHP po</w:t>
            </w:r>
            <w:r>
              <w:rPr>
                <w:rFonts w:ascii="Arial Narrow" w:eastAsia="Times New Roman" w:hAnsi="Arial Narrow" w:cs="Arial"/>
                <w:sz w:val="18"/>
                <w:szCs w:val="18"/>
                <w:lang w:eastAsia="cs-CZ"/>
              </w:rPr>
              <w:t>dle občanství v letech 2014-2022</w:t>
            </w:r>
            <w:r w:rsidRPr="00CE357F">
              <w:rPr>
                <w:rFonts w:ascii="Arial Narrow" w:eastAsia="Times New Roman" w:hAnsi="Arial Narrow" w:cs="Arial"/>
                <w:sz w:val="18"/>
                <w:szCs w:val="18"/>
                <w:lang w:eastAsia="cs-CZ"/>
              </w:rPr>
              <w:t xml:space="preserve"> (vždy za měsíc prosinec)</w:t>
            </w:r>
          </w:p>
        </w:tc>
      </w:tr>
      <w:tr w:rsidR="00F127A2" w:rsidRPr="00CE357F" w14:paraId="51D74403" w14:textId="77777777" w:rsidTr="004A0C47">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hideMark/>
          </w:tcPr>
          <w:p w14:paraId="25F75E34" w14:textId="77777777" w:rsidR="00F127A2" w:rsidRPr="00CE357F" w:rsidRDefault="00F127A2" w:rsidP="004A0C47">
            <w:pPr>
              <w:jc w:val="center"/>
              <w:rPr>
                <w:rFonts w:ascii="Arial Narrow" w:eastAsia="Times New Roman" w:hAnsi="Arial Narrow" w:cs="Arial"/>
                <w:b w:val="0"/>
                <w:bCs w:val="0"/>
                <w:sz w:val="18"/>
                <w:szCs w:val="18"/>
                <w:lang w:eastAsia="cs-CZ"/>
              </w:rPr>
            </w:pPr>
          </w:p>
        </w:tc>
        <w:tc>
          <w:tcPr>
            <w:tcW w:w="922" w:type="dxa"/>
            <w:shd w:val="clear" w:color="auto" w:fill="D9E2F3" w:themeFill="accent1" w:themeFillTint="33"/>
            <w:vAlign w:val="center"/>
          </w:tcPr>
          <w:p w14:paraId="1DE5A68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2014</w:t>
            </w:r>
          </w:p>
        </w:tc>
        <w:tc>
          <w:tcPr>
            <w:tcW w:w="922" w:type="dxa"/>
            <w:shd w:val="clear" w:color="auto" w:fill="D9E2F3" w:themeFill="accent1" w:themeFillTint="33"/>
            <w:vAlign w:val="center"/>
          </w:tcPr>
          <w:p w14:paraId="0E32D813"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2015</w:t>
            </w:r>
          </w:p>
        </w:tc>
        <w:tc>
          <w:tcPr>
            <w:tcW w:w="922" w:type="dxa"/>
            <w:shd w:val="clear" w:color="auto" w:fill="D9E2F3" w:themeFill="accent1" w:themeFillTint="33"/>
            <w:vAlign w:val="center"/>
          </w:tcPr>
          <w:p w14:paraId="4F97FF8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2016</w:t>
            </w:r>
          </w:p>
        </w:tc>
        <w:tc>
          <w:tcPr>
            <w:tcW w:w="922" w:type="dxa"/>
            <w:shd w:val="clear" w:color="auto" w:fill="D9E2F3" w:themeFill="accent1" w:themeFillTint="33"/>
            <w:vAlign w:val="center"/>
          </w:tcPr>
          <w:p w14:paraId="1531F75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2017</w:t>
            </w:r>
          </w:p>
        </w:tc>
        <w:tc>
          <w:tcPr>
            <w:tcW w:w="922" w:type="dxa"/>
            <w:shd w:val="clear" w:color="auto" w:fill="D9E2F3" w:themeFill="accent1" w:themeFillTint="33"/>
            <w:vAlign w:val="center"/>
          </w:tcPr>
          <w:p w14:paraId="38E9B72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2018</w:t>
            </w:r>
          </w:p>
        </w:tc>
        <w:tc>
          <w:tcPr>
            <w:tcW w:w="922" w:type="dxa"/>
            <w:shd w:val="clear" w:color="auto" w:fill="D9E2F3" w:themeFill="accent1" w:themeFillTint="33"/>
            <w:vAlign w:val="center"/>
          </w:tcPr>
          <w:p w14:paraId="7923BC5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2019</w:t>
            </w:r>
          </w:p>
        </w:tc>
        <w:tc>
          <w:tcPr>
            <w:tcW w:w="922" w:type="dxa"/>
            <w:shd w:val="clear" w:color="auto" w:fill="D9E2F3" w:themeFill="accent1" w:themeFillTint="33"/>
            <w:vAlign w:val="center"/>
          </w:tcPr>
          <w:p w14:paraId="6AFC39E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2020</w:t>
            </w:r>
          </w:p>
        </w:tc>
        <w:tc>
          <w:tcPr>
            <w:tcW w:w="922" w:type="dxa"/>
            <w:shd w:val="clear" w:color="auto" w:fill="D9E2F3" w:themeFill="accent1" w:themeFillTint="33"/>
            <w:vAlign w:val="center"/>
          </w:tcPr>
          <w:p w14:paraId="6946420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2021</w:t>
            </w:r>
          </w:p>
        </w:tc>
        <w:tc>
          <w:tcPr>
            <w:tcW w:w="922" w:type="dxa"/>
            <w:shd w:val="clear" w:color="auto" w:fill="D9E2F3" w:themeFill="accent1" w:themeFillTint="33"/>
          </w:tcPr>
          <w:p w14:paraId="47603B7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Pr>
                <w:rFonts w:ascii="Arial Narrow" w:eastAsia="Times New Roman" w:hAnsi="Arial Narrow" w:cs="Arial"/>
                <w:sz w:val="18"/>
                <w:szCs w:val="18"/>
                <w:lang w:eastAsia="cs-CZ"/>
              </w:rPr>
              <w:t>2022</w:t>
            </w:r>
          </w:p>
        </w:tc>
      </w:tr>
      <w:tr w:rsidR="00F127A2" w:rsidRPr="00CE357F" w14:paraId="01A5419A" w14:textId="77777777" w:rsidTr="004A0C47">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tcPr>
          <w:p w14:paraId="4A590EDD" w14:textId="77777777" w:rsidR="00F127A2" w:rsidRPr="00CE357F" w:rsidRDefault="00F127A2" w:rsidP="004A0C47">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EU/EHP v ČR celkem</w:t>
            </w:r>
          </w:p>
        </w:tc>
        <w:tc>
          <w:tcPr>
            <w:tcW w:w="922" w:type="dxa"/>
            <w:vAlign w:val="center"/>
          </w:tcPr>
          <w:p w14:paraId="559C241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8 118</w:t>
            </w:r>
          </w:p>
        </w:tc>
        <w:tc>
          <w:tcPr>
            <w:tcW w:w="922" w:type="dxa"/>
            <w:vAlign w:val="center"/>
          </w:tcPr>
          <w:p w14:paraId="6220ED6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7 352</w:t>
            </w:r>
          </w:p>
        </w:tc>
        <w:tc>
          <w:tcPr>
            <w:tcW w:w="922" w:type="dxa"/>
            <w:vAlign w:val="center"/>
          </w:tcPr>
          <w:p w14:paraId="244075F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6 948</w:t>
            </w:r>
          </w:p>
        </w:tc>
        <w:tc>
          <w:tcPr>
            <w:tcW w:w="922" w:type="dxa"/>
            <w:vAlign w:val="center"/>
          </w:tcPr>
          <w:p w14:paraId="57FA4DA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5 366</w:t>
            </w:r>
          </w:p>
        </w:tc>
        <w:tc>
          <w:tcPr>
            <w:tcW w:w="922" w:type="dxa"/>
            <w:vAlign w:val="center"/>
          </w:tcPr>
          <w:p w14:paraId="388135F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4 846</w:t>
            </w:r>
          </w:p>
        </w:tc>
        <w:tc>
          <w:tcPr>
            <w:tcW w:w="922" w:type="dxa"/>
            <w:vAlign w:val="center"/>
          </w:tcPr>
          <w:p w14:paraId="4FFF1C3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5 115</w:t>
            </w:r>
          </w:p>
        </w:tc>
        <w:tc>
          <w:tcPr>
            <w:tcW w:w="922" w:type="dxa"/>
            <w:vAlign w:val="center"/>
          </w:tcPr>
          <w:p w14:paraId="08EA56A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7 443</w:t>
            </w:r>
          </w:p>
        </w:tc>
        <w:tc>
          <w:tcPr>
            <w:tcW w:w="922" w:type="dxa"/>
            <w:vAlign w:val="center"/>
          </w:tcPr>
          <w:p w14:paraId="210A208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6 670</w:t>
            </w:r>
          </w:p>
        </w:tc>
        <w:tc>
          <w:tcPr>
            <w:tcW w:w="922" w:type="dxa"/>
            <w:vAlign w:val="center"/>
          </w:tcPr>
          <w:p w14:paraId="1C8DA95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7 057</w:t>
            </w:r>
          </w:p>
        </w:tc>
      </w:tr>
      <w:tr w:rsidR="00F127A2" w:rsidRPr="00CE357F" w14:paraId="0B3C5AA9" w14:textId="77777777" w:rsidTr="004A0C47">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tcPr>
          <w:p w14:paraId="3BD254C3" w14:textId="77777777" w:rsidR="00F127A2" w:rsidRPr="00CE357F" w:rsidRDefault="00F127A2" w:rsidP="004A0C47">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EU/EHP v JMK</w:t>
            </w:r>
          </w:p>
        </w:tc>
        <w:tc>
          <w:tcPr>
            <w:tcW w:w="922" w:type="dxa"/>
            <w:vAlign w:val="center"/>
          </w:tcPr>
          <w:p w14:paraId="0F0A8FF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818</w:t>
            </w:r>
          </w:p>
        </w:tc>
        <w:tc>
          <w:tcPr>
            <w:tcW w:w="922" w:type="dxa"/>
            <w:vAlign w:val="center"/>
          </w:tcPr>
          <w:p w14:paraId="2340B9F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743</w:t>
            </w:r>
          </w:p>
        </w:tc>
        <w:tc>
          <w:tcPr>
            <w:tcW w:w="922" w:type="dxa"/>
            <w:vAlign w:val="center"/>
          </w:tcPr>
          <w:p w14:paraId="052BE38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775</w:t>
            </w:r>
          </w:p>
        </w:tc>
        <w:tc>
          <w:tcPr>
            <w:tcW w:w="922" w:type="dxa"/>
            <w:vAlign w:val="center"/>
          </w:tcPr>
          <w:p w14:paraId="7FC5340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605</w:t>
            </w:r>
          </w:p>
        </w:tc>
        <w:tc>
          <w:tcPr>
            <w:tcW w:w="922" w:type="dxa"/>
            <w:vAlign w:val="center"/>
          </w:tcPr>
          <w:p w14:paraId="4B698C9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586</w:t>
            </w:r>
          </w:p>
        </w:tc>
        <w:tc>
          <w:tcPr>
            <w:tcW w:w="922" w:type="dxa"/>
            <w:vAlign w:val="center"/>
          </w:tcPr>
          <w:p w14:paraId="2B426E1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575</w:t>
            </w:r>
          </w:p>
        </w:tc>
        <w:tc>
          <w:tcPr>
            <w:tcW w:w="922" w:type="dxa"/>
            <w:vAlign w:val="center"/>
          </w:tcPr>
          <w:p w14:paraId="2E874DC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793</w:t>
            </w:r>
          </w:p>
        </w:tc>
        <w:tc>
          <w:tcPr>
            <w:tcW w:w="922" w:type="dxa"/>
            <w:vAlign w:val="center"/>
          </w:tcPr>
          <w:p w14:paraId="17BF1C0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744</w:t>
            </w:r>
          </w:p>
        </w:tc>
        <w:tc>
          <w:tcPr>
            <w:tcW w:w="922" w:type="dxa"/>
            <w:vAlign w:val="center"/>
          </w:tcPr>
          <w:p w14:paraId="19A287B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831</w:t>
            </w:r>
          </w:p>
        </w:tc>
      </w:tr>
      <w:tr w:rsidR="00F127A2" w:rsidRPr="00CE357F" w14:paraId="6B2686B1" w14:textId="77777777" w:rsidTr="004A0C47">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tcPr>
          <w:p w14:paraId="256EB234" w14:textId="77777777" w:rsidR="00F127A2" w:rsidRPr="00CE357F" w:rsidRDefault="00F127A2" w:rsidP="004A0C47">
            <w:pPr>
              <w:jc w:val="center"/>
              <w:rPr>
                <w:rFonts w:ascii="Arial Narrow" w:eastAsia="Times New Roman" w:hAnsi="Arial Narrow" w:cs="Arial"/>
                <w:sz w:val="18"/>
                <w:szCs w:val="18"/>
                <w:lang w:eastAsia="cs-CZ"/>
              </w:rPr>
            </w:pPr>
          </w:p>
        </w:tc>
        <w:tc>
          <w:tcPr>
            <w:tcW w:w="8298" w:type="dxa"/>
            <w:gridSpan w:val="9"/>
            <w:vAlign w:val="center"/>
          </w:tcPr>
          <w:p w14:paraId="22B7403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toho:</w:t>
            </w:r>
          </w:p>
        </w:tc>
      </w:tr>
      <w:tr w:rsidR="00F127A2" w:rsidRPr="00CE357F" w14:paraId="268AEB17" w14:textId="77777777" w:rsidTr="008C78FF">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tcPr>
          <w:p w14:paraId="400A2DE9" w14:textId="77777777" w:rsidR="00F127A2" w:rsidRPr="00CE357F" w:rsidRDefault="00F127A2" w:rsidP="004A0C47">
            <w:pPr>
              <w:jc w:val="center"/>
              <w:rPr>
                <w:rFonts w:ascii="Arial Narrow" w:eastAsia="Times New Roman" w:hAnsi="Arial Narrow" w:cs="Arial"/>
                <w:sz w:val="18"/>
                <w:szCs w:val="18"/>
                <w:lang w:eastAsia="cs-CZ"/>
              </w:rPr>
            </w:pPr>
          </w:p>
        </w:tc>
        <w:tc>
          <w:tcPr>
            <w:tcW w:w="922" w:type="dxa"/>
            <w:vAlign w:val="center"/>
          </w:tcPr>
          <w:p w14:paraId="619015FD"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Slovensko</w:t>
            </w:r>
          </w:p>
          <w:p w14:paraId="6FA87CA6"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642</w:t>
            </w:r>
          </w:p>
        </w:tc>
        <w:tc>
          <w:tcPr>
            <w:tcW w:w="922" w:type="dxa"/>
            <w:vAlign w:val="center"/>
          </w:tcPr>
          <w:p w14:paraId="2DC2E22B"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Slovensko</w:t>
            </w:r>
          </w:p>
          <w:p w14:paraId="286B5AD2"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594</w:t>
            </w:r>
          </w:p>
        </w:tc>
        <w:tc>
          <w:tcPr>
            <w:tcW w:w="922" w:type="dxa"/>
            <w:vAlign w:val="center"/>
          </w:tcPr>
          <w:p w14:paraId="398803E7"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Slovensko</w:t>
            </w:r>
          </w:p>
          <w:p w14:paraId="320A980D"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616</w:t>
            </w:r>
          </w:p>
        </w:tc>
        <w:tc>
          <w:tcPr>
            <w:tcW w:w="922" w:type="dxa"/>
            <w:vAlign w:val="center"/>
          </w:tcPr>
          <w:p w14:paraId="5B77EA1C"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Slovensko</w:t>
            </w:r>
          </w:p>
          <w:p w14:paraId="225D27A3"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486</w:t>
            </w:r>
          </w:p>
        </w:tc>
        <w:tc>
          <w:tcPr>
            <w:tcW w:w="922" w:type="dxa"/>
            <w:vAlign w:val="center"/>
          </w:tcPr>
          <w:p w14:paraId="6AC66E88"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Slovensko</w:t>
            </w:r>
          </w:p>
          <w:p w14:paraId="598B3AD6"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464</w:t>
            </w:r>
          </w:p>
        </w:tc>
        <w:tc>
          <w:tcPr>
            <w:tcW w:w="922" w:type="dxa"/>
            <w:vAlign w:val="center"/>
          </w:tcPr>
          <w:p w14:paraId="4D5CFF14"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Slovensko</w:t>
            </w:r>
          </w:p>
          <w:p w14:paraId="03B28C38"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459</w:t>
            </w:r>
          </w:p>
        </w:tc>
        <w:tc>
          <w:tcPr>
            <w:tcW w:w="922" w:type="dxa"/>
            <w:vAlign w:val="center"/>
          </w:tcPr>
          <w:p w14:paraId="73B9EDAC"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Slovensko</w:t>
            </w:r>
          </w:p>
          <w:p w14:paraId="3EDFDB91"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635</w:t>
            </w:r>
          </w:p>
        </w:tc>
        <w:tc>
          <w:tcPr>
            <w:tcW w:w="922" w:type="dxa"/>
            <w:vAlign w:val="center"/>
          </w:tcPr>
          <w:p w14:paraId="2CF71BB9"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Slovensko</w:t>
            </w:r>
          </w:p>
          <w:p w14:paraId="1EEF5E14"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598</w:t>
            </w:r>
          </w:p>
        </w:tc>
        <w:tc>
          <w:tcPr>
            <w:tcW w:w="922" w:type="dxa"/>
            <w:vAlign w:val="center"/>
          </w:tcPr>
          <w:p w14:paraId="5FF8DEE2" w14:textId="77777777" w:rsidR="00F127A2"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Slovensko</w:t>
            </w:r>
          </w:p>
          <w:p w14:paraId="698B7817"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680</w:t>
            </w:r>
          </w:p>
        </w:tc>
      </w:tr>
      <w:tr w:rsidR="00F127A2" w:rsidRPr="00CE357F" w14:paraId="0B38DFE3" w14:textId="77777777" w:rsidTr="008C78FF">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tcPr>
          <w:p w14:paraId="3A6997F0" w14:textId="77777777" w:rsidR="00F127A2" w:rsidRPr="00CE357F" w:rsidRDefault="00F127A2" w:rsidP="004A0C47">
            <w:pPr>
              <w:jc w:val="center"/>
              <w:rPr>
                <w:rFonts w:ascii="Arial Narrow" w:eastAsia="Times New Roman" w:hAnsi="Arial Narrow" w:cs="Arial"/>
                <w:sz w:val="18"/>
                <w:szCs w:val="18"/>
                <w:lang w:eastAsia="cs-CZ"/>
              </w:rPr>
            </w:pPr>
          </w:p>
        </w:tc>
        <w:tc>
          <w:tcPr>
            <w:tcW w:w="922" w:type="dxa"/>
            <w:vAlign w:val="center"/>
          </w:tcPr>
          <w:p w14:paraId="7FF6B012"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Polsko</w:t>
            </w:r>
          </w:p>
          <w:p w14:paraId="35CD933B"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33</w:t>
            </w:r>
          </w:p>
        </w:tc>
        <w:tc>
          <w:tcPr>
            <w:tcW w:w="922" w:type="dxa"/>
            <w:vAlign w:val="center"/>
          </w:tcPr>
          <w:p w14:paraId="2A961F78"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Polsko</w:t>
            </w:r>
          </w:p>
          <w:p w14:paraId="5C41FAAF"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31</w:t>
            </w:r>
          </w:p>
        </w:tc>
        <w:tc>
          <w:tcPr>
            <w:tcW w:w="922" w:type="dxa"/>
            <w:vAlign w:val="center"/>
          </w:tcPr>
          <w:p w14:paraId="6A3AFF56"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Bulharsko</w:t>
            </w:r>
          </w:p>
          <w:p w14:paraId="7462786E"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33</w:t>
            </w:r>
          </w:p>
        </w:tc>
        <w:tc>
          <w:tcPr>
            <w:tcW w:w="922" w:type="dxa"/>
            <w:vAlign w:val="center"/>
          </w:tcPr>
          <w:p w14:paraId="00B30D46"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Polsko</w:t>
            </w:r>
          </w:p>
          <w:p w14:paraId="7010ECE6"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25</w:t>
            </w:r>
          </w:p>
        </w:tc>
        <w:tc>
          <w:tcPr>
            <w:tcW w:w="922" w:type="dxa"/>
            <w:vAlign w:val="center"/>
          </w:tcPr>
          <w:p w14:paraId="545D35C8"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Polsko</w:t>
            </w:r>
          </w:p>
          <w:p w14:paraId="16E51333"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30</w:t>
            </w:r>
          </w:p>
        </w:tc>
        <w:tc>
          <w:tcPr>
            <w:tcW w:w="922" w:type="dxa"/>
            <w:vAlign w:val="center"/>
          </w:tcPr>
          <w:p w14:paraId="6D1E4153"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Polsko</w:t>
            </w:r>
          </w:p>
          <w:p w14:paraId="3CBCF707"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26</w:t>
            </w:r>
          </w:p>
        </w:tc>
        <w:tc>
          <w:tcPr>
            <w:tcW w:w="922" w:type="dxa"/>
            <w:vAlign w:val="center"/>
          </w:tcPr>
          <w:p w14:paraId="385D9458"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Bulharsko</w:t>
            </w:r>
          </w:p>
          <w:p w14:paraId="7910D4C6"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31</w:t>
            </w:r>
          </w:p>
        </w:tc>
        <w:tc>
          <w:tcPr>
            <w:tcW w:w="922" w:type="dxa"/>
            <w:vAlign w:val="center"/>
          </w:tcPr>
          <w:p w14:paraId="15BFA3D9"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Bulharsko</w:t>
            </w:r>
          </w:p>
          <w:p w14:paraId="73FD6F4E"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30</w:t>
            </w:r>
          </w:p>
        </w:tc>
        <w:tc>
          <w:tcPr>
            <w:tcW w:w="922" w:type="dxa"/>
            <w:vAlign w:val="center"/>
          </w:tcPr>
          <w:p w14:paraId="5CA3FB5F" w14:textId="77777777" w:rsidR="00F127A2"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Polsko</w:t>
            </w:r>
          </w:p>
          <w:p w14:paraId="19EF450E" w14:textId="629D32D4"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28</w:t>
            </w:r>
          </w:p>
        </w:tc>
      </w:tr>
      <w:tr w:rsidR="00F127A2" w:rsidRPr="00CE357F" w14:paraId="060E1CA2" w14:textId="77777777" w:rsidTr="008C78FF">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tcPr>
          <w:p w14:paraId="1FF1CAFA" w14:textId="77777777" w:rsidR="00F127A2" w:rsidRPr="00CE357F" w:rsidRDefault="00F127A2" w:rsidP="004A0C47">
            <w:pPr>
              <w:jc w:val="center"/>
              <w:rPr>
                <w:rFonts w:ascii="Arial Narrow" w:eastAsia="Times New Roman" w:hAnsi="Arial Narrow" w:cs="Arial"/>
                <w:sz w:val="18"/>
                <w:szCs w:val="18"/>
                <w:lang w:eastAsia="cs-CZ"/>
              </w:rPr>
            </w:pPr>
          </w:p>
        </w:tc>
        <w:tc>
          <w:tcPr>
            <w:tcW w:w="922" w:type="dxa"/>
            <w:vAlign w:val="center"/>
          </w:tcPr>
          <w:p w14:paraId="1A04A58D"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Bulharsko</w:t>
            </w:r>
          </w:p>
          <w:p w14:paraId="3F4FC5B3"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32</w:t>
            </w:r>
          </w:p>
        </w:tc>
        <w:tc>
          <w:tcPr>
            <w:tcW w:w="922" w:type="dxa"/>
            <w:vAlign w:val="center"/>
          </w:tcPr>
          <w:p w14:paraId="726035B2"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Rumunsko</w:t>
            </w:r>
          </w:p>
          <w:p w14:paraId="6FF8ED6A"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24</w:t>
            </w:r>
          </w:p>
        </w:tc>
        <w:tc>
          <w:tcPr>
            <w:tcW w:w="922" w:type="dxa"/>
            <w:vAlign w:val="center"/>
          </w:tcPr>
          <w:p w14:paraId="3BB8F02C"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Polsko</w:t>
            </w:r>
          </w:p>
          <w:p w14:paraId="40E29AC8"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30</w:t>
            </w:r>
          </w:p>
        </w:tc>
        <w:tc>
          <w:tcPr>
            <w:tcW w:w="922" w:type="dxa"/>
            <w:vAlign w:val="center"/>
          </w:tcPr>
          <w:p w14:paraId="5058B97B"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Bulharsko</w:t>
            </w:r>
          </w:p>
          <w:p w14:paraId="76D080D1"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24</w:t>
            </w:r>
          </w:p>
        </w:tc>
        <w:tc>
          <w:tcPr>
            <w:tcW w:w="922" w:type="dxa"/>
            <w:vAlign w:val="center"/>
          </w:tcPr>
          <w:p w14:paraId="37EAC9A9"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Bulharsko</w:t>
            </w:r>
          </w:p>
          <w:p w14:paraId="45473C6C"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20</w:t>
            </w:r>
          </w:p>
        </w:tc>
        <w:tc>
          <w:tcPr>
            <w:tcW w:w="922" w:type="dxa"/>
            <w:vAlign w:val="center"/>
          </w:tcPr>
          <w:p w14:paraId="58E5E7E1"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Bulharsko</w:t>
            </w:r>
          </w:p>
          <w:p w14:paraId="06FD8B1E"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23</w:t>
            </w:r>
          </w:p>
        </w:tc>
        <w:tc>
          <w:tcPr>
            <w:tcW w:w="922" w:type="dxa"/>
            <w:vAlign w:val="center"/>
          </w:tcPr>
          <w:p w14:paraId="47CEB259"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Polsko</w:t>
            </w:r>
          </w:p>
          <w:p w14:paraId="5F9CDFDD"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24</w:t>
            </w:r>
          </w:p>
        </w:tc>
        <w:tc>
          <w:tcPr>
            <w:tcW w:w="922" w:type="dxa"/>
            <w:vAlign w:val="center"/>
          </w:tcPr>
          <w:p w14:paraId="204511D4"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Rumunsko</w:t>
            </w:r>
          </w:p>
          <w:p w14:paraId="14C9C51D"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23</w:t>
            </w:r>
          </w:p>
        </w:tc>
        <w:tc>
          <w:tcPr>
            <w:tcW w:w="922" w:type="dxa"/>
            <w:vAlign w:val="center"/>
          </w:tcPr>
          <w:p w14:paraId="1B9BADDF" w14:textId="77777777" w:rsidR="00F127A2"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Bulharsko</w:t>
            </w:r>
          </w:p>
          <w:p w14:paraId="3E6A10AA" w14:textId="43B3CA81"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23</w:t>
            </w:r>
          </w:p>
        </w:tc>
      </w:tr>
      <w:tr w:rsidR="00F127A2" w:rsidRPr="00CE357F" w14:paraId="7317E499" w14:textId="77777777" w:rsidTr="008C78FF">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tcPr>
          <w:p w14:paraId="666D2247" w14:textId="77777777" w:rsidR="00F127A2" w:rsidRPr="00CE357F" w:rsidRDefault="00F127A2" w:rsidP="004A0C47">
            <w:pPr>
              <w:jc w:val="center"/>
              <w:rPr>
                <w:rFonts w:ascii="Arial Narrow" w:eastAsia="Times New Roman" w:hAnsi="Arial Narrow" w:cs="Arial"/>
                <w:sz w:val="18"/>
                <w:szCs w:val="18"/>
                <w:lang w:eastAsia="cs-CZ"/>
              </w:rPr>
            </w:pPr>
          </w:p>
        </w:tc>
        <w:tc>
          <w:tcPr>
            <w:tcW w:w="922" w:type="dxa"/>
            <w:vAlign w:val="center"/>
          </w:tcPr>
          <w:p w14:paraId="03C8FD2D"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Rumunsko</w:t>
            </w:r>
          </w:p>
          <w:p w14:paraId="50A552BB"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23</w:t>
            </w:r>
          </w:p>
        </w:tc>
        <w:tc>
          <w:tcPr>
            <w:tcW w:w="922" w:type="dxa"/>
            <w:vAlign w:val="center"/>
          </w:tcPr>
          <w:p w14:paraId="7163B04A"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Bulharsko</w:t>
            </w:r>
          </w:p>
          <w:p w14:paraId="186EF75A"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23</w:t>
            </w:r>
          </w:p>
        </w:tc>
        <w:tc>
          <w:tcPr>
            <w:tcW w:w="922" w:type="dxa"/>
            <w:vAlign w:val="center"/>
          </w:tcPr>
          <w:p w14:paraId="741403E5"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Rumunsko</w:t>
            </w:r>
          </w:p>
          <w:p w14:paraId="3EE65DFB"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16</w:t>
            </w:r>
          </w:p>
        </w:tc>
        <w:tc>
          <w:tcPr>
            <w:tcW w:w="922" w:type="dxa"/>
            <w:vAlign w:val="center"/>
          </w:tcPr>
          <w:p w14:paraId="26B02E57"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Rumunsko</w:t>
            </w:r>
          </w:p>
          <w:p w14:paraId="4FEE965F"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15</w:t>
            </w:r>
          </w:p>
        </w:tc>
        <w:tc>
          <w:tcPr>
            <w:tcW w:w="922" w:type="dxa"/>
            <w:vAlign w:val="center"/>
          </w:tcPr>
          <w:p w14:paraId="0F0BA164"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Rumunsko</w:t>
            </w:r>
          </w:p>
          <w:p w14:paraId="4C3B3BDD"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14</w:t>
            </w:r>
          </w:p>
        </w:tc>
        <w:tc>
          <w:tcPr>
            <w:tcW w:w="922" w:type="dxa"/>
            <w:vAlign w:val="center"/>
          </w:tcPr>
          <w:p w14:paraId="17747284"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Rumunsko</w:t>
            </w:r>
          </w:p>
          <w:p w14:paraId="6959F4A3"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14</w:t>
            </w:r>
          </w:p>
        </w:tc>
        <w:tc>
          <w:tcPr>
            <w:tcW w:w="922" w:type="dxa"/>
            <w:vAlign w:val="center"/>
          </w:tcPr>
          <w:p w14:paraId="3B0B0461"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Rumunsko</w:t>
            </w:r>
          </w:p>
          <w:p w14:paraId="30B3DE0C"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21</w:t>
            </w:r>
          </w:p>
        </w:tc>
        <w:tc>
          <w:tcPr>
            <w:tcW w:w="922" w:type="dxa"/>
            <w:vAlign w:val="center"/>
          </w:tcPr>
          <w:p w14:paraId="7F5A3FE8"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Polsko</w:t>
            </w:r>
          </w:p>
          <w:p w14:paraId="4452A769"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17</w:t>
            </w:r>
          </w:p>
        </w:tc>
        <w:tc>
          <w:tcPr>
            <w:tcW w:w="922" w:type="dxa"/>
            <w:vAlign w:val="center"/>
          </w:tcPr>
          <w:p w14:paraId="31ED3200" w14:textId="77777777" w:rsidR="00F127A2"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Rumunsko</w:t>
            </w:r>
          </w:p>
          <w:p w14:paraId="73A3EF15"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19</w:t>
            </w:r>
          </w:p>
        </w:tc>
      </w:tr>
      <w:tr w:rsidR="00F127A2" w:rsidRPr="00CE357F" w14:paraId="6719C6CC" w14:textId="77777777" w:rsidTr="008C78FF">
        <w:trPr>
          <w:trHeight w:val="26"/>
        </w:trPr>
        <w:tc>
          <w:tcPr>
            <w:cnfStyle w:val="001000000000" w:firstRow="0" w:lastRow="0" w:firstColumn="1" w:lastColumn="0" w:oddVBand="0" w:evenVBand="0" w:oddHBand="0" w:evenHBand="0" w:firstRowFirstColumn="0" w:firstRowLastColumn="0" w:lastRowFirstColumn="0" w:lastRowLastColumn="0"/>
            <w:tcW w:w="881" w:type="dxa"/>
            <w:shd w:val="clear" w:color="auto" w:fill="D9E2F3" w:themeFill="accent1" w:themeFillTint="33"/>
            <w:vAlign w:val="center"/>
          </w:tcPr>
          <w:p w14:paraId="76A9B80A" w14:textId="77777777" w:rsidR="00F127A2" w:rsidRPr="00CE357F" w:rsidRDefault="00F127A2" w:rsidP="004A0C47">
            <w:pPr>
              <w:jc w:val="center"/>
              <w:rPr>
                <w:rFonts w:ascii="Arial Narrow" w:eastAsia="Times New Roman" w:hAnsi="Arial Narrow" w:cs="Arial"/>
                <w:sz w:val="18"/>
                <w:szCs w:val="18"/>
                <w:lang w:eastAsia="cs-CZ"/>
              </w:rPr>
            </w:pPr>
          </w:p>
        </w:tc>
        <w:tc>
          <w:tcPr>
            <w:tcW w:w="922" w:type="dxa"/>
            <w:vAlign w:val="center"/>
          </w:tcPr>
          <w:p w14:paraId="68065E94"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V. Británie</w:t>
            </w:r>
          </w:p>
          <w:p w14:paraId="576732D9"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13</w:t>
            </w:r>
          </w:p>
        </w:tc>
        <w:tc>
          <w:tcPr>
            <w:tcW w:w="922" w:type="dxa"/>
            <w:vAlign w:val="center"/>
          </w:tcPr>
          <w:p w14:paraId="2D169BEE"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Řecko</w:t>
            </w:r>
          </w:p>
          <w:p w14:paraId="5768BEEB"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13</w:t>
            </w:r>
          </w:p>
        </w:tc>
        <w:tc>
          <w:tcPr>
            <w:tcW w:w="922" w:type="dxa"/>
            <w:vAlign w:val="center"/>
          </w:tcPr>
          <w:p w14:paraId="687125D2"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Itálie</w:t>
            </w:r>
          </w:p>
          <w:p w14:paraId="57C4CB12"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13</w:t>
            </w:r>
          </w:p>
        </w:tc>
        <w:tc>
          <w:tcPr>
            <w:tcW w:w="922" w:type="dxa"/>
            <w:vAlign w:val="center"/>
          </w:tcPr>
          <w:p w14:paraId="33AF4CF4"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Itálie</w:t>
            </w:r>
          </w:p>
          <w:p w14:paraId="6727F731"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10</w:t>
            </w:r>
          </w:p>
        </w:tc>
        <w:tc>
          <w:tcPr>
            <w:tcW w:w="922" w:type="dxa"/>
            <w:vAlign w:val="center"/>
          </w:tcPr>
          <w:p w14:paraId="034308BE"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Maďarsko</w:t>
            </w:r>
          </w:p>
          <w:p w14:paraId="3DB310C1"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11</w:t>
            </w:r>
          </w:p>
        </w:tc>
        <w:tc>
          <w:tcPr>
            <w:tcW w:w="922" w:type="dxa"/>
            <w:vAlign w:val="center"/>
          </w:tcPr>
          <w:p w14:paraId="19968AA5"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Itálie</w:t>
            </w:r>
          </w:p>
          <w:p w14:paraId="3F518DD8"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8</w:t>
            </w:r>
          </w:p>
        </w:tc>
        <w:tc>
          <w:tcPr>
            <w:tcW w:w="922" w:type="dxa"/>
            <w:vAlign w:val="center"/>
          </w:tcPr>
          <w:p w14:paraId="36BB7042"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Itálie</w:t>
            </w:r>
          </w:p>
          <w:p w14:paraId="4FCE772E"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13</w:t>
            </w:r>
          </w:p>
        </w:tc>
        <w:tc>
          <w:tcPr>
            <w:tcW w:w="922" w:type="dxa"/>
            <w:vAlign w:val="center"/>
          </w:tcPr>
          <w:p w14:paraId="3EBF0C6F"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Řecko</w:t>
            </w:r>
          </w:p>
          <w:p w14:paraId="424CC74E"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10</w:t>
            </w:r>
          </w:p>
        </w:tc>
        <w:tc>
          <w:tcPr>
            <w:tcW w:w="922" w:type="dxa"/>
            <w:vAlign w:val="center"/>
          </w:tcPr>
          <w:p w14:paraId="1686D208" w14:textId="636C8862" w:rsidR="00F127A2"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Itálie</w:t>
            </w:r>
          </w:p>
          <w:p w14:paraId="4D343673" w14:textId="77777777" w:rsidR="00F127A2" w:rsidRPr="00CE357F" w:rsidRDefault="00F127A2" w:rsidP="008C78F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13</w:t>
            </w:r>
          </w:p>
        </w:tc>
      </w:tr>
    </w:tbl>
    <w:p w14:paraId="21EA1DF1" w14:textId="36AC0DE3" w:rsidR="00F127A2" w:rsidRPr="00053E14" w:rsidRDefault="00F127A2" w:rsidP="00053E14">
      <w:pPr>
        <w:pStyle w:val="Normlnweb"/>
        <w:spacing w:before="0" w:beforeAutospacing="0" w:after="0" w:afterAutospacing="0" w:line="276" w:lineRule="auto"/>
        <w:jc w:val="both"/>
        <w:rPr>
          <w:rFonts w:ascii="Arial Narrow" w:hAnsi="Arial Narrow"/>
          <w:sz w:val="20"/>
        </w:rPr>
      </w:pPr>
      <w:r w:rsidRPr="00CE357F">
        <w:rPr>
          <w:rFonts w:ascii="Arial Narrow" w:hAnsi="Arial Narrow"/>
          <w:sz w:val="20"/>
        </w:rPr>
        <w:t>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2D8B6199" w14:textId="77777777" w:rsidR="00F127A2" w:rsidRPr="00CE357F" w:rsidRDefault="00F127A2" w:rsidP="00F127A2">
      <w:pPr>
        <w:spacing w:after="240" w:line="276" w:lineRule="auto"/>
        <w:jc w:val="both"/>
        <w:rPr>
          <w:rFonts w:ascii="Arial Narrow" w:hAnsi="Arial Narrow"/>
          <w:b/>
          <w:bCs/>
          <w:u w:val="single"/>
        </w:rPr>
      </w:pPr>
      <w:r w:rsidRPr="00CE357F">
        <w:rPr>
          <w:rFonts w:ascii="Arial Narrow" w:hAnsi="Arial Narrow"/>
          <w:b/>
          <w:bCs/>
          <w:u w:val="single"/>
        </w:rPr>
        <w:lastRenderedPageBreak/>
        <w:t xml:space="preserve">Uchazeči o zaměstnání z třetích zemí </w:t>
      </w:r>
    </w:p>
    <w:p w14:paraId="572BE327" w14:textId="1C177167" w:rsidR="00F127A2" w:rsidRPr="000627ED" w:rsidRDefault="00F127A2" w:rsidP="00F127A2">
      <w:pPr>
        <w:spacing w:after="120" w:line="276" w:lineRule="auto"/>
        <w:jc w:val="both"/>
        <w:rPr>
          <w:rFonts w:ascii="Arial Narrow" w:hAnsi="Arial Narrow"/>
        </w:rPr>
      </w:pPr>
      <w:bookmarkStart w:id="324" w:name="_Hlk95739758"/>
      <w:bookmarkStart w:id="325" w:name="_Hlk131515339"/>
      <w:r w:rsidRPr="000627ED">
        <w:rPr>
          <w:rFonts w:ascii="Arial Narrow" w:hAnsi="Arial Narrow"/>
        </w:rPr>
        <w:t xml:space="preserve">V prosinci roku 2022 bylo v Jihomoravském kraji evidováno celkem 1 988 uchazečů o zaměstnání z třetích zemí, což bylo přibližně 10,8 % všech uchazečů z třetích zemí v České republice. </w:t>
      </w:r>
      <w:r w:rsidRPr="008C78FF">
        <w:rPr>
          <w:rFonts w:ascii="Arial Narrow" w:hAnsi="Arial Narrow"/>
          <w:b/>
          <w:bCs/>
        </w:rPr>
        <w:t xml:space="preserve">Více než 85 % všech uchazečů z třetích zemí v Jihomoravském kraji tvořili v prosinci 2022 občané Ukrajiny, jejich počet </w:t>
      </w:r>
      <w:r w:rsidR="008C78FF" w:rsidRPr="008C78FF">
        <w:rPr>
          <w:rFonts w:ascii="Arial Narrow" w:hAnsi="Arial Narrow"/>
          <w:b/>
          <w:bCs/>
        </w:rPr>
        <w:t xml:space="preserve">se </w:t>
      </w:r>
      <w:r w:rsidRPr="008C78FF">
        <w:rPr>
          <w:rFonts w:ascii="Arial Narrow" w:hAnsi="Arial Narrow"/>
          <w:b/>
          <w:bCs/>
        </w:rPr>
        <w:t xml:space="preserve">rapidně </w:t>
      </w:r>
      <w:r w:rsidR="008C78FF" w:rsidRPr="008C78FF">
        <w:rPr>
          <w:rFonts w:ascii="Arial Narrow" w:hAnsi="Arial Narrow"/>
          <w:b/>
          <w:bCs/>
        </w:rPr>
        <w:t>zvýšil</w:t>
      </w:r>
      <w:r w:rsidRPr="008C78FF">
        <w:rPr>
          <w:rFonts w:ascii="Arial Narrow" w:hAnsi="Arial Narrow"/>
          <w:b/>
          <w:bCs/>
        </w:rPr>
        <w:t xml:space="preserve"> po začátku </w:t>
      </w:r>
      <w:r w:rsidR="008C78FF" w:rsidRPr="008C78FF">
        <w:rPr>
          <w:rFonts w:ascii="Arial Narrow" w:hAnsi="Arial Narrow"/>
          <w:b/>
          <w:bCs/>
        </w:rPr>
        <w:t>rusko-ukrajinského konfliktu 24. února 2022</w:t>
      </w:r>
      <w:r w:rsidRPr="008C78FF">
        <w:rPr>
          <w:rFonts w:ascii="Arial Narrow" w:hAnsi="Arial Narrow"/>
          <w:b/>
          <w:bCs/>
        </w:rPr>
        <w:t>.</w:t>
      </w:r>
      <w:r w:rsidRPr="000627ED">
        <w:rPr>
          <w:rFonts w:ascii="Arial Narrow" w:hAnsi="Arial Narrow"/>
        </w:rPr>
        <w:t xml:space="preserve"> Druhou nejčastější národností mezi uchazeči z</w:t>
      </w:r>
      <w:r w:rsidR="008C78FF">
        <w:rPr>
          <w:rFonts w:ascii="Arial Narrow" w:hAnsi="Arial Narrow"/>
        </w:rPr>
        <w:t>e</w:t>
      </w:r>
      <w:r w:rsidRPr="000627ED">
        <w:rPr>
          <w:rFonts w:ascii="Arial Narrow" w:hAnsi="Arial Narrow"/>
        </w:rPr>
        <w:t xml:space="preserve"> třetích zemí byli v prosinci 2022 uchazeči z Ruska, kteří tvořili 2,26 % všech uchazečů z třetích zemí a uchazeči z Arménie a Vietnamu, kteří tvořili shodně 1,3 % těchto uchazečů. </w:t>
      </w:r>
    </w:p>
    <w:p w14:paraId="6D1C1A37" w14:textId="46F02841" w:rsidR="00F127A2" w:rsidRPr="00CE357F" w:rsidRDefault="00F127A2" w:rsidP="00F127A2">
      <w:pPr>
        <w:spacing w:after="120" w:line="276" w:lineRule="auto"/>
        <w:jc w:val="both"/>
        <w:rPr>
          <w:rFonts w:ascii="Arial Narrow" w:hAnsi="Arial Narrow"/>
        </w:rPr>
      </w:pPr>
      <w:bookmarkStart w:id="326" w:name="_Hlk95739792"/>
      <w:bookmarkEnd w:id="324"/>
      <w:r w:rsidRPr="000627ED">
        <w:rPr>
          <w:rFonts w:ascii="Arial Narrow" w:hAnsi="Arial Narrow"/>
        </w:rPr>
        <w:t xml:space="preserve">Podobně jako mezi uchazeči z EU/EHP, i mezi uchazeči z třetích zemí celkově převažují ženy nad muži. V prosinci 2022 se jednalo o 76,9 % uchazeček žen a 23,1 % uchazečů mužů, což opět kopíruje </w:t>
      </w:r>
      <w:r w:rsidR="008C78FF">
        <w:rPr>
          <w:rFonts w:ascii="Arial Narrow" w:hAnsi="Arial Narrow"/>
        </w:rPr>
        <w:t>demografické charakteristiky</w:t>
      </w:r>
      <w:r w:rsidRPr="000627ED">
        <w:rPr>
          <w:rFonts w:ascii="Arial Narrow" w:hAnsi="Arial Narrow"/>
        </w:rPr>
        <w:t xml:space="preserve"> ukrajinských </w:t>
      </w:r>
      <w:r w:rsidR="007A5B21">
        <w:rPr>
          <w:rFonts w:ascii="Arial Narrow" w:hAnsi="Arial Narrow"/>
        </w:rPr>
        <w:t xml:space="preserve">občanů </w:t>
      </w:r>
      <w:r w:rsidRPr="000627ED">
        <w:rPr>
          <w:rFonts w:ascii="Arial Narrow" w:hAnsi="Arial Narrow"/>
        </w:rPr>
        <w:t xml:space="preserve">v JMK i celé ČR. </w:t>
      </w:r>
      <w:bookmarkEnd w:id="325"/>
      <w:r w:rsidR="008C78FF">
        <w:rPr>
          <w:rFonts w:ascii="Arial Narrow" w:hAnsi="Arial Narrow"/>
        </w:rPr>
        <w:t>P</w:t>
      </w:r>
      <w:r w:rsidRPr="000627ED">
        <w:rPr>
          <w:rFonts w:ascii="Arial Narrow" w:hAnsi="Arial Narrow"/>
        </w:rPr>
        <w:t xml:space="preserve">oměr žen </w:t>
      </w:r>
      <w:r w:rsidR="008C78FF">
        <w:rPr>
          <w:rFonts w:ascii="Arial Narrow" w:hAnsi="Arial Narrow"/>
        </w:rPr>
        <w:t xml:space="preserve">ovšem </w:t>
      </w:r>
      <w:r w:rsidRPr="000627ED">
        <w:rPr>
          <w:rFonts w:ascii="Arial Narrow" w:hAnsi="Arial Narrow"/>
        </w:rPr>
        <w:t xml:space="preserve">převažuje mezi uchazeči </w:t>
      </w:r>
      <w:r w:rsidR="008C78FF">
        <w:rPr>
          <w:rFonts w:ascii="Arial Narrow" w:hAnsi="Arial Narrow"/>
        </w:rPr>
        <w:t>o zaměstnání v rámci</w:t>
      </w:r>
      <w:r w:rsidRPr="000627ED">
        <w:rPr>
          <w:rFonts w:ascii="Arial Narrow" w:hAnsi="Arial Narrow"/>
        </w:rPr>
        <w:t xml:space="preserve"> většiny třetích zemí.</w:t>
      </w:r>
      <w:bookmarkEnd w:id="326"/>
      <w:r w:rsidR="00053E14">
        <w:rPr>
          <w:rFonts w:ascii="Arial Narrow" w:hAnsi="Arial Narrow"/>
        </w:rPr>
        <w:t xml:space="preserve"> </w:t>
      </w:r>
      <w:r w:rsidRPr="000627ED">
        <w:rPr>
          <w:rFonts w:ascii="Arial Narrow" w:hAnsi="Arial Narrow"/>
        </w:rPr>
        <w:t>Strukturu uchazečů z</w:t>
      </w:r>
      <w:r w:rsidR="00053E14">
        <w:rPr>
          <w:rFonts w:ascii="Arial Narrow" w:hAnsi="Arial Narrow"/>
        </w:rPr>
        <w:t>e</w:t>
      </w:r>
      <w:r w:rsidRPr="000627ED">
        <w:rPr>
          <w:rFonts w:ascii="Arial Narrow" w:hAnsi="Arial Narrow"/>
        </w:rPr>
        <w:t> třetích zemí podle občanství a pohlaví za měsíc prosinec 2022 podrobně dokumentuje tabulka</w:t>
      </w:r>
      <w:r w:rsidR="00053E14">
        <w:rPr>
          <w:rFonts w:ascii="Arial Narrow" w:hAnsi="Arial Narrow"/>
        </w:rPr>
        <w:t xml:space="preserve"> č. 15</w:t>
      </w:r>
      <w:r w:rsidRPr="000627ED">
        <w:rPr>
          <w:rFonts w:ascii="Arial Narrow" w:hAnsi="Arial Narrow"/>
        </w:rPr>
        <w:t>.</w:t>
      </w:r>
      <w:r w:rsidRPr="00CE357F">
        <w:rPr>
          <w:rFonts w:ascii="Arial Narrow" w:hAnsi="Arial Narrow"/>
        </w:rPr>
        <w:t xml:space="preserve"> </w:t>
      </w:r>
    </w:p>
    <w:p w14:paraId="6A2697AE" w14:textId="35DCCEBD" w:rsidR="00F127A2" w:rsidRPr="00CE357F" w:rsidRDefault="00F127A2" w:rsidP="00F127A2">
      <w:pPr>
        <w:spacing w:line="276" w:lineRule="auto"/>
        <w:jc w:val="both"/>
        <w:rPr>
          <w:rFonts w:ascii="Arial Narrow" w:hAnsi="Arial Narrow"/>
          <w:b/>
          <w:sz w:val="24"/>
        </w:rPr>
      </w:pPr>
      <w:bookmarkStart w:id="327" w:name="_Toc136429226"/>
      <w:r w:rsidRPr="00CE357F">
        <w:rPr>
          <w:rFonts w:ascii="Arial Narrow" w:hAnsi="Arial Narrow"/>
          <w:b/>
          <w:sz w:val="20"/>
          <w:szCs w:val="18"/>
        </w:rPr>
        <w:t xml:space="preserve">Tabulka </w:t>
      </w:r>
      <w:r w:rsidRPr="00CE357F">
        <w:rPr>
          <w:rFonts w:ascii="Arial Narrow" w:hAnsi="Arial Narrow"/>
          <w:b/>
          <w:sz w:val="20"/>
          <w:szCs w:val="18"/>
        </w:rPr>
        <w:fldChar w:fldCharType="begin"/>
      </w:r>
      <w:r w:rsidRPr="00CE357F">
        <w:rPr>
          <w:rFonts w:ascii="Arial Narrow" w:hAnsi="Arial Narrow"/>
          <w:b/>
          <w:sz w:val="20"/>
          <w:szCs w:val="18"/>
        </w:rPr>
        <w:instrText xml:space="preserve"> SEQ Tabulka \* ARABIC </w:instrText>
      </w:r>
      <w:r w:rsidRPr="00CE357F">
        <w:rPr>
          <w:rFonts w:ascii="Arial Narrow" w:hAnsi="Arial Narrow"/>
          <w:b/>
          <w:sz w:val="20"/>
          <w:szCs w:val="18"/>
        </w:rPr>
        <w:fldChar w:fldCharType="separate"/>
      </w:r>
      <w:r w:rsidR="00256C97">
        <w:rPr>
          <w:rFonts w:ascii="Arial Narrow" w:hAnsi="Arial Narrow"/>
          <w:b/>
          <w:noProof/>
          <w:sz w:val="20"/>
          <w:szCs w:val="18"/>
        </w:rPr>
        <w:t>15</w:t>
      </w:r>
      <w:r w:rsidRPr="00CE357F">
        <w:rPr>
          <w:rFonts w:ascii="Arial Narrow" w:hAnsi="Arial Narrow"/>
          <w:b/>
          <w:sz w:val="20"/>
          <w:szCs w:val="18"/>
        </w:rPr>
        <w:fldChar w:fldCharType="end"/>
      </w:r>
      <w:r w:rsidRPr="00CE357F">
        <w:rPr>
          <w:rFonts w:ascii="Arial Narrow" w:hAnsi="Arial Narrow"/>
          <w:b/>
          <w:sz w:val="20"/>
          <w:szCs w:val="18"/>
        </w:rPr>
        <w:t xml:space="preserve">: </w:t>
      </w:r>
      <w:r w:rsidRPr="00CE357F">
        <w:rPr>
          <w:rFonts w:ascii="Arial Narrow" w:hAnsi="Arial Narrow"/>
          <w:b/>
          <w:bCs/>
          <w:sz w:val="20"/>
          <w:szCs w:val="18"/>
        </w:rPr>
        <w:t xml:space="preserve"> </w:t>
      </w:r>
      <w:r w:rsidRPr="00CE357F">
        <w:rPr>
          <w:rFonts w:ascii="Arial Narrow" w:hAnsi="Arial Narrow"/>
          <w:b/>
          <w:color w:val="000000" w:themeColor="text1"/>
          <w:sz w:val="20"/>
          <w:szCs w:val="18"/>
        </w:rPr>
        <w:t>Struktura uchazečů o zaměstnání ze třetích zemí podle občanství a pohlaví za prosinec 202</w:t>
      </w:r>
      <w:r>
        <w:rPr>
          <w:rFonts w:ascii="Arial Narrow" w:hAnsi="Arial Narrow"/>
          <w:b/>
          <w:color w:val="000000" w:themeColor="text1"/>
          <w:sz w:val="20"/>
          <w:szCs w:val="18"/>
        </w:rPr>
        <w:t>2</w:t>
      </w:r>
      <w:bookmarkEnd w:id="327"/>
      <w:r w:rsidRPr="00CE357F">
        <w:rPr>
          <w:rFonts w:ascii="Arial Narrow" w:hAnsi="Arial Narrow"/>
          <w:b/>
          <w:color w:val="000000" w:themeColor="text1"/>
          <w:sz w:val="20"/>
          <w:szCs w:val="18"/>
        </w:rPr>
        <w:t xml:space="preserve"> </w:t>
      </w:r>
    </w:p>
    <w:tbl>
      <w:tblPr>
        <w:tblStyle w:val="Svtltabulkasmkou1zvraznn12"/>
        <w:tblW w:w="8959" w:type="dxa"/>
        <w:tblInd w:w="108" w:type="dxa"/>
        <w:tblLook w:val="04A0" w:firstRow="1" w:lastRow="0" w:firstColumn="1" w:lastColumn="0" w:noHBand="0" w:noVBand="1"/>
      </w:tblPr>
      <w:tblGrid>
        <w:gridCol w:w="3573"/>
        <w:gridCol w:w="2551"/>
        <w:gridCol w:w="1276"/>
        <w:gridCol w:w="1559"/>
      </w:tblGrid>
      <w:tr w:rsidR="00F127A2" w:rsidRPr="00CE357F" w14:paraId="40675288" w14:textId="77777777" w:rsidTr="004A0C4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59" w:type="dxa"/>
            <w:gridSpan w:val="4"/>
            <w:shd w:val="clear" w:color="auto" w:fill="D9E2F3" w:themeFill="accent1" w:themeFillTint="33"/>
            <w:vAlign w:val="center"/>
          </w:tcPr>
          <w:p w14:paraId="6595D709" w14:textId="77777777" w:rsidR="00F127A2" w:rsidRPr="00CE357F" w:rsidRDefault="00F127A2" w:rsidP="004A0C47">
            <w:pPr>
              <w:spacing w:line="276" w:lineRule="auto"/>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Uchazeči z třetích zemí podle občanství </w:t>
            </w:r>
            <w:r>
              <w:rPr>
                <w:rFonts w:ascii="Arial Narrow" w:eastAsia="Times New Roman" w:hAnsi="Arial Narrow" w:cs="Arial"/>
                <w:sz w:val="18"/>
                <w:szCs w:val="18"/>
                <w:lang w:eastAsia="cs-CZ"/>
              </w:rPr>
              <w:t>(prosinec 2022</w:t>
            </w:r>
            <w:r w:rsidRPr="00CE357F">
              <w:rPr>
                <w:rFonts w:ascii="Arial Narrow" w:eastAsia="Times New Roman" w:hAnsi="Arial Narrow" w:cs="Arial"/>
                <w:sz w:val="18"/>
                <w:szCs w:val="18"/>
                <w:lang w:eastAsia="cs-CZ"/>
              </w:rPr>
              <w:t>)</w:t>
            </w:r>
          </w:p>
        </w:tc>
      </w:tr>
      <w:tr w:rsidR="00F127A2" w:rsidRPr="00CE357F" w14:paraId="3CF54068" w14:textId="77777777" w:rsidTr="004A0C47">
        <w:trPr>
          <w:trHeight w:val="258"/>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hideMark/>
          </w:tcPr>
          <w:p w14:paraId="56D5F236" w14:textId="77777777" w:rsidR="00F127A2" w:rsidRPr="00CE357F" w:rsidRDefault="00F127A2" w:rsidP="004A0C47">
            <w:pPr>
              <w:spacing w:line="276" w:lineRule="auto"/>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sz w:val="18"/>
                <w:szCs w:val="18"/>
                <w:lang w:eastAsia="cs-CZ"/>
              </w:rPr>
              <w:t>Státní příslušnost</w:t>
            </w:r>
          </w:p>
        </w:tc>
        <w:tc>
          <w:tcPr>
            <w:tcW w:w="2551" w:type="dxa"/>
            <w:shd w:val="clear" w:color="auto" w:fill="D9E2F3" w:themeFill="accent1" w:themeFillTint="33"/>
            <w:vAlign w:val="center"/>
          </w:tcPr>
          <w:p w14:paraId="68B9F468"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Uchazeči celkem</w:t>
            </w:r>
          </w:p>
        </w:tc>
        <w:tc>
          <w:tcPr>
            <w:tcW w:w="1276" w:type="dxa"/>
            <w:shd w:val="clear" w:color="auto" w:fill="D9E2F3" w:themeFill="accent1" w:themeFillTint="33"/>
            <w:vAlign w:val="center"/>
          </w:tcPr>
          <w:p w14:paraId="40E21E1C"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 ženy</w:t>
            </w:r>
          </w:p>
        </w:tc>
        <w:tc>
          <w:tcPr>
            <w:tcW w:w="1559" w:type="dxa"/>
            <w:shd w:val="clear" w:color="auto" w:fill="D9E2F3" w:themeFill="accent1" w:themeFillTint="33"/>
            <w:vAlign w:val="center"/>
          </w:tcPr>
          <w:p w14:paraId="3DA9FA54"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 muži</w:t>
            </w:r>
          </w:p>
        </w:tc>
      </w:tr>
      <w:tr w:rsidR="00F127A2" w:rsidRPr="00CE357F" w14:paraId="439C6BAF"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27B4B218" w14:textId="77777777" w:rsidR="00F127A2" w:rsidRPr="00CE357F" w:rsidRDefault="00F127A2" w:rsidP="004A0C47">
            <w:pPr>
              <w:spacing w:line="276" w:lineRule="auto"/>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třetích zemí v ČR celkem</w:t>
            </w:r>
          </w:p>
        </w:tc>
        <w:tc>
          <w:tcPr>
            <w:tcW w:w="2551" w:type="dxa"/>
            <w:vAlign w:val="center"/>
          </w:tcPr>
          <w:p w14:paraId="5A21142A"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18 414</w:t>
            </w:r>
          </w:p>
        </w:tc>
        <w:tc>
          <w:tcPr>
            <w:tcW w:w="1276" w:type="dxa"/>
            <w:vAlign w:val="center"/>
          </w:tcPr>
          <w:p w14:paraId="420F7A1B"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14 438</w:t>
            </w:r>
          </w:p>
        </w:tc>
        <w:tc>
          <w:tcPr>
            <w:tcW w:w="1559" w:type="dxa"/>
            <w:vAlign w:val="center"/>
          </w:tcPr>
          <w:p w14:paraId="66CC3865"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3 976</w:t>
            </w:r>
          </w:p>
        </w:tc>
      </w:tr>
      <w:tr w:rsidR="00F127A2" w:rsidRPr="00CE357F" w14:paraId="2308D901"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62DBEF1D" w14:textId="77777777" w:rsidR="00F127A2" w:rsidRPr="00CE357F" w:rsidRDefault="00F127A2" w:rsidP="004A0C47">
            <w:pPr>
              <w:spacing w:line="276" w:lineRule="auto"/>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třetích zemí v JMK celkem</w:t>
            </w:r>
          </w:p>
        </w:tc>
        <w:tc>
          <w:tcPr>
            <w:tcW w:w="2551" w:type="dxa"/>
            <w:vAlign w:val="center"/>
          </w:tcPr>
          <w:p w14:paraId="2A7123DF"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1 988</w:t>
            </w:r>
          </w:p>
        </w:tc>
        <w:tc>
          <w:tcPr>
            <w:tcW w:w="1276" w:type="dxa"/>
            <w:vAlign w:val="center"/>
          </w:tcPr>
          <w:p w14:paraId="5179F0E9"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1 529</w:t>
            </w:r>
          </w:p>
        </w:tc>
        <w:tc>
          <w:tcPr>
            <w:tcW w:w="1559" w:type="dxa"/>
            <w:vAlign w:val="center"/>
          </w:tcPr>
          <w:p w14:paraId="4E1BFEC0" w14:textId="77777777" w:rsidR="00F127A2" w:rsidRPr="00CE357F"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459</w:t>
            </w:r>
          </w:p>
        </w:tc>
      </w:tr>
      <w:tr w:rsidR="00F127A2" w:rsidRPr="00CE357F" w14:paraId="35B97D84"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2579B942" w14:textId="77777777" w:rsidR="00F127A2" w:rsidRPr="002E2D13" w:rsidRDefault="00F127A2" w:rsidP="004A0C47">
            <w:pPr>
              <w:spacing w:line="276" w:lineRule="auto"/>
              <w:jc w:val="center"/>
              <w:rPr>
                <w:rFonts w:ascii="Arial Narrow" w:hAnsi="Arial Narrow" w:cs="Arial CE"/>
                <w:bCs w:val="0"/>
                <w:sz w:val="18"/>
                <w:szCs w:val="18"/>
              </w:rPr>
            </w:pPr>
            <w:r>
              <w:rPr>
                <w:rFonts w:ascii="Arial Narrow" w:hAnsi="Arial Narrow" w:cs="Arial CE"/>
                <w:bCs w:val="0"/>
                <w:sz w:val="18"/>
                <w:szCs w:val="18"/>
              </w:rPr>
              <w:t>Z toho:</w:t>
            </w:r>
          </w:p>
        </w:tc>
        <w:tc>
          <w:tcPr>
            <w:tcW w:w="2551" w:type="dxa"/>
            <w:vAlign w:val="center"/>
          </w:tcPr>
          <w:p w14:paraId="49C4CDCD" w14:textId="77777777" w:rsidR="00F127A2"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CE"/>
                <w:b/>
                <w:bCs/>
                <w:sz w:val="18"/>
                <w:szCs w:val="18"/>
              </w:rPr>
            </w:pPr>
          </w:p>
        </w:tc>
        <w:tc>
          <w:tcPr>
            <w:tcW w:w="1276" w:type="dxa"/>
            <w:vAlign w:val="center"/>
          </w:tcPr>
          <w:p w14:paraId="1E180D7D" w14:textId="77777777" w:rsidR="00F127A2"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CE"/>
                <w:b/>
                <w:bCs/>
                <w:sz w:val="18"/>
                <w:szCs w:val="18"/>
              </w:rPr>
            </w:pPr>
          </w:p>
        </w:tc>
        <w:tc>
          <w:tcPr>
            <w:tcW w:w="1559" w:type="dxa"/>
            <w:vAlign w:val="center"/>
          </w:tcPr>
          <w:p w14:paraId="1BCA29FD" w14:textId="77777777" w:rsidR="00F127A2"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CE"/>
                <w:b/>
                <w:bCs/>
                <w:sz w:val="18"/>
                <w:szCs w:val="18"/>
              </w:rPr>
            </w:pPr>
          </w:p>
        </w:tc>
      </w:tr>
      <w:tr w:rsidR="00F127A2" w:rsidRPr="00CE357F" w14:paraId="362D61BD"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28110A0B" w14:textId="77777777" w:rsidR="00F127A2" w:rsidRPr="00853834" w:rsidRDefault="00F127A2" w:rsidP="004A0C47">
            <w:pPr>
              <w:spacing w:line="276" w:lineRule="auto"/>
              <w:jc w:val="center"/>
              <w:rPr>
                <w:rFonts w:ascii="Arial Narrow" w:eastAsia="Times New Roman" w:hAnsi="Arial Narrow" w:cs="Arial"/>
                <w:b w:val="0"/>
                <w:bCs w:val="0"/>
                <w:sz w:val="18"/>
                <w:szCs w:val="18"/>
                <w:lang w:eastAsia="cs-CZ"/>
              </w:rPr>
            </w:pPr>
            <w:r w:rsidRPr="00853834">
              <w:rPr>
                <w:rFonts w:ascii="Arial Narrow" w:hAnsi="Arial Narrow" w:cs="Arial CE"/>
                <w:b w:val="0"/>
                <w:bCs w:val="0"/>
                <w:sz w:val="18"/>
                <w:szCs w:val="18"/>
              </w:rPr>
              <w:t>Ukrajina</w:t>
            </w:r>
          </w:p>
        </w:tc>
        <w:tc>
          <w:tcPr>
            <w:tcW w:w="2551" w:type="dxa"/>
            <w:vAlign w:val="center"/>
          </w:tcPr>
          <w:p w14:paraId="30BB20B6"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bCs/>
                <w:sz w:val="18"/>
                <w:szCs w:val="18"/>
              </w:rPr>
              <w:t>1 701</w:t>
            </w:r>
          </w:p>
        </w:tc>
        <w:tc>
          <w:tcPr>
            <w:tcW w:w="1276" w:type="dxa"/>
            <w:vAlign w:val="center"/>
          </w:tcPr>
          <w:p w14:paraId="15E2C25B"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bCs/>
                <w:sz w:val="18"/>
                <w:szCs w:val="18"/>
              </w:rPr>
              <w:t>1 364</w:t>
            </w:r>
          </w:p>
        </w:tc>
        <w:tc>
          <w:tcPr>
            <w:tcW w:w="1559" w:type="dxa"/>
            <w:vAlign w:val="center"/>
          </w:tcPr>
          <w:p w14:paraId="3746E78A"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bCs/>
                <w:sz w:val="18"/>
                <w:szCs w:val="18"/>
              </w:rPr>
              <w:t>337</w:t>
            </w:r>
          </w:p>
        </w:tc>
      </w:tr>
      <w:tr w:rsidR="00F127A2" w:rsidRPr="00CE357F" w14:paraId="3841E4C9"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060B69E1"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Rusko</w:t>
            </w:r>
          </w:p>
        </w:tc>
        <w:tc>
          <w:tcPr>
            <w:tcW w:w="2551" w:type="dxa"/>
            <w:vAlign w:val="center"/>
          </w:tcPr>
          <w:p w14:paraId="7EE98486"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45</w:t>
            </w:r>
          </w:p>
        </w:tc>
        <w:tc>
          <w:tcPr>
            <w:tcW w:w="1276" w:type="dxa"/>
            <w:vAlign w:val="center"/>
          </w:tcPr>
          <w:p w14:paraId="5F8DF3D3"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35</w:t>
            </w:r>
          </w:p>
        </w:tc>
        <w:tc>
          <w:tcPr>
            <w:tcW w:w="1559" w:type="dxa"/>
            <w:vAlign w:val="center"/>
          </w:tcPr>
          <w:p w14:paraId="63CFDC43"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10</w:t>
            </w:r>
          </w:p>
        </w:tc>
      </w:tr>
      <w:tr w:rsidR="00F127A2" w:rsidRPr="00CE357F" w14:paraId="3A4956DD"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52F2C2D1"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Arménie</w:t>
            </w:r>
          </w:p>
        </w:tc>
        <w:tc>
          <w:tcPr>
            <w:tcW w:w="2551" w:type="dxa"/>
            <w:vAlign w:val="center"/>
          </w:tcPr>
          <w:p w14:paraId="4628B6EC"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26</w:t>
            </w:r>
          </w:p>
        </w:tc>
        <w:tc>
          <w:tcPr>
            <w:tcW w:w="1276" w:type="dxa"/>
            <w:vAlign w:val="center"/>
          </w:tcPr>
          <w:p w14:paraId="22FE6443"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19</w:t>
            </w:r>
          </w:p>
        </w:tc>
        <w:tc>
          <w:tcPr>
            <w:tcW w:w="1559" w:type="dxa"/>
            <w:vAlign w:val="center"/>
          </w:tcPr>
          <w:p w14:paraId="145920BB"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7</w:t>
            </w:r>
          </w:p>
        </w:tc>
      </w:tr>
      <w:tr w:rsidR="00F127A2" w:rsidRPr="00CE357F" w14:paraId="01B5F479"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2A962737"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Vietnam</w:t>
            </w:r>
          </w:p>
        </w:tc>
        <w:tc>
          <w:tcPr>
            <w:tcW w:w="2551" w:type="dxa"/>
            <w:vAlign w:val="center"/>
          </w:tcPr>
          <w:p w14:paraId="5D6B3508"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26</w:t>
            </w:r>
          </w:p>
        </w:tc>
        <w:tc>
          <w:tcPr>
            <w:tcW w:w="1276" w:type="dxa"/>
            <w:vAlign w:val="center"/>
          </w:tcPr>
          <w:p w14:paraId="74DE5BC1"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19</w:t>
            </w:r>
          </w:p>
        </w:tc>
        <w:tc>
          <w:tcPr>
            <w:tcW w:w="1559" w:type="dxa"/>
            <w:vAlign w:val="center"/>
          </w:tcPr>
          <w:p w14:paraId="1172F1E1"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7</w:t>
            </w:r>
          </w:p>
        </w:tc>
      </w:tr>
      <w:tr w:rsidR="00F127A2" w:rsidRPr="00CE357F" w14:paraId="5BF50F08"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3C706E1F"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Kosovo</w:t>
            </w:r>
          </w:p>
        </w:tc>
        <w:tc>
          <w:tcPr>
            <w:tcW w:w="2551" w:type="dxa"/>
            <w:vAlign w:val="center"/>
          </w:tcPr>
          <w:p w14:paraId="403D5C87"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25</w:t>
            </w:r>
          </w:p>
        </w:tc>
        <w:tc>
          <w:tcPr>
            <w:tcW w:w="1276" w:type="dxa"/>
            <w:vAlign w:val="center"/>
          </w:tcPr>
          <w:p w14:paraId="0D13798B"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4</w:t>
            </w:r>
          </w:p>
        </w:tc>
        <w:tc>
          <w:tcPr>
            <w:tcW w:w="1559" w:type="dxa"/>
            <w:vAlign w:val="center"/>
          </w:tcPr>
          <w:p w14:paraId="3F2A7C73"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21</w:t>
            </w:r>
          </w:p>
        </w:tc>
      </w:tr>
      <w:tr w:rsidR="00F127A2" w:rsidRPr="00CE357F" w14:paraId="584F4B7B"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634E9C24"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Mongolsko</w:t>
            </w:r>
          </w:p>
        </w:tc>
        <w:tc>
          <w:tcPr>
            <w:tcW w:w="2551" w:type="dxa"/>
            <w:vAlign w:val="center"/>
          </w:tcPr>
          <w:p w14:paraId="59C9030B"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14</w:t>
            </w:r>
          </w:p>
        </w:tc>
        <w:tc>
          <w:tcPr>
            <w:tcW w:w="1276" w:type="dxa"/>
            <w:vAlign w:val="center"/>
          </w:tcPr>
          <w:p w14:paraId="0F86A167"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9</w:t>
            </w:r>
          </w:p>
        </w:tc>
        <w:tc>
          <w:tcPr>
            <w:tcW w:w="1559" w:type="dxa"/>
            <w:vAlign w:val="center"/>
          </w:tcPr>
          <w:p w14:paraId="3AEAAF2E"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5</w:t>
            </w:r>
          </w:p>
        </w:tc>
      </w:tr>
      <w:tr w:rsidR="00F127A2" w:rsidRPr="00CE357F" w14:paraId="312BB4FD"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750F8A5E"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Bělorusko</w:t>
            </w:r>
          </w:p>
        </w:tc>
        <w:tc>
          <w:tcPr>
            <w:tcW w:w="2551" w:type="dxa"/>
            <w:vAlign w:val="center"/>
          </w:tcPr>
          <w:p w14:paraId="703C2C6F"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14</w:t>
            </w:r>
          </w:p>
        </w:tc>
        <w:tc>
          <w:tcPr>
            <w:tcW w:w="1276" w:type="dxa"/>
            <w:vAlign w:val="center"/>
          </w:tcPr>
          <w:p w14:paraId="4F819AEE"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12</w:t>
            </w:r>
          </w:p>
        </w:tc>
        <w:tc>
          <w:tcPr>
            <w:tcW w:w="1559" w:type="dxa"/>
            <w:vAlign w:val="center"/>
          </w:tcPr>
          <w:p w14:paraId="3A217900"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2</w:t>
            </w:r>
          </w:p>
        </w:tc>
      </w:tr>
      <w:tr w:rsidR="00F127A2" w:rsidRPr="00CE357F" w14:paraId="2A222B54"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74CB2C64"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Moldavsko</w:t>
            </w:r>
          </w:p>
        </w:tc>
        <w:tc>
          <w:tcPr>
            <w:tcW w:w="2551" w:type="dxa"/>
            <w:vAlign w:val="center"/>
          </w:tcPr>
          <w:p w14:paraId="3172FA68"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12</w:t>
            </w:r>
          </w:p>
        </w:tc>
        <w:tc>
          <w:tcPr>
            <w:tcW w:w="1276" w:type="dxa"/>
            <w:vAlign w:val="center"/>
          </w:tcPr>
          <w:p w14:paraId="22FD27D9"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10</w:t>
            </w:r>
          </w:p>
        </w:tc>
        <w:tc>
          <w:tcPr>
            <w:tcW w:w="1559" w:type="dxa"/>
            <w:vAlign w:val="center"/>
          </w:tcPr>
          <w:p w14:paraId="64EE6EEB"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2</w:t>
            </w:r>
          </w:p>
        </w:tc>
      </w:tr>
      <w:tr w:rsidR="00F127A2" w:rsidRPr="00CE357F" w14:paraId="37ACACF1"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7BE4F5F3"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Afghánistán</w:t>
            </w:r>
          </w:p>
        </w:tc>
        <w:tc>
          <w:tcPr>
            <w:tcW w:w="2551" w:type="dxa"/>
            <w:vAlign w:val="center"/>
          </w:tcPr>
          <w:p w14:paraId="19BC7393"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11</w:t>
            </w:r>
          </w:p>
        </w:tc>
        <w:tc>
          <w:tcPr>
            <w:tcW w:w="1276" w:type="dxa"/>
            <w:vAlign w:val="center"/>
          </w:tcPr>
          <w:p w14:paraId="6DAA9176"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6</w:t>
            </w:r>
          </w:p>
        </w:tc>
        <w:tc>
          <w:tcPr>
            <w:tcW w:w="1559" w:type="dxa"/>
            <w:vAlign w:val="center"/>
          </w:tcPr>
          <w:p w14:paraId="439B4B83"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5</w:t>
            </w:r>
          </w:p>
        </w:tc>
      </w:tr>
      <w:tr w:rsidR="00F127A2" w:rsidRPr="00CE357F" w14:paraId="6C50B392"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767376E9"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Irák</w:t>
            </w:r>
          </w:p>
        </w:tc>
        <w:tc>
          <w:tcPr>
            <w:tcW w:w="2551" w:type="dxa"/>
            <w:vAlign w:val="center"/>
          </w:tcPr>
          <w:p w14:paraId="46A5AEEC"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10</w:t>
            </w:r>
          </w:p>
        </w:tc>
        <w:tc>
          <w:tcPr>
            <w:tcW w:w="1276" w:type="dxa"/>
            <w:vAlign w:val="center"/>
          </w:tcPr>
          <w:p w14:paraId="5D346B53"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5</w:t>
            </w:r>
          </w:p>
        </w:tc>
        <w:tc>
          <w:tcPr>
            <w:tcW w:w="1559" w:type="dxa"/>
            <w:vAlign w:val="center"/>
          </w:tcPr>
          <w:p w14:paraId="3F0635F4"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5</w:t>
            </w:r>
          </w:p>
        </w:tc>
      </w:tr>
      <w:tr w:rsidR="00F127A2" w:rsidRPr="00CE357F" w14:paraId="2A964E38"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6F05D163"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Sýrie</w:t>
            </w:r>
          </w:p>
        </w:tc>
        <w:tc>
          <w:tcPr>
            <w:tcW w:w="2551" w:type="dxa"/>
            <w:vAlign w:val="center"/>
          </w:tcPr>
          <w:p w14:paraId="4D3EABCA"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9</w:t>
            </w:r>
          </w:p>
        </w:tc>
        <w:tc>
          <w:tcPr>
            <w:tcW w:w="1276" w:type="dxa"/>
            <w:vAlign w:val="center"/>
          </w:tcPr>
          <w:p w14:paraId="785142B7"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9</w:t>
            </w:r>
          </w:p>
        </w:tc>
        <w:tc>
          <w:tcPr>
            <w:tcW w:w="1559" w:type="dxa"/>
            <w:vAlign w:val="center"/>
          </w:tcPr>
          <w:p w14:paraId="60795A9E"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0</w:t>
            </w:r>
          </w:p>
        </w:tc>
      </w:tr>
      <w:tr w:rsidR="00F127A2" w:rsidRPr="00CE357F" w14:paraId="30C6EC48"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6343869E"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Egypt</w:t>
            </w:r>
          </w:p>
        </w:tc>
        <w:tc>
          <w:tcPr>
            <w:tcW w:w="2551" w:type="dxa"/>
            <w:vAlign w:val="center"/>
          </w:tcPr>
          <w:p w14:paraId="30905828"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9</w:t>
            </w:r>
          </w:p>
        </w:tc>
        <w:tc>
          <w:tcPr>
            <w:tcW w:w="1276" w:type="dxa"/>
            <w:vAlign w:val="center"/>
          </w:tcPr>
          <w:p w14:paraId="2C92BA91"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3</w:t>
            </w:r>
          </w:p>
        </w:tc>
        <w:tc>
          <w:tcPr>
            <w:tcW w:w="1559" w:type="dxa"/>
            <w:vAlign w:val="center"/>
          </w:tcPr>
          <w:p w14:paraId="140C23D2"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6</w:t>
            </w:r>
          </w:p>
        </w:tc>
      </w:tr>
      <w:tr w:rsidR="00F127A2" w:rsidRPr="00CE357F" w14:paraId="63F70593"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5A635A73" w14:textId="77777777" w:rsidR="00F127A2" w:rsidRPr="00853834" w:rsidRDefault="00F127A2" w:rsidP="004A0C47">
            <w:pPr>
              <w:spacing w:line="276" w:lineRule="auto"/>
              <w:jc w:val="center"/>
              <w:rPr>
                <w:rFonts w:ascii="Arial Narrow" w:eastAsia="Times New Roman" w:hAnsi="Arial Narrow" w:cs="Arial"/>
                <w:b w:val="0"/>
                <w:sz w:val="18"/>
                <w:szCs w:val="18"/>
                <w:lang w:eastAsia="cs-CZ"/>
              </w:rPr>
            </w:pPr>
            <w:r w:rsidRPr="00853834">
              <w:rPr>
                <w:rFonts w:ascii="Arial Narrow" w:hAnsi="Arial Narrow" w:cs="Arial CE"/>
                <w:b w:val="0"/>
                <w:bCs w:val="0"/>
                <w:sz w:val="18"/>
                <w:szCs w:val="18"/>
              </w:rPr>
              <w:t>Severní Makedonie</w:t>
            </w:r>
          </w:p>
        </w:tc>
        <w:tc>
          <w:tcPr>
            <w:tcW w:w="2551" w:type="dxa"/>
            <w:vAlign w:val="center"/>
          </w:tcPr>
          <w:p w14:paraId="3091D4E1"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7</w:t>
            </w:r>
          </w:p>
        </w:tc>
        <w:tc>
          <w:tcPr>
            <w:tcW w:w="1276" w:type="dxa"/>
            <w:vAlign w:val="center"/>
          </w:tcPr>
          <w:p w14:paraId="65A0932D"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3</w:t>
            </w:r>
          </w:p>
        </w:tc>
        <w:tc>
          <w:tcPr>
            <w:tcW w:w="1559" w:type="dxa"/>
            <w:vAlign w:val="center"/>
          </w:tcPr>
          <w:p w14:paraId="5C3B2493"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CE"/>
                <w:sz w:val="18"/>
                <w:szCs w:val="18"/>
              </w:rPr>
              <w:t>4</w:t>
            </w:r>
          </w:p>
        </w:tc>
      </w:tr>
      <w:tr w:rsidR="00F127A2" w:rsidRPr="00CE357F" w14:paraId="5A4F8102" w14:textId="77777777" w:rsidTr="004A0C47">
        <w:trPr>
          <w:trHeight w:val="227"/>
        </w:trPr>
        <w:tc>
          <w:tcPr>
            <w:cnfStyle w:val="001000000000" w:firstRow="0" w:lastRow="0" w:firstColumn="1" w:lastColumn="0" w:oddVBand="0" w:evenVBand="0" w:oddHBand="0" w:evenHBand="0" w:firstRowFirstColumn="0" w:firstRowLastColumn="0" w:lastRowFirstColumn="0" w:lastRowLastColumn="0"/>
            <w:tcW w:w="3573" w:type="dxa"/>
            <w:shd w:val="clear" w:color="auto" w:fill="D9E2F3" w:themeFill="accent1" w:themeFillTint="33"/>
            <w:vAlign w:val="center"/>
          </w:tcPr>
          <w:p w14:paraId="169DC101" w14:textId="77777777" w:rsidR="00F127A2" w:rsidRPr="00853834" w:rsidRDefault="00F127A2" w:rsidP="004A0C47">
            <w:pPr>
              <w:spacing w:line="276" w:lineRule="auto"/>
              <w:jc w:val="center"/>
              <w:rPr>
                <w:rFonts w:ascii="Arial Narrow" w:eastAsia="Times New Roman" w:hAnsi="Arial Narrow" w:cs="Arial"/>
                <w:b w:val="0"/>
                <w:bCs w:val="0"/>
                <w:sz w:val="18"/>
                <w:szCs w:val="18"/>
                <w:lang w:eastAsia="cs-CZ"/>
              </w:rPr>
            </w:pPr>
            <w:r w:rsidRPr="00853834">
              <w:rPr>
                <w:rFonts w:ascii="Arial Narrow" w:eastAsia="Times New Roman" w:hAnsi="Arial Narrow" w:cs="Arial"/>
                <w:b w:val="0"/>
                <w:sz w:val="18"/>
                <w:szCs w:val="18"/>
                <w:lang w:eastAsia="cs-CZ"/>
              </w:rPr>
              <w:t>Ostatní</w:t>
            </w:r>
          </w:p>
        </w:tc>
        <w:tc>
          <w:tcPr>
            <w:tcW w:w="2551" w:type="dxa"/>
            <w:vAlign w:val="center"/>
          </w:tcPr>
          <w:p w14:paraId="3D020CB8"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w:sz w:val="18"/>
                <w:szCs w:val="18"/>
              </w:rPr>
              <w:t>79</w:t>
            </w:r>
          </w:p>
        </w:tc>
        <w:tc>
          <w:tcPr>
            <w:tcW w:w="1276" w:type="dxa"/>
            <w:vAlign w:val="center"/>
          </w:tcPr>
          <w:p w14:paraId="12AEC204"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w:sz w:val="18"/>
                <w:szCs w:val="18"/>
              </w:rPr>
              <w:t>31</w:t>
            </w:r>
          </w:p>
        </w:tc>
        <w:tc>
          <w:tcPr>
            <w:tcW w:w="1559" w:type="dxa"/>
            <w:vAlign w:val="center"/>
          </w:tcPr>
          <w:p w14:paraId="5555DEC1" w14:textId="77777777" w:rsidR="00F127A2" w:rsidRPr="00853834" w:rsidRDefault="00F127A2" w:rsidP="004A0C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853834">
              <w:rPr>
                <w:rFonts w:ascii="Arial Narrow" w:hAnsi="Arial Narrow" w:cs="Arial"/>
                <w:sz w:val="18"/>
                <w:szCs w:val="18"/>
              </w:rPr>
              <w:t>48</w:t>
            </w:r>
          </w:p>
        </w:tc>
      </w:tr>
    </w:tbl>
    <w:p w14:paraId="3714FCF9"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Zdroj: Ministerstvo práce a sociálních věcí</w:t>
      </w:r>
      <w:r>
        <w:rPr>
          <w:rFonts w:ascii="Arial Narrow" w:hAnsi="Arial Narrow"/>
          <w:sz w:val="20"/>
        </w:rPr>
        <w:t>, data za měsíc prosinec daného roku</w:t>
      </w:r>
      <w:r>
        <w:rPr>
          <w:rFonts w:ascii="Arial Narrow" w:hAnsi="Arial Narrow"/>
          <w:sz w:val="20"/>
        </w:rPr>
        <w:tab/>
      </w:r>
      <w:r w:rsidRPr="00CE357F">
        <w:rPr>
          <w:rFonts w:ascii="Arial Narrow" w:hAnsi="Arial Narrow"/>
          <w:sz w:val="20"/>
        </w:rPr>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3B39AEBB" w14:textId="77777777" w:rsidR="00F127A2" w:rsidRPr="00CE357F" w:rsidRDefault="00F127A2" w:rsidP="00F127A2">
      <w:pPr>
        <w:spacing w:line="276" w:lineRule="auto"/>
        <w:rPr>
          <w:rFonts w:ascii="Arial Narrow" w:hAnsi="Arial Narrow"/>
          <w:b/>
          <w:color w:val="2F5496" w:themeColor="accent1" w:themeShade="BF"/>
        </w:rPr>
      </w:pPr>
    </w:p>
    <w:p w14:paraId="5D3439B8" w14:textId="77777777" w:rsidR="00053E14" w:rsidRDefault="00F127A2" w:rsidP="00F127A2">
      <w:pPr>
        <w:spacing w:after="120" w:line="276" w:lineRule="auto"/>
        <w:jc w:val="both"/>
        <w:rPr>
          <w:rFonts w:ascii="Arial Narrow" w:eastAsia="Times New Roman" w:hAnsi="Arial Narrow" w:cs="Arial"/>
          <w:color w:val="000000" w:themeColor="text1"/>
          <w:lang w:eastAsia="cs-CZ"/>
        </w:rPr>
      </w:pPr>
      <w:r w:rsidRPr="2E13D2E5">
        <w:rPr>
          <w:rFonts w:ascii="Arial Narrow" w:eastAsia="Times New Roman" w:hAnsi="Arial Narrow" w:cs="Arial"/>
          <w:color w:val="000000" w:themeColor="text1"/>
          <w:lang w:eastAsia="cs-CZ"/>
        </w:rPr>
        <w:t xml:space="preserve">Počet </w:t>
      </w:r>
      <w:r w:rsidR="00885DD3" w:rsidRPr="2E13D2E5">
        <w:rPr>
          <w:rFonts w:ascii="Arial Narrow" w:hAnsi="Arial Narrow"/>
          <w:color w:val="000000" w:themeColor="text1"/>
        </w:rPr>
        <w:t xml:space="preserve">evidovaných </w:t>
      </w:r>
      <w:r w:rsidRPr="2E13D2E5">
        <w:rPr>
          <w:rFonts w:ascii="Arial Narrow" w:eastAsia="Times New Roman" w:hAnsi="Arial Narrow" w:cs="Arial"/>
          <w:color w:val="000000" w:themeColor="text1"/>
          <w:lang w:eastAsia="cs-CZ"/>
        </w:rPr>
        <w:t>uchazečů</w:t>
      </w:r>
      <w:r w:rsidR="00885DD3" w:rsidRPr="2E13D2E5">
        <w:rPr>
          <w:rFonts w:ascii="Arial Narrow" w:eastAsia="Times New Roman" w:hAnsi="Arial Narrow" w:cs="Arial"/>
          <w:color w:val="000000" w:themeColor="text1"/>
          <w:lang w:eastAsia="cs-CZ"/>
        </w:rPr>
        <w:t xml:space="preserve"> o zaměstnání</w:t>
      </w:r>
      <w:r w:rsidRPr="2E13D2E5">
        <w:rPr>
          <w:rFonts w:ascii="Arial Narrow" w:eastAsia="Times New Roman" w:hAnsi="Arial Narrow" w:cs="Arial"/>
          <w:color w:val="000000" w:themeColor="text1"/>
          <w:lang w:eastAsia="cs-CZ"/>
        </w:rPr>
        <w:t xml:space="preserve"> z</w:t>
      </w:r>
      <w:r w:rsidR="001529D5" w:rsidRPr="2E13D2E5">
        <w:rPr>
          <w:rFonts w:ascii="Arial Narrow" w:eastAsia="Times New Roman" w:hAnsi="Arial Narrow" w:cs="Arial"/>
          <w:color w:val="000000" w:themeColor="text1"/>
          <w:lang w:eastAsia="cs-CZ"/>
        </w:rPr>
        <w:t>e</w:t>
      </w:r>
      <w:r w:rsidRPr="2E13D2E5">
        <w:rPr>
          <w:rFonts w:ascii="Arial Narrow" w:eastAsia="Times New Roman" w:hAnsi="Arial Narrow" w:cs="Arial"/>
          <w:color w:val="000000" w:themeColor="text1"/>
          <w:lang w:eastAsia="cs-CZ"/>
        </w:rPr>
        <w:t> třetích zemí v rámci celé České republiky v první polovině roku 2022 postupně klesal, od srpna však začal rapidně stoupat</w:t>
      </w:r>
      <w:r w:rsidR="00053E14">
        <w:rPr>
          <w:rFonts w:ascii="Arial Narrow" w:eastAsia="Times New Roman" w:hAnsi="Arial Narrow" w:cs="Arial"/>
          <w:color w:val="000000" w:themeColor="text1"/>
          <w:lang w:eastAsia="cs-CZ"/>
        </w:rPr>
        <w:t xml:space="preserve"> (vývoj zaznamenán v grafu č. 49)</w:t>
      </w:r>
      <w:r w:rsidRPr="2E13D2E5">
        <w:rPr>
          <w:rFonts w:ascii="Arial Narrow" w:eastAsia="Times New Roman" w:hAnsi="Arial Narrow" w:cs="Arial"/>
          <w:color w:val="000000" w:themeColor="text1"/>
          <w:lang w:eastAsia="cs-CZ"/>
        </w:rPr>
        <w:t xml:space="preserve">. Mezi červnem a srpnem byl nárůst trojnásobný a do konce roku více než čtyřnásobný. Zatímco v lednu 2022 bylo evidováno 4 437 uchazečů, v prosinci 2022 to bylo 18 414 uchazečů. </w:t>
      </w:r>
      <w:r w:rsidRPr="00173E7B">
        <w:rPr>
          <w:rFonts w:ascii="Arial Narrow" w:eastAsia="Times New Roman" w:hAnsi="Arial Narrow" w:cs="Arial"/>
          <w:color w:val="000000" w:themeColor="text1"/>
          <w:lang w:eastAsia="cs-CZ"/>
        </w:rPr>
        <w:t>S</w:t>
      </w:r>
      <w:r w:rsidR="00FD6BAB" w:rsidRPr="00173E7B">
        <w:rPr>
          <w:rFonts w:ascii="Arial Narrow" w:eastAsia="Times New Roman" w:hAnsi="Arial Narrow" w:cs="Arial"/>
          <w:color w:val="000000" w:themeColor="text1"/>
          <w:lang w:eastAsia="cs-CZ"/>
        </w:rPr>
        <w:t>kokový nárůst byl pravděpodobně způsoben</w:t>
      </w:r>
      <w:r w:rsidR="00FD6BAB" w:rsidRPr="00173E7B">
        <w:rPr>
          <w:rFonts w:ascii="Arial Narrow" w:hAnsi="Arial Narrow"/>
        </w:rPr>
        <w:t xml:space="preserve"> zavedením </w:t>
      </w:r>
      <w:r w:rsidR="00FD6BAB" w:rsidRPr="00173E7B">
        <w:rPr>
          <w:rFonts w:ascii="Arial Narrow" w:hAnsi="Arial Narrow"/>
          <w:b/>
          <w:bCs/>
        </w:rPr>
        <w:t>n</w:t>
      </w:r>
      <w:r w:rsidR="00DD715D" w:rsidRPr="00173E7B">
        <w:rPr>
          <w:rFonts w:ascii="Arial Narrow" w:hAnsi="Arial Narrow"/>
          <w:b/>
          <w:bCs/>
        </w:rPr>
        <w:t>ovela zákona</w:t>
      </w:r>
      <w:r w:rsidR="00FD6BAB" w:rsidRPr="00173E7B">
        <w:rPr>
          <w:rFonts w:ascii="Arial Narrow" w:hAnsi="Arial Narrow"/>
          <w:b/>
          <w:bCs/>
        </w:rPr>
        <w:t xml:space="preserve"> č. 65/2022</w:t>
      </w:r>
      <w:r w:rsidR="00FD6BAB" w:rsidRPr="00173E7B">
        <w:rPr>
          <w:rFonts w:ascii="Arial Narrow" w:hAnsi="Arial Narrow"/>
        </w:rPr>
        <w:t>, tzv. Lex Ukrajina</w:t>
      </w:r>
      <w:r w:rsidR="00DD715D" w:rsidRPr="00173E7B">
        <w:rPr>
          <w:rStyle w:val="Znakapoznpodarou"/>
          <w:rFonts w:ascii="Arial Narrow" w:hAnsi="Arial Narrow"/>
        </w:rPr>
        <w:footnoteReference w:id="26"/>
      </w:r>
      <w:r w:rsidR="00FD6BAB" w:rsidRPr="00173E7B">
        <w:rPr>
          <w:rFonts w:ascii="Arial Narrow" w:hAnsi="Arial Narrow"/>
        </w:rPr>
        <w:t xml:space="preserve">, </w:t>
      </w:r>
      <w:r w:rsidR="00E4306E" w:rsidRPr="00173E7B">
        <w:rPr>
          <w:rFonts w:ascii="Arial Narrow" w:hAnsi="Arial Narrow"/>
        </w:rPr>
        <w:t>která</w:t>
      </w:r>
      <w:r w:rsidR="00FD6BAB" w:rsidRPr="00173E7B">
        <w:rPr>
          <w:rFonts w:ascii="Arial Narrow" w:hAnsi="Arial Narrow"/>
        </w:rPr>
        <w:t xml:space="preserve"> upravuje povinnost pro ukrajinské občany s dočasnou ochranou, přihlásit se do veřejného zdravotního pojištění nejpozději do 150 dní od příjezdu do ČR</w:t>
      </w:r>
      <w:r w:rsidR="00E4306E" w:rsidRPr="00173E7B">
        <w:rPr>
          <w:rFonts w:ascii="Arial Narrow" w:hAnsi="Arial Narrow"/>
        </w:rPr>
        <w:t>.</w:t>
      </w:r>
      <w:r w:rsidR="00E4306E" w:rsidRPr="00173E7B">
        <w:rPr>
          <w:rStyle w:val="Znakapoznpodarou"/>
          <w:rFonts w:ascii="Arial Narrow" w:hAnsi="Arial Narrow"/>
        </w:rPr>
        <w:footnoteReference w:id="27"/>
      </w:r>
    </w:p>
    <w:p w14:paraId="159FD80D" w14:textId="31C4927B" w:rsidR="00885DD3" w:rsidRDefault="00F127A2" w:rsidP="00F127A2">
      <w:pPr>
        <w:spacing w:after="120" w:line="276" w:lineRule="auto"/>
        <w:jc w:val="both"/>
        <w:rPr>
          <w:rFonts w:ascii="Arial Narrow" w:eastAsia="Times New Roman" w:hAnsi="Arial Narrow" w:cs="Arial"/>
          <w:color w:val="000000" w:themeColor="text1"/>
          <w:lang w:eastAsia="cs-CZ"/>
        </w:rPr>
      </w:pPr>
      <w:r w:rsidRPr="007F24DF">
        <w:rPr>
          <w:rFonts w:ascii="Arial Narrow" w:eastAsia="Times New Roman" w:hAnsi="Arial Narrow" w:cs="Arial"/>
          <w:color w:val="000000" w:themeColor="text1"/>
          <w:lang w:eastAsia="cs-CZ"/>
        </w:rPr>
        <w:lastRenderedPageBreak/>
        <w:t>Ve srovnání se situací v celé České republice lze tvrdit, že počet uchazečů ze třetích zemí v Jihomoravském kraji v rámci jednotlivých měsících roku 2022 kopíruje celorepublikový trend. Nejvyšší počet uchazečů byl evidován v prosinci (1 988 uchazečů), což bylo více než čtyřnásobně vyšší číslo než v lednu (495</w:t>
      </w:r>
      <w:r w:rsidR="00885DD3">
        <w:rPr>
          <w:rFonts w:ascii="Arial Narrow" w:eastAsia="Times New Roman" w:hAnsi="Arial Narrow" w:cs="Arial"/>
          <w:color w:val="000000" w:themeColor="text1"/>
          <w:lang w:eastAsia="cs-CZ"/>
        </w:rPr>
        <w:t xml:space="preserve"> uchazečů</w:t>
      </w:r>
      <w:r w:rsidRPr="007F24DF">
        <w:rPr>
          <w:rFonts w:ascii="Arial Narrow" w:eastAsia="Times New Roman" w:hAnsi="Arial Narrow" w:cs="Arial"/>
          <w:color w:val="000000" w:themeColor="text1"/>
          <w:lang w:eastAsia="cs-CZ"/>
        </w:rPr>
        <w:t xml:space="preserve">). </w:t>
      </w:r>
    </w:p>
    <w:p w14:paraId="36FC03AF" w14:textId="2FE02412" w:rsidR="00F127A2" w:rsidRPr="00CE357F" w:rsidRDefault="00F127A2" w:rsidP="00F127A2">
      <w:pPr>
        <w:spacing w:line="276" w:lineRule="auto"/>
        <w:rPr>
          <w:rFonts w:ascii="Arial Narrow" w:hAnsi="Arial Narrow"/>
          <w:b/>
          <w:sz w:val="20"/>
          <w:szCs w:val="20"/>
        </w:rPr>
      </w:pPr>
      <w:bookmarkStart w:id="329" w:name="_Toc94443753"/>
      <w:bookmarkStart w:id="330" w:name="_Toc136428893"/>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49</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Vývoj počtu uchazečů ze třetích zemí v ČR a JMK dle jednotlivých měsíců roce 202</w:t>
      </w:r>
      <w:bookmarkEnd w:id="329"/>
      <w:r>
        <w:rPr>
          <w:rFonts w:ascii="Arial Narrow" w:hAnsi="Arial Narrow"/>
          <w:b/>
          <w:bCs/>
          <w:sz w:val="20"/>
          <w:szCs w:val="20"/>
        </w:rPr>
        <w:t>2</w:t>
      </w:r>
      <w:bookmarkEnd w:id="330"/>
    </w:p>
    <w:p w14:paraId="7D262FF4" w14:textId="77777777" w:rsidR="00F127A2" w:rsidRPr="00CE357F" w:rsidRDefault="00F127A2" w:rsidP="00F127A2">
      <w:pPr>
        <w:spacing w:line="276" w:lineRule="auto"/>
        <w:rPr>
          <w:rFonts w:ascii="Arial Narrow" w:hAnsi="Arial Narrow"/>
          <w:b/>
          <w:color w:val="2F5496" w:themeColor="accent1" w:themeShade="BF"/>
        </w:rPr>
      </w:pPr>
      <w:r w:rsidRPr="00CE357F">
        <w:rPr>
          <w:rFonts w:ascii="Arial Narrow" w:hAnsi="Arial Narrow"/>
          <w:b/>
          <w:noProof/>
          <w:color w:val="2F5496" w:themeColor="accent1" w:themeShade="BF"/>
          <w:sz w:val="20"/>
          <w:szCs w:val="20"/>
          <w:lang w:eastAsia="cs-CZ"/>
        </w:rPr>
        <w:drawing>
          <wp:inline distT="0" distB="0" distL="0" distR="0" wp14:anchorId="35795C4E" wp14:editId="0BD6E1F3">
            <wp:extent cx="5715000" cy="2371725"/>
            <wp:effectExtent l="0" t="0" r="0" b="952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D0AAC9C"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Zdroj: Ministerstvo práce a sociálních věcí, data za jednotlivé měsíce</w:t>
      </w:r>
      <w:r>
        <w:rPr>
          <w:rFonts w:ascii="Arial Narrow" w:hAnsi="Arial Narrow"/>
          <w:sz w:val="20"/>
        </w:rPr>
        <w:t xml:space="preserve"> roku 2022</w:t>
      </w:r>
      <w:r w:rsidRPr="00CE357F">
        <w:rPr>
          <w:rFonts w:ascii="Arial Narrow" w:hAnsi="Arial Narrow"/>
          <w:sz w:val="20"/>
        </w:rPr>
        <w:t xml:space="preserve">       </w:t>
      </w:r>
      <w:r>
        <w:rPr>
          <w:rFonts w:ascii="Arial Narrow" w:hAnsi="Arial Narrow"/>
          <w:sz w:val="20"/>
        </w:rPr>
        <w:tab/>
      </w:r>
      <w:r w:rsidRPr="00CE357F">
        <w:rPr>
          <w:rFonts w:ascii="Arial Narrow" w:hAnsi="Arial Narrow"/>
          <w:sz w:val="20"/>
        </w:rPr>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5D8CB802" w14:textId="77777777" w:rsidR="00F127A2" w:rsidRPr="00CE357F" w:rsidRDefault="00F127A2" w:rsidP="00F127A2">
      <w:pPr>
        <w:spacing w:line="276" w:lineRule="auto"/>
        <w:rPr>
          <w:rFonts w:ascii="Arial Narrow" w:hAnsi="Arial Narrow"/>
          <w:b/>
          <w:color w:val="2F5496" w:themeColor="accent1" w:themeShade="BF"/>
        </w:rPr>
      </w:pPr>
    </w:p>
    <w:p w14:paraId="27634F0D" w14:textId="553981D0" w:rsidR="00885DD3" w:rsidRDefault="00F127A2" w:rsidP="00F127A2">
      <w:pPr>
        <w:spacing w:after="120" w:line="276" w:lineRule="auto"/>
        <w:jc w:val="both"/>
        <w:rPr>
          <w:rFonts w:ascii="Arial Narrow" w:hAnsi="Arial Narrow"/>
          <w:color w:val="000000" w:themeColor="text1"/>
        </w:rPr>
      </w:pPr>
      <w:r w:rsidRPr="00632013">
        <w:rPr>
          <w:rFonts w:ascii="Arial Narrow" w:hAnsi="Arial Narrow"/>
          <w:color w:val="000000" w:themeColor="text1"/>
        </w:rPr>
        <w:t>Podíváme-li se na vývoj počtu</w:t>
      </w:r>
      <w:r w:rsidR="00885DD3">
        <w:rPr>
          <w:rFonts w:ascii="Arial Narrow" w:hAnsi="Arial Narrow"/>
          <w:color w:val="000000" w:themeColor="text1"/>
        </w:rPr>
        <w:t xml:space="preserve"> evidovaných</w:t>
      </w:r>
      <w:r w:rsidRPr="00632013">
        <w:rPr>
          <w:rFonts w:ascii="Arial Narrow" w:hAnsi="Arial Narrow"/>
          <w:color w:val="000000" w:themeColor="text1"/>
        </w:rPr>
        <w:t xml:space="preserve"> uchazečů </w:t>
      </w:r>
      <w:r w:rsidR="00885DD3">
        <w:rPr>
          <w:rFonts w:ascii="Arial Narrow" w:hAnsi="Arial Narrow"/>
          <w:color w:val="000000" w:themeColor="text1"/>
        </w:rPr>
        <w:t xml:space="preserve">o zaměstnání </w:t>
      </w:r>
      <w:r w:rsidRPr="00632013">
        <w:rPr>
          <w:rFonts w:ascii="Arial Narrow" w:hAnsi="Arial Narrow"/>
          <w:color w:val="000000" w:themeColor="text1"/>
        </w:rPr>
        <w:t>z</w:t>
      </w:r>
      <w:r w:rsidR="00885DD3">
        <w:rPr>
          <w:rFonts w:ascii="Arial Narrow" w:hAnsi="Arial Narrow"/>
          <w:color w:val="000000" w:themeColor="text1"/>
        </w:rPr>
        <w:t>e</w:t>
      </w:r>
      <w:r w:rsidRPr="00632013">
        <w:rPr>
          <w:rFonts w:ascii="Arial Narrow" w:hAnsi="Arial Narrow"/>
          <w:color w:val="000000" w:themeColor="text1"/>
        </w:rPr>
        <w:t xml:space="preserve"> třetích zemí v měsíci prosinec mezi lety 2014 a 2022, nejvyšší počet uchazečů v Jihomoravském kraji byl do roku 2022 zaznamenán v roce 2015, celkem 1 674 uchazečů. </w:t>
      </w:r>
      <w:bookmarkStart w:id="331" w:name="_Hlk95739829"/>
      <w:r w:rsidR="00885DD3">
        <w:rPr>
          <w:rFonts w:ascii="Arial Narrow" w:hAnsi="Arial Narrow"/>
          <w:color w:val="000000" w:themeColor="text1"/>
        </w:rPr>
        <w:t xml:space="preserve">Počet uchazečů o zaměstnání ze třetích zemí v Jihomoravském kraji od roku 2015 soustavně klesal. </w:t>
      </w:r>
      <w:r w:rsidRPr="00632013">
        <w:rPr>
          <w:rFonts w:ascii="Arial Narrow" w:hAnsi="Arial Narrow"/>
        </w:rPr>
        <w:t xml:space="preserve">V roce </w:t>
      </w:r>
      <w:r w:rsidRPr="00632013">
        <w:rPr>
          <w:rFonts w:ascii="Arial Narrow" w:hAnsi="Arial Narrow"/>
          <w:color w:val="000000" w:themeColor="text1"/>
        </w:rPr>
        <w:t>2022 počet uchazečů z</w:t>
      </w:r>
      <w:r w:rsidR="00885DD3">
        <w:rPr>
          <w:rFonts w:ascii="Arial Narrow" w:hAnsi="Arial Narrow"/>
          <w:color w:val="000000" w:themeColor="text1"/>
        </w:rPr>
        <w:t>e</w:t>
      </w:r>
      <w:r w:rsidRPr="00632013">
        <w:rPr>
          <w:rFonts w:ascii="Arial Narrow" w:hAnsi="Arial Narrow"/>
          <w:color w:val="000000" w:themeColor="text1"/>
        </w:rPr>
        <w:t xml:space="preserve"> třetích zemí opět stoupl na 1 988, což je nejvyšší počet za sledované období. </w:t>
      </w:r>
    </w:p>
    <w:p w14:paraId="416B4D36" w14:textId="389CF317" w:rsidR="00885DD3" w:rsidRDefault="00F127A2" w:rsidP="00F127A2">
      <w:pPr>
        <w:spacing w:after="120" w:line="276" w:lineRule="auto"/>
        <w:jc w:val="both"/>
        <w:rPr>
          <w:rFonts w:ascii="Arial Narrow" w:hAnsi="Arial Narrow"/>
          <w:color w:val="000000" w:themeColor="text1"/>
        </w:rPr>
      </w:pPr>
      <w:r w:rsidRPr="7CC7BF57">
        <w:rPr>
          <w:rFonts w:ascii="Arial Narrow" w:hAnsi="Arial Narrow"/>
          <w:b/>
          <w:bCs/>
          <w:color w:val="000000" w:themeColor="text1"/>
        </w:rPr>
        <w:t>Z hlediska občanství</w:t>
      </w:r>
      <w:r w:rsidR="00885DD3" w:rsidRPr="7CC7BF57">
        <w:rPr>
          <w:rFonts w:ascii="Arial Narrow" w:hAnsi="Arial Narrow"/>
          <w:b/>
          <w:bCs/>
          <w:color w:val="000000" w:themeColor="text1"/>
        </w:rPr>
        <w:t xml:space="preserve"> evidovaných</w:t>
      </w:r>
      <w:r w:rsidRPr="7CC7BF57">
        <w:rPr>
          <w:rFonts w:ascii="Arial Narrow" w:hAnsi="Arial Narrow"/>
          <w:b/>
          <w:bCs/>
          <w:color w:val="000000" w:themeColor="text1"/>
        </w:rPr>
        <w:t xml:space="preserve"> uchazečů z</w:t>
      </w:r>
      <w:r w:rsidR="00885DD3" w:rsidRPr="7CC7BF57">
        <w:rPr>
          <w:rFonts w:ascii="Arial Narrow" w:hAnsi="Arial Narrow"/>
          <w:b/>
          <w:bCs/>
          <w:color w:val="000000" w:themeColor="text1"/>
        </w:rPr>
        <w:t>e</w:t>
      </w:r>
      <w:r w:rsidRPr="7CC7BF57">
        <w:rPr>
          <w:rFonts w:ascii="Arial Narrow" w:hAnsi="Arial Narrow"/>
          <w:b/>
          <w:bCs/>
          <w:color w:val="000000" w:themeColor="text1"/>
        </w:rPr>
        <w:t xml:space="preserve"> třetích zemí jde nejčastěji o občany Ukrajiny, kteří dlouhodobě tvoří zhruba polovinu všech uchazečů, jejich počet se ještě výrazně zvýšil se začátkem </w:t>
      </w:r>
      <w:r w:rsidR="00885DD3" w:rsidRPr="7CC7BF57">
        <w:rPr>
          <w:rFonts w:ascii="Arial Narrow" w:hAnsi="Arial Narrow"/>
          <w:b/>
          <w:bCs/>
          <w:color w:val="000000" w:themeColor="text1"/>
        </w:rPr>
        <w:t>ozbrojeného konfliktu</w:t>
      </w:r>
      <w:r w:rsidRPr="7CC7BF57">
        <w:rPr>
          <w:rFonts w:ascii="Arial Narrow" w:hAnsi="Arial Narrow"/>
          <w:b/>
          <w:bCs/>
          <w:color w:val="000000" w:themeColor="text1"/>
        </w:rPr>
        <w:t xml:space="preserve"> na Ukrajině</w:t>
      </w:r>
      <w:r w:rsidR="00885DD3" w:rsidRPr="7CC7BF57">
        <w:rPr>
          <w:rFonts w:ascii="Arial Narrow" w:hAnsi="Arial Narrow"/>
          <w:b/>
          <w:bCs/>
          <w:color w:val="000000" w:themeColor="text1"/>
        </w:rPr>
        <w:t>. V</w:t>
      </w:r>
      <w:r w:rsidRPr="7CC7BF57">
        <w:rPr>
          <w:rFonts w:ascii="Arial Narrow" w:hAnsi="Arial Narrow"/>
          <w:b/>
          <w:bCs/>
          <w:color w:val="000000" w:themeColor="text1"/>
        </w:rPr>
        <w:t> </w:t>
      </w:r>
      <w:r w:rsidR="42EAAB09" w:rsidRPr="7CC7BF57">
        <w:rPr>
          <w:rFonts w:ascii="Arial Narrow" w:hAnsi="Arial Narrow"/>
          <w:b/>
          <w:bCs/>
          <w:color w:val="000000" w:themeColor="text1"/>
        </w:rPr>
        <w:t>prosinci</w:t>
      </w:r>
      <w:r w:rsidRPr="7CC7BF57">
        <w:rPr>
          <w:rFonts w:ascii="Arial Narrow" w:hAnsi="Arial Narrow"/>
          <w:b/>
          <w:bCs/>
          <w:color w:val="000000" w:themeColor="text1"/>
        </w:rPr>
        <w:t xml:space="preserve"> 2022 tvořili v</w:t>
      </w:r>
      <w:r w:rsidR="00885DD3" w:rsidRPr="7CC7BF57">
        <w:rPr>
          <w:rFonts w:ascii="Arial Narrow" w:hAnsi="Arial Narrow"/>
          <w:b/>
          <w:bCs/>
          <w:color w:val="000000" w:themeColor="text1"/>
        </w:rPr>
        <w:t> Jihomoravském kraji</w:t>
      </w:r>
      <w:r w:rsidRPr="7CC7BF57">
        <w:rPr>
          <w:rFonts w:ascii="Arial Narrow" w:hAnsi="Arial Narrow"/>
          <w:b/>
          <w:bCs/>
          <w:color w:val="000000" w:themeColor="text1"/>
        </w:rPr>
        <w:t xml:space="preserve"> 85,6 % všech uchazečů </w:t>
      </w:r>
      <w:r w:rsidR="00885DD3" w:rsidRPr="7CC7BF57">
        <w:rPr>
          <w:rFonts w:ascii="Arial Narrow" w:hAnsi="Arial Narrow"/>
          <w:b/>
          <w:bCs/>
          <w:color w:val="000000" w:themeColor="text1"/>
        </w:rPr>
        <w:t xml:space="preserve">o zaměstnání </w:t>
      </w:r>
      <w:r w:rsidRPr="7CC7BF57">
        <w:rPr>
          <w:rFonts w:ascii="Arial Narrow" w:hAnsi="Arial Narrow"/>
          <w:b/>
          <w:bCs/>
          <w:color w:val="000000" w:themeColor="text1"/>
        </w:rPr>
        <w:t>ze třetích zemí.</w:t>
      </w:r>
      <w:r w:rsidRPr="7CC7BF57">
        <w:rPr>
          <w:rFonts w:ascii="Arial Narrow" w:hAnsi="Arial Narrow"/>
          <w:color w:val="000000" w:themeColor="text1"/>
        </w:rPr>
        <w:t xml:space="preserve"> </w:t>
      </w:r>
      <w:bookmarkStart w:id="332" w:name="_Hlk95739890"/>
      <w:bookmarkEnd w:id="331"/>
      <w:r w:rsidRPr="7CC7BF57">
        <w:rPr>
          <w:rFonts w:ascii="Arial Narrow" w:hAnsi="Arial Narrow"/>
          <w:color w:val="000000" w:themeColor="text1"/>
        </w:rPr>
        <w:t>Mezi další nejčastější uchazeče ze třetích zemí patří dlouhodobě občané Ruska a Arménie</w:t>
      </w:r>
      <w:bookmarkEnd w:id="332"/>
      <w:r w:rsidRPr="7CC7BF57">
        <w:rPr>
          <w:rFonts w:ascii="Arial Narrow" w:hAnsi="Arial Narrow"/>
          <w:color w:val="000000" w:themeColor="text1"/>
        </w:rPr>
        <w:t xml:space="preserve">. Mezi další uchazeče o zaměstnání v Jihomoravském kraji se v posledních letech pravidelně zařazují občané Mongolska, Vietnamu, Sýrie a od roku 2021 také Kosova. </w:t>
      </w:r>
      <w:bookmarkStart w:id="333" w:name="_Hlk95739946"/>
    </w:p>
    <w:p w14:paraId="7A7C0EAC" w14:textId="1C0C9B9E" w:rsidR="00F127A2" w:rsidRPr="00053E14" w:rsidRDefault="00F127A2" w:rsidP="00F127A2">
      <w:pPr>
        <w:spacing w:after="120" w:line="276" w:lineRule="auto"/>
        <w:jc w:val="both"/>
        <w:rPr>
          <w:rFonts w:ascii="Arial Narrow" w:hAnsi="Arial Narrow"/>
          <w:color w:val="000000" w:themeColor="text1"/>
        </w:rPr>
      </w:pPr>
      <w:r w:rsidRPr="00632013">
        <w:rPr>
          <w:rFonts w:ascii="Arial Narrow" w:hAnsi="Arial Narrow"/>
          <w:color w:val="000000" w:themeColor="text1"/>
        </w:rPr>
        <w:t>Uchazeči z Jihomoravského kraje mezi lety 2014 a 2019 průměrně tvořili 14 % všech uchazečů z</w:t>
      </w:r>
      <w:r w:rsidR="00885DD3">
        <w:rPr>
          <w:rFonts w:ascii="Arial Narrow" w:hAnsi="Arial Narrow"/>
          <w:color w:val="000000" w:themeColor="text1"/>
        </w:rPr>
        <w:t>e</w:t>
      </w:r>
      <w:r w:rsidRPr="00632013">
        <w:rPr>
          <w:rFonts w:ascii="Arial Narrow" w:hAnsi="Arial Narrow"/>
          <w:color w:val="000000" w:themeColor="text1"/>
        </w:rPr>
        <w:t> třetích zemí v Če</w:t>
      </w:r>
      <w:r>
        <w:rPr>
          <w:rFonts w:ascii="Arial Narrow" w:hAnsi="Arial Narrow"/>
          <w:color w:val="000000" w:themeColor="text1"/>
        </w:rPr>
        <w:t>ské republice. V posledních třech</w:t>
      </w:r>
      <w:r w:rsidRPr="00632013">
        <w:rPr>
          <w:rFonts w:ascii="Arial Narrow" w:hAnsi="Arial Narrow"/>
          <w:color w:val="000000" w:themeColor="text1"/>
        </w:rPr>
        <w:t xml:space="preserve"> letech se podíl uchazečů z Jihomoravského kraje na celkovém počtu všech uchazečů z</w:t>
      </w:r>
      <w:r w:rsidR="00885DD3">
        <w:rPr>
          <w:rFonts w:ascii="Arial Narrow" w:hAnsi="Arial Narrow"/>
          <w:color w:val="000000" w:themeColor="text1"/>
        </w:rPr>
        <w:t>e</w:t>
      </w:r>
      <w:r w:rsidRPr="00632013">
        <w:rPr>
          <w:rFonts w:ascii="Arial Narrow" w:hAnsi="Arial Narrow"/>
          <w:color w:val="000000" w:themeColor="text1"/>
        </w:rPr>
        <w:t xml:space="preserve"> třetích zemí v České republice mírně snížil, na průměrně 11 %. </w:t>
      </w:r>
      <w:bookmarkEnd w:id="333"/>
      <w:r w:rsidRPr="00632013">
        <w:rPr>
          <w:rFonts w:ascii="Arial Narrow" w:hAnsi="Arial Narrow"/>
          <w:color w:val="000000" w:themeColor="text1"/>
        </w:rPr>
        <w:t>Vývoj počtu uchazečů podle občanství v měsíci prosinec let 2014–2022 včetně nejčastěji evidovaných občanství a počtu uchazečů podrobně dokumentuje tabulka</w:t>
      </w:r>
      <w:r w:rsidR="00053E14">
        <w:rPr>
          <w:rFonts w:ascii="Arial Narrow" w:hAnsi="Arial Narrow"/>
          <w:color w:val="000000" w:themeColor="text1"/>
        </w:rPr>
        <w:t xml:space="preserve"> č. 16</w:t>
      </w:r>
      <w:r w:rsidRPr="00632013">
        <w:rPr>
          <w:rFonts w:ascii="Arial Narrow" w:hAnsi="Arial Narrow"/>
          <w:color w:val="000000" w:themeColor="text1"/>
        </w:rPr>
        <w:t>.</w:t>
      </w:r>
      <w:r w:rsidRPr="00CE357F">
        <w:rPr>
          <w:rFonts w:ascii="Arial Narrow" w:hAnsi="Arial Narrow"/>
          <w:color w:val="000000" w:themeColor="text1"/>
        </w:rPr>
        <w:t xml:space="preserve">  </w:t>
      </w:r>
    </w:p>
    <w:p w14:paraId="044BD68C" w14:textId="3ACD1DCB" w:rsidR="00F127A2" w:rsidRPr="00CE357F" w:rsidRDefault="00F127A2" w:rsidP="00F127A2">
      <w:pPr>
        <w:spacing w:line="276" w:lineRule="auto"/>
        <w:jc w:val="both"/>
        <w:rPr>
          <w:rFonts w:ascii="Arial Narrow" w:hAnsi="Arial Narrow"/>
          <w:b/>
          <w:sz w:val="24"/>
          <w:szCs w:val="24"/>
        </w:rPr>
      </w:pPr>
      <w:bookmarkStart w:id="334" w:name="_Toc136429227"/>
      <w:r w:rsidRPr="00CE357F">
        <w:rPr>
          <w:rFonts w:ascii="Arial Narrow" w:hAnsi="Arial Narrow"/>
          <w:b/>
          <w:sz w:val="20"/>
          <w:szCs w:val="20"/>
        </w:rPr>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16</w:t>
      </w:r>
      <w:r w:rsidRPr="00CE357F">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 xml:space="preserve"> </w:t>
      </w:r>
      <w:r w:rsidRPr="00CE357F">
        <w:rPr>
          <w:rFonts w:ascii="Arial Narrow" w:hAnsi="Arial Narrow"/>
          <w:b/>
          <w:color w:val="000000" w:themeColor="text1"/>
          <w:sz w:val="20"/>
          <w:szCs w:val="20"/>
        </w:rPr>
        <w:t>Struktura uchazečů o zaměstnání ze třetích zemí v ČR a JMK v letech 2014-202</w:t>
      </w:r>
      <w:r>
        <w:rPr>
          <w:rFonts w:ascii="Arial Narrow" w:hAnsi="Arial Narrow"/>
          <w:b/>
          <w:color w:val="000000" w:themeColor="text1"/>
          <w:sz w:val="20"/>
          <w:szCs w:val="20"/>
        </w:rPr>
        <w:t>2</w:t>
      </w:r>
      <w:bookmarkEnd w:id="334"/>
    </w:p>
    <w:tbl>
      <w:tblPr>
        <w:tblStyle w:val="Svtltabulkasmkou1zvraznn12"/>
        <w:tblW w:w="8889" w:type="dxa"/>
        <w:tblInd w:w="108" w:type="dxa"/>
        <w:tblLook w:val="04A0" w:firstRow="1" w:lastRow="0" w:firstColumn="1" w:lastColumn="0" w:noHBand="0" w:noVBand="1"/>
      </w:tblPr>
      <w:tblGrid>
        <w:gridCol w:w="1337"/>
        <w:gridCol w:w="930"/>
        <w:gridCol w:w="930"/>
        <w:gridCol w:w="766"/>
        <w:gridCol w:w="766"/>
        <w:gridCol w:w="766"/>
        <w:gridCol w:w="930"/>
        <w:gridCol w:w="930"/>
        <w:gridCol w:w="768"/>
        <w:gridCol w:w="766"/>
      </w:tblGrid>
      <w:tr w:rsidR="00F127A2" w:rsidRPr="00CE357F" w14:paraId="7C17B7E5" w14:textId="77777777" w:rsidTr="004A0C4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889" w:type="dxa"/>
            <w:gridSpan w:val="10"/>
            <w:shd w:val="clear" w:color="auto" w:fill="D9E2F3" w:themeFill="accent1" w:themeFillTint="33"/>
            <w:vAlign w:val="center"/>
          </w:tcPr>
          <w:p w14:paraId="6C726849" w14:textId="77777777" w:rsidR="00F127A2" w:rsidRPr="00CE357F" w:rsidRDefault="00F127A2" w:rsidP="004A0C47">
            <w:pPr>
              <w:jc w:val="center"/>
              <w:rPr>
                <w:rFonts w:ascii="Arial Narrow" w:eastAsia="Times New Roman" w:hAnsi="Arial Narrow" w:cs="Arial"/>
                <w:b w:val="0"/>
                <w:sz w:val="18"/>
                <w:szCs w:val="18"/>
                <w:lang w:eastAsia="cs-CZ"/>
              </w:rPr>
            </w:pPr>
            <w:r w:rsidRPr="00CE357F">
              <w:rPr>
                <w:rFonts w:ascii="Arial Narrow" w:eastAsia="Times New Roman" w:hAnsi="Arial Narrow" w:cs="Arial"/>
                <w:b w:val="0"/>
                <w:sz w:val="18"/>
                <w:szCs w:val="18"/>
                <w:lang w:eastAsia="cs-CZ"/>
              </w:rPr>
              <w:t xml:space="preserve">Uchazeči z třetích zemí podle občanství v letech 2014-2021 (vždy za měsíc prosinec) </w:t>
            </w:r>
          </w:p>
        </w:tc>
      </w:tr>
      <w:tr w:rsidR="00F127A2" w:rsidRPr="00CE357F" w14:paraId="1840687F" w14:textId="77777777" w:rsidTr="004A0C47">
        <w:trPr>
          <w:trHeight w:val="178"/>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hideMark/>
          </w:tcPr>
          <w:p w14:paraId="34F6C44D" w14:textId="77777777" w:rsidR="00F127A2" w:rsidRPr="00CE357F" w:rsidRDefault="00F127A2" w:rsidP="004A0C47">
            <w:pPr>
              <w:jc w:val="center"/>
              <w:rPr>
                <w:rFonts w:ascii="Arial Narrow" w:eastAsia="Times New Roman" w:hAnsi="Arial Narrow" w:cs="Arial"/>
                <w:b w:val="0"/>
                <w:bCs w:val="0"/>
                <w:sz w:val="18"/>
                <w:szCs w:val="18"/>
                <w:lang w:eastAsia="cs-CZ"/>
              </w:rPr>
            </w:pPr>
          </w:p>
        </w:tc>
        <w:tc>
          <w:tcPr>
            <w:tcW w:w="930" w:type="dxa"/>
            <w:shd w:val="clear" w:color="auto" w:fill="D9E2F3" w:themeFill="accent1" w:themeFillTint="33"/>
            <w:vAlign w:val="center"/>
          </w:tcPr>
          <w:p w14:paraId="79D59E6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2014</w:t>
            </w:r>
          </w:p>
        </w:tc>
        <w:tc>
          <w:tcPr>
            <w:tcW w:w="930" w:type="dxa"/>
            <w:shd w:val="clear" w:color="auto" w:fill="D9E2F3" w:themeFill="accent1" w:themeFillTint="33"/>
            <w:vAlign w:val="center"/>
          </w:tcPr>
          <w:p w14:paraId="132ACCD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2015</w:t>
            </w:r>
          </w:p>
        </w:tc>
        <w:tc>
          <w:tcPr>
            <w:tcW w:w="766" w:type="dxa"/>
            <w:shd w:val="clear" w:color="auto" w:fill="D9E2F3" w:themeFill="accent1" w:themeFillTint="33"/>
            <w:vAlign w:val="center"/>
          </w:tcPr>
          <w:p w14:paraId="6C01B5B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2016</w:t>
            </w:r>
          </w:p>
        </w:tc>
        <w:tc>
          <w:tcPr>
            <w:tcW w:w="766" w:type="dxa"/>
            <w:shd w:val="clear" w:color="auto" w:fill="D9E2F3" w:themeFill="accent1" w:themeFillTint="33"/>
            <w:vAlign w:val="center"/>
          </w:tcPr>
          <w:p w14:paraId="18A5044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2017</w:t>
            </w:r>
          </w:p>
        </w:tc>
        <w:tc>
          <w:tcPr>
            <w:tcW w:w="766" w:type="dxa"/>
            <w:shd w:val="clear" w:color="auto" w:fill="D9E2F3" w:themeFill="accent1" w:themeFillTint="33"/>
            <w:vAlign w:val="center"/>
          </w:tcPr>
          <w:p w14:paraId="0DA0CBE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2018</w:t>
            </w:r>
          </w:p>
        </w:tc>
        <w:tc>
          <w:tcPr>
            <w:tcW w:w="930" w:type="dxa"/>
            <w:shd w:val="clear" w:color="auto" w:fill="D9E2F3" w:themeFill="accent1" w:themeFillTint="33"/>
            <w:vAlign w:val="center"/>
          </w:tcPr>
          <w:p w14:paraId="6CBBA07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2019</w:t>
            </w:r>
          </w:p>
        </w:tc>
        <w:tc>
          <w:tcPr>
            <w:tcW w:w="930" w:type="dxa"/>
            <w:shd w:val="clear" w:color="auto" w:fill="D9E2F3" w:themeFill="accent1" w:themeFillTint="33"/>
            <w:vAlign w:val="center"/>
          </w:tcPr>
          <w:p w14:paraId="75086BA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2020</w:t>
            </w:r>
          </w:p>
        </w:tc>
        <w:tc>
          <w:tcPr>
            <w:tcW w:w="768" w:type="dxa"/>
            <w:shd w:val="clear" w:color="auto" w:fill="D9E2F3" w:themeFill="accent1" w:themeFillTint="33"/>
            <w:vAlign w:val="center"/>
          </w:tcPr>
          <w:p w14:paraId="5F1768F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2021</w:t>
            </w:r>
          </w:p>
        </w:tc>
        <w:tc>
          <w:tcPr>
            <w:tcW w:w="732" w:type="dxa"/>
            <w:shd w:val="clear" w:color="auto" w:fill="D9E2F3" w:themeFill="accent1" w:themeFillTint="33"/>
          </w:tcPr>
          <w:p w14:paraId="2023CB7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Pr>
                <w:rFonts w:ascii="Arial Narrow" w:eastAsia="Times New Roman" w:hAnsi="Arial Narrow" w:cs="Arial"/>
                <w:sz w:val="18"/>
                <w:szCs w:val="18"/>
                <w:lang w:eastAsia="cs-CZ"/>
              </w:rPr>
              <w:t>2022</w:t>
            </w:r>
          </w:p>
        </w:tc>
      </w:tr>
      <w:tr w:rsidR="00F127A2" w:rsidRPr="00CE357F" w14:paraId="490316F7" w14:textId="77777777" w:rsidTr="004A0C47">
        <w:trPr>
          <w:trHeight w:val="285"/>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tcPr>
          <w:p w14:paraId="79F59DAF" w14:textId="77777777" w:rsidR="00F127A2" w:rsidRPr="00CE357F" w:rsidRDefault="00F127A2" w:rsidP="004A0C47">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třetích zemí v ČR celkem</w:t>
            </w:r>
          </w:p>
        </w:tc>
        <w:tc>
          <w:tcPr>
            <w:tcW w:w="930" w:type="dxa"/>
            <w:vAlign w:val="center"/>
          </w:tcPr>
          <w:p w14:paraId="5EAF42B3"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6 718</w:t>
            </w:r>
          </w:p>
        </w:tc>
        <w:tc>
          <w:tcPr>
            <w:tcW w:w="930" w:type="dxa"/>
            <w:vAlign w:val="center"/>
          </w:tcPr>
          <w:p w14:paraId="049EBE3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12 162</w:t>
            </w:r>
          </w:p>
        </w:tc>
        <w:tc>
          <w:tcPr>
            <w:tcW w:w="766" w:type="dxa"/>
            <w:vAlign w:val="center"/>
          </w:tcPr>
          <w:p w14:paraId="58F53BF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10 800</w:t>
            </w:r>
          </w:p>
        </w:tc>
        <w:tc>
          <w:tcPr>
            <w:tcW w:w="766" w:type="dxa"/>
            <w:vAlign w:val="center"/>
          </w:tcPr>
          <w:p w14:paraId="530A851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8 006</w:t>
            </w:r>
          </w:p>
        </w:tc>
        <w:tc>
          <w:tcPr>
            <w:tcW w:w="766" w:type="dxa"/>
            <w:vAlign w:val="center"/>
          </w:tcPr>
          <w:p w14:paraId="559FAD33"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6 422</w:t>
            </w:r>
          </w:p>
        </w:tc>
        <w:tc>
          <w:tcPr>
            <w:tcW w:w="930" w:type="dxa"/>
            <w:vAlign w:val="center"/>
          </w:tcPr>
          <w:p w14:paraId="69C4571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6 032</w:t>
            </w:r>
          </w:p>
        </w:tc>
        <w:tc>
          <w:tcPr>
            <w:tcW w:w="930" w:type="dxa"/>
            <w:vAlign w:val="center"/>
          </w:tcPr>
          <w:p w14:paraId="2C4D035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5 220</w:t>
            </w:r>
          </w:p>
        </w:tc>
        <w:tc>
          <w:tcPr>
            <w:tcW w:w="768" w:type="dxa"/>
            <w:vAlign w:val="center"/>
          </w:tcPr>
          <w:p w14:paraId="2185E41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s="Arial"/>
                <w:b/>
                <w:bCs/>
                <w:sz w:val="18"/>
                <w:szCs w:val="18"/>
              </w:rPr>
              <w:t>4 353</w:t>
            </w:r>
          </w:p>
        </w:tc>
        <w:tc>
          <w:tcPr>
            <w:tcW w:w="732" w:type="dxa"/>
            <w:vAlign w:val="center"/>
          </w:tcPr>
          <w:p w14:paraId="288D1FA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18 414</w:t>
            </w:r>
          </w:p>
        </w:tc>
      </w:tr>
      <w:tr w:rsidR="00F127A2" w:rsidRPr="00CE357F" w14:paraId="08BC8FDE" w14:textId="77777777" w:rsidTr="004A0C47">
        <w:trPr>
          <w:trHeight w:val="285"/>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tcPr>
          <w:p w14:paraId="1694D368" w14:textId="77777777" w:rsidR="00F127A2" w:rsidRPr="00CE357F" w:rsidRDefault="00F127A2" w:rsidP="004A0C47">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třetích zemí v JMK</w:t>
            </w:r>
          </w:p>
        </w:tc>
        <w:tc>
          <w:tcPr>
            <w:tcW w:w="930" w:type="dxa"/>
            <w:vAlign w:val="center"/>
          </w:tcPr>
          <w:p w14:paraId="667EEFC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917</w:t>
            </w:r>
          </w:p>
        </w:tc>
        <w:tc>
          <w:tcPr>
            <w:tcW w:w="930" w:type="dxa"/>
            <w:vAlign w:val="center"/>
          </w:tcPr>
          <w:p w14:paraId="2EC2A66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1 674</w:t>
            </w:r>
          </w:p>
        </w:tc>
        <w:tc>
          <w:tcPr>
            <w:tcW w:w="766" w:type="dxa"/>
            <w:vAlign w:val="center"/>
          </w:tcPr>
          <w:p w14:paraId="7C776F5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1 570</w:t>
            </w:r>
          </w:p>
        </w:tc>
        <w:tc>
          <w:tcPr>
            <w:tcW w:w="766" w:type="dxa"/>
            <w:vAlign w:val="center"/>
          </w:tcPr>
          <w:p w14:paraId="0CF79BA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1 246</w:t>
            </w:r>
          </w:p>
        </w:tc>
        <w:tc>
          <w:tcPr>
            <w:tcW w:w="766" w:type="dxa"/>
            <w:vAlign w:val="center"/>
          </w:tcPr>
          <w:p w14:paraId="121BF68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1018</w:t>
            </w:r>
          </w:p>
        </w:tc>
        <w:tc>
          <w:tcPr>
            <w:tcW w:w="930" w:type="dxa"/>
            <w:vAlign w:val="center"/>
          </w:tcPr>
          <w:p w14:paraId="55CD086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912</w:t>
            </w:r>
          </w:p>
        </w:tc>
        <w:tc>
          <w:tcPr>
            <w:tcW w:w="930" w:type="dxa"/>
            <w:vAlign w:val="center"/>
          </w:tcPr>
          <w:p w14:paraId="35C8718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560</w:t>
            </w:r>
          </w:p>
        </w:tc>
        <w:tc>
          <w:tcPr>
            <w:tcW w:w="768" w:type="dxa"/>
            <w:vAlign w:val="center"/>
          </w:tcPr>
          <w:p w14:paraId="65B8D3A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491</w:t>
            </w:r>
          </w:p>
        </w:tc>
        <w:tc>
          <w:tcPr>
            <w:tcW w:w="732" w:type="dxa"/>
            <w:vAlign w:val="center"/>
          </w:tcPr>
          <w:p w14:paraId="7E9DD9E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1 988</w:t>
            </w:r>
          </w:p>
        </w:tc>
      </w:tr>
      <w:tr w:rsidR="00F127A2" w:rsidRPr="00CE357F" w14:paraId="23C85000" w14:textId="77777777" w:rsidTr="004A0C47">
        <w:trPr>
          <w:trHeight w:val="178"/>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tcPr>
          <w:p w14:paraId="44E7E654" w14:textId="77777777" w:rsidR="00F127A2" w:rsidRPr="00CE357F" w:rsidRDefault="00F127A2" w:rsidP="004A0C47">
            <w:pPr>
              <w:jc w:val="center"/>
              <w:rPr>
                <w:rFonts w:ascii="Arial Narrow" w:eastAsia="Times New Roman" w:hAnsi="Arial Narrow" w:cs="Arial"/>
                <w:sz w:val="18"/>
                <w:szCs w:val="18"/>
                <w:lang w:eastAsia="cs-CZ"/>
              </w:rPr>
            </w:pPr>
          </w:p>
        </w:tc>
        <w:tc>
          <w:tcPr>
            <w:tcW w:w="7518" w:type="dxa"/>
            <w:gridSpan w:val="9"/>
            <w:vAlign w:val="center"/>
          </w:tcPr>
          <w:p w14:paraId="0F7C049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toho:</w:t>
            </w:r>
          </w:p>
        </w:tc>
      </w:tr>
      <w:tr w:rsidR="00F127A2" w:rsidRPr="00CE357F" w14:paraId="4302DC01" w14:textId="77777777" w:rsidTr="004A0C47">
        <w:trPr>
          <w:trHeight w:val="356"/>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tcPr>
          <w:p w14:paraId="56B1C63F" w14:textId="77777777" w:rsidR="00F127A2" w:rsidRPr="00CE357F" w:rsidRDefault="00F127A2" w:rsidP="004A0C47">
            <w:pPr>
              <w:jc w:val="center"/>
              <w:rPr>
                <w:rFonts w:ascii="Arial Narrow" w:eastAsia="Times New Roman" w:hAnsi="Arial Narrow" w:cs="Arial"/>
                <w:sz w:val="18"/>
                <w:szCs w:val="18"/>
                <w:lang w:eastAsia="cs-CZ"/>
              </w:rPr>
            </w:pPr>
          </w:p>
        </w:tc>
        <w:tc>
          <w:tcPr>
            <w:tcW w:w="930" w:type="dxa"/>
            <w:vAlign w:val="center"/>
          </w:tcPr>
          <w:p w14:paraId="7D0F4C3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Ukrajina</w:t>
            </w:r>
          </w:p>
          <w:p w14:paraId="4EEB679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443</w:t>
            </w:r>
          </w:p>
        </w:tc>
        <w:tc>
          <w:tcPr>
            <w:tcW w:w="930" w:type="dxa"/>
            <w:vAlign w:val="center"/>
          </w:tcPr>
          <w:p w14:paraId="37F2F4A3"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Ukrajina</w:t>
            </w:r>
          </w:p>
          <w:p w14:paraId="7E9FDBB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788</w:t>
            </w:r>
          </w:p>
        </w:tc>
        <w:tc>
          <w:tcPr>
            <w:tcW w:w="766" w:type="dxa"/>
            <w:vAlign w:val="center"/>
          </w:tcPr>
          <w:p w14:paraId="55BC044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Ukrajina</w:t>
            </w:r>
          </w:p>
          <w:p w14:paraId="28FCA55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752</w:t>
            </w:r>
          </w:p>
        </w:tc>
        <w:tc>
          <w:tcPr>
            <w:tcW w:w="766" w:type="dxa"/>
            <w:vAlign w:val="center"/>
          </w:tcPr>
          <w:p w14:paraId="7F60692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Ukrajina</w:t>
            </w:r>
          </w:p>
          <w:p w14:paraId="30AFCA6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590</w:t>
            </w:r>
          </w:p>
        </w:tc>
        <w:tc>
          <w:tcPr>
            <w:tcW w:w="766" w:type="dxa"/>
            <w:vAlign w:val="center"/>
          </w:tcPr>
          <w:p w14:paraId="62F3956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Ukrajina</w:t>
            </w:r>
          </w:p>
          <w:p w14:paraId="35B8343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444</w:t>
            </w:r>
          </w:p>
        </w:tc>
        <w:tc>
          <w:tcPr>
            <w:tcW w:w="930" w:type="dxa"/>
            <w:vAlign w:val="center"/>
          </w:tcPr>
          <w:p w14:paraId="76B6FB1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Ukrajina</w:t>
            </w:r>
          </w:p>
          <w:p w14:paraId="64CC740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402</w:t>
            </w:r>
          </w:p>
        </w:tc>
        <w:tc>
          <w:tcPr>
            <w:tcW w:w="930" w:type="dxa"/>
            <w:vAlign w:val="center"/>
          </w:tcPr>
          <w:p w14:paraId="128C315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Ukrajina</w:t>
            </w:r>
          </w:p>
          <w:p w14:paraId="274DE00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264</w:t>
            </w:r>
          </w:p>
        </w:tc>
        <w:tc>
          <w:tcPr>
            <w:tcW w:w="768" w:type="dxa"/>
            <w:vAlign w:val="center"/>
          </w:tcPr>
          <w:p w14:paraId="719824F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Ukrajina</w:t>
            </w:r>
          </w:p>
          <w:p w14:paraId="74CEE8F3"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225</w:t>
            </w:r>
          </w:p>
        </w:tc>
        <w:tc>
          <w:tcPr>
            <w:tcW w:w="732" w:type="dxa"/>
          </w:tcPr>
          <w:p w14:paraId="40CBAE95" w14:textId="77777777" w:rsidR="00F127A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Ukrajina</w:t>
            </w:r>
          </w:p>
          <w:p w14:paraId="60F5712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1 701</w:t>
            </w:r>
          </w:p>
        </w:tc>
      </w:tr>
      <w:tr w:rsidR="00F127A2" w:rsidRPr="00CE357F" w14:paraId="3E4A5C2C" w14:textId="77777777" w:rsidTr="004A0C47">
        <w:trPr>
          <w:trHeight w:val="356"/>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tcPr>
          <w:p w14:paraId="5FBEEF59" w14:textId="77777777" w:rsidR="00F127A2" w:rsidRPr="00CE357F" w:rsidRDefault="00F127A2" w:rsidP="004A0C47">
            <w:pPr>
              <w:jc w:val="center"/>
              <w:rPr>
                <w:rFonts w:ascii="Arial Narrow" w:eastAsia="Times New Roman" w:hAnsi="Arial Narrow" w:cs="Arial"/>
                <w:sz w:val="18"/>
                <w:szCs w:val="18"/>
                <w:lang w:eastAsia="cs-CZ"/>
              </w:rPr>
            </w:pPr>
          </w:p>
        </w:tc>
        <w:tc>
          <w:tcPr>
            <w:tcW w:w="930" w:type="dxa"/>
            <w:vAlign w:val="center"/>
          </w:tcPr>
          <w:p w14:paraId="3AF1132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Arménie</w:t>
            </w:r>
          </w:p>
          <w:p w14:paraId="4D77C51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77</w:t>
            </w:r>
          </w:p>
        </w:tc>
        <w:tc>
          <w:tcPr>
            <w:tcW w:w="930" w:type="dxa"/>
            <w:vAlign w:val="center"/>
          </w:tcPr>
          <w:p w14:paraId="06D1A123"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Arménie</w:t>
            </w:r>
          </w:p>
          <w:p w14:paraId="331F66A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158</w:t>
            </w:r>
          </w:p>
        </w:tc>
        <w:tc>
          <w:tcPr>
            <w:tcW w:w="766" w:type="dxa"/>
            <w:vAlign w:val="center"/>
          </w:tcPr>
          <w:p w14:paraId="56B1CB3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Arménie</w:t>
            </w:r>
          </w:p>
          <w:p w14:paraId="7DCDDFC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138</w:t>
            </w:r>
          </w:p>
        </w:tc>
        <w:tc>
          <w:tcPr>
            <w:tcW w:w="766" w:type="dxa"/>
            <w:vAlign w:val="center"/>
          </w:tcPr>
          <w:p w14:paraId="5E0FF87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Rusko</w:t>
            </w:r>
          </w:p>
          <w:p w14:paraId="25BAE4C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100</w:t>
            </w:r>
          </w:p>
        </w:tc>
        <w:tc>
          <w:tcPr>
            <w:tcW w:w="766" w:type="dxa"/>
            <w:vAlign w:val="center"/>
          </w:tcPr>
          <w:p w14:paraId="0DE7D5C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Rusko</w:t>
            </w:r>
          </w:p>
          <w:p w14:paraId="1200F63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76</w:t>
            </w:r>
          </w:p>
        </w:tc>
        <w:tc>
          <w:tcPr>
            <w:tcW w:w="930" w:type="dxa"/>
            <w:vAlign w:val="center"/>
          </w:tcPr>
          <w:p w14:paraId="49F20A9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Rusko</w:t>
            </w:r>
          </w:p>
          <w:p w14:paraId="658D640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64</w:t>
            </w:r>
          </w:p>
        </w:tc>
        <w:tc>
          <w:tcPr>
            <w:tcW w:w="930" w:type="dxa"/>
            <w:vAlign w:val="center"/>
          </w:tcPr>
          <w:p w14:paraId="7C432F3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Rusko</w:t>
            </w:r>
          </w:p>
          <w:p w14:paraId="3877468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44</w:t>
            </w:r>
          </w:p>
        </w:tc>
        <w:tc>
          <w:tcPr>
            <w:tcW w:w="768" w:type="dxa"/>
            <w:vAlign w:val="center"/>
          </w:tcPr>
          <w:p w14:paraId="52DA1C2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Rusko</w:t>
            </w:r>
          </w:p>
          <w:p w14:paraId="1478212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41</w:t>
            </w:r>
          </w:p>
        </w:tc>
        <w:tc>
          <w:tcPr>
            <w:tcW w:w="732" w:type="dxa"/>
          </w:tcPr>
          <w:p w14:paraId="5F9D769D" w14:textId="77777777" w:rsidR="00F127A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Rusko</w:t>
            </w:r>
          </w:p>
          <w:p w14:paraId="36DC58E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45</w:t>
            </w:r>
          </w:p>
        </w:tc>
      </w:tr>
      <w:tr w:rsidR="00F127A2" w:rsidRPr="00CE357F" w14:paraId="29E6475D" w14:textId="77777777" w:rsidTr="004A0C47">
        <w:trPr>
          <w:trHeight w:val="356"/>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tcPr>
          <w:p w14:paraId="45BED2CF" w14:textId="77777777" w:rsidR="00F127A2" w:rsidRPr="00CE357F" w:rsidRDefault="00F127A2" w:rsidP="004A0C47">
            <w:pPr>
              <w:jc w:val="center"/>
              <w:rPr>
                <w:rFonts w:ascii="Arial Narrow" w:eastAsia="Times New Roman" w:hAnsi="Arial Narrow" w:cs="Arial"/>
                <w:sz w:val="18"/>
                <w:szCs w:val="18"/>
                <w:lang w:eastAsia="cs-CZ"/>
              </w:rPr>
            </w:pPr>
          </w:p>
        </w:tc>
        <w:tc>
          <w:tcPr>
            <w:tcW w:w="930" w:type="dxa"/>
            <w:vAlign w:val="center"/>
          </w:tcPr>
          <w:p w14:paraId="44AA2C5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Rusko</w:t>
            </w:r>
          </w:p>
          <w:p w14:paraId="4F73B09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58</w:t>
            </w:r>
          </w:p>
        </w:tc>
        <w:tc>
          <w:tcPr>
            <w:tcW w:w="930" w:type="dxa"/>
            <w:vAlign w:val="center"/>
          </w:tcPr>
          <w:p w14:paraId="244B5AE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Rusko</w:t>
            </w:r>
          </w:p>
          <w:p w14:paraId="79EBA1B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106</w:t>
            </w:r>
          </w:p>
        </w:tc>
        <w:tc>
          <w:tcPr>
            <w:tcW w:w="766" w:type="dxa"/>
            <w:vAlign w:val="center"/>
          </w:tcPr>
          <w:p w14:paraId="5FA7DA1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Rusko</w:t>
            </w:r>
          </w:p>
          <w:p w14:paraId="4566CB3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92</w:t>
            </w:r>
          </w:p>
        </w:tc>
        <w:tc>
          <w:tcPr>
            <w:tcW w:w="766" w:type="dxa"/>
            <w:vAlign w:val="center"/>
          </w:tcPr>
          <w:p w14:paraId="138F10E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Arménie</w:t>
            </w:r>
          </w:p>
          <w:p w14:paraId="7287C3B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78</w:t>
            </w:r>
          </w:p>
        </w:tc>
        <w:tc>
          <w:tcPr>
            <w:tcW w:w="766" w:type="dxa"/>
            <w:vAlign w:val="center"/>
          </w:tcPr>
          <w:p w14:paraId="5D6CD30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Arménie</w:t>
            </w:r>
          </w:p>
          <w:p w14:paraId="32E84AD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70</w:t>
            </w:r>
          </w:p>
        </w:tc>
        <w:tc>
          <w:tcPr>
            <w:tcW w:w="930" w:type="dxa"/>
            <w:vAlign w:val="center"/>
          </w:tcPr>
          <w:p w14:paraId="148C2D1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Arménie</w:t>
            </w:r>
          </w:p>
          <w:p w14:paraId="60AB99E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60</w:t>
            </w:r>
          </w:p>
        </w:tc>
        <w:tc>
          <w:tcPr>
            <w:tcW w:w="930" w:type="dxa"/>
            <w:vAlign w:val="center"/>
          </w:tcPr>
          <w:p w14:paraId="323C5A7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Arménie</w:t>
            </w:r>
          </w:p>
          <w:p w14:paraId="50671A0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32</w:t>
            </w:r>
          </w:p>
        </w:tc>
        <w:tc>
          <w:tcPr>
            <w:tcW w:w="768" w:type="dxa"/>
            <w:vAlign w:val="center"/>
          </w:tcPr>
          <w:p w14:paraId="1E5EBBD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Arménie</w:t>
            </w:r>
          </w:p>
          <w:p w14:paraId="3357EDA9"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29</w:t>
            </w:r>
          </w:p>
        </w:tc>
        <w:tc>
          <w:tcPr>
            <w:tcW w:w="732" w:type="dxa"/>
          </w:tcPr>
          <w:p w14:paraId="4F4530BB" w14:textId="77777777" w:rsidR="00F127A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Arménie</w:t>
            </w:r>
          </w:p>
          <w:p w14:paraId="2C6B429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26</w:t>
            </w:r>
          </w:p>
        </w:tc>
      </w:tr>
      <w:tr w:rsidR="00F127A2" w:rsidRPr="00CE357F" w14:paraId="57B1A03D" w14:textId="77777777" w:rsidTr="004A0C47">
        <w:trPr>
          <w:trHeight w:val="356"/>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tcPr>
          <w:p w14:paraId="024C9095" w14:textId="77777777" w:rsidR="00F127A2" w:rsidRPr="00CE357F" w:rsidRDefault="00F127A2" w:rsidP="004A0C47">
            <w:pPr>
              <w:jc w:val="center"/>
              <w:rPr>
                <w:rFonts w:ascii="Arial Narrow" w:eastAsia="Times New Roman" w:hAnsi="Arial Narrow" w:cs="Arial"/>
                <w:sz w:val="18"/>
                <w:szCs w:val="18"/>
                <w:lang w:eastAsia="cs-CZ"/>
              </w:rPr>
            </w:pPr>
          </w:p>
        </w:tc>
        <w:tc>
          <w:tcPr>
            <w:tcW w:w="930" w:type="dxa"/>
            <w:vAlign w:val="center"/>
          </w:tcPr>
          <w:p w14:paraId="4E5356C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Mongolsko</w:t>
            </w:r>
          </w:p>
          <w:p w14:paraId="6E35086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44</w:t>
            </w:r>
          </w:p>
        </w:tc>
        <w:tc>
          <w:tcPr>
            <w:tcW w:w="930" w:type="dxa"/>
            <w:vAlign w:val="center"/>
          </w:tcPr>
          <w:p w14:paraId="03904EC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Mongolsko</w:t>
            </w:r>
          </w:p>
          <w:p w14:paraId="522B0FC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70</w:t>
            </w:r>
          </w:p>
        </w:tc>
        <w:tc>
          <w:tcPr>
            <w:tcW w:w="766" w:type="dxa"/>
            <w:vAlign w:val="center"/>
          </w:tcPr>
          <w:p w14:paraId="5908CC7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Sýrie</w:t>
            </w:r>
          </w:p>
          <w:p w14:paraId="41999BA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62</w:t>
            </w:r>
          </w:p>
        </w:tc>
        <w:tc>
          <w:tcPr>
            <w:tcW w:w="766" w:type="dxa"/>
            <w:vAlign w:val="center"/>
          </w:tcPr>
          <w:p w14:paraId="3CF5DB2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Sýrie</w:t>
            </w:r>
          </w:p>
          <w:p w14:paraId="3EE5D79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64</w:t>
            </w:r>
          </w:p>
        </w:tc>
        <w:tc>
          <w:tcPr>
            <w:tcW w:w="766" w:type="dxa"/>
            <w:vAlign w:val="center"/>
          </w:tcPr>
          <w:p w14:paraId="128D777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Vietnam</w:t>
            </w:r>
          </w:p>
          <w:p w14:paraId="582C79A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50</w:t>
            </w:r>
          </w:p>
        </w:tc>
        <w:tc>
          <w:tcPr>
            <w:tcW w:w="930" w:type="dxa"/>
            <w:vAlign w:val="center"/>
          </w:tcPr>
          <w:p w14:paraId="3D44C833"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Vietnam</w:t>
            </w:r>
          </w:p>
          <w:p w14:paraId="12C12B0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42</w:t>
            </w:r>
          </w:p>
        </w:tc>
        <w:tc>
          <w:tcPr>
            <w:tcW w:w="930" w:type="dxa"/>
            <w:vAlign w:val="center"/>
          </w:tcPr>
          <w:p w14:paraId="179BEDC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Mongolsko</w:t>
            </w:r>
          </w:p>
          <w:p w14:paraId="53FEB7E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28</w:t>
            </w:r>
          </w:p>
        </w:tc>
        <w:tc>
          <w:tcPr>
            <w:tcW w:w="768" w:type="dxa"/>
            <w:vAlign w:val="center"/>
          </w:tcPr>
          <w:p w14:paraId="6DE1D80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Kosovo</w:t>
            </w:r>
          </w:p>
          <w:p w14:paraId="0C289C5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26</w:t>
            </w:r>
          </w:p>
        </w:tc>
        <w:tc>
          <w:tcPr>
            <w:tcW w:w="732" w:type="dxa"/>
          </w:tcPr>
          <w:p w14:paraId="0D01B64E" w14:textId="77777777" w:rsidR="00F127A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Vietnam</w:t>
            </w:r>
          </w:p>
          <w:p w14:paraId="15BB90E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26</w:t>
            </w:r>
          </w:p>
        </w:tc>
      </w:tr>
      <w:tr w:rsidR="00F127A2" w:rsidRPr="00CE357F" w14:paraId="0A364D0A" w14:textId="77777777" w:rsidTr="004A0C47">
        <w:trPr>
          <w:trHeight w:val="356"/>
        </w:trPr>
        <w:tc>
          <w:tcPr>
            <w:cnfStyle w:val="001000000000" w:firstRow="0" w:lastRow="0" w:firstColumn="1" w:lastColumn="0" w:oddVBand="0" w:evenVBand="0" w:oddHBand="0" w:evenHBand="0" w:firstRowFirstColumn="0" w:firstRowLastColumn="0" w:lastRowFirstColumn="0" w:lastRowLastColumn="0"/>
            <w:tcW w:w="1371" w:type="dxa"/>
            <w:shd w:val="clear" w:color="auto" w:fill="D9E2F3" w:themeFill="accent1" w:themeFillTint="33"/>
            <w:vAlign w:val="center"/>
          </w:tcPr>
          <w:p w14:paraId="545D2D35" w14:textId="77777777" w:rsidR="00F127A2" w:rsidRPr="00CE357F" w:rsidRDefault="00F127A2" w:rsidP="004A0C47">
            <w:pPr>
              <w:jc w:val="center"/>
              <w:rPr>
                <w:rFonts w:ascii="Arial Narrow" w:eastAsia="Times New Roman" w:hAnsi="Arial Narrow" w:cs="Arial"/>
                <w:sz w:val="18"/>
                <w:szCs w:val="18"/>
                <w:lang w:eastAsia="cs-CZ"/>
              </w:rPr>
            </w:pPr>
          </w:p>
        </w:tc>
        <w:tc>
          <w:tcPr>
            <w:tcW w:w="930" w:type="dxa"/>
            <w:vAlign w:val="center"/>
          </w:tcPr>
          <w:p w14:paraId="159C3D6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 xml:space="preserve">Moldavsko </w:t>
            </w:r>
          </w:p>
          <w:p w14:paraId="25ED12AE"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30</w:t>
            </w:r>
          </w:p>
        </w:tc>
        <w:tc>
          <w:tcPr>
            <w:tcW w:w="930" w:type="dxa"/>
            <w:vAlign w:val="center"/>
          </w:tcPr>
          <w:p w14:paraId="12F26AC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Bělorusko</w:t>
            </w:r>
          </w:p>
          <w:p w14:paraId="78F6949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52</w:t>
            </w:r>
          </w:p>
        </w:tc>
        <w:tc>
          <w:tcPr>
            <w:tcW w:w="766" w:type="dxa"/>
            <w:vAlign w:val="center"/>
          </w:tcPr>
          <w:p w14:paraId="26AFC90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Vietnam</w:t>
            </w:r>
          </w:p>
          <w:p w14:paraId="40BF55A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60</w:t>
            </w:r>
          </w:p>
        </w:tc>
        <w:tc>
          <w:tcPr>
            <w:tcW w:w="766" w:type="dxa"/>
            <w:vAlign w:val="center"/>
          </w:tcPr>
          <w:p w14:paraId="0746A2A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Vietnam</w:t>
            </w:r>
          </w:p>
          <w:p w14:paraId="3BDB454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62</w:t>
            </w:r>
          </w:p>
        </w:tc>
        <w:tc>
          <w:tcPr>
            <w:tcW w:w="766" w:type="dxa"/>
            <w:vAlign w:val="center"/>
          </w:tcPr>
          <w:p w14:paraId="65FD6F63"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Sýrie</w:t>
            </w:r>
          </w:p>
          <w:p w14:paraId="46A7047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46</w:t>
            </w:r>
          </w:p>
        </w:tc>
        <w:tc>
          <w:tcPr>
            <w:tcW w:w="930" w:type="dxa"/>
            <w:vAlign w:val="center"/>
          </w:tcPr>
          <w:p w14:paraId="1062A7A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Mongolsko</w:t>
            </w:r>
          </w:p>
          <w:p w14:paraId="33C6F03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42</w:t>
            </w:r>
          </w:p>
        </w:tc>
        <w:tc>
          <w:tcPr>
            <w:tcW w:w="930" w:type="dxa"/>
            <w:vAlign w:val="center"/>
          </w:tcPr>
          <w:p w14:paraId="71FA1E1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Vietnam</w:t>
            </w:r>
          </w:p>
          <w:p w14:paraId="2360FCF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21</w:t>
            </w:r>
          </w:p>
        </w:tc>
        <w:tc>
          <w:tcPr>
            <w:tcW w:w="768" w:type="dxa"/>
            <w:vAlign w:val="center"/>
          </w:tcPr>
          <w:p w14:paraId="5AD695B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Vietnam</w:t>
            </w:r>
          </w:p>
          <w:p w14:paraId="753B11A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s="Arial"/>
                <w:sz w:val="18"/>
                <w:szCs w:val="18"/>
              </w:rPr>
              <w:t>22</w:t>
            </w:r>
          </w:p>
        </w:tc>
        <w:tc>
          <w:tcPr>
            <w:tcW w:w="732" w:type="dxa"/>
          </w:tcPr>
          <w:p w14:paraId="76204080" w14:textId="77777777" w:rsidR="00F127A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Kosovo</w:t>
            </w:r>
          </w:p>
          <w:p w14:paraId="4E5767C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25</w:t>
            </w:r>
          </w:p>
        </w:tc>
      </w:tr>
    </w:tbl>
    <w:p w14:paraId="47B36EB4" w14:textId="49AABE84" w:rsidR="00053E14" w:rsidRPr="00053E14" w:rsidRDefault="00F127A2" w:rsidP="00053E14">
      <w:pPr>
        <w:spacing w:after="240" w:line="276" w:lineRule="auto"/>
        <w:rPr>
          <w:rFonts w:ascii="Arial Narrow" w:eastAsia="Times New Roman" w:hAnsi="Arial Narrow" w:cs="Arial"/>
          <w:color w:val="000000"/>
          <w:sz w:val="20"/>
          <w:szCs w:val="20"/>
          <w:lang w:eastAsia="cs-CZ"/>
        </w:rPr>
      </w:pPr>
      <w:r w:rsidRPr="00CE357F">
        <w:rPr>
          <w:rFonts w:ascii="Arial Narrow" w:eastAsia="Times New Roman" w:hAnsi="Arial Narrow" w:cs="Arial"/>
          <w:color w:val="000000"/>
          <w:sz w:val="20"/>
          <w:szCs w:val="20"/>
          <w:lang w:eastAsia="cs-CZ"/>
        </w:rPr>
        <w:t xml:space="preserve">Zdroj: Ministerstvo práce a sociálních věcí, </w:t>
      </w:r>
      <w:r w:rsidRPr="00CE357F">
        <w:rPr>
          <w:rFonts w:ascii="Arial Narrow" w:hAnsi="Arial Narrow"/>
          <w:sz w:val="20"/>
        </w:rPr>
        <w:t>data za měsíc prosinec daného roku</w:t>
      </w:r>
      <w:r w:rsidRPr="00CE357F">
        <w:rPr>
          <w:rFonts w:ascii="Arial Narrow" w:eastAsia="Times New Roman" w:hAnsi="Arial Narrow" w:cs="Arial"/>
          <w:color w:val="000000"/>
          <w:sz w:val="20"/>
          <w:szCs w:val="20"/>
          <w:lang w:eastAsia="cs-CZ"/>
        </w:rPr>
        <w:tab/>
        <w:t xml:space="preserve">Tabulka: AUGUR </w:t>
      </w:r>
      <w:proofErr w:type="spellStart"/>
      <w:r w:rsidRPr="00CE357F">
        <w:rPr>
          <w:rFonts w:ascii="Arial Narrow" w:eastAsia="Times New Roman" w:hAnsi="Arial Narrow" w:cs="Arial"/>
          <w:color w:val="000000"/>
          <w:sz w:val="20"/>
          <w:szCs w:val="20"/>
          <w:lang w:eastAsia="cs-CZ"/>
        </w:rPr>
        <w:t>Consulting</w:t>
      </w:r>
      <w:proofErr w:type="spellEnd"/>
      <w:r w:rsidRPr="00CE357F">
        <w:rPr>
          <w:rFonts w:ascii="Arial Narrow" w:eastAsia="Times New Roman" w:hAnsi="Arial Narrow" w:cs="Arial"/>
          <w:color w:val="000000"/>
          <w:sz w:val="20"/>
          <w:szCs w:val="20"/>
          <w:lang w:eastAsia="cs-CZ"/>
        </w:rPr>
        <w:t xml:space="preserve"> s.r.o.</w:t>
      </w:r>
    </w:p>
    <w:p w14:paraId="19949C5B" w14:textId="5B9A40C3" w:rsidR="00F127A2" w:rsidRPr="00344DAF" w:rsidRDefault="00F127A2" w:rsidP="00F127A2">
      <w:pPr>
        <w:spacing w:after="240" w:line="276" w:lineRule="auto"/>
        <w:jc w:val="both"/>
        <w:rPr>
          <w:rFonts w:ascii="Arial Narrow" w:hAnsi="Arial Narrow"/>
          <w:b/>
          <w:bCs/>
          <w:u w:val="single"/>
        </w:rPr>
      </w:pPr>
      <w:r w:rsidRPr="00344DAF">
        <w:rPr>
          <w:rFonts w:ascii="Arial Narrow" w:hAnsi="Arial Narrow"/>
          <w:b/>
          <w:bCs/>
          <w:u w:val="single"/>
        </w:rPr>
        <w:t>Srovnání vývoje počtu uchazečů o zaměstnání – občanů ČR, EU/EHP a tř</w:t>
      </w:r>
      <w:r>
        <w:rPr>
          <w:rFonts w:ascii="Arial Narrow" w:hAnsi="Arial Narrow"/>
          <w:b/>
          <w:bCs/>
          <w:u w:val="single"/>
        </w:rPr>
        <w:t>etích zemí v letech 2014-2022</w:t>
      </w:r>
    </w:p>
    <w:p w14:paraId="3ACA4E5E" w14:textId="0B132037" w:rsidR="00FA4B42" w:rsidRDefault="00F127A2" w:rsidP="00F127A2">
      <w:pPr>
        <w:pStyle w:val="Normlnweb"/>
        <w:spacing w:after="240" w:line="276" w:lineRule="auto"/>
        <w:jc w:val="both"/>
        <w:rPr>
          <w:rFonts w:ascii="Arial Narrow" w:hAnsi="Arial Narrow" w:cstheme="minorHAnsi"/>
          <w:sz w:val="22"/>
          <w:szCs w:val="22"/>
        </w:rPr>
      </w:pPr>
      <w:bookmarkStart w:id="335" w:name="_Hlk95739980"/>
      <w:r w:rsidRPr="00344DAF">
        <w:rPr>
          <w:rFonts w:ascii="Arial Narrow" w:hAnsi="Arial Narrow" w:cstheme="minorHAnsi"/>
          <w:sz w:val="22"/>
        </w:rPr>
        <w:t>Srovnáme-li vývoj počtu uchazečů o zaměstnání</w:t>
      </w:r>
      <w:r>
        <w:rPr>
          <w:rFonts w:ascii="Arial Narrow" w:hAnsi="Arial Narrow" w:cstheme="minorHAnsi"/>
          <w:sz w:val="22"/>
        </w:rPr>
        <w:t xml:space="preserve"> – občanů České republiky, občanů</w:t>
      </w:r>
      <w:r w:rsidRPr="00344DAF">
        <w:rPr>
          <w:rFonts w:ascii="Arial Narrow" w:hAnsi="Arial Narrow" w:cstheme="minorHAnsi"/>
          <w:sz w:val="22"/>
        </w:rPr>
        <w:t xml:space="preserve"> EU/EHP a třetích zemí </w:t>
      </w:r>
      <w:r>
        <w:rPr>
          <w:rFonts w:ascii="Arial Narrow" w:hAnsi="Arial Narrow" w:cstheme="minorHAnsi"/>
          <w:sz w:val="22"/>
        </w:rPr>
        <w:t>v České republice</w:t>
      </w:r>
      <w:r w:rsidR="00053E14">
        <w:rPr>
          <w:rFonts w:ascii="Arial Narrow" w:hAnsi="Arial Narrow" w:cstheme="minorHAnsi"/>
          <w:sz w:val="22"/>
        </w:rPr>
        <w:t xml:space="preserve"> (tabulka č. 17)</w:t>
      </w:r>
      <w:r>
        <w:rPr>
          <w:rFonts w:ascii="Arial Narrow" w:hAnsi="Arial Narrow" w:cstheme="minorHAnsi"/>
          <w:sz w:val="22"/>
        </w:rPr>
        <w:t>, je patrné, že vývoj počtu uchazečů o zaměstnání ze zemí EU/EHP je srovnatelný s vývojem počtu uchazečů – občanů České republiky. Vývoj počtu uchazečů o zaměstnání z</w:t>
      </w:r>
      <w:r w:rsidR="00FA4B42">
        <w:rPr>
          <w:rFonts w:ascii="Arial Narrow" w:hAnsi="Arial Narrow" w:cstheme="minorHAnsi"/>
          <w:sz w:val="22"/>
        </w:rPr>
        <w:t>e</w:t>
      </w:r>
      <w:r>
        <w:rPr>
          <w:rFonts w:ascii="Arial Narrow" w:hAnsi="Arial Narrow" w:cstheme="minorHAnsi"/>
          <w:sz w:val="22"/>
        </w:rPr>
        <w:t xml:space="preserve"> třetích zemí měl od roku 2015 do roku 2021 klesající tendenci, v roce 2022 došlo k rapidnímu nárůstu uchazečů z důvodu </w:t>
      </w:r>
      <w:r w:rsidR="00FA4B42">
        <w:rPr>
          <w:rFonts w:ascii="Arial Narrow" w:hAnsi="Arial Narrow" w:cstheme="minorHAnsi"/>
          <w:sz w:val="22"/>
        </w:rPr>
        <w:t>ozbrojeného</w:t>
      </w:r>
      <w:r>
        <w:rPr>
          <w:rFonts w:ascii="Arial Narrow" w:hAnsi="Arial Narrow" w:cstheme="minorHAnsi"/>
          <w:sz w:val="22"/>
        </w:rPr>
        <w:t xml:space="preserve"> konfliktu na Ukrajině. </w:t>
      </w:r>
      <w:r w:rsidRPr="00422251">
        <w:rPr>
          <w:rFonts w:ascii="Arial Narrow" w:hAnsi="Arial Narrow" w:cstheme="minorHAnsi"/>
          <w:sz w:val="22"/>
          <w:szCs w:val="22"/>
        </w:rPr>
        <w:t xml:space="preserve">Situace v Jihomoravském kraji reflektuje celorepublikové výsledky. </w:t>
      </w:r>
      <w:bookmarkEnd w:id="335"/>
    </w:p>
    <w:p w14:paraId="0DD26DA0" w14:textId="6C14B06F" w:rsidR="00F127A2" w:rsidRPr="00CE357F" w:rsidRDefault="00F127A2" w:rsidP="00F127A2">
      <w:pPr>
        <w:jc w:val="both"/>
        <w:rPr>
          <w:rFonts w:ascii="Arial Narrow" w:hAnsi="Arial Narrow"/>
          <w:b/>
          <w:sz w:val="24"/>
        </w:rPr>
      </w:pPr>
      <w:bookmarkStart w:id="336" w:name="_Toc136429228"/>
      <w:r w:rsidRPr="00344DAF">
        <w:rPr>
          <w:rFonts w:ascii="Arial Narrow" w:hAnsi="Arial Narrow"/>
          <w:b/>
          <w:sz w:val="20"/>
          <w:szCs w:val="18"/>
        </w:rPr>
        <w:t xml:space="preserve">Tabulka </w:t>
      </w:r>
      <w:r w:rsidRPr="00344DAF">
        <w:rPr>
          <w:rFonts w:ascii="Arial Narrow" w:hAnsi="Arial Narrow"/>
          <w:b/>
          <w:sz w:val="20"/>
          <w:szCs w:val="18"/>
        </w:rPr>
        <w:fldChar w:fldCharType="begin"/>
      </w:r>
      <w:r w:rsidRPr="00344DAF">
        <w:rPr>
          <w:rFonts w:ascii="Arial Narrow" w:hAnsi="Arial Narrow"/>
          <w:b/>
          <w:sz w:val="20"/>
          <w:szCs w:val="18"/>
        </w:rPr>
        <w:instrText xml:space="preserve"> SEQ Tabulka \* ARABIC </w:instrText>
      </w:r>
      <w:r w:rsidRPr="00344DAF">
        <w:rPr>
          <w:rFonts w:ascii="Arial Narrow" w:hAnsi="Arial Narrow"/>
          <w:b/>
          <w:sz w:val="20"/>
          <w:szCs w:val="18"/>
        </w:rPr>
        <w:fldChar w:fldCharType="separate"/>
      </w:r>
      <w:r w:rsidR="00256C97">
        <w:rPr>
          <w:rFonts w:ascii="Arial Narrow" w:hAnsi="Arial Narrow"/>
          <w:b/>
          <w:noProof/>
          <w:sz w:val="20"/>
          <w:szCs w:val="18"/>
        </w:rPr>
        <w:t>17</w:t>
      </w:r>
      <w:r w:rsidRPr="00344DAF">
        <w:rPr>
          <w:rFonts w:ascii="Arial Narrow" w:hAnsi="Arial Narrow"/>
          <w:b/>
          <w:sz w:val="20"/>
          <w:szCs w:val="18"/>
        </w:rPr>
        <w:fldChar w:fldCharType="end"/>
      </w:r>
      <w:r w:rsidRPr="00344DAF">
        <w:rPr>
          <w:rFonts w:ascii="Arial Narrow" w:hAnsi="Arial Narrow"/>
          <w:b/>
          <w:sz w:val="20"/>
          <w:szCs w:val="18"/>
        </w:rPr>
        <w:t xml:space="preserve">: </w:t>
      </w:r>
      <w:r w:rsidRPr="00344DAF">
        <w:rPr>
          <w:rFonts w:ascii="Arial Narrow" w:hAnsi="Arial Narrow"/>
          <w:b/>
          <w:bCs/>
          <w:sz w:val="20"/>
          <w:szCs w:val="18"/>
        </w:rPr>
        <w:t xml:space="preserve"> </w:t>
      </w:r>
      <w:r w:rsidRPr="00344DAF">
        <w:rPr>
          <w:rFonts w:ascii="Arial Narrow" w:hAnsi="Arial Narrow"/>
          <w:b/>
          <w:color w:val="000000" w:themeColor="text1"/>
          <w:sz w:val="20"/>
          <w:szCs w:val="18"/>
        </w:rPr>
        <w:t>Vývoj počtu uchazečů o zaměstnání–občanů ČR, EU/EHP a třetích zemí v ČR a JMK v letech 2014-202</w:t>
      </w:r>
      <w:r>
        <w:rPr>
          <w:rFonts w:ascii="Arial Narrow" w:hAnsi="Arial Narrow"/>
          <w:b/>
          <w:color w:val="000000" w:themeColor="text1"/>
          <w:sz w:val="20"/>
          <w:szCs w:val="18"/>
        </w:rPr>
        <w:t>2</w:t>
      </w:r>
      <w:bookmarkEnd w:id="336"/>
    </w:p>
    <w:tbl>
      <w:tblPr>
        <w:tblStyle w:val="Svtltabulkasmkou1zvraznn12"/>
        <w:tblW w:w="9243" w:type="dxa"/>
        <w:tblInd w:w="108" w:type="dxa"/>
        <w:tblLook w:val="04A0" w:firstRow="1" w:lastRow="0" w:firstColumn="1" w:lastColumn="0" w:noHBand="0" w:noVBand="1"/>
      </w:tblPr>
      <w:tblGrid>
        <w:gridCol w:w="1588"/>
        <w:gridCol w:w="851"/>
        <w:gridCol w:w="850"/>
        <w:gridCol w:w="851"/>
        <w:gridCol w:w="850"/>
        <w:gridCol w:w="851"/>
        <w:gridCol w:w="850"/>
        <w:gridCol w:w="851"/>
        <w:gridCol w:w="850"/>
        <w:gridCol w:w="851"/>
      </w:tblGrid>
      <w:tr w:rsidR="00F127A2" w:rsidRPr="00CE357F" w14:paraId="71BB4945" w14:textId="77777777" w:rsidTr="004A0C47">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243" w:type="dxa"/>
            <w:gridSpan w:val="10"/>
            <w:shd w:val="clear" w:color="auto" w:fill="D9E2F3" w:themeFill="accent1" w:themeFillTint="33"/>
            <w:vAlign w:val="center"/>
          </w:tcPr>
          <w:p w14:paraId="5CC44C98" w14:textId="77777777" w:rsidR="00F127A2" w:rsidRDefault="00F127A2"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Vývoj počtu uchazečů o zaměstnání v letech 2014-2022</w:t>
            </w:r>
            <w:r w:rsidRPr="00CE357F">
              <w:rPr>
                <w:rFonts w:ascii="Arial Narrow" w:eastAsia="Times New Roman" w:hAnsi="Arial Narrow" w:cs="Arial"/>
                <w:sz w:val="18"/>
                <w:szCs w:val="18"/>
                <w:lang w:eastAsia="cs-CZ"/>
              </w:rPr>
              <w:t xml:space="preserve"> (vždy za měsíc prosinec)</w:t>
            </w:r>
          </w:p>
        </w:tc>
      </w:tr>
      <w:tr w:rsidR="00F127A2" w:rsidRPr="00CE357F" w14:paraId="53003711" w14:textId="77777777" w:rsidTr="004A0C47">
        <w:trPr>
          <w:trHeight w:val="259"/>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hideMark/>
          </w:tcPr>
          <w:p w14:paraId="38F6C50B" w14:textId="77777777" w:rsidR="00F127A2" w:rsidRPr="00CE357F" w:rsidRDefault="00F127A2" w:rsidP="004A0C47">
            <w:pPr>
              <w:jc w:val="center"/>
              <w:rPr>
                <w:rFonts w:ascii="Arial Narrow" w:eastAsia="Times New Roman" w:hAnsi="Arial Narrow" w:cs="Arial"/>
                <w:b w:val="0"/>
                <w:bCs w:val="0"/>
                <w:sz w:val="18"/>
                <w:szCs w:val="18"/>
                <w:lang w:eastAsia="cs-CZ"/>
              </w:rPr>
            </w:pPr>
          </w:p>
        </w:tc>
        <w:tc>
          <w:tcPr>
            <w:tcW w:w="851" w:type="dxa"/>
            <w:shd w:val="clear" w:color="auto" w:fill="D9E2F3" w:themeFill="accent1" w:themeFillTint="33"/>
            <w:vAlign w:val="center"/>
          </w:tcPr>
          <w:p w14:paraId="6DF1FCE7"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2014</w:t>
            </w:r>
          </w:p>
        </w:tc>
        <w:tc>
          <w:tcPr>
            <w:tcW w:w="850" w:type="dxa"/>
            <w:shd w:val="clear" w:color="auto" w:fill="D9E2F3" w:themeFill="accent1" w:themeFillTint="33"/>
            <w:vAlign w:val="center"/>
          </w:tcPr>
          <w:p w14:paraId="778015D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2015</w:t>
            </w:r>
          </w:p>
        </w:tc>
        <w:tc>
          <w:tcPr>
            <w:tcW w:w="851" w:type="dxa"/>
            <w:shd w:val="clear" w:color="auto" w:fill="D9E2F3" w:themeFill="accent1" w:themeFillTint="33"/>
            <w:vAlign w:val="center"/>
          </w:tcPr>
          <w:p w14:paraId="07D1BBF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2016</w:t>
            </w:r>
          </w:p>
        </w:tc>
        <w:tc>
          <w:tcPr>
            <w:tcW w:w="850" w:type="dxa"/>
            <w:shd w:val="clear" w:color="auto" w:fill="D9E2F3" w:themeFill="accent1" w:themeFillTint="33"/>
            <w:vAlign w:val="center"/>
          </w:tcPr>
          <w:p w14:paraId="142569EC"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2017</w:t>
            </w:r>
          </w:p>
        </w:tc>
        <w:tc>
          <w:tcPr>
            <w:tcW w:w="851" w:type="dxa"/>
            <w:shd w:val="clear" w:color="auto" w:fill="D9E2F3" w:themeFill="accent1" w:themeFillTint="33"/>
            <w:vAlign w:val="center"/>
          </w:tcPr>
          <w:p w14:paraId="7A5D3F2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2018</w:t>
            </w:r>
          </w:p>
        </w:tc>
        <w:tc>
          <w:tcPr>
            <w:tcW w:w="850" w:type="dxa"/>
            <w:shd w:val="clear" w:color="auto" w:fill="D9E2F3" w:themeFill="accent1" w:themeFillTint="33"/>
            <w:vAlign w:val="center"/>
          </w:tcPr>
          <w:p w14:paraId="664B97E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2019</w:t>
            </w:r>
          </w:p>
        </w:tc>
        <w:tc>
          <w:tcPr>
            <w:tcW w:w="851" w:type="dxa"/>
            <w:shd w:val="clear" w:color="auto" w:fill="D9E2F3" w:themeFill="accent1" w:themeFillTint="33"/>
            <w:vAlign w:val="center"/>
          </w:tcPr>
          <w:p w14:paraId="7D0F345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2020</w:t>
            </w:r>
          </w:p>
        </w:tc>
        <w:tc>
          <w:tcPr>
            <w:tcW w:w="850" w:type="dxa"/>
            <w:shd w:val="clear" w:color="auto" w:fill="D9E2F3" w:themeFill="accent1" w:themeFillTint="33"/>
            <w:vAlign w:val="center"/>
          </w:tcPr>
          <w:p w14:paraId="4B57A2A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2021</w:t>
            </w:r>
          </w:p>
        </w:tc>
        <w:tc>
          <w:tcPr>
            <w:tcW w:w="851" w:type="dxa"/>
            <w:shd w:val="clear" w:color="auto" w:fill="D9E2F3" w:themeFill="accent1" w:themeFillTint="33"/>
            <w:vAlign w:val="center"/>
          </w:tcPr>
          <w:p w14:paraId="7C07D19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Pr>
                <w:rFonts w:ascii="Arial Narrow" w:eastAsia="Times New Roman" w:hAnsi="Arial Narrow" w:cs="Arial"/>
                <w:sz w:val="18"/>
                <w:szCs w:val="18"/>
                <w:lang w:eastAsia="cs-CZ"/>
              </w:rPr>
              <w:t>2022</w:t>
            </w:r>
          </w:p>
        </w:tc>
      </w:tr>
      <w:tr w:rsidR="00F127A2" w:rsidRPr="00CE357F" w14:paraId="15FDD244" w14:textId="77777777" w:rsidTr="004A0C47">
        <w:trPr>
          <w:trHeight w:val="269"/>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tcPr>
          <w:p w14:paraId="4A4D5D6B" w14:textId="77777777" w:rsidR="00F127A2" w:rsidRPr="00CE357F" w:rsidRDefault="00F127A2" w:rsidP="004A0C47">
            <w:pPr>
              <w:jc w:val="center"/>
              <w:rPr>
                <w:rFonts w:ascii="Arial Narrow" w:eastAsia="Times New Roman" w:hAnsi="Arial Narrow" w:cs="Arial"/>
                <w:sz w:val="18"/>
                <w:szCs w:val="18"/>
                <w:lang w:eastAsia="cs-CZ"/>
              </w:rPr>
            </w:pPr>
          </w:p>
        </w:tc>
        <w:tc>
          <w:tcPr>
            <w:tcW w:w="7655" w:type="dxa"/>
            <w:gridSpan w:val="9"/>
            <w:vAlign w:val="center"/>
          </w:tcPr>
          <w:p w14:paraId="1505AE56" w14:textId="77777777" w:rsidR="00F127A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Pr>
                <w:rFonts w:ascii="Arial Narrow" w:hAnsi="Arial Narrow" w:cs="Arial"/>
                <w:b/>
                <w:bCs/>
                <w:sz w:val="18"/>
                <w:szCs w:val="18"/>
              </w:rPr>
              <w:t>Celkem v ČR</w:t>
            </w:r>
          </w:p>
        </w:tc>
      </w:tr>
      <w:tr w:rsidR="00F127A2" w:rsidRPr="00CE357F" w14:paraId="28435FA3" w14:textId="77777777" w:rsidTr="004A0C47">
        <w:trPr>
          <w:trHeight w:val="492"/>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tcPr>
          <w:p w14:paraId="457836F2" w14:textId="77777777" w:rsidR="00F127A2" w:rsidRPr="004A0EAA" w:rsidRDefault="00F127A2" w:rsidP="004A0C47">
            <w:pPr>
              <w:jc w:val="center"/>
              <w:rPr>
                <w:rFonts w:ascii="Arial Narrow" w:eastAsia="Times New Roman" w:hAnsi="Arial Narrow" w:cs="Arial"/>
                <w:b w:val="0"/>
                <w:bCs w:val="0"/>
                <w:sz w:val="18"/>
                <w:szCs w:val="18"/>
                <w:lang w:eastAsia="cs-CZ"/>
              </w:rPr>
            </w:pPr>
            <w:r w:rsidRPr="004A0EAA">
              <w:rPr>
                <w:rFonts w:ascii="Arial Narrow" w:eastAsia="Times New Roman" w:hAnsi="Arial Narrow" w:cs="Arial"/>
                <w:b w:val="0"/>
                <w:bCs w:val="0"/>
                <w:sz w:val="18"/>
                <w:szCs w:val="18"/>
                <w:lang w:eastAsia="cs-CZ"/>
              </w:rPr>
              <w:t>Uchazeči – občané ČR celkem</w:t>
            </w:r>
          </w:p>
        </w:tc>
        <w:tc>
          <w:tcPr>
            <w:tcW w:w="851" w:type="dxa"/>
            <w:vAlign w:val="center"/>
          </w:tcPr>
          <w:p w14:paraId="2FE0BD41"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541 914</w:t>
            </w:r>
          </w:p>
        </w:tc>
        <w:tc>
          <w:tcPr>
            <w:tcW w:w="850" w:type="dxa"/>
            <w:vAlign w:val="center"/>
          </w:tcPr>
          <w:p w14:paraId="5BC92A32"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453 118</w:t>
            </w:r>
          </w:p>
        </w:tc>
        <w:tc>
          <w:tcPr>
            <w:tcW w:w="851" w:type="dxa"/>
            <w:vAlign w:val="center"/>
          </w:tcPr>
          <w:p w14:paraId="4F64BA39"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381 373</w:t>
            </w:r>
          </w:p>
        </w:tc>
        <w:tc>
          <w:tcPr>
            <w:tcW w:w="850" w:type="dxa"/>
            <w:vAlign w:val="center"/>
          </w:tcPr>
          <w:p w14:paraId="6648F26C"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280 620</w:t>
            </w:r>
          </w:p>
        </w:tc>
        <w:tc>
          <w:tcPr>
            <w:tcW w:w="851" w:type="dxa"/>
            <w:vAlign w:val="center"/>
          </w:tcPr>
          <w:p w14:paraId="178911A6"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231 534</w:t>
            </w:r>
          </w:p>
        </w:tc>
        <w:tc>
          <w:tcPr>
            <w:tcW w:w="850" w:type="dxa"/>
            <w:vAlign w:val="center"/>
          </w:tcPr>
          <w:p w14:paraId="0076BCD0"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215 532</w:t>
            </w:r>
          </w:p>
        </w:tc>
        <w:tc>
          <w:tcPr>
            <w:tcW w:w="851" w:type="dxa"/>
            <w:vAlign w:val="center"/>
          </w:tcPr>
          <w:p w14:paraId="6636312E"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291 886</w:t>
            </w:r>
          </w:p>
        </w:tc>
        <w:tc>
          <w:tcPr>
            <w:tcW w:w="850" w:type="dxa"/>
            <w:vAlign w:val="center"/>
          </w:tcPr>
          <w:p w14:paraId="4809A5B3"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258 173</w:t>
            </w:r>
          </w:p>
        </w:tc>
        <w:tc>
          <w:tcPr>
            <w:tcW w:w="851" w:type="dxa"/>
            <w:vAlign w:val="center"/>
          </w:tcPr>
          <w:p w14:paraId="3526B03A"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271 803</w:t>
            </w:r>
          </w:p>
        </w:tc>
      </w:tr>
      <w:tr w:rsidR="00F127A2" w:rsidRPr="00CE357F" w14:paraId="6690DA1C" w14:textId="77777777" w:rsidTr="004A0C47">
        <w:trPr>
          <w:trHeight w:val="492"/>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tcPr>
          <w:p w14:paraId="3BB8BD64" w14:textId="77777777" w:rsidR="00F127A2" w:rsidRPr="004A0EAA" w:rsidRDefault="00F127A2" w:rsidP="004A0C47">
            <w:pPr>
              <w:jc w:val="center"/>
              <w:rPr>
                <w:rFonts w:ascii="Arial Narrow" w:eastAsia="Times New Roman" w:hAnsi="Arial Narrow" w:cs="Arial"/>
                <w:b w:val="0"/>
                <w:bCs w:val="0"/>
                <w:sz w:val="18"/>
                <w:szCs w:val="18"/>
                <w:lang w:eastAsia="cs-CZ"/>
              </w:rPr>
            </w:pPr>
            <w:r w:rsidRPr="004A0EAA">
              <w:rPr>
                <w:rFonts w:ascii="Arial Narrow" w:eastAsia="Times New Roman" w:hAnsi="Arial Narrow" w:cs="Arial"/>
                <w:b w:val="0"/>
                <w:bCs w:val="0"/>
                <w:sz w:val="18"/>
                <w:szCs w:val="18"/>
                <w:lang w:eastAsia="cs-CZ"/>
              </w:rPr>
              <w:t>Uchazeči z EU/EHP v ČR celkem</w:t>
            </w:r>
          </w:p>
        </w:tc>
        <w:tc>
          <w:tcPr>
            <w:tcW w:w="851" w:type="dxa"/>
            <w:vAlign w:val="center"/>
          </w:tcPr>
          <w:p w14:paraId="3946829D"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8 118</w:t>
            </w:r>
          </w:p>
        </w:tc>
        <w:tc>
          <w:tcPr>
            <w:tcW w:w="850" w:type="dxa"/>
            <w:vAlign w:val="center"/>
          </w:tcPr>
          <w:p w14:paraId="610DA058"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7 352</w:t>
            </w:r>
          </w:p>
        </w:tc>
        <w:tc>
          <w:tcPr>
            <w:tcW w:w="851" w:type="dxa"/>
            <w:vAlign w:val="center"/>
          </w:tcPr>
          <w:p w14:paraId="62CD2B9B"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6 948</w:t>
            </w:r>
          </w:p>
        </w:tc>
        <w:tc>
          <w:tcPr>
            <w:tcW w:w="850" w:type="dxa"/>
            <w:vAlign w:val="center"/>
          </w:tcPr>
          <w:p w14:paraId="740EB8C4"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5 366</w:t>
            </w:r>
          </w:p>
        </w:tc>
        <w:tc>
          <w:tcPr>
            <w:tcW w:w="851" w:type="dxa"/>
            <w:vAlign w:val="center"/>
          </w:tcPr>
          <w:p w14:paraId="73D320C6"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4 846</w:t>
            </w:r>
          </w:p>
        </w:tc>
        <w:tc>
          <w:tcPr>
            <w:tcW w:w="850" w:type="dxa"/>
            <w:vAlign w:val="center"/>
          </w:tcPr>
          <w:p w14:paraId="059D4997"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5 115</w:t>
            </w:r>
          </w:p>
        </w:tc>
        <w:tc>
          <w:tcPr>
            <w:tcW w:w="851" w:type="dxa"/>
            <w:vAlign w:val="center"/>
          </w:tcPr>
          <w:p w14:paraId="7E1CCA7E"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7 443</w:t>
            </w:r>
          </w:p>
        </w:tc>
        <w:tc>
          <w:tcPr>
            <w:tcW w:w="850" w:type="dxa"/>
            <w:vAlign w:val="center"/>
          </w:tcPr>
          <w:p w14:paraId="31913D29"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032E5">
              <w:rPr>
                <w:rFonts w:ascii="Arial Narrow" w:hAnsi="Arial Narrow" w:cs="Arial"/>
                <w:sz w:val="18"/>
                <w:szCs w:val="18"/>
              </w:rPr>
              <w:t>6 670</w:t>
            </w:r>
          </w:p>
        </w:tc>
        <w:tc>
          <w:tcPr>
            <w:tcW w:w="851" w:type="dxa"/>
            <w:vAlign w:val="center"/>
          </w:tcPr>
          <w:p w14:paraId="2BE40B43"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7 057</w:t>
            </w:r>
          </w:p>
        </w:tc>
      </w:tr>
      <w:tr w:rsidR="00F127A2" w:rsidRPr="00CE357F" w14:paraId="46E45764" w14:textId="77777777" w:rsidTr="004A0C47">
        <w:trPr>
          <w:trHeight w:val="492"/>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tcPr>
          <w:p w14:paraId="5E0C5D08" w14:textId="7E2D4430" w:rsidR="00F127A2" w:rsidRPr="00CE357F" w:rsidRDefault="00F127A2"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b w:val="0"/>
                <w:bCs w:val="0"/>
                <w:sz w:val="18"/>
                <w:szCs w:val="18"/>
                <w:lang w:eastAsia="cs-CZ"/>
              </w:rPr>
              <w:t>Uchazeči z</w:t>
            </w:r>
            <w:r w:rsidR="00FA4B42">
              <w:rPr>
                <w:rFonts w:ascii="Arial Narrow" w:eastAsia="Times New Roman" w:hAnsi="Arial Narrow" w:cs="Arial"/>
                <w:b w:val="0"/>
                <w:bCs w:val="0"/>
                <w:sz w:val="18"/>
                <w:szCs w:val="18"/>
                <w:lang w:eastAsia="cs-CZ"/>
              </w:rPr>
              <w:t>e</w:t>
            </w:r>
            <w:r w:rsidRPr="00CE357F">
              <w:rPr>
                <w:rFonts w:ascii="Arial Narrow" w:eastAsia="Times New Roman" w:hAnsi="Arial Narrow" w:cs="Arial"/>
                <w:b w:val="0"/>
                <w:bCs w:val="0"/>
                <w:sz w:val="18"/>
                <w:szCs w:val="18"/>
                <w:lang w:eastAsia="cs-CZ"/>
              </w:rPr>
              <w:t> třetích zemí v ČR celkem</w:t>
            </w:r>
          </w:p>
        </w:tc>
        <w:tc>
          <w:tcPr>
            <w:tcW w:w="851" w:type="dxa"/>
            <w:vAlign w:val="center"/>
          </w:tcPr>
          <w:p w14:paraId="1B59D539"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C00000"/>
                <w:sz w:val="18"/>
                <w:szCs w:val="18"/>
              </w:rPr>
            </w:pPr>
            <w:r w:rsidRPr="009032E5">
              <w:rPr>
                <w:rFonts w:ascii="Arial Narrow" w:hAnsi="Arial Narrow" w:cs="Arial"/>
                <w:sz w:val="18"/>
                <w:szCs w:val="18"/>
              </w:rPr>
              <w:t>6 718</w:t>
            </w:r>
          </w:p>
        </w:tc>
        <w:tc>
          <w:tcPr>
            <w:tcW w:w="850" w:type="dxa"/>
            <w:vAlign w:val="center"/>
          </w:tcPr>
          <w:p w14:paraId="6055B2F6"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C00000"/>
                <w:sz w:val="18"/>
                <w:szCs w:val="18"/>
              </w:rPr>
            </w:pPr>
            <w:r w:rsidRPr="009032E5">
              <w:rPr>
                <w:rFonts w:ascii="Arial Narrow" w:hAnsi="Arial Narrow" w:cs="Arial"/>
                <w:sz w:val="18"/>
                <w:szCs w:val="18"/>
              </w:rPr>
              <w:t>12 162</w:t>
            </w:r>
          </w:p>
        </w:tc>
        <w:tc>
          <w:tcPr>
            <w:tcW w:w="851" w:type="dxa"/>
            <w:vAlign w:val="center"/>
          </w:tcPr>
          <w:p w14:paraId="52BF7D9A"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C00000"/>
                <w:sz w:val="18"/>
                <w:szCs w:val="18"/>
              </w:rPr>
            </w:pPr>
            <w:r w:rsidRPr="009032E5">
              <w:rPr>
                <w:rFonts w:ascii="Arial Narrow" w:hAnsi="Arial Narrow" w:cs="Arial"/>
                <w:sz w:val="18"/>
                <w:szCs w:val="18"/>
              </w:rPr>
              <w:t>10 800</w:t>
            </w:r>
          </w:p>
        </w:tc>
        <w:tc>
          <w:tcPr>
            <w:tcW w:w="850" w:type="dxa"/>
            <w:vAlign w:val="center"/>
          </w:tcPr>
          <w:p w14:paraId="17426EEA"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C00000"/>
                <w:sz w:val="18"/>
                <w:szCs w:val="18"/>
              </w:rPr>
            </w:pPr>
            <w:r w:rsidRPr="009032E5">
              <w:rPr>
                <w:rFonts w:ascii="Arial Narrow" w:hAnsi="Arial Narrow" w:cs="Arial"/>
                <w:sz w:val="18"/>
                <w:szCs w:val="18"/>
              </w:rPr>
              <w:t>8 006</w:t>
            </w:r>
          </w:p>
        </w:tc>
        <w:tc>
          <w:tcPr>
            <w:tcW w:w="851" w:type="dxa"/>
            <w:vAlign w:val="center"/>
          </w:tcPr>
          <w:p w14:paraId="6AA5C50C"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C00000"/>
                <w:sz w:val="18"/>
                <w:szCs w:val="18"/>
              </w:rPr>
            </w:pPr>
            <w:r w:rsidRPr="009032E5">
              <w:rPr>
                <w:rFonts w:ascii="Arial Narrow" w:hAnsi="Arial Narrow" w:cs="Arial"/>
                <w:sz w:val="18"/>
                <w:szCs w:val="18"/>
              </w:rPr>
              <w:t>6 422</w:t>
            </w:r>
          </w:p>
        </w:tc>
        <w:tc>
          <w:tcPr>
            <w:tcW w:w="850" w:type="dxa"/>
            <w:vAlign w:val="center"/>
          </w:tcPr>
          <w:p w14:paraId="7485467B"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C00000"/>
                <w:sz w:val="18"/>
                <w:szCs w:val="18"/>
              </w:rPr>
            </w:pPr>
            <w:r w:rsidRPr="009032E5">
              <w:rPr>
                <w:rFonts w:ascii="Arial Narrow" w:hAnsi="Arial Narrow" w:cs="Arial"/>
                <w:sz w:val="18"/>
                <w:szCs w:val="18"/>
              </w:rPr>
              <w:t>6 032</w:t>
            </w:r>
          </w:p>
        </w:tc>
        <w:tc>
          <w:tcPr>
            <w:tcW w:w="851" w:type="dxa"/>
            <w:vAlign w:val="center"/>
          </w:tcPr>
          <w:p w14:paraId="37EDD6D1"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C00000"/>
                <w:sz w:val="18"/>
                <w:szCs w:val="18"/>
              </w:rPr>
            </w:pPr>
            <w:r w:rsidRPr="009032E5">
              <w:rPr>
                <w:rFonts w:ascii="Arial Narrow" w:hAnsi="Arial Narrow" w:cs="Arial"/>
                <w:sz w:val="18"/>
                <w:szCs w:val="18"/>
              </w:rPr>
              <w:t>5 220</w:t>
            </w:r>
          </w:p>
        </w:tc>
        <w:tc>
          <w:tcPr>
            <w:tcW w:w="850" w:type="dxa"/>
            <w:vAlign w:val="center"/>
          </w:tcPr>
          <w:p w14:paraId="3A56ECC3"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C00000"/>
                <w:sz w:val="18"/>
                <w:szCs w:val="18"/>
              </w:rPr>
            </w:pPr>
            <w:r w:rsidRPr="009032E5">
              <w:rPr>
                <w:rFonts w:ascii="Arial Narrow" w:hAnsi="Arial Narrow" w:cs="Arial"/>
                <w:sz w:val="18"/>
                <w:szCs w:val="18"/>
              </w:rPr>
              <w:t>4 353</w:t>
            </w:r>
          </w:p>
        </w:tc>
        <w:tc>
          <w:tcPr>
            <w:tcW w:w="851" w:type="dxa"/>
            <w:vAlign w:val="center"/>
          </w:tcPr>
          <w:p w14:paraId="33C5D0B4" w14:textId="77777777" w:rsidR="00F127A2" w:rsidRPr="009032E5"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18 414</w:t>
            </w:r>
          </w:p>
        </w:tc>
      </w:tr>
      <w:tr w:rsidR="00F127A2" w:rsidRPr="00CE357F" w14:paraId="2AB0C3B8" w14:textId="77777777" w:rsidTr="004A0C47">
        <w:trPr>
          <w:trHeight w:val="352"/>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tcPr>
          <w:p w14:paraId="40F9748A" w14:textId="77777777" w:rsidR="00F127A2" w:rsidRPr="00CE357F" w:rsidRDefault="00F127A2" w:rsidP="004A0C47">
            <w:pPr>
              <w:jc w:val="center"/>
              <w:rPr>
                <w:rFonts w:ascii="Arial Narrow" w:eastAsia="Times New Roman" w:hAnsi="Arial Narrow" w:cs="Arial"/>
                <w:sz w:val="18"/>
                <w:szCs w:val="18"/>
                <w:lang w:eastAsia="cs-CZ"/>
              </w:rPr>
            </w:pPr>
          </w:p>
        </w:tc>
        <w:tc>
          <w:tcPr>
            <w:tcW w:w="7655" w:type="dxa"/>
            <w:gridSpan w:val="9"/>
            <w:vAlign w:val="center"/>
          </w:tcPr>
          <w:p w14:paraId="3CF8AA79" w14:textId="77777777" w:rsidR="00F127A2" w:rsidRPr="00033C6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033C62">
              <w:rPr>
                <w:rFonts w:ascii="Arial Narrow" w:hAnsi="Arial Narrow" w:cs="Arial"/>
                <w:b/>
                <w:bCs/>
                <w:sz w:val="18"/>
                <w:szCs w:val="18"/>
              </w:rPr>
              <w:t>Z toho v JMK</w:t>
            </w:r>
          </w:p>
        </w:tc>
      </w:tr>
      <w:tr w:rsidR="00F127A2" w:rsidRPr="00CE357F" w14:paraId="70872AD2" w14:textId="77777777" w:rsidTr="004A0C47">
        <w:trPr>
          <w:trHeight w:val="492"/>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tcPr>
          <w:p w14:paraId="5A512290" w14:textId="77777777" w:rsidR="00F127A2" w:rsidRPr="00CE357F" w:rsidRDefault="00F127A2" w:rsidP="004A0C47">
            <w:pPr>
              <w:jc w:val="center"/>
              <w:rPr>
                <w:rFonts w:ascii="Arial Narrow" w:eastAsia="Times New Roman" w:hAnsi="Arial Narrow" w:cs="Arial"/>
                <w:sz w:val="18"/>
                <w:szCs w:val="18"/>
                <w:lang w:eastAsia="cs-CZ"/>
              </w:rPr>
            </w:pPr>
            <w:r w:rsidRPr="004A0EAA">
              <w:rPr>
                <w:rFonts w:ascii="Arial Narrow" w:eastAsia="Times New Roman" w:hAnsi="Arial Narrow" w:cs="Arial"/>
                <w:b w:val="0"/>
                <w:bCs w:val="0"/>
                <w:sz w:val="18"/>
                <w:szCs w:val="18"/>
                <w:lang w:eastAsia="cs-CZ"/>
              </w:rPr>
              <w:t xml:space="preserve">Uchazeči – občané ČR </w:t>
            </w:r>
            <w:r>
              <w:rPr>
                <w:rFonts w:ascii="Arial Narrow" w:eastAsia="Times New Roman" w:hAnsi="Arial Narrow" w:cs="Arial"/>
                <w:b w:val="0"/>
                <w:bCs w:val="0"/>
                <w:sz w:val="18"/>
                <w:szCs w:val="18"/>
                <w:lang w:eastAsia="cs-CZ"/>
              </w:rPr>
              <w:t>v JMK</w:t>
            </w:r>
          </w:p>
        </w:tc>
        <w:tc>
          <w:tcPr>
            <w:tcW w:w="851" w:type="dxa"/>
            <w:vAlign w:val="center"/>
          </w:tcPr>
          <w:p w14:paraId="75A7DB6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66 203</w:t>
            </w:r>
          </w:p>
        </w:tc>
        <w:tc>
          <w:tcPr>
            <w:tcW w:w="850" w:type="dxa"/>
            <w:vAlign w:val="center"/>
          </w:tcPr>
          <w:p w14:paraId="4399109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56 032</w:t>
            </w:r>
          </w:p>
        </w:tc>
        <w:tc>
          <w:tcPr>
            <w:tcW w:w="851" w:type="dxa"/>
            <w:vAlign w:val="center"/>
          </w:tcPr>
          <w:p w14:paraId="621ECC7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49 032</w:t>
            </w:r>
          </w:p>
        </w:tc>
        <w:tc>
          <w:tcPr>
            <w:tcW w:w="850" w:type="dxa"/>
            <w:vAlign w:val="center"/>
          </w:tcPr>
          <w:p w14:paraId="52970058"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37 290</w:t>
            </w:r>
          </w:p>
        </w:tc>
        <w:tc>
          <w:tcPr>
            <w:tcW w:w="851" w:type="dxa"/>
            <w:vAlign w:val="center"/>
          </w:tcPr>
          <w:p w14:paraId="05F5074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32 042</w:t>
            </w:r>
          </w:p>
        </w:tc>
        <w:tc>
          <w:tcPr>
            <w:tcW w:w="850" w:type="dxa"/>
            <w:vAlign w:val="center"/>
          </w:tcPr>
          <w:p w14:paraId="2424604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29 087</w:t>
            </w:r>
          </w:p>
        </w:tc>
        <w:tc>
          <w:tcPr>
            <w:tcW w:w="851" w:type="dxa"/>
            <w:vAlign w:val="center"/>
          </w:tcPr>
          <w:p w14:paraId="228E031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36 883</w:t>
            </w:r>
          </w:p>
        </w:tc>
        <w:tc>
          <w:tcPr>
            <w:tcW w:w="850" w:type="dxa"/>
            <w:vAlign w:val="center"/>
          </w:tcPr>
          <w:p w14:paraId="3D1A7DC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33 023</w:t>
            </w:r>
          </w:p>
        </w:tc>
        <w:tc>
          <w:tcPr>
            <w:tcW w:w="851" w:type="dxa"/>
            <w:vAlign w:val="center"/>
          </w:tcPr>
          <w:p w14:paraId="3C56FF26" w14:textId="77777777" w:rsidR="00F127A2"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35 405</w:t>
            </w:r>
          </w:p>
        </w:tc>
      </w:tr>
      <w:tr w:rsidR="00F127A2" w:rsidRPr="00CE357F" w14:paraId="219E4885" w14:textId="77777777" w:rsidTr="004A0C47">
        <w:trPr>
          <w:trHeight w:val="492"/>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tcPr>
          <w:p w14:paraId="0C82A836" w14:textId="77777777" w:rsidR="00F127A2" w:rsidRPr="00CE357F" w:rsidRDefault="00F127A2" w:rsidP="004A0C47">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Uchazeči z EU/EHP v JMK</w:t>
            </w:r>
          </w:p>
        </w:tc>
        <w:tc>
          <w:tcPr>
            <w:tcW w:w="851" w:type="dxa"/>
            <w:vAlign w:val="center"/>
          </w:tcPr>
          <w:p w14:paraId="0B7BE51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818</w:t>
            </w:r>
          </w:p>
        </w:tc>
        <w:tc>
          <w:tcPr>
            <w:tcW w:w="850" w:type="dxa"/>
            <w:vAlign w:val="center"/>
          </w:tcPr>
          <w:p w14:paraId="2B0FF25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743</w:t>
            </w:r>
          </w:p>
        </w:tc>
        <w:tc>
          <w:tcPr>
            <w:tcW w:w="851" w:type="dxa"/>
            <w:vAlign w:val="center"/>
          </w:tcPr>
          <w:p w14:paraId="1DD1487B"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775</w:t>
            </w:r>
          </w:p>
        </w:tc>
        <w:tc>
          <w:tcPr>
            <w:tcW w:w="850" w:type="dxa"/>
            <w:vAlign w:val="center"/>
          </w:tcPr>
          <w:p w14:paraId="00D64BBD"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605</w:t>
            </w:r>
          </w:p>
        </w:tc>
        <w:tc>
          <w:tcPr>
            <w:tcW w:w="851" w:type="dxa"/>
            <w:vAlign w:val="center"/>
          </w:tcPr>
          <w:p w14:paraId="382435DA"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586</w:t>
            </w:r>
          </w:p>
        </w:tc>
        <w:tc>
          <w:tcPr>
            <w:tcW w:w="850" w:type="dxa"/>
            <w:vAlign w:val="center"/>
          </w:tcPr>
          <w:p w14:paraId="6032BBC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575</w:t>
            </w:r>
          </w:p>
        </w:tc>
        <w:tc>
          <w:tcPr>
            <w:tcW w:w="851" w:type="dxa"/>
            <w:vAlign w:val="center"/>
          </w:tcPr>
          <w:p w14:paraId="155A562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793</w:t>
            </w:r>
          </w:p>
        </w:tc>
        <w:tc>
          <w:tcPr>
            <w:tcW w:w="850" w:type="dxa"/>
            <w:vAlign w:val="center"/>
          </w:tcPr>
          <w:p w14:paraId="45A6D02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744</w:t>
            </w:r>
          </w:p>
        </w:tc>
        <w:tc>
          <w:tcPr>
            <w:tcW w:w="851" w:type="dxa"/>
            <w:vAlign w:val="center"/>
          </w:tcPr>
          <w:p w14:paraId="2B8B7F4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831</w:t>
            </w:r>
          </w:p>
        </w:tc>
      </w:tr>
      <w:tr w:rsidR="00F127A2" w:rsidRPr="00CE357F" w14:paraId="5D8FBBD3" w14:textId="77777777" w:rsidTr="004A0C47">
        <w:trPr>
          <w:trHeight w:val="492"/>
        </w:trPr>
        <w:tc>
          <w:tcPr>
            <w:cnfStyle w:val="001000000000" w:firstRow="0" w:lastRow="0" w:firstColumn="1" w:lastColumn="0" w:oddVBand="0" w:evenVBand="0" w:oddHBand="0" w:evenHBand="0" w:firstRowFirstColumn="0" w:firstRowLastColumn="0" w:lastRowFirstColumn="0" w:lastRowLastColumn="0"/>
            <w:tcW w:w="1588" w:type="dxa"/>
            <w:shd w:val="clear" w:color="auto" w:fill="D9E2F3" w:themeFill="accent1" w:themeFillTint="33"/>
            <w:vAlign w:val="center"/>
          </w:tcPr>
          <w:p w14:paraId="5050D09C" w14:textId="77777777" w:rsidR="00F127A2" w:rsidRPr="00CE357F" w:rsidRDefault="00F127A2"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b w:val="0"/>
                <w:bCs w:val="0"/>
                <w:sz w:val="18"/>
                <w:szCs w:val="18"/>
                <w:lang w:eastAsia="cs-CZ"/>
              </w:rPr>
              <w:t>Uchazeči z třetích zemí v JMK</w:t>
            </w:r>
          </w:p>
        </w:tc>
        <w:tc>
          <w:tcPr>
            <w:tcW w:w="851" w:type="dxa"/>
            <w:vAlign w:val="center"/>
          </w:tcPr>
          <w:p w14:paraId="475FD6A6"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917</w:t>
            </w:r>
          </w:p>
        </w:tc>
        <w:tc>
          <w:tcPr>
            <w:tcW w:w="850" w:type="dxa"/>
            <w:vAlign w:val="center"/>
          </w:tcPr>
          <w:p w14:paraId="42BA8050"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1 674</w:t>
            </w:r>
          </w:p>
        </w:tc>
        <w:tc>
          <w:tcPr>
            <w:tcW w:w="851" w:type="dxa"/>
            <w:vAlign w:val="center"/>
          </w:tcPr>
          <w:p w14:paraId="07D94705"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1 570</w:t>
            </w:r>
          </w:p>
        </w:tc>
        <w:tc>
          <w:tcPr>
            <w:tcW w:w="850" w:type="dxa"/>
            <w:vAlign w:val="center"/>
          </w:tcPr>
          <w:p w14:paraId="35864902"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1 246</w:t>
            </w:r>
          </w:p>
        </w:tc>
        <w:tc>
          <w:tcPr>
            <w:tcW w:w="851" w:type="dxa"/>
            <w:vAlign w:val="center"/>
          </w:tcPr>
          <w:p w14:paraId="7BABA26C" w14:textId="26355C4B"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1</w:t>
            </w:r>
            <w:r w:rsidR="00FA4B42">
              <w:rPr>
                <w:rFonts w:ascii="Arial Narrow" w:hAnsi="Arial Narrow" w:cs="Arial"/>
                <w:b/>
                <w:bCs/>
                <w:color w:val="C00000"/>
                <w:sz w:val="18"/>
                <w:szCs w:val="18"/>
              </w:rPr>
              <w:t xml:space="preserve"> </w:t>
            </w:r>
            <w:r w:rsidRPr="00CE357F">
              <w:rPr>
                <w:rFonts w:ascii="Arial Narrow" w:hAnsi="Arial Narrow" w:cs="Arial"/>
                <w:b/>
                <w:bCs/>
                <w:color w:val="C00000"/>
                <w:sz w:val="18"/>
                <w:szCs w:val="18"/>
              </w:rPr>
              <w:t>018</w:t>
            </w:r>
          </w:p>
        </w:tc>
        <w:tc>
          <w:tcPr>
            <w:tcW w:w="850" w:type="dxa"/>
            <w:vAlign w:val="center"/>
          </w:tcPr>
          <w:p w14:paraId="0282FB21"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912</w:t>
            </w:r>
          </w:p>
        </w:tc>
        <w:tc>
          <w:tcPr>
            <w:tcW w:w="851" w:type="dxa"/>
            <w:vAlign w:val="center"/>
          </w:tcPr>
          <w:p w14:paraId="75E8D80F"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560</w:t>
            </w:r>
          </w:p>
        </w:tc>
        <w:tc>
          <w:tcPr>
            <w:tcW w:w="850" w:type="dxa"/>
            <w:vAlign w:val="center"/>
          </w:tcPr>
          <w:p w14:paraId="00B5A4B4" w14:textId="77777777"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cs="Arial"/>
                <w:b/>
                <w:bCs/>
                <w:color w:val="C00000"/>
                <w:sz w:val="18"/>
                <w:szCs w:val="18"/>
              </w:rPr>
              <w:t>491</w:t>
            </w:r>
          </w:p>
        </w:tc>
        <w:tc>
          <w:tcPr>
            <w:tcW w:w="851" w:type="dxa"/>
            <w:vAlign w:val="center"/>
          </w:tcPr>
          <w:p w14:paraId="537C2B23" w14:textId="299DCFB0" w:rsidR="00F127A2" w:rsidRPr="00CE357F" w:rsidRDefault="00F127A2"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Pr>
                <w:rFonts w:ascii="Arial Narrow" w:hAnsi="Arial Narrow" w:cs="Arial"/>
                <w:b/>
                <w:bCs/>
                <w:color w:val="C00000"/>
                <w:sz w:val="18"/>
                <w:szCs w:val="18"/>
              </w:rPr>
              <w:t>1</w:t>
            </w:r>
            <w:r w:rsidR="00FA4B42">
              <w:rPr>
                <w:rFonts w:ascii="Arial Narrow" w:hAnsi="Arial Narrow" w:cs="Arial"/>
                <w:b/>
                <w:bCs/>
                <w:color w:val="C00000"/>
                <w:sz w:val="18"/>
                <w:szCs w:val="18"/>
              </w:rPr>
              <w:t xml:space="preserve"> </w:t>
            </w:r>
            <w:r>
              <w:rPr>
                <w:rFonts w:ascii="Arial Narrow" w:hAnsi="Arial Narrow" w:cs="Arial"/>
                <w:b/>
                <w:bCs/>
                <w:color w:val="C00000"/>
                <w:sz w:val="18"/>
                <w:szCs w:val="18"/>
              </w:rPr>
              <w:t>988</w:t>
            </w:r>
          </w:p>
        </w:tc>
      </w:tr>
    </w:tbl>
    <w:p w14:paraId="2E86E159" w14:textId="77C79580" w:rsidR="00F127A2" w:rsidRPr="00053E14" w:rsidRDefault="00F127A2" w:rsidP="00053E14">
      <w:pPr>
        <w:pStyle w:val="Normlnweb"/>
        <w:spacing w:before="0" w:beforeAutospacing="0" w:after="240" w:afterAutospacing="0" w:line="276" w:lineRule="auto"/>
        <w:jc w:val="both"/>
        <w:rPr>
          <w:rFonts w:ascii="Arial Narrow" w:hAnsi="Arial Narrow"/>
          <w:sz w:val="20"/>
        </w:rPr>
      </w:pPr>
      <w:r w:rsidRPr="00CE357F">
        <w:rPr>
          <w:rFonts w:ascii="Arial Narrow" w:hAnsi="Arial Narrow"/>
          <w:sz w:val="20"/>
        </w:rPr>
        <w:t>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077FE648" w14:textId="77777777" w:rsidR="00F127A2" w:rsidRPr="00CE357F" w:rsidRDefault="00F127A2" w:rsidP="00F127A2">
      <w:pPr>
        <w:pStyle w:val="Normlnweb"/>
        <w:spacing w:before="0" w:beforeAutospacing="0" w:after="240" w:afterAutospacing="0" w:line="276" w:lineRule="auto"/>
        <w:jc w:val="both"/>
        <w:rPr>
          <w:rFonts w:ascii="Arial Narrow" w:hAnsi="Arial Narrow" w:cstheme="minorHAnsi"/>
          <w:b/>
          <w:bCs/>
          <w:color w:val="C00000"/>
          <w:sz w:val="22"/>
          <w:szCs w:val="28"/>
        </w:rPr>
      </w:pPr>
      <w:r w:rsidRPr="00CE357F">
        <w:rPr>
          <w:rFonts w:ascii="Arial Narrow" w:hAnsi="Arial Narrow" w:cstheme="minorHAnsi"/>
          <w:b/>
          <w:bCs/>
          <w:color w:val="C00000"/>
          <w:sz w:val="22"/>
          <w:szCs w:val="28"/>
        </w:rPr>
        <w:t>Struktura uchazečů o zaměstnání s jinou než českou státní příslušností ze zemí EU/EHP podle věku</w:t>
      </w:r>
    </w:p>
    <w:p w14:paraId="0E0BE02D" w14:textId="59E1E1D9" w:rsidR="00FA4B42" w:rsidRDefault="00F127A2" w:rsidP="00F127A2">
      <w:pPr>
        <w:pStyle w:val="Normlnweb"/>
        <w:spacing w:before="0" w:beforeAutospacing="0" w:after="240" w:afterAutospacing="0" w:line="276" w:lineRule="auto"/>
        <w:jc w:val="both"/>
        <w:rPr>
          <w:rFonts w:ascii="Arial Narrow" w:hAnsi="Arial Narrow"/>
          <w:color w:val="000000" w:themeColor="text1"/>
          <w:sz w:val="22"/>
          <w:szCs w:val="22"/>
        </w:rPr>
      </w:pPr>
      <w:r w:rsidRPr="000E79B8">
        <w:rPr>
          <w:rFonts w:ascii="Arial Narrow" w:hAnsi="Arial Narrow"/>
          <w:color w:val="000000" w:themeColor="text1"/>
          <w:sz w:val="22"/>
          <w:szCs w:val="22"/>
        </w:rPr>
        <w:t>Podíváme-li se na vývoj struktury uchazečů o zaměstnání v Jihomoravském kraji s jinou než českou státní příslušností ze zemí EU/EHP z hlediska věku</w:t>
      </w:r>
      <w:r w:rsidR="00053E14">
        <w:rPr>
          <w:rFonts w:ascii="Arial Narrow" w:hAnsi="Arial Narrow"/>
          <w:color w:val="000000" w:themeColor="text1"/>
          <w:sz w:val="22"/>
          <w:szCs w:val="22"/>
        </w:rPr>
        <w:t xml:space="preserve"> (graf č. 50)</w:t>
      </w:r>
      <w:r w:rsidRPr="000E79B8">
        <w:rPr>
          <w:rFonts w:ascii="Arial Narrow" w:hAnsi="Arial Narrow"/>
          <w:color w:val="000000" w:themeColor="text1"/>
          <w:sz w:val="22"/>
          <w:szCs w:val="22"/>
        </w:rPr>
        <w:t xml:space="preserve">, od roku 2014 výrazně narostl podíl uchazečů ve věku 55 let a více. Jedná se o trend, který je charakteristický i pro skupinu uchazečů z řad občanů České republiky. Zatímco v prosinci roku 2014 tvořili uchazeči ve věku 55 let a více 11,8 % všech uchazečů o zaměstnání ze zemí EU/EHP, v prosinci roku 2022 to bylo 15,9 % všech uchazečů ze zemí EU/EHP. </w:t>
      </w:r>
    </w:p>
    <w:p w14:paraId="50B20E8E" w14:textId="1205835F" w:rsidR="00F127A2" w:rsidRPr="000E79B8" w:rsidRDefault="00F127A2" w:rsidP="00F127A2">
      <w:pPr>
        <w:pStyle w:val="Normlnweb"/>
        <w:spacing w:before="0" w:beforeAutospacing="0" w:after="240" w:afterAutospacing="0" w:line="276" w:lineRule="auto"/>
        <w:jc w:val="both"/>
        <w:rPr>
          <w:rFonts w:ascii="Arial Narrow" w:hAnsi="Arial Narrow"/>
          <w:color w:val="000000" w:themeColor="text1"/>
          <w:sz w:val="22"/>
          <w:szCs w:val="22"/>
        </w:rPr>
      </w:pPr>
      <w:r w:rsidRPr="000E79B8">
        <w:rPr>
          <w:rFonts w:ascii="Arial Narrow" w:hAnsi="Arial Narrow"/>
          <w:color w:val="000000" w:themeColor="text1"/>
          <w:sz w:val="22"/>
          <w:szCs w:val="22"/>
        </w:rPr>
        <w:t xml:space="preserve">Naopak, podíl nejmladších uchazečů ve věku 15-24 mezi lety 2014 a 2022 klesl o 2,0 %, což kopíruje v případě uchazečů z řad občanů České republiky, kdy byl mezi lety 2014 a 2022 zaznamenán pokles u této věkové skupiny 2,5 %. Mezi lety 2014 a 2020 výrazně poklesl také podíl uchazečů ve věku 25-39 let. Zatímco v prosinci 2014 tvořila tato věková skupina celkem 50,5 % všech uchazečů, v prosinci roku 2020 to bylo pouze 42,7 % uchazečů. K roku 2022 jejich počet opět stoupl na 46,3 %. Strukturu uchazečů ze zemí EU/EHP z hlediska věku v letech 2020-2022, </w:t>
      </w:r>
      <w:r w:rsidRPr="000E79B8">
        <w:rPr>
          <w:rFonts w:ascii="Arial Narrow" w:hAnsi="Arial Narrow"/>
          <w:color w:val="000000" w:themeColor="text1"/>
          <w:sz w:val="22"/>
          <w:szCs w:val="22"/>
        </w:rPr>
        <w:lastRenderedPageBreak/>
        <w:t>podobně jako v případě uchazečů z řad občanů České republiky, významně nepoznamenala celosvětová pandemie viru SARS-CoV-2</w:t>
      </w:r>
      <w:r w:rsidR="00FA4B42">
        <w:rPr>
          <w:rFonts w:ascii="Arial Narrow" w:hAnsi="Arial Narrow"/>
          <w:color w:val="000000" w:themeColor="text1"/>
          <w:sz w:val="22"/>
          <w:szCs w:val="22"/>
        </w:rPr>
        <w:t>, ani rusko-ukrajinský ozbrojený konflikt</w:t>
      </w:r>
      <w:r w:rsidRPr="000E79B8">
        <w:rPr>
          <w:rFonts w:ascii="Arial Narrow" w:hAnsi="Arial Narrow"/>
          <w:color w:val="000000" w:themeColor="text1"/>
          <w:sz w:val="22"/>
          <w:szCs w:val="22"/>
        </w:rPr>
        <w:t>.</w:t>
      </w:r>
      <w:r w:rsidRPr="000E79B8" w:rsidDel="00696A33">
        <w:rPr>
          <w:rFonts w:ascii="Arial Narrow" w:hAnsi="Arial Narrow"/>
          <w:color w:val="000000" w:themeColor="text1"/>
          <w:sz w:val="22"/>
          <w:szCs w:val="22"/>
        </w:rPr>
        <w:t xml:space="preserve"> </w:t>
      </w:r>
      <w:r w:rsidRPr="000E79B8">
        <w:rPr>
          <w:rFonts w:ascii="Arial Narrow" w:hAnsi="Arial Narrow"/>
          <w:color w:val="000000" w:themeColor="text1"/>
          <w:sz w:val="22"/>
          <w:szCs w:val="22"/>
        </w:rPr>
        <w:t>Podíl uchazečů ve věku 40-54 let zůstával meziročně stabilní</w:t>
      </w:r>
      <w:r w:rsidRPr="000E79B8">
        <w:rPr>
          <w:rFonts w:ascii="Arial Narrow" w:hAnsi="Arial Narrow"/>
          <w:color w:val="FF0000"/>
          <w:sz w:val="22"/>
          <w:szCs w:val="22"/>
        </w:rPr>
        <w:t xml:space="preserve">. </w:t>
      </w:r>
    </w:p>
    <w:p w14:paraId="31E43DAC" w14:textId="62367C1C" w:rsidR="00F127A2" w:rsidRPr="00CE357F" w:rsidRDefault="00F127A2" w:rsidP="00F127A2">
      <w:pPr>
        <w:spacing w:line="276" w:lineRule="auto"/>
        <w:jc w:val="both"/>
        <w:rPr>
          <w:rFonts w:ascii="Arial Narrow" w:hAnsi="Arial Narrow"/>
          <w:b/>
          <w:bCs/>
          <w:sz w:val="20"/>
          <w:szCs w:val="20"/>
        </w:rPr>
      </w:pPr>
      <w:bookmarkStart w:id="337" w:name="_Toc94443754"/>
      <w:bookmarkStart w:id="338" w:name="_Toc136428894"/>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50</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Struktura uchazečů o zaměstnání ze zemí EU/EHP v Jihomo</w:t>
      </w:r>
      <w:r>
        <w:rPr>
          <w:rFonts w:ascii="Arial Narrow" w:hAnsi="Arial Narrow"/>
          <w:b/>
          <w:bCs/>
          <w:sz w:val="20"/>
          <w:szCs w:val="20"/>
        </w:rPr>
        <w:t>ravském kraji v letech 2014-2022</w:t>
      </w:r>
      <w:r w:rsidRPr="00CE357F">
        <w:rPr>
          <w:rFonts w:ascii="Arial Narrow" w:hAnsi="Arial Narrow"/>
          <w:b/>
          <w:bCs/>
          <w:sz w:val="20"/>
          <w:szCs w:val="20"/>
        </w:rPr>
        <w:t xml:space="preserve"> podle věku</w:t>
      </w:r>
      <w:bookmarkEnd w:id="337"/>
      <w:bookmarkEnd w:id="338"/>
    </w:p>
    <w:p w14:paraId="1C1ECB59" w14:textId="77777777" w:rsidR="00F127A2" w:rsidRPr="00CE357F" w:rsidRDefault="00F127A2" w:rsidP="00F127A2">
      <w:pPr>
        <w:jc w:val="both"/>
        <w:rPr>
          <w:rFonts w:ascii="Arial Narrow" w:hAnsi="Arial Narrow" w:cstheme="minorHAnsi"/>
          <w:b/>
          <w:bCs/>
          <w:sz w:val="28"/>
          <w:szCs w:val="28"/>
        </w:rPr>
      </w:pPr>
      <w:r w:rsidRPr="00CE357F">
        <w:rPr>
          <w:rFonts w:ascii="Arial Narrow" w:hAnsi="Arial Narrow" w:cstheme="minorHAnsi"/>
          <w:b/>
          <w:bCs/>
          <w:noProof/>
          <w:sz w:val="28"/>
          <w:szCs w:val="28"/>
          <w:lang w:eastAsia="cs-CZ"/>
        </w:rPr>
        <w:drawing>
          <wp:inline distT="0" distB="0" distL="0" distR="0" wp14:anchorId="4DA6D0F0" wp14:editId="5A77649C">
            <wp:extent cx="5791200" cy="3524250"/>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46BE355"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Zdroj: 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19FD1118"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sz w:val="22"/>
          <w:szCs w:val="22"/>
          <w:highlight w:val="yellow"/>
        </w:rPr>
      </w:pPr>
    </w:p>
    <w:p w14:paraId="1C8577B3"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b/>
          <w:bCs/>
          <w:color w:val="C00000"/>
          <w:sz w:val="22"/>
          <w:szCs w:val="28"/>
        </w:rPr>
      </w:pPr>
      <w:r w:rsidRPr="00CE357F">
        <w:rPr>
          <w:rFonts w:ascii="Arial Narrow" w:hAnsi="Arial Narrow" w:cstheme="minorHAnsi"/>
          <w:b/>
          <w:bCs/>
          <w:color w:val="C00000"/>
          <w:sz w:val="22"/>
          <w:szCs w:val="28"/>
        </w:rPr>
        <w:t>Struktura uchazečů o zaměstnání s jinou než českou státní příslušností ze zemí EU/EHP podle délky nezaměstnanosti</w:t>
      </w:r>
    </w:p>
    <w:p w14:paraId="474DC76C" w14:textId="68257BA3" w:rsidR="00F127A2" w:rsidRPr="00CE357F" w:rsidRDefault="00F127A2" w:rsidP="00F127A2">
      <w:pPr>
        <w:pStyle w:val="Normlnweb"/>
        <w:spacing w:before="240" w:beforeAutospacing="0" w:after="240" w:afterAutospacing="0" w:line="276" w:lineRule="auto"/>
        <w:jc w:val="both"/>
        <w:rPr>
          <w:rFonts w:ascii="Arial Narrow" w:hAnsi="Arial Narrow"/>
          <w:color w:val="000000" w:themeColor="text1"/>
          <w:sz w:val="22"/>
          <w:szCs w:val="22"/>
        </w:rPr>
      </w:pPr>
      <w:r w:rsidRPr="00C47C27">
        <w:rPr>
          <w:rFonts w:ascii="Arial Narrow" w:hAnsi="Arial Narrow"/>
          <w:color w:val="000000" w:themeColor="text1"/>
          <w:sz w:val="22"/>
        </w:rPr>
        <w:t>Podíváme-li se na vývoj struktury uchazečů o zaměstnání ze zemí EU/EHP v Jihomoravském kraji z hlediska délky nezaměstnanosti</w:t>
      </w:r>
      <w:r w:rsidR="00053E14">
        <w:rPr>
          <w:rFonts w:ascii="Arial Narrow" w:hAnsi="Arial Narrow"/>
          <w:color w:val="000000" w:themeColor="text1"/>
          <w:sz w:val="22"/>
        </w:rPr>
        <w:t xml:space="preserve"> (grafy č. 51 a č. 52)</w:t>
      </w:r>
      <w:r w:rsidRPr="00C47C27">
        <w:rPr>
          <w:rFonts w:ascii="Arial Narrow" w:hAnsi="Arial Narrow"/>
          <w:color w:val="000000" w:themeColor="text1"/>
          <w:sz w:val="22"/>
        </w:rPr>
        <w:t xml:space="preserve">, vývoj je srovnatelný s parametry uchazečů z České republiky. Největší podíl </w:t>
      </w:r>
      <w:r w:rsidR="00B61A08" w:rsidRPr="00C47C27">
        <w:rPr>
          <w:rFonts w:ascii="Arial Narrow" w:hAnsi="Arial Narrow"/>
          <w:color w:val="000000" w:themeColor="text1"/>
          <w:sz w:val="22"/>
        </w:rPr>
        <w:t xml:space="preserve">mají </w:t>
      </w:r>
      <w:r w:rsidRPr="00C47C27">
        <w:rPr>
          <w:rFonts w:ascii="Arial Narrow" w:hAnsi="Arial Narrow"/>
          <w:color w:val="000000" w:themeColor="text1"/>
          <w:sz w:val="22"/>
        </w:rPr>
        <w:t xml:space="preserve">dlouhodobě uchazeči, kteří jsou nezaměstnaní v rozmezí 0-3 měsíců. Výrazný pokles podílu této skupiny uchazečů o zaměstnání, a to jak v případě uchazečů z České republiky, tak uchazečů ze zemí EU/EHP v letech 2020 a 2021 může souviset s dopady </w:t>
      </w:r>
      <w:r w:rsidRPr="00C47C27">
        <w:rPr>
          <w:rFonts w:ascii="Arial Narrow" w:hAnsi="Arial Narrow"/>
          <w:color w:val="000000" w:themeColor="text1"/>
          <w:sz w:val="22"/>
          <w:szCs w:val="22"/>
        </w:rPr>
        <w:t>celosvětové pandemie viru SARS-CoV-2, v důsledku čehož se výrazně prodloužila délka nezaměstnanosti, což dokládá nárůst podílu osob s délkou nezaměstnanosti v rozmezí 12-24 měsíců (o 3,3 % mezi lety 2019 a 2021 u uchazečů z České republiky a 1,0 % u uchazečů ze zemí EU/EHP) a s délkou nezaměstnanosti více než 24 měsíců (o 6,0 % mezi lety 2019 a 2020 u uchazečů z České republiky a 6,0 % u uchazečů ze zemí EU/EHP).</w:t>
      </w:r>
      <w:r w:rsidR="00B61A08">
        <w:rPr>
          <w:rFonts w:ascii="Arial Narrow" w:hAnsi="Arial Narrow"/>
          <w:color w:val="000000" w:themeColor="text1"/>
          <w:sz w:val="22"/>
          <w:szCs w:val="22"/>
        </w:rPr>
        <w:t xml:space="preserve"> V roce 2022</w:t>
      </w:r>
      <w:r w:rsidR="00915F26">
        <w:rPr>
          <w:rFonts w:ascii="Arial Narrow" w:hAnsi="Arial Narrow"/>
          <w:color w:val="000000" w:themeColor="text1"/>
          <w:sz w:val="22"/>
          <w:szCs w:val="22"/>
        </w:rPr>
        <w:t xml:space="preserve"> vzrostl počet uchazečů nezaměstnaných </w:t>
      </w:r>
      <w:r w:rsidR="00915F26" w:rsidRPr="00C47C27">
        <w:rPr>
          <w:rFonts w:ascii="Arial Narrow" w:hAnsi="Arial Narrow"/>
          <w:color w:val="000000" w:themeColor="text1"/>
          <w:sz w:val="22"/>
        </w:rPr>
        <w:t>v rozmezí 0-3 měsíců</w:t>
      </w:r>
      <w:r w:rsidR="00915F26">
        <w:rPr>
          <w:rFonts w:ascii="Arial Narrow" w:hAnsi="Arial Narrow"/>
          <w:color w:val="000000" w:themeColor="text1"/>
          <w:sz w:val="22"/>
        </w:rPr>
        <w:t xml:space="preserve"> o 6 %, což souvisí s nárůstem počtu ukrajinských </w:t>
      </w:r>
      <w:r w:rsidR="007A5B21">
        <w:rPr>
          <w:rFonts w:ascii="Arial Narrow" w:hAnsi="Arial Narrow"/>
          <w:color w:val="000000" w:themeColor="text1"/>
          <w:sz w:val="22"/>
        </w:rPr>
        <w:t>občanů</w:t>
      </w:r>
      <w:r w:rsidR="00915F26">
        <w:rPr>
          <w:rFonts w:ascii="Arial Narrow" w:hAnsi="Arial Narrow"/>
          <w:color w:val="000000" w:themeColor="text1"/>
          <w:sz w:val="22"/>
        </w:rPr>
        <w:t xml:space="preserve"> </w:t>
      </w:r>
      <w:r w:rsidR="007A5B21">
        <w:rPr>
          <w:rFonts w:ascii="Arial Narrow" w:hAnsi="Arial Narrow"/>
          <w:color w:val="000000" w:themeColor="text1"/>
          <w:sz w:val="22"/>
        </w:rPr>
        <w:t>v</w:t>
      </w:r>
      <w:r w:rsidR="00915F26">
        <w:rPr>
          <w:rFonts w:ascii="Arial Narrow" w:hAnsi="Arial Narrow"/>
          <w:color w:val="000000" w:themeColor="text1"/>
          <w:sz w:val="22"/>
        </w:rPr>
        <w:t xml:space="preserve"> Jihomoravské</w:t>
      </w:r>
      <w:r w:rsidR="007A5B21">
        <w:rPr>
          <w:rFonts w:ascii="Arial Narrow" w:hAnsi="Arial Narrow"/>
          <w:color w:val="000000" w:themeColor="text1"/>
          <w:sz w:val="22"/>
        </w:rPr>
        <w:t>m</w:t>
      </w:r>
      <w:r w:rsidR="00915F26">
        <w:rPr>
          <w:rFonts w:ascii="Arial Narrow" w:hAnsi="Arial Narrow"/>
          <w:color w:val="000000" w:themeColor="text1"/>
          <w:sz w:val="22"/>
        </w:rPr>
        <w:t xml:space="preserve"> kraj</w:t>
      </w:r>
      <w:r w:rsidR="007A5B21">
        <w:rPr>
          <w:rFonts w:ascii="Arial Narrow" w:hAnsi="Arial Narrow"/>
          <w:color w:val="000000" w:themeColor="text1"/>
          <w:sz w:val="22"/>
        </w:rPr>
        <w:t>i</w:t>
      </w:r>
      <w:r w:rsidR="00915F26">
        <w:rPr>
          <w:rFonts w:ascii="Arial Narrow" w:hAnsi="Arial Narrow"/>
          <w:color w:val="000000" w:themeColor="text1"/>
          <w:sz w:val="22"/>
        </w:rPr>
        <w:t xml:space="preserve"> v průběhu roku 2022. </w:t>
      </w:r>
      <w:r w:rsidR="00915F26">
        <w:rPr>
          <w:rFonts w:ascii="Arial Narrow" w:hAnsi="Arial Narrow"/>
          <w:color w:val="000000" w:themeColor="text1"/>
          <w:sz w:val="22"/>
          <w:szCs w:val="22"/>
        </w:rPr>
        <w:t xml:space="preserve"> </w:t>
      </w:r>
      <w:r w:rsidRPr="00CE357F">
        <w:rPr>
          <w:rFonts w:ascii="Arial Narrow" w:hAnsi="Arial Narrow"/>
          <w:color w:val="000000" w:themeColor="text1"/>
          <w:sz w:val="22"/>
          <w:szCs w:val="22"/>
        </w:rPr>
        <w:t xml:space="preserve"> </w:t>
      </w:r>
    </w:p>
    <w:p w14:paraId="38E9EB88" w14:textId="77777777" w:rsidR="00053E14" w:rsidRDefault="00053E14" w:rsidP="00F127A2">
      <w:pPr>
        <w:spacing w:line="276" w:lineRule="auto"/>
        <w:jc w:val="both"/>
        <w:rPr>
          <w:rFonts w:ascii="Arial Narrow" w:hAnsi="Arial Narrow"/>
          <w:b/>
          <w:sz w:val="20"/>
          <w:szCs w:val="20"/>
        </w:rPr>
      </w:pPr>
      <w:bookmarkStart w:id="339" w:name="_Toc94443755"/>
      <w:bookmarkStart w:id="340" w:name="_Toc136428895"/>
    </w:p>
    <w:p w14:paraId="1A69D32A" w14:textId="77777777" w:rsidR="00053E14" w:rsidRDefault="00053E14" w:rsidP="00F127A2">
      <w:pPr>
        <w:spacing w:line="276" w:lineRule="auto"/>
        <w:jc w:val="both"/>
        <w:rPr>
          <w:rFonts w:ascii="Arial Narrow" w:hAnsi="Arial Narrow"/>
          <w:b/>
          <w:sz w:val="20"/>
          <w:szCs w:val="20"/>
        </w:rPr>
      </w:pPr>
    </w:p>
    <w:p w14:paraId="11866D99" w14:textId="77777777" w:rsidR="00053E14" w:rsidRDefault="00053E14" w:rsidP="00F127A2">
      <w:pPr>
        <w:spacing w:line="276" w:lineRule="auto"/>
        <w:jc w:val="both"/>
        <w:rPr>
          <w:rFonts w:ascii="Arial Narrow" w:hAnsi="Arial Narrow"/>
          <w:b/>
          <w:sz w:val="20"/>
          <w:szCs w:val="20"/>
        </w:rPr>
      </w:pPr>
    </w:p>
    <w:p w14:paraId="1577FCC9" w14:textId="77777777" w:rsidR="00053E14" w:rsidRDefault="00053E14" w:rsidP="00F127A2">
      <w:pPr>
        <w:spacing w:line="276" w:lineRule="auto"/>
        <w:jc w:val="both"/>
        <w:rPr>
          <w:rFonts w:ascii="Arial Narrow" w:hAnsi="Arial Narrow"/>
          <w:b/>
          <w:sz w:val="20"/>
          <w:szCs w:val="20"/>
        </w:rPr>
      </w:pPr>
    </w:p>
    <w:p w14:paraId="4D484FB3" w14:textId="77777777" w:rsidR="00053E14" w:rsidRDefault="00053E14" w:rsidP="00F127A2">
      <w:pPr>
        <w:spacing w:line="276" w:lineRule="auto"/>
        <w:jc w:val="both"/>
        <w:rPr>
          <w:rFonts w:ascii="Arial Narrow" w:hAnsi="Arial Narrow"/>
          <w:b/>
          <w:sz w:val="20"/>
          <w:szCs w:val="20"/>
        </w:rPr>
      </w:pPr>
    </w:p>
    <w:p w14:paraId="5D60D782" w14:textId="77777777" w:rsidR="00053E14" w:rsidRDefault="00053E14" w:rsidP="00F127A2">
      <w:pPr>
        <w:spacing w:line="276" w:lineRule="auto"/>
        <w:jc w:val="both"/>
        <w:rPr>
          <w:rFonts w:ascii="Arial Narrow" w:hAnsi="Arial Narrow"/>
          <w:b/>
          <w:sz w:val="20"/>
          <w:szCs w:val="20"/>
        </w:rPr>
      </w:pPr>
    </w:p>
    <w:p w14:paraId="455E38EA" w14:textId="6A2660EA" w:rsidR="00F127A2" w:rsidRPr="00CE357F" w:rsidRDefault="00F127A2" w:rsidP="00F127A2">
      <w:pPr>
        <w:spacing w:line="276" w:lineRule="auto"/>
        <w:jc w:val="both"/>
        <w:rPr>
          <w:rFonts w:ascii="Arial Narrow" w:hAnsi="Arial Narrow"/>
          <w:b/>
          <w:sz w:val="20"/>
          <w:szCs w:val="20"/>
        </w:rPr>
      </w:pPr>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51</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Struktura uchazečů o zaměstnání ze zemí EU/EHP v Jihomoravském kraji v letech 2014</w:t>
      </w:r>
      <w:r>
        <w:rPr>
          <w:rFonts w:ascii="Arial Narrow" w:hAnsi="Arial Narrow"/>
          <w:b/>
          <w:bCs/>
          <w:sz w:val="20"/>
          <w:szCs w:val="20"/>
        </w:rPr>
        <w:t>-2022</w:t>
      </w:r>
      <w:r w:rsidRPr="00CE357F">
        <w:rPr>
          <w:rFonts w:ascii="Arial Narrow" w:hAnsi="Arial Narrow"/>
          <w:b/>
          <w:bCs/>
          <w:sz w:val="20"/>
          <w:szCs w:val="20"/>
        </w:rPr>
        <w:t xml:space="preserve"> podle délky nezaměstnanosti (0-12 měsíců)</w:t>
      </w:r>
      <w:bookmarkEnd w:id="339"/>
      <w:bookmarkEnd w:id="340"/>
    </w:p>
    <w:p w14:paraId="4ABA3895"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sz w:val="22"/>
          <w:szCs w:val="22"/>
          <w:highlight w:val="yellow"/>
        </w:rPr>
      </w:pPr>
      <w:r w:rsidRPr="00CE357F">
        <w:rPr>
          <w:rFonts w:ascii="Arial Narrow" w:hAnsi="Arial Narrow" w:cstheme="minorHAnsi"/>
          <w:b/>
          <w:bCs/>
          <w:noProof/>
          <w:sz w:val="28"/>
          <w:szCs w:val="28"/>
        </w:rPr>
        <w:drawing>
          <wp:inline distT="0" distB="0" distL="0" distR="0" wp14:anchorId="0A4D9BBC" wp14:editId="5E5C3ECE">
            <wp:extent cx="5760720" cy="3200400"/>
            <wp:effectExtent l="0" t="0" r="1143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5DC309F" w14:textId="673882A5" w:rsidR="004E64FA" w:rsidRPr="00053E14" w:rsidRDefault="00F127A2" w:rsidP="00053E14">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Zdroj: 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bookmarkStart w:id="341" w:name="_Toc94443756"/>
      <w:bookmarkStart w:id="342" w:name="_Toc136428896"/>
    </w:p>
    <w:p w14:paraId="2B421E80" w14:textId="77777777" w:rsidR="004E64FA" w:rsidRDefault="004E64FA" w:rsidP="00F127A2">
      <w:pPr>
        <w:spacing w:line="276" w:lineRule="auto"/>
        <w:jc w:val="both"/>
        <w:rPr>
          <w:rFonts w:ascii="Arial Narrow" w:hAnsi="Arial Narrow"/>
          <w:b/>
          <w:sz w:val="20"/>
          <w:szCs w:val="20"/>
        </w:rPr>
      </w:pPr>
    </w:p>
    <w:p w14:paraId="510E260F" w14:textId="00005738" w:rsidR="00F127A2" w:rsidRPr="00CE357F" w:rsidRDefault="00F127A2" w:rsidP="00F127A2">
      <w:pPr>
        <w:spacing w:line="276" w:lineRule="auto"/>
        <w:jc w:val="both"/>
        <w:rPr>
          <w:rFonts w:ascii="Arial Narrow" w:hAnsi="Arial Narrow"/>
          <w:b/>
          <w:sz w:val="20"/>
          <w:szCs w:val="20"/>
        </w:rPr>
      </w:pPr>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52</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Struktura uchazečů o zaměstnání ze zemí EU/EHP v Jihomo</w:t>
      </w:r>
      <w:r>
        <w:rPr>
          <w:rFonts w:ascii="Arial Narrow" w:hAnsi="Arial Narrow"/>
          <w:b/>
          <w:bCs/>
          <w:sz w:val="20"/>
          <w:szCs w:val="20"/>
        </w:rPr>
        <w:t>ravském kraji v letech 2014-2022</w:t>
      </w:r>
      <w:r w:rsidRPr="00CE357F">
        <w:rPr>
          <w:rFonts w:ascii="Arial Narrow" w:hAnsi="Arial Narrow"/>
          <w:b/>
          <w:bCs/>
          <w:sz w:val="20"/>
          <w:szCs w:val="20"/>
        </w:rPr>
        <w:t xml:space="preserve"> podle délky nezaměstnanosti (12–24 měsíců a více)</w:t>
      </w:r>
      <w:bookmarkEnd w:id="341"/>
      <w:bookmarkEnd w:id="342"/>
    </w:p>
    <w:p w14:paraId="26D6EF4F"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sz w:val="22"/>
          <w:szCs w:val="22"/>
          <w:highlight w:val="yellow"/>
        </w:rPr>
      </w:pPr>
      <w:r w:rsidRPr="00CE357F">
        <w:rPr>
          <w:rFonts w:ascii="Arial Narrow" w:hAnsi="Arial Narrow" w:cstheme="minorHAnsi"/>
          <w:b/>
          <w:bCs/>
          <w:noProof/>
          <w:sz w:val="28"/>
          <w:szCs w:val="28"/>
        </w:rPr>
        <w:drawing>
          <wp:inline distT="0" distB="0" distL="0" distR="0" wp14:anchorId="13E257EE" wp14:editId="6D53F8EF">
            <wp:extent cx="5760720" cy="3209925"/>
            <wp:effectExtent l="0" t="0" r="11430" b="9525"/>
            <wp:docPr id="2120" name="Graf 2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EA765B8"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Zdroj: 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16F60A47" w14:textId="77777777" w:rsidR="00F127A2" w:rsidRPr="00CE357F" w:rsidRDefault="00F127A2" w:rsidP="00F127A2">
      <w:pPr>
        <w:pStyle w:val="Normlnweb"/>
        <w:spacing w:before="0" w:beforeAutospacing="0" w:after="240" w:afterAutospacing="0" w:line="276" w:lineRule="auto"/>
        <w:jc w:val="both"/>
        <w:rPr>
          <w:rFonts w:ascii="Arial Narrow" w:hAnsi="Arial Narrow" w:cstheme="minorHAnsi"/>
          <w:b/>
          <w:bCs/>
          <w:color w:val="C00000"/>
          <w:sz w:val="22"/>
          <w:szCs w:val="28"/>
        </w:rPr>
      </w:pPr>
    </w:p>
    <w:p w14:paraId="77F515BD" w14:textId="77777777" w:rsidR="00F127A2" w:rsidRPr="00CE357F" w:rsidRDefault="00F127A2" w:rsidP="00F127A2">
      <w:pPr>
        <w:pStyle w:val="Normlnweb"/>
        <w:spacing w:before="0" w:beforeAutospacing="0" w:after="240" w:afterAutospacing="0" w:line="276" w:lineRule="auto"/>
        <w:jc w:val="both"/>
        <w:rPr>
          <w:rFonts w:ascii="Arial Narrow" w:hAnsi="Arial Narrow" w:cstheme="minorHAnsi"/>
          <w:b/>
          <w:bCs/>
          <w:color w:val="C00000"/>
          <w:sz w:val="22"/>
          <w:szCs w:val="28"/>
        </w:rPr>
      </w:pPr>
      <w:r w:rsidRPr="00CE357F">
        <w:rPr>
          <w:rFonts w:ascii="Arial Narrow" w:hAnsi="Arial Narrow" w:cstheme="minorHAnsi"/>
          <w:b/>
          <w:bCs/>
          <w:color w:val="C00000"/>
          <w:sz w:val="22"/>
          <w:szCs w:val="28"/>
        </w:rPr>
        <w:lastRenderedPageBreak/>
        <w:t>Struktura uchazečů o zaměstnání s jinou než českou státní příslušností ze zemí EU/EHP podle dosaženého vzdělání</w:t>
      </w:r>
      <w:r w:rsidRPr="00CE357F">
        <w:rPr>
          <w:rStyle w:val="Znakapoznpodarou"/>
          <w:rFonts w:ascii="Arial Narrow" w:hAnsi="Arial Narrow" w:cstheme="minorHAnsi"/>
          <w:b/>
          <w:bCs/>
          <w:color w:val="C00000"/>
          <w:sz w:val="22"/>
          <w:szCs w:val="28"/>
        </w:rPr>
        <w:footnoteReference w:id="28"/>
      </w:r>
    </w:p>
    <w:p w14:paraId="3CD124BD" w14:textId="4ADB70B6" w:rsidR="00FA1848" w:rsidRPr="00053E14" w:rsidRDefault="00F127A2" w:rsidP="00053E14">
      <w:pPr>
        <w:pStyle w:val="Normlnweb"/>
        <w:spacing w:before="0" w:beforeAutospacing="0" w:after="120" w:afterAutospacing="0" w:line="276" w:lineRule="auto"/>
        <w:jc w:val="both"/>
        <w:rPr>
          <w:rFonts w:ascii="Arial Narrow" w:hAnsi="Arial Narrow"/>
          <w:color w:val="000000" w:themeColor="text1"/>
          <w:sz w:val="22"/>
          <w:szCs w:val="22"/>
        </w:rPr>
      </w:pPr>
      <w:r w:rsidRPr="2645E051">
        <w:rPr>
          <w:rFonts w:ascii="Arial Narrow" w:hAnsi="Arial Narrow"/>
          <w:color w:val="000000" w:themeColor="text1"/>
          <w:sz w:val="22"/>
          <w:szCs w:val="22"/>
        </w:rPr>
        <w:t>Podíváme-li se na vývoj struktury</w:t>
      </w:r>
      <w:r w:rsidR="00F600F1" w:rsidRPr="2645E051">
        <w:rPr>
          <w:rFonts w:ascii="Arial Narrow" w:hAnsi="Arial Narrow"/>
          <w:color w:val="000000" w:themeColor="text1"/>
          <w:sz w:val="22"/>
          <w:szCs w:val="22"/>
        </w:rPr>
        <w:t xml:space="preserve"> evidovaných</w:t>
      </w:r>
      <w:r w:rsidRPr="2645E051">
        <w:rPr>
          <w:rFonts w:ascii="Arial Narrow" w:hAnsi="Arial Narrow"/>
          <w:color w:val="000000" w:themeColor="text1"/>
          <w:sz w:val="22"/>
          <w:szCs w:val="22"/>
        </w:rPr>
        <w:t xml:space="preserve"> uchazečů o zaměstnání ze zemí EU/EHP v Jihomoravském kraji z hlediska jejich nejvyššího dosaženého vzdělání</w:t>
      </w:r>
      <w:r w:rsidR="00053E14">
        <w:rPr>
          <w:rFonts w:ascii="Arial Narrow" w:hAnsi="Arial Narrow"/>
          <w:color w:val="000000" w:themeColor="text1"/>
          <w:sz w:val="22"/>
          <w:szCs w:val="22"/>
        </w:rPr>
        <w:t xml:space="preserve"> (graf č. 53)</w:t>
      </w:r>
      <w:r w:rsidRPr="2645E051">
        <w:rPr>
          <w:rFonts w:ascii="Arial Narrow" w:hAnsi="Arial Narrow"/>
          <w:color w:val="000000" w:themeColor="text1"/>
          <w:sz w:val="22"/>
          <w:szCs w:val="22"/>
        </w:rPr>
        <w:t>, podíly v jednotlivých stupních vzdělání zůstávají meziročně poměrně stabilní. Zatímco v případě uchazečů z České republiky dlouhodobě dominují uchazeči s nižším středním vzděláním, v případě uchazečů ze zemí EU/EHP jsou to uchazeči se základním vzděláním (včetně neukončeného).</w:t>
      </w:r>
      <w:r w:rsidR="004E64FA">
        <w:rPr>
          <w:rStyle w:val="Znakapoznpodarou"/>
          <w:rFonts w:ascii="Arial Narrow" w:hAnsi="Arial Narrow"/>
          <w:color w:val="000000" w:themeColor="text1"/>
          <w:sz w:val="22"/>
          <w:szCs w:val="22"/>
        </w:rPr>
        <w:footnoteReference w:id="29"/>
      </w:r>
      <w:r w:rsidRPr="2645E051">
        <w:rPr>
          <w:rFonts w:ascii="Arial Narrow" w:hAnsi="Arial Narrow"/>
          <w:color w:val="000000" w:themeColor="text1"/>
          <w:sz w:val="22"/>
          <w:szCs w:val="22"/>
        </w:rPr>
        <w:t xml:space="preserve"> </w:t>
      </w:r>
      <w:bookmarkStart w:id="343" w:name="_Toc94443757"/>
      <w:bookmarkStart w:id="344" w:name="_Toc136428897"/>
    </w:p>
    <w:p w14:paraId="25DFCEBE" w14:textId="75F0BBA3" w:rsidR="00F127A2" w:rsidRPr="00CE357F" w:rsidRDefault="00F127A2" w:rsidP="00F127A2">
      <w:pPr>
        <w:spacing w:line="276" w:lineRule="auto"/>
        <w:jc w:val="both"/>
        <w:rPr>
          <w:rFonts w:ascii="Arial Narrow" w:hAnsi="Arial Narrow"/>
          <w:b/>
          <w:bCs/>
          <w:sz w:val="20"/>
          <w:szCs w:val="20"/>
        </w:rPr>
      </w:pPr>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53</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Struktura uchazečů o zaměstnání ze zemí EU/EHP v Jihomoravském kraji v lete</w:t>
      </w:r>
      <w:r>
        <w:rPr>
          <w:rFonts w:ascii="Arial Narrow" w:hAnsi="Arial Narrow"/>
          <w:b/>
          <w:bCs/>
          <w:sz w:val="20"/>
          <w:szCs w:val="20"/>
        </w:rPr>
        <w:t>ch 2015-2022</w:t>
      </w:r>
      <w:r w:rsidRPr="00CE357F">
        <w:rPr>
          <w:rFonts w:ascii="Arial Narrow" w:hAnsi="Arial Narrow"/>
          <w:b/>
          <w:bCs/>
          <w:sz w:val="20"/>
          <w:szCs w:val="20"/>
        </w:rPr>
        <w:t xml:space="preserve"> podle dosaženého vzdělání</w:t>
      </w:r>
      <w:bookmarkEnd w:id="343"/>
      <w:bookmarkEnd w:id="344"/>
    </w:p>
    <w:p w14:paraId="160B1708"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sz w:val="22"/>
          <w:szCs w:val="22"/>
          <w:highlight w:val="yellow"/>
        </w:rPr>
      </w:pPr>
      <w:r w:rsidRPr="00CE357F">
        <w:rPr>
          <w:rFonts w:ascii="Arial Narrow" w:hAnsi="Arial Narrow" w:cstheme="minorHAnsi"/>
          <w:b/>
          <w:bCs/>
          <w:noProof/>
          <w:sz w:val="28"/>
          <w:szCs w:val="28"/>
        </w:rPr>
        <w:drawing>
          <wp:inline distT="0" distB="0" distL="0" distR="0" wp14:anchorId="4981E0DC" wp14:editId="18B7517F">
            <wp:extent cx="5762625" cy="5133975"/>
            <wp:effectExtent l="0" t="0" r="9525" b="9525"/>
            <wp:docPr id="2137" name="Graf 2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27F56BD" w14:textId="77777777" w:rsidR="00F127A2" w:rsidRPr="00CE357F" w:rsidRDefault="00F127A2" w:rsidP="00F127A2">
      <w:pPr>
        <w:pStyle w:val="Normlnweb"/>
        <w:spacing w:before="0" w:beforeAutospacing="0" w:after="0" w:afterAutospacing="0" w:line="276" w:lineRule="auto"/>
        <w:jc w:val="both"/>
        <w:rPr>
          <w:rFonts w:ascii="Arial Narrow" w:hAnsi="Arial Narrow" w:cstheme="minorHAnsi"/>
          <w:b/>
          <w:bCs/>
          <w:sz w:val="22"/>
          <w:szCs w:val="28"/>
        </w:rPr>
      </w:pPr>
      <w:r w:rsidRPr="00CE357F">
        <w:rPr>
          <w:rFonts w:ascii="Arial Narrow" w:hAnsi="Arial Narrow"/>
          <w:sz w:val="20"/>
        </w:rPr>
        <w:t>Zdroj: Ministerstvo práce a sociálních věcí, data za měsíc prosinec daného roku</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727D45D2" w14:textId="77777777" w:rsidR="00D6793F" w:rsidRPr="00CE357F" w:rsidRDefault="00D6793F" w:rsidP="00D6793F">
      <w:pPr>
        <w:pStyle w:val="Normlnweb"/>
        <w:spacing w:before="0" w:beforeAutospacing="0" w:after="0" w:afterAutospacing="0" w:line="276" w:lineRule="auto"/>
        <w:jc w:val="both"/>
        <w:rPr>
          <w:rFonts w:ascii="Arial Narrow" w:hAnsi="Arial Narrow" w:cstheme="minorHAnsi"/>
          <w:sz w:val="22"/>
          <w:szCs w:val="22"/>
          <w:highlight w:val="yellow"/>
        </w:rPr>
      </w:pPr>
    </w:p>
    <w:p w14:paraId="4AEC7CAE" w14:textId="68FD23E4" w:rsidR="00D6793F" w:rsidRPr="00CE357F" w:rsidRDefault="00D6793F" w:rsidP="008213D6">
      <w:pPr>
        <w:pStyle w:val="Nadpis3"/>
        <w:ind w:left="709"/>
      </w:pPr>
      <w:bookmarkStart w:id="345" w:name="_Toc94178155"/>
      <w:bookmarkStart w:id="346" w:name="_Toc136876090"/>
      <w:r w:rsidRPr="00CE357F">
        <w:lastRenderedPageBreak/>
        <w:t>Specifi</w:t>
      </w:r>
      <w:r w:rsidR="00FC4A91" w:rsidRPr="00CE357F">
        <w:t xml:space="preserve">kace oborů v rámci Jihomoravského kraje </w:t>
      </w:r>
      <w:r w:rsidRPr="00CE357F">
        <w:t>s deficitem zaměstnanců</w:t>
      </w:r>
      <w:bookmarkEnd w:id="345"/>
      <w:bookmarkEnd w:id="346"/>
      <w:r w:rsidRPr="00CE357F">
        <w:t xml:space="preserve"> </w:t>
      </w:r>
    </w:p>
    <w:p w14:paraId="6D77EE8F" w14:textId="77777777" w:rsidR="00D6793F" w:rsidRPr="00CE357F" w:rsidRDefault="00D6793F" w:rsidP="00D6793F">
      <w:pPr>
        <w:pStyle w:val="Normlnweb"/>
        <w:spacing w:before="0" w:beforeAutospacing="0" w:after="0" w:afterAutospacing="0" w:line="276" w:lineRule="auto"/>
        <w:jc w:val="both"/>
        <w:rPr>
          <w:rFonts w:ascii="Arial Narrow" w:hAnsi="Arial Narrow" w:cstheme="minorHAnsi"/>
          <w:b/>
          <w:bCs/>
          <w:color w:val="C00000"/>
          <w:sz w:val="28"/>
          <w:szCs w:val="28"/>
          <w:highlight w:val="yellow"/>
        </w:rPr>
      </w:pPr>
    </w:p>
    <w:p w14:paraId="55B512F5" w14:textId="26934BA4" w:rsidR="00A17AFA" w:rsidRPr="008A7CE0" w:rsidRDefault="00A17AFA" w:rsidP="00A17AFA">
      <w:pPr>
        <w:pStyle w:val="Normlnweb"/>
        <w:spacing w:before="0" w:beforeAutospacing="0" w:after="0" w:afterAutospacing="0" w:line="276" w:lineRule="auto"/>
        <w:jc w:val="both"/>
        <w:rPr>
          <w:rFonts w:ascii="Arial Narrow" w:hAnsi="Arial Narrow" w:cs="Arial"/>
          <w:sz w:val="22"/>
          <w:szCs w:val="22"/>
        </w:rPr>
      </w:pPr>
      <w:r w:rsidRPr="008A7CE0">
        <w:rPr>
          <w:rFonts w:ascii="Arial Narrow" w:hAnsi="Arial Narrow"/>
          <w:sz w:val="22"/>
          <w:szCs w:val="22"/>
        </w:rPr>
        <w:t>Za měsíc prosinec 202</w:t>
      </w:r>
      <w:r>
        <w:rPr>
          <w:rFonts w:ascii="Arial Narrow" w:hAnsi="Arial Narrow"/>
          <w:sz w:val="22"/>
          <w:szCs w:val="22"/>
        </w:rPr>
        <w:t>2</w:t>
      </w:r>
      <w:r w:rsidRPr="008A7CE0">
        <w:rPr>
          <w:rFonts w:ascii="Arial Narrow" w:hAnsi="Arial Narrow"/>
          <w:sz w:val="22"/>
          <w:szCs w:val="22"/>
        </w:rPr>
        <w:t xml:space="preserve"> byla v Jihomoravském kraji z hlediska klasifikace zaměstnání CZ-ISCO</w:t>
      </w:r>
      <w:r w:rsidRPr="008A7CE0">
        <w:rPr>
          <w:rStyle w:val="Znakapoznpodarou"/>
          <w:rFonts w:ascii="Arial Narrow" w:hAnsi="Arial Narrow"/>
          <w:sz w:val="22"/>
          <w:szCs w:val="22"/>
        </w:rPr>
        <w:footnoteReference w:id="30"/>
      </w:r>
      <w:r w:rsidRPr="008A7CE0">
        <w:rPr>
          <w:rFonts w:ascii="Arial Narrow" w:hAnsi="Arial Narrow"/>
          <w:sz w:val="22"/>
          <w:szCs w:val="22"/>
        </w:rPr>
        <w:t xml:space="preserve"> evidována největší poptávka po pracovní síle v oblasti obsluhy strojů a zařízení a montérů. V této oblasti bylo evidováno </w:t>
      </w:r>
      <w:r>
        <w:rPr>
          <w:rFonts w:ascii="Arial Narrow" w:hAnsi="Arial Narrow"/>
          <w:sz w:val="22"/>
          <w:szCs w:val="22"/>
        </w:rPr>
        <w:t>3</w:t>
      </w:r>
      <w:r w:rsidRPr="008A7CE0">
        <w:rPr>
          <w:rFonts w:ascii="Arial Narrow" w:hAnsi="Arial Narrow"/>
          <w:sz w:val="22"/>
          <w:szCs w:val="22"/>
        </w:rPr>
        <w:t>4</w:t>
      </w:r>
      <w:r>
        <w:rPr>
          <w:rFonts w:ascii="Arial Narrow" w:hAnsi="Arial Narrow"/>
          <w:sz w:val="22"/>
          <w:szCs w:val="22"/>
        </w:rPr>
        <w:t>,3</w:t>
      </w:r>
      <w:r w:rsidRPr="008A7CE0">
        <w:rPr>
          <w:rFonts w:ascii="Arial Narrow" w:hAnsi="Arial Narrow"/>
          <w:sz w:val="22"/>
          <w:szCs w:val="22"/>
        </w:rPr>
        <w:t xml:space="preserve"> % všech poptávaných volných pracovních míst. Podíváme-li se na oblasti největší poptávky po pracovní síle z hlediska celé České republiky, také v tomto ohledu byla evidována největší poptávka po pracovní síle v oblasti obsluhy strojů a zařízení a montérů, a to </w:t>
      </w:r>
      <w:r>
        <w:rPr>
          <w:rFonts w:ascii="Arial Narrow" w:hAnsi="Arial Narrow"/>
          <w:sz w:val="22"/>
          <w:szCs w:val="22"/>
        </w:rPr>
        <w:t>31,1</w:t>
      </w:r>
      <w:r w:rsidRPr="008A7CE0">
        <w:rPr>
          <w:rFonts w:ascii="Arial Narrow" w:hAnsi="Arial Narrow"/>
          <w:sz w:val="22"/>
          <w:szCs w:val="22"/>
        </w:rPr>
        <w:t xml:space="preserve"> % všech poptávaných volných pracovních míst. Obsluha strojů a zařízení a montérů představuje oblast, v rámci které je dlouhodobě evidována jedna z nejvyšších poptávek po pracovní síle, a to jak na úrovni Jihomoravského kraje, tak celé České republiky. Poptávka po této pracovní síle v Jihomoravském kraji i celé České republice dlouhodobě narůstá. Zatímco v prosinci roku 2014 tvořila oblast obsluhy strojů a zařízení a montérů 17,9 % všech poptávaných volných míst v Jihomorav</w:t>
      </w:r>
      <w:r>
        <w:rPr>
          <w:rFonts w:ascii="Arial Narrow" w:hAnsi="Arial Narrow"/>
          <w:sz w:val="22"/>
          <w:szCs w:val="22"/>
        </w:rPr>
        <w:t>ském kraji, v prosinci roku 2022 to bylo 34</w:t>
      </w:r>
      <w:r w:rsidRPr="008A7CE0">
        <w:rPr>
          <w:rFonts w:ascii="Arial Narrow" w:hAnsi="Arial Narrow"/>
          <w:sz w:val="22"/>
          <w:szCs w:val="22"/>
        </w:rPr>
        <w:t xml:space="preserve">,3 % všech poptávaných volných pracovních míst. Existuje proto předpoklad, že poptávka po těchto zaměstnancích bude v následujících letech nadále narůstat. </w:t>
      </w:r>
    </w:p>
    <w:p w14:paraId="1EA512AE" w14:textId="140901E8" w:rsidR="00A17AFA" w:rsidRPr="008A7CE0" w:rsidRDefault="00A17AFA" w:rsidP="00A17AFA">
      <w:pPr>
        <w:pStyle w:val="Normlnweb"/>
        <w:spacing w:before="240" w:beforeAutospacing="0" w:after="0" w:afterAutospacing="0" w:line="276" w:lineRule="auto"/>
        <w:jc w:val="both"/>
        <w:rPr>
          <w:rFonts w:ascii="Arial Narrow" w:hAnsi="Arial Narrow"/>
          <w:sz w:val="22"/>
          <w:szCs w:val="22"/>
        </w:rPr>
      </w:pPr>
      <w:r w:rsidRPr="008A7CE0">
        <w:rPr>
          <w:rFonts w:ascii="Arial Narrow" w:hAnsi="Arial Narrow" w:cs="Arial"/>
          <w:sz w:val="22"/>
          <w:szCs w:val="22"/>
        </w:rPr>
        <w:t xml:space="preserve">Druhou nejčastěji poptávanou skupinou pracovníků byli v </w:t>
      </w:r>
      <w:r w:rsidRPr="008A7CE0">
        <w:rPr>
          <w:rFonts w:ascii="Arial Narrow" w:hAnsi="Arial Narrow"/>
          <w:sz w:val="22"/>
          <w:szCs w:val="22"/>
        </w:rPr>
        <w:t xml:space="preserve">Jihomoravském kraji </w:t>
      </w:r>
      <w:r>
        <w:rPr>
          <w:rFonts w:ascii="Arial Narrow" w:hAnsi="Arial Narrow" w:cs="Arial"/>
          <w:sz w:val="22"/>
          <w:szCs w:val="22"/>
        </w:rPr>
        <w:t>v prosinci 2022</w:t>
      </w:r>
      <w:r w:rsidRPr="008A7CE0">
        <w:rPr>
          <w:rFonts w:ascii="Arial Narrow" w:hAnsi="Arial Narrow" w:cs="Arial"/>
          <w:sz w:val="22"/>
          <w:szCs w:val="22"/>
        </w:rPr>
        <w:t xml:space="preserve"> </w:t>
      </w:r>
      <w:r w:rsidRPr="008A7CE0">
        <w:rPr>
          <w:rFonts w:ascii="Arial Narrow" w:hAnsi="Arial Narrow"/>
          <w:sz w:val="22"/>
          <w:szCs w:val="22"/>
        </w:rPr>
        <w:t>řemeslníci a opraváři</w:t>
      </w:r>
      <w:r>
        <w:rPr>
          <w:rFonts w:ascii="Arial Narrow" w:hAnsi="Arial Narrow"/>
          <w:sz w:val="22"/>
          <w:szCs w:val="22"/>
        </w:rPr>
        <w:t>, kteří tvořili 24,9</w:t>
      </w:r>
      <w:r w:rsidRPr="008A7CE0">
        <w:rPr>
          <w:rFonts w:ascii="Arial Narrow" w:hAnsi="Arial Narrow"/>
          <w:sz w:val="22"/>
          <w:szCs w:val="22"/>
        </w:rPr>
        <w:t xml:space="preserve"> % všech poptá</w:t>
      </w:r>
      <w:r>
        <w:rPr>
          <w:rFonts w:ascii="Arial Narrow" w:hAnsi="Arial Narrow"/>
          <w:sz w:val="22"/>
          <w:szCs w:val="22"/>
        </w:rPr>
        <w:t xml:space="preserve">vaných volných pracovních míst a 22,2 % všech nabízených pozic v ČR. </w:t>
      </w:r>
      <w:r w:rsidRPr="008A7CE0">
        <w:rPr>
          <w:rFonts w:ascii="Arial Narrow" w:hAnsi="Arial Narrow"/>
          <w:sz w:val="22"/>
          <w:szCs w:val="22"/>
        </w:rPr>
        <w:t>Tito pracovníci dle klasifikace zaměstnání CZ-ISCO při své práci využívají řadu technických a praktických znalostí a dovedností a pro výkon tohoto povolání je nezbytné pochopit organizaci práce a porozumět používaným materiálům a nástrojům, jakož i charakteru a účelu konečných výrobků.</w:t>
      </w:r>
      <w:r w:rsidRPr="008A7CE0">
        <w:rPr>
          <w:rFonts w:ascii="Arial Narrow" w:hAnsi="Arial Narrow" w:cs="Arial"/>
          <w:sz w:val="22"/>
          <w:szCs w:val="22"/>
        </w:rPr>
        <w:t xml:space="preserve"> </w:t>
      </w:r>
    </w:p>
    <w:p w14:paraId="3DCA503D" w14:textId="389AD2BC" w:rsidR="00A17AFA" w:rsidRDefault="00A17AFA" w:rsidP="00A17AFA">
      <w:pPr>
        <w:pStyle w:val="Normlnweb"/>
        <w:spacing w:before="240" w:beforeAutospacing="0" w:after="0" w:afterAutospacing="0" w:line="276" w:lineRule="auto"/>
        <w:jc w:val="both"/>
        <w:rPr>
          <w:rFonts w:ascii="Arial Narrow" w:hAnsi="Arial Narrow" w:cs="Arial"/>
          <w:sz w:val="22"/>
          <w:szCs w:val="22"/>
        </w:rPr>
      </w:pPr>
      <w:r>
        <w:rPr>
          <w:rFonts w:ascii="Arial Narrow" w:hAnsi="Arial Narrow"/>
          <w:sz w:val="22"/>
          <w:szCs w:val="22"/>
        </w:rPr>
        <w:t>Třetí</w:t>
      </w:r>
      <w:r w:rsidRPr="008A7CE0">
        <w:rPr>
          <w:rFonts w:ascii="Arial Narrow" w:hAnsi="Arial Narrow"/>
          <w:sz w:val="22"/>
          <w:szCs w:val="22"/>
        </w:rPr>
        <w:t xml:space="preserve"> nejčastěji poptávanou skupinou z hlediska volných pracovních míst v rámci Jihomoravského kraje</w:t>
      </w:r>
      <w:r>
        <w:rPr>
          <w:rFonts w:ascii="Arial Narrow" w:hAnsi="Arial Narrow"/>
          <w:sz w:val="22"/>
          <w:szCs w:val="22"/>
        </w:rPr>
        <w:t xml:space="preserve"> byli v prosinci roku 2022 pomocní a nekvalifikovaní pracovníci, kteří tvořili 16,3 % všech poptávaných pracovních míst a 20,9</w:t>
      </w:r>
      <w:r w:rsidRPr="008A7CE0">
        <w:rPr>
          <w:rFonts w:ascii="Arial Narrow" w:hAnsi="Arial Narrow"/>
          <w:sz w:val="22"/>
          <w:szCs w:val="22"/>
        </w:rPr>
        <w:t xml:space="preserve"> % v České republice. Mezi lety 2016 a 2019 se v rámci Jihomoravského kraje dokonce jednalo o nejvíce poptávanou pracovní sílu</w:t>
      </w:r>
      <w:r>
        <w:rPr>
          <w:rFonts w:ascii="Arial Narrow" w:hAnsi="Arial Narrow"/>
          <w:sz w:val="22"/>
          <w:szCs w:val="22"/>
        </w:rPr>
        <w:t>.</w:t>
      </w:r>
      <w:r w:rsidRPr="008A7CE0">
        <w:rPr>
          <w:rFonts w:ascii="Arial Narrow" w:hAnsi="Arial Narrow" w:cs="Arial"/>
          <w:sz w:val="22"/>
          <w:szCs w:val="22"/>
        </w:rPr>
        <w:t xml:space="preserve"> </w:t>
      </w:r>
      <w:r w:rsidRPr="008A7CE0">
        <w:rPr>
          <w:rFonts w:ascii="Arial Narrow" w:hAnsi="Arial Narrow"/>
          <w:sz w:val="22"/>
          <w:szCs w:val="22"/>
        </w:rPr>
        <w:t xml:space="preserve">Tito pracovníci dle klasifikace zaměstnání CZ-ISCO vykonávají jednoduché a rutinní úkony, které vyžadují použití převážně ručních nástrojů a často i fyzické síly. </w:t>
      </w:r>
    </w:p>
    <w:p w14:paraId="04F6FF02" w14:textId="77777777" w:rsidR="008A7CE0" w:rsidRPr="008A7CE0" w:rsidRDefault="008A7CE0" w:rsidP="00D6793F">
      <w:pPr>
        <w:pStyle w:val="Normlnweb"/>
        <w:spacing w:before="0" w:beforeAutospacing="0" w:after="0" w:afterAutospacing="0" w:line="276" w:lineRule="auto"/>
        <w:jc w:val="both"/>
        <w:rPr>
          <w:rFonts w:ascii="Arial Narrow" w:hAnsi="Arial Narrow" w:cstheme="minorHAnsi"/>
          <w:b/>
          <w:bCs/>
          <w:color w:val="C00000"/>
          <w:sz w:val="18"/>
          <w:szCs w:val="18"/>
        </w:rPr>
      </w:pPr>
    </w:p>
    <w:p w14:paraId="6327424B" w14:textId="77777777" w:rsidR="00D6793F" w:rsidRPr="00CE357F" w:rsidRDefault="00D6793F" w:rsidP="00D6793F">
      <w:pPr>
        <w:pStyle w:val="Nadpis3"/>
        <w:ind w:left="709"/>
      </w:pPr>
      <w:bookmarkStart w:id="347" w:name="_Toc94178156"/>
      <w:bookmarkStart w:id="348" w:name="_Toc136876091"/>
      <w:bookmarkStart w:id="349" w:name="_Hlk95743917"/>
      <w:r w:rsidRPr="00CE357F">
        <w:t>Výdělečná činnost osob s jinou než českou státní příslušností žijících v České republice</w:t>
      </w:r>
      <w:bookmarkEnd w:id="347"/>
      <w:bookmarkEnd w:id="348"/>
    </w:p>
    <w:bookmarkEnd w:id="349"/>
    <w:p w14:paraId="74271B6C" w14:textId="77777777" w:rsidR="00D6793F" w:rsidRPr="00CE357F" w:rsidRDefault="00D6793F" w:rsidP="00D6793F">
      <w:pPr>
        <w:spacing w:line="276" w:lineRule="auto"/>
        <w:jc w:val="both"/>
        <w:rPr>
          <w:rFonts w:ascii="Arial Narrow" w:hAnsi="Arial Narrow"/>
        </w:rPr>
      </w:pPr>
    </w:p>
    <w:p w14:paraId="73D31C73" w14:textId="4B3E4A04" w:rsidR="00DC2316" w:rsidRPr="00487E4A" w:rsidRDefault="00DC2316" w:rsidP="00D6793F">
      <w:pPr>
        <w:spacing w:after="240" w:line="276" w:lineRule="auto"/>
        <w:jc w:val="both"/>
        <w:rPr>
          <w:rFonts w:ascii="Arial Narrow" w:hAnsi="Arial Narrow"/>
          <w:b/>
          <w:bCs/>
          <w:color w:val="C00000"/>
        </w:rPr>
      </w:pPr>
      <w:bookmarkStart w:id="350" w:name="_Hlk95212952"/>
      <w:r w:rsidRPr="00487E4A">
        <w:rPr>
          <w:rFonts w:ascii="Arial Narrow" w:hAnsi="Arial Narrow"/>
          <w:b/>
          <w:bCs/>
          <w:color w:val="C00000"/>
        </w:rPr>
        <w:t>Vstup osob s jinou než českou státní příslušností na trh práce v České republice</w:t>
      </w:r>
    </w:p>
    <w:p w14:paraId="137A00C4" w14:textId="06F6BD99" w:rsidR="00044DBA" w:rsidRPr="00487E4A" w:rsidRDefault="4D1B0A9D" w:rsidP="0091654E">
      <w:pPr>
        <w:spacing w:after="240" w:line="276" w:lineRule="auto"/>
        <w:jc w:val="both"/>
        <w:rPr>
          <w:rFonts w:ascii="Arial Narrow" w:hAnsi="Arial Narrow"/>
        </w:rPr>
      </w:pPr>
      <w:r w:rsidRPr="2460258F">
        <w:rPr>
          <w:rFonts w:ascii="Arial Narrow" w:hAnsi="Arial Narrow"/>
        </w:rPr>
        <w:t xml:space="preserve">Oblast zaměstnávání </w:t>
      </w:r>
      <w:r w:rsidR="4CA690C9" w:rsidRPr="2460258F">
        <w:rPr>
          <w:rFonts w:ascii="Arial Narrow" w:hAnsi="Arial Narrow"/>
        </w:rPr>
        <w:t xml:space="preserve">osob s jinou než českou státní příslušností je řešena jak vnitrostátními právními předpisy, tak i mezinárodními právními předpisy a právem Evropské Unie. </w:t>
      </w:r>
    </w:p>
    <w:p w14:paraId="77F2B296" w14:textId="08E3185A" w:rsidR="002E468D" w:rsidRPr="00487E4A" w:rsidRDefault="002E468D" w:rsidP="0091654E">
      <w:pPr>
        <w:spacing w:after="240" w:line="276" w:lineRule="auto"/>
        <w:jc w:val="both"/>
        <w:rPr>
          <w:rFonts w:ascii="Arial Narrow" w:hAnsi="Arial Narrow"/>
        </w:rPr>
      </w:pPr>
      <w:r w:rsidRPr="00487E4A">
        <w:rPr>
          <w:rFonts w:ascii="Arial Narrow" w:hAnsi="Arial Narrow"/>
        </w:rPr>
        <w:t xml:space="preserve">Srovnáme-li možnosti vstupu osob s jinou než českou státní příslušností na trh práce v České republice, občané EU a jejich rodinní příslušníci a rodinní příslušníci občana ČR mají </w:t>
      </w:r>
      <w:r w:rsidR="009D2EF2" w:rsidRPr="00487E4A">
        <w:rPr>
          <w:rFonts w:ascii="Arial Narrow" w:hAnsi="Arial Narrow"/>
        </w:rPr>
        <w:t xml:space="preserve">v tomto ohledu lepší výchozí pozici pro vstup na trh práce v České republice, protože </w:t>
      </w:r>
      <w:r w:rsidRPr="00487E4A">
        <w:rPr>
          <w:rFonts w:ascii="Arial Narrow" w:hAnsi="Arial Narrow"/>
          <w:b/>
          <w:bCs/>
        </w:rPr>
        <w:t>nepotřebují k výkonu zaměstnání žádné povolení.</w:t>
      </w:r>
      <w:r w:rsidR="009D2EF2" w:rsidRPr="00487E4A">
        <w:rPr>
          <w:rFonts w:ascii="Arial Narrow" w:hAnsi="Arial Narrow"/>
          <w:b/>
          <w:bCs/>
        </w:rPr>
        <w:t xml:space="preserve"> </w:t>
      </w:r>
      <w:r w:rsidR="009D2EF2" w:rsidRPr="00487E4A">
        <w:rPr>
          <w:rFonts w:ascii="Arial Narrow" w:hAnsi="Arial Narrow"/>
        </w:rPr>
        <w:t>Také v případě, že občan EU, jeho rodinný příslušník, nebo rodinný příslušník občana ČR ztratí v České republice zaměstnání, může se přihlásit na krajské pobočce Úřadu práce a má nárok na podporu v nezaměstnanosti za stejných podmínek jako občan České republiky.</w:t>
      </w:r>
    </w:p>
    <w:p w14:paraId="3F60E76C" w14:textId="613C18E5" w:rsidR="00DC2316" w:rsidRPr="004576E2" w:rsidRDefault="00201E38" w:rsidP="0091654E">
      <w:pPr>
        <w:spacing w:after="240" w:line="276" w:lineRule="auto"/>
        <w:jc w:val="both"/>
        <w:rPr>
          <w:rFonts w:ascii="Arial Narrow" w:hAnsi="Arial Narrow"/>
        </w:rPr>
      </w:pPr>
      <w:r w:rsidRPr="7CC7BF57">
        <w:rPr>
          <w:rFonts w:ascii="Arial Narrow" w:hAnsi="Arial Narrow"/>
        </w:rPr>
        <w:lastRenderedPageBreak/>
        <w:t>Občané třetích zemí</w:t>
      </w:r>
      <w:r w:rsidR="00416739" w:rsidRPr="7CC7BF57">
        <w:rPr>
          <w:rFonts w:ascii="Arial Narrow" w:hAnsi="Arial Narrow"/>
        </w:rPr>
        <w:t xml:space="preserve"> potřebují pro vstup na trh práce v České republice splnit více podmínek. Jedná se například o povolení k pobytu, či platné povolen</w:t>
      </w:r>
      <w:r w:rsidR="2D30089B" w:rsidRPr="7CC7BF57">
        <w:rPr>
          <w:rFonts w:ascii="Arial Narrow" w:hAnsi="Arial Narrow"/>
        </w:rPr>
        <w:t>í</w:t>
      </w:r>
      <w:r w:rsidR="00416739" w:rsidRPr="7CC7BF57">
        <w:rPr>
          <w:rFonts w:ascii="Arial Narrow" w:hAnsi="Arial Narrow"/>
        </w:rPr>
        <w:t xml:space="preserve"> k zaměstnání, případně zelená nebo modrá karta.</w:t>
      </w:r>
    </w:p>
    <w:p w14:paraId="1B53F8D2" w14:textId="2DE182BA" w:rsidR="00D6793F" w:rsidRPr="00CE357F" w:rsidRDefault="00D6793F" w:rsidP="00D6793F">
      <w:pPr>
        <w:spacing w:after="240" w:line="276" w:lineRule="auto"/>
        <w:jc w:val="both"/>
        <w:rPr>
          <w:rFonts w:ascii="Arial Narrow" w:hAnsi="Arial Narrow"/>
          <w:b/>
          <w:bCs/>
          <w:color w:val="C00000"/>
        </w:rPr>
      </w:pPr>
      <w:r w:rsidRPr="00F24C57">
        <w:rPr>
          <w:rFonts w:ascii="Arial Narrow" w:hAnsi="Arial Narrow"/>
          <w:b/>
          <w:bCs/>
          <w:color w:val="C00000"/>
        </w:rPr>
        <w:t xml:space="preserve">Míra zaměstnanosti </w:t>
      </w:r>
      <w:r w:rsidR="00797C63" w:rsidRPr="00F24C57">
        <w:rPr>
          <w:rFonts w:ascii="Arial Narrow" w:hAnsi="Arial Narrow"/>
          <w:b/>
          <w:bCs/>
          <w:color w:val="C00000"/>
        </w:rPr>
        <w:t xml:space="preserve">osob </w:t>
      </w:r>
      <w:r w:rsidRPr="00F24C57">
        <w:rPr>
          <w:rFonts w:ascii="Arial Narrow" w:hAnsi="Arial Narrow"/>
          <w:b/>
          <w:bCs/>
          <w:color w:val="C00000"/>
        </w:rPr>
        <w:t>v České republice ve srovnání s jinými evropskými státy</w:t>
      </w:r>
      <w:r w:rsidRPr="00CE357F">
        <w:rPr>
          <w:rFonts w:ascii="Arial Narrow" w:hAnsi="Arial Narrow"/>
          <w:b/>
          <w:bCs/>
          <w:color w:val="C00000"/>
        </w:rPr>
        <w:t xml:space="preserve"> </w:t>
      </w:r>
    </w:p>
    <w:p w14:paraId="737AE7BE" w14:textId="77777777" w:rsidR="003C6A8C" w:rsidRPr="003C6A8C" w:rsidRDefault="003C6A8C" w:rsidP="003C6A8C">
      <w:pPr>
        <w:spacing w:after="120" w:line="276" w:lineRule="auto"/>
        <w:jc w:val="both"/>
        <w:rPr>
          <w:rFonts w:ascii="Arial Narrow" w:hAnsi="Arial Narrow"/>
        </w:rPr>
      </w:pPr>
      <w:bookmarkStart w:id="351" w:name="_Toc94443758"/>
      <w:bookmarkEnd w:id="298"/>
      <w:r w:rsidRPr="003C6A8C">
        <w:rPr>
          <w:rFonts w:ascii="Arial Narrow" w:hAnsi="Arial Narrow"/>
        </w:rPr>
        <w:t xml:space="preserve">V míře zaměstnanosti občanů v produktivním věku se Česká republika ve srovnání s jinými evropskými státy umístila na devátém místě se 74,2 % zaměstnaných občanů v produktivním věku (15–64 let). Na prvním místě bylo Nizozemí s 81,1 % zaměstnaných občanů v produktivním věku, na druhém místě pak Švýcarsko s 81,1 % a na třetím místě Island s 80,2 % zaměstnaných občanů v produktivním věku. </w:t>
      </w:r>
    </w:p>
    <w:p w14:paraId="4D194667" w14:textId="77777777" w:rsidR="003C6A8C" w:rsidRPr="003C6A8C" w:rsidRDefault="003C6A8C" w:rsidP="003C6A8C">
      <w:pPr>
        <w:spacing w:after="120" w:line="276" w:lineRule="auto"/>
        <w:jc w:val="both"/>
        <w:rPr>
          <w:rFonts w:ascii="Arial Narrow" w:hAnsi="Arial Narrow"/>
        </w:rPr>
      </w:pPr>
      <w:r w:rsidRPr="003C6A8C">
        <w:rPr>
          <w:rFonts w:ascii="Arial Narrow" w:hAnsi="Arial Narrow"/>
        </w:rPr>
        <w:t xml:space="preserve">Ze států střední Evropy se nejvýše umístilo Německo, které ve srovnání s jinými evropskými státy skončilo na </w:t>
      </w:r>
      <w:r w:rsidRPr="003C6A8C">
        <w:rPr>
          <w:rFonts w:ascii="Arial Narrow" w:hAnsi="Arial Narrow"/>
        </w:rPr>
        <w:br/>
        <w:t xml:space="preserve">čtvrtém místě se 77,9 % zaměstnaných občanů v produktivním věku. Ze států střední Evropy nejhůře dopadlo Slovensko, které má 69,4 % zaměstnaných občanů v produktivním věku. Ze všech analyzovaných států Evropy byl nejnižší podíl zaměstnaných občanů v produktivním věku evidován v Řecku, které v době průzkumu mělo 57,5 % zaměstnaných občanů v produktivním věku. Nutno podotknout, že Černá Hora s tradičně vysokou nezaměstnaností, neposkytla </w:t>
      </w:r>
      <w:proofErr w:type="spellStart"/>
      <w:r w:rsidRPr="003C6A8C">
        <w:rPr>
          <w:rFonts w:ascii="Arial Narrow" w:hAnsi="Arial Narrow"/>
        </w:rPr>
        <w:t>EUROSTATu</w:t>
      </w:r>
      <w:proofErr w:type="spellEnd"/>
      <w:r w:rsidRPr="003C6A8C">
        <w:rPr>
          <w:rFonts w:ascii="Arial Narrow" w:hAnsi="Arial Narrow"/>
        </w:rPr>
        <w:t xml:space="preserve"> data.</w:t>
      </w:r>
    </w:p>
    <w:p w14:paraId="5DAECA4A" w14:textId="42D44842" w:rsidR="003C6A8C" w:rsidRPr="003C6A8C" w:rsidRDefault="6306EC1E" w:rsidP="003C6A8C">
      <w:pPr>
        <w:spacing w:after="120" w:line="276" w:lineRule="auto"/>
        <w:jc w:val="both"/>
        <w:rPr>
          <w:rFonts w:ascii="Arial Narrow" w:hAnsi="Arial Narrow"/>
        </w:rPr>
      </w:pPr>
      <w:bookmarkStart w:id="352" w:name="_Hlk95743998"/>
      <w:r w:rsidRPr="2460258F">
        <w:rPr>
          <w:rFonts w:ascii="Arial Narrow" w:hAnsi="Arial Narrow"/>
        </w:rPr>
        <w:t xml:space="preserve">V úrovni zaměstnanosti osob s jinou státní příslušností pocházejících ze států Evropské unie se na prvním místě umístila Litva (92,3 %). </w:t>
      </w:r>
      <w:bookmarkEnd w:id="352"/>
      <w:r w:rsidRPr="2460258F">
        <w:rPr>
          <w:rFonts w:ascii="Arial Narrow" w:hAnsi="Arial Narrow"/>
        </w:rPr>
        <w:t>Na druhém místě se umístila Malta s 90,0 % a na třetím místě se umístilo Česká republika s 83,9 % zaměstnaných osob s jinou státní příslušností-občanů z EU. Ze států střední Evropy na tom byla ČR nejlépe – zaměstnanost osob s jinou státní příslušností</w:t>
      </w:r>
      <w:r w:rsidRPr="2460258F">
        <w:rPr>
          <w:rFonts w:ascii="Arial Narrow" w:eastAsia="Calibri" w:hAnsi="Arial Narrow"/>
        </w:rPr>
        <w:t>-</w:t>
      </w:r>
      <w:r w:rsidRPr="2460258F">
        <w:rPr>
          <w:rFonts w:ascii="Arial Narrow" w:hAnsi="Arial Narrow"/>
        </w:rPr>
        <w:t>občanů z EU byla nicméně srovnatelná s Polskem (83,9 %). Nejhůře na tom ze států střední Evropy bylo Rakousko, kde úroveň zaměstnanosti osob s jinou státní příslušností pocházejících ze států Evropské unie dosahovala 73,1 %. Slovensko svá data o zaměstnanosti neposkytlo. Ze všech analyzovaných států Evropy dopadlo nejhůře Srbsko 44,4 % zaměstnaných osob s jinou státní příslušností ze států EU.</w:t>
      </w:r>
    </w:p>
    <w:p w14:paraId="15934FCD" w14:textId="1E460653" w:rsidR="003C6A8C" w:rsidRDefault="003C6A8C" w:rsidP="003C6A8C">
      <w:pPr>
        <w:spacing w:after="120" w:line="276" w:lineRule="auto"/>
        <w:jc w:val="both"/>
        <w:rPr>
          <w:rFonts w:ascii="Arial Narrow" w:hAnsi="Arial Narrow"/>
        </w:rPr>
      </w:pPr>
      <w:bookmarkStart w:id="353" w:name="_Hlk95744059"/>
      <w:r w:rsidRPr="7CC7BF57">
        <w:rPr>
          <w:rFonts w:ascii="Arial Narrow" w:hAnsi="Arial Narrow"/>
        </w:rPr>
        <w:t>Úroveň zaměstnanosti osob s jinou státní příslušností pocházejících ze třetích zemí má ve srovnání s jinými evropskými státy nejvyšš</w:t>
      </w:r>
      <w:bookmarkEnd w:id="353"/>
      <w:r w:rsidR="00CB3ADE">
        <w:rPr>
          <w:rFonts w:ascii="Arial Narrow" w:hAnsi="Arial Narrow"/>
        </w:rPr>
        <w:t>í Ma</w:t>
      </w:r>
      <w:r w:rsidRPr="7CC7BF57">
        <w:rPr>
          <w:rFonts w:ascii="Arial Narrow" w:hAnsi="Arial Narrow"/>
        </w:rPr>
        <w:t>l</w:t>
      </w:r>
      <w:r w:rsidR="00CB3ADE">
        <w:rPr>
          <w:rFonts w:ascii="Arial Narrow" w:hAnsi="Arial Narrow"/>
        </w:rPr>
        <w:t>t</w:t>
      </w:r>
      <w:r w:rsidRPr="7CC7BF57">
        <w:rPr>
          <w:rFonts w:ascii="Arial Narrow" w:hAnsi="Arial Narrow"/>
        </w:rPr>
        <w:t>a. Úroveň zaměstnanosti osob s jinou státní příslušností</w:t>
      </w:r>
      <w:r w:rsidRPr="7CC7BF57">
        <w:rPr>
          <w:rFonts w:ascii="Arial Narrow" w:eastAsia="Calibri" w:hAnsi="Arial Narrow"/>
        </w:rPr>
        <w:t xml:space="preserve"> </w:t>
      </w:r>
      <w:r w:rsidRPr="7CC7BF57">
        <w:rPr>
          <w:rFonts w:ascii="Arial Narrow" w:hAnsi="Arial Narrow"/>
        </w:rPr>
        <w:t xml:space="preserve">v produktivním věku pocházejících se třetích zemí zde dosahuje </w:t>
      </w:r>
      <w:bookmarkStart w:id="354" w:name="_Hlk95744124"/>
      <w:r w:rsidRPr="7CC7BF57">
        <w:rPr>
          <w:rFonts w:ascii="Arial Narrow" w:hAnsi="Arial Narrow"/>
        </w:rPr>
        <w:t>82,7 %</w:t>
      </w:r>
      <w:r w:rsidR="00F63D71">
        <w:rPr>
          <w:rFonts w:ascii="Arial Narrow" w:hAnsi="Arial Narrow"/>
        </w:rPr>
        <w:t>.</w:t>
      </w:r>
      <w:r w:rsidRPr="7CC7BF57">
        <w:rPr>
          <w:rFonts w:ascii="Arial Narrow" w:hAnsi="Arial Narrow"/>
        </w:rPr>
        <w:t xml:space="preserve"> </w:t>
      </w:r>
      <w:bookmarkEnd w:id="354"/>
      <w:r w:rsidRPr="7CC7BF57">
        <w:rPr>
          <w:rFonts w:ascii="Arial Narrow" w:hAnsi="Arial Narrow"/>
        </w:rPr>
        <w:t>Na druhém místě se umístilo Slovensko s 81,8 %, na třetím pak Polsko s 81,5 % zaměstnaných osob s jinou státní příslušností v produktivním věku pocházejících ze třetích zemí. Ve střední Evropě se za Polskem umístila ČR následovaná Rakouskem. Nejhůře dopadlo Německo s 64,5% zaměstnaných osob s jinou státní příslušností v produktivním věku pocházejících se třetích zemí.</w:t>
      </w:r>
      <w:r w:rsidR="00CB3ADE">
        <w:rPr>
          <w:rStyle w:val="Znakapoznpodarou"/>
          <w:rFonts w:ascii="Arial Narrow" w:hAnsi="Arial Narrow"/>
        </w:rPr>
        <w:footnoteReference w:id="31"/>
      </w:r>
      <w:r w:rsidRPr="7CC7BF57">
        <w:rPr>
          <w:rFonts w:ascii="Arial Narrow" w:hAnsi="Arial Narrow"/>
        </w:rPr>
        <w:t xml:space="preserve"> Ze všech analyzovaných států Evropy se na nejnižší příčce umístilo Srbsko s 38,5 % zaměstnaných osob s jinou státní příslušností v produktivním věku pocházejících se třetích zemí.</w:t>
      </w:r>
    </w:p>
    <w:p w14:paraId="089D8B3A" w14:textId="77777777" w:rsidR="00BA2A84" w:rsidRDefault="00BA2A84" w:rsidP="003C6A8C">
      <w:pPr>
        <w:spacing w:after="120" w:line="276" w:lineRule="auto"/>
        <w:jc w:val="both"/>
        <w:rPr>
          <w:rFonts w:ascii="Arial Narrow" w:hAnsi="Arial Narrow"/>
        </w:rPr>
      </w:pPr>
    </w:p>
    <w:p w14:paraId="7099B2D5" w14:textId="77777777" w:rsidR="00BA2A84" w:rsidRDefault="00BA2A84" w:rsidP="003C6A8C">
      <w:pPr>
        <w:spacing w:after="120" w:line="276" w:lineRule="auto"/>
        <w:jc w:val="both"/>
        <w:rPr>
          <w:rFonts w:ascii="Arial Narrow" w:hAnsi="Arial Narrow"/>
        </w:rPr>
      </w:pPr>
    </w:p>
    <w:p w14:paraId="099256B7" w14:textId="77777777" w:rsidR="00BA2A84" w:rsidRDefault="00BA2A84" w:rsidP="003C6A8C">
      <w:pPr>
        <w:spacing w:after="120" w:line="276" w:lineRule="auto"/>
        <w:jc w:val="both"/>
        <w:rPr>
          <w:rFonts w:ascii="Arial Narrow" w:hAnsi="Arial Narrow"/>
        </w:rPr>
      </w:pPr>
    </w:p>
    <w:p w14:paraId="3E7C93D2" w14:textId="77777777" w:rsidR="00BA2A84" w:rsidRDefault="00BA2A84" w:rsidP="003C6A8C">
      <w:pPr>
        <w:spacing w:after="120" w:line="276" w:lineRule="auto"/>
        <w:jc w:val="both"/>
        <w:rPr>
          <w:rFonts w:ascii="Arial Narrow" w:hAnsi="Arial Narrow"/>
        </w:rPr>
      </w:pPr>
    </w:p>
    <w:p w14:paraId="108304F8" w14:textId="77777777" w:rsidR="00BA2A84" w:rsidRDefault="00BA2A84" w:rsidP="003C6A8C">
      <w:pPr>
        <w:spacing w:after="120" w:line="276" w:lineRule="auto"/>
        <w:jc w:val="both"/>
        <w:rPr>
          <w:rFonts w:ascii="Arial Narrow" w:hAnsi="Arial Narrow"/>
        </w:rPr>
      </w:pPr>
    </w:p>
    <w:p w14:paraId="7E401DFB" w14:textId="77777777" w:rsidR="00BA2A84" w:rsidRDefault="00BA2A84" w:rsidP="003C6A8C">
      <w:pPr>
        <w:spacing w:after="120" w:line="276" w:lineRule="auto"/>
        <w:jc w:val="both"/>
        <w:rPr>
          <w:rFonts w:ascii="Arial Narrow" w:hAnsi="Arial Narrow"/>
        </w:rPr>
      </w:pPr>
    </w:p>
    <w:p w14:paraId="6EE6D6A2" w14:textId="77777777" w:rsidR="00BA2A84" w:rsidRDefault="00BA2A84" w:rsidP="003C6A8C">
      <w:pPr>
        <w:spacing w:after="120" w:line="276" w:lineRule="auto"/>
        <w:jc w:val="both"/>
        <w:rPr>
          <w:rFonts w:ascii="Arial Narrow" w:hAnsi="Arial Narrow"/>
        </w:rPr>
      </w:pPr>
    </w:p>
    <w:p w14:paraId="063EDF9D" w14:textId="335A939E" w:rsidR="00D6793F" w:rsidRPr="00CE357F" w:rsidRDefault="00D6793F" w:rsidP="003C5FC2">
      <w:pPr>
        <w:jc w:val="both"/>
        <w:rPr>
          <w:rFonts w:ascii="Arial Narrow" w:hAnsi="Arial Narrow"/>
        </w:rPr>
      </w:pPr>
      <w:bookmarkStart w:id="355" w:name="_Toc136428898"/>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54</w:t>
      </w:r>
      <w:r w:rsidR="00B63C25">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Míra zaměstnanosti ve státech střední Evropy k 31. 12. 202</w:t>
      </w:r>
      <w:bookmarkEnd w:id="351"/>
      <w:r w:rsidR="00F24C57">
        <w:rPr>
          <w:rFonts w:ascii="Arial Narrow" w:hAnsi="Arial Narrow"/>
          <w:b/>
          <w:bCs/>
          <w:sz w:val="20"/>
          <w:szCs w:val="20"/>
        </w:rPr>
        <w:t>1</w:t>
      </w:r>
      <w:bookmarkEnd w:id="355"/>
    </w:p>
    <w:p w14:paraId="35154D9F" w14:textId="293751DE" w:rsidR="00D6793F" w:rsidRPr="00CE357F" w:rsidRDefault="003C6A8C" w:rsidP="00D6793F">
      <w:pPr>
        <w:rPr>
          <w:rFonts w:ascii="Arial Narrow" w:hAnsi="Arial Narrow"/>
        </w:rPr>
      </w:pPr>
      <w:r w:rsidRPr="00CE357F">
        <w:rPr>
          <w:rFonts w:ascii="Arial Narrow" w:hAnsi="Arial Narrow"/>
          <w:noProof/>
          <w:lang w:eastAsia="cs-CZ"/>
        </w:rPr>
        <w:drawing>
          <wp:inline distT="0" distB="0" distL="0" distR="0" wp14:anchorId="4A4C7575" wp14:editId="6E2882F9">
            <wp:extent cx="5730240" cy="3784600"/>
            <wp:effectExtent l="0" t="0" r="3810" b="63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D4FA076" w14:textId="46C167E6" w:rsidR="00D6793F" w:rsidRPr="00CE357F" w:rsidRDefault="00D6793F" w:rsidP="00D6793F">
      <w:pPr>
        <w:rPr>
          <w:rFonts w:ascii="Arial Narrow" w:hAnsi="Arial Narrow"/>
          <w:sz w:val="20"/>
          <w:szCs w:val="20"/>
        </w:rPr>
      </w:pPr>
      <w:bookmarkStart w:id="356" w:name="_Hlk90035515"/>
      <w:bookmarkEnd w:id="356"/>
      <w:r w:rsidRPr="00CE357F">
        <w:rPr>
          <w:rFonts w:ascii="Arial Narrow" w:hAnsi="Arial Narrow"/>
          <w:sz w:val="20"/>
          <w:szCs w:val="20"/>
        </w:rPr>
        <w:t>Zdroj: EUROSTAT</w:t>
      </w:r>
      <w:r w:rsidR="00F24C57">
        <w:rPr>
          <w:rStyle w:val="Znakapoznpodarou"/>
          <w:rFonts w:ascii="Arial Narrow" w:hAnsi="Arial Narrow"/>
          <w:sz w:val="20"/>
          <w:szCs w:val="20"/>
        </w:rPr>
        <w:footnoteReference w:id="32"/>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42CB7E39" w14:textId="77777777" w:rsidR="00D6793F" w:rsidRPr="00CE357F" w:rsidRDefault="00D6793F" w:rsidP="00D6793F">
      <w:pPr>
        <w:rPr>
          <w:rFonts w:ascii="Arial Narrow" w:hAnsi="Arial Narrow"/>
        </w:rPr>
      </w:pPr>
    </w:p>
    <w:p w14:paraId="0BE435AF" w14:textId="77777777" w:rsidR="00F24C57" w:rsidRPr="00F24C57" w:rsidRDefault="00F24C57" w:rsidP="00F24C57">
      <w:pPr>
        <w:spacing w:after="120" w:line="276" w:lineRule="auto"/>
        <w:jc w:val="both"/>
        <w:rPr>
          <w:rFonts w:ascii="Arial Narrow" w:hAnsi="Arial Narrow"/>
        </w:rPr>
      </w:pPr>
      <w:r w:rsidRPr="00F24C57">
        <w:rPr>
          <w:rFonts w:ascii="Arial Narrow" w:hAnsi="Arial Narrow"/>
        </w:rPr>
        <w:t xml:space="preserve">Z hlediska českých regionálních oblastí se z hlediska úrovně zaměstnanosti občanů dostala nejvýše Praha, která ve srovnání všech regionálních oblastí evropských států skončila na 46. místě se 77,6 % zaměstnanými občany v produktivním věku. Oblast </w:t>
      </w:r>
      <w:r w:rsidRPr="00F24C57">
        <w:rPr>
          <w:rFonts w:ascii="Arial Narrow" w:hAnsi="Arial Narrow"/>
          <w:b/>
          <w:bCs/>
        </w:rPr>
        <w:t>Jihovýchod</w:t>
      </w:r>
      <w:r w:rsidRPr="00F24C57">
        <w:rPr>
          <w:rFonts w:ascii="Arial Narrow" w:hAnsi="Arial Narrow"/>
        </w:rPr>
        <w:t xml:space="preserve"> (kam spadá i Brno a Jihomoravský kraj) zaznamenala 74,5 % zaměstnaných občanů v produktivním věku.</w:t>
      </w:r>
    </w:p>
    <w:p w14:paraId="4CEC44D4" w14:textId="77777777" w:rsidR="00F24C57" w:rsidRPr="00F24C57" w:rsidRDefault="00F24C57" w:rsidP="00F24C57">
      <w:pPr>
        <w:spacing w:after="120" w:line="276" w:lineRule="auto"/>
        <w:jc w:val="both"/>
        <w:rPr>
          <w:rFonts w:ascii="Arial Narrow" w:hAnsi="Arial Narrow"/>
        </w:rPr>
      </w:pPr>
      <w:r w:rsidRPr="00F24C57">
        <w:rPr>
          <w:rFonts w:ascii="Arial Narrow" w:hAnsi="Arial Narrow"/>
        </w:rPr>
        <w:t xml:space="preserve">V zaměstnávání osob s jinou než českou státní příslušností pocházejících ze zemí Evropské Unie se do první desítky ze všech analyzovaných regionálních oblastí Evropských států dostal region </w:t>
      </w:r>
      <w:r w:rsidRPr="00F24C57">
        <w:rPr>
          <w:rFonts w:ascii="Arial Narrow" w:hAnsi="Arial Narrow"/>
          <w:b/>
          <w:bCs/>
        </w:rPr>
        <w:t>Jihozápad</w:t>
      </w:r>
      <w:r w:rsidRPr="00F24C57">
        <w:rPr>
          <w:rFonts w:ascii="Arial Narrow" w:hAnsi="Arial Narrow"/>
        </w:rPr>
        <w:t xml:space="preserve"> (4. místo s 90,9 % zaměstnaných občanů pocházejících ze zemí EU v produktivním věku). Na posledním místě se umístila oblast Sicílie (Itálie) s 38,5 % zaměstnaných osob s jinou státní příslušností v produktivním věku pocházejících z Evropské Unie.</w:t>
      </w:r>
    </w:p>
    <w:p w14:paraId="1F195315" w14:textId="77777777" w:rsidR="00F24C57" w:rsidRPr="00F24C57" w:rsidRDefault="00F24C57" w:rsidP="00F24C57">
      <w:pPr>
        <w:spacing w:after="120" w:line="276" w:lineRule="auto"/>
        <w:jc w:val="both"/>
        <w:rPr>
          <w:rFonts w:ascii="Arial Narrow" w:hAnsi="Arial Narrow"/>
        </w:rPr>
      </w:pPr>
      <w:r w:rsidRPr="00F24C57">
        <w:rPr>
          <w:rFonts w:ascii="Arial Narrow" w:hAnsi="Arial Narrow"/>
        </w:rPr>
        <w:t xml:space="preserve">Z hlediska úrovně zaměstnanosti osob s jinou státní příslušností, kteří pocházejí z třetích zemí, </w:t>
      </w:r>
      <w:r w:rsidRPr="00F24C57">
        <w:rPr>
          <w:rFonts w:ascii="Arial Narrow" w:hAnsi="Arial Narrow"/>
          <w:b/>
          <w:bCs/>
        </w:rPr>
        <w:t>obsadily regiony České republiky v rámci prvních 10 příček celkem 5 příček</w:t>
      </w:r>
      <w:r w:rsidRPr="00F24C57">
        <w:rPr>
          <w:rFonts w:ascii="Arial Narrow" w:hAnsi="Arial Narrow"/>
        </w:rPr>
        <w:t xml:space="preserve">. Nejvýše se umístil region Jihozápad s 89,8 % zaměstnaných osob s jinou než českou státní příslušností v produktivním věku pocházejících ze třetích zemí. </w:t>
      </w:r>
    </w:p>
    <w:p w14:paraId="29950CD8" w14:textId="77777777" w:rsidR="00F24C57" w:rsidRPr="00CE357F" w:rsidRDefault="00F24C57" w:rsidP="00F24C57">
      <w:pPr>
        <w:spacing w:after="120" w:line="276" w:lineRule="auto"/>
        <w:jc w:val="both"/>
        <w:rPr>
          <w:rFonts w:ascii="Arial Narrow" w:hAnsi="Arial Narrow"/>
        </w:rPr>
      </w:pPr>
      <w:r w:rsidRPr="00F24C57">
        <w:rPr>
          <w:rFonts w:ascii="Arial Narrow" w:hAnsi="Arial Narrow"/>
        </w:rPr>
        <w:t>Na pátém místě se umístila oblast Severovýchodu s 85,7 % zaměstnaných osob s jinou státní příslušností v produktivním věku pocházejících ze třetích zemí.  Na šestém místě byly Střední Čechy (83,8 %), na osmém Střední Morava (81,4 %) a Jihovýchod na deváté pozici s 80,8 % zaměstnaných osob s jinou státní příslušností. Nejhůře se ze všech analyzovaných regionálních oblastí Evropských států umístila oblast Francouzská Guyana (Francie), kde bylo k 31. 12. 2021 zaměstnaných pouze 27,4 % osob s jinou státní příslušností v produktivním věku pocházejících ze třetích zemí. Nutno podotknout, že data z </w:t>
      </w:r>
      <w:proofErr w:type="spellStart"/>
      <w:r w:rsidRPr="00F24C57">
        <w:rPr>
          <w:rFonts w:ascii="Arial Narrow" w:hAnsi="Arial Narrow"/>
        </w:rPr>
        <w:t>EUROSTATu</w:t>
      </w:r>
      <w:proofErr w:type="spellEnd"/>
      <w:r w:rsidRPr="00F24C57">
        <w:rPr>
          <w:rFonts w:ascii="Arial Narrow" w:hAnsi="Arial Narrow"/>
        </w:rPr>
        <w:t xml:space="preserve"> za rok 2021 nejsou kompletní, co se východní a jihovýchodní Evropy týče.</w:t>
      </w:r>
    </w:p>
    <w:p w14:paraId="77FD45DC" w14:textId="26485B4B" w:rsidR="006969E6" w:rsidRPr="00CE357F" w:rsidRDefault="40E7796F" w:rsidP="2460258F">
      <w:pPr>
        <w:jc w:val="both"/>
        <w:rPr>
          <w:rFonts w:ascii="Arial Narrow" w:hAnsi="Arial Narrow"/>
          <w:b/>
          <w:bCs/>
          <w:sz w:val="20"/>
          <w:szCs w:val="20"/>
        </w:rPr>
      </w:pPr>
      <w:bookmarkStart w:id="357" w:name="_Toc136429297"/>
      <w:r w:rsidRPr="2460258F">
        <w:rPr>
          <w:rFonts w:ascii="Arial Narrow" w:hAnsi="Arial Narrow"/>
          <w:b/>
          <w:bCs/>
          <w:sz w:val="20"/>
          <w:szCs w:val="20"/>
        </w:rPr>
        <w:lastRenderedPageBreak/>
        <w:t xml:space="preserve">Obrázek </w:t>
      </w:r>
      <w:r w:rsidR="006969E6" w:rsidRPr="2460258F">
        <w:rPr>
          <w:rFonts w:ascii="Arial Narrow" w:hAnsi="Arial Narrow"/>
          <w:b/>
          <w:bCs/>
          <w:sz w:val="20"/>
          <w:szCs w:val="20"/>
        </w:rPr>
        <w:fldChar w:fldCharType="begin"/>
      </w:r>
      <w:r w:rsidR="006969E6" w:rsidRPr="2460258F">
        <w:rPr>
          <w:rFonts w:ascii="Arial Narrow" w:hAnsi="Arial Narrow"/>
          <w:b/>
          <w:bCs/>
          <w:sz w:val="20"/>
          <w:szCs w:val="20"/>
        </w:rPr>
        <w:instrText xml:space="preserve"> SEQ Obrázek \* ARABIC </w:instrText>
      </w:r>
      <w:r w:rsidR="006969E6" w:rsidRPr="2460258F">
        <w:rPr>
          <w:rFonts w:ascii="Arial Narrow" w:hAnsi="Arial Narrow"/>
          <w:b/>
          <w:bCs/>
          <w:sz w:val="20"/>
          <w:szCs w:val="20"/>
        </w:rPr>
        <w:fldChar w:fldCharType="separate"/>
      </w:r>
      <w:r w:rsidR="00A23327">
        <w:rPr>
          <w:rFonts w:ascii="Arial Narrow" w:hAnsi="Arial Narrow"/>
          <w:b/>
          <w:bCs/>
          <w:noProof/>
          <w:sz w:val="20"/>
          <w:szCs w:val="20"/>
        </w:rPr>
        <w:t>13</w:t>
      </w:r>
      <w:r w:rsidR="006969E6" w:rsidRPr="2460258F">
        <w:rPr>
          <w:rFonts w:ascii="Arial Narrow" w:hAnsi="Arial Narrow"/>
          <w:b/>
          <w:bCs/>
          <w:sz w:val="20"/>
          <w:szCs w:val="20"/>
        </w:rPr>
        <w:fldChar w:fldCharType="end"/>
      </w:r>
      <w:r w:rsidRPr="2460258F">
        <w:rPr>
          <w:rFonts w:ascii="Arial Narrow" w:hAnsi="Arial Narrow"/>
          <w:b/>
          <w:bCs/>
          <w:sz w:val="20"/>
          <w:szCs w:val="20"/>
        </w:rPr>
        <w:t xml:space="preserve">: Geografické rozložení českých regionálních oblastí </w:t>
      </w:r>
      <w:r w:rsidR="2AE1BC1C" w:rsidRPr="2460258F">
        <w:rPr>
          <w:rFonts w:ascii="Arial Narrow" w:hAnsi="Arial Narrow"/>
          <w:b/>
          <w:bCs/>
          <w:sz w:val="20"/>
          <w:szCs w:val="20"/>
        </w:rPr>
        <w:t>NUTS 2</w:t>
      </w:r>
      <w:bookmarkEnd w:id="357"/>
      <w:r w:rsidR="00E209CD">
        <w:rPr>
          <w:rFonts w:ascii="Arial Narrow" w:hAnsi="Arial Narrow"/>
          <w:b/>
          <w:bCs/>
          <w:sz w:val="20"/>
          <w:szCs w:val="20"/>
        </w:rPr>
        <w:t>.</w:t>
      </w:r>
      <w:r w:rsidR="00E209CD">
        <w:rPr>
          <w:rStyle w:val="Znakapoznpodarou"/>
          <w:rFonts w:ascii="Arial Narrow" w:hAnsi="Arial Narrow"/>
          <w:b/>
          <w:bCs/>
          <w:sz w:val="20"/>
          <w:szCs w:val="20"/>
        </w:rPr>
        <w:footnoteReference w:id="33"/>
      </w:r>
    </w:p>
    <w:p w14:paraId="71DCFA57" w14:textId="43E7E6BA" w:rsidR="00D6793F" w:rsidRPr="00CE357F" w:rsidRDefault="00E209CD" w:rsidP="00D6793F">
      <w:pPr>
        <w:spacing w:line="276" w:lineRule="auto"/>
        <w:jc w:val="center"/>
        <w:rPr>
          <w:rFonts w:ascii="Arial Narrow" w:hAnsi="Arial Narrow"/>
        </w:rPr>
      </w:pPr>
      <w:r w:rsidRPr="00CE357F">
        <w:rPr>
          <w:rFonts w:ascii="Arial Narrow" w:hAnsi="Arial Narrow"/>
          <w:noProof/>
          <w:lang w:eastAsia="cs-CZ"/>
        </w:rPr>
        <w:drawing>
          <wp:inline distT="0" distB="0" distL="0" distR="0" wp14:anchorId="29B0BBF4" wp14:editId="7C275AE6">
            <wp:extent cx="3895725" cy="232706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112">
                      <a:extLst>
                        <a:ext uri="{BEBA8EAE-BF5A-486C-A8C5-ECC9F3942E4B}">
                          <a14:imgProps xmlns:a14="http://schemas.microsoft.com/office/drawing/2010/main">
                            <a14:imgLayer r:embed="rId11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79358" cy="2377022"/>
                    </a:xfrm>
                    <a:prstGeom prst="rect">
                      <a:avLst/>
                    </a:prstGeom>
                  </pic:spPr>
                </pic:pic>
              </a:graphicData>
            </a:graphic>
          </wp:inline>
        </w:drawing>
      </w:r>
    </w:p>
    <w:p w14:paraId="497AABBD" w14:textId="75FEAC0B" w:rsidR="00CB3ADE" w:rsidRPr="00BA2A84" w:rsidRDefault="009817FE" w:rsidP="00BA2A84">
      <w:pPr>
        <w:spacing w:line="276" w:lineRule="auto"/>
        <w:rPr>
          <w:rFonts w:ascii="Arial Narrow" w:hAnsi="Arial Narrow"/>
        </w:rPr>
      </w:pPr>
      <w:r w:rsidRPr="00CE357F">
        <w:rPr>
          <w:rFonts w:ascii="Arial Narrow" w:hAnsi="Arial Narrow"/>
        </w:rPr>
        <w:t xml:space="preserve">        </w:t>
      </w:r>
      <w:r w:rsidR="006969E6" w:rsidRPr="00CB3ADE">
        <w:rPr>
          <w:rFonts w:ascii="Arial Narrow" w:hAnsi="Arial Narrow"/>
          <w:sz w:val="20"/>
        </w:rPr>
        <w:t>Zdroj: EUROSTAT</w:t>
      </w:r>
      <w:bookmarkStart w:id="358" w:name="_Toc94443759"/>
      <w:bookmarkStart w:id="359" w:name="_Toc136428899"/>
    </w:p>
    <w:p w14:paraId="62A49EF6" w14:textId="54A2188F" w:rsidR="00D6793F" w:rsidRPr="00CE357F" w:rsidRDefault="3F946CCC" w:rsidP="00D6793F">
      <w:pPr>
        <w:spacing w:before="240" w:line="276" w:lineRule="auto"/>
        <w:jc w:val="both"/>
        <w:rPr>
          <w:rFonts w:ascii="Arial Narrow" w:hAnsi="Arial Narrow"/>
          <w:b/>
          <w:bCs/>
          <w:sz w:val="20"/>
          <w:szCs w:val="20"/>
        </w:rPr>
      </w:pPr>
      <w:r w:rsidRPr="2460258F">
        <w:rPr>
          <w:rFonts w:ascii="Arial Narrow" w:hAnsi="Arial Narrow"/>
          <w:b/>
          <w:bCs/>
          <w:sz w:val="20"/>
          <w:szCs w:val="20"/>
        </w:rPr>
        <w:t xml:space="preserve">Graf </w:t>
      </w:r>
      <w:r w:rsidR="00D6793F" w:rsidRPr="2460258F">
        <w:rPr>
          <w:rFonts w:ascii="Arial Narrow" w:hAnsi="Arial Narrow"/>
          <w:b/>
          <w:bCs/>
          <w:sz w:val="20"/>
          <w:szCs w:val="20"/>
        </w:rPr>
        <w:fldChar w:fldCharType="begin"/>
      </w:r>
      <w:r w:rsidR="00D6793F" w:rsidRPr="2460258F">
        <w:rPr>
          <w:rFonts w:ascii="Arial Narrow" w:hAnsi="Arial Narrow"/>
          <w:b/>
          <w:bCs/>
          <w:sz w:val="20"/>
          <w:szCs w:val="20"/>
        </w:rPr>
        <w:instrText xml:space="preserve"> SEQ Graf \* ARABIC </w:instrText>
      </w:r>
      <w:r w:rsidR="00D6793F" w:rsidRPr="2460258F">
        <w:rPr>
          <w:rFonts w:ascii="Arial Narrow" w:hAnsi="Arial Narrow"/>
          <w:b/>
          <w:bCs/>
          <w:sz w:val="20"/>
          <w:szCs w:val="20"/>
        </w:rPr>
        <w:fldChar w:fldCharType="separate"/>
      </w:r>
      <w:r w:rsidR="009F49C8">
        <w:rPr>
          <w:rFonts w:ascii="Arial Narrow" w:hAnsi="Arial Narrow"/>
          <w:b/>
          <w:bCs/>
          <w:noProof/>
          <w:sz w:val="20"/>
          <w:szCs w:val="20"/>
        </w:rPr>
        <w:t>55</w:t>
      </w:r>
      <w:r w:rsidR="00D6793F" w:rsidRPr="2460258F">
        <w:rPr>
          <w:rFonts w:ascii="Arial Narrow" w:hAnsi="Arial Narrow"/>
          <w:b/>
          <w:bCs/>
          <w:sz w:val="20"/>
          <w:szCs w:val="20"/>
        </w:rPr>
        <w:fldChar w:fldCharType="end"/>
      </w:r>
      <w:r w:rsidRPr="2460258F">
        <w:rPr>
          <w:rFonts w:ascii="Arial Narrow" w:hAnsi="Arial Narrow"/>
          <w:b/>
          <w:bCs/>
          <w:sz w:val="20"/>
          <w:szCs w:val="20"/>
        </w:rPr>
        <w:t xml:space="preserve">: Úroveň zaměstnanosti z hlediska regionálních oblasti </w:t>
      </w:r>
      <w:r w:rsidR="2790CBBD" w:rsidRPr="2460258F">
        <w:rPr>
          <w:rFonts w:ascii="Arial Narrow" w:hAnsi="Arial Narrow"/>
          <w:b/>
          <w:bCs/>
          <w:sz w:val="20"/>
          <w:szCs w:val="20"/>
        </w:rPr>
        <w:t xml:space="preserve">NUTS 2 </w:t>
      </w:r>
      <w:r w:rsidRPr="2460258F">
        <w:rPr>
          <w:rFonts w:ascii="Arial Narrow" w:hAnsi="Arial Narrow"/>
          <w:b/>
          <w:bCs/>
          <w:sz w:val="20"/>
          <w:szCs w:val="20"/>
        </w:rPr>
        <w:t>ČR</w:t>
      </w:r>
      <w:bookmarkEnd w:id="358"/>
      <w:r w:rsidR="2646C20C" w:rsidRPr="2460258F">
        <w:rPr>
          <w:rFonts w:ascii="Arial Narrow" w:hAnsi="Arial Narrow"/>
          <w:b/>
          <w:bCs/>
          <w:sz w:val="20"/>
          <w:szCs w:val="20"/>
        </w:rPr>
        <w:t xml:space="preserve"> k 31. 12. 2021</w:t>
      </w:r>
      <w:bookmarkEnd w:id="359"/>
    </w:p>
    <w:p w14:paraId="60732B5E" w14:textId="0BF13730" w:rsidR="00D6793F" w:rsidRPr="00CE357F" w:rsidRDefault="00F24C57" w:rsidP="00D6793F">
      <w:pPr>
        <w:rPr>
          <w:rFonts w:ascii="Arial Narrow" w:hAnsi="Arial Narrow"/>
        </w:rPr>
      </w:pPr>
      <w:bookmarkStart w:id="360" w:name="_Hlk92724665"/>
      <w:r w:rsidRPr="00CE357F">
        <w:rPr>
          <w:rFonts w:ascii="Arial Narrow" w:hAnsi="Arial Narrow"/>
          <w:noProof/>
          <w:lang w:eastAsia="cs-CZ"/>
        </w:rPr>
        <w:drawing>
          <wp:inline distT="0" distB="0" distL="0" distR="0" wp14:anchorId="3FDEDAE5" wp14:editId="0CAC0E81">
            <wp:extent cx="5760720" cy="4007854"/>
            <wp:effectExtent l="0" t="0" r="11430" b="12065"/>
            <wp:docPr id="2068" name="Graf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D53937C" w14:textId="0BD703A0" w:rsidR="00D6793F" w:rsidRPr="00CE357F" w:rsidRDefault="00D6793F" w:rsidP="00D6793F">
      <w:pPr>
        <w:rPr>
          <w:rFonts w:ascii="Arial Narrow" w:hAnsi="Arial Narrow"/>
          <w:sz w:val="20"/>
          <w:szCs w:val="20"/>
        </w:rPr>
      </w:pPr>
      <w:r w:rsidRPr="00CE357F">
        <w:rPr>
          <w:rFonts w:ascii="Arial Narrow" w:hAnsi="Arial Narrow"/>
          <w:sz w:val="20"/>
          <w:szCs w:val="20"/>
        </w:rPr>
        <w:t>Zdroj: EUROSTAT</w:t>
      </w:r>
      <w:r w:rsidR="00F24C57">
        <w:rPr>
          <w:rFonts w:ascii="Arial Narrow" w:hAnsi="Arial Narrow"/>
          <w:sz w:val="20"/>
          <w:szCs w:val="20"/>
        </w:rPr>
        <w:t xml:space="preserve"> k 31. 12. 2021</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3EC6D847" w14:textId="77777777" w:rsidR="00DD0E3F" w:rsidRDefault="00DD0E3F" w:rsidP="00763B8D">
      <w:pPr>
        <w:tabs>
          <w:tab w:val="left" w:pos="3150"/>
        </w:tabs>
        <w:spacing w:line="276" w:lineRule="auto"/>
        <w:jc w:val="both"/>
        <w:rPr>
          <w:rFonts w:ascii="Arial Narrow" w:hAnsi="Arial Narrow"/>
        </w:rPr>
      </w:pPr>
      <w:bookmarkStart w:id="361" w:name="_Toc94443760"/>
      <w:bookmarkEnd w:id="360"/>
    </w:p>
    <w:p w14:paraId="6BB82E51" w14:textId="068E7CE7" w:rsidR="00763B8D" w:rsidRPr="007B59C4" w:rsidRDefault="0065686D" w:rsidP="0065686D">
      <w:pPr>
        <w:tabs>
          <w:tab w:val="left" w:pos="3150"/>
        </w:tabs>
        <w:spacing w:line="276" w:lineRule="auto"/>
        <w:jc w:val="both"/>
        <w:rPr>
          <w:rFonts w:ascii="Arial Narrow" w:hAnsi="Arial Narrow"/>
        </w:rPr>
      </w:pPr>
      <w:r w:rsidRPr="007B59C4">
        <w:rPr>
          <w:rFonts w:ascii="Arial Narrow" w:hAnsi="Arial Narrow"/>
        </w:rPr>
        <w:t xml:space="preserve">Úroveň vzdělanosti dle dat </w:t>
      </w:r>
      <w:proofErr w:type="spellStart"/>
      <w:r w:rsidRPr="007B59C4">
        <w:rPr>
          <w:rFonts w:ascii="Arial Narrow" w:hAnsi="Arial Narrow"/>
        </w:rPr>
        <w:t>Eurostatu</w:t>
      </w:r>
      <w:proofErr w:type="spellEnd"/>
      <w:r w:rsidRPr="007B59C4">
        <w:rPr>
          <w:rFonts w:ascii="Arial Narrow" w:hAnsi="Arial Narrow"/>
        </w:rPr>
        <w:t xml:space="preserve"> z roku 2022 ve státech střední Evropy je poměrně vysoká</w:t>
      </w:r>
      <w:r w:rsidR="00763B8D" w:rsidRPr="007B59C4">
        <w:rPr>
          <w:rFonts w:ascii="Arial Narrow" w:hAnsi="Arial Narrow"/>
        </w:rPr>
        <w:t>. Naprostá většina obyvatel, osob s jinou státní příslušností z EU i ze zemí mimo EU má sekundární nebo terciální vzdělání, přičemž lidé s terciálním vzděláním tvoří v některých státech více než jed</w:t>
      </w:r>
      <w:r w:rsidRPr="007B59C4">
        <w:rPr>
          <w:rFonts w:ascii="Arial Narrow" w:hAnsi="Arial Narrow"/>
        </w:rPr>
        <w:t xml:space="preserve">nu třetinu všech zastoupených. </w:t>
      </w:r>
      <w:r w:rsidR="00763B8D" w:rsidRPr="007B59C4">
        <w:rPr>
          <w:rFonts w:ascii="Arial Narrow" w:hAnsi="Arial Narrow"/>
        </w:rPr>
        <w:t xml:space="preserve">Největší poměr </w:t>
      </w:r>
      <w:r w:rsidR="00763B8D" w:rsidRPr="007B59C4">
        <w:rPr>
          <w:rFonts w:ascii="Arial Narrow" w:hAnsi="Arial Narrow"/>
        </w:rPr>
        <w:lastRenderedPageBreak/>
        <w:t xml:space="preserve">občanů s terciálním vzděláním má Rakousko (31,9 %), naopak nejhůře je na tom ve srovnáních států střední Evropy Slovensko, kde je občanů s terciálním vzděláním 24,7 %. </w:t>
      </w:r>
    </w:p>
    <w:p w14:paraId="13D5D25D" w14:textId="235A5FB8" w:rsidR="00763B8D" w:rsidRPr="00763B8D" w:rsidRDefault="00763B8D" w:rsidP="00763B8D">
      <w:pPr>
        <w:tabs>
          <w:tab w:val="left" w:pos="3150"/>
        </w:tabs>
        <w:spacing w:before="240" w:after="240" w:line="276" w:lineRule="auto"/>
        <w:jc w:val="both"/>
        <w:rPr>
          <w:rFonts w:ascii="Arial Narrow" w:hAnsi="Arial Narrow"/>
        </w:rPr>
      </w:pPr>
      <w:r w:rsidRPr="007B59C4">
        <w:rPr>
          <w:rFonts w:ascii="Arial Narrow" w:hAnsi="Arial Narrow"/>
        </w:rPr>
        <w:t xml:space="preserve">Největší poměr vzdělaných osob s jinou státní příslušností, pocházejících ze zemí </w:t>
      </w:r>
      <w:r w:rsidR="0065686D" w:rsidRPr="007B59C4">
        <w:rPr>
          <w:rFonts w:ascii="Arial Narrow" w:hAnsi="Arial Narrow"/>
        </w:rPr>
        <w:t xml:space="preserve">mimo </w:t>
      </w:r>
      <w:r w:rsidRPr="007B59C4">
        <w:rPr>
          <w:rFonts w:ascii="Arial Narrow" w:hAnsi="Arial Narrow"/>
        </w:rPr>
        <w:t>EU, je v Polsku. Z celkového počtu jich má terciální vzdělání 58 %. Nejméně jich je naopak v Německu (24,5 %). V České republice bylo v roce 2021 vysokoškolsky vzdělaných osob s jinou než českou státní příslušností pocházejících ze zemí Evropské Unie celkem 37,5 %.</w:t>
      </w:r>
      <w:r w:rsidRPr="00763B8D">
        <w:rPr>
          <w:rFonts w:ascii="Arial Narrow" w:hAnsi="Arial Narrow"/>
        </w:rPr>
        <w:t xml:space="preserve"> </w:t>
      </w:r>
    </w:p>
    <w:p w14:paraId="768B9C20" w14:textId="461B06ED" w:rsidR="00762FCD" w:rsidRPr="00BA2A84" w:rsidRDefault="00763B8D" w:rsidP="00BA2A84">
      <w:pPr>
        <w:tabs>
          <w:tab w:val="left" w:pos="3150"/>
        </w:tabs>
        <w:spacing w:before="240" w:after="240" w:line="276" w:lineRule="auto"/>
        <w:jc w:val="both"/>
        <w:rPr>
          <w:rFonts w:ascii="Arial Narrow" w:hAnsi="Arial Narrow"/>
        </w:rPr>
      </w:pPr>
      <w:r w:rsidRPr="00763B8D">
        <w:rPr>
          <w:rFonts w:ascii="Arial Narrow" w:hAnsi="Arial Narrow"/>
        </w:rPr>
        <w:t>Ze skupiny osob s jinou státní příslušností ze třetích zemí je nejvyšší procento vysokoškolsky vzdělaných v Polsku (53,4 %), nejmenší naopak v Rakousku (31,6 %). V České republice bylo v roce 2021 celkem 37,5 % vysokoškolsky vzdělaných osob s jinou státní příslušností ze třetích zemí.</w:t>
      </w:r>
      <w:r w:rsidRPr="00CE357F">
        <w:rPr>
          <w:rFonts w:ascii="Arial Narrow" w:hAnsi="Arial Narrow"/>
        </w:rPr>
        <w:t xml:space="preserve"> </w:t>
      </w:r>
      <w:bookmarkStart w:id="362" w:name="_Toc136428900"/>
    </w:p>
    <w:p w14:paraId="4B779838" w14:textId="567D1D41" w:rsidR="00D6793F" w:rsidRPr="00CE357F" w:rsidRDefault="00D6793F" w:rsidP="00D6793F">
      <w:pPr>
        <w:spacing w:before="240" w:line="276" w:lineRule="auto"/>
        <w:jc w:val="both"/>
        <w:rPr>
          <w:rFonts w:ascii="Arial Narrow" w:hAnsi="Arial Narrow"/>
          <w:b/>
          <w:bCs/>
          <w:sz w:val="20"/>
          <w:szCs w:val="20"/>
        </w:rPr>
      </w:pPr>
      <w:r w:rsidRPr="00CE357F">
        <w:rPr>
          <w:rFonts w:ascii="Arial Narrow" w:hAnsi="Arial Narrow"/>
          <w:b/>
          <w:sz w:val="20"/>
          <w:szCs w:val="20"/>
        </w:rPr>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56</w:t>
      </w:r>
      <w:r w:rsidR="00B63C25">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Úroveň vzdělanosti osob s jinou státní příslušností</w:t>
      </w:r>
      <w:bookmarkEnd w:id="361"/>
      <w:bookmarkEnd w:id="362"/>
      <w:r w:rsidRPr="00CE357F">
        <w:rPr>
          <w:rFonts w:ascii="Arial Narrow" w:hAnsi="Arial Narrow"/>
          <w:b/>
          <w:bCs/>
          <w:sz w:val="20"/>
          <w:szCs w:val="20"/>
        </w:rPr>
        <w:t xml:space="preserve"> </w:t>
      </w:r>
    </w:p>
    <w:p w14:paraId="4617828C" w14:textId="2721BB14" w:rsidR="00D6793F" w:rsidRPr="00CE357F" w:rsidRDefault="00763B8D" w:rsidP="00D6793F">
      <w:pPr>
        <w:jc w:val="right"/>
        <w:rPr>
          <w:rFonts w:ascii="Arial Narrow" w:hAnsi="Arial Narrow"/>
          <w:sz w:val="20"/>
          <w:szCs w:val="20"/>
        </w:rPr>
      </w:pPr>
      <w:r>
        <w:rPr>
          <w:rFonts w:ascii="Arial Narrow" w:hAnsi="Arial Narrow" w:cs="Times New Roman"/>
          <w:noProof/>
          <w:lang w:eastAsia="cs-CZ"/>
        </w:rPr>
        <w:drawing>
          <wp:inline distT="0" distB="0" distL="0" distR="0" wp14:anchorId="5412A749" wp14:editId="710683CB">
            <wp:extent cx="5730875" cy="4429125"/>
            <wp:effectExtent l="0" t="0" r="3175" b="9525"/>
            <wp:docPr id="2125" name="Graf 2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EF80569" w14:textId="373D8613" w:rsidR="00D6793F" w:rsidRPr="00CE357F" w:rsidRDefault="3F946CCC" w:rsidP="00D6793F">
      <w:pPr>
        <w:rPr>
          <w:rFonts w:ascii="Arial Narrow" w:hAnsi="Arial Narrow"/>
          <w:sz w:val="20"/>
          <w:szCs w:val="20"/>
        </w:rPr>
      </w:pPr>
      <w:r w:rsidRPr="00CE357F">
        <w:rPr>
          <w:rFonts w:ascii="Arial Narrow" w:hAnsi="Arial Narrow"/>
          <w:sz w:val="20"/>
          <w:szCs w:val="20"/>
        </w:rPr>
        <w:t xml:space="preserve">Zdroj: </w:t>
      </w:r>
      <w:r w:rsidR="40E7796F" w:rsidRPr="00CE357F">
        <w:rPr>
          <w:rFonts w:ascii="Arial Narrow" w:hAnsi="Arial Narrow"/>
          <w:sz w:val="20"/>
          <w:szCs w:val="20"/>
        </w:rPr>
        <w:t>EUROSTAT</w:t>
      </w:r>
      <w:r w:rsidR="00763B8D">
        <w:rPr>
          <w:rStyle w:val="Znakapoznpodarou"/>
          <w:rFonts w:ascii="Arial Narrow" w:hAnsi="Arial Narrow"/>
          <w:sz w:val="20"/>
          <w:szCs w:val="20"/>
        </w:rPr>
        <w:footnoteReference w:id="34"/>
      </w:r>
      <w:r w:rsidR="006969E6" w:rsidRPr="00CE357F">
        <w:rPr>
          <w:rFonts w:ascii="Arial Narrow" w:hAnsi="Arial Narrow"/>
          <w:sz w:val="20"/>
          <w:szCs w:val="20"/>
        </w:rPr>
        <w:tab/>
      </w:r>
      <w:r w:rsidR="00D6793F" w:rsidRPr="00CE357F">
        <w:rPr>
          <w:rFonts w:ascii="Arial Narrow" w:hAnsi="Arial Narrow"/>
          <w:sz w:val="20"/>
          <w:szCs w:val="20"/>
        </w:rPr>
        <w:tab/>
      </w:r>
      <w:r w:rsidR="00D6793F" w:rsidRPr="00CE357F">
        <w:rPr>
          <w:rFonts w:ascii="Arial Narrow" w:hAnsi="Arial Narrow"/>
          <w:sz w:val="20"/>
          <w:szCs w:val="20"/>
        </w:rPr>
        <w:tab/>
      </w:r>
      <w:r w:rsidR="00D6793F" w:rsidRPr="00CE357F">
        <w:rPr>
          <w:rFonts w:ascii="Arial Narrow" w:hAnsi="Arial Narrow"/>
          <w:sz w:val="20"/>
          <w:szCs w:val="20"/>
        </w:rPr>
        <w:tab/>
      </w:r>
      <w:r w:rsidR="00D6793F" w:rsidRPr="00CE357F">
        <w:rPr>
          <w:rFonts w:ascii="Arial Narrow" w:hAnsi="Arial Narrow"/>
          <w:sz w:val="20"/>
          <w:szCs w:val="20"/>
        </w:rPr>
        <w:tab/>
      </w:r>
      <w:r w:rsidR="00D6793F" w:rsidRPr="00CE357F">
        <w:rPr>
          <w:rFonts w:ascii="Arial Narrow" w:hAnsi="Arial Narrow"/>
          <w:sz w:val="20"/>
          <w:szCs w:val="20"/>
        </w:rPr>
        <w:tab/>
      </w:r>
      <w:r w:rsidR="00DD0E3F">
        <w:rPr>
          <w:rFonts w:ascii="Arial Narrow" w:hAnsi="Arial Narrow"/>
          <w:sz w:val="20"/>
          <w:szCs w:val="20"/>
        </w:rPr>
        <w:t xml:space="preserve">                         </w:t>
      </w:r>
      <w:r w:rsidRPr="00CE357F">
        <w:rPr>
          <w:rFonts w:ascii="Arial Narrow" w:hAnsi="Arial Narrow"/>
          <w:sz w:val="20"/>
          <w:szCs w:val="20"/>
        </w:rPr>
        <w:t xml:space="preserve">Graf: AUGUR </w:t>
      </w:r>
      <w:proofErr w:type="spellStart"/>
      <w:r w:rsidRPr="00DD0E3F">
        <w:rPr>
          <w:rFonts w:ascii="Arial Narrow" w:hAnsi="Arial Narrow"/>
          <w:sz w:val="20"/>
          <w:szCs w:val="20"/>
        </w:rPr>
        <w:t>Consulting</w:t>
      </w:r>
      <w:proofErr w:type="spellEnd"/>
      <w:r w:rsidRPr="00DD0E3F">
        <w:rPr>
          <w:rFonts w:ascii="Arial Narrow" w:hAnsi="Arial Narrow"/>
          <w:sz w:val="20"/>
          <w:szCs w:val="20"/>
        </w:rPr>
        <w:t>,</w:t>
      </w:r>
      <w:r w:rsidRPr="00CE357F">
        <w:rPr>
          <w:rFonts w:ascii="Arial Narrow" w:hAnsi="Arial Narrow"/>
          <w:sz w:val="20"/>
          <w:szCs w:val="20"/>
        </w:rPr>
        <w:t xml:space="preserve"> s.r.o</w:t>
      </w:r>
    </w:p>
    <w:p w14:paraId="5BF44ABC" w14:textId="77777777" w:rsidR="00D6793F" w:rsidRPr="00CE357F" w:rsidRDefault="00D6793F" w:rsidP="00D6793F">
      <w:pPr>
        <w:tabs>
          <w:tab w:val="left" w:pos="3150"/>
        </w:tabs>
        <w:spacing w:line="276" w:lineRule="auto"/>
        <w:jc w:val="both"/>
        <w:rPr>
          <w:rFonts w:ascii="Arial Narrow" w:hAnsi="Arial Narrow"/>
        </w:rPr>
      </w:pPr>
    </w:p>
    <w:p w14:paraId="45E3F3F9" w14:textId="2887434F" w:rsidR="00D6793F" w:rsidRPr="007B59C4" w:rsidRDefault="00D6793F" w:rsidP="00D6793F">
      <w:pPr>
        <w:tabs>
          <w:tab w:val="left" w:pos="3150"/>
        </w:tabs>
        <w:spacing w:line="276" w:lineRule="auto"/>
        <w:jc w:val="both"/>
        <w:rPr>
          <w:rFonts w:ascii="Arial Narrow" w:hAnsi="Arial Narrow" w:cs="Times New Roman"/>
        </w:rPr>
      </w:pPr>
      <w:r w:rsidRPr="00CE357F">
        <w:rPr>
          <w:rFonts w:ascii="Arial Narrow" w:hAnsi="Arial Narrow" w:cs="Times New Roman"/>
        </w:rPr>
        <w:t>Dle výzkumu z roku 2014</w:t>
      </w:r>
      <w:r w:rsidR="00C47387">
        <w:rPr>
          <w:rStyle w:val="Znakapoznpodarou"/>
          <w:rFonts w:ascii="Arial Narrow" w:hAnsi="Arial Narrow" w:cs="Times New Roman"/>
        </w:rPr>
        <w:footnoteReference w:id="35"/>
      </w:r>
      <w:r w:rsidRPr="00CE357F">
        <w:rPr>
          <w:rFonts w:ascii="Arial Narrow" w:hAnsi="Arial Narrow" w:cs="Times New Roman"/>
        </w:rPr>
        <w:t xml:space="preserve"> byli lidé ve věku 25-54 let v evropských státech </w:t>
      </w:r>
      <w:r w:rsidRPr="00CE357F">
        <w:rPr>
          <w:rFonts w:ascii="Arial Narrow" w:hAnsi="Arial Narrow" w:cs="Times New Roman"/>
          <w:b/>
          <w:bCs/>
        </w:rPr>
        <w:t>často zaměstnáváni na pozicích</w:t>
      </w:r>
      <w:r w:rsidR="002464D3">
        <w:rPr>
          <w:rFonts w:ascii="Arial Narrow" w:hAnsi="Arial Narrow" w:cs="Times New Roman"/>
          <w:b/>
          <w:bCs/>
        </w:rPr>
        <w:t>,</w:t>
      </w:r>
      <w:r w:rsidRPr="00CE357F">
        <w:rPr>
          <w:rFonts w:ascii="Arial Narrow" w:hAnsi="Arial Narrow" w:cs="Times New Roman"/>
          <w:b/>
          <w:bCs/>
        </w:rPr>
        <w:t xml:space="preserve"> pro které byli překvalifikovaní</w:t>
      </w:r>
      <w:r w:rsidRPr="00CE357F">
        <w:rPr>
          <w:rFonts w:ascii="Arial Narrow" w:hAnsi="Arial Narrow" w:cs="Times New Roman"/>
        </w:rPr>
        <w:t xml:space="preserve">, tedy bylo pod úrovní jejich vzdělání nebo zkušeností. U </w:t>
      </w:r>
      <w:r w:rsidRPr="00CE357F">
        <w:rPr>
          <w:rFonts w:ascii="Arial Narrow" w:hAnsi="Arial Narrow"/>
        </w:rPr>
        <w:t>osob s jinou státní příslušností</w:t>
      </w:r>
      <w:r w:rsidRPr="00CE357F">
        <w:rPr>
          <w:rFonts w:ascii="Arial Narrow" w:hAnsi="Arial Narrow" w:cs="Times New Roman"/>
        </w:rPr>
        <w:t xml:space="preserve"> se tato </w:t>
      </w:r>
      <w:proofErr w:type="spellStart"/>
      <w:r w:rsidRPr="00CE357F">
        <w:rPr>
          <w:rFonts w:ascii="Arial Narrow" w:hAnsi="Arial Narrow" w:cs="Times New Roman"/>
        </w:rPr>
        <w:t>překvalifikovanost</w:t>
      </w:r>
      <w:proofErr w:type="spellEnd"/>
      <w:r w:rsidRPr="00CE357F">
        <w:rPr>
          <w:rFonts w:ascii="Arial Narrow" w:hAnsi="Arial Narrow" w:cs="Times New Roman"/>
        </w:rPr>
        <w:t xml:space="preserve"> mění podle toho, zda jde o první generaci</w:t>
      </w:r>
      <w:r w:rsidR="00762FCD">
        <w:rPr>
          <w:rFonts w:ascii="Arial Narrow" w:hAnsi="Arial Narrow" w:cs="Times New Roman"/>
        </w:rPr>
        <w:t xml:space="preserve"> v dané zemi</w:t>
      </w:r>
      <w:r w:rsidRPr="00CE357F">
        <w:rPr>
          <w:rFonts w:ascii="Arial Narrow" w:hAnsi="Arial Narrow" w:cs="Times New Roman"/>
        </w:rPr>
        <w:t xml:space="preserve"> nebo o lidi, kteří se </w:t>
      </w:r>
      <w:r w:rsidRPr="00CE357F">
        <w:rPr>
          <w:rFonts w:ascii="Arial Narrow" w:hAnsi="Arial Narrow"/>
        </w:rPr>
        <w:t xml:space="preserve">osobám s jinou </w:t>
      </w:r>
      <w:r w:rsidRPr="007B59C4">
        <w:rPr>
          <w:rFonts w:ascii="Arial Narrow" w:hAnsi="Arial Narrow"/>
        </w:rPr>
        <w:lastRenderedPageBreak/>
        <w:t>státní příslušností</w:t>
      </w:r>
      <w:r w:rsidRPr="007B59C4">
        <w:rPr>
          <w:rFonts w:ascii="Arial Narrow" w:hAnsi="Arial Narrow" w:cs="Times New Roman"/>
        </w:rPr>
        <w:t xml:space="preserve"> narodili (případně mají alespoň jednoho rodiče rodilého </w:t>
      </w:r>
      <w:r w:rsidR="006B0149" w:rsidRPr="007B59C4">
        <w:rPr>
          <w:rFonts w:ascii="Arial Narrow" w:hAnsi="Arial Narrow" w:cs="Times New Roman"/>
        </w:rPr>
        <w:t>mluvčího</w:t>
      </w:r>
      <w:r w:rsidR="00762FCD" w:rsidRPr="007B59C4">
        <w:rPr>
          <w:rFonts w:ascii="Arial Narrow" w:hAnsi="Arial Narrow" w:cs="Times New Roman"/>
        </w:rPr>
        <w:t>), přičemž osoby první generace bývají i z důvodu jazykové bariéry častěji zaměstnáni na pozicích, pro něž jsou překvalifikovaní.</w:t>
      </w:r>
    </w:p>
    <w:p w14:paraId="551383F4" w14:textId="77777777" w:rsidR="00D6793F" w:rsidRPr="00CE357F" w:rsidRDefault="00D6793F" w:rsidP="00D6793F">
      <w:pPr>
        <w:tabs>
          <w:tab w:val="left" w:pos="3150"/>
        </w:tabs>
        <w:spacing w:before="240" w:line="276" w:lineRule="auto"/>
        <w:jc w:val="both"/>
        <w:rPr>
          <w:rFonts w:ascii="Arial Narrow" w:hAnsi="Arial Narrow" w:cs="Times New Roman"/>
        </w:rPr>
      </w:pPr>
      <w:proofErr w:type="spellStart"/>
      <w:r w:rsidRPr="007B59C4">
        <w:rPr>
          <w:rFonts w:ascii="Arial Narrow" w:hAnsi="Arial Narrow" w:cs="Times New Roman"/>
        </w:rPr>
        <w:t>Překvalifikovanost</w:t>
      </w:r>
      <w:proofErr w:type="spellEnd"/>
      <w:r w:rsidRPr="007B59C4">
        <w:rPr>
          <w:rFonts w:ascii="Arial Narrow" w:hAnsi="Arial Narrow" w:cs="Times New Roman"/>
        </w:rPr>
        <w:t xml:space="preserve"> se měří jako objektivní a subjektivní, přičemž subjektivní bývá zpravidla vyšší. Zatímco</w:t>
      </w:r>
      <w:r w:rsidRPr="00CE357F">
        <w:rPr>
          <w:rFonts w:ascii="Arial Narrow" w:hAnsi="Arial Narrow" w:cs="Times New Roman"/>
        </w:rPr>
        <w:t xml:space="preserve"> v České republice mělo dle výsledků tohoto výzkumu celkem </w:t>
      </w:r>
      <w:r w:rsidRPr="00CE357F">
        <w:rPr>
          <w:rFonts w:ascii="Arial Narrow" w:hAnsi="Arial Narrow" w:cs="Times New Roman"/>
          <w:b/>
          <w:bCs/>
        </w:rPr>
        <w:t xml:space="preserve">18,8 % </w:t>
      </w:r>
      <w:r w:rsidRPr="00CE357F">
        <w:rPr>
          <w:rFonts w:ascii="Arial Narrow" w:hAnsi="Arial Narrow"/>
          <w:b/>
          <w:bCs/>
        </w:rPr>
        <w:t>osob s jinou státní příslušností</w:t>
      </w:r>
      <w:r w:rsidRPr="00CE357F">
        <w:rPr>
          <w:rFonts w:ascii="Arial Narrow" w:hAnsi="Arial Narrow" w:cs="Times New Roman"/>
          <w:b/>
          <w:bCs/>
        </w:rPr>
        <w:t xml:space="preserve"> (první generace) pocit, že pracují na nižší pozici, než by měli, z objektivního hlediska jich pod svou kompetentnost pracovalo jen 10,7 %.</w:t>
      </w:r>
      <w:r w:rsidRPr="00CE357F">
        <w:rPr>
          <w:rFonts w:ascii="Arial Narrow" w:hAnsi="Arial Narrow" w:cs="Times New Roman"/>
        </w:rPr>
        <w:t xml:space="preserve"> V České republice měli pocit, že pracují pod svou kvalifikací zejména rodilí občané (21,1 %). </w:t>
      </w:r>
    </w:p>
    <w:p w14:paraId="68BA0214" w14:textId="77777777" w:rsidR="00D6793F" w:rsidRPr="00CE357F" w:rsidRDefault="00D6793F" w:rsidP="00D6793F">
      <w:pPr>
        <w:tabs>
          <w:tab w:val="left" w:pos="3150"/>
        </w:tabs>
        <w:spacing w:before="240" w:line="276" w:lineRule="auto"/>
        <w:jc w:val="both"/>
        <w:rPr>
          <w:rFonts w:ascii="Arial Narrow" w:hAnsi="Arial Narrow" w:cs="Times New Roman"/>
        </w:rPr>
      </w:pPr>
      <w:r w:rsidRPr="00CE357F">
        <w:rPr>
          <w:rFonts w:ascii="Arial Narrow" w:hAnsi="Arial Narrow" w:cs="Times New Roman"/>
        </w:rPr>
        <w:t xml:space="preserve">Data objektivní </w:t>
      </w:r>
      <w:proofErr w:type="spellStart"/>
      <w:r w:rsidRPr="00CE357F">
        <w:rPr>
          <w:rFonts w:ascii="Arial Narrow" w:hAnsi="Arial Narrow" w:cs="Times New Roman"/>
        </w:rPr>
        <w:t>překvalifikovanosti</w:t>
      </w:r>
      <w:proofErr w:type="spellEnd"/>
      <w:r w:rsidRPr="00CE357F">
        <w:rPr>
          <w:rFonts w:ascii="Arial Narrow" w:hAnsi="Arial Narrow" w:cs="Times New Roman"/>
        </w:rPr>
        <w:t xml:space="preserve"> </w:t>
      </w:r>
      <w:r w:rsidRPr="00CE357F">
        <w:rPr>
          <w:rFonts w:ascii="Arial Narrow" w:hAnsi="Arial Narrow"/>
        </w:rPr>
        <w:t>osob s jinou státní příslušností</w:t>
      </w:r>
      <w:r w:rsidRPr="00CE357F">
        <w:rPr>
          <w:rFonts w:ascii="Arial Narrow" w:hAnsi="Arial Narrow" w:cs="Times New Roman"/>
        </w:rPr>
        <w:t xml:space="preserve"> nejsou pro všechny země dostupná, nicméně podle subjektivní </w:t>
      </w:r>
      <w:proofErr w:type="spellStart"/>
      <w:r w:rsidRPr="00CE357F">
        <w:rPr>
          <w:rFonts w:ascii="Arial Narrow" w:hAnsi="Arial Narrow" w:cs="Times New Roman"/>
        </w:rPr>
        <w:t>překvalifikovanosti</w:t>
      </w:r>
      <w:proofErr w:type="spellEnd"/>
      <w:r w:rsidRPr="00CE357F">
        <w:rPr>
          <w:rFonts w:ascii="Arial Narrow" w:hAnsi="Arial Narrow" w:cs="Times New Roman"/>
        </w:rPr>
        <w:t xml:space="preserve"> můžeme vidět, že v ČR mají výsledky opačnou tendenci než například v Rakousku, kde podle výsledků tohoto průzkumu bylo nejvíce překvalifikovaných (pro svou profesi) </w:t>
      </w:r>
      <w:r w:rsidRPr="00CE357F">
        <w:rPr>
          <w:rFonts w:ascii="Arial Narrow" w:hAnsi="Arial Narrow"/>
        </w:rPr>
        <w:t>osob s jinou státní příslušností</w:t>
      </w:r>
      <w:r w:rsidRPr="00CE357F">
        <w:rPr>
          <w:rFonts w:ascii="Arial Narrow" w:hAnsi="Arial Narrow" w:cs="Times New Roman"/>
        </w:rPr>
        <w:t xml:space="preserve"> z první generace. Nejvyšší hodnoty pro všechny kategorie byly zaznamenány ve Španělsku, kde se podle dostupných dat cítilo </w:t>
      </w:r>
      <w:proofErr w:type="spellStart"/>
      <w:r w:rsidRPr="00CE357F">
        <w:rPr>
          <w:rFonts w:ascii="Arial Narrow" w:hAnsi="Arial Narrow" w:cs="Times New Roman"/>
        </w:rPr>
        <w:t>překvalifikovaně</w:t>
      </w:r>
      <w:proofErr w:type="spellEnd"/>
      <w:r w:rsidRPr="00CE357F">
        <w:rPr>
          <w:rFonts w:ascii="Arial Narrow" w:hAnsi="Arial Narrow" w:cs="Times New Roman"/>
        </w:rPr>
        <w:t xml:space="preserve"> více než 50 % jedinců. Podle objektivní </w:t>
      </w:r>
      <w:proofErr w:type="spellStart"/>
      <w:r w:rsidRPr="00CE357F">
        <w:rPr>
          <w:rFonts w:ascii="Arial Narrow" w:hAnsi="Arial Narrow" w:cs="Times New Roman"/>
        </w:rPr>
        <w:t>překvalifikovanosti</w:t>
      </w:r>
      <w:proofErr w:type="spellEnd"/>
      <w:r w:rsidRPr="00CE357F">
        <w:rPr>
          <w:rFonts w:ascii="Arial Narrow" w:hAnsi="Arial Narrow" w:cs="Times New Roman"/>
        </w:rPr>
        <w:t xml:space="preserve"> jsou však čísla u 2. generace a rodilých občanů až o 15 % nižší.</w:t>
      </w:r>
    </w:p>
    <w:p w14:paraId="42EE9C52" w14:textId="343DBAAE" w:rsidR="00D6793F" w:rsidRPr="00CE357F" w:rsidRDefault="00D6793F" w:rsidP="00D6793F">
      <w:pPr>
        <w:tabs>
          <w:tab w:val="left" w:pos="3150"/>
        </w:tabs>
        <w:spacing w:before="240" w:line="276" w:lineRule="auto"/>
        <w:jc w:val="both"/>
        <w:rPr>
          <w:rFonts w:ascii="Arial Narrow" w:hAnsi="Arial Narrow"/>
          <w:b/>
          <w:sz w:val="20"/>
          <w:szCs w:val="20"/>
        </w:rPr>
      </w:pPr>
      <w:bookmarkStart w:id="364" w:name="_Toc94443761"/>
      <w:bookmarkStart w:id="365" w:name="_Toc136428901"/>
      <w:r w:rsidRPr="00CE357F">
        <w:rPr>
          <w:rFonts w:ascii="Arial Narrow" w:hAnsi="Arial Narrow"/>
          <w:b/>
          <w:sz w:val="20"/>
          <w:szCs w:val="20"/>
        </w:rPr>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57</w:t>
      </w:r>
      <w:r w:rsidR="00B63C25">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 xml:space="preserve">Subjektivní a objektivní míra </w:t>
      </w:r>
      <w:proofErr w:type="spellStart"/>
      <w:r w:rsidRPr="00CE357F">
        <w:rPr>
          <w:rFonts w:ascii="Arial Narrow" w:hAnsi="Arial Narrow"/>
          <w:b/>
          <w:bCs/>
          <w:sz w:val="20"/>
          <w:szCs w:val="20"/>
        </w:rPr>
        <w:t>překvalifikovanosti</w:t>
      </w:r>
      <w:bookmarkEnd w:id="364"/>
      <w:proofErr w:type="spellEnd"/>
      <w:r w:rsidR="00763B8D">
        <w:rPr>
          <w:rStyle w:val="Znakapoznpodarou"/>
          <w:rFonts w:ascii="Arial Narrow" w:hAnsi="Arial Narrow"/>
          <w:b/>
          <w:bCs/>
          <w:sz w:val="20"/>
          <w:szCs w:val="20"/>
        </w:rPr>
        <w:footnoteReference w:id="36"/>
      </w:r>
      <w:bookmarkEnd w:id="365"/>
      <w:r w:rsidRPr="00CE357F">
        <w:rPr>
          <w:rFonts w:ascii="Arial Narrow" w:hAnsi="Arial Narrow"/>
          <w:b/>
          <w:bCs/>
          <w:sz w:val="20"/>
          <w:szCs w:val="20"/>
        </w:rPr>
        <w:t xml:space="preserve"> </w:t>
      </w:r>
    </w:p>
    <w:p w14:paraId="56EFD493" w14:textId="77777777" w:rsidR="00D6793F" w:rsidRPr="00CE357F" w:rsidRDefault="00D6793F" w:rsidP="00D6793F">
      <w:pPr>
        <w:rPr>
          <w:rFonts w:ascii="Arial Narrow" w:hAnsi="Arial Narrow"/>
          <w:sz w:val="20"/>
          <w:szCs w:val="20"/>
        </w:rPr>
      </w:pPr>
      <w:r w:rsidRPr="00CE357F">
        <w:rPr>
          <w:rFonts w:ascii="Arial Narrow" w:hAnsi="Arial Narrow"/>
          <w:noProof/>
          <w:lang w:eastAsia="cs-CZ"/>
        </w:rPr>
        <w:drawing>
          <wp:inline distT="0" distB="0" distL="0" distR="0" wp14:anchorId="7E63DD12" wp14:editId="5AAACFEC">
            <wp:extent cx="5775960" cy="4400550"/>
            <wp:effectExtent l="0" t="0" r="15240" b="0"/>
            <wp:docPr id="33" name="Graf 33">
              <a:extLst xmlns:a="http://schemas.openxmlformats.org/drawingml/2006/main">
                <a:ext uri="{FF2B5EF4-FFF2-40B4-BE49-F238E27FC236}">
                  <a16:creationId xmlns:a16="http://schemas.microsoft.com/office/drawing/2014/main" id="{93B48063-C00B-452F-88F2-8550BFDBA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9BADCA0" w14:textId="2B1B58A4" w:rsidR="00D6793F" w:rsidRPr="00CE357F" w:rsidRDefault="00D6793F" w:rsidP="00D6793F">
      <w:pPr>
        <w:rPr>
          <w:rFonts w:ascii="Arial Narrow" w:hAnsi="Arial Narrow"/>
          <w:sz w:val="20"/>
          <w:szCs w:val="20"/>
        </w:rPr>
      </w:pPr>
      <w:r w:rsidRPr="00CE357F">
        <w:rPr>
          <w:rFonts w:ascii="Arial Narrow" w:hAnsi="Arial Narrow"/>
          <w:sz w:val="20"/>
          <w:szCs w:val="20"/>
        </w:rPr>
        <w:t xml:space="preserve">Zdroj: </w:t>
      </w:r>
      <w:r w:rsidR="006969E6" w:rsidRPr="00CE357F">
        <w:rPr>
          <w:rFonts w:ascii="Arial Narrow" w:hAnsi="Arial Narrow"/>
          <w:sz w:val="20"/>
          <w:szCs w:val="20"/>
        </w:rPr>
        <w:t>EUROSTAT</w:t>
      </w:r>
      <w:r w:rsidR="006969E6" w:rsidRPr="00CE357F">
        <w:rPr>
          <w:rFonts w:ascii="Arial Narrow" w:hAnsi="Arial Narrow"/>
          <w:sz w:val="20"/>
          <w:szCs w:val="20"/>
        </w:rPr>
        <w:tab/>
      </w:r>
      <w:r w:rsidR="006969E6" w:rsidRPr="00CE357F">
        <w:rPr>
          <w:rFonts w:ascii="Arial Narrow" w:hAnsi="Arial Narrow"/>
          <w:sz w:val="20"/>
          <w:szCs w:val="20"/>
        </w:rPr>
        <w:tab/>
      </w:r>
      <w:r w:rsidRPr="00CE357F">
        <w:rPr>
          <w:rFonts w:ascii="Arial Narrow" w:hAnsi="Arial Narrow"/>
          <w:sz w:val="20"/>
          <w:szCs w:val="20"/>
        </w:rPr>
        <w:tab/>
        <w:t xml:space="preserve">         </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w:t>
      </w:r>
      <w:proofErr w:type="spellStart"/>
      <w:r w:rsidRPr="00CE357F">
        <w:rPr>
          <w:rFonts w:ascii="Arial Narrow" w:hAnsi="Arial Narrow"/>
          <w:sz w:val="20"/>
          <w:szCs w:val="20"/>
        </w:rPr>
        <w:t>s.r.o</w:t>
      </w:r>
      <w:proofErr w:type="spellEnd"/>
    </w:p>
    <w:p w14:paraId="5B0E13F0" w14:textId="77777777" w:rsidR="002464D3" w:rsidRDefault="002464D3" w:rsidP="009817FE">
      <w:pPr>
        <w:tabs>
          <w:tab w:val="left" w:pos="3150"/>
        </w:tabs>
        <w:spacing w:after="120" w:line="276" w:lineRule="auto"/>
        <w:jc w:val="both"/>
        <w:rPr>
          <w:rFonts w:ascii="Arial Narrow" w:hAnsi="Arial Narrow" w:cs="Arial"/>
          <w:shd w:val="clear" w:color="auto" w:fill="FFFFFF"/>
        </w:rPr>
      </w:pPr>
    </w:p>
    <w:p w14:paraId="682DE4C5" w14:textId="15E57F5A" w:rsidR="00762FCD" w:rsidRPr="00BA2A84" w:rsidRDefault="00D6793F" w:rsidP="00BA2A84">
      <w:pPr>
        <w:tabs>
          <w:tab w:val="left" w:pos="3150"/>
        </w:tabs>
        <w:spacing w:after="120" w:line="276" w:lineRule="auto"/>
        <w:jc w:val="both"/>
        <w:rPr>
          <w:rFonts w:ascii="Arial Narrow" w:hAnsi="Arial Narrow" w:cs="Arial"/>
          <w:shd w:val="clear" w:color="auto" w:fill="FFFFFF"/>
        </w:rPr>
      </w:pPr>
      <w:r w:rsidRPr="00CE357F">
        <w:rPr>
          <w:rFonts w:ascii="Arial Narrow" w:hAnsi="Arial Narrow" w:cs="Arial"/>
          <w:shd w:val="clear" w:color="auto" w:fill="FFFFFF"/>
        </w:rPr>
        <w:lastRenderedPageBreak/>
        <w:t xml:space="preserve">Pro </w:t>
      </w:r>
      <w:r w:rsidRPr="00CE357F">
        <w:rPr>
          <w:rFonts w:ascii="Arial Narrow" w:hAnsi="Arial Narrow"/>
        </w:rPr>
        <w:t>osoby s jinou státní příslušností</w:t>
      </w:r>
      <w:r w:rsidRPr="00CE357F">
        <w:rPr>
          <w:rFonts w:ascii="Arial Narrow" w:hAnsi="Arial Narrow" w:cs="Arial"/>
          <w:shd w:val="clear" w:color="auto" w:fill="FFFFFF"/>
        </w:rPr>
        <w:t xml:space="preserve"> a jejich schopnost adaptace, tedy i nalezené zaměstnání, je důležitá i </w:t>
      </w:r>
      <w:r w:rsidRPr="00CE357F">
        <w:rPr>
          <w:rFonts w:ascii="Arial Narrow" w:hAnsi="Arial Narrow" w:cs="Arial"/>
          <w:b/>
          <w:bCs/>
          <w:shd w:val="clear" w:color="auto" w:fill="FFFFFF"/>
        </w:rPr>
        <w:t>úroveň jazykových schopností.</w:t>
      </w:r>
      <w:r w:rsidR="005F0140">
        <w:rPr>
          <w:rStyle w:val="Znakapoznpodarou"/>
          <w:rFonts w:ascii="Arial Narrow" w:hAnsi="Arial Narrow" w:cs="Arial"/>
          <w:b/>
          <w:bCs/>
          <w:shd w:val="clear" w:color="auto" w:fill="FFFFFF"/>
        </w:rPr>
        <w:footnoteReference w:id="37"/>
      </w:r>
      <w:r w:rsidRPr="00CE357F">
        <w:rPr>
          <w:rFonts w:ascii="Arial Narrow" w:hAnsi="Arial Narrow" w:cs="Arial"/>
          <w:shd w:val="clear" w:color="auto" w:fill="FFFFFF"/>
        </w:rPr>
        <w:t xml:space="preserve"> Z výzkumu v roce 2014 vyplynulo, že nejvíce </w:t>
      </w:r>
      <w:r w:rsidRPr="00CE357F">
        <w:rPr>
          <w:rFonts w:ascii="Arial Narrow" w:hAnsi="Arial Narrow"/>
        </w:rPr>
        <w:t>osob s jinou státní příslušností</w:t>
      </w:r>
      <w:r w:rsidRPr="00CE357F">
        <w:rPr>
          <w:rFonts w:ascii="Arial Narrow" w:hAnsi="Arial Narrow" w:cs="Arial"/>
          <w:shd w:val="clear" w:color="auto" w:fill="FFFFFF"/>
        </w:rPr>
        <w:t>, kte</w:t>
      </w:r>
      <w:r w:rsidR="00375766" w:rsidRPr="00CE357F">
        <w:rPr>
          <w:rFonts w:ascii="Arial Narrow" w:hAnsi="Arial Narrow" w:cs="Arial"/>
          <w:shd w:val="clear" w:color="auto" w:fill="FFFFFF"/>
        </w:rPr>
        <w:t>ré</w:t>
      </w:r>
      <w:r w:rsidRPr="00CE357F">
        <w:rPr>
          <w:rFonts w:ascii="Arial Narrow" w:hAnsi="Arial Narrow" w:cs="Arial"/>
          <w:shd w:val="clear" w:color="auto" w:fill="FFFFFF"/>
        </w:rPr>
        <w:t xml:space="preserve"> mluví mateřským jazykem země, bylo v tomto roce v Chorvatsku (89.2 %). Vysokého procenta dosáhlo i Slovensko (51,0 %) a Česká republika (43,7 %), což je dáno především tím, že velká část </w:t>
      </w:r>
      <w:r w:rsidR="00375766" w:rsidRPr="00CE357F">
        <w:rPr>
          <w:rFonts w:ascii="Arial Narrow" w:hAnsi="Arial Narrow"/>
        </w:rPr>
        <w:t xml:space="preserve">osob s jinou než českou státní příslušností </w:t>
      </w:r>
      <w:r w:rsidRPr="00CE357F">
        <w:rPr>
          <w:rFonts w:ascii="Arial Narrow" w:hAnsi="Arial Narrow" w:cs="Arial"/>
          <w:shd w:val="clear" w:color="auto" w:fill="FFFFFF"/>
        </w:rPr>
        <w:t xml:space="preserve">pochází z jednoho či druhého státu (tedy z bývalého Československa). Do Chorvatska zase nejčastěji přicházejí </w:t>
      </w:r>
      <w:r w:rsidRPr="00CE357F">
        <w:rPr>
          <w:rFonts w:ascii="Arial Narrow" w:hAnsi="Arial Narrow"/>
        </w:rPr>
        <w:t>osoby s jinou státní příslušností</w:t>
      </w:r>
      <w:r w:rsidRPr="00CE357F">
        <w:rPr>
          <w:rFonts w:ascii="Arial Narrow" w:hAnsi="Arial Narrow" w:cs="Arial"/>
          <w:shd w:val="clear" w:color="auto" w:fill="FFFFFF"/>
        </w:rPr>
        <w:t xml:space="preserve"> ze sousedních států, z nichž většina mluví jazykem ze stejné jazykové větve. Podobně je tomu i v Portugalsku, kam přichází nejvíce Španělů. Ačkoliv anglický jazyk je druhým nejrozšířenějším jazykem světa (za čínštinou), </w:t>
      </w:r>
      <w:r w:rsidR="003F2EDF">
        <w:rPr>
          <w:rFonts w:ascii="Arial Narrow" w:hAnsi="Arial Narrow" w:cs="Arial"/>
          <w:shd w:val="clear" w:color="auto" w:fill="FFFFFF"/>
        </w:rPr>
        <w:t xml:space="preserve">pouze 30 % </w:t>
      </w:r>
      <w:r w:rsidR="00375766" w:rsidRPr="00CE357F">
        <w:rPr>
          <w:rFonts w:ascii="Arial Narrow" w:hAnsi="Arial Narrow"/>
        </w:rPr>
        <w:t xml:space="preserve">osob s jinou státní příslušností </w:t>
      </w:r>
      <w:r w:rsidRPr="00CE357F">
        <w:rPr>
          <w:rFonts w:ascii="Arial Narrow" w:hAnsi="Arial Narrow" w:cs="Arial"/>
          <w:shd w:val="clear" w:color="auto" w:fill="FFFFFF"/>
        </w:rPr>
        <w:t>žijících v UK mluví na úrov</w:t>
      </w:r>
      <w:r w:rsidR="006969E6" w:rsidRPr="00CE357F">
        <w:rPr>
          <w:rFonts w:ascii="Arial Narrow" w:hAnsi="Arial Narrow" w:cs="Arial"/>
          <w:shd w:val="clear" w:color="auto" w:fill="FFFFFF"/>
        </w:rPr>
        <w:t>ni rodilého mluvčího</w:t>
      </w:r>
      <w:r w:rsidR="003F2EDF">
        <w:rPr>
          <w:rFonts w:ascii="Arial Narrow" w:hAnsi="Arial Narrow" w:cs="Arial"/>
          <w:shd w:val="clear" w:color="auto" w:fill="FFFFFF"/>
        </w:rPr>
        <w:t>.</w:t>
      </w:r>
      <w:bookmarkStart w:id="366" w:name="_Toc94443762"/>
      <w:bookmarkStart w:id="367" w:name="_Toc136428902"/>
    </w:p>
    <w:p w14:paraId="67EFA929" w14:textId="3036EAEE" w:rsidR="00D6793F" w:rsidRPr="00CE357F" w:rsidRDefault="00D6793F" w:rsidP="00D6793F">
      <w:pPr>
        <w:tabs>
          <w:tab w:val="left" w:pos="3150"/>
        </w:tabs>
        <w:spacing w:before="240" w:line="276" w:lineRule="auto"/>
        <w:jc w:val="both"/>
        <w:rPr>
          <w:rFonts w:ascii="Arial Narrow" w:hAnsi="Arial Narrow"/>
          <w:b/>
          <w:sz w:val="20"/>
          <w:szCs w:val="20"/>
        </w:rPr>
      </w:pPr>
      <w:r w:rsidRPr="00CE357F">
        <w:rPr>
          <w:rFonts w:ascii="Arial Narrow" w:hAnsi="Arial Narrow"/>
          <w:b/>
          <w:sz w:val="20"/>
          <w:szCs w:val="20"/>
        </w:rPr>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58</w:t>
      </w:r>
      <w:r w:rsidR="00B63C25">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Jazykové schopnosti osob s jinou státní příslušností ve vybraných evropských státech</w:t>
      </w:r>
      <w:bookmarkEnd w:id="366"/>
      <w:bookmarkEnd w:id="367"/>
      <w:r w:rsidRPr="00CE357F">
        <w:rPr>
          <w:rFonts w:ascii="Arial Narrow" w:hAnsi="Arial Narrow"/>
          <w:b/>
          <w:bCs/>
          <w:sz w:val="20"/>
          <w:szCs w:val="20"/>
        </w:rPr>
        <w:t xml:space="preserve"> </w:t>
      </w:r>
    </w:p>
    <w:p w14:paraId="70397989" w14:textId="77777777" w:rsidR="00D6793F" w:rsidRPr="00CE357F" w:rsidRDefault="00D6793F" w:rsidP="00D6793F">
      <w:pPr>
        <w:tabs>
          <w:tab w:val="left" w:pos="3150"/>
        </w:tabs>
        <w:jc w:val="both"/>
        <w:rPr>
          <w:rFonts w:ascii="Arial Narrow" w:hAnsi="Arial Narrow"/>
        </w:rPr>
      </w:pPr>
      <w:r w:rsidRPr="00CE357F">
        <w:rPr>
          <w:rFonts w:ascii="Arial Narrow" w:hAnsi="Arial Narrow"/>
          <w:noProof/>
          <w:lang w:eastAsia="cs-CZ"/>
        </w:rPr>
        <w:drawing>
          <wp:inline distT="0" distB="0" distL="0" distR="0" wp14:anchorId="1BCF514F" wp14:editId="4A13573E">
            <wp:extent cx="5814060" cy="5629275"/>
            <wp:effectExtent l="0" t="0" r="15240" b="952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8D125F4" w14:textId="68FDF44B" w:rsidR="00BA2A84" w:rsidRPr="00934E74" w:rsidRDefault="006969E6" w:rsidP="00934E74">
      <w:pPr>
        <w:tabs>
          <w:tab w:val="left" w:pos="3150"/>
        </w:tabs>
        <w:rPr>
          <w:rFonts w:ascii="Arial Narrow" w:hAnsi="Arial Narrow"/>
          <w:sz w:val="20"/>
          <w:szCs w:val="20"/>
        </w:rPr>
      </w:pPr>
      <w:r w:rsidRPr="00CE357F">
        <w:rPr>
          <w:rFonts w:ascii="Arial Narrow" w:hAnsi="Arial Narrow"/>
          <w:sz w:val="20"/>
          <w:szCs w:val="20"/>
        </w:rPr>
        <w:t>Zdroj: EUROSTAT</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w:t>
      </w:r>
      <w:r w:rsidR="00D6793F" w:rsidRPr="00CE357F">
        <w:rPr>
          <w:rFonts w:ascii="Arial Narrow" w:hAnsi="Arial Narrow"/>
          <w:sz w:val="20"/>
          <w:szCs w:val="20"/>
        </w:rPr>
        <w:t xml:space="preserve">: AUGUR </w:t>
      </w:r>
      <w:proofErr w:type="spellStart"/>
      <w:r w:rsidR="00D6793F" w:rsidRPr="00CE357F">
        <w:rPr>
          <w:rFonts w:ascii="Arial Narrow" w:hAnsi="Arial Narrow"/>
          <w:sz w:val="20"/>
          <w:szCs w:val="20"/>
        </w:rPr>
        <w:t>Consulting</w:t>
      </w:r>
      <w:proofErr w:type="spellEnd"/>
      <w:r w:rsidRPr="00CE357F">
        <w:rPr>
          <w:rFonts w:ascii="Arial Narrow" w:hAnsi="Arial Narrow"/>
          <w:sz w:val="20"/>
          <w:szCs w:val="20"/>
        </w:rPr>
        <w:t xml:space="preserve"> s.r.o.</w:t>
      </w:r>
      <w:bookmarkEnd w:id="350"/>
    </w:p>
    <w:p w14:paraId="08E97BBF" w14:textId="77777777" w:rsidR="00D6793F" w:rsidRPr="00CE357F" w:rsidRDefault="00D6793F" w:rsidP="00D6793F">
      <w:pPr>
        <w:pStyle w:val="Nadpis3"/>
      </w:pPr>
      <w:bookmarkStart w:id="368" w:name="_Toc94178157"/>
      <w:bookmarkStart w:id="369" w:name="_Toc136876092"/>
      <w:r w:rsidRPr="00CE357F">
        <w:lastRenderedPageBreak/>
        <w:t>Zaměstnávání osob s jinou než českou státní příslušností</w:t>
      </w:r>
      <w:bookmarkEnd w:id="368"/>
      <w:bookmarkEnd w:id="369"/>
      <w:r w:rsidRPr="00CE357F">
        <w:t xml:space="preserve"> </w:t>
      </w:r>
    </w:p>
    <w:p w14:paraId="003CF1FB" w14:textId="77777777" w:rsidR="00D6793F" w:rsidRPr="00CE357F" w:rsidRDefault="00D6793F" w:rsidP="00D6793F">
      <w:pPr>
        <w:spacing w:line="276" w:lineRule="auto"/>
        <w:rPr>
          <w:rFonts w:ascii="Arial Narrow" w:eastAsia="Times New Roman" w:hAnsi="Arial Narrow" w:cs="Tahoma"/>
          <w:b/>
          <w:bCs/>
          <w:color w:val="BF1627"/>
          <w:lang w:eastAsia="cs-CZ"/>
        </w:rPr>
      </w:pPr>
    </w:p>
    <w:p w14:paraId="3D1BE860" w14:textId="77777777" w:rsidR="00D6793F" w:rsidRPr="00CE357F" w:rsidRDefault="00D6793F" w:rsidP="00475804">
      <w:pPr>
        <w:spacing w:after="120" w:line="276" w:lineRule="auto"/>
        <w:jc w:val="both"/>
        <w:rPr>
          <w:rFonts w:ascii="Arial Narrow" w:hAnsi="Arial Narrow"/>
          <w:szCs w:val="20"/>
        </w:rPr>
      </w:pPr>
      <w:r w:rsidRPr="00CE357F">
        <w:rPr>
          <w:rFonts w:ascii="Arial Narrow" w:hAnsi="Arial Narrow"/>
          <w:szCs w:val="20"/>
        </w:rPr>
        <w:t>Osoby s jinou než českou státní příslušností mohou v České republice vykonávat výdělečnou činnost v pozici zaměstnance i samostatně výdělečné činnosti (podnikatelé). Souhrnné údaje o osobách s jinou než českou státní příslušností v pozicích zaměstnanců v České republice evidují Ministerstvo práce a sociálních věcí, potažmo Úřady práce. Souhrnné údaje o osobách s jinou než českou státní příslušností v pozicích samostatně výdělečných osob (podnikatelů) eviduje Ministerstvo průmyslu a obchodu.</w:t>
      </w:r>
    </w:p>
    <w:p w14:paraId="72AE7B92" w14:textId="77777777" w:rsidR="00D6793F" w:rsidRPr="00CE357F" w:rsidRDefault="00D6793F" w:rsidP="00475804">
      <w:pPr>
        <w:spacing w:after="120" w:line="276" w:lineRule="auto"/>
        <w:jc w:val="both"/>
        <w:rPr>
          <w:rFonts w:ascii="Arial Narrow" w:hAnsi="Arial Narrow"/>
          <w:szCs w:val="20"/>
        </w:rPr>
      </w:pPr>
      <w:r w:rsidRPr="00CE357F">
        <w:rPr>
          <w:rFonts w:ascii="Arial Narrow" w:hAnsi="Arial Narrow"/>
          <w:szCs w:val="20"/>
        </w:rPr>
        <w:t>Jakožto zaměstnance v dalších kapitolách této zprávy chápeme všechny osoby s jinou než českou státní příslušností, kteří v České republice vykonávají výdělečnou činnost na základě platných povolení k zaměstnání, informačních karet občanů EU/EHP a Švýcarska, informačních karet pro osoby s jinou než českou státní příslušností, které nepotřebují pracovní povolení. Občané EU/EHP a Švýcarska mají od 1. 5. 2004 na území České republiky volný přístup na pracovní trh, mohou být tedy v principu zaměstnáváni stejným způsobem jako občané České republiky. Stejné podmínky platí také pro jejich rodinné příslušníky. Osoby s jinou než českou státní příslušností pocházející ze třetích zemí mohou být na území České republiky v pozici zaměstnance za podmínky, že splnili některou z podmínek uvedených v zákonu č. 435/2004 Sb., o zaměstnanosti, ve znění pozdějších předpisů, pokud tento zákon nestanovuje jinak.</w:t>
      </w:r>
    </w:p>
    <w:p w14:paraId="2AC79051" w14:textId="77777777" w:rsidR="00D6793F" w:rsidRPr="00CE357F" w:rsidRDefault="00D6793F" w:rsidP="00475804">
      <w:pPr>
        <w:spacing w:after="120" w:line="276" w:lineRule="auto"/>
        <w:jc w:val="both"/>
        <w:rPr>
          <w:rFonts w:ascii="Arial Narrow" w:hAnsi="Arial Narrow"/>
          <w:szCs w:val="20"/>
        </w:rPr>
      </w:pPr>
      <w:r w:rsidRPr="00CE357F">
        <w:rPr>
          <w:rFonts w:ascii="Arial Narrow" w:hAnsi="Arial Narrow"/>
          <w:szCs w:val="20"/>
        </w:rPr>
        <w:t xml:space="preserve">Za osoby samostatně výdělečné činné považujeme všechny osoby s jinou než českou státní příslušností, které vykonávají výdělečnou činnost na základě platného živnostenského oprávnění. Osoby s jinou než českou státní příslušností mohou vykonávat samostatně výdělečnou činnost za stejných podmínek jako občané České republiky v případě, že splní všechny náležitosti vyplývající ze zákona č. 455/1991 Sb., o živnostenském podnikání. </w:t>
      </w:r>
    </w:p>
    <w:p w14:paraId="44F84C11" w14:textId="74C27F23" w:rsidR="00D6793F" w:rsidRPr="00CE357F" w:rsidRDefault="00E30EC7" w:rsidP="00D6793F">
      <w:pPr>
        <w:spacing w:after="240"/>
        <w:rPr>
          <w:rFonts w:ascii="Arial Narrow" w:hAnsi="Arial Narrow"/>
          <w:b/>
          <w:bCs/>
        </w:rPr>
      </w:pPr>
      <w:r>
        <w:rPr>
          <w:rFonts w:ascii="Arial Narrow" w:hAnsi="Arial Narrow"/>
          <w:b/>
          <w:bCs/>
          <w:color w:val="C00000"/>
        </w:rPr>
        <w:br/>
      </w:r>
      <w:r w:rsidR="00D6793F" w:rsidRPr="00CE357F">
        <w:rPr>
          <w:rFonts w:ascii="Arial Narrow" w:hAnsi="Arial Narrow"/>
          <w:b/>
          <w:bCs/>
          <w:color w:val="C00000"/>
        </w:rPr>
        <w:t>Zaměstnávání osob s jinou než českou státní příslušností v České republice a Jihomoravském kraji</w:t>
      </w:r>
    </w:p>
    <w:p w14:paraId="67F9B817" w14:textId="661B304E" w:rsidR="00E30EC7" w:rsidRPr="00CE357F" w:rsidRDefault="00E30EC7" w:rsidP="00E30EC7">
      <w:pPr>
        <w:spacing w:line="276" w:lineRule="auto"/>
        <w:jc w:val="both"/>
        <w:rPr>
          <w:rFonts w:ascii="Arial Narrow" w:hAnsi="Arial Narrow"/>
        </w:rPr>
      </w:pPr>
      <w:bookmarkStart w:id="370" w:name="_Toc94301338"/>
      <w:bookmarkStart w:id="371" w:name="_Toc94390127"/>
      <w:bookmarkStart w:id="372" w:name="_Toc94390212"/>
      <w:bookmarkStart w:id="373" w:name="_Toc94444096"/>
      <w:bookmarkStart w:id="374" w:name="_Toc95386873"/>
      <w:bookmarkStart w:id="375" w:name="_Toc95386965"/>
      <w:bookmarkStart w:id="376" w:name="_Toc95731973"/>
      <w:bookmarkStart w:id="377" w:name="_Toc95733318"/>
      <w:bookmarkStart w:id="378" w:name="_Toc95821878"/>
      <w:bookmarkStart w:id="379" w:name="_Toc95986712"/>
      <w:bookmarkStart w:id="380" w:name="_Toc125635439"/>
      <w:bookmarkStart w:id="381" w:name="_Hlk95744356"/>
      <w:bookmarkStart w:id="382" w:name="_Toc94178158"/>
      <w:bookmarkEnd w:id="370"/>
      <w:bookmarkEnd w:id="371"/>
      <w:bookmarkEnd w:id="372"/>
      <w:bookmarkEnd w:id="373"/>
      <w:bookmarkEnd w:id="374"/>
      <w:bookmarkEnd w:id="375"/>
      <w:bookmarkEnd w:id="376"/>
      <w:bookmarkEnd w:id="377"/>
      <w:bookmarkEnd w:id="378"/>
      <w:bookmarkEnd w:id="379"/>
      <w:bookmarkEnd w:id="380"/>
      <w:r>
        <w:rPr>
          <w:rFonts w:ascii="Arial Narrow" w:hAnsi="Arial Narrow"/>
        </w:rPr>
        <w:t>K 31. 12. 2022</w:t>
      </w:r>
      <w:r w:rsidRPr="00CE357F">
        <w:rPr>
          <w:rFonts w:ascii="Arial Narrow" w:hAnsi="Arial Narrow"/>
        </w:rPr>
        <w:t xml:space="preserve"> bylo v České republice</w:t>
      </w:r>
      <w:r>
        <w:rPr>
          <w:rFonts w:ascii="Arial Narrow" w:hAnsi="Arial Narrow"/>
        </w:rPr>
        <w:t xml:space="preserve"> ekonomicky aktivních celkem 793</w:t>
      </w:r>
      <w:r w:rsidRPr="00CE357F">
        <w:rPr>
          <w:rFonts w:ascii="Arial Narrow" w:hAnsi="Arial Narrow"/>
        </w:rPr>
        <w:t> </w:t>
      </w:r>
      <w:r>
        <w:rPr>
          <w:rFonts w:ascii="Arial Narrow" w:hAnsi="Arial Narrow"/>
        </w:rPr>
        <w:t>2</w:t>
      </w:r>
      <w:r w:rsidRPr="00CE357F">
        <w:rPr>
          <w:rFonts w:ascii="Arial Narrow" w:hAnsi="Arial Narrow"/>
        </w:rPr>
        <w:t>9</w:t>
      </w:r>
      <w:r>
        <w:rPr>
          <w:rFonts w:ascii="Arial Narrow" w:hAnsi="Arial Narrow"/>
        </w:rPr>
        <w:t>0</w:t>
      </w:r>
      <w:r w:rsidRPr="00CE357F">
        <w:rPr>
          <w:rFonts w:ascii="Arial Narrow" w:hAnsi="Arial Narrow"/>
        </w:rPr>
        <w:t xml:space="preserve"> osob s jinou než českou státní příslušností. V Jih</w:t>
      </w:r>
      <w:r>
        <w:rPr>
          <w:rFonts w:ascii="Arial Narrow" w:hAnsi="Arial Narrow"/>
        </w:rPr>
        <w:t>omoravském kraji se jednalo o 91 375</w:t>
      </w:r>
      <w:r w:rsidRPr="00CE357F">
        <w:rPr>
          <w:rFonts w:ascii="Arial Narrow" w:hAnsi="Arial Narrow"/>
        </w:rPr>
        <w:t xml:space="preserve"> ekonomicky aktivních osob s jinou než českou státní přís</w:t>
      </w:r>
      <w:r>
        <w:rPr>
          <w:rFonts w:ascii="Arial Narrow" w:hAnsi="Arial Narrow"/>
        </w:rPr>
        <w:t>lušností, což představuje asi 11</w:t>
      </w:r>
      <w:r w:rsidRPr="00CE357F">
        <w:rPr>
          <w:rFonts w:ascii="Arial Narrow" w:hAnsi="Arial Narrow"/>
        </w:rPr>
        <w:t xml:space="preserve">,5 % všech zaměstnaných osob s jinou než českou státní příslušností v České republice. </w:t>
      </w:r>
      <w:bookmarkEnd w:id="381"/>
      <w:r w:rsidRPr="00CE357F">
        <w:rPr>
          <w:rFonts w:ascii="Arial Narrow" w:hAnsi="Arial Narrow"/>
        </w:rPr>
        <w:t>Počet zaměstnaných osob s jinou než českou státní příslušností v jednotlivých krajích České republiky podrobně dokumentuje graf</w:t>
      </w:r>
      <w:r w:rsidR="00577D12">
        <w:rPr>
          <w:rFonts w:ascii="Arial Narrow" w:hAnsi="Arial Narrow"/>
        </w:rPr>
        <w:t xml:space="preserve"> č. 59</w:t>
      </w:r>
      <w:r w:rsidRPr="00CE357F">
        <w:rPr>
          <w:rFonts w:ascii="Arial Narrow" w:hAnsi="Arial Narrow"/>
        </w:rPr>
        <w:t xml:space="preserve">. </w:t>
      </w:r>
    </w:p>
    <w:p w14:paraId="72184B28" w14:textId="1307533C" w:rsidR="00E30EC7" w:rsidRPr="00CE357F" w:rsidRDefault="00E30EC7" w:rsidP="00E30EC7">
      <w:pPr>
        <w:tabs>
          <w:tab w:val="left" w:pos="3150"/>
        </w:tabs>
        <w:spacing w:before="240"/>
        <w:jc w:val="both"/>
        <w:rPr>
          <w:rFonts w:ascii="Arial Narrow" w:hAnsi="Arial Narrow"/>
          <w:b/>
          <w:bCs/>
          <w:sz w:val="20"/>
          <w:szCs w:val="20"/>
        </w:rPr>
      </w:pPr>
      <w:bookmarkStart w:id="383" w:name="_Toc94443763"/>
      <w:bookmarkStart w:id="384" w:name="_Toc136428903"/>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59</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Počet zaměstnaných osob s jinou než českou státní příslušností v jednotlivých krajích ČR v roce 202</w:t>
      </w:r>
      <w:bookmarkEnd w:id="383"/>
      <w:r>
        <w:rPr>
          <w:rFonts w:ascii="Arial Narrow" w:hAnsi="Arial Narrow"/>
          <w:b/>
          <w:bCs/>
          <w:sz w:val="20"/>
          <w:szCs w:val="20"/>
        </w:rPr>
        <w:t>2</w:t>
      </w:r>
      <w:bookmarkEnd w:id="384"/>
    </w:p>
    <w:p w14:paraId="29082097" w14:textId="77777777" w:rsidR="00E30EC7" w:rsidRPr="00CE357F" w:rsidRDefault="00E30EC7" w:rsidP="00E30EC7">
      <w:pPr>
        <w:rPr>
          <w:rFonts w:ascii="Arial Narrow" w:hAnsi="Arial Narrow"/>
        </w:rPr>
      </w:pPr>
      <w:r w:rsidRPr="00CE357F">
        <w:rPr>
          <w:rFonts w:ascii="Arial Narrow" w:hAnsi="Arial Narrow"/>
          <w:noProof/>
          <w:lang w:eastAsia="cs-CZ"/>
        </w:rPr>
        <w:drawing>
          <wp:inline distT="0" distB="0" distL="0" distR="0" wp14:anchorId="5FBD5EC2" wp14:editId="7EE92A5D">
            <wp:extent cx="5760720" cy="2590800"/>
            <wp:effectExtent l="0" t="0" r="1143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7D6F96D" w14:textId="77777777" w:rsidR="00E30EC7" w:rsidRPr="00CE357F" w:rsidRDefault="00E30EC7" w:rsidP="00E30EC7">
      <w:pPr>
        <w:rPr>
          <w:rFonts w:ascii="Arial Narrow" w:hAnsi="Arial Narrow"/>
          <w:sz w:val="20"/>
        </w:rPr>
      </w:pPr>
      <w:r w:rsidRPr="00CE357F">
        <w:rPr>
          <w:rFonts w:ascii="Arial Narrow" w:hAnsi="Arial Narrow"/>
          <w:sz w:val="20"/>
        </w:rPr>
        <w:t>Zdroj: Ministerstvo práce a sociálních věcí</w:t>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1F1C452E" w14:textId="7F6BFA0F" w:rsidR="00E30EC7" w:rsidRPr="00577D12" w:rsidRDefault="00E30EC7" w:rsidP="00E30EC7">
      <w:pPr>
        <w:spacing w:before="240" w:line="276" w:lineRule="auto"/>
        <w:jc w:val="both"/>
        <w:rPr>
          <w:rFonts w:ascii="Arial Narrow" w:hAnsi="Arial Narrow"/>
        </w:rPr>
      </w:pPr>
      <w:bookmarkStart w:id="385" w:name="_Hlk95744381"/>
      <w:r w:rsidRPr="00CE357F">
        <w:rPr>
          <w:rFonts w:ascii="Arial Narrow" w:hAnsi="Arial Narrow"/>
          <w:szCs w:val="20"/>
        </w:rPr>
        <w:lastRenderedPageBreak/>
        <w:t>V</w:t>
      </w:r>
      <w:r>
        <w:rPr>
          <w:rFonts w:ascii="Arial Narrow" w:hAnsi="Arial Narrow"/>
          <w:szCs w:val="20"/>
        </w:rPr>
        <w:t> České republice v prosinci 2022</w:t>
      </w:r>
      <w:r w:rsidRPr="00CE357F">
        <w:rPr>
          <w:rFonts w:ascii="Arial Narrow" w:hAnsi="Arial Narrow"/>
          <w:szCs w:val="20"/>
        </w:rPr>
        <w:t xml:space="preserve"> </w:t>
      </w:r>
      <w:r w:rsidR="00EA4A74">
        <w:rPr>
          <w:rFonts w:ascii="Arial Narrow" w:hAnsi="Arial Narrow"/>
          <w:szCs w:val="20"/>
        </w:rPr>
        <w:t xml:space="preserve">pracovalo </w:t>
      </w:r>
      <w:r w:rsidRPr="00CE357F">
        <w:rPr>
          <w:rFonts w:ascii="Arial Narrow" w:hAnsi="Arial Narrow"/>
          <w:szCs w:val="20"/>
        </w:rPr>
        <w:t>v pozici zamě</w:t>
      </w:r>
      <w:r>
        <w:rPr>
          <w:rFonts w:ascii="Arial Narrow" w:hAnsi="Arial Narrow"/>
          <w:szCs w:val="20"/>
        </w:rPr>
        <w:t>stnanců celkem 739 290</w:t>
      </w:r>
      <w:r w:rsidRPr="00CE357F">
        <w:rPr>
          <w:rFonts w:ascii="Arial Narrow" w:hAnsi="Arial Narrow"/>
          <w:szCs w:val="20"/>
        </w:rPr>
        <w:t xml:space="preserve"> osob s jinou než českou státní příslušností. Počet těchto osob v pozici zaměstnanců v České republice dlou</w:t>
      </w:r>
      <w:r>
        <w:rPr>
          <w:rFonts w:ascii="Arial Narrow" w:hAnsi="Arial Narrow"/>
          <w:szCs w:val="20"/>
        </w:rPr>
        <w:t>hodobě narůstá ve všech krajích.</w:t>
      </w:r>
      <w:bookmarkEnd w:id="385"/>
      <w:r w:rsidR="00577D12">
        <w:rPr>
          <w:rFonts w:ascii="Arial Narrow" w:hAnsi="Arial Narrow"/>
        </w:rPr>
        <w:t xml:space="preserve"> </w:t>
      </w:r>
      <w:r w:rsidRPr="00CE357F">
        <w:rPr>
          <w:rFonts w:ascii="Arial Narrow" w:hAnsi="Arial Narrow"/>
        </w:rPr>
        <w:t>Vývoj počtu zaměstnaných osob s jinou než českou státní příslušností v letech 20</w:t>
      </w:r>
      <w:r>
        <w:rPr>
          <w:rFonts w:ascii="Arial Narrow" w:hAnsi="Arial Narrow"/>
        </w:rPr>
        <w:t>15-2022</w:t>
      </w:r>
      <w:r w:rsidRPr="00CE357F">
        <w:rPr>
          <w:rFonts w:ascii="Arial Narrow" w:hAnsi="Arial Narrow"/>
        </w:rPr>
        <w:t xml:space="preserve"> v jednotlivých krajích podrobně dokumentuje následující tabulka</w:t>
      </w:r>
      <w:r w:rsidR="00577D12">
        <w:rPr>
          <w:rFonts w:ascii="Arial Narrow" w:hAnsi="Arial Narrow"/>
        </w:rPr>
        <w:t xml:space="preserve"> č. 18</w:t>
      </w:r>
      <w:r w:rsidRPr="00CE357F">
        <w:rPr>
          <w:rFonts w:ascii="Arial Narrow" w:hAnsi="Arial Narrow"/>
        </w:rPr>
        <w:t>.</w:t>
      </w:r>
    </w:p>
    <w:p w14:paraId="1A96B70D" w14:textId="77777777" w:rsidR="00E30EC7" w:rsidRPr="00CE357F" w:rsidRDefault="00E30EC7" w:rsidP="00E30EC7">
      <w:pPr>
        <w:spacing w:line="276" w:lineRule="auto"/>
        <w:jc w:val="both"/>
        <w:rPr>
          <w:rFonts w:ascii="Arial Narrow" w:hAnsi="Arial Narrow"/>
          <w:sz w:val="18"/>
          <w:szCs w:val="18"/>
        </w:rPr>
      </w:pPr>
    </w:p>
    <w:p w14:paraId="22F93030" w14:textId="7752C976" w:rsidR="00E30EC7" w:rsidRPr="00CE357F" w:rsidRDefault="5A58A728" w:rsidP="2460258F">
      <w:pPr>
        <w:spacing w:line="276" w:lineRule="auto"/>
        <w:jc w:val="both"/>
        <w:rPr>
          <w:rFonts w:ascii="Arial Narrow" w:hAnsi="Arial Narrow"/>
          <w:b/>
          <w:bCs/>
          <w:sz w:val="24"/>
          <w:szCs w:val="24"/>
        </w:rPr>
      </w:pPr>
      <w:bookmarkStart w:id="386" w:name="_Toc136429229"/>
      <w:r w:rsidRPr="2460258F">
        <w:rPr>
          <w:rFonts w:ascii="Arial Narrow" w:hAnsi="Arial Narrow"/>
          <w:b/>
          <w:bCs/>
          <w:sz w:val="20"/>
          <w:szCs w:val="20"/>
        </w:rPr>
        <w:t xml:space="preserve">Tabulka </w:t>
      </w:r>
      <w:r w:rsidR="00E30EC7" w:rsidRPr="2460258F">
        <w:rPr>
          <w:rFonts w:ascii="Arial Narrow" w:hAnsi="Arial Narrow"/>
          <w:b/>
          <w:bCs/>
          <w:sz w:val="20"/>
          <w:szCs w:val="20"/>
        </w:rPr>
        <w:fldChar w:fldCharType="begin"/>
      </w:r>
      <w:r w:rsidR="00E30EC7" w:rsidRPr="2460258F">
        <w:rPr>
          <w:rFonts w:ascii="Arial Narrow" w:hAnsi="Arial Narrow"/>
          <w:b/>
          <w:bCs/>
          <w:sz w:val="20"/>
          <w:szCs w:val="20"/>
        </w:rPr>
        <w:instrText xml:space="preserve"> SEQ Tabulka \* ARABIC </w:instrText>
      </w:r>
      <w:r w:rsidR="00E30EC7" w:rsidRPr="2460258F">
        <w:rPr>
          <w:rFonts w:ascii="Arial Narrow" w:hAnsi="Arial Narrow"/>
          <w:b/>
          <w:bCs/>
          <w:sz w:val="20"/>
          <w:szCs w:val="20"/>
        </w:rPr>
        <w:fldChar w:fldCharType="separate"/>
      </w:r>
      <w:r w:rsidR="7DE39459" w:rsidRPr="2460258F">
        <w:rPr>
          <w:rFonts w:ascii="Arial Narrow" w:hAnsi="Arial Narrow"/>
          <w:b/>
          <w:bCs/>
          <w:noProof/>
          <w:sz w:val="20"/>
          <w:szCs w:val="20"/>
        </w:rPr>
        <w:t>18</w:t>
      </w:r>
      <w:r w:rsidR="00E30EC7" w:rsidRPr="2460258F">
        <w:rPr>
          <w:rFonts w:ascii="Arial Narrow" w:hAnsi="Arial Narrow"/>
          <w:b/>
          <w:bCs/>
          <w:sz w:val="20"/>
          <w:szCs w:val="20"/>
        </w:rPr>
        <w:fldChar w:fldCharType="end"/>
      </w:r>
      <w:r w:rsidRPr="2460258F">
        <w:rPr>
          <w:rFonts w:ascii="Arial Narrow" w:hAnsi="Arial Narrow"/>
          <w:b/>
          <w:bCs/>
          <w:sz w:val="20"/>
          <w:szCs w:val="20"/>
        </w:rPr>
        <w:t xml:space="preserve">:  </w:t>
      </w:r>
      <w:r w:rsidRPr="2460258F">
        <w:rPr>
          <w:rFonts w:ascii="Arial Narrow" w:hAnsi="Arial Narrow"/>
          <w:b/>
          <w:bCs/>
          <w:color w:val="000000" w:themeColor="text1"/>
          <w:sz w:val="20"/>
          <w:szCs w:val="20"/>
        </w:rPr>
        <w:t>Osoby s jinou než českou státní příslušností evidovan</w:t>
      </w:r>
      <w:r w:rsidR="01024582" w:rsidRPr="2460258F">
        <w:rPr>
          <w:rFonts w:ascii="Arial Narrow" w:hAnsi="Arial Narrow"/>
          <w:b/>
          <w:bCs/>
          <w:color w:val="000000" w:themeColor="text1"/>
          <w:sz w:val="20"/>
          <w:szCs w:val="20"/>
        </w:rPr>
        <w:t>é</w:t>
      </w:r>
      <w:r w:rsidRPr="2460258F">
        <w:rPr>
          <w:rFonts w:ascii="Arial Narrow" w:hAnsi="Arial Narrow"/>
          <w:b/>
          <w:bCs/>
          <w:color w:val="000000" w:themeColor="text1"/>
          <w:sz w:val="20"/>
          <w:szCs w:val="20"/>
        </w:rPr>
        <w:t xml:space="preserve"> na úřadech práce v České republice – prosinec 2015-2022 – územní srovnání</w:t>
      </w:r>
      <w:bookmarkEnd w:id="386"/>
    </w:p>
    <w:tbl>
      <w:tblPr>
        <w:tblW w:w="9062"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669"/>
        <w:gridCol w:w="924"/>
        <w:gridCol w:w="924"/>
        <w:gridCol w:w="924"/>
        <w:gridCol w:w="924"/>
        <w:gridCol w:w="924"/>
        <w:gridCol w:w="924"/>
        <w:gridCol w:w="924"/>
        <w:gridCol w:w="925"/>
      </w:tblGrid>
      <w:tr w:rsidR="00E30EC7" w:rsidRPr="00CE357F" w14:paraId="43211DE4" w14:textId="77777777" w:rsidTr="004A0C47">
        <w:trPr>
          <w:trHeight w:val="924"/>
          <w:jc w:val="center"/>
        </w:trPr>
        <w:tc>
          <w:tcPr>
            <w:tcW w:w="1669" w:type="dxa"/>
            <w:shd w:val="clear" w:color="auto" w:fill="D9E2F3" w:themeFill="accent1" w:themeFillTint="33"/>
            <w:vAlign w:val="center"/>
            <w:hideMark/>
          </w:tcPr>
          <w:p w14:paraId="4CBA5955" w14:textId="77777777" w:rsidR="00E30EC7" w:rsidRPr="00CE357F" w:rsidRDefault="00E30EC7" w:rsidP="004A0C47">
            <w:pPr>
              <w:jc w:val="center"/>
              <w:rPr>
                <w:rFonts w:ascii="Arial Narrow" w:eastAsia="Times New Roman" w:hAnsi="Arial Narrow" w:cs="Arial"/>
                <w:b/>
                <w:bCs/>
                <w:sz w:val="18"/>
                <w:szCs w:val="18"/>
                <w:lang w:eastAsia="cs-CZ"/>
              </w:rPr>
            </w:pPr>
            <w:bookmarkStart w:id="387" w:name="_Hlk92355772"/>
          </w:p>
        </w:tc>
        <w:tc>
          <w:tcPr>
            <w:tcW w:w="924" w:type="dxa"/>
            <w:shd w:val="clear" w:color="auto" w:fill="D9E2F3" w:themeFill="accent1" w:themeFillTint="33"/>
            <w:vAlign w:val="center"/>
          </w:tcPr>
          <w:p w14:paraId="2401FF0D"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Prosinec 2015</w:t>
            </w:r>
          </w:p>
        </w:tc>
        <w:tc>
          <w:tcPr>
            <w:tcW w:w="924" w:type="dxa"/>
            <w:shd w:val="clear" w:color="auto" w:fill="D9E2F3" w:themeFill="accent1" w:themeFillTint="33"/>
            <w:vAlign w:val="center"/>
          </w:tcPr>
          <w:p w14:paraId="7BA26225"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Prosinec 2016</w:t>
            </w:r>
          </w:p>
        </w:tc>
        <w:tc>
          <w:tcPr>
            <w:tcW w:w="924" w:type="dxa"/>
            <w:shd w:val="clear" w:color="auto" w:fill="D9E2F3" w:themeFill="accent1" w:themeFillTint="33"/>
            <w:vAlign w:val="center"/>
          </w:tcPr>
          <w:p w14:paraId="1F9C3023"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Prosinec 2017</w:t>
            </w:r>
          </w:p>
        </w:tc>
        <w:tc>
          <w:tcPr>
            <w:tcW w:w="924" w:type="dxa"/>
            <w:shd w:val="clear" w:color="auto" w:fill="D9E2F3" w:themeFill="accent1" w:themeFillTint="33"/>
            <w:vAlign w:val="center"/>
          </w:tcPr>
          <w:p w14:paraId="45EF6A95"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Prosinec 2018</w:t>
            </w:r>
          </w:p>
        </w:tc>
        <w:tc>
          <w:tcPr>
            <w:tcW w:w="924" w:type="dxa"/>
            <w:shd w:val="clear" w:color="auto" w:fill="D9E2F3" w:themeFill="accent1" w:themeFillTint="33"/>
            <w:vAlign w:val="center"/>
          </w:tcPr>
          <w:p w14:paraId="0CD8B4FE"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Prosinec 2019</w:t>
            </w:r>
          </w:p>
        </w:tc>
        <w:tc>
          <w:tcPr>
            <w:tcW w:w="924" w:type="dxa"/>
            <w:shd w:val="clear" w:color="auto" w:fill="D9E2F3" w:themeFill="accent1" w:themeFillTint="33"/>
            <w:vAlign w:val="center"/>
          </w:tcPr>
          <w:p w14:paraId="70A42619"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Prosinec 2020</w:t>
            </w:r>
          </w:p>
        </w:tc>
        <w:tc>
          <w:tcPr>
            <w:tcW w:w="924" w:type="dxa"/>
            <w:shd w:val="clear" w:color="auto" w:fill="D9E2F3" w:themeFill="accent1" w:themeFillTint="33"/>
            <w:vAlign w:val="center"/>
          </w:tcPr>
          <w:p w14:paraId="64568544" w14:textId="77777777" w:rsidR="00E30EC7" w:rsidRPr="00CE357F"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Prosinec 2021</w:t>
            </w:r>
          </w:p>
        </w:tc>
        <w:tc>
          <w:tcPr>
            <w:tcW w:w="925" w:type="dxa"/>
            <w:shd w:val="clear" w:color="auto" w:fill="D9E2F3" w:themeFill="accent1" w:themeFillTint="33"/>
            <w:vAlign w:val="center"/>
          </w:tcPr>
          <w:p w14:paraId="66436907" w14:textId="77777777" w:rsidR="00E30EC7" w:rsidRPr="00CE357F"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Prosinec 2022</w:t>
            </w:r>
          </w:p>
        </w:tc>
      </w:tr>
      <w:tr w:rsidR="00E30EC7" w:rsidRPr="00CE357F" w14:paraId="6C5AB3EA" w14:textId="77777777" w:rsidTr="004A0C47">
        <w:trPr>
          <w:trHeight w:val="227"/>
          <w:jc w:val="center"/>
        </w:trPr>
        <w:tc>
          <w:tcPr>
            <w:tcW w:w="1669" w:type="dxa"/>
            <w:shd w:val="clear" w:color="auto" w:fill="D9E2F3" w:themeFill="accent1" w:themeFillTint="33"/>
            <w:vAlign w:val="center"/>
          </w:tcPr>
          <w:p w14:paraId="68848054"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hAnsi="Arial Narrow" w:cs="Arial"/>
                <w:b/>
                <w:bCs/>
                <w:sz w:val="18"/>
                <w:szCs w:val="18"/>
              </w:rPr>
              <w:t>Česká republika</w:t>
            </w:r>
          </w:p>
        </w:tc>
        <w:tc>
          <w:tcPr>
            <w:tcW w:w="924" w:type="dxa"/>
            <w:shd w:val="clear" w:color="auto" w:fill="FEE0D6"/>
            <w:vAlign w:val="center"/>
          </w:tcPr>
          <w:p w14:paraId="3E3C01D0"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323 135</w:t>
            </w:r>
          </w:p>
        </w:tc>
        <w:tc>
          <w:tcPr>
            <w:tcW w:w="924" w:type="dxa"/>
            <w:shd w:val="clear" w:color="auto" w:fill="FEE0D6"/>
            <w:vAlign w:val="center"/>
          </w:tcPr>
          <w:p w14:paraId="1F1E669A" w14:textId="77777777" w:rsidR="00E30EC7" w:rsidRPr="00CE357F" w:rsidRDefault="00E30EC7" w:rsidP="004A0C47">
            <w:pPr>
              <w:jc w:val="center"/>
              <w:rPr>
                <w:rFonts w:ascii="Arial Narrow" w:hAnsi="Arial Narrow" w:cs="Arial"/>
                <w:b/>
                <w:bCs/>
                <w:sz w:val="18"/>
                <w:szCs w:val="18"/>
              </w:rPr>
            </w:pPr>
            <w:r w:rsidRPr="00CE357F">
              <w:rPr>
                <w:rFonts w:ascii="Arial Narrow" w:hAnsi="Arial Narrow" w:cs="Arial"/>
                <w:b/>
                <w:bCs/>
                <w:sz w:val="18"/>
                <w:szCs w:val="18"/>
              </w:rPr>
              <w:t>382 850</w:t>
            </w:r>
          </w:p>
        </w:tc>
        <w:tc>
          <w:tcPr>
            <w:tcW w:w="924" w:type="dxa"/>
            <w:shd w:val="clear" w:color="auto" w:fill="FEE0D6"/>
          </w:tcPr>
          <w:p w14:paraId="6C52D3D8" w14:textId="77777777" w:rsidR="00E30EC7" w:rsidRPr="00CE357F" w:rsidRDefault="00E30EC7" w:rsidP="004A0C47">
            <w:pPr>
              <w:jc w:val="center"/>
              <w:rPr>
                <w:rFonts w:ascii="Arial Narrow" w:hAnsi="Arial Narrow" w:cs="Arial"/>
                <w:b/>
                <w:bCs/>
                <w:sz w:val="18"/>
                <w:szCs w:val="18"/>
              </w:rPr>
            </w:pPr>
            <w:r w:rsidRPr="00CE357F">
              <w:rPr>
                <w:rFonts w:ascii="Arial Narrow" w:hAnsi="Arial Narrow" w:cs="Arial"/>
                <w:b/>
                <w:bCs/>
                <w:sz w:val="18"/>
                <w:szCs w:val="18"/>
              </w:rPr>
              <w:t>472 347</w:t>
            </w:r>
          </w:p>
        </w:tc>
        <w:tc>
          <w:tcPr>
            <w:tcW w:w="924" w:type="dxa"/>
            <w:shd w:val="clear" w:color="auto" w:fill="FEE0D6"/>
          </w:tcPr>
          <w:p w14:paraId="4096049F" w14:textId="77777777" w:rsidR="00E30EC7" w:rsidRPr="00CE357F" w:rsidRDefault="00E30EC7" w:rsidP="004A0C47">
            <w:pPr>
              <w:jc w:val="center"/>
              <w:rPr>
                <w:rFonts w:ascii="Arial Narrow" w:hAnsi="Arial Narrow" w:cs="Arial"/>
                <w:b/>
                <w:bCs/>
                <w:sz w:val="18"/>
                <w:szCs w:val="18"/>
              </w:rPr>
            </w:pPr>
            <w:r w:rsidRPr="00CE357F">
              <w:rPr>
                <w:rFonts w:ascii="Arial Narrow" w:hAnsi="Arial Narrow" w:cs="Arial"/>
                <w:b/>
                <w:bCs/>
                <w:sz w:val="18"/>
                <w:szCs w:val="18"/>
              </w:rPr>
              <w:t>568 675</w:t>
            </w:r>
          </w:p>
        </w:tc>
        <w:tc>
          <w:tcPr>
            <w:tcW w:w="924" w:type="dxa"/>
            <w:shd w:val="clear" w:color="auto" w:fill="FEE0D6"/>
            <w:vAlign w:val="center"/>
          </w:tcPr>
          <w:p w14:paraId="563C2B0A" w14:textId="77777777" w:rsidR="00E30EC7" w:rsidRPr="00CE357F" w:rsidRDefault="00E30EC7" w:rsidP="004A0C47">
            <w:pPr>
              <w:jc w:val="center"/>
              <w:rPr>
                <w:rFonts w:ascii="Arial Narrow" w:hAnsi="Arial Narrow" w:cs="Arial"/>
                <w:b/>
                <w:bCs/>
                <w:sz w:val="18"/>
                <w:szCs w:val="18"/>
              </w:rPr>
            </w:pPr>
            <w:r w:rsidRPr="00CE357F">
              <w:rPr>
                <w:rFonts w:ascii="Arial Narrow" w:eastAsia="Times New Roman" w:hAnsi="Arial Narrow" w:cs="Arial"/>
                <w:b/>
                <w:bCs/>
                <w:sz w:val="18"/>
                <w:szCs w:val="18"/>
                <w:lang w:eastAsia="cs-CZ"/>
              </w:rPr>
              <w:t>621 870</w:t>
            </w:r>
          </w:p>
        </w:tc>
        <w:tc>
          <w:tcPr>
            <w:tcW w:w="924" w:type="dxa"/>
            <w:shd w:val="clear" w:color="auto" w:fill="FEE0D6"/>
            <w:vAlign w:val="center"/>
          </w:tcPr>
          <w:p w14:paraId="5D4C1252" w14:textId="77777777" w:rsidR="00E30EC7" w:rsidRPr="00CE357F" w:rsidRDefault="00E30EC7" w:rsidP="004A0C47">
            <w:pPr>
              <w:jc w:val="center"/>
              <w:rPr>
                <w:rFonts w:ascii="Arial Narrow" w:hAnsi="Arial Narrow" w:cs="Arial"/>
                <w:b/>
                <w:bCs/>
                <w:color w:val="000000" w:themeColor="text1"/>
                <w:sz w:val="18"/>
                <w:szCs w:val="18"/>
              </w:rPr>
            </w:pPr>
            <w:r w:rsidRPr="00CE357F">
              <w:rPr>
                <w:rFonts w:ascii="Arial Narrow" w:hAnsi="Arial Narrow" w:cs="Arial"/>
                <w:b/>
                <w:bCs/>
                <w:color w:val="000000" w:themeColor="text1"/>
                <w:sz w:val="18"/>
                <w:szCs w:val="18"/>
              </w:rPr>
              <w:t>644 164</w:t>
            </w:r>
          </w:p>
        </w:tc>
        <w:tc>
          <w:tcPr>
            <w:tcW w:w="924" w:type="dxa"/>
            <w:shd w:val="clear" w:color="auto" w:fill="FEE0D6"/>
          </w:tcPr>
          <w:p w14:paraId="4A67BF03" w14:textId="77777777" w:rsidR="00E30EC7" w:rsidRPr="00CE357F" w:rsidRDefault="00E30EC7" w:rsidP="004A0C47">
            <w:pPr>
              <w:jc w:val="center"/>
              <w:rPr>
                <w:rFonts w:ascii="Arial Narrow" w:hAnsi="Arial Narrow" w:cs="Arial"/>
                <w:b/>
                <w:bCs/>
                <w:color w:val="000000" w:themeColor="text1"/>
                <w:sz w:val="18"/>
                <w:szCs w:val="18"/>
              </w:rPr>
            </w:pPr>
            <w:r>
              <w:rPr>
                <w:rFonts w:ascii="Arial Narrow" w:hAnsi="Arial Narrow" w:cs="Arial"/>
                <w:b/>
                <w:bCs/>
                <w:color w:val="000000" w:themeColor="text1"/>
                <w:sz w:val="18"/>
                <w:szCs w:val="18"/>
              </w:rPr>
              <w:t>701 830</w:t>
            </w:r>
          </w:p>
        </w:tc>
        <w:tc>
          <w:tcPr>
            <w:tcW w:w="925" w:type="dxa"/>
            <w:shd w:val="clear" w:color="auto" w:fill="FEE0D6"/>
          </w:tcPr>
          <w:p w14:paraId="0917AD29" w14:textId="77777777" w:rsidR="00E30EC7" w:rsidRPr="00CE357F" w:rsidRDefault="00E30EC7" w:rsidP="004A0C47">
            <w:pPr>
              <w:jc w:val="center"/>
              <w:rPr>
                <w:rFonts w:ascii="Arial Narrow" w:hAnsi="Arial Narrow" w:cs="Arial"/>
                <w:b/>
                <w:bCs/>
                <w:color w:val="000000" w:themeColor="text1"/>
                <w:sz w:val="18"/>
                <w:szCs w:val="18"/>
              </w:rPr>
            </w:pPr>
            <w:r>
              <w:rPr>
                <w:rFonts w:ascii="Arial Narrow" w:hAnsi="Arial Narrow" w:cs="Arial"/>
                <w:b/>
                <w:bCs/>
                <w:color w:val="000000" w:themeColor="text1"/>
                <w:sz w:val="18"/>
                <w:szCs w:val="18"/>
              </w:rPr>
              <w:t>793 290</w:t>
            </w:r>
          </w:p>
        </w:tc>
      </w:tr>
      <w:tr w:rsidR="00E30EC7" w:rsidRPr="00CE357F" w14:paraId="3CB53530" w14:textId="77777777" w:rsidTr="004A0C47">
        <w:trPr>
          <w:trHeight w:val="227"/>
          <w:jc w:val="center"/>
        </w:trPr>
        <w:tc>
          <w:tcPr>
            <w:tcW w:w="1669" w:type="dxa"/>
            <w:shd w:val="clear" w:color="auto" w:fill="D9E2F3" w:themeFill="accent1" w:themeFillTint="33"/>
            <w:vAlign w:val="center"/>
          </w:tcPr>
          <w:p w14:paraId="6EB516C9" w14:textId="77777777" w:rsidR="00E30EC7" w:rsidRPr="00CE357F" w:rsidRDefault="00E30EC7" w:rsidP="004A0C47">
            <w:pPr>
              <w:jc w:val="center"/>
              <w:rPr>
                <w:rFonts w:ascii="Arial Narrow" w:hAnsi="Arial Narrow" w:cs="Arial"/>
                <w:b/>
                <w:bCs/>
                <w:sz w:val="18"/>
                <w:szCs w:val="18"/>
              </w:rPr>
            </w:pPr>
            <w:r w:rsidRPr="00CE357F">
              <w:rPr>
                <w:rFonts w:ascii="Arial Narrow" w:hAnsi="Arial Narrow" w:cs="Arial"/>
                <w:b/>
                <w:sz w:val="18"/>
                <w:szCs w:val="18"/>
              </w:rPr>
              <w:t>Jihomoravský kraj</w:t>
            </w:r>
          </w:p>
        </w:tc>
        <w:tc>
          <w:tcPr>
            <w:tcW w:w="924" w:type="dxa"/>
            <w:shd w:val="clear" w:color="auto" w:fill="FEE0D6"/>
            <w:vAlign w:val="center"/>
          </w:tcPr>
          <w:p w14:paraId="343803BF"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37 716</w:t>
            </w:r>
          </w:p>
        </w:tc>
        <w:tc>
          <w:tcPr>
            <w:tcW w:w="924" w:type="dxa"/>
            <w:shd w:val="clear" w:color="auto" w:fill="FEE0D6"/>
            <w:vAlign w:val="center"/>
          </w:tcPr>
          <w:p w14:paraId="63F4916C" w14:textId="77777777" w:rsidR="00E30EC7" w:rsidRPr="00CE357F" w:rsidRDefault="00E30EC7" w:rsidP="004A0C47">
            <w:pPr>
              <w:jc w:val="center"/>
              <w:rPr>
                <w:rFonts w:ascii="Arial Narrow" w:hAnsi="Arial Narrow" w:cs="Arial"/>
                <w:b/>
                <w:bCs/>
                <w:color w:val="C00000"/>
                <w:sz w:val="18"/>
                <w:szCs w:val="18"/>
              </w:rPr>
            </w:pPr>
            <w:r w:rsidRPr="00CE357F">
              <w:rPr>
                <w:rFonts w:ascii="Arial Narrow" w:hAnsi="Arial Narrow" w:cs="Arial"/>
                <w:b/>
                <w:bCs/>
                <w:color w:val="C00000"/>
                <w:sz w:val="18"/>
                <w:szCs w:val="18"/>
              </w:rPr>
              <w:t>45 026</w:t>
            </w:r>
          </w:p>
        </w:tc>
        <w:tc>
          <w:tcPr>
            <w:tcW w:w="924" w:type="dxa"/>
            <w:shd w:val="clear" w:color="auto" w:fill="FEE0D6"/>
          </w:tcPr>
          <w:p w14:paraId="387BD0AC" w14:textId="77777777" w:rsidR="00E30EC7" w:rsidRPr="00CE357F" w:rsidRDefault="00E30EC7" w:rsidP="004A0C47">
            <w:pPr>
              <w:jc w:val="center"/>
              <w:rPr>
                <w:rFonts w:ascii="Arial Narrow" w:hAnsi="Arial Narrow" w:cs="Arial"/>
                <w:b/>
                <w:bCs/>
                <w:color w:val="C00000"/>
                <w:sz w:val="18"/>
                <w:szCs w:val="18"/>
              </w:rPr>
            </w:pPr>
            <w:r w:rsidRPr="00CE357F">
              <w:rPr>
                <w:rFonts w:ascii="Arial Narrow" w:hAnsi="Arial Narrow" w:cs="Arial"/>
                <w:b/>
                <w:bCs/>
                <w:color w:val="C00000"/>
                <w:sz w:val="18"/>
                <w:szCs w:val="18"/>
              </w:rPr>
              <w:t>51 896</w:t>
            </w:r>
          </w:p>
        </w:tc>
        <w:tc>
          <w:tcPr>
            <w:tcW w:w="924" w:type="dxa"/>
            <w:shd w:val="clear" w:color="auto" w:fill="FEE0D6"/>
          </w:tcPr>
          <w:p w14:paraId="01013AAB" w14:textId="77777777" w:rsidR="00E30EC7" w:rsidRPr="00CE357F" w:rsidRDefault="00E30EC7" w:rsidP="004A0C47">
            <w:pPr>
              <w:jc w:val="center"/>
              <w:rPr>
                <w:rFonts w:ascii="Arial Narrow" w:hAnsi="Arial Narrow" w:cs="Arial"/>
                <w:b/>
                <w:bCs/>
                <w:color w:val="C00000"/>
                <w:sz w:val="18"/>
                <w:szCs w:val="18"/>
              </w:rPr>
            </w:pPr>
            <w:r w:rsidRPr="00CE357F">
              <w:rPr>
                <w:rFonts w:ascii="Arial Narrow" w:hAnsi="Arial Narrow" w:cs="Arial"/>
                <w:b/>
                <w:bCs/>
                <w:color w:val="C00000"/>
                <w:sz w:val="18"/>
                <w:szCs w:val="18"/>
              </w:rPr>
              <w:t>59 145</w:t>
            </w:r>
          </w:p>
        </w:tc>
        <w:tc>
          <w:tcPr>
            <w:tcW w:w="924" w:type="dxa"/>
            <w:shd w:val="clear" w:color="auto" w:fill="FEE0D6"/>
            <w:vAlign w:val="center"/>
          </w:tcPr>
          <w:p w14:paraId="27345FFB"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64 363</w:t>
            </w:r>
          </w:p>
        </w:tc>
        <w:tc>
          <w:tcPr>
            <w:tcW w:w="924" w:type="dxa"/>
            <w:shd w:val="clear" w:color="auto" w:fill="FEE0D6"/>
            <w:vAlign w:val="center"/>
          </w:tcPr>
          <w:p w14:paraId="1F52D9F5" w14:textId="77777777" w:rsidR="00E30EC7" w:rsidRPr="00CE357F" w:rsidRDefault="00E30EC7" w:rsidP="004A0C47">
            <w:pPr>
              <w:jc w:val="center"/>
              <w:rPr>
                <w:rFonts w:ascii="Arial Narrow" w:hAnsi="Arial Narrow" w:cs="Arial"/>
                <w:b/>
                <w:bCs/>
                <w:color w:val="C00000"/>
                <w:sz w:val="18"/>
                <w:szCs w:val="18"/>
              </w:rPr>
            </w:pPr>
            <w:r w:rsidRPr="00CE357F">
              <w:rPr>
                <w:rFonts w:ascii="Arial Narrow" w:hAnsi="Arial Narrow" w:cs="Arial"/>
                <w:b/>
                <w:bCs/>
                <w:color w:val="C00000"/>
                <w:sz w:val="18"/>
                <w:szCs w:val="18"/>
              </w:rPr>
              <w:t>69 867</w:t>
            </w:r>
          </w:p>
        </w:tc>
        <w:tc>
          <w:tcPr>
            <w:tcW w:w="924" w:type="dxa"/>
            <w:shd w:val="clear" w:color="auto" w:fill="FEE0D6"/>
          </w:tcPr>
          <w:p w14:paraId="48804CB4" w14:textId="77777777" w:rsidR="00E30EC7" w:rsidRPr="00CE357F" w:rsidRDefault="00E30EC7" w:rsidP="004A0C47">
            <w:pPr>
              <w:jc w:val="center"/>
              <w:rPr>
                <w:rFonts w:ascii="Arial Narrow" w:hAnsi="Arial Narrow" w:cs="Arial"/>
                <w:b/>
                <w:bCs/>
                <w:color w:val="C00000"/>
                <w:sz w:val="18"/>
                <w:szCs w:val="18"/>
              </w:rPr>
            </w:pPr>
            <w:r>
              <w:rPr>
                <w:rFonts w:ascii="Arial Narrow" w:hAnsi="Arial Narrow" w:cs="Arial"/>
                <w:b/>
                <w:bCs/>
                <w:color w:val="C00000"/>
                <w:sz w:val="18"/>
                <w:szCs w:val="18"/>
              </w:rPr>
              <w:t>77 201</w:t>
            </w:r>
          </w:p>
        </w:tc>
        <w:tc>
          <w:tcPr>
            <w:tcW w:w="925" w:type="dxa"/>
            <w:shd w:val="clear" w:color="auto" w:fill="FEE0D6"/>
          </w:tcPr>
          <w:p w14:paraId="7D0B7C87" w14:textId="77777777" w:rsidR="00E30EC7" w:rsidRPr="00CE357F" w:rsidRDefault="00E30EC7" w:rsidP="004A0C47">
            <w:pPr>
              <w:jc w:val="center"/>
              <w:rPr>
                <w:rFonts w:ascii="Arial Narrow" w:hAnsi="Arial Narrow" w:cs="Arial"/>
                <w:b/>
                <w:bCs/>
                <w:color w:val="C00000"/>
                <w:sz w:val="18"/>
                <w:szCs w:val="18"/>
              </w:rPr>
            </w:pPr>
            <w:r>
              <w:rPr>
                <w:rFonts w:ascii="Arial Narrow" w:hAnsi="Arial Narrow" w:cs="Arial"/>
                <w:b/>
                <w:bCs/>
                <w:color w:val="C00000"/>
                <w:sz w:val="18"/>
                <w:szCs w:val="18"/>
              </w:rPr>
              <w:t>91 375</w:t>
            </w:r>
          </w:p>
        </w:tc>
      </w:tr>
      <w:tr w:rsidR="00E30EC7" w:rsidRPr="00CE357F" w14:paraId="4AD81B95" w14:textId="77777777" w:rsidTr="004A0C47">
        <w:trPr>
          <w:trHeight w:val="227"/>
          <w:jc w:val="center"/>
        </w:trPr>
        <w:tc>
          <w:tcPr>
            <w:tcW w:w="1669" w:type="dxa"/>
            <w:shd w:val="clear" w:color="auto" w:fill="D9E2F3" w:themeFill="accent1" w:themeFillTint="33"/>
            <w:vAlign w:val="center"/>
          </w:tcPr>
          <w:p w14:paraId="0EC64CE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Hlavní město Praha</w:t>
            </w:r>
          </w:p>
        </w:tc>
        <w:tc>
          <w:tcPr>
            <w:tcW w:w="924" w:type="dxa"/>
            <w:vAlign w:val="center"/>
          </w:tcPr>
          <w:p w14:paraId="6880106E"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112 452</w:t>
            </w:r>
          </w:p>
        </w:tc>
        <w:tc>
          <w:tcPr>
            <w:tcW w:w="924" w:type="dxa"/>
            <w:vAlign w:val="center"/>
          </w:tcPr>
          <w:p w14:paraId="14032AC0"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119 770</w:t>
            </w:r>
          </w:p>
        </w:tc>
        <w:tc>
          <w:tcPr>
            <w:tcW w:w="924" w:type="dxa"/>
          </w:tcPr>
          <w:p w14:paraId="588BB29C"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153 238</w:t>
            </w:r>
          </w:p>
        </w:tc>
        <w:tc>
          <w:tcPr>
            <w:tcW w:w="924" w:type="dxa"/>
          </w:tcPr>
          <w:p w14:paraId="024FE09E"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191 494</w:t>
            </w:r>
          </w:p>
        </w:tc>
        <w:tc>
          <w:tcPr>
            <w:tcW w:w="924" w:type="dxa"/>
            <w:vAlign w:val="center"/>
          </w:tcPr>
          <w:p w14:paraId="4D68CDFC"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212 422</w:t>
            </w:r>
          </w:p>
        </w:tc>
        <w:tc>
          <w:tcPr>
            <w:tcW w:w="924" w:type="dxa"/>
            <w:vAlign w:val="center"/>
          </w:tcPr>
          <w:p w14:paraId="48B32C6B"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205 934</w:t>
            </w:r>
          </w:p>
        </w:tc>
        <w:tc>
          <w:tcPr>
            <w:tcW w:w="924" w:type="dxa"/>
          </w:tcPr>
          <w:p w14:paraId="1CBBD69F"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222 446</w:t>
            </w:r>
          </w:p>
        </w:tc>
        <w:tc>
          <w:tcPr>
            <w:tcW w:w="925" w:type="dxa"/>
          </w:tcPr>
          <w:p w14:paraId="6D254BC1"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236 665</w:t>
            </w:r>
          </w:p>
        </w:tc>
      </w:tr>
      <w:tr w:rsidR="00E30EC7" w:rsidRPr="00CE357F" w14:paraId="61E092C3" w14:textId="77777777" w:rsidTr="004A0C47">
        <w:trPr>
          <w:trHeight w:val="227"/>
          <w:jc w:val="center"/>
        </w:trPr>
        <w:tc>
          <w:tcPr>
            <w:tcW w:w="1669" w:type="dxa"/>
            <w:shd w:val="clear" w:color="auto" w:fill="D9E2F3" w:themeFill="accent1" w:themeFillTint="33"/>
            <w:vAlign w:val="center"/>
          </w:tcPr>
          <w:p w14:paraId="5FA6EF54"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Středočeský kraj</w:t>
            </w:r>
          </w:p>
        </w:tc>
        <w:tc>
          <w:tcPr>
            <w:tcW w:w="924" w:type="dxa"/>
            <w:vAlign w:val="center"/>
          </w:tcPr>
          <w:p w14:paraId="22385F4E"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52 279</w:t>
            </w:r>
          </w:p>
        </w:tc>
        <w:tc>
          <w:tcPr>
            <w:tcW w:w="924" w:type="dxa"/>
            <w:vAlign w:val="center"/>
          </w:tcPr>
          <w:p w14:paraId="67ACFB7D"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64 521</w:t>
            </w:r>
          </w:p>
        </w:tc>
        <w:tc>
          <w:tcPr>
            <w:tcW w:w="924" w:type="dxa"/>
          </w:tcPr>
          <w:p w14:paraId="7238E78A"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78 291</w:t>
            </w:r>
          </w:p>
        </w:tc>
        <w:tc>
          <w:tcPr>
            <w:tcW w:w="924" w:type="dxa"/>
          </w:tcPr>
          <w:p w14:paraId="0C178003"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92 119</w:t>
            </w:r>
          </w:p>
        </w:tc>
        <w:tc>
          <w:tcPr>
            <w:tcW w:w="924" w:type="dxa"/>
            <w:vAlign w:val="center"/>
          </w:tcPr>
          <w:p w14:paraId="7C96B5B3"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100 406</w:t>
            </w:r>
          </w:p>
        </w:tc>
        <w:tc>
          <w:tcPr>
            <w:tcW w:w="924" w:type="dxa"/>
            <w:vAlign w:val="center"/>
          </w:tcPr>
          <w:p w14:paraId="3CC58039"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107 592</w:t>
            </w:r>
          </w:p>
        </w:tc>
        <w:tc>
          <w:tcPr>
            <w:tcW w:w="924" w:type="dxa"/>
          </w:tcPr>
          <w:p w14:paraId="7FD4EFA2"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121 586</w:t>
            </w:r>
          </w:p>
        </w:tc>
        <w:tc>
          <w:tcPr>
            <w:tcW w:w="925" w:type="dxa"/>
          </w:tcPr>
          <w:p w14:paraId="26FA0D65"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135 134</w:t>
            </w:r>
          </w:p>
        </w:tc>
      </w:tr>
      <w:tr w:rsidR="00E30EC7" w:rsidRPr="00CE357F" w14:paraId="7B229B94" w14:textId="77777777" w:rsidTr="004A0C47">
        <w:trPr>
          <w:trHeight w:val="227"/>
          <w:jc w:val="center"/>
        </w:trPr>
        <w:tc>
          <w:tcPr>
            <w:tcW w:w="1669" w:type="dxa"/>
            <w:shd w:val="clear" w:color="auto" w:fill="D9E2F3" w:themeFill="accent1" w:themeFillTint="33"/>
            <w:vAlign w:val="center"/>
          </w:tcPr>
          <w:p w14:paraId="7F6B3015"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Jihočeský kraj</w:t>
            </w:r>
          </w:p>
        </w:tc>
        <w:tc>
          <w:tcPr>
            <w:tcW w:w="924" w:type="dxa"/>
            <w:vAlign w:val="center"/>
          </w:tcPr>
          <w:p w14:paraId="4E208F63"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10 565</w:t>
            </w:r>
          </w:p>
        </w:tc>
        <w:tc>
          <w:tcPr>
            <w:tcW w:w="924" w:type="dxa"/>
            <w:vAlign w:val="center"/>
          </w:tcPr>
          <w:p w14:paraId="5229A93F"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13 141</w:t>
            </w:r>
          </w:p>
        </w:tc>
        <w:tc>
          <w:tcPr>
            <w:tcW w:w="924" w:type="dxa"/>
          </w:tcPr>
          <w:p w14:paraId="234EBF63"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15 364</w:t>
            </w:r>
          </w:p>
        </w:tc>
        <w:tc>
          <w:tcPr>
            <w:tcW w:w="924" w:type="dxa"/>
          </w:tcPr>
          <w:p w14:paraId="1F110937"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19 090</w:t>
            </w:r>
          </w:p>
        </w:tc>
        <w:tc>
          <w:tcPr>
            <w:tcW w:w="924" w:type="dxa"/>
            <w:vAlign w:val="center"/>
          </w:tcPr>
          <w:p w14:paraId="6B9B4B0F"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20 740</w:t>
            </w:r>
          </w:p>
        </w:tc>
        <w:tc>
          <w:tcPr>
            <w:tcW w:w="924" w:type="dxa"/>
            <w:vAlign w:val="center"/>
          </w:tcPr>
          <w:p w14:paraId="3F9B749D"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23 556</w:t>
            </w:r>
          </w:p>
        </w:tc>
        <w:tc>
          <w:tcPr>
            <w:tcW w:w="924" w:type="dxa"/>
          </w:tcPr>
          <w:p w14:paraId="49D56FBE"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25 920</w:t>
            </w:r>
          </w:p>
        </w:tc>
        <w:tc>
          <w:tcPr>
            <w:tcW w:w="925" w:type="dxa"/>
          </w:tcPr>
          <w:p w14:paraId="1C2CBB85"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31 202</w:t>
            </w:r>
          </w:p>
        </w:tc>
      </w:tr>
      <w:tr w:rsidR="00E30EC7" w:rsidRPr="00CE357F" w14:paraId="5C416E63" w14:textId="77777777" w:rsidTr="004A0C47">
        <w:trPr>
          <w:trHeight w:val="227"/>
          <w:jc w:val="center"/>
        </w:trPr>
        <w:tc>
          <w:tcPr>
            <w:tcW w:w="1669" w:type="dxa"/>
            <w:shd w:val="clear" w:color="auto" w:fill="D9E2F3" w:themeFill="accent1" w:themeFillTint="33"/>
            <w:vAlign w:val="center"/>
          </w:tcPr>
          <w:p w14:paraId="79B77AC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Plzeňský kraj</w:t>
            </w:r>
          </w:p>
        </w:tc>
        <w:tc>
          <w:tcPr>
            <w:tcW w:w="924" w:type="dxa"/>
            <w:vAlign w:val="center"/>
          </w:tcPr>
          <w:p w14:paraId="0EEEABA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29 214</w:t>
            </w:r>
          </w:p>
        </w:tc>
        <w:tc>
          <w:tcPr>
            <w:tcW w:w="924" w:type="dxa"/>
            <w:vAlign w:val="center"/>
          </w:tcPr>
          <w:p w14:paraId="753C8494"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37 120</w:t>
            </w:r>
          </w:p>
        </w:tc>
        <w:tc>
          <w:tcPr>
            <w:tcW w:w="924" w:type="dxa"/>
          </w:tcPr>
          <w:p w14:paraId="2DB70A38"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46 362</w:t>
            </w:r>
          </w:p>
        </w:tc>
        <w:tc>
          <w:tcPr>
            <w:tcW w:w="924" w:type="dxa"/>
          </w:tcPr>
          <w:p w14:paraId="620FC1E9"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54 442</w:t>
            </w:r>
          </w:p>
        </w:tc>
        <w:tc>
          <w:tcPr>
            <w:tcW w:w="924" w:type="dxa"/>
            <w:vAlign w:val="center"/>
          </w:tcPr>
          <w:p w14:paraId="118EF0FF"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57 994</w:t>
            </w:r>
          </w:p>
        </w:tc>
        <w:tc>
          <w:tcPr>
            <w:tcW w:w="924" w:type="dxa"/>
            <w:vAlign w:val="center"/>
          </w:tcPr>
          <w:p w14:paraId="33C028F3"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62 901</w:t>
            </w:r>
          </w:p>
        </w:tc>
        <w:tc>
          <w:tcPr>
            <w:tcW w:w="924" w:type="dxa"/>
          </w:tcPr>
          <w:p w14:paraId="6DEFC299"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69 831</w:t>
            </w:r>
          </w:p>
        </w:tc>
        <w:tc>
          <w:tcPr>
            <w:tcW w:w="925" w:type="dxa"/>
          </w:tcPr>
          <w:p w14:paraId="22095CFF"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77 289</w:t>
            </w:r>
          </w:p>
        </w:tc>
      </w:tr>
      <w:tr w:rsidR="00E30EC7" w:rsidRPr="00CE357F" w14:paraId="3161C9B9" w14:textId="77777777" w:rsidTr="004A0C47">
        <w:trPr>
          <w:trHeight w:val="227"/>
          <w:jc w:val="center"/>
        </w:trPr>
        <w:tc>
          <w:tcPr>
            <w:tcW w:w="1669" w:type="dxa"/>
            <w:shd w:val="clear" w:color="auto" w:fill="D9E2F3" w:themeFill="accent1" w:themeFillTint="33"/>
            <w:vAlign w:val="center"/>
          </w:tcPr>
          <w:p w14:paraId="5534BE4E"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Karlovarský kraj</w:t>
            </w:r>
          </w:p>
        </w:tc>
        <w:tc>
          <w:tcPr>
            <w:tcW w:w="924" w:type="dxa"/>
            <w:vAlign w:val="center"/>
          </w:tcPr>
          <w:p w14:paraId="63759737"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5 588</w:t>
            </w:r>
          </w:p>
        </w:tc>
        <w:tc>
          <w:tcPr>
            <w:tcW w:w="924" w:type="dxa"/>
            <w:vAlign w:val="center"/>
          </w:tcPr>
          <w:p w14:paraId="313713DD"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8 312</w:t>
            </w:r>
          </w:p>
        </w:tc>
        <w:tc>
          <w:tcPr>
            <w:tcW w:w="924" w:type="dxa"/>
          </w:tcPr>
          <w:p w14:paraId="2901DAEE"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10 554</w:t>
            </w:r>
          </w:p>
        </w:tc>
        <w:tc>
          <w:tcPr>
            <w:tcW w:w="924" w:type="dxa"/>
          </w:tcPr>
          <w:p w14:paraId="4738A78A"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12 209</w:t>
            </w:r>
          </w:p>
        </w:tc>
        <w:tc>
          <w:tcPr>
            <w:tcW w:w="924" w:type="dxa"/>
            <w:vAlign w:val="center"/>
          </w:tcPr>
          <w:p w14:paraId="6380331F"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12 986</w:t>
            </w:r>
          </w:p>
        </w:tc>
        <w:tc>
          <w:tcPr>
            <w:tcW w:w="924" w:type="dxa"/>
            <w:vAlign w:val="center"/>
          </w:tcPr>
          <w:p w14:paraId="48360BDF"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14 317</w:t>
            </w:r>
          </w:p>
        </w:tc>
        <w:tc>
          <w:tcPr>
            <w:tcW w:w="924" w:type="dxa"/>
          </w:tcPr>
          <w:p w14:paraId="5C723B28"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15 887</w:t>
            </w:r>
          </w:p>
        </w:tc>
        <w:tc>
          <w:tcPr>
            <w:tcW w:w="925" w:type="dxa"/>
          </w:tcPr>
          <w:p w14:paraId="255462DF"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18 804</w:t>
            </w:r>
          </w:p>
        </w:tc>
      </w:tr>
      <w:tr w:rsidR="00E30EC7" w:rsidRPr="00CE357F" w14:paraId="59BD684C" w14:textId="77777777" w:rsidTr="004A0C47">
        <w:trPr>
          <w:trHeight w:val="227"/>
          <w:jc w:val="center"/>
        </w:trPr>
        <w:tc>
          <w:tcPr>
            <w:tcW w:w="1669" w:type="dxa"/>
            <w:shd w:val="clear" w:color="auto" w:fill="D9E2F3" w:themeFill="accent1" w:themeFillTint="33"/>
            <w:vAlign w:val="center"/>
          </w:tcPr>
          <w:p w14:paraId="0F848757"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Ústecký kraj</w:t>
            </w:r>
          </w:p>
        </w:tc>
        <w:tc>
          <w:tcPr>
            <w:tcW w:w="924" w:type="dxa"/>
            <w:vAlign w:val="center"/>
          </w:tcPr>
          <w:p w14:paraId="6A48D2DE"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7 278</w:t>
            </w:r>
          </w:p>
        </w:tc>
        <w:tc>
          <w:tcPr>
            <w:tcW w:w="924" w:type="dxa"/>
            <w:vAlign w:val="center"/>
          </w:tcPr>
          <w:p w14:paraId="06CE8CAE"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9 931</w:t>
            </w:r>
          </w:p>
        </w:tc>
        <w:tc>
          <w:tcPr>
            <w:tcW w:w="924" w:type="dxa"/>
          </w:tcPr>
          <w:p w14:paraId="3CF7B69E"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13 199</w:t>
            </w:r>
          </w:p>
        </w:tc>
        <w:tc>
          <w:tcPr>
            <w:tcW w:w="924" w:type="dxa"/>
          </w:tcPr>
          <w:p w14:paraId="0625A936"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17 958</w:t>
            </w:r>
          </w:p>
        </w:tc>
        <w:tc>
          <w:tcPr>
            <w:tcW w:w="924" w:type="dxa"/>
            <w:vAlign w:val="center"/>
          </w:tcPr>
          <w:p w14:paraId="6DD93FFA"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20 050</w:t>
            </w:r>
          </w:p>
        </w:tc>
        <w:tc>
          <w:tcPr>
            <w:tcW w:w="924" w:type="dxa"/>
            <w:vAlign w:val="center"/>
          </w:tcPr>
          <w:p w14:paraId="42783EF9"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22 408</w:t>
            </w:r>
          </w:p>
        </w:tc>
        <w:tc>
          <w:tcPr>
            <w:tcW w:w="924" w:type="dxa"/>
          </w:tcPr>
          <w:p w14:paraId="1A14B8B1"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22 461</w:t>
            </w:r>
          </w:p>
        </w:tc>
        <w:tc>
          <w:tcPr>
            <w:tcW w:w="925" w:type="dxa"/>
          </w:tcPr>
          <w:p w14:paraId="27FE16CC"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26 971</w:t>
            </w:r>
          </w:p>
        </w:tc>
      </w:tr>
      <w:tr w:rsidR="00E30EC7" w:rsidRPr="00CE357F" w14:paraId="51837BD7" w14:textId="77777777" w:rsidTr="004A0C47">
        <w:trPr>
          <w:trHeight w:val="227"/>
          <w:jc w:val="center"/>
        </w:trPr>
        <w:tc>
          <w:tcPr>
            <w:tcW w:w="1669" w:type="dxa"/>
            <w:shd w:val="clear" w:color="auto" w:fill="D9E2F3" w:themeFill="accent1" w:themeFillTint="33"/>
            <w:vAlign w:val="center"/>
          </w:tcPr>
          <w:p w14:paraId="525723C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Liberecký kraj</w:t>
            </w:r>
          </w:p>
        </w:tc>
        <w:tc>
          <w:tcPr>
            <w:tcW w:w="924" w:type="dxa"/>
            <w:vAlign w:val="center"/>
          </w:tcPr>
          <w:p w14:paraId="74050A12"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11 162</w:t>
            </w:r>
          </w:p>
        </w:tc>
        <w:tc>
          <w:tcPr>
            <w:tcW w:w="924" w:type="dxa"/>
            <w:vAlign w:val="center"/>
          </w:tcPr>
          <w:p w14:paraId="006040E4"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12 556</w:t>
            </w:r>
          </w:p>
        </w:tc>
        <w:tc>
          <w:tcPr>
            <w:tcW w:w="924" w:type="dxa"/>
          </w:tcPr>
          <w:p w14:paraId="07A6111F"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15 278</w:t>
            </w:r>
          </w:p>
        </w:tc>
        <w:tc>
          <w:tcPr>
            <w:tcW w:w="924" w:type="dxa"/>
          </w:tcPr>
          <w:p w14:paraId="08EB7EC6"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17 495</w:t>
            </w:r>
          </w:p>
        </w:tc>
        <w:tc>
          <w:tcPr>
            <w:tcW w:w="924" w:type="dxa"/>
            <w:vAlign w:val="center"/>
          </w:tcPr>
          <w:p w14:paraId="4D6B2FBC"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19 059</w:t>
            </w:r>
          </w:p>
        </w:tc>
        <w:tc>
          <w:tcPr>
            <w:tcW w:w="924" w:type="dxa"/>
            <w:vAlign w:val="center"/>
          </w:tcPr>
          <w:p w14:paraId="24132AA0"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20 853</w:t>
            </w:r>
          </w:p>
        </w:tc>
        <w:tc>
          <w:tcPr>
            <w:tcW w:w="924" w:type="dxa"/>
          </w:tcPr>
          <w:p w14:paraId="0E56FB38"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22 209</w:t>
            </w:r>
          </w:p>
        </w:tc>
        <w:tc>
          <w:tcPr>
            <w:tcW w:w="925" w:type="dxa"/>
          </w:tcPr>
          <w:p w14:paraId="39F04493"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24 627</w:t>
            </w:r>
          </w:p>
        </w:tc>
      </w:tr>
      <w:tr w:rsidR="00E30EC7" w:rsidRPr="00CE357F" w14:paraId="1B442956" w14:textId="77777777" w:rsidTr="004A0C47">
        <w:trPr>
          <w:trHeight w:val="227"/>
          <w:jc w:val="center"/>
        </w:trPr>
        <w:tc>
          <w:tcPr>
            <w:tcW w:w="1669" w:type="dxa"/>
            <w:shd w:val="clear" w:color="auto" w:fill="D9E2F3" w:themeFill="accent1" w:themeFillTint="33"/>
            <w:vAlign w:val="center"/>
          </w:tcPr>
          <w:p w14:paraId="3C32C90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Královéhradecký kraj</w:t>
            </w:r>
          </w:p>
        </w:tc>
        <w:tc>
          <w:tcPr>
            <w:tcW w:w="924" w:type="dxa"/>
            <w:vAlign w:val="center"/>
          </w:tcPr>
          <w:p w14:paraId="0357479F"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10 292</w:t>
            </w:r>
          </w:p>
        </w:tc>
        <w:tc>
          <w:tcPr>
            <w:tcW w:w="924" w:type="dxa"/>
            <w:vAlign w:val="center"/>
          </w:tcPr>
          <w:p w14:paraId="46636113"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14 601</w:t>
            </w:r>
          </w:p>
        </w:tc>
        <w:tc>
          <w:tcPr>
            <w:tcW w:w="924" w:type="dxa"/>
          </w:tcPr>
          <w:p w14:paraId="6D8FE639"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17 776</w:t>
            </w:r>
          </w:p>
        </w:tc>
        <w:tc>
          <w:tcPr>
            <w:tcW w:w="924" w:type="dxa"/>
          </w:tcPr>
          <w:p w14:paraId="44800E1F"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21 047</w:t>
            </w:r>
          </w:p>
        </w:tc>
        <w:tc>
          <w:tcPr>
            <w:tcW w:w="924" w:type="dxa"/>
            <w:vAlign w:val="center"/>
          </w:tcPr>
          <w:p w14:paraId="7FAA8703"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22 484</w:t>
            </w:r>
          </w:p>
        </w:tc>
        <w:tc>
          <w:tcPr>
            <w:tcW w:w="924" w:type="dxa"/>
            <w:vAlign w:val="center"/>
          </w:tcPr>
          <w:p w14:paraId="4C0A706E"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23 278</w:t>
            </w:r>
          </w:p>
        </w:tc>
        <w:tc>
          <w:tcPr>
            <w:tcW w:w="924" w:type="dxa"/>
          </w:tcPr>
          <w:p w14:paraId="47880CFE"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24 589</w:t>
            </w:r>
          </w:p>
        </w:tc>
        <w:tc>
          <w:tcPr>
            <w:tcW w:w="925" w:type="dxa"/>
          </w:tcPr>
          <w:p w14:paraId="49674EBB"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29 560</w:t>
            </w:r>
          </w:p>
        </w:tc>
      </w:tr>
      <w:tr w:rsidR="00E30EC7" w:rsidRPr="00CE357F" w14:paraId="56EC9407" w14:textId="77777777" w:rsidTr="004A0C47">
        <w:trPr>
          <w:trHeight w:val="227"/>
          <w:jc w:val="center"/>
        </w:trPr>
        <w:tc>
          <w:tcPr>
            <w:tcW w:w="1669" w:type="dxa"/>
            <w:shd w:val="clear" w:color="auto" w:fill="D9E2F3" w:themeFill="accent1" w:themeFillTint="33"/>
            <w:vAlign w:val="center"/>
          </w:tcPr>
          <w:p w14:paraId="20F29412"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Pardubický kraj</w:t>
            </w:r>
          </w:p>
        </w:tc>
        <w:tc>
          <w:tcPr>
            <w:tcW w:w="924" w:type="dxa"/>
            <w:vAlign w:val="center"/>
          </w:tcPr>
          <w:p w14:paraId="1527497D"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10 629</w:t>
            </w:r>
          </w:p>
        </w:tc>
        <w:tc>
          <w:tcPr>
            <w:tcW w:w="924" w:type="dxa"/>
            <w:vAlign w:val="center"/>
          </w:tcPr>
          <w:p w14:paraId="1F3AF6CF"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14 344</w:t>
            </w:r>
          </w:p>
        </w:tc>
        <w:tc>
          <w:tcPr>
            <w:tcW w:w="924" w:type="dxa"/>
          </w:tcPr>
          <w:p w14:paraId="341B3818"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17 260</w:t>
            </w:r>
          </w:p>
        </w:tc>
        <w:tc>
          <w:tcPr>
            <w:tcW w:w="924" w:type="dxa"/>
          </w:tcPr>
          <w:p w14:paraId="1343C2D8"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21 270</w:t>
            </w:r>
          </w:p>
        </w:tc>
        <w:tc>
          <w:tcPr>
            <w:tcW w:w="924" w:type="dxa"/>
            <w:vAlign w:val="center"/>
          </w:tcPr>
          <w:p w14:paraId="29968EF1"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24 303</w:t>
            </w:r>
          </w:p>
        </w:tc>
        <w:tc>
          <w:tcPr>
            <w:tcW w:w="924" w:type="dxa"/>
            <w:vAlign w:val="center"/>
          </w:tcPr>
          <w:p w14:paraId="0FF68F6B"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24 577</w:t>
            </w:r>
          </w:p>
        </w:tc>
        <w:tc>
          <w:tcPr>
            <w:tcW w:w="924" w:type="dxa"/>
          </w:tcPr>
          <w:p w14:paraId="00E8A383"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25 989</w:t>
            </w:r>
          </w:p>
        </w:tc>
        <w:tc>
          <w:tcPr>
            <w:tcW w:w="925" w:type="dxa"/>
          </w:tcPr>
          <w:p w14:paraId="77D58F6F"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29 395</w:t>
            </w:r>
          </w:p>
        </w:tc>
      </w:tr>
      <w:tr w:rsidR="00E30EC7" w:rsidRPr="00CE357F" w14:paraId="15A22397" w14:textId="77777777" w:rsidTr="004A0C47">
        <w:trPr>
          <w:trHeight w:val="227"/>
          <w:jc w:val="center"/>
        </w:trPr>
        <w:tc>
          <w:tcPr>
            <w:tcW w:w="1669" w:type="dxa"/>
            <w:shd w:val="clear" w:color="auto" w:fill="D9E2F3" w:themeFill="accent1" w:themeFillTint="33"/>
            <w:vAlign w:val="center"/>
          </w:tcPr>
          <w:p w14:paraId="4CF7BBE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Kraj Vysočina</w:t>
            </w:r>
          </w:p>
        </w:tc>
        <w:tc>
          <w:tcPr>
            <w:tcW w:w="924" w:type="dxa"/>
            <w:vAlign w:val="center"/>
          </w:tcPr>
          <w:p w14:paraId="56F0E503"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5 830</w:t>
            </w:r>
          </w:p>
        </w:tc>
        <w:tc>
          <w:tcPr>
            <w:tcW w:w="924" w:type="dxa"/>
            <w:vAlign w:val="center"/>
          </w:tcPr>
          <w:p w14:paraId="728E783B"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7 781</w:t>
            </w:r>
          </w:p>
        </w:tc>
        <w:tc>
          <w:tcPr>
            <w:tcW w:w="924" w:type="dxa"/>
          </w:tcPr>
          <w:p w14:paraId="5EA76EF6"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10 322</w:t>
            </w:r>
          </w:p>
        </w:tc>
        <w:tc>
          <w:tcPr>
            <w:tcW w:w="924" w:type="dxa"/>
          </w:tcPr>
          <w:p w14:paraId="5858B333"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12 232</w:t>
            </w:r>
          </w:p>
        </w:tc>
        <w:tc>
          <w:tcPr>
            <w:tcW w:w="924" w:type="dxa"/>
            <w:vAlign w:val="center"/>
          </w:tcPr>
          <w:p w14:paraId="5DDF9194"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12 604</w:t>
            </w:r>
          </w:p>
        </w:tc>
        <w:tc>
          <w:tcPr>
            <w:tcW w:w="924" w:type="dxa"/>
            <w:vAlign w:val="center"/>
          </w:tcPr>
          <w:p w14:paraId="64E0C3BD"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13 811</w:t>
            </w:r>
          </w:p>
        </w:tc>
        <w:tc>
          <w:tcPr>
            <w:tcW w:w="924" w:type="dxa"/>
          </w:tcPr>
          <w:p w14:paraId="1DC215DC"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15 894</w:t>
            </w:r>
          </w:p>
        </w:tc>
        <w:tc>
          <w:tcPr>
            <w:tcW w:w="925" w:type="dxa"/>
          </w:tcPr>
          <w:p w14:paraId="39CD577D"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19 339</w:t>
            </w:r>
          </w:p>
        </w:tc>
      </w:tr>
      <w:tr w:rsidR="00E30EC7" w:rsidRPr="00CE357F" w14:paraId="07B24F54" w14:textId="77777777" w:rsidTr="004A0C47">
        <w:trPr>
          <w:trHeight w:val="227"/>
          <w:jc w:val="center"/>
        </w:trPr>
        <w:tc>
          <w:tcPr>
            <w:tcW w:w="1669" w:type="dxa"/>
            <w:shd w:val="clear" w:color="auto" w:fill="D9E2F3" w:themeFill="accent1" w:themeFillTint="33"/>
            <w:vAlign w:val="center"/>
          </w:tcPr>
          <w:p w14:paraId="083C0EC8"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Olomoucký kraj</w:t>
            </w:r>
          </w:p>
        </w:tc>
        <w:tc>
          <w:tcPr>
            <w:tcW w:w="924" w:type="dxa"/>
            <w:vAlign w:val="center"/>
          </w:tcPr>
          <w:p w14:paraId="030FC79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6 053</w:t>
            </w:r>
          </w:p>
        </w:tc>
        <w:tc>
          <w:tcPr>
            <w:tcW w:w="924" w:type="dxa"/>
            <w:vAlign w:val="center"/>
          </w:tcPr>
          <w:p w14:paraId="0F693A96"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7 645</w:t>
            </w:r>
          </w:p>
        </w:tc>
        <w:tc>
          <w:tcPr>
            <w:tcW w:w="924" w:type="dxa"/>
          </w:tcPr>
          <w:p w14:paraId="52F94597"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9 484</w:t>
            </w:r>
          </w:p>
        </w:tc>
        <w:tc>
          <w:tcPr>
            <w:tcW w:w="924" w:type="dxa"/>
          </w:tcPr>
          <w:p w14:paraId="3FEF8C12"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10 714</w:t>
            </w:r>
          </w:p>
        </w:tc>
        <w:tc>
          <w:tcPr>
            <w:tcW w:w="924" w:type="dxa"/>
            <w:vAlign w:val="center"/>
          </w:tcPr>
          <w:p w14:paraId="63DD5CB0"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11 245</w:t>
            </w:r>
          </w:p>
        </w:tc>
        <w:tc>
          <w:tcPr>
            <w:tcW w:w="924" w:type="dxa"/>
            <w:vAlign w:val="center"/>
          </w:tcPr>
          <w:p w14:paraId="3E39B716"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11 642</w:t>
            </w:r>
          </w:p>
        </w:tc>
        <w:tc>
          <w:tcPr>
            <w:tcW w:w="924" w:type="dxa"/>
          </w:tcPr>
          <w:p w14:paraId="47319717"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12 534</w:t>
            </w:r>
          </w:p>
        </w:tc>
        <w:tc>
          <w:tcPr>
            <w:tcW w:w="925" w:type="dxa"/>
          </w:tcPr>
          <w:p w14:paraId="547E2DDD"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15 895</w:t>
            </w:r>
          </w:p>
        </w:tc>
      </w:tr>
      <w:tr w:rsidR="00E30EC7" w:rsidRPr="00CE357F" w14:paraId="2943E905" w14:textId="77777777" w:rsidTr="004A0C47">
        <w:trPr>
          <w:trHeight w:val="227"/>
          <w:jc w:val="center"/>
        </w:trPr>
        <w:tc>
          <w:tcPr>
            <w:tcW w:w="1669" w:type="dxa"/>
            <w:shd w:val="clear" w:color="auto" w:fill="D9E2F3" w:themeFill="accent1" w:themeFillTint="33"/>
            <w:vAlign w:val="center"/>
          </w:tcPr>
          <w:p w14:paraId="5E9A0D66"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Zlínský kraj</w:t>
            </w:r>
          </w:p>
        </w:tc>
        <w:tc>
          <w:tcPr>
            <w:tcW w:w="924" w:type="dxa"/>
            <w:vAlign w:val="center"/>
          </w:tcPr>
          <w:p w14:paraId="5700F19F"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6 868</w:t>
            </w:r>
          </w:p>
        </w:tc>
        <w:tc>
          <w:tcPr>
            <w:tcW w:w="924" w:type="dxa"/>
            <w:vAlign w:val="center"/>
          </w:tcPr>
          <w:p w14:paraId="5A424C5C"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8 156</w:t>
            </w:r>
          </w:p>
        </w:tc>
        <w:tc>
          <w:tcPr>
            <w:tcW w:w="924" w:type="dxa"/>
          </w:tcPr>
          <w:p w14:paraId="3C7838F8"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9 795</w:t>
            </w:r>
          </w:p>
        </w:tc>
        <w:tc>
          <w:tcPr>
            <w:tcW w:w="924" w:type="dxa"/>
          </w:tcPr>
          <w:p w14:paraId="6B2E49DF"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11 362</w:t>
            </w:r>
          </w:p>
        </w:tc>
        <w:tc>
          <w:tcPr>
            <w:tcW w:w="924" w:type="dxa"/>
            <w:vAlign w:val="center"/>
          </w:tcPr>
          <w:p w14:paraId="69D4F0A9"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13 111</w:t>
            </w:r>
          </w:p>
        </w:tc>
        <w:tc>
          <w:tcPr>
            <w:tcW w:w="924" w:type="dxa"/>
            <w:vAlign w:val="center"/>
          </w:tcPr>
          <w:p w14:paraId="29217EF4"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13 474</w:t>
            </w:r>
          </w:p>
        </w:tc>
        <w:tc>
          <w:tcPr>
            <w:tcW w:w="924" w:type="dxa"/>
          </w:tcPr>
          <w:p w14:paraId="05101E47"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14 932</w:t>
            </w:r>
          </w:p>
        </w:tc>
        <w:tc>
          <w:tcPr>
            <w:tcW w:w="925" w:type="dxa"/>
          </w:tcPr>
          <w:p w14:paraId="56662FC8"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18 972</w:t>
            </w:r>
          </w:p>
        </w:tc>
      </w:tr>
      <w:tr w:rsidR="00E30EC7" w:rsidRPr="00CE357F" w14:paraId="7B295036" w14:textId="77777777" w:rsidTr="004A0C47">
        <w:trPr>
          <w:trHeight w:val="227"/>
          <w:jc w:val="center"/>
        </w:trPr>
        <w:tc>
          <w:tcPr>
            <w:tcW w:w="1669" w:type="dxa"/>
            <w:shd w:val="clear" w:color="auto" w:fill="D9E2F3" w:themeFill="accent1" w:themeFillTint="33"/>
            <w:vAlign w:val="center"/>
          </w:tcPr>
          <w:p w14:paraId="2D4F24B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hAnsi="Arial Narrow" w:cs="Arial"/>
                <w:sz w:val="18"/>
                <w:szCs w:val="18"/>
              </w:rPr>
              <w:t>Moravskoslezský kraj</w:t>
            </w:r>
          </w:p>
        </w:tc>
        <w:tc>
          <w:tcPr>
            <w:tcW w:w="924" w:type="dxa"/>
            <w:vAlign w:val="center"/>
          </w:tcPr>
          <w:p w14:paraId="5040F173"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17 209</w:t>
            </w:r>
          </w:p>
        </w:tc>
        <w:tc>
          <w:tcPr>
            <w:tcW w:w="924" w:type="dxa"/>
            <w:vAlign w:val="center"/>
          </w:tcPr>
          <w:p w14:paraId="667BA89C"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19 946</w:t>
            </w:r>
          </w:p>
        </w:tc>
        <w:tc>
          <w:tcPr>
            <w:tcW w:w="924" w:type="dxa"/>
          </w:tcPr>
          <w:p w14:paraId="31004EBA"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23 528</w:t>
            </w:r>
          </w:p>
        </w:tc>
        <w:tc>
          <w:tcPr>
            <w:tcW w:w="924" w:type="dxa"/>
          </w:tcPr>
          <w:p w14:paraId="73D8F82E"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28 098</w:t>
            </w:r>
          </w:p>
        </w:tc>
        <w:tc>
          <w:tcPr>
            <w:tcW w:w="924" w:type="dxa"/>
            <w:vAlign w:val="center"/>
          </w:tcPr>
          <w:p w14:paraId="65B5E8E8" w14:textId="77777777" w:rsidR="00E30EC7" w:rsidRPr="00CE357F" w:rsidRDefault="00E30EC7" w:rsidP="004A0C47">
            <w:pPr>
              <w:jc w:val="center"/>
              <w:rPr>
                <w:rFonts w:ascii="Arial Narrow" w:hAnsi="Arial Narrow" w:cs="Arial"/>
                <w:sz w:val="18"/>
                <w:szCs w:val="18"/>
              </w:rPr>
            </w:pPr>
            <w:r w:rsidRPr="00CE357F">
              <w:rPr>
                <w:rFonts w:ascii="Arial Narrow" w:eastAsia="Times New Roman" w:hAnsi="Arial Narrow" w:cs="Arial"/>
                <w:sz w:val="18"/>
                <w:szCs w:val="18"/>
                <w:lang w:eastAsia="cs-CZ"/>
              </w:rPr>
              <w:t>30 103</w:t>
            </w:r>
          </w:p>
        </w:tc>
        <w:tc>
          <w:tcPr>
            <w:tcW w:w="924" w:type="dxa"/>
            <w:vAlign w:val="center"/>
          </w:tcPr>
          <w:p w14:paraId="0EB4F137" w14:textId="77777777" w:rsidR="00E30EC7" w:rsidRPr="00CE357F" w:rsidRDefault="00E30EC7" w:rsidP="004A0C47">
            <w:pPr>
              <w:jc w:val="center"/>
              <w:rPr>
                <w:rFonts w:ascii="Arial Narrow" w:hAnsi="Arial Narrow" w:cs="Arial"/>
                <w:sz w:val="18"/>
                <w:szCs w:val="18"/>
              </w:rPr>
            </w:pPr>
            <w:r w:rsidRPr="00CE357F">
              <w:rPr>
                <w:rFonts w:ascii="Arial Narrow" w:hAnsi="Arial Narrow" w:cs="Arial"/>
                <w:sz w:val="18"/>
                <w:szCs w:val="18"/>
              </w:rPr>
              <w:t>29 954</w:t>
            </w:r>
          </w:p>
        </w:tc>
        <w:tc>
          <w:tcPr>
            <w:tcW w:w="924" w:type="dxa"/>
          </w:tcPr>
          <w:p w14:paraId="4E9671CB"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30 351</w:t>
            </w:r>
          </w:p>
        </w:tc>
        <w:tc>
          <w:tcPr>
            <w:tcW w:w="925" w:type="dxa"/>
          </w:tcPr>
          <w:p w14:paraId="7C985607" w14:textId="77777777" w:rsidR="00E30EC7" w:rsidRPr="00CE357F" w:rsidRDefault="00E30EC7" w:rsidP="004A0C47">
            <w:pPr>
              <w:jc w:val="center"/>
              <w:rPr>
                <w:rFonts w:ascii="Arial Narrow" w:hAnsi="Arial Narrow" w:cs="Arial"/>
                <w:sz w:val="18"/>
                <w:szCs w:val="18"/>
              </w:rPr>
            </w:pPr>
            <w:r>
              <w:rPr>
                <w:rFonts w:ascii="Arial Narrow" w:hAnsi="Arial Narrow" w:cs="Arial"/>
                <w:sz w:val="18"/>
                <w:szCs w:val="18"/>
              </w:rPr>
              <w:t>38 062</w:t>
            </w:r>
          </w:p>
        </w:tc>
      </w:tr>
    </w:tbl>
    <w:bookmarkEnd w:id="387"/>
    <w:p w14:paraId="7AF7299D" w14:textId="77777777" w:rsidR="00E30EC7" w:rsidRPr="00CE357F" w:rsidRDefault="00E30EC7" w:rsidP="00E30EC7">
      <w:pPr>
        <w:spacing w:after="240" w:line="276" w:lineRule="auto"/>
        <w:rPr>
          <w:rFonts w:ascii="Arial Narrow" w:hAnsi="Arial Narrow" w:cs="Arial"/>
          <w:color w:val="000000"/>
          <w:sz w:val="20"/>
        </w:rPr>
      </w:pPr>
      <w:r w:rsidRPr="00CE357F">
        <w:rPr>
          <w:rFonts w:ascii="Arial Narrow" w:hAnsi="Arial Narrow" w:cs="Arial"/>
          <w:color w:val="000000"/>
          <w:sz w:val="20"/>
        </w:rPr>
        <w:t>Zdroj: Ministerstvo práce a sociálních věcí, data za měsíc prosinec daného roku</w:t>
      </w:r>
      <w:r w:rsidRPr="00CE357F">
        <w:rPr>
          <w:rFonts w:ascii="Arial Narrow" w:hAnsi="Arial Narrow" w:cs="Arial"/>
          <w:color w:val="000000"/>
          <w:sz w:val="20"/>
        </w:rPr>
        <w:tab/>
        <w:t xml:space="preserve">Tabulka: AUGUR </w:t>
      </w:r>
      <w:proofErr w:type="spellStart"/>
      <w:r w:rsidRPr="00CE357F">
        <w:rPr>
          <w:rFonts w:ascii="Arial Narrow" w:hAnsi="Arial Narrow" w:cs="Arial"/>
          <w:color w:val="000000"/>
          <w:sz w:val="20"/>
        </w:rPr>
        <w:t>Consulting</w:t>
      </w:r>
      <w:proofErr w:type="spellEnd"/>
      <w:r w:rsidRPr="00CE357F">
        <w:rPr>
          <w:rFonts w:ascii="Arial Narrow" w:hAnsi="Arial Narrow" w:cs="Arial"/>
          <w:color w:val="000000"/>
          <w:sz w:val="20"/>
        </w:rPr>
        <w:t>, s.r.o.</w:t>
      </w:r>
    </w:p>
    <w:p w14:paraId="770471EE" w14:textId="77777777" w:rsidR="00E30EC7" w:rsidRPr="00CE357F" w:rsidRDefault="00E30EC7" w:rsidP="00E30EC7">
      <w:pPr>
        <w:spacing w:after="240" w:line="276" w:lineRule="auto"/>
        <w:jc w:val="both"/>
        <w:rPr>
          <w:rFonts w:ascii="Arial Narrow" w:hAnsi="Arial Narrow"/>
          <w:szCs w:val="20"/>
        </w:rPr>
      </w:pPr>
      <w:bookmarkStart w:id="388" w:name="_Hlk95746396"/>
      <w:r w:rsidRPr="00CE357F">
        <w:rPr>
          <w:rFonts w:ascii="Arial Narrow" w:hAnsi="Arial Narrow"/>
          <w:szCs w:val="20"/>
        </w:rPr>
        <w:t>Převážnou většinu zaměstnaných osob s jinou než českou státní pří</w:t>
      </w:r>
      <w:r>
        <w:rPr>
          <w:rFonts w:ascii="Arial Narrow" w:hAnsi="Arial Narrow"/>
          <w:szCs w:val="20"/>
        </w:rPr>
        <w:t>slušností, kteří v prosinci 2022</w:t>
      </w:r>
      <w:r w:rsidRPr="00CE357F">
        <w:rPr>
          <w:rFonts w:ascii="Arial Narrow" w:hAnsi="Arial Narrow"/>
          <w:szCs w:val="20"/>
        </w:rPr>
        <w:t xml:space="preserve"> v České republice pracovali, tvořili pracovníci s volným přístupe</w:t>
      </w:r>
      <w:r>
        <w:rPr>
          <w:rFonts w:ascii="Arial Narrow" w:hAnsi="Arial Narrow"/>
          <w:szCs w:val="20"/>
        </w:rPr>
        <w:t>m na trh práce. 51,3</w:t>
      </w:r>
      <w:r w:rsidRPr="00CE357F">
        <w:rPr>
          <w:rFonts w:ascii="Arial Narrow" w:hAnsi="Arial Narrow"/>
          <w:szCs w:val="20"/>
        </w:rPr>
        <w:t xml:space="preserve"> % zaměstnanců pocházel</w:t>
      </w:r>
      <w:r>
        <w:rPr>
          <w:rFonts w:ascii="Arial Narrow" w:hAnsi="Arial Narrow"/>
          <w:szCs w:val="20"/>
        </w:rPr>
        <w:t>o ze zemí EU/EHP a Švýcarska a 33,2</w:t>
      </w:r>
      <w:r w:rsidRPr="00CE357F">
        <w:rPr>
          <w:rFonts w:ascii="Arial Narrow" w:hAnsi="Arial Narrow"/>
          <w:szCs w:val="20"/>
        </w:rPr>
        <w:t xml:space="preserve"> % občané třetích zemí, kteří byli v České republice zaměstnáni na základě informačních karet občanů nečlenských států EU/EHP a Švýcarska. </w:t>
      </w:r>
      <w:bookmarkEnd w:id="388"/>
      <w:r w:rsidRPr="00CE357F">
        <w:rPr>
          <w:rFonts w:ascii="Arial Narrow" w:hAnsi="Arial Narrow"/>
          <w:szCs w:val="20"/>
        </w:rPr>
        <w:t xml:space="preserve">Na základě nějaké formy pracovního povolení pro občany třetích zemí pracovalo v prosinci </w:t>
      </w:r>
      <w:r>
        <w:rPr>
          <w:rFonts w:ascii="Arial Narrow" w:hAnsi="Arial Narrow"/>
          <w:szCs w:val="20"/>
        </w:rPr>
        <w:t>2020 v České republice celkem 15,2</w:t>
      </w:r>
      <w:r w:rsidRPr="00CE357F">
        <w:rPr>
          <w:rFonts w:ascii="Arial Narrow" w:hAnsi="Arial Narrow"/>
          <w:szCs w:val="20"/>
        </w:rPr>
        <w:t xml:space="preserve"> </w:t>
      </w:r>
      <w:r>
        <w:rPr>
          <w:rFonts w:ascii="Arial Narrow" w:hAnsi="Arial Narrow"/>
          <w:szCs w:val="20"/>
        </w:rPr>
        <w:t>% všech zaměstnanců, z toho 14</w:t>
      </w:r>
      <w:r w:rsidRPr="00CE357F">
        <w:rPr>
          <w:rFonts w:ascii="Arial Narrow" w:hAnsi="Arial Narrow"/>
          <w:szCs w:val="20"/>
        </w:rPr>
        <w:t xml:space="preserve"> % n</w:t>
      </w:r>
      <w:r>
        <w:rPr>
          <w:rFonts w:ascii="Arial Narrow" w:hAnsi="Arial Narrow"/>
          <w:szCs w:val="20"/>
        </w:rPr>
        <w:t>a základě zaměstnanecké karty, 0,9</w:t>
      </w:r>
      <w:r w:rsidRPr="00CE357F">
        <w:rPr>
          <w:rFonts w:ascii="Arial Narrow" w:hAnsi="Arial Narrow"/>
          <w:szCs w:val="20"/>
        </w:rPr>
        <w:t xml:space="preserve"> % na zák</w:t>
      </w:r>
      <w:r>
        <w:rPr>
          <w:rFonts w:ascii="Arial Narrow" w:hAnsi="Arial Narrow"/>
          <w:szCs w:val="20"/>
        </w:rPr>
        <w:t>ladě povolení k zaměstnání a 0,2</w:t>
      </w:r>
      <w:r w:rsidRPr="00CE357F">
        <w:rPr>
          <w:rFonts w:ascii="Arial Narrow" w:hAnsi="Arial Narrow"/>
          <w:szCs w:val="20"/>
        </w:rPr>
        <w:t xml:space="preserve"> % na základě modré karty.</w:t>
      </w:r>
    </w:p>
    <w:p w14:paraId="6467C626" w14:textId="349EABE7" w:rsidR="00E30EC7" w:rsidRPr="00CE357F" w:rsidRDefault="00E30EC7" w:rsidP="00E30EC7">
      <w:pPr>
        <w:spacing w:after="240" w:line="276" w:lineRule="auto"/>
        <w:jc w:val="both"/>
        <w:rPr>
          <w:rFonts w:ascii="Arial Narrow" w:hAnsi="Arial Narrow"/>
        </w:rPr>
      </w:pPr>
      <w:bookmarkStart w:id="389" w:name="_Hlk95746406"/>
      <w:r w:rsidRPr="00CE357F">
        <w:rPr>
          <w:rFonts w:ascii="Arial Narrow" w:hAnsi="Arial Narrow"/>
        </w:rPr>
        <w:t xml:space="preserve">Mezi zaměstnanci s jinou než českou státní příslušností dlouhodobě dominují občané Slovenska, Ukrajiny, Polska, Rumunska a Bulharska. Občané těchto pěti zemí dlouhodobě tvoří více než tři čtvrtiny všech zaměstnaných osob s jinou než českou státní příslušností v České republice. </w:t>
      </w:r>
      <w:r w:rsidRPr="00A17B33">
        <w:rPr>
          <w:rFonts w:ascii="Arial Narrow" w:hAnsi="Arial Narrow"/>
        </w:rPr>
        <w:t>Ačkoliv mezi zaměstnanci s jinou než českou státní příslušností dlouhodobě dominovali občané Slovenska, v souvislosti s válečným konfliktem na Ukrajině je v roce 2022 početně převýšili občané Ukrajiny.</w:t>
      </w:r>
      <w:bookmarkEnd w:id="389"/>
      <w:r w:rsidR="00577D12">
        <w:rPr>
          <w:rFonts w:ascii="Arial Narrow" w:hAnsi="Arial Narrow"/>
        </w:rPr>
        <w:t xml:space="preserve"> </w:t>
      </w:r>
      <w:r w:rsidRPr="00CE357F">
        <w:rPr>
          <w:rFonts w:ascii="Arial Narrow" w:hAnsi="Arial Narrow"/>
        </w:rPr>
        <w:t>Zaměstnávání osob s jinou než českou státní příslušností podle pěti nejčastějšíc</w:t>
      </w:r>
      <w:r>
        <w:rPr>
          <w:rFonts w:ascii="Arial Narrow" w:hAnsi="Arial Narrow"/>
        </w:rPr>
        <w:t>h zemí původu v letech 2015-2022</w:t>
      </w:r>
      <w:r w:rsidRPr="00CE357F">
        <w:rPr>
          <w:rFonts w:ascii="Arial Narrow" w:hAnsi="Arial Narrow"/>
        </w:rPr>
        <w:t xml:space="preserve"> podrobně </w:t>
      </w:r>
      <w:r w:rsidR="009E7D55">
        <w:rPr>
          <w:rFonts w:ascii="Arial Narrow" w:hAnsi="Arial Narrow"/>
        </w:rPr>
        <w:t>dokumentuje tabulka</w:t>
      </w:r>
      <w:r w:rsidR="00577D12">
        <w:rPr>
          <w:rFonts w:ascii="Arial Narrow" w:hAnsi="Arial Narrow"/>
        </w:rPr>
        <w:t xml:space="preserve"> č. 19.</w:t>
      </w:r>
    </w:p>
    <w:p w14:paraId="7C29997C" w14:textId="6128699E" w:rsidR="00E30EC7" w:rsidRPr="00CE357F" w:rsidRDefault="00E30EC7" w:rsidP="00E30EC7">
      <w:pPr>
        <w:spacing w:line="276" w:lineRule="auto"/>
        <w:jc w:val="both"/>
        <w:rPr>
          <w:rFonts w:ascii="Arial Narrow" w:hAnsi="Arial Narrow" w:cs="Arial"/>
          <w:b/>
          <w:color w:val="000000" w:themeColor="text1"/>
          <w:sz w:val="24"/>
          <w:szCs w:val="24"/>
        </w:rPr>
      </w:pPr>
      <w:bookmarkStart w:id="390" w:name="_Toc136429230"/>
      <w:r w:rsidRPr="00CE357F">
        <w:rPr>
          <w:rFonts w:ascii="Arial Narrow" w:hAnsi="Arial Narrow"/>
          <w:b/>
          <w:color w:val="000000" w:themeColor="text1"/>
          <w:sz w:val="20"/>
          <w:szCs w:val="20"/>
        </w:rPr>
        <w:t xml:space="preserve">Tabulka </w:t>
      </w:r>
      <w:r w:rsidRPr="00CE357F">
        <w:rPr>
          <w:rFonts w:ascii="Arial Narrow" w:hAnsi="Arial Narrow"/>
          <w:b/>
          <w:color w:val="000000" w:themeColor="text1"/>
          <w:sz w:val="20"/>
          <w:szCs w:val="20"/>
        </w:rPr>
        <w:fldChar w:fldCharType="begin"/>
      </w:r>
      <w:r w:rsidRPr="00CE357F">
        <w:rPr>
          <w:rFonts w:ascii="Arial Narrow" w:hAnsi="Arial Narrow"/>
          <w:b/>
          <w:color w:val="000000" w:themeColor="text1"/>
          <w:sz w:val="20"/>
          <w:szCs w:val="20"/>
        </w:rPr>
        <w:instrText xml:space="preserve"> SEQ Tabulka \* ARABIC </w:instrText>
      </w:r>
      <w:r w:rsidRPr="00CE357F">
        <w:rPr>
          <w:rFonts w:ascii="Arial Narrow" w:hAnsi="Arial Narrow"/>
          <w:b/>
          <w:color w:val="000000" w:themeColor="text1"/>
          <w:sz w:val="20"/>
          <w:szCs w:val="20"/>
        </w:rPr>
        <w:fldChar w:fldCharType="separate"/>
      </w:r>
      <w:r w:rsidR="00256C97">
        <w:rPr>
          <w:rFonts w:ascii="Arial Narrow" w:hAnsi="Arial Narrow"/>
          <w:b/>
          <w:noProof/>
          <w:color w:val="000000" w:themeColor="text1"/>
          <w:sz w:val="20"/>
          <w:szCs w:val="20"/>
        </w:rPr>
        <w:t>19</w:t>
      </w:r>
      <w:r w:rsidRPr="00CE357F">
        <w:rPr>
          <w:rFonts w:ascii="Arial Narrow" w:hAnsi="Arial Narrow"/>
          <w:b/>
          <w:color w:val="000000" w:themeColor="text1"/>
          <w:sz w:val="20"/>
          <w:szCs w:val="20"/>
        </w:rPr>
        <w:fldChar w:fldCharType="end"/>
      </w:r>
      <w:r w:rsidRPr="00CE357F">
        <w:rPr>
          <w:rFonts w:ascii="Arial Narrow" w:hAnsi="Arial Narrow"/>
          <w:b/>
          <w:color w:val="000000" w:themeColor="text1"/>
          <w:sz w:val="20"/>
          <w:szCs w:val="20"/>
        </w:rPr>
        <w:t xml:space="preserve">: </w:t>
      </w:r>
      <w:r w:rsidRPr="00CE357F">
        <w:rPr>
          <w:rFonts w:ascii="Arial Narrow" w:hAnsi="Arial Narrow"/>
          <w:b/>
          <w:bCs/>
          <w:color w:val="000000" w:themeColor="text1"/>
          <w:sz w:val="20"/>
          <w:szCs w:val="20"/>
        </w:rPr>
        <w:t xml:space="preserve"> Zaměstnávání osob s jinou než českou státní příslušností – 5 nejčastějších zemí původu (údaje vždy za prosinec daného roku)</w:t>
      </w:r>
      <w:bookmarkEnd w:id="390"/>
    </w:p>
    <w:tbl>
      <w:tblPr>
        <w:tblW w:w="9002"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064"/>
        <w:gridCol w:w="981"/>
        <w:gridCol w:w="992"/>
        <w:gridCol w:w="993"/>
        <w:gridCol w:w="992"/>
        <w:gridCol w:w="1559"/>
        <w:gridCol w:w="2421"/>
      </w:tblGrid>
      <w:tr w:rsidR="00E30EC7" w:rsidRPr="00CE357F" w14:paraId="1C8DF745" w14:textId="77777777" w:rsidTr="004A0C47">
        <w:trPr>
          <w:trHeight w:val="216"/>
          <w:jc w:val="center"/>
        </w:trPr>
        <w:tc>
          <w:tcPr>
            <w:tcW w:w="1064" w:type="dxa"/>
            <w:vMerge w:val="restart"/>
            <w:shd w:val="clear" w:color="auto" w:fill="D9E2F3" w:themeFill="accent1" w:themeFillTint="33"/>
            <w:vAlign w:val="center"/>
          </w:tcPr>
          <w:p w14:paraId="62F229A6" w14:textId="77777777" w:rsidR="00E30EC7" w:rsidRPr="00CE357F" w:rsidRDefault="00E30EC7" w:rsidP="004A0C47">
            <w:pPr>
              <w:jc w:val="center"/>
              <w:rPr>
                <w:rFonts w:ascii="Arial Narrow" w:eastAsia="Times New Roman" w:hAnsi="Arial Narrow" w:cs="Arial"/>
                <w:b/>
                <w:bCs/>
                <w:sz w:val="18"/>
                <w:szCs w:val="18"/>
                <w:lang w:eastAsia="cs-CZ"/>
              </w:rPr>
            </w:pPr>
          </w:p>
        </w:tc>
        <w:tc>
          <w:tcPr>
            <w:tcW w:w="5517" w:type="dxa"/>
            <w:gridSpan w:val="5"/>
            <w:shd w:val="clear" w:color="auto" w:fill="D9E2F3" w:themeFill="accent1" w:themeFillTint="33"/>
            <w:vAlign w:val="center"/>
          </w:tcPr>
          <w:p w14:paraId="7F34AC07" w14:textId="77777777" w:rsidR="00E30EC7" w:rsidRPr="00CE357F" w:rsidRDefault="00E30EC7" w:rsidP="004A0C47">
            <w:pPr>
              <w:jc w:val="center"/>
              <w:rPr>
                <w:rFonts w:ascii="Arial Narrow" w:hAnsi="Arial Narrow"/>
                <w:bCs/>
                <w:sz w:val="18"/>
                <w:szCs w:val="18"/>
              </w:rPr>
            </w:pPr>
            <w:r w:rsidRPr="00CE357F">
              <w:rPr>
                <w:rFonts w:ascii="Arial Narrow" w:hAnsi="Arial Narrow"/>
                <w:bCs/>
                <w:sz w:val="18"/>
                <w:szCs w:val="18"/>
              </w:rPr>
              <w:t>Zaměstnávání osob s jinou než českou státní příslušností podle jejich státní příslušnosti – 5 nejčastějších zemí původu (údaje vždy za prosinec daného roku)</w:t>
            </w:r>
          </w:p>
        </w:tc>
        <w:tc>
          <w:tcPr>
            <w:tcW w:w="2421" w:type="dxa"/>
            <w:vMerge w:val="restart"/>
            <w:shd w:val="clear" w:color="auto" w:fill="D9E2F3" w:themeFill="accent1" w:themeFillTint="33"/>
          </w:tcPr>
          <w:p w14:paraId="22B889DF" w14:textId="77777777" w:rsidR="00E30EC7" w:rsidRPr="00CE357F" w:rsidRDefault="00E30EC7" w:rsidP="004A0C47">
            <w:pPr>
              <w:jc w:val="center"/>
              <w:rPr>
                <w:rFonts w:ascii="Arial Narrow" w:hAnsi="Arial Narrow"/>
                <w:bCs/>
                <w:sz w:val="18"/>
                <w:szCs w:val="18"/>
              </w:rPr>
            </w:pPr>
            <w:r w:rsidRPr="00CE357F">
              <w:rPr>
                <w:rFonts w:ascii="Arial Narrow" w:hAnsi="Arial Narrow"/>
                <w:bCs/>
                <w:sz w:val="18"/>
                <w:szCs w:val="18"/>
              </w:rPr>
              <w:t>Podíl na celkovém počtu zaměstnaných cizích státních příslušníků</w:t>
            </w:r>
          </w:p>
        </w:tc>
      </w:tr>
      <w:tr w:rsidR="00E30EC7" w:rsidRPr="00CE357F" w14:paraId="5C8F9202" w14:textId="77777777" w:rsidTr="004A0C47">
        <w:trPr>
          <w:trHeight w:val="216"/>
          <w:jc w:val="center"/>
        </w:trPr>
        <w:tc>
          <w:tcPr>
            <w:tcW w:w="1064" w:type="dxa"/>
            <w:vMerge/>
            <w:shd w:val="clear" w:color="auto" w:fill="D9E2F3" w:themeFill="accent1" w:themeFillTint="33"/>
            <w:vAlign w:val="center"/>
          </w:tcPr>
          <w:p w14:paraId="0D53E1F2" w14:textId="77777777" w:rsidR="00E30EC7" w:rsidRPr="00CE357F" w:rsidRDefault="00E30EC7" w:rsidP="004A0C47">
            <w:pPr>
              <w:jc w:val="center"/>
              <w:rPr>
                <w:rFonts w:ascii="Arial Narrow" w:eastAsia="Times New Roman" w:hAnsi="Arial Narrow" w:cs="Arial"/>
                <w:b/>
                <w:bCs/>
                <w:sz w:val="18"/>
                <w:szCs w:val="18"/>
                <w:lang w:eastAsia="cs-CZ"/>
              </w:rPr>
            </w:pPr>
          </w:p>
        </w:tc>
        <w:tc>
          <w:tcPr>
            <w:tcW w:w="981" w:type="dxa"/>
            <w:shd w:val="clear" w:color="auto" w:fill="D9E2F3" w:themeFill="accent1" w:themeFillTint="33"/>
            <w:vAlign w:val="center"/>
          </w:tcPr>
          <w:p w14:paraId="660FA627"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1.</w:t>
            </w:r>
          </w:p>
        </w:tc>
        <w:tc>
          <w:tcPr>
            <w:tcW w:w="992" w:type="dxa"/>
            <w:shd w:val="clear" w:color="auto" w:fill="D9E2F3" w:themeFill="accent1" w:themeFillTint="33"/>
            <w:vAlign w:val="center"/>
          </w:tcPr>
          <w:p w14:paraId="01660A93"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2.</w:t>
            </w:r>
          </w:p>
        </w:tc>
        <w:tc>
          <w:tcPr>
            <w:tcW w:w="993" w:type="dxa"/>
            <w:shd w:val="clear" w:color="auto" w:fill="D9E2F3" w:themeFill="accent1" w:themeFillTint="33"/>
            <w:vAlign w:val="center"/>
          </w:tcPr>
          <w:p w14:paraId="42B06C2A"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3.</w:t>
            </w:r>
          </w:p>
        </w:tc>
        <w:tc>
          <w:tcPr>
            <w:tcW w:w="992" w:type="dxa"/>
            <w:shd w:val="clear" w:color="auto" w:fill="D9E2F3" w:themeFill="accent1" w:themeFillTint="33"/>
            <w:vAlign w:val="center"/>
          </w:tcPr>
          <w:p w14:paraId="05325B08"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4.</w:t>
            </w:r>
          </w:p>
        </w:tc>
        <w:tc>
          <w:tcPr>
            <w:tcW w:w="1559" w:type="dxa"/>
            <w:shd w:val="clear" w:color="auto" w:fill="D9E2F3" w:themeFill="accent1" w:themeFillTint="33"/>
            <w:vAlign w:val="center"/>
          </w:tcPr>
          <w:p w14:paraId="77DB03B1"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5.</w:t>
            </w:r>
          </w:p>
        </w:tc>
        <w:tc>
          <w:tcPr>
            <w:tcW w:w="2421" w:type="dxa"/>
            <w:vMerge/>
            <w:shd w:val="clear" w:color="auto" w:fill="D9E2F3" w:themeFill="accent1" w:themeFillTint="33"/>
          </w:tcPr>
          <w:p w14:paraId="28298993" w14:textId="77777777" w:rsidR="00E30EC7" w:rsidRPr="00CE357F" w:rsidRDefault="00E30EC7" w:rsidP="004A0C47">
            <w:pPr>
              <w:jc w:val="center"/>
              <w:rPr>
                <w:rFonts w:ascii="Arial Narrow" w:eastAsia="Times New Roman" w:hAnsi="Arial Narrow" w:cs="Arial"/>
                <w:b/>
                <w:bCs/>
                <w:sz w:val="18"/>
                <w:szCs w:val="18"/>
                <w:lang w:eastAsia="cs-CZ"/>
              </w:rPr>
            </w:pPr>
          </w:p>
        </w:tc>
      </w:tr>
      <w:tr w:rsidR="00E30EC7" w:rsidRPr="00CE357F" w14:paraId="4E125C7F" w14:textId="77777777" w:rsidTr="004A0C47">
        <w:trPr>
          <w:trHeight w:val="397"/>
          <w:jc w:val="center"/>
        </w:trPr>
        <w:tc>
          <w:tcPr>
            <w:tcW w:w="1064" w:type="dxa"/>
            <w:shd w:val="clear" w:color="auto" w:fill="D9E2F3" w:themeFill="accent1" w:themeFillTint="33"/>
            <w:vAlign w:val="center"/>
          </w:tcPr>
          <w:p w14:paraId="0AE14D1E" w14:textId="77777777" w:rsidR="00E30EC7" w:rsidRPr="00CE357F"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2022</w:t>
            </w:r>
          </w:p>
        </w:tc>
        <w:tc>
          <w:tcPr>
            <w:tcW w:w="981" w:type="dxa"/>
            <w:shd w:val="clear" w:color="auto" w:fill="F8ECEC"/>
            <w:vAlign w:val="center"/>
          </w:tcPr>
          <w:p w14:paraId="00582B14" w14:textId="77777777" w:rsidR="00E30EC7"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Ukrajina</w:t>
            </w:r>
          </w:p>
          <w:p w14:paraId="51795410" w14:textId="77777777" w:rsidR="00E30EC7" w:rsidRPr="00CE357F"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269 911</w:t>
            </w:r>
          </w:p>
        </w:tc>
        <w:tc>
          <w:tcPr>
            <w:tcW w:w="992" w:type="dxa"/>
            <w:shd w:val="clear" w:color="auto" w:fill="F8ECEC"/>
            <w:vAlign w:val="center"/>
          </w:tcPr>
          <w:p w14:paraId="369AD3B0" w14:textId="77777777" w:rsidR="00E30EC7"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Slovensko</w:t>
            </w:r>
          </w:p>
          <w:p w14:paraId="6CB7E20C" w14:textId="77777777" w:rsidR="00E30EC7" w:rsidRPr="00CE357F"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213 447</w:t>
            </w:r>
          </w:p>
        </w:tc>
        <w:tc>
          <w:tcPr>
            <w:tcW w:w="993" w:type="dxa"/>
            <w:shd w:val="clear" w:color="auto" w:fill="F8ECEC"/>
            <w:vAlign w:val="center"/>
          </w:tcPr>
          <w:p w14:paraId="6567E1C4" w14:textId="77777777" w:rsidR="00E30EC7"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Polsko</w:t>
            </w:r>
          </w:p>
          <w:p w14:paraId="5D4CFC56" w14:textId="77777777" w:rsidR="00E30EC7" w:rsidRPr="00CE357F"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49 074</w:t>
            </w:r>
          </w:p>
        </w:tc>
        <w:tc>
          <w:tcPr>
            <w:tcW w:w="992" w:type="dxa"/>
            <w:vAlign w:val="center"/>
          </w:tcPr>
          <w:p w14:paraId="6D794ACD" w14:textId="77777777" w:rsidR="00E30EC7"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Rumunsko</w:t>
            </w:r>
          </w:p>
          <w:p w14:paraId="61379953" w14:textId="77777777" w:rsidR="00E30EC7" w:rsidRPr="00CE357F"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46 437</w:t>
            </w:r>
          </w:p>
        </w:tc>
        <w:tc>
          <w:tcPr>
            <w:tcW w:w="1559" w:type="dxa"/>
            <w:vAlign w:val="center"/>
          </w:tcPr>
          <w:p w14:paraId="2D01F2EC" w14:textId="77777777" w:rsidR="00E30EC7"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Bulharsko</w:t>
            </w:r>
          </w:p>
          <w:p w14:paraId="3ED1258C" w14:textId="77777777" w:rsidR="00E30EC7" w:rsidRPr="00CE357F" w:rsidRDefault="00E30EC7" w:rsidP="004A0C47">
            <w:pPr>
              <w:jc w:val="center"/>
              <w:rPr>
                <w:rFonts w:ascii="Arial Narrow" w:eastAsia="Times New Roman" w:hAnsi="Arial Narrow" w:cs="Arial"/>
                <w:sz w:val="18"/>
                <w:szCs w:val="18"/>
                <w:lang w:eastAsia="cs-CZ"/>
              </w:rPr>
            </w:pPr>
            <w:r>
              <w:rPr>
                <w:rFonts w:ascii="Arial Narrow" w:eastAsia="Times New Roman" w:hAnsi="Arial Narrow" w:cs="Arial"/>
                <w:sz w:val="18"/>
                <w:szCs w:val="18"/>
                <w:lang w:eastAsia="cs-CZ"/>
              </w:rPr>
              <w:t>37 067</w:t>
            </w:r>
          </w:p>
        </w:tc>
        <w:tc>
          <w:tcPr>
            <w:tcW w:w="2421" w:type="dxa"/>
            <w:vAlign w:val="center"/>
          </w:tcPr>
          <w:p w14:paraId="789A2F37" w14:textId="77777777" w:rsidR="00E30EC7" w:rsidRPr="00CE357F" w:rsidRDefault="00E30EC7" w:rsidP="004A0C47">
            <w:pPr>
              <w:jc w:val="center"/>
              <w:rPr>
                <w:rFonts w:ascii="Arial Narrow" w:eastAsia="Times New Roman" w:hAnsi="Arial Narrow" w:cs="Arial"/>
                <w:b/>
                <w:bCs/>
                <w:color w:val="C00000"/>
                <w:sz w:val="18"/>
                <w:szCs w:val="18"/>
                <w:lang w:eastAsia="cs-CZ"/>
              </w:rPr>
            </w:pPr>
            <w:r>
              <w:rPr>
                <w:rFonts w:ascii="Arial Narrow" w:eastAsia="Times New Roman" w:hAnsi="Arial Narrow" w:cs="Arial"/>
                <w:b/>
                <w:bCs/>
                <w:color w:val="C00000"/>
                <w:sz w:val="18"/>
                <w:szCs w:val="18"/>
                <w:lang w:eastAsia="cs-CZ"/>
              </w:rPr>
              <w:t>77,6 %</w:t>
            </w:r>
          </w:p>
        </w:tc>
      </w:tr>
      <w:tr w:rsidR="00E30EC7" w:rsidRPr="00CE357F" w14:paraId="2FFB3B64" w14:textId="77777777" w:rsidTr="004A0C47">
        <w:trPr>
          <w:trHeight w:val="397"/>
          <w:jc w:val="center"/>
        </w:trPr>
        <w:tc>
          <w:tcPr>
            <w:tcW w:w="1064" w:type="dxa"/>
            <w:shd w:val="clear" w:color="auto" w:fill="D9E2F3" w:themeFill="accent1" w:themeFillTint="33"/>
            <w:vAlign w:val="center"/>
          </w:tcPr>
          <w:p w14:paraId="3173565E"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2021</w:t>
            </w:r>
          </w:p>
        </w:tc>
        <w:tc>
          <w:tcPr>
            <w:tcW w:w="981" w:type="dxa"/>
            <w:shd w:val="clear" w:color="auto" w:fill="F8ECEC"/>
            <w:vAlign w:val="center"/>
          </w:tcPr>
          <w:p w14:paraId="30C53302"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1842ABE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209 273</w:t>
            </w:r>
          </w:p>
        </w:tc>
        <w:tc>
          <w:tcPr>
            <w:tcW w:w="992" w:type="dxa"/>
            <w:shd w:val="clear" w:color="auto" w:fill="F8ECEC"/>
            <w:vAlign w:val="center"/>
          </w:tcPr>
          <w:p w14:paraId="50CA283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7674C720"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195 116</w:t>
            </w:r>
          </w:p>
        </w:tc>
        <w:tc>
          <w:tcPr>
            <w:tcW w:w="993" w:type="dxa"/>
            <w:shd w:val="clear" w:color="auto" w:fill="F8ECEC"/>
            <w:vAlign w:val="center"/>
          </w:tcPr>
          <w:p w14:paraId="790802F8"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4366D71C"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47 001</w:t>
            </w:r>
          </w:p>
        </w:tc>
        <w:tc>
          <w:tcPr>
            <w:tcW w:w="992" w:type="dxa"/>
            <w:vAlign w:val="center"/>
          </w:tcPr>
          <w:p w14:paraId="5B57201E"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3877FBA9"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46 768</w:t>
            </w:r>
          </w:p>
        </w:tc>
        <w:tc>
          <w:tcPr>
            <w:tcW w:w="1559" w:type="dxa"/>
            <w:vAlign w:val="center"/>
          </w:tcPr>
          <w:p w14:paraId="6DFE5749"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5167840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38 120</w:t>
            </w:r>
          </w:p>
        </w:tc>
        <w:tc>
          <w:tcPr>
            <w:tcW w:w="2421" w:type="dxa"/>
            <w:vAlign w:val="center"/>
          </w:tcPr>
          <w:p w14:paraId="0B3FF734"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76,4 %</w:t>
            </w:r>
          </w:p>
        </w:tc>
      </w:tr>
      <w:tr w:rsidR="00E30EC7" w:rsidRPr="00CE357F" w14:paraId="46B33E9D" w14:textId="77777777" w:rsidTr="004A0C47">
        <w:trPr>
          <w:trHeight w:val="397"/>
          <w:jc w:val="center"/>
        </w:trPr>
        <w:tc>
          <w:tcPr>
            <w:tcW w:w="1064" w:type="dxa"/>
            <w:shd w:val="clear" w:color="auto" w:fill="D9E2F3" w:themeFill="accent1" w:themeFillTint="33"/>
            <w:vAlign w:val="center"/>
            <w:hideMark/>
          </w:tcPr>
          <w:p w14:paraId="54223954"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lastRenderedPageBreak/>
              <w:t>2020</w:t>
            </w:r>
          </w:p>
        </w:tc>
        <w:tc>
          <w:tcPr>
            <w:tcW w:w="981" w:type="dxa"/>
            <w:shd w:val="clear" w:color="auto" w:fill="F8ECEC"/>
            <w:vAlign w:val="center"/>
          </w:tcPr>
          <w:p w14:paraId="3FFE28B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146D3FE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204 294</w:t>
            </w:r>
          </w:p>
        </w:tc>
        <w:tc>
          <w:tcPr>
            <w:tcW w:w="992" w:type="dxa"/>
            <w:shd w:val="clear" w:color="auto" w:fill="F8ECEC"/>
            <w:vAlign w:val="center"/>
          </w:tcPr>
          <w:p w14:paraId="3E39AD67"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45BE2780"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159 468</w:t>
            </w:r>
          </w:p>
        </w:tc>
        <w:tc>
          <w:tcPr>
            <w:tcW w:w="993" w:type="dxa"/>
            <w:shd w:val="clear" w:color="auto" w:fill="F8ECEC"/>
            <w:vAlign w:val="center"/>
          </w:tcPr>
          <w:p w14:paraId="2AFE4699"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77E7210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46 567</w:t>
            </w:r>
          </w:p>
        </w:tc>
        <w:tc>
          <w:tcPr>
            <w:tcW w:w="992" w:type="dxa"/>
            <w:vAlign w:val="center"/>
          </w:tcPr>
          <w:p w14:paraId="78EB6514"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7991B88F"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45 363</w:t>
            </w:r>
          </w:p>
        </w:tc>
        <w:tc>
          <w:tcPr>
            <w:tcW w:w="1559" w:type="dxa"/>
            <w:vAlign w:val="center"/>
          </w:tcPr>
          <w:p w14:paraId="66622F5F"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5FC03F3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37 145</w:t>
            </w:r>
          </w:p>
        </w:tc>
        <w:tc>
          <w:tcPr>
            <w:tcW w:w="2421" w:type="dxa"/>
            <w:vAlign w:val="center"/>
          </w:tcPr>
          <w:p w14:paraId="6D468D9A"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76,5 %</w:t>
            </w:r>
          </w:p>
        </w:tc>
      </w:tr>
      <w:tr w:rsidR="00E30EC7" w:rsidRPr="00CE357F" w14:paraId="32E1D95E" w14:textId="77777777" w:rsidTr="004A0C47">
        <w:trPr>
          <w:trHeight w:val="397"/>
          <w:jc w:val="center"/>
        </w:trPr>
        <w:tc>
          <w:tcPr>
            <w:tcW w:w="1064" w:type="dxa"/>
            <w:shd w:val="clear" w:color="auto" w:fill="D9E2F3" w:themeFill="accent1" w:themeFillTint="33"/>
            <w:vAlign w:val="center"/>
            <w:hideMark/>
          </w:tcPr>
          <w:p w14:paraId="6575D5A4"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2019</w:t>
            </w:r>
          </w:p>
        </w:tc>
        <w:tc>
          <w:tcPr>
            <w:tcW w:w="981" w:type="dxa"/>
            <w:shd w:val="clear" w:color="auto" w:fill="F8ECEC"/>
            <w:vAlign w:val="center"/>
          </w:tcPr>
          <w:p w14:paraId="7491CEC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18B70FE6"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201 952</w:t>
            </w:r>
          </w:p>
        </w:tc>
        <w:tc>
          <w:tcPr>
            <w:tcW w:w="992" w:type="dxa"/>
            <w:shd w:val="clear" w:color="auto" w:fill="F8ECEC"/>
            <w:vAlign w:val="center"/>
          </w:tcPr>
          <w:p w14:paraId="41E9AF6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3CFB4C93"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144 114</w:t>
            </w:r>
          </w:p>
        </w:tc>
        <w:tc>
          <w:tcPr>
            <w:tcW w:w="993" w:type="dxa"/>
            <w:shd w:val="clear" w:color="auto" w:fill="F8ECEC"/>
            <w:vAlign w:val="center"/>
          </w:tcPr>
          <w:p w14:paraId="0FB57FC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40F440CC"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46 430</w:t>
            </w:r>
          </w:p>
        </w:tc>
        <w:tc>
          <w:tcPr>
            <w:tcW w:w="992" w:type="dxa"/>
            <w:vAlign w:val="center"/>
          </w:tcPr>
          <w:p w14:paraId="7566B8D5"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00CDC4B6"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44 669</w:t>
            </w:r>
          </w:p>
        </w:tc>
        <w:tc>
          <w:tcPr>
            <w:tcW w:w="1559" w:type="dxa"/>
            <w:vAlign w:val="center"/>
          </w:tcPr>
          <w:p w14:paraId="71001B02"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2C1911F7"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35 720</w:t>
            </w:r>
          </w:p>
        </w:tc>
        <w:tc>
          <w:tcPr>
            <w:tcW w:w="2421" w:type="dxa"/>
            <w:vAlign w:val="center"/>
          </w:tcPr>
          <w:p w14:paraId="58D307DF"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76,0 %</w:t>
            </w:r>
          </w:p>
        </w:tc>
      </w:tr>
      <w:tr w:rsidR="00E30EC7" w:rsidRPr="00CE357F" w14:paraId="04AB509D" w14:textId="77777777" w:rsidTr="004A0C47">
        <w:trPr>
          <w:trHeight w:val="397"/>
          <w:jc w:val="center"/>
        </w:trPr>
        <w:tc>
          <w:tcPr>
            <w:tcW w:w="1064" w:type="dxa"/>
            <w:shd w:val="clear" w:color="auto" w:fill="D9E2F3" w:themeFill="accent1" w:themeFillTint="33"/>
            <w:vAlign w:val="center"/>
            <w:hideMark/>
          </w:tcPr>
          <w:p w14:paraId="1D5CBF72"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2018</w:t>
            </w:r>
          </w:p>
        </w:tc>
        <w:tc>
          <w:tcPr>
            <w:tcW w:w="981" w:type="dxa"/>
            <w:shd w:val="clear" w:color="auto" w:fill="F8ECEC"/>
            <w:vAlign w:val="center"/>
          </w:tcPr>
          <w:p w14:paraId="0A293928"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6A82649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191 818</w:t>
            </w:r>
          </w:p>
        </w:tc>
        <w:tc>
          <w:tcPr>
            <w:tcW w:w="992" w:type="dxa"/>
            <w:shd w:val="clear" w:color="auto" w:fill="F8ECEC"/>
            <w:vAlign w:val="center"/>
          </w:tcPr>
          <w:p w14:paraId="275A8D8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57F4AAF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121 085</w:t>
            </w:r>
          </w:p>
        </w:tc>
        <w:tc>
          <w:tcPr>
            <w:tcW w:w="993" w:type="dxa"/>
            <w:shd w:val="clear" w:color="auto" w:fill="F8ECEC"/>
            <w:vAlign w:val="center"/>
          </w:tcPr>
          <w:p w14:paraId="604EC826"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49614986"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44 896</w:t>
            </w:r>
          </w:p>
        </w:tc>
        <w:tc>
          <w:tcPr>
            <w:tcW w:w="992" w:type="dxa"/>
            <w:vAlign w:val="center"/>
          </w:tcPr>
          <w:p w14:paraId="344E6CD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3FB2B280"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44 099</w:t>
            </w:r>
          </w:p>
        </w:tc>
        <w:tc>
          <w:tcPr>
            <w:tcW w:w="1559" w:type="dxa"/>
            <w:vAlign w:val="center"/>
          </w:tcPr>
          <w:p w14:paraId="4576A108"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730C8326"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34 543</w:t>
            </w:r>
          </w:p>
        </w:tc>
        <w:tc>
          <w:tcPr>
            <w:tcW w:w="2421" w:type="dxa"/>
            <w:vAlign w:val="center"/>
          </w:tcPr>
          <w:p w14:paraId="42104170"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76,7 %</w:t>
            </w:r>
          </w:p>
        </w:tc>
      </w:tr>
      <w:tr w:rsidR="00E30EC7" w:rsidRPr="00CE357F" w14:paraId="0366FB31" w14:textId="77777777" w:rsidTr="004A0C47">
        <w:trPr>
          <w:trHeight w:val="397"/>
          <w:jc w:val="center"/>
        </w:trPr>
        <w:tc>
          <w:tcPr>
            <w:tcW w:w="1064" w:type="dxa"/>
            <w:shd w:val="clear" w:color="auto" w:fill="D9E2F3" w:themeFill="accent1" w:themeFillTint="33"/>
            <w:vAlign w:val="center"/>
            <w:hideMark/>
          </w:tcPr>
          <w:p w14:paraId="3B40523B"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2017</w:t>
            </w:r>
          </w:p>
        </w:tc>
        <w:tc>
          <w:tcPr>
            <w:tcW w:w="981" w:type="dxa"/>
            <w:shd w:val="clear" w:color="auto" w:fill="F8ECEC"/>
            <w:vAlign w:val="center"/>
          </w:tcPr>
          <w:p w14:paraId="2D9F67F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57635F77"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177 059</w:t>
            </w:r>
          </w:p>
        </w:tc>
        <w:tc>
          <w:tcPr>
            <w:tcW w:w="992" w:type="dxa"/>
            <w:shd w:val="clear" w:color="auto" w:fill="F8ECEC"/>
            <w:vAlign w:val="center"/>
          </w:tcPr>
          <w:p w14:paraId="1A524D0C"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62627FA7"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81 689</w:t>
            </w:r>
          </w:p>
        </w:tc>
        <w:tc>
          <w:tcPr>
            <w:tcW w:w="993" w:type="dxa"/>
            <w:shd w:val="clear" w:color="auto" w:fill="F8ECEC"/>
            <w:vAlign w:val="center"/>
          </w:tcPr>
          <w:p w14:paraId="77C80FA4"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510D0EF2"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39 504</w:t>
            </w:r>
          </w:p>
        </w:tc>
        <w:tc>
          <w:tcPr>
            <w:tcW w:w="992" w:type="dxa"/>
            <w:vAlign w:val="center"/>
          </w:tcPr>
          <w:p w14:paraId="7D034A3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02439DFE"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39 083</w:t>
            </w:r>
          </w:p>
        </w:tc>
        <w:tc>
          <w:tcPr>
            <w:tcW w:w="1559" w:type="dxa"/>
            <w:vAlign w:val="center"/>
          </w:tcPr>
          <w:p w14:paraId="7710C3C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5932C2F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31 528</w:t>
            </w:r>
          </w:p>
        </w:tc>
        <w:tc>
          <w:tcPr>
            <w:tcW w:w="2421" w:type="dxa"/>
            <w:vAlign w:val="center"/>
          </w:tcPr>
          <w:p w14:paraId="0B6D83D3"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78,1 %</w:t>
            </w:r>
          </w:p>
        </w:tc>
      </w:tr>
      <w:tr w:rsidR="00E30EC7" w:rsidRPr="00CE357F" w14:paraId="29E4D439" w14:textId="77777777" w:rsidTr="004A0C47">
        <w:trPr>
          <w:trHeight w:val="397"/>
          <w:jc w:val="center"/>
        </w:trPr>
        <w:tc>
          <w:tcPr>
            <w:tcW w:w="1064" w:type="dxa"/>
            <w:shd w:val="clear" w:color="auto" w:fill="D9E2F3" w:themeFill="accent1" w:themeFillTint="33"/>
            <w:vAlign w:val="center"/>
            <w:hideMark/>
          </w:tcPr>
          <w:p w14:paraId="20BF297F"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2016</w:t>
            </w:r>
          </w:p>
        </w:tc>
        <w:tc>
          <w:tcPr>
            <w:tcW w:w="981" w:type="dxa"/>
            <w:shd w:val="clear" w:color="auto" w:fill="F8ECEC"/>
            <w:vAlign w:val="center"/>
          </w:tcPr>
          <w:p w14:paraId="60A7A46F"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1A5C121D"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161 559</w:t>
            </w:r>
          </w:p>
        </w:tc>
        <w:tc>
          <w:tcPr>
            <w:tcW w:w="992" w:type="dxa"/>
            <w:shd w:val="clear" w:color="auto" w:fill="F8ECEC"/>
            <w:vAlign w:val="center"/>
          </w:tcPr>
          <w:p w14:paraId="592FA99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14890103"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54 541</w:t>
            </w:r>
          </w:p>
        </w:tc>
        <w:tc>
          <w:tcPr>
            <w:tcW w:w="993" w:type="dxa"/>
            <w:shd w:val="clear" w:color="auto" w:fill="F8ECEC"/>
            <w:vAlign w:val="center"/>
          </w:tcPr>
          <w:p w14:paraId="66F881B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66944694"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31 522</w:t>
            </w:r>
          </w:p>
        </w:tc>
        <w:tc>
          <w:tcPr>
            <w:tcW w:w="992" w:type="dxa"/>
            <w:vAlign w:val="center"/>
          </w:tcPr>
          <w:p w14:paraId="61648F74"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69E0405C"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31 355</w:t>
            </w:r>
          </w:p>
        </w:tc>
        <w:tc>
          <w:tcPr>
            <w:tcW w:w="1559" w:type="dxa"/>
            <w:vAlign w:val="center"/>
          </w:tcPr>
          <w:p w14:paraId="5B1206D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5D9DB595"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25 784</w:t>
            </w:r>
          </w:p>
        </w:tc>
        <w:tc>
          <w:tcPr>
            <w:tcW w:w="2421" w:type="dxa"/>
            <w:vAlign w:val="center"/>
          </w:tcPr>
          <w:p w14:paraId="064BED8C"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79,9 %</w:t>
            </w:r>
          </w:p>
        </w:tc>
      </w:tr>
      <w:tr w:rsidR="00E30EC7" w:rsidRPr="00CE357F" w14:paraId="76EE808F" w14:textId="77777777" w:rsidTr="004A0C47">
        <w:trPr>
          <w:trHeight w:val="397"/>
          <w:jc w:val="center"/>
        </w:trPr>
        <w:tc>
          <w:tcPr>
            <w:tcW w:w="1064" w:type="dxa"/>
            <w:shd w:val="clear" w:color="auto" w:fill="D9E2F3" w:themeFill="accent1" w:themeFillTint="33"/>
            <w:vAlign w:val="center"/>
            <w:hideMark/>
          </w:tcPr>
          <w:p w14:paraId="4AAE69AB" w14:textId="77777777" w:rsidR="00E30EC7" w:rsidRPr="00CE357F" w:rsidRDefault="00E30EC7"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2015</w:t>
            </w:r>
          </w:p>
        </w:tc>
        <w:tc>
          <w:tcPr>
            <w:tcW w:w="981" w:type="dxa"/>
            <w:shd w:val="clear" w:color="auto" w:fill="F8ECEC"/>
            <w:vAlign w:val="center"/>
          </w:tcPr>
          <w:p w14:paraId="2018B298"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Slovensko</w:t>
            </w:r>
          </w:p>
          <w:p w14:paraId="6E883327"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150 317</w:t>
            </w:r>
          </w:p>
        </w:tc>
        <w:tc>
          <w:tcPr>
            <w:tcW w:w="992" w:type="dxa"/>
            <w:shd w:val="clear" w:color="auto" w:fill="F8ECEC"/>
            <w:vAlign w:val="center"/>
          </w:tcPr>
          <w:p w14:paraId="7A1F595F"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Ukrajina</w:t>
            </w:r>
          </w:p>
          <w:p w14:paraId="1FB49B9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41 776 </w:t>
            </w:r>
          </w:p>
        </w:tc>
        <w:tc>
          <w:tcPr>
            <w:tcW w:w="993" w:type="dxa"/>
            <w:shd w:val="clear" w:color="auto" w:fill="F8ECEC"/>
            <w:vAlign w:val="center"/>
          </w:tcPr>
          <w:p w14:paraId="6EC25A27"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Polsko</w:t>
            </w:r>
          </w:p>
          <w:p w14:paraId="310989FF"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24 982</w:t>
            </w:r>
          </w:p>
        </w:tc>
        <w:tc>
          <w:tcPr>
            <w:tcW w:w="992" w:type="dxa"/>
            <w:vAlign w:val="center"/>
          </w:tcPr>
          <w:p w14:paraId="55FFD0FB"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Rumunsko</w:t>
            </w:r>
          </w:p>
          <w:p w14:paraId="520102C0"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22 861</w:t>
            </w:r>
          </w:p>
        </w:tc>
        <w:tc>
          <w:tcPr>
            <w:tcW w:w="1559" w:type="dxa"/>
            <w:vAlign w:val="center"/>
          </w:tcPr>
          <w:p w14:paraId="0BD36A3A"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Bulharsko</w:t>
            </w:r>
          </w:p>
          <w:p w14:paraId="489EEAD1" w14:textId="77777777" w:rsidR="00E30EC7" w:rsidRPr="00CE357F" w:rsidRDefault="00E30EC7"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19 782</w:t>
            </w:r>
          </w:p>
        </w:tc>
        <w:tc>
          <w:tcPr>
            <w:tcW w:w="2421" w:type="dxa"/>
            <w:vAlign w:val="center"/>
          </w:tcPr>
          <w:p w14:paraId="13A3332A" w14:textId="77777777" w:rsidR="00E30EC7" w:rsidRPr="00CE357F" w:rsidRDefault="00E30EC7" w:rsidP="004A0C47">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80,7 0</w:t>
            </w:r>
          </w:p>
        </w:tc>
      </w:tr>
    </w:tbl>
    <w:p w14:paraId="36C6F7E5" w14:textId="77777777" w:rsidR="00E30EC7" w:rsidRPr="00CE357F" w:rsidRDefault="00E30EC7" w:rsidP="00E30EC7">
      <w:pPr>
        <w:spacing w:after="120" w:line="276" w:lineRule="auto"/>
        <w:jc w:val="both"/>
        <w:rPr>
          <w:rFonts w:ascii="Arial Narrow" w:hAnsi="Arial Narrow"/>
        </w:rPr>
      </w:pPr>
      <w:r w:rsidRPr="00CE357F">
        <w:rPr>
          <w:rFonts w:ascii="Arial Narrow" w:hAnsi="Arial Narrow" w:cs="Arial"/>
          <w:color w:val="000000"/>
          <w:sz w:val="20"/>
        </w:rPr>
        <w:t>Zdroj: Ministerstvo práce a sociálních věcí, data za měsíc prosinec daného roku</w:t>
      </w:r>
      <w:r w:rsidRPr="00CE357F">
        <w:rPr>
          <w:rFonts w:ascii="Arial Narrow" w:hAnsi="Arial Narrow" w:cs="Arial"/>
          <w:color w:val="000000"/>
          <w:sz w:val="20"/>
        </w:rPr>
        <w:tab/>
        <w:t xml:space="preserve">Tabulka: AUGUR </w:t>
      </w:r>
      <w:proofErr w:type="spellStart"/>
      <w:r w:rsidRPr="00CE357F">
        <w:rPr>
          <w:rFonts w:ascii="Arial Narrow" w:hAnsi="Arial Narrow" w:cs="Arial"/>
          <w:color w:val="000000"/>
          <w:sz w:val="20"/>
        </w:rPr>
        <w:t>Consulting</w:t>
      </w:r>
      <w:proofErr w:type="spellEnd"/>
      <w:r w:rsidRPr="00CE357F">
        <w:rPr>
          <w:rFonts w:ascii="Arial Narrow" w:hAnsi="Arial Narrow" w:cs="Arial"/>
          <w:color w:val="000000"/>
          <w:sz w:val="20"/>
        </w:rPr>
        <w:t>, s.r.o.</w:t>
      </w:r>
    </w:p>
    <w:p w14:paraId="0A20CF1B" w14:textId="1D1B92AC" w:rsidR="00E30EC7" w:rsidRPr="00003B22" w:rsidRDefault="00E30EC7" w:rsidP="00E30EC7">
      <w:pPr>
        <w:spacing w:before="240" w:after="120" w:line="276" w:lineRule="auto"/>
        <w:jc w:val="both"/>
        <w:rPr>
          <w:rFonts w:ascii="Arial Narrow" w:hAnsi="Arial Narrow"/>
        </w:rPr>
      </w:pPr>
      <w:r w:rsidRPr="2E13D2E5">
        <w:rPr>
          <w:rFonts w:ascii="Arial Narrow" w:hAnsi="Arial Narrow"/>
        </w:rPr>
        <w:t xml:space="preserve">V Jihomoravském kraji bylo k 31. 12. 2022 </w:t>
      </w:r>
      <w:r w:rsidR="00A37235">
        <w:rPr>
          <w:rFonts w:ascii="Arial Narrow" w:hAnsi="Arial Narrow"/>
        </w:rPr>
        <w:t xml:space="preserve">samostatně </w:t>
      </w:r>
      <w:r w:rsidRPr="2E13D2E5">
        <w:rPr>
          <w:rFonts w:ascii="Arial Narrow" w:hAnsi="Arial Narrow"/>
        </w:rPr>
        <w:t xml:space="preserve">výdělečně činných celkem </w:t>
      </w:r>
      <w:r w:rsidR="00A37235">
        <w:rPr>
          <w:rFonts w:ascii="Arial Narrow" w:hAnsi="Arial Narrow"/>
        </w:rPr>
        <w:t>9 042</w:t>
      </w:r>
      <w:r w:rsidRPr="2E13D2E5">
        <w:rPr>
          <w:rFonts w:ascii="Arial Narrow" w:hAnsi="Arial Narrow"/>
        </w:rPr>
        <w:t xml:space="preserve"> osob s jinou než českou státní příslušností. Z celkových 100 417 zaměstnaných osob s jinou než českou státní příslušností</w:t>
      </w:r>
      <w:r w:rsidRPr="2E13D2E5">
        <w:rPr>
          <w:rFonts w:ascii="Arial Narrow" w:eastAsia="Calibri" w:hAnsi="Arial Narrow"/>
        </w:rPr>
        <w:t xml:space="preserve"> </w:t>
      </w:r>
      <w:r w:rsidRPr="2E13D2E5">
        <w:rPr>
          <w:rFonts w:ascii="Arial Narrow" w:hAnsi="Arial Narrow"/>
        </w:rPr>
        <w:t xml:space="preserve">bylo 91 375 evidovaných na úřadech práce. K tomu bylo živnostenskými úřady v kraji registrováno dalších celkem 9 042 osob s jinou než českou státní příslušností, které podnikají. </w:t>
      </w:r>
    </w:p>
    <w:p w14:paraId="27B5FA27" w14:textId="718C294C" w:rsidR="00E30EC7" w:rsidRPr="00003B22" w:rsidRDefault="00E30EC7" w:rsidP="00E30EC7">
      <w:pPr>
        <w:spacing w:after="120" w:line="276" w:lineRule="auto"/>
        <w:jc w:val="both"/>
        <w:rPr>
          <w:rFonts w:ascii="Arial Narrow" w:hAnsi="Arial Narrow"/>
        </w:rPr>
      </w:pPr>
      <w:bookmarkStart w:id="391" w:name="_Hlk95746507"/>
      <w:r w:rsidRPr="00003B22">
        <w:rPr>
          <w:rFonts w:ascii="Arial Narrow" w:hAnsi="Arial Narrow"/>
        </w:rPr>
        <w:t>Celkový počet osob s jinou než českou státní příslušností na trhu práce v Jihomoravském kraji od roku 2011 výrazně narůstá</w:t>
      </w:r>
      <w:r w:rsidR="00577D12">
        <w:rPr>
          <w:rFonts w:ascii="Arial Narrow" w:hAnsi="Arial Narrow"/>
        </w:rPr>
        <w:t xml:space="preserve"> (graf č. 60)</w:t>
      </w:r>
      <w:r w:rsidRPr="00003B22">
        <w:rPr>
          <w:rFonts w:ascii="Arial Narrow" w:hAnsi="Arial Narrow"/>
        </w:rPr>
        <w:t>. Důvodem je zejména zvyšující se počet pracovníků ze zemí EU. V souvislosti s růstem ekonomiky po roce 2014 a snižující se celkovou nezaměstnaností ale narůstá i poptávka po zahraniční pracovní síle ze třetích zemí. V datech mapujících rok 2021 se v tomto ohledu neprojevila ani pandemie nemoci COVID-19 a s ním očekávaná ekonomická recese. Naopak, mezi lety 2019 a 2020 meziročně došlo k nárůstu celkového počtu zaměstnaných osob s jinou než českou státní příslušností o 5 741, a mezi lety 2020 a 2021 k nárůstu o 7 887</w:t>
      </w:r>
      <w:bookmarkEnd w:id="391"/>
      <w:r w:rsidRPr="00003B22">
        <w:rPr>
          <w:rFonts w:ascii="Arial Narrow" w:hAnsi="Arial Narrow"/>
        </w:rPr>
        <w:t>.</w:t>
      </w:r>
      <w:r w:rsidRPr="00003B22">
        <w:rPr>
          <w:rStyle w:val="Znakapoznpodarou"/>
          <w:rFonts w:ascii="Arial Narrow" w:hAnsi="Arial Narrow"/>
        </w:rPr>
        <w:footnoteReference w:id="38"/>
      </w:r>
      <w:r w:rsidRPr="00003B22">
        <w:rPr>
          <w:rFonts w:ascii="Arial Narrow" w:hAnsi="Arial Narrow"/>
        </w:rPr>
        <w:t xml:space="preserve"> </w:t>
      </w:r>
      <w:r w:rsidRPr="00F03495">
        <w:rPr>
          <w:rFonts w:ascii="Arial Narrow" w:hAnsi="Arial Narrow"/>
        </w:rPr>
        <w:t xml:space="preserve">V roce 2022 v důsledku konfliktu na Ukrajině, </w:t>
      </w:r>
      <w:r w:rsidRPr="007B59C4">
        <w:rPr>
          <w:rFonts w:ascii="Arial Narrow" w:hAnsi="Arial Narrow"/>
        </w:rPr>
        <w:t xml:space="preserve">přílivu </w:t>
      </w:r>
      <w:r w:rsidR="006B0149" w:rsidRPr="007B59C4">
        <w:rPr>
          <w:rFonts w:ascii="Arial Narrow" w:hAnsi="Arial Narrow"/>
        </w:rPr>
        <w:t>příchozích z Ukrajiny</w:t>
      </w:r>
      <w:r w:rsidRPr="007B59C4">
        <w:rPr>
          <w:rFonts w:ascii="Arial Narrow" w:hAnsi="Arial Narrow"/>
        </w:rPr>
        <w:t xml:space="preserve"> a následně</w:t>
      </w:r>
      <w:r w:rsidRPr="00F03495">
        <w:rPr>
          <w:rFonts w:ascii="Arial Narrow" w:hAnsi="Arial Narrow"/>
        </w:rPr>
        <w:t xml:space="preserve"> přijatým legislativním opatřením, získali občané Ukrajiny de facto zcela volný vstup na trh práce v ČR. Meziročně</w:t>
      </w:r>
      <w:r>
        <w:rPr>
          <w:rFonts w:ascii="Arial Narrow" w:hAnsi="Arial Narrow"/>
        </w:rPr>
        <w:t xml:space="preserve"> tak</w:t>
      </w:r>
      <w:r w:rsidRPr="00F03495">
        <w:rPr>
          <w:rFonts w:ascii="Arial Narrow" w:hAnsi="Arial Narrow"/>
        </w:rPr>
        <w:t xml:space="preserve"> došlo k nárůstu celkového počtu v </w:t>
      </w:r>
      <w:r>
        <w:rPr>
          <w:rFonts w:ascii="Arial Narrow" w:hAnsi="Arial Narrow"/>
        </w:rPr>
        <w:t>kraji pracujících cizinců o 14 899</w:t>
      </w:r>
      <w:r w:rsidRPr="00F03495">
        <w:rPr>
          <w:rFonts w:ascii="Arial Narrow" w:hAnsi="Arial Narrow"/>
        </w:rPr>
        <w:t>.</w:t>
      </w:r>
      <w:r>
        <w:rPr>
          <w:rStyle w:val="Znakapoznpodarou"/>
          <w:rFonts w:ascii="Arial Narrow" w:hAnsi="Arial Narrow"/>
        </w:rPr>
        <w:footnoteReference w:id="39"/>
      </w:r>
    </w:p>
    <w:p w14:paraId="0B4A7E9E" w14:textId="46358D77" w:rsidR="00E30EC7" w:rsidRDefault="00E30EC7" w:rsidP="00E30EC7">
      <w:pPr>
        <w:spacing w:after="120" w:line="276" w:lineRule="auto"/>
        <w:jc w:val="both"/>
        <w:rPr>
          <w:rFonts w:ascii="Arial Narrow" w:hAnsi="Arial Narrow"/>
        </w:rPr>
      </w:pPr>
      <w:bookmarkStart w:id="392" w:name="_Hlk95746545"/>
      <w:r w:rsidRPr="00003B22">
        <w:rPr>
          <w:rFonts w:ascii="Arial Narrow" w:hAnsi="Arial Narrow"/>
        </w:rPr>
        <w:t>Mezi lety 2019 a 202</w:t>
      </w:r>
      <w:r>
        <w:rPr>
          <w:rFonts w:ascii="Arial Narrow" w:hAnsi="Arial Narrow"/>
        </w:rPr>
        <w:t>2</w:t>
      </w:r>
      <w:r w:rsidRPr="00003B22">
        <w:rPr>
          <w:rFonts w:ascii="Arial Narrow" w:hAnsi="Arial Narrow"/>
        </w:rPr>
        <w:t xml:space="preserve"> se počet zaměstnaných osob s jinou než českou státní příslušností evidovaných</w:t>
      </w:r>
      <w:r>
        <w:rPr>
          <w:rFonts w:ascii="Arial Narrow" w:hAnsi="Arial Narrow"/>
        </w:rPr>
        <w:t xml:space="preserve"> na úřadech práce zvýšil o 27 012</w:t>
      </w:r>
      <w:r w:rsidRPr="00003B22">
        <w:rPr>
          <w:rFonts w:ascii="Arial Narrow" w:hAnsi="Arial Narrow"/>
        </w:rPr>
        <w:t xml:space="preserve"> osob </w:t>
      </w:r>
      <w:r>
        <w:rPr>
          <w:rFonts w:ascii="Arial Narrow" w:hAnsi="Arial Narrow"/>
        </w:rPr>
        <w:t>(tj. o 29,6</w:t>
      </w:r>
      <w:r w:rsidRPr="00EF46BC">
        <w:rPr>
          <w:rFonts w:ascii="Arial Narrow" w:hAnsi="Arial Narrow"/>
        </w:rPr>
        <w:t xml:space="preserve"> %) a počet osob s jinou než českou státní příslušností s platný</w:t>
      </w:r>
      <w:r>
        <w:rPr>
          <w:rFonts w:ascii="Arial Narrow" w:hAnsi="Arial Narrow"/>
        </w:rPr>
        <w:t>m živnostenským oprávněním o 1515</w:t>
      </w:r>
      <w:r w:rsidRPr="00EF46BC">
        <w:rPr>
          <w:rFonts w:ascii="Arial Narrow" w:hAnsi="Arial Narrow"/>
        </w:rPr>
        <w:t xml:space="preserve"> osob </w:t>
      </w:r>
      <w:r>
        <w:rPr>
          <w:rFonts w:ascii="Arial Narrow" w:hAnsi="Arial Narrow"/>
        </w:rPr>
        <w:t>(tj. o 16,7</w:t>
      </w:r>
      <w:r w:rsidRPr="00EF46BC">
        <w:rPr>
          <w:rFonts w:ascii="Arial Narrow" w:hAnsi="Arial Narrow"/>
        </w:rPr>
        <w:t xml:space="preserve"> %).</w:t>
      </w:r>
      <w:r w:rsidRPr="00003B22">
        <w:rPr>
          <w:rFonts w:ascii="Arial Narrow" w:hAnsi="Arial Narrow"/>
        </w:rPr>
        <w:t xml:space="preserve"> </w:t>
      </w:r>
      <w:bookmarkEnd w:id="392"/>
    </w:p>
    <w:p w14:paraId="274A4FC4" w14:textId="2EEE2E19" w:rsidR="00E30EC7" w:rsidRPr="00CE357F" w:rsidRDefault="00E30EC7" w:rsidP="00E30EC7">
      <w:pPr>
        <w:jc w:val="both"/>
        <w:rPr>
          <w:rFonts w:ascii="Arial Narrow" w:hAnsi="Arial Narrow"/>
          <w:b/>
          <w:bCs/>
          <w:sz w:val="20"/>
          <w:szCs w:val="20"/>
        </w:rPr>
      </w:pPr>
      <w:bookmarkStart w:id="393" w:name="_Toc94443764"/>
      <w:bookmarkStart w:id="394" w:name="_Toc136428904"/>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60</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Počet zaměstnaných osob s jinou než českou státní příslušností v Jihomoravském kraji v roce 202</w:t>
      </w:r>
      <w:bookmarkEnd w:id="393"/>
      <w:r>
        <w:rPr>
          <w:rFonts w:ascii="Arial Narrow" w:hAnsi="Arial Narrow"/>
          <w:b/>
          <w:bCs/>
          <w:sz w:val="20"/>
          <w:szCs w:val="20"/>
        </w:rPr>
        <w:t>2</w:t>
      </w:r>
      <w:bookmarkEnd w:id="394"/>
    </w:p>
    <w:p w14:paraId="68E2D197" w14:textId="77777777" w:rsidR="00E30EC7" w:rsidRPr="00CE357F" w:rsidRDefault="00E30EC7" w:rsidP="00E30EC7">
      <w:pPr>
        <w:spacing w:line="276" w:lineRule="auto"/>
        <w:jc w:val="both"/>
        <w:rPr>
          <w:rFonts w:ascii="Arial Narrow" w:hAnsi="Arial Narrow"/>
          <w:b/>
          <w:color w:val="2F5496" w:themeColor="accent1" w:themeShade="BF"/>
        </w:rPr>
      </w:pPr>
      <w:r w:rsidRPr="00CE357F">
        <w:rPr>
          <w:rFonts w:ascii="Arial Narrow" w:hAnsi="Arial Narrow"/>
          <w:b/>
          <w:noProof/>
          <w:color w:val="2F5496" w:themeColor="accent1" w:themeShade="BF"/>
          <w:lang w:eastAsia="cs-CZ"/>
        </w:rPr>
        <w:drawing>
          <wp:inline distT="0" distB="0" distL="0" distR="0" wp14:anchorId="520B3595" wp14:editId="2E68FFF6">
            <wp:extent cx="5762625" cy="1914525"/>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08F8151" w14:textId="77777777" w:rsidR="00E30EC7" w:rsidRPr="00CE357F" w:rsidRDefault="00E30EC7" w:rsidP="00E30EC7">
      <w:pPr>
        <w:rPr>
          <w:rFonts w:ascii="Arial Narrow" w:hAnsi="Arial Narrow"/>
          <w:sz w:val="20"/>
        </w:rPr>
      </w:pPr>
      <w:r w:rsidRPr="00CE357F">
        <w:rPr>
          <w:rFonts w:ascii="Arial Narrow" w:hAnsi="Arial Narrow"/>
          <w:sz w:val="20"/>
        </w:rPr>
        <w:t>Zdroj: Ministerstvo práce a sociálních věcí</w:t>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7C60FD1A" w14:textId="77777777" w:rsidR="00E30EC7" w:rsidRPr="00CE357F" w:rsidRDefault="00E30EC7" w:rsidP="00E30EC7">
      <w:pPr>
        <w:spacing w:before="240" w:line="276" w:lineRule="auto"/>
        <w:jc w:val="both"/>
        <w:rPr>
          <w:rFonts w:ascii="Arial Narrow" w:hAnsi="Arial Narrow"/>
        </w:rPr>
      </w:pPr>
      <w:r w:rsidRPr="00CE357F">
        <w:rPr>
          <w:rFonts w:ascii="Arial Narrow" w:hAnsi="Arial Narrow"/>
        </w:rPr>
        <w:lastRenderedPageBreak/>
        <w:t>Počet osob s jinou než českou státní příslušností v Jihomoravském kraji v pozici zaměstnanců se v rámci jednotlivých měsíců mění. Níže uvedený graf podrobně dokumentuje počet těchto osob v pozici zaměstnanců v rámci jednotlivých měsíců let 2020</w:t>
      </w:r>
      <w:r>
        <w:rPr>
          <w:rFonts w:ascii="Arial Narrow" w:hAnsi="Arial Narrow"/>
        </w:rPr>
        <w:t xml:space="preserve">, </w:t>
      </w:r>
      <w:r w:rsidRPr="00CE357F">
        <w:rPr>
          <w:rFonts w:ascii="Arial Narrow" w:hAnsi="Arial Narrow"/>
        </w:rPr>
        <w:t>2021</w:t>
      </w:r>
      <w:r>
        <w:rPr>
          <w:rFonts w:ascii="Arial Narrow" w:hAnsi="Arial Narrow"/>
        </w:rPr>
        <w:t xml:space="preserve"> a 2022</w:t>
      </w:r>
      <w:r w:rsidRPr="00CE357F">
        <w:rPr>
          <w:rFonts w:ascii="Arial Narrow" w:hAnsi="Arial Narrow"/>
        </w:rPr>
        <w:t>. Z uvedených dat je patrné, že počty zaměstna</w:t>
      </w:r>
      <w:r>
        <w:rPr>
          <w:rFonts w:ascii="Arial Narrow" w:hAnsi="Arial Narrow"/>
        </w:rPr>
        <w:t xml:space="preserve">nců v jednotlivých měsících v průběhu let </w:t>
      </w:r>
      <w:r w:rsidRPr="00CE357F">
        <w:rPr>
          <w:rFonts w:ascii="Arial Narrow" w:hAnsi="Arial Narrow"/>
        </w:rPr>
        <w:t>převážně narůstaly a zatímco v prosinci roku 2020 bylo na úřadech práce evidovaných 69 867 osob s jinou než českou státní příslušností v pozici zaměstnanců, v prosinci 2021 to bylo již 77 201, a to i navzdory probíhající celos</w:t>
      </w:r>
      <w:r>
        <w:rPr>
          <w:rFonts w:ascii="Arial Narrow" w:hAnsi="Arial Narrow"/>
        </w:rPr>
        <w:t>větové pandemii viru SARS-CoV-2 a v prosinci roku 2022 to bylo dokonce 91 375, kdy počet zaměstnanců s jinou než českou státní příslušností výrazně stoupl po vypuknutí válečného konfliktu na Ukrajině.</w:t>
      </w:r>
    </w:p>
    <w:p w14:paraId="2FDAD83D" w14:textId="0F861A49" w:rsidR="00E30EC7" w:rsidRPr="00CE357F" w:rsidRDefault="00E30EC7" w:rsidP="00E30EC7">
      <w:pPr>
        <w:tabs>
          <w:tab w:val="left" w:pos="3150"/>
        </w:tabs>
        <w:spacing w:before="240"/>
        <w:jc w:val="both"/>
        <w:rPr>
          <w:rFonts w:ascii="Arial Narrow" w:hAnsi="Arial Narrow"/>
          <w:b/>
          <w:bCs/>
          <w:sz w:val="20"/>
          <w:szCs w:val="20"/>
        </w:rPr>
      </w:pPr>
      <w:bookmarkStart w:id="395" w:name="_Toc94443765"/>
      <w:bookmarkStart w:id="396" w:name="_Toc136428905"/>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61</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Zaměstnávání osob s jinou než českou státní příslušností v Jihomoravském kraji v jednotlivýc</w:t>
      </w:r>
      <w:r>
        <w:rPr>
          <w:rFonts w:ascii="Arial Narrow" w:hAnsi="Arial Narrow"/>
          <w:b/>
          <w:bCs/>
          <w:sz w:val="20"/>
          <w:szCs w:val="20"/>
        </w:rPr>
        <w:t xml:space="preserve">h měsících roku 2020, </w:t>
      </w:r>
      <w:r w:rsidRPr="00CE357F">
        <w:rPr>
          <w:rFonts w:ascii="Arial Narrow" w:hAnsi="Arial Narrow"/>
          <w:b/>
          <w:bCs/>
          <w:sz w:val="20"/>
          <w:szCs w:val="20"/>
        </w:rPr>
        <w:t>2021</w:t>
      </w:r>
      <w:bookmarkEnd w:id="395"/>
      <w:r>
        <w:rPr>
          <w:rFonts w:ascii="Arial Narrow" w:hAnsi="Arial Narrow"/>
          <w:b/>
          <w:bCs/>
          <w:sz w:val="20"/>
          <w:szCs w:val="20"/>
        </w:rPr>
        <w:t xml:space="preserve"> a 2022.</w:t>
      </w:r>
      <w:bookmarkEnd w:id="396"/>
      <w:r w:rsidRPr="00CE357F">
        <w:rPr>
          <w:rFonts w:ascii="Arial Narrow" w:hAnsi="Arial Narrow"/>
          <w:b/>
          <w:bCs/>
          <w:sz w:val="20"/>
          <w:szCs w:val="20"/>
        </w:rPr>
        <w:t xml:space="preserve"> </w:t>
      </w:r>
    </w:p>
    <w:p w14:paraId="79A6777F" w14:textId="77777777" w:rsidR="00E30EC7" w:rsidRPr="00CE357F" w:rsidRDefault="00E30EC7" w:rsidP="00E30EC7">
      <w:pPr>
        <w:spacing w:line="276" w:lineRule="auto"/>
        <w:jc w:val="both"/>
        <w:rPr>
          <w:rFonts w:ascii="Arial Narrow" w:hAnsi="Arial Narrow"/>
        </w:rPr>
      </w:pPr>
      <w:r w:rsidRPr="00CE357F">
        <w:rPr>
          <w:rFonts w:ascii="Arial Narrow" w:hAnsi="Arial Narrow" w:cstheme="minorHAnsi"/>
          <w:b/>
          <w:bCs/>
          <w:noProof/>
          <w:sz w:val="28"/>
          <w:szCs w:val="28"/>
          <w:lang w:eastAsia="cs-CZ"/>
        </w:rPr>
        <w:drawing>
          <wp:inline distT="0" distB="0" distL="0" distR="0" wp14:anchorId="6E805023" wp14:editId="4B8F512A">
            <wp:extent cx="5762625" cy="2400300"/>
            <wp:effectExtent l="0" t="0" r="9525" b="0"/>
            <wp:docPr id="2090" name="Graf 20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2432D17" w14:textId="77777777" w:rsidR="00E30EC7" w:rsidRPr="00CE357F" w:rsidRDefault="00E30EC7" w:rsidP="00E30EC7">
      <w:pPr>
        <w:rPr>
          <w:rFonts w:ascii="Arial Narrow" w:hAnsi="Arial Narrow"/>
          <w:sz w:val="20"/>
        </w:rPr>
      </w:pPr>
      <w:r w:rsidRPr="00CE357F">
        <w:rPr>
          <w:rFonts w:ascii="Arial Narrow" w:hAnsi="Arial Narrow"/>
          <w:sz w:val="20"/>
        </w:rPr>
        <w:t xml:space="preserve">Zdroj: Ministerstvo práce a sociálních věcí, </w:t>
      </w:r>
      <w:r w:rsidRPr="00CE357F">
        <w:rPr>
          <w:rFonts w:ascii="Arial Narrow" w:hAnsi="Arial Narrow" w:cs="Arial"/>
          <w:color w:val="000000"/>
          <w:sz w:val="20"/>
        </w:rPr>
        <w:t>data za měsíc prosinec daného roku</w:t>
      </w:r>
      <w:r w:rsidRPr="00CE357F">
        <w:rPr>
          <w:rFonts w:ascii="Arial Narrow" w:hAnsi="Arial Narrow"/>
          <w:sz w:val="20"/>
        </w:rPr>
        <w:t xml:space="preserve">    </w:t>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662578D6" w14:textId="77777777" w:rsidR="00E30EC7" w:rsidRPr="00CE357F" w:rsidRDefault="00E30EC7" w:rsidP="00E30EC7">
      <w:pPr>
        <w:spacing w:line="276" w:lineRule="auto"/>
        <w:jc w:val="both"/>
        <w:rPr>
          <w:rFonts w:ascii="Arial Narrow" w:hAnsi="Arial Narrow"/>
        </w:rPr>
      </w:pPr>
    </w:p>
    <w:p w14:paraId="2620089E" w14:textId="35F75996" w:rsidR="00577D12" w:rsidRPr="00762FCD" w:rsidRDefault="00E30EC7" w:rsidP="00762FCD">
      <w:pPr>
        <w:spacing w:line="276" w:lineRule="auto"/>
        <w:jc w:val="both"/>
        <w:rPr>
          <w:rFonts w:ascii="Arial Narrow" w:hAnsi="Arial Narrow"/>
        </w:rPr>
      </w:pPr>
      <w:bookmarkStart w:id="397" w:name="_Hlk92728099"/>
      <w:r>
        <w:rPr>
          <w:rFonts w:ascii="Arial Narrow" w:hAnsi="Arial Narrow"/>
        </w:rPr>
        <w:t>Celkem 91 375</w:t>
      </w:r>
      <w:r w:rsidRPr="00CE357F">
        <w:rPr>
          <w:rFonts w:ascii="Arial Narrow" w:hAnsi="Arial Narrow"/>
        </w:rPr>
        <w:t xml:space="preserve"> osob s jinou než českou </w:t>
      </w:r>
      <w:r>
        <w:rPr>
          <w:rFonts w:ascii="Arial Narrow" w:hAnsi="Arial Narrow"/>
        </w:rPr>
        <w:t xml:space="preserve">státní příslušností bylo </w:t>
      </w:r>
      <w:r w:rsidRPr="00CE357F">
        <w:rPr>
          <w:rFonts w:ascii="Arial Narrow" w:hAnsi="Arial Narrow"/>
        </w:rPr>
        <w:t>evidovaných na úřadech práce. Nejvyšší po</w:t>
      </w:r>
      <w:r>
        <w:rPr>
          <w:rFonts w:ascii="Arial Narrow" w:hAnsi="Arial Narrow"/>
        </w:rPr>
        <w:t>díl všech zaměstnanců, celkem 55,7 % (tj. 50 893</w:t>
      </w:r>
      <w:r w:rsidRPr="00CE357F">
        <w:rPr>
          <w:rFonts w:ascii="Arial Narrow" w:hAnsi="Arial Narrow"/>
        </w:rPr>
        <w:t>)</w:t>
      </w:r>
      <w:r w:rsidR="00EA4A74">
        <w:rPr>
          <w:rFonts w:ascii="Arial Narrow" w:hAnsi="Arial Narrow"/>
        </w:rPr>
        <w:t>,</w:t>
      </w:r>
      <w:r w:rsidRPr="00CE357F">
        <w:rPr>
          <w:rFonts w:ascii="Arial Narrow" w:hAnsi="Arial Narrow"/>
        </w:rPr>
        <w:t xml:space="preserve"> byli držitelé informačních kar</w:t>
      </w:r>
      <w:r>
        <w:rPr>
          <w:rFonts w:ascii="Arial Narrow" w:hAnsi="Arial Narrow"/>
        </w:rPr>
        <w:t>et občanů EU/EHP a Švýcarska</w:t>
      </w:r>
      <w:r w:rsidR="00EA4A74">
        <w:rPr>
          <w:rFonts w:ascii="Arial Narrow" w:hAnsi="Arial Narrow"/>
        </w:rPr>
        <w:t xml:space="preserve">. Celkem </w:t>
      </w:r>
      <w:r>
        <w:rPr>
          <w:rFonts w:ascii="Arial Narrow" w:hAnsi="Arial Narrow"/>
        </w:rPr>
        <w:t>30,7 % těchto zaměstnanců (tj. 28 035</w:t>
      </w:r>
      <w:r w:rsidRPr="00CE357F">
        <w:rPr>
          <w:rFonts w:ascii="Arial Narrow" w:hAnsi="Arial Narrow"/>
        </w:rPr>
        <w:t>) byli držitelé informačních karet pro osoby s jinou než českou státní příslušností, kteří nepotřebují pr</w:t>
      </w:r>
      <w:r>
        <w:rPr>
          <w:rFonts w:ascii="Arial Narrow" w:hAnsi="Arial Narrow"/>
        </w:rPr>
        <w:t>acovní oprávnění. Zbývajících 13,6 % (tj. 12 447</w:t>
      </w:r>
      <w:r w:rsidRPr="00CE357F">
        <w:rPr>
          <w:rFonts w:ascii="Arial Narrow" w:hAnsi="Arial Narrow"/>
        </w:rPr>
        <w:t>) zaměstnanců pracovalo na základě pracovního oprávnění</w:t>
      </w:r>
      <w:r w:rsidR="00577D12">
        <w:rPr>
          <w:rFonts w:ascii="Arial Narrow" w:hAnsi="Arial Narrow"/>
        </w:rPr>
        <w:t>.</w:t>
      </w:r>
      <w:r w:rsidRPr="00CE357F">
        <w:rPr>
          <w:rStyle w:val="Znakapoznpodarou"/>
          <w:rFonts w:ascii="Arial Narrow" w:hAnsi="Arial Narrow"/>
        </w:rPr>
        <w:footnoteReference w:id="40"/>
      </w:r>
      <w:r w:rsidR="00577D12">
        <w:rPr>
          <w:rFonts w:ascii="Arial Narrow" w:hAnsi="Arial Narrow"/>
        </w:rPr>
        <w:t xml:space="preserve"> </w:t>
      </w:r>
      <w:r w:rsidRPr="00CE357F">
        <w:rPr>
          <w:rFonts w:ascii="Arial Narrow" w:hAnsi="Arial Narrow"/>
        </w:rPr>
        <w:t>Osoby s jinou než českou státní příslušností v postavení zaměstnanců v Jihomoravském kraji a z hlediska srovnání s dalšími kraji České republiky</w:t>
      </w:r>
      <w:bookmarkStart w:id="398" w:name="_Toc94443766"/>
      <w:bookmarkStart w:id="399" w:name="_Toc136428906"/>
      <w:r w:rsidR="00762FCD">
        <w:rPr>
          <w:rFonts w:ascii="Arial Narrow" w:hAnsi="Arial Narrow"/>
        </w:rPr>
        <w:t xml:space="preserve"> dokumentují grafy</w:t>
      </w:r>
      <w:r w:rsidR="00577D12">
        <w:rPr>
          <w:rFonts w:ascii="Arial Narrow" w:hAnsi="Arial Narrow"/>
        </w:rPr>
        <w:t xml:space="preserve"> č. 62 a č. 63.</w:t>
      </w:r>
    </w:p>
    <w:p w14:paraId="212785D7" w14:textId="72EF7B7F" w:rsidR="00E30EC7" w:rsidRPr="00CE357F" w:rsidRDefault="00E30EC7" w:rsidP="00E30EC7">
      <w:pPr>
        <w:tabs>
          <w:tab w:val="left" w:pos="3150"/>
        </w:tabs>
        <w:spacing w:before="240"/>
        <w:jc w:val="both"/>
        <w:rPr>
          <w:rFonts w:ascii="Arial Narrow" w:hAnsi="Arial Narrow"/>
          <w:b/>
          <w:bCs/>
          <w:sz w:val="20"/>
          <w:szCs w:val="20"/>
        </w:rPr>
      </w:pPr>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62</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Osoby s jinou než českou státní příslušností v postavení zaměstnanců podle typu registrace k 31. 12. 202</w:t>
      </w:r>
      <w:bookmarkEnd w:id="398"/>
      <w:r>
        <w:rPr>
          <w:rFonts w:ascii="Arial Narrow" w:hAnsi="Arial Narrow"/>
          <w:b/>
          <w:bCs/>
          <w:sz w:val="20"/>
          <w:szCs w:val="20"/>
        </w:rPr>
        <w:t>2</w:t>
      </w:r>
      <w:bookmarkEnd w:id="399"/>
    </w:p>
    <w:p w14:paraId="04463C83" w14:textId="77777777" w:rsidR="00E30EC7" w:rsidRPr="00CE357F" w:rsidRDefault="00E30EC7" w:rsidP="00E30EC7">
      <w:pPr>
        <w:spacing w:line="276" w:lineRule="auto"/>
        <w:jc w:val="both"/>
        <w:rPr>
          <w:rFonts w:ascii="Arial Narrow" w:hAnsi="Arial Narrow"/>
        </w:rPr>
      </w:pPr>
      <w:r w:rsidRPr="00CE357F">
        <w:rPr>
          <w:rFonts w:ascii="Arial Narrow" w:hAnsi="Arial Narrow"/>
          <w:bCs/>
          <w:noProof/>
          <w:lang w:eastAsia="cs-CZ"/>
        </w:rPr>
        <w:drawing>
          <wp:inline distT="0" distB="0" distL="0" distR="0" wp14:anchorId="54299B3D" wp14:editId="4BF3E1E0">
            <wp:extent cx="5781675" cy="17145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58C11EF" w14:textId="77777777" w:rsidR="00E30EC7" w:rsidRPr="00CE357F" w:rsidRDefault="00E30EC7" w:rsidP="00E30EC7">
      <w:pPr>
        <w:spacing w:line="276" w:lineRule="auto"/>
        <w:rPr>
          <w:rFonts w:ascii="Arial Narrow" w:hAnsi="Arial Narrow"/>
          <w:bCs/>
          <w:sz w:val="20"/>
          <w:szCs w:val="20"/>
        </w:rPr>
      </w:pPr>
      <w:r w:rsidRPr="00CE357F">
        <w:rPr>
          <w:rFonts w:ascii="Arial Narrow" w:hAnsi="Arial Narrow"/>
          <w:bCs/>
          <w:sz w:val="20"/>
          <w:szCs w:val="20"/>
        </w:rPr>
        <w:t>Zdroj: Ministerstvo práce a soci</w:t>
      </w:r>
      <w:r>
        <w:rPr>
          <w:rFonts w:ascii="Arial Narrow" w:hAnsi="Arial Narrow"/>
          <w:bCs/>
          <w:sz w:val="20"/>
          <w:szCs w:val="20"/>
        </w:rPr>
        <w:t>álních věcí (data k 31. 12. 2022</w:t>
      </w:r>
      <w:r w:rsidRPr="00CE357F">
        <w:rPr>
          <w:rFonts w:ascii="Arial Narrow" w:hAnsi="Arial Narrow"/>
          <w:bCs/>
          <w:sz w:val="20"/>
          <w:szCs w:val="20"/>
        </w:rPr>
        <w:t>)</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s.r.o.</w:t>
      </w:r>
    </w:p>
    <w:p w14:paraId="3998B4F9" w14:textId="514B72ED" w:rsidR="00E30EC7" w:rsidRPr="00CE357F" w:rsidRDefault="00E30EC7" w:rsidP="00E30EC7">
      <w:pPr>
        <w:tabs>
          <w:tab w:val="left" w:pos="3150"/>
        </w:tabs>
        <w:spacing w:before="240"/>
        <w:jc w:val="both"/>
        <w:rPr>
          <w:rFonts w:ascii="Arial Narrow" w:hAnsi="Arial Narrow"/>
          <w:b/>
          <w:bCs/>
          <w:sz w:val="20"/>
          <w:szCs w:val="20"/>
        </w:rPr>
      </w:pPr>
      <w:bookmarkStart w:id="400" w:name="_Toc94443767"/>
      <w:bookmarkStart w:id="401" w:name="_Toc136428907"/>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63</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Osoby s jinou než českou státní příslušností v postavení zaměstnanců podle krajů v roce 202</w:t>
      </w:r>
      <w:bookmarkEnd w:id="400"/>
      <w:r>
        <w:rPr>
          <w:rFonts w:ascii="Arial Narrow" w:hAnsi="Arial Narrow"/>
          <w:b/>
          <w:bCs/>
          <w:sz w:val="20"/>
          <w:szCs w:val="20"/>
        </w:rPr>
        <w:t>2</w:t>
      </w:r>
      <w:bookmarkEnd w:id="401"/>
    </w:p>
    <w:p w14:paraId="3263824F" w14:textId="675EBAF7" w:rsidR="00E30EC7" w:rsidRPr="00CE357F" w:rsidRDefault="00E209CD" w:rsidP="7CC7BF57">
      <w:pPr>
        <w:spacing w:line="276" w:lineRule="auto"/>
        <w:rPr>
          <w:rFonts w:ascii="Arial Narrow" w:hAnsi="Arial Narrow"/>
          <w:b/>
          <w:bCs/>
          <w:color w:val="2F5496" w:themeColor="accent1" w:themeShade="BF"/>
        </w:rPr>
      </w:pPr>
      <w:bookmarkStart w:id="402" w:name="_Hlk92728133"/>
      <w:bookmarkEnd w:id="397"/>
      <w:r w:rsidRPr="00CE357F">
        <w:rPr>
          <w:rFonts w:ascii="Arial Narrow" w:hAnsi="Arial Narrow"/>
          <w:b/>
          <w:noProof/>
          <w:color w:val="2F5496" w:themeColor="accent1" w:themeShade="BF"/>
          <w:lang w:eastAsia="cs-CZ"/>
        </w:rPr>
        <w:drawing>
          <wp:inline distT="0" distB="0" distL="0" distR="0" wp14:anchorId="7ED1B71B" wp14:editId="4E6A72A1">
            <wp:extent cx="5748793" cy="3880236"/>
            <wp:effectExtent l="0" t="0" r="4445" b="635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E8ADFFA" w14:textId="77777777" w:rsidR="00E30EC7" w:rsidRDefault="00E30EC7" w:rsidP="00E30EC7">
      <w:pPr>
        <w:spacing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sz w:val="20"/>
        </w:rPr>
        <w:t>Ministerstvo práce a sociálních věcí</w:t>
      </w:r>
      <w:r>
        <w:rPr>
          <w:rFonts w:ascii="Arial Narrow" w:hAnsi="Arial Narrow"/>
          <w:bCs/>
          <w:sz w:val="20"/>
          <w:szCs w:val="20"/>
        </w:rPr>
        <w:t xml:space="preserve"> (data k 31. 12. 2022</w:t>
      </w:r>
      <w:r w:rsidRPr="00CE357F">
        <w:rPr>
          <w:rFonts w:ascii="Arial Narrow" w:hAnsi="Arial Narrow"/>
          <w:bCs/>
          <w:sz w:val="20"/>
          <w:szCs w:val="20"/>
        </w:rPr>
        <w:t>)</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Graf: AUGUR </w:t>
      </w:r>
      <w:proofErr w:type="spellStart"/>
      <w:r w:rsidRPr="00CE357F">
        <w:rPr>
          <w:rFonts w:ascii="Arial Narrow" w:hAnsi="Arial Narrow"/>
          <w:bCs/>
          <w:sz w:val="20"/>
          <w:szCs w:val="20"/>
        </w:rPr>
        <w:t>Consulting</w:t>
      </w:r>
      <w:bookmarkStart w:id="403" w:name="_Hlk95746646"/>
      <w:bookmarkStart w:id="404" w:name="_Hlk92728152"/>
      <w:bookmarkEnd w:id="402"/>
      <w:proofErr w:type="spellEnd"/>
    </w:p>
    <w:p w14:paraId="0EE4C30E" w14:textId="77777777" w:rsidR="00612B22" w:rsidRDefault="00612B22" w:rsidP="00E30EC7">
      <w:pPr>
        <w:spacing w:line="276" w:lineRule="auto"/>
        <w:jc w:val="both"/>
        <w:rPr>
          <w:rFonts w:ascii="Arial Narrow" w:hAnsi="Arial Narrow"/>
          <w:bCs/>
        </w:rPr>
      </w:pPr>
    </w:p>
    <w:p w14:paraId="21BDEA98" w14:textId="77777777" w:rsidR="00762FCD" w:rsidRDefault="00E30EC7" w:rsidP="00762FCD">
      <w:pPr>
        <w:spacing w:line="276" w:lineRule="auto"/>
        <w:jc w:val="both"/>
        <w:rPr>
          <w:rFonts w:ascii="Arial Narrow" w:hAnsi="Arial Narrow"/>
        </w:rPr>
      </w:pPr>
      <w:r>
        <w:rPr>
          <w:rFonts w:ascii="Arial Narrow" w:hAnsi="Arial Narrow"/>
          <w:bCs/>
        </w:rPr>
        <w:t>Téměř 2/3</w:t>
      </w:r>
      <w:r w:rsidRPr="00CE357F">
        <w:rPr>
          <w:rFonts w:ascii="Arial Narrow" w:hAnsi="Arial Narrow"/>
        </w:rPr>
        <w:t xml:space="preserve"> všech zaměstnaných cizích státních příslušníků</w:t>
      </w:r>
      <w:r>
        <w:rPr>
          <w:rFonts w:ascii="Arial Narrow" w:hAnsi="Arial Narrow"/>
        </w:rPr>
        <w:t xml:space="preserve"> evidovaných na úřadech práce (65 %) v Jihomoravském kraji </w:t>
      </w:r>
      <w:r w:rsidRPr="00CE357F">
        <w:rPr>
          <w:rFonts w:ascii="Arial Narrow" w:hAnsi="Arial Narrow"/>
        </w:rPr>
        <w:t xml:space="preserve">byly </w:t>
      </w:r>
      <w:r>
        <w:rPr>
          <w:rFonts w:ascii="Arial Narrow" w:hAnsi="Arial Narrow"/>
        </w:rPr>
        <w:t>zaměstnány na území okresu Brno-město, 15,2</w:t>
      </w:r>
      <w:r w:rsidRPr="00CE357F">
        <w:rPr>
          <w:rFonts w:ascii="Arial Narrow" w:hAnsi="Arial Narrow"/>
        </w:rPr>
        <w:t xml:space="preserve"> % </w:t>
      </w:r>
      <w:r>
        <w:rPr>
          <w:rFonts w:ascii="Arial Narrow" w:hAnsi="Arial Narrow"/>
        </w:rPr>
        <w:t xml:space="preserve">pak na území okresu Brno-venkov a 7 % v okresu Břeclav. K 31. 12. 2022 tedy 80 % </w:t>
      </w:r>
      <w:r w:rsidRPr="00CE357F">
        <w:rPr>
          <w:rFonts w:ascii="Arial Narrow" w:hAnsi="Arial Narrow"/>
        </w:rPr>
        <w:t xml:space="preserve">zaměstnaných osob s jinou než českou státní příslušností </w:t>
      </w:r>
      <w:r>
        <w:rPr>
          <w:rFonts w:ascii="Arial Narrow" w:hAnsi="Arial Narrow"/>
        </w:rPr>
        <w:t>evidovaných</w:t>
      </w:r>
      <w:r w:rsidRPr="00CE357F">
        <w:rPr>
          <w:rFonts w:ascii="Arial Narrow" w:hAnsi="Arial Narrow"/>
        </w:rPr>
        <w:t xml:space="preserve"> na úřadech práce </w:t>
      </w:r>
      <w:r>
        <w:rPr>
          <w:rFonts w:ascii="Arial Narrow" w:hAnsi="Arial Narrow"/>
        </w:rPr>
        <w:t xml:space="preserve">v Jihomoravském kraji </w:t>
      </w:r>
      <w:r w:rsidRPr="00CE357F">
        <w:rPr>
          <w:rFonts w:ascii="Arial Narrow" w:hAnsi="Arial Narrow"/>
        </w:rPr>
        <w:t>pracovalo na území okresů Brno-město a Brno-venkov.</w:t>
      </w:r>
      <w:r w:rsidR="00762FCD">
        <w:rPr>
          <w:rFonts w:ascii="Arial Narrow" w:hAnsi="Arial Narrow"/>
        </w:rPr>
        <w:t xml:space="preserve"> </w:t>
      </w:r>
      <w:r w:rsidRPr="00CE357F">
        <w:rPr>
          <w:rFonts w:ascii="Arial Narrow" w:hAnsi="Arial Narrow"/>
        </w:rPr>
        <w:t xml:space="preserve">Naopak nejnižší podíl zaměstnaných osob s jinou než českou státní příslušností evidovaných na úřadech práce </w:t>
      </w:r>
      <w:r>
        <w:rPr>
          <w:rFonts w:ascii="Arial Narrow" w:hAnsi="Arial Narrow"/>
        </w:rPr>
        <w:t>v Jihomoravském kraji byl zaznamenán na území okresů Vyškov (2,9 %) a Znojmo (2,3</w:t>
      </w:r>
      <w:r w:rsidRPr="00CE357F">
        <w:rPr>
          <w:rFonts w:ascii="Arial Narrow" w:hAnsi="Arial Narrow"/>
        </w:rPr>
        <w:t xml:space="preserve"> %). </w:t>
      </w:r>
      <w:bookmarkStart w:id="405" w:name="_Toc94443768"/>
      <w:bookmarkStart w:id="406" w:name="_Toc136428908"/>
      <w:bookmarkEnd w:id="403"/>
    </w:p>
    <w:p w14:paraId="05D48107" w14:textId="77777777" w:rsidR="00762FCD" w:rsidRDefault="00762FCD" w:rsidP="00762FCD">
      <w:pPr>
        <w:spacing w:line="276" w:lineRule="auto"/>
        <w:jc w:val="both"/>
        <w:rPr>
          <w:rFonts w:ascii="Arial Narrow" w:hAnsi="Arial Narrow"/>
        </w:rPr>
      </w:pPr>
    </w:p>
    <w:p w14:paraId="63C4B055" w14:textId="0DDD8218" w:rsidR="00E30EC7" w:rsidRPr="00762FCD" w:rsidRDefault="00E30EC7" w:rsidP="00762FCD">
      <w:pPr>
        <w:spacing w:line="276" w:lineRule="auto"/>
        <w:jc w:val="both"/>
        <w:rPr>
          <w:rFonts w:ascii="Arial Narrow" w:hAnsi="Arial Narrow"/>
        </w:rPr>
      </w:pPr>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64</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 xml:space="preserve">Zaměstnanost osob s jinou než českou státní příslušností </w:t>
      </w:r>
      <w:r>
        <w:rPr>
          <w:rFonts w:ascii="Arial Narrow" w:hAnsi="Arial Narrow"/>
          <w:b/>
          <w:bCs/>
          <w:sz w:val="20"/>
          <w:szCs w:val="20"/>
        </w:rPr>
        <w:t xml:space="preserve">v Jihomoravském kraji </w:t>
      </w:r>
      <w:r w:rsidRPr="00CE357F">
        <w:rPr>
          <w:rFonts w:ascii="Arial Narrow" w:hAnsi="Arial Narrow"/>
          <w:b/>
          <w:bCs/>
          <w:sz w:val="20"/>
          <w:szCs w:val="20"/>
        </w:rPr>
        <w:t>dle okresů k 31. 12. 202</w:t>
      </w:r>
      <w:bookmarkEnd w:id="405"/>
      <w:r>
        <w:rPr>
          <w:rFonts w:ascii="Arial Narrow" w:hAnsi="Arial Narrow"/>
          <w:b/>
          <w:bCs/>
          <w:sz w:val="20"/>
          <w:szCs w:val="20"/>
        </w:rPr>
        <w:t>2</w:t>
      </w:r>
      <w:bookmarkEnd w:id="406"/>
    </w:p>
    <w:p w14:paraId="0BAD94F5" w14:textId="77777777" w:rsidR="00E30EC7" w:rsidRPr="00CE357F" w:rsidRDefault="00E30EC7" w:rsidP="7CC7BF57">
      <w:pPr>
        <w:rPr>
          <w:rFonts w:ascii="Arial Narrow" w:hAnsi="Arial Narrow"/>
          <w:b/>
          <w:bCs/>
          <w:color w:val="2F5496" w:themeColor="accent1" w:themeShade="BF"/>
        </w:rPr>
      </w:pPr>
      <w:r w:rsidRPr="00CE357F">
        <w:rPr>
          <w:rFonts w:ascii="Arial Narrow" w:hAnsi="Arial Narrow"/>
          <w:noProof/>
          <w:lang w:eastAsia="cs-CZ"/>
        </w:rPr>
        <w:drawing>
          <wp:inline distT="0" distB="0" distL="0" distR="0" wp14:anchorId="60534720" wp14:editId="29D40960">
            <wp:extent cx="5676900" cy="2390775"/>
            <wp:effectExtent l="0" t="0" r="0" b="952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D3839F2" w14:textId="77777777" w:rsidR="00E30EC7" w:rsidRPr="00CE357F" w:rsidRDefault="00E30EC7" w:rsidP="00E30EC7">
      <w:pPr>
        <w:spacing w:line="276" w:lineRule="auto"/>
        <w:rPr>
          <w:rFonts w:ascii="Arial Narrow" w:hAnsi="Arial Narrow"/>
          <w:bCs/>
          <w:sz w:val="20"/>
          <w:szCs w:val="20"/>
        </w:rPr>
      </w:pPr>
      <w:r w:rsidRPr="00CE357F">
        <w:rPr>
          <w:rFonts w:ascii="Arial Narrow" w:hAnsi="Arial Narrow"/>
          <w:bCs/>
          <w:sz w:val="20"/>
          <w:szCs w:val="20"/>
        </w:rPr>
        <w:t>Zdroj</w:t>
      </w:r>
      <w:r w:rsidRPr="00607203">
        <w:rPr>
          <w:rFonts w:ascii="Arial Narrow" w:hAnsi="Arial Narrow"/>
          <w:bCs/>
          <w:sz w:val="20"/>
          <w:szCs w:val="20"/>
        </w:rPr>
        <w:t>: Ministerstvo práce a sociálních věcí (data k 31. 12. 2022)</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s.r.o.</w:t>
      </w:r>
      <w:bookmarkEnd w:id="404"/>
    </w:p>
    <w:p w14:paraId="0FE2912E" w14:textId="5C3DE925" w:rsidR="00612B22" w:rsidRDefault="5A58A728" w:rsidP="00762FCD">
      <w:pPr>
        <w:spacing w:before="240" w:line="276" w:lineRule="auto"/>
        <w:jc w:val="both"/>
        <w:rPr>
          <w:rFonts w:ascii="Arial Narrow" w:hAnsi="Arial Narrow"/>
        </w:rPr>
      </w:pPr>
      <w:bookmarkStart w:id="407" w:name="_Hlk95746689"/>
      <w:r w:rsidRPr="00CE357F">
        <w:rPr>
          <w:rFonts w:ascii="Arial Narrow" w:hAnsi="Arial Narrow"/>
        </w:rPr>
        <w:lastRenderedPageBreak/>
        <w:t>Ve struktuře osob s jinou než českou státní příslušností, působících na trhu práce v Jihomoravském kraji byly od nástupu hospodářské krize v roce 2008 zaznamenány značné změny. Zatímco před nástupem hospodářské krize v roce 2008 byl počet pracovníků ze zemí EU a pracovníků ze třetích zemí téměř vyrovnaný</w:t>
      </w:r>
      <w:r w:rsidR="00E30EC7" w:rsidRPr="00CE357F">
        <w:rPr>
          <w:rStyle w:val="Znakapoznpodarou"/>
          <w:rFonts w:ascii="Arial Narrow" w:hAnsi="Arial Narrow"/>
        </w:rPr>
        <w:footnoteReference w:id="41"/>
      </w:r>
      <w:r>
        <w:rPr>
          <w:rFonts w:ascii="Arial Narrow" w:hAnsi="Arial Narrow"/>
        </w:rPr>
        <w:t xml:space="preserve">, do roku 2021 tvořily </w:t>
      </w:r>
      <w:r w:rsidRPr="00CE357F">
        <w:rPr>
          <w:rFonts w:ascii="Arial Narrow" w:hAnsi="Arial Narrow"/>
        </w:rPr>
        <w:t>dvě třetiny osob s jinou než českou státní příslušností evidovaných úřady práce (tedy v postavení zaměstnanců) v Jihomoravském kraji občané EU/EHP (ke konc</w:t>
      </w:r>
      <w:r>
        <w:rPr>
          <w:rFonts w:ascii="Arial Narrow" w:hAnsi="Arial Narrow"/>
        </w:rPr>
        <w:t>i roku 2021 tento podíl činil 62,6</w:t>
      </w:r>
      <w:r w:rsidRPr="00CE357F">
        <w:rPr>
          <w:rFonts w:ascii="Arial Narrow" w:hAnsi="Arial Narrow"/>
        </w:rPr>
        <w:t xml:space="preserve"> %).</w:t>
      </w:r>
      <w:bookmarkEnd w:id="407"/>
      <w:r>
        <w:rPr>
          <w:rFonts w:ascii="Arial Narrow" w:hAnsi="Arial Narrow"/>
        </w:rPr>
        <w:t xml:space="preserve"> </w:t>
      </w:r>
      <w:r w:rsidRPr="00CF47B5">
        <w:rPr>
          <w:rFonts w:ascii="Arial Narrow" w:hAnsi="Arial Narrow"/>
          <w:b/>
          <w:bCs/>
        </w:rPr>
        <w:t xml:space="preserve">V roce 2022 se </w:t>
      </w:r>
      <w:r w:rsidR="2F288733" w:rsidRPr="00CF47B5">
        <w:rPr>
          <w:rFonts w:ascii="Arial Narrow" w:hAnsi="Arial Narrow"/>
          <w:b/>
          <w:bCs/>
        </w:rPr>
        <w:t xml:space="preserve">však téměř dvojnásobně zvýšil </w:t>
      </w:r>
      <w:r w:rsidRPr="00CF47B5">
        <w:rPr>
          <w:rFonts w:ascii="Arial Narrow" w:hAnsi="Arial Narrow"/>
          <w:b/>
          <w:bCs/>
        </w:rPr>
        <w:t>počet občanů třetích zemí, kteří nepotřebují pracovní povolení</w:t>
      </w:r>
      <w:r w:rsidR="2CA1ACEF" w:rsidRPr="2460258F">
        <w:rPr>
          <w:rFonts w:ascii="Arial Narrow" w:hAnsi="Arial Narrow"/>
          <w:b/>
          <w:bCs/>
        </w:rPr>
        <w:t xml:space="preserve"> Důvodem je příchod většího počtu Ukrajinských občanů, kterým je udělována dočasná ochrana, která umožňuje volný přístup na trh práce</w:t>
      </w:r>
      <w:r w:rsidR="2F288733" w:rsidRPr="00CF47B5">
        <w:rPr>
          <w:rFonts w:ascii="Arial Narrow" w:hAnsi="Arial Narrow"/>
          <w:b/>
          <w:bCs/>
        </w:rPr>
        <w:t>.</w:t>
      </w:r>
      <w:r w:rsidR="2F288733">
        <w:rPr>
          <w:rFonts w:ascii="Arial Narrow" w:hAnsi="Arial Narrow"/>
        </w:rPr>
        <w:t xml:space="preserve"> </w:t>
      </w:r>
      <w:r w:rsidR="00E30EC7" w:rsidRPr="00CE357F">
        <w:rPr>
          <w:rFonts w:ascii="Arial Narrow" w:hAnsi="Arial Narrow"/>
        </w:rPr>
        <w:t xml:space="preserve">Vývoj počtu osob s jinou než českou státní příslušností v Jihomoravském kraji evidovaných na úřadech práce podle </w:t>
      </w:r>
      <w:r w:rsidR="00E30EC7">
        <w:rPr>
          <w:rFonts w:ascii="Arial Narrow" w:hAnsi="Arial Narrow"/>
        </w:rPr>
        <w:t>typu povolení v letech 2014-2022</w:t>
      </w:r>
      <w:r w:rsidR="00E30EC7" w:rsidRPr="00CE357F">
        <w:rPr>
          <w:rFonts w:ascii="Arial Narrow" w:hAnsi="Arial Narrow"/>
        </w:rPr>
        <w:t xml:space="preserve"> podrobně dokumentuje graf</w:t>
      </w:r>
      <w:r w:rsidR="00577D12">
        <w:rPr>
          <w:rFonts w:ascii="Arial Narrow" w:hAnsi="Arial Narrow"/>
        </w:rPr>
        <w:t xml:space="preserve"> č. 65</w:t>
      </w:r>
      <w:r w:rsidR="00E30EC7" w:rsidRPr="00CE357F">
        <w:rPr>
          <w:rFonts w:ascii="Arial Narrow" w:hAnsi="Arial Narrow"/>
        </w:rPr>
        <w:t>.</w:t>
      </w:r>
      <w:bookmarkStart w:id="408" w:name="_Toc94443769"/>
      <w:bookmarkStart w:id="409" w:name="_Toc136428909"/>
    </w:p>
    <w:p w14:paraId="656159E3" w14:textId="125A8942" w:rsidR="00E30EC7" w:rsidRPr="00CE357F" w:rsidRDefault="00E30EC7" w:rsidP="00E30EC7">
      <w:pPr>
        <w:tabs>
          <w:tab w:val="left" w:pos="3150"/>
        </w:tabs>
        <w:spacing w:before="240"/>
        <w:jc w:val="both"/>
        <w:rPr>
          <w:rFonts w:ascii="Arial Narrow" w:hAnsi="Arial Narrow"/>
          <w:b/>
          <w:bCs/>
          <w:sz w:val="20"/>
          <w:szCs w:val="20"/>
        </w:rPr>
      </w:pPr>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65</w:t>
      </w:r>
      <w:r>
        <w:rPr>
          <w:rFonts w:ascii="Arial Narrow" w:hAnsi="Arial Narrow"/>
          <w:b/>
          <w:sz w:val="20"/>
          <w:szCs w:val="20"/>
        </w:rPr>
        <w:fldChar w:fldCharType="end"/>
      </w:r>
      <w:r w:rsidRPr="00CE357F">
        <w:rPr>
          <w:rFonts w:ascii="Arial Narrow" w:hAnsi="Arial Narrow"/>
          <w:b/>
          <w:sz w:val="20"/>
          <w:szCs w:val="20"/>
        </w:rPr>
        <w:t xml:space="preserve">: </w:t>
      </w:r>
      <w:r w:rsidRPr="00BC1C0D">
        <w:rPr>
          <w:rFonts w:ascii="Arial Narrow" w:hAnsi="Arial Narrow"/>
          <w:b/>
          <w:bCs/>
          <w:sz w:val="20"/>
          <w:szCs w:val="20"/>
          <w:highlight w:val="cyan"/>
        </w:rPr>
        <w:t>Vývoj počtu osob s jinou než českou státní příslušností v JMK evidovaných na ú</w:t>
      </w:r>
      <w:r w:rsidR="00BC1C0D" w:rsidRPr="00BC1C0D">
        <w:rPr>
          <w:rFonts w:ascii="Arial Narrow" w:hAnsi="Arial Narrow"/>
          <w:b/>
          <w:bCs/>
          <w:sz w:val="20"/>
          <w:szCs w:val="20"/>
          <w:highlight w:val="cyan"/>
        </w:rPr>
        <w:t>řadech práce podle typu pracovního oprávnění</w:t>
      </w:r>
      <w:r w:rsidRPr="00BC1C0D">
        <w:rPr>
          <w:rFonts w:ascii="Arial Narrow" w:hAnsi="Arial Narrow"/>
          <w:b/>
          <w:bCs/>
          <w:sz w:val="20"/>
          <w:szCs w:val="20"/>
          <w:highlight w:val="cyan"/>
        </w:rPr>
        <w:t xml:space="preserve"> v letech 2014-202</w:t>
      </w:r>
      <w:bookmarkEnd w:id="408"/>
      <w:r w:rsidRPr="00BC1C0D">
        <w:rPr>
          <w:rFonts w:ascii="Arial Narrow" w:hAnsi="Arial Narrow"/>
          <w:b/>
          <w:bCs/>
          <w:sz w:val="20"/>
          <w:szCs w:val="20"/>
          <w:highlight w:val="cyan"/>
        </w:rPr>
        <w:t>2</w:t>
      </w:r>
      <w:bookmarkEnd w:id="409"/>
    </w:p>
    <w:p w14:paraId="62C24BBB" w14:textId="77777777" w:rsidR="00E30EC7" w:rsidRPr="00CE357F" w:rsidRDefault="00E30EC7" w:rsidP="00E30EC7">
      <w:pPr>
        <w:spacing w:line="276" w:lineRule="auto"/>
        <w:jc w:val="both"/>
        <w:rPr>
          <w:rFonts w:ascii="Arial Narrow" w:hAnsi="Arial Narrow"/>
        </w:rPr>
      </w:pPr>
      <w:r w:rsidRPr="00CE357F">
        <w:rPr>
          <w:rFonts w:ascii="Arial Narrow" w:hAnsi="Arial Narrow" w:cstheme="minorHAnsi"/>
          <w:b/>
          <w:bCs/>
          <w:noProof/>
          <w:sz w:val="28"/>
          <w:szCs w:val="28"/>
          <w:lang w:eastAsia="cs-CZ"/>
        </w:rPr>
        <w:drawing>
          <wp:inline distT="0" distB="0" distL="0" distR="0" wp14:anchorId="25772F88" wp14:editId="7DE95DE4">
            <wp:extent cx="5760720" cy="2809875"/>
            <wp:effectExtent l="0" t="0" r="11430" b="9525"/>
            <wp:docPr id="2134" name="Graf 2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2E01ED9" w14:textId="77777777" w:rsidR="00E30EC7" w:rsidRPr="00CE357F" w:rsidRDefault="00E30EC7" w:rsidP="00E30EC7">
      <w:pPr>
        <w:spacing w:line="276" w:lineRule="auto"/>
        <w:rPr>
          <w:rFonts w:ascii="Arial Narrow" w:hAnsi="Arial Narrow"/>
          <w:bCs/>
          <w:sz w:val="20"/>
          <w:szCs w:val="20"/>
        </w:rPr>
      </w:pPr>
      <w:r w:rsidRPr="00CE357F">
        <w:rPr>
          <w:rFonts w:ascii="Arial Narrow" w:hAnsi="Arial Narrow"/>
          <w:bCs/>
          <w:sz w:val="20"/>
          <w:szCs w:val="20"/>
        </w:rPr>
        <w:t>Zdroj: Ministerstvo práce a sociálních věcí (data vždy k prosinci daného roku)</w:t>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s.r.o.</w:t>
      </w:r>
    </w:p>
    <w:p w14:paraId="7B0C4378" w14:textId="77777777" w:rsidR="00E30EC7" w:rsidRPr="00CE357F" w:rsidRDefault="00E30EC7" w:rsidP="00E30EC7">
      <w:pPr>
        <w:spacing w:line="276" w:lineRule="auto"/>
        <w:rPr>
          <w:rFonts w:ascii="Arial Narrow" w:hAnsi="Arial Narrow"/>
          <w:bCs/>
          <w:sz w:val="20"/>
          <w:szCs w:val="20"/>
        </w:rPr>
      </w:pPr>
    </w:p>
    <w:p w14:paraId="20854E3A" w14:textId="77777777" w:rsidR="00E30EC7" w:rsidRPr="00CE357F" w:rsidRDefault="00E30EC7" w:rsidP="00E30EC7">
      <w:pPr>
        <w:spacing w:after="240" w:line="276" w:lineRule="auto"/>
        <w:jc w:val="both"/>
        <w:rPr>
          <w:rFonts w:ascii="Arial Narrow" w:hAnsi="Arial Narrow"/>
          <w:b/>
          <w:bCs/>
          <w:u w:val="single"/>
        </w:rPr>
      </w:pPr>
      <w:r>
        <w:rPr>
          <w:rFonts w:ascii="Arial Narrow" w:hAnsi="Arial Narrow"/>
          <w:b/>
          <w:bCs/>
          <w:u w:val="single"/>
        </w:rPr>
        <w:t xml:space="preserve">Informační karty – </w:t>
      </w:r>
      <w:r w:rsidRPr="00CE357F">
        <w:rPr>
          <w:rFonts w:ascii="Arial Narrow" w:hAnsi="Arial Narrow"/>
          <w:b/>
          <w:bCs/>
          <w:u w:val="single"/>
        </w:rPr>
        <w:t xml:space="preserve">Občané EU/EHP a Švýcarska </w:t>
      </w:r>
    </w:p>
    <w:p w14:paraId="3516D5D2" w14:textId="77777777" w:rsidR="00E30EC7" w:rsidRDefault="00E30EC7" w:rsidP="00E30EC7">
      <w:pPr>
        <w:spacing w:line="276" w:lineRule="auto"/>
        <w:jc w:val="both"/>
        <w:rPr>
          <w:rFonts w:ascii="Arial Narrow" w:hAnsi="Arial Narrow"/>
        </w:rPr>
      </w:pPr>
      <w:bookmarkStart w:id="410" w:name="_Hlk95746805"/>
      <w:r w:rsidRPr="00CE357F">
        <w:rPr>
          <w:rFonts w:ascii="Arial Narrow" w:hAnsi="Arial Narrow"/>
        </w:rPr>
        <w:t>Ke konci roku 202</w:t>
      </w:r>
      <w:r>
        <w:rPr>
          <w:rFonts w:ascii="Arial Narrow" w:hAnsi="Arial Narrow"/>
        </w:rPr>
        <w:t>2</w:t>
      </w:r>
      <w:r w:rsidRPr="00CE357F">
        <w:rPr>
          <w:rFonts w:ascii="Arial Narrow" w:hAnsi="Arial Narrow"/>
        </w:rPr>
        <w:t xml:space="preserve"> bylo Úřadem práce České republiky, Krajskou pobočkou v Brně, registrováno</w:t>
      </w:r>
      <w:r>
        <w:rPr>
          <w:rFonts w:ascii="Arial Narrow" w:hAnsi="Arial Narrow"/>
        </w:rPr>
        <w:t xml:space="preserve"> v Jihomoravském kraji celkem 50 892</w:t>
      </w:r>
      <w:r w:rsidRPr="00CE357F">
        <w:rPr>
          <w:rFonts w:ascii="Arial Narrow" w:hAnsi="Arial Narrow"/>
        </w:rPr>
        <w:t xml:space="preserve"> </w:t>
      </w:r>
      <w:r>
        <w:rPr>
          <w:rFonts w:ascii="Arial Narrow" w:hAnsi="Arial Narrow"/>
        </w:rPr>
        <w:t>pracovníků ze zemí EU/EHP a Švýcarska</w:t>
      </w:r>
      <w:r w:rsidRPr="00CE357F">
        <w:rPr>
          <w:rFonts w:ascii="Arial Narrow" w:hAnsi="Arial Narrow"/>
        </w:rPr>
        <w:t xml:space="preserve">. Největší podíl na této pracovní síle měli občané </w:t>
      </w:r>
      <w:r w:rsidRPr="003017FF">
        <w:rPr>
          <w:rFonts w:ascii="Arial Narrow" w:hAnsi="Arial Narrow"/>
        </w:rPr>
        <w:t>Slovenska, kterých bylo k 31. 12. 2022 v kraji zaměstnáno celkem 34 656, tj. 68,1 %</w:t>
      </w:r>
      <w:r w:rsidRPr="00CE357F">
        <w:rPr>
          <w:rFonts w:ascii="Arial Narrow" w:hAnsi="Arial Narrow"/>
        </w:rPr>
        <w:t xml:space="preserve"> všech </w:t>
      </w:r>
      <w:r>
        <w:rPr>
          <w:rFonts w:ascii="Arial Narrow" w:hAnsi="Arial Narrow"/>
        </w:rPr>
        <w:t>pracovníků ze zemí EU/EHP a Švýcarska</w:t>
      </w:r>
      <w:r w:rsidRPr="00CE357F">
        <w:rPr>
          <w:rFonts w:ascii="Arial Narrow" w:hAnsi="Arial Narrow"/>
        </w:rPr>
        <w:t xml:space="preserve">. </w:t>
      </w:r>
      <w:r w:rsidRPr="003017FF">
        <w:rPr>
          <w:rFonts w:ascii="Arial Narrow" w:hAnsi="Arial Narrow"/>
        </w:rPr>
        <w:t>Osoby ze Slovenské republiky byly v roce 2022 nejčastěji zaměstnáváni jako dělníci ve strojírenství, ve stavebnictví a zemědělství, navíc se díky neexistenci jazykové bariéry velmi často uplatňují rovněž v obchodě, službách a zdravotnictví.</w:t>
      </w:r>
      <w:r w:rsidRPr="003017FF">
        <w:rPr>
          <w:rStyle w:val="Znakapoznpodarou"/>
          <w:rFonts w:ascii="Arial Narrow" w:hAnsi="Arial Narrow"/>
        </w:rPr>
        <w:footnoteReference w:id="42"/>
      </w:r>
    </w:p>
    <w:p w14:paraId="4815AF75" w14:textId="77777777" w:rsidR="00E30EC7" w:rsidRPr="00CE357F" w:rsidRDefault="00E30EC7" w:rsidP="00E30EC7">
      <w:pPr>
        <w:spacing w:line="276" w:lineRule="auto"/>
        <w:jc w:val="both"/>
        <w:rPr>
          <w:rFonts w:ascii="Arial Narrow" w:hAnsi="Arial Narrow"/>
        </w:rPr>
      </w:pPr>
    </w:p>
    <w:p w14:paraId="02F8F100" w14:textId="77777777" w:rsidR="00E30EC7" w:rsidRPr="00CE357F" w:rsidRDefault="00E30EC7" w:rsidP="00E30EC7">
      <w:pPr>
        <w:spacing w:line="276" w:lineRule="auto"/>
        <w:jc w:val="both"/>
        <w:rPr>
          <w:rFonts w:ascii="Arial Narrow" w:hAnsi="Arial Narrow"/>
          <w:b/>
          <w:color w:val="2F5496" w:themeColor="accent1" w:themeShade="BF"/>
        </w:rPr>
      </w:pPr>
      <w:r w:rsidRPr="00CE357F">
        <w:rPr>
          <w:rFonts w:ascii="Arial Narrow" w:hAnsi="Arial Narrow"/>
        </w:rPr>
        <w:t>Nejvyšší počet všech pracovníků ze zemí EU</w:t>
      </w:r>
      <w:r>
        <w:rPr>
          <w:rFonts w:ascii="Arial Narrow" w:hAnsi="Arial Narrow"/>
        </w:rPr>
        <w:t>/EHP</w:t>
      </w:r>
      <w:r w:rsidRPr="00CE357F">
        <w:rPr>
          <w:rFonts w:ascii="Arial Narrow" w:hAnsi="Arial Narrow"/>
        </w:rPr>
        <w:t xml:space="preserve"> bylo již tradičně zaměstnaných v okresech Brno-město a</w:t>
      </w:r>
      <w:r>
        <w:rPr>
          <w:rFonts w:ascii="Arial Narrow" w:hAnsi="Arial Narrow"/>
        </w:rPr>
        <w:t xml:space="preserve"> Brno-venkov, kde k 31. 12. 2022 pracovalo 78,9</w:t>
      </w:r>
      <w:r w:rsidRPr="00CE357F">
        <w:rPr>
          <w:rFonts w:ascii="Arial Narrow" w:hAnsi="Arial Narrow"/>
        </w:rPr>
        <w:t xml:space="preserve"> % všech občanů EU/EHP + Švýcarska v postavení zaměstnanců </w:t>
      </w:r>
      <w:r w:rsidRPr="00CE357F">
        <w:rPr>
          <w:rFonts w:ascii="Arial Narrow" w:hAnsi="Arial Narrow"/>
        </w:rPr>
        <w:lastRenderedPageBreak/>
        <w:t>v Jihomoravském kraji. Taktéž občané ostatních evropských zemí v postavení zaměstnanců byli v </w:t>
      </w:r>
      <w:r>
        <w:rPr>
          <w:rFonts w:ascii="Arial Narrow" w:hAnsi="Arial Narrow"/>
        </w:rPr>
        <w:t>roce 2022</w:t>
      </w:r>
      <w:r w:rsidRPr="00CE357F">
        <w:rPr>
          <w:rFonts w:ascii="Arial Narrow" w:hAnsi="Arial Narrow"/>
        </w:rPr>
        <w:t xml:space="preserve"> nejvíce koncentrovaní v okresech Brno-město a Brno-venkov. Jednalo se jak o méně, tak i vysoce kvalifikovanou pracovní sílu (programátoři, analytici a pracovníci operačních systémů, ale také učitele jazyků, obchodní zástupci či vedoucí a řídící pracovníci). </w:t>
      </w:r>
      <w:r w:rsidRPr="003017FF">
        <w:rPr>
          <w:rFonts w:ascii="Arial Narrow" w:hAnsi="Arial Narrow"/>
        </w:rPr>
        <w:t xml:space="preserve">Největšími zaměstnavateli těchto pracovníků byli v roce 2022 firmy </w:t>
      </w:r>
      <w:proofErr w:type="spellStart"/>
      <w:r w:rsidRPr="003017FF">
        <w:rPr>
          <w:rFonts w:ascii="Arial Narrow" w:hAnsi="Arial Narrow"/>
        </w:rPr>
        <w:t>Kyndryl</w:t>
      </w:r>
      <w:proofErr w:type="spellEnd"/>
      <w:r w:rsidRPr="003017FF">
        <w:rPr>
          <w:rFonts w:ascii="Arial Narrow" w:hAnsi="Arial Narrow"/>
        </w:rPr>
        <w:t xml:space="preserve"> </w:t>
      </w:r>
      <w:proofErr w:type="spellStart"/>
      <w:r w:rsidRPr="003017FF">
        <w:rPr>
          <w:rFonts w:ascii="Arial Narrow" w:hAnsi="Arial Narrow"/>
        </w:rPr>
        <w:t>Client</w:t>
      </w:r>
      <w:proofErr w:type="spellEnd"/>
      <w:r w:rsidRPr="003017FF">
        <w:rPr>
          <w:rFonts w:ascii="Arial Narrow" w:hAnsi="Arial Narrow"/>
        </w:rPr>
        <w:t xml:space="preserve"> Center, s.r.o. (dříve IBM) a AT&amp;T</w:t>
      </w:r>
      <w:bookmarkEnd w:id="410"/>
      <w:r w:rsidRPr="003017FF">
        <w:rPr>
          <w:rFonts w:ascii="Arial Narrow" w:hAnsi="Arial Narrow"/>
        </w:rPr>
        <w:t>.</w:t>
      </w:r>
      <w:r w:rsidRPr="003017FF">
        <w:rPr>
          <w:rStyle w:val="Znakapoznpodarou"/>
          <w:rFonts w:ascii="Arial Narrow" w:hAnsi="Arial Narrow"/>
        </w:rPr>
        <w:footnoteReference w:id="43"/>
      </w:r>
    </w:p>
    <w:p w14:paraId="23424A25" w14:textId="510E1E39" w:rsidR="00E30EC7" w:rsidRPr="00CE357F" w:rsidRDefault="00E30EC7" w:rsidP="00E30EC7">
      <w:pPr>
        <w:spacing w:before="240" w:line="276" w:lineRule="auto"/>
        <w:jc w:val="both"/>
        <w:rPr>
          <w:rFonts w:ascii="Arial Narrow" w:hAnsi="Arial Narrow"/>
          <w:b/>
          <w:bCs/>
          <w:u w:val="single"/>
        </w:rPr>
      </w:pPr>
      <w:r w:rsidRPr="00CE357F">
        <w:rPr>
          <w:rFonts w:ascii="Arial Narrow" w:hAnsi="Arial Narrow"/>
          <w:b/>
          <w:bCs/>
          <w:u w:val="single"/>
        </w:rPr>
        <w:t>Občané s jinou než českou státní přísluš</w:t>
      </w:r>
      <w:r w:rsidR="00BC1C0D">
        <w:rPr>
          <w:rFonts w:ascii="Arial Narrow" w:hAnsi="Arial Narrow"/>
          <w:b/>
          <w:bCs/>
          <w:u w:val="single"/>
        </w:rPr>
        <w:t xml:space="preserve">ností, kteří nepotřebují </w:t>
      </w:r>
      <w:r w:rsidR="00BC1C0D" w:rsidRPr="00BC1C0D">
        <w:rPr>
          <w:rFonts w:ascii="Arial Narrow" w:hAnsi="Arial Narrow"/>
          <w:b/>
          <w:bCs/>
          <w:highlight w:val="cyan"/>
          <w:u w:val="single"/>
        </w:rPr>
        <w:t>pracovní oprávnění</w:t>
      </w:r>
    </w:p>
    <w:p w14:paraId="41232950" w14:textId="01E85753" w:rsidR="00E30EC7" w:rsidRPr="00CE357F" w:rsidRDefault="00E30EC7" w:rsidP="00E30EC7">
      <w:pPr>
        <w:spacing w:before="240" w:line="276" w:lineRule="auto"/>
        <w:jc w:val="both"/>
        <w:rPr>
          <w:rFonts w:ascii="Arial Narrow" w:hAnsi="Arial Narrow"/>
        </w:rPr>
      </w:pPr>
      <w:bookmarkStart w:id="411" w:name="_Hlk95746835"/>
      <w:r w:rsidRPr="00355805">
        <w:rPr>
          <w:rFonts w:ascii="Arial Narrow" w:hAnsi="Arial Narrow"/>
        </w:rPr>
        <w:t>K 31. 12. 2022 pracovalo v Jihomoravském kraji celkem 28 035 osob s jinou než českou státní příslušností v pozici zaměstnanců, kteří nepotřebují povolení k zaměstnání.</w:t>
      </w:r>
      <w:r w:rsidRPr="003017FF">
        <w:rPr>
          <w:rFonts w:ascii="Arial Narrow" w:hAnsi="Arial Narrow"/>
        </w:rPr>
        <w:t xml:space="preserve"> Jejich počet rychle roste, zejména díky poměrně snadnému získávání trvalého pobytu. Na rozdíl od předchozích let, kdy v této skupině převažovali vysoce kvalifikovaní</w:t>
      </w:r>
      <w:r w:rsidR="00612B22">
        <w:rPr>
          <w:rFonts w:ascii="Arial Narrow" w:hAnsi="Arial Narrow"/>
        </w:rPr>
        <w:t>,</w:t>
      </w:r>
      <w:r w:rsidRPr="003017FF">
        <w:rPr>
          <w:rFonts w:ascii="Arial Narrow" w:hAnsi="Arial Narrow"/>
        </w:rPr>
        <w:t xml:space="preserve"> nyní převládají osoby s nízkou kvalifikací z východoevropských a asijských zemí.  K 31. 12. 2022 bylo touto formou v Jihomoravském kraji evidováno 28 035 cizinců, tj. o 12,9 tis. více než v předchozím roce.</w:t>
      </w:r>
      <w:r>
        <w:rPr>
          <w:rStyle w:val="Znakapoznpodarou"/>
          <w:rFonts w:ascii="Arial Narrow" w:hAnsi="Arial Narrow"/>
        </w:rPr>
        <w:footnoteReference w:id="44"/>
      </w:r>
      <w:r w:rsidRPr="003017FF">
        <w:rPr>
          <w:rFonts w:ascii="Arial Narrow" w:hAnsi="Arial Narrow"/>
        </w:rPr>
        <w:t xml:space="preserve"> Z nichž 10 890 představují občané Ukrajiny s dočasnou ochranou.  </w:t>
      </w:r>
      <w:r w:rsidRPr="00355805">
        <w:rPr>
          <w:rFonts w:ascii="Arial Narrow" w:hAnsi="Arial Narrow"/>
        </w:rPr>
        <w:t>Převážná</w:t>
      </w:r>
      <w:r>
        <w:rPr>
          <w:rFonts w:ascii="Arial Narrow" w:hAnsi="Arial Narrow"/>
        </w:rPr>
        <w:t xml:space="preserve"> většina občanů třetích zemí (81,5</w:t>
      </w:r>
      <w:r w:rsidRPr="00355805">
        <w:rPr>
          <w:rFonts w:ascii="Arial Narrow" w:hAnsi="Arial Narrow"/>
        </w:rPr>
        <w:t xml:space="preserve"> %) v pozici zaměstnanců v Jihomoravském kraji, kteří v České republice pracují na základě zvláštních předpisů, tj. kteří nepotřebují povolení k zaměstnání, pracovala k 31. 12. 2022 taktéž na území okresů Brno-město a Brno-venkov.</w:t>
      </w:r>
    </w:p>
    <w:bookmarkEnd w:id="411"/>
    <w:p w14:paraId="7CF4B18F" w14:textId="28EA1025" w:rsidR="00E30EC7" w:rsidRPr="00CE357F" w:rsidRDefault="00BC1C0D" w:rsidP="00E30EC7">
      <w:pPr>
        <w:spacing w:before="240" w:line="276" w:lineRule="auto"/>
        <w:jc w:val="both"/>
        <w:rPr>
          <w:rFonts w:ascii="Arial Narrow" w:hAnsi="Arial Narrow"/>
          <w:b/>
          <w:bCs/>
          <w:u w:val="single"/>
        </w:rPr>
      </w:pPr>
      <w:r>
        <w:rPr>
          <w:rFonts w:ascii="Arial Narrow" w:hAnsi="Arial Narrow"/>
          <w:b/>
          <w:bCs/>
          <w:u w:val="single"/>
        </w:rPr>
        <w:t xml:space="preserve">Zaměstnanci </w:t>
      </w:r>
      <w:r w:rsidRPr="00BC1C0D">
        <w:rPr>
          <w:rFonts w:ascii="Arial Narrow" w:hAnsi="Arial Narrow"/>
          <w:b/>
          <w:bCs/>
          <w:highlight w:val="cyan"/>
          <w:u w:val="single"/>
        </w:rPr>
        <w:t>s pracovním oprávněním</w:t>
      </w:r>
      <w:r w:rsidR="00E30EC7" w:rsidRPr="00CE357F">
        <w:rPr>
          <w:rFonts w:ascii="Arial Narrow" w:hAnsi="Arial Narrow"/>
          <w:b/>
          <w:bCs/>
          <w:u w:val="single"/>
        </w:rPr>
        <w:t xml:space="preserve"> (povolení k zaměstnání, zaměstnanecké karty, modré karty) </w:t>
      </w:r>
    </w:p>
    <w:p w14:paraId="524CB070" w14:textId="4E0F54DB" w:rsidR="00E30EC7" w:rsidRPr="00BC5C2D" w:rsidRDefault="00E30EC7" w:rsidP="00E30EC7">
      <w:pPr>
        <w:spacing w:after="120" w:line="276" w:lineRule="auto"/>
        <w:jc w:val="both"/>
        <w:rPr>
          <w:rFonts w:ascii="Arial Narrow" w:hAnsi="Arial Narrow"/>
          <w:highlight w:val="yellow"/>
        </w:rPr>
      </w:pPr>
      <w:r w:rsidRPr="00CE357F">
        <w:rPr>
          <w:rFonts w:ascii="Arial Narrow" w:hAnsi="Arial Narrow"/>
        </w:rPr>
        <w:br/>
      </w:r>
      <w:r w:rsidRPr="00355805">
        <w:rPr>
          <w:rFonts w:ascii="Arial Narrow" w:hAnsi="Arial Narrow"/>
        </w:rPr>
        <w:t xml:space="preserve">V současné době mohou osoby s jinou než českou státní příslušností ze třetích zemí využít pro vstup na pracovní trh v ČR tři typy povolení, a to Zaměstnanecké karty, Modré karty a </w:t>
      </w:r>
      <w:r w:rsidR="00BC1C0D" w:rsidRPr="00BC1C0D">
        <w:rPr>
          <w:rFonts w:ascii="Arial Narrow" w:hAnsi="Arial Narrow"/>
          <w:highlight w:val="cyan"/>
        </w:rPr>
        <w:t>Povolení k zaměstnání</w:t>
      </w:r>
      <w:r w:rsidRPr="00355805">
        <w:rPr>
          <w:rFonts w:ascii="Arial Narrow" w:hAnsi="Arial Narrow"/>
        </w:rPr>
        <w:t xml:space="preserve"> vydávaná Úřadem práce. K 31. 12. 2022 bylo v Jihomoravském kraji evidováno celkem 12 456 osob s těmito povolení. Konkrétně se jednalo o 11 868 zaměstnanců pracujících na základě zaměstnaneckých karet, 510 zaměstnanců na základě platných povolení k zaměstnání a 78 zaměstnanců na základě modrých karet</w:t>
      </w:r>
      <w:r w:rsidR="006B0149">
        <w:rPr>
          <w:rFonts w:ascii="Arial Narrow" w:hAnsi="Arial Narrow"/>
        </w:rPr>
        <w:t>.</w:t>
      </w:r>
      <w:r w:rsidRPr="00355805">
        <w:rPr>
          <w:rStyle w:val="Znakapoznpodarou"/>
          <w:rFonts w:ascii="Arial Narrow" w:hAnsi="Arial Narrow"/>
        </w:rPr>
        <w:footnoteReference w:id="45"/>
      </w:r>
      <w:r w:rsidRPr="00355805">
        <w:rPr>
          <w:rFonts w:ascii="Arial Narrow" w:hAnsi="Arial Narrow"/>
        </w:rPr>
        <w:t xml:space="preserve">  </w:t>
      </w:r>
    </w:p>
    <w:p w14:paraId="63198B55" w14:textId="486AC57B" w:rsidR="00E30EC7" w:rsidRPr="00BC5C2D" w:rsidRDefault="00BC1C0D" w:rsidP="00E30EC7">
      <w:pPr>
        <w:spacing w:after="120" w:line="276" w:lineRule="auto"/>
        <w:jc w:val="both"/>
        <w:rPr>
          <w:rFonts w:ascii="Arial Narrow" w:hAnsi="Arial Narrow"/>
          <w:highlight w:val="yellow"/>
        </w:rPr>
      </w:pPr>
      <w:bookmarkStart w:id="412" w:name="_Hlk95746875"/>
      <w:r w:rsidRPr="00BC1C0D">
        <w:rPr>
          <w:rFonts w:ascii="Arial Narrow" w:hAnsi="Arial Narrow"/>
          <w:highlight w:val="cyan"/>
        </w:rPr>
        <w:t>Ve srovnání s rokem 2021 klesl počet zaměstnanců s povolením k zaměstnání</w:t>
      </w:r>
      <w:r w:rsidRPr="00BC1C0D">
        <w:rPr>
          <w:rStyle w:val="Znakapoznpodarou"/>
          <w:rFonts w:ascii="Arial Narrow" w:hAnsi="Arial Narrow"/>
          <w:highlight w:val="cyan"/>
        </w:rPr>
        <w:footnoteReference w:id="46"/>
      </w:r>
      <w:r w:rsidRPr="00BC1C0D">
        <w:rPr>
          <w:rFonts w:ascii="Arial Narrow" w:hAnsi="Arial Narrow"/>
          <w:highlight w:val="cyan"/>
        </w:rPr>
        <w:t xml:space="preserve"> o 2 696, tj. o 84,1 %. Tato pracovní síla představovala v roce 2022 celkem 4,1 % osob s jinou než českou státní příslušností, kteří potřebují povolení k výkonu práce, v kraji. Naopak na trhu práce v posledních letech výrazně stoupl počet držitelů zaměstnaneckých karet, od roku 2019 více než dvojnásobně. Tato pracovní síla představovala v roce 2022 celkem 95 % osob s jinou než českou státní příslušností, kteří potřebují povolení k výkonu práce, v Jihomoravském kraji, přičemž dvě třetiny z nich byli občané Ukrajiny</w:t>
      </w:r>
      <w:r w:rsidR="5A58A728" w:rsidRPr="00E20C7D">
        <w:rPr>
          <w:rFonts w:ascii="Arial Narrow" w:hAnsi="Arial Narrow"/>
        </w:rPr>
        <w:t>. Mezi dalšími početněji zastoupenými skupinami byli občané Ruské federace, Indie a Vietnamu.</w:t>
      </w:r>
      <w:r w:rsidR="00E30EC7" w:rsidRPr="00E20C7D">
        <w:rPr>
          <w:rStyle w:val="Znakapoznpodarou"/>
          <w:rFonts w:ascii="Arial Narrow" w:hAnsi="Arial Narrow"/>
        </w:rPr>
        <w:footnoteReference w:id="47"/>
      </w:r>
      <w:r w:rsidR="5A58A728" w:rsidRPr="00E20C7D">
        <w:rPr>
          <w:rFonts w:ascii="Arial Narrow" w:hAnsi="Arial Narrow"/>
        </w:rPr>
        <w:t xml:space="preserve"> </w:t>
      </w:r>
      <w:r w:rsidR="5A58A728" w:rsidRPr="00B62E5A">
        <w:rPr>
          <w:rFonts w:ascii="Arial Narrow" w:hAnsi="Arial Narrow"/>
        </w:rPr>
        <w:t xml:space="preserve">Na základě zaměstnaneckých karet pracovalo nejvíce osob v okrese Brno-město a Brno-venkov (10 016 osob, tj. 84,4 %). Z ostatních okresů byl významnější počet osob zaznamenán v okrese Břeclav (665 osob, tj. 5,6 %) V okresech Blansko, Hodonín, Vyškov a Znojmo bylo koncentrováno zbývajících 10 % všech zaměstnanců pracujících na základě zaměstnaneckých karet. </w:t>
      </w:r>
    </w:p>
    <w:bookmarkEnd w:id="412"/>
    <w:p w14:paraId="66032321" w14:textId="77777777" w:rsidR="00E30EC7" w:rsidRPr="00355805" w:rsidRDefault="00E30EC7" w:rsidP="00E30EC7">
      <w:pPr>
        <w:spacing w:after="120" w:line="276" w:lineRule="auto"/>
        <w:jc w:val="both"/>
        <w:rPr>
          <w:rFonts w:ascii="Arial Narrow" w:hAnsi="Arial Narrow"/>
          <w:b/>
          <w:bCs/>
        </w:rPr>
      </w:pPr>
      <w:r w:rsidRPr="00355805">
        <w:rPr>
          <w:rFonts w:ascii="Arial Narrow" w:hAnsi="Arial Narrow"/>
        </w:rPr>
        <w:t>Podle dostupných dat je největší část pracovních povolení a zaměstnaneckých karet využívána pro méně kvalifikované pracovní pozice, a to zejména v průmyslové zóně, stavebnictví a pro sezónní práce v zemědělství. „</w:t>
      </w:r>
      <w:r w:rsidRPr="00355805">
        <w:rPr>
          <w:rFonts w:ascii="Arial Narrow" w:hAnsi="Arial Narrow"/>
          <w:i/>
          <w:iCs/>
        </w:rPr>
        <w:t xml:space="preserve">Jedná se o případy, kdy Úřad práce není schopen nabídnout a zajistit odpovídající pracovní sílu, a to jak z důvodu </w:t>
      </w:r>
      <w:r w:rsidRPr="00355805">
        <w:rPr>
          <w:rFonts w:ascii="Arial Narrow" w:hAnsi="Arial Narrow"/>
          <w:i/>
          <w:iCs/>
        </w:rPr>
        <w:lastRenderedPageBreak/>
        <w:t>objektivního nedostatku volné pracovní síly, tak z důvodů nezájmu ze strany českých uchazečů o zaměstnání (fyzicky náročná a málo placená práce).“</w:t>
      </w:r>
      <w:r w:rsidRPr="00355805">
        <w:rPr>
          <w:rStyle w:val="Znakapoznpodarou"/>
          <w:rFonts w:ascii="Arial Narrow" w:hAnsi="Arial Narrow"/>
          <w:i/>
          <w:iCs/>
        </w:rPr>
        <w:footnoteReference w:id="48"/>
      </w:r>
    </w:p>
    <w:p w14:paraId="0E3B5AF5" w14:textId="7D32126E" w:rsidR="00E30EC7" w:rsidRDefault="00E30EC7" w:rsidP="00762FCD">
      <w:pPr>
        <w:spacing w:after="120" w:line="276" w:lineRule="auto"/>
        <w:jc w:val="both"/>
        <w:rPr>
          <w:rFonts w:ascii="Arial Narrow" w:hAnsi="Arial Narrow"/>
        </w:rPr>
      </w:pPr>
      <w:r w:rsidRPr="004F7126">
        <w:rPr>
          <w:rFonts w:ascii="Arial Narrow" w:hAnsi="Arial Narrow"/>
        </w:rPr>
        <w:t>Na základě modrých karet pracovalo v Jihomoravském kraji k 31. 12. 2022 celkem 78 osob s jinou než českou státní příslušností, z toho 66 v okrese Brno-město. Zaměstnání osob s jinou než českou státní příslušností podle typu registrace k 31. 12. 2022 v jednotlivých okresech Jihomoravského kraje podrobně dokumentují následující grafy</w:t>
      </w:r>
      <w:r w:rsidR="00167BA0">
        <w:rPr>
          <w:rFonts w:ascii="Arial Narrow" w:hAnsi="Arial Narrow"/>
        </w:rPr>
        <w:t xml:space="preserve"> č. 66–72</w:t>
      </w:r>
      <w:r w:rsidRPr="004F7126">
        <w:rPr>
          <w:rFonts w:ascii="Arial Narrow" w:hAnsi="Arial Narrow"/>
        </w:rPr>
        <w:t>.</w:t>
      </w:r>
      <w:r w:rsidRPr="004F7126">
        <w:rPr>
          <w:rStyle w:val="Znakapoznpodarou"/>
          <w:rFonts w:ascii="Arial Narrow" w:hAnsi="Arial Narrow"/>
        </w:rPr>
        <w:footnoteReference w:id="49"/>
      </w:r>
      <w:r w:rsidRPr="00CE357F">
        <w:rPr>
          <w:rFonts w:ascii="Arial Narrow" w:hAnsi="Arial Narrow"/>
        </w:rPr>
        <w:t xml:space="preserve"> </w:t>
      </w:r>
    </w:p>
    <w:p w14:paraId="161D28C5" w14:textId="77777777" w:rsidR="00E30EC7" w:rsidRDefault="00E30EC7" w:rsidP="00E30EC7">
      <w:pPr>
        <w:jc w:val="both"/>
        <w:rPr>
          <w:rFonts w:ascii="Arial Narrow" w:hAnsi="Arial Narrow"/>
          <w:b/>
          <w:sz w:val="20"/>
          <w:szCs w:val="20"/>
        </w:rPr>
      </w:pPr>
    </w:p>
    <w:p w14:paraId="77B1D725" w14:textId="4D62D80B" w:rsidR="00E30EC7" w:rsidRPr="00423212" w:rsidRDefault="00E30EC7" w:rsidP="00E30EC7">
      <w:pPr>
        <w:jc w:val="both"/>
        <w:rPr>
          <w:rFonts w:ascii="Arial Narrow" w:hAnsi="Arial Narrow"/>
          <w:b/>
          <w:bCs/>
          <w:sz w:val="20"/>
          <w:szCs w:val="20"/>
        </w:rPr>
      </w:pPr>
      <w:bookmarkStart w:id="414" w:name="_Toc136428910"/>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66</w:t>
      </w:r>
      <w:r>
        <w:rPr>
          <w:rFonts w:ascii="Arial Narrow" w:hAnsi="Arial Narrow"/>
          <w:b/>
          <w:sz w:val="20"/>
          <w:szCs w:val="20"/>
        </w:rPr>
        <w:fldChar w:fldCharType="end"/>
      </w:r>
      <w:r>
        <w:rPr>
          <w:rFonts w:ascii="Arial Narrow" w:hAnsi="Arial Narrow"/>
          <w:b/>
          <w:sz w:val="20"/>
          <w:szCs w:val="20"/>
        </w:rPr>
        <w:t xml:space="preserve">: </w:t>
      </w:r>
      <w:r w:rsidRPr="00423212">
        <w:rPr>
          <w:rFonts w:ascii="Arial Narrow" w:hAnsi="Arial Narrow"/>
          <w:b/>
          <w:bCs/>
          <w:sz w:val="20"/>
          <w:szCs w:val="20"/>
        </w:rPr>
        <w:t>Osoby s jinou než českou státní příslušností evidovaní na úřadech práce podle typu registrace v okrese B</w:t>
      </w:r>
      <w:r>
        <w:rPr>
          <w:rFonts w:ascii="Arial Narrow" w:hAnsi="Arial Narrow"/>
          <w:b/>
          <w:bCs/>
          <w:sz w:val="20"/>
          <w:szCs w:val="20"/>
        </w:rPr>
        <w:t>lansko</w:t>
      </w:r>
      <w:r w:rsidRPr="00423212">
        <w:rPr>
          <w:rFonts w:ascii="Arial Narrow" w:hAnsi="Arial Narrow"/>
          <w:b/>
          <w:bCs/>
          <w:sz w:val="20"/>
          <w:szCs w:val="20"/>
        </w:rPr>
        <w:t xml:space="preserve"> k 31. 12. 202</w:t>
      </w:r>
      <w:r>
        <w:rPr>
          <w:rFonts w:ascii="Arial Narrow" w:hAnsi="Arial Narrow"/>
          <w:b/>
          <w:bCs/>
          <w:sz w:val="20"/>
          <w:szCs w:val="20"/>
        </w:rPr>
        <w:t>2</w:t>
      </w:r>
      <w:bookmarkEnd w:id="414"/>
    </w:p>
    <w:p w14:paraId="7C978E83" w14:textId="77777777" w:rsidR="00E30EC7" w:rsidRDefault="00E30EC7" w:rsidP="00E30EC7">
      <w:pPr>
        <w:jc w:val="both"/>
        <w:rPr>
          <w:rFonts w:ascii="Arial Narrow" w:hAnsi="Arial Narrow"/>
        </w:rPr>
      </w:pPr>
      <w:r>
        <w:rPr>
          <w:rFonts w:ascii="Arial Narrow" w:hAnsi="Arial Narrow"/>
          <w:noProof/>
          <w:lang w:eastAsia="cs-CZ"/>
        </w:rPr>
        <w:drawing>
          <wp:inline distT="0" distB="0" distL="0" distR="0" wp14:anchorId="5D6E215A" wp14:editId="4DB592B4">
            <wp:extent cx="5760720" cy="1971675"/>
            <wp:effectExtent l="0" t="0" r="11430" b="952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87AE493" w14:textId="2FC32959" w:rsidR="00E30EC7" w:rsidRPr="00957F4E" w:rsidRDefault="00E30EC7" w:rsidP="00957F4E">
      <w:pPr>
        <w:spacing w:after="240"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Pr>
          <w:rFonts w:ascii="Arial Narrow" w:hAnsi="Arial Narrow"/>
          <w:bCs/>
          <w:sz w:val="20"/>
          <w:szCs w:val="20"/>
        </w:rPr>
        <w:t xml:space="preserve"> (data k 31. 12. 2022</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1D9FCD4C" w14:textId="0E093B9D" w:rsidR="00E30EC7" w:rsidRPr="00934E74" w:rsidRDefault="00E30EC7" w:rsidP="00E30EC7">
      <w:pPr>
        <w:spacing w:line="276" w:lineRule="auto"/>
        <w:rPr>
          <w:rFonts w:ascii="Arial Narrow" w:hAnsi="Arial Narrow"/>
          <w:bCs/>
          <w:sz w:val="20"/>
          <w:szCs w:val="20"/>
        </w:rPr>
      </w:pPr>
      <w:bookmarkStart w:id="415" w:name="_Toc136428911"/>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67</w:t>
      </w:r>
      <w:r>
        <w:rPr>
          <w:rFonts w:ascii="Arial Narrow" w:hAnsi="Arial Narrow"/>
          <w:b/>
          <w:sz w:val="20"/>
          <w:szCs w:val="20"/>
        </w:rPr>
        <w:fldChar w:fldCharType="end"/>
      </w:r>
      <w:r>
        <w:rPr>
          <w:rFonts w:ascii="Arial Narrow" w:hAnsi="Arial Narrow"/>
          <w:b/>
          <w:sz w:val="20"/>
          <w:szCs w:val="20"/>
        </w:rPr>
        <w:t xml:space="preserve">: </w:t>
      </w:r>
      <w:r w:rsidRPr="00423212">
        <w:rPr>
          <w:rFonts w:ascii="Arial Narrow" w:hAnsi="Arial Narrow"/>
          <w:b/>
          <w:bCs/>
          <w:sz w:val="20"/>
          <w:szCs w:val="20"/>
        </w:rPr>
        <w:t xml:space="preserve">Osoby s jinou než českou státní příslušností evidovaní na úřadech práce podle typu registrace v okrese </w:t>
      </w:r>
      <w:r>
        <w:rPr>
          <w:rFonts w:ascii="Arial Narrow" w:hAnsi="Arial Narrow"/>
          <w:b/>
          <w:bCs/>
          <w:sz w:val="20"/>
          <w:szCs w:val="20"/>
        </w:rPr>
        <w:t>Břeclav</w:t>
      </w:r>
      <w:r w:rsidRPr="00423212">
        <w:rPr>
          <w:rFonts w:ascii="Arial Narrow" w:hAnsi="Arial Narrow"/>
          <w:b/>
          <w:bCs/>
          <w:sz w:val="20"/>
          <w:szCs w:val="20"/>
        </w:rPr>
        <w:t xml:space="preserve"> k 31. 12. 202</w:t>
      </w:r>
      <w:r>
        <w:rPr>
          <w:rFonts w:ascii="Arial Narrow" w:hAnsi="Arial Narrow"/>
          <w:b/>
          <w:bCs/>
          <w:sz w:val="20"/>
          <w:szCs w:val="20"/>
        </w:rPr>
        <w:t>2</w:t>
      </w:r>
      <w:bookmarkEnd w:id="415"/>
    </w:p>
    <w:p w14:paraId="169393AF" w14:textId="77777777" w:rsidR="00E30EC7" w:rsidRDefault="00E30EC7" w:rsidP="00E30EC7">
      <w:pPr>
        <w:jc w:val="both"/>
        <w:rPr>
          <w:rFonts w:ascii="Arial Narrow" w:hAnsi="Arial Narrow"/>
        </w:rPr>
      </w:pPr>
      <w:r>
        <w:rPr>
          <w:rFonts w:ascii="Arial Narrow" w:hAnsi="Arial Narrow"/>
          <w:noProof/>
          <w:lang w:eastAsia="cs-CZ"/>
        </w:rPr>
        <w:drawing>
          <wp:inline distT="0" distB="0" distL="0" distR="0" wp14:anchorId="26FAAD0B" wp14:editId="79CD5409">
            <wp:extent cx="5760720" cy="2143125"/>
            <wp:effectExtent l="0" t="0" r="11430" b="952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1CAEC6E7" w14:textId="3C1C5BC1" w:rsidR="00E30EC7" w:rsidRPr="00957F4E" w:rsidRDefault="00E30EC7" w:rsidP="00957F4E">
      <w:pPr>
        <w:spacing w:after="240"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Pr>
          <w:rFonts w:ascii="Arial Narrow" w:hAnsi="Arial Narrow"/>
          <w:bCs/>
          <w:sz w:val="20"/>
          <w:szCs w:val="20"/>
        </w:rPr>
        <w:t xml:space="preserve"> (data k 31. 12. 2022</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311849AD" w14:textId="77777777" w:rsidR="00762FCD" w:rsidRDefault="00762FCD" w:rsidP="00E30EC7">
      <w:pPr>
        <w:jc w:val="both"/>
        <w:rPr>
          <w:rFonts w:ascii="Arial Narrow" w:hAnsi="Arial Narrow"/>
          <w:b/>
          <w:sz w:val="20"/>
          <w:szCs w:val="20"/>
        </w:rPr>
      </w:pPr>
      <w:bookmarkStart w:id="416" w:name="_Toc136428912"/>
    </w:p>
    <w:p w14:paraId="0BCF4C97" w14:textId="77777777" w:rsidR="00762FCD" w:rsidRDefault="00762FCD" w:rsidP="00E30EC7">
      <w:pPr>
        <w:jc w:val="both"/>
        <w:rPr>
          <w:rFonts w:ascii="Arial Narrow" w:hAnsi="Arial Narrow"/>
          <w:b/>
          <w:sz w:val="20"/>
          <w:szCs w:val="20"/>
        </w:rPr>
      </w:pPr>
    </w:p>
    <w:p w14:paraId="2AB9EF0F" w14:textId="77777777" w:rsidR="00762FCD" w:rsidRDefault="00762FCD" w:rsidP="00E30EC7">
      <w:pPr>
        <w:jc w:val="both"/>
        <w:rPr>
          <w:rFonts w:ascii="Arial Narrow" w:hAnsi="Arial Narrow"/>
          <w:b/>
          <w:sz w:val="20"/>
          <w:szCs w:val="20"/>
        </w:rPr>
      </w:pPr>
    </w:p>
    <w:p w14:paraId="3A14E0C0" w14:textId="77777777" w:rsidR="00762FCD" w:rsidRDefault="00762FCD" w:rsidP="00E30EC7">
      <w:pPr>
        <w:jc w:val="both"/>
        <w:rPr>
          <w:rFonts w:ascii="Arial Narrow" w:hAnsi="Arial Narrow"/>
          <w:b/>
          <w:sz w:val="20"/>
          <w:szCs w:val="20"/>
        </w:rPr>
      </w:pPr>
    </w:p>
    <w:p w14:paraId="4DFEF878" w14:textId="77777777" w:rsidR="00762FCD" w:rsidRDefault="00762FCD" w:rsidP="00E30EC7">
      <w:pPr>
        <w:jc w:val="both"/>
        <w:rPr>
          <w:rFonts w:ascii="Arial Narrow" w:hAnsi="Arial Narrow"/>
          <w:b/>
          <w:sz w:val="20"/>
          <w:szCs w:val="20"/>
        </w:rPr>
      </w:pPr>
    </w:p>
    <w:p w14:paraId="498F01D0" w14:textId="77777777" w:rsidR="00762FCD" w:rsidRDefault="00762FCD" w:rsidP="00E30EC7">
      <w:pPr>
        <w:jc w:val="both"/>
        <w:rPr>
          <w:rFonts w:ascii="Arial Narrow" w:hAnsi="Arial Narrow"/>
          <w:b/>
          <w:sz w:val="20"/>
          <w:szCs w:val="20"/>
        </w:rPr>
      </w:pPr>
    </w:p>
    <w:p w14:paraId="781145C2" w14:textId="3B348C8B" w:rsidR="00E30EC7" w:rsidRPr="00AD4D7E" w:rsidRDefault="00E30EC7" w:rsidP="00E30EC7">
      <w:pPr>
        <w:jc w:val="both"/>
        <w:rPr>
          <w:rFonts w:ascii="Arial Narrow" w:hAnsi="Arial Narrow"/>
          <w:b/>
          <w:bCs/>
          <w:sz w:val="20"/>
          <w:szCs w:val="20"/>
        </w:rPr>
      </w:pPr>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68</w:t>
      </w:r>
      <w:r>
        <w:rPr>
          <w:rFonts w:ascii="Arial Narrow" w:hAnsi="Arial Narrow"/>
          <w:b/>
          <w:sz w:val="20"/>
          <w:szCs w:val="20"/>
        </w:rPr>
        <w:fldChar w:fldCharType="end"/>
      </w:r>
      <w:r>
        <w:rPr>
          <w:rFonts w:ascii="Arial Narrow" w:hAnsi="Arial Narrow"/>
          <w:b/>
          <w:sz w:val="20"/>
          <w:szCs w:val="20"/>
        </w:rPr>
        <w:t xml:space="preserve">: </w:t>
      </w:r>
      <w:r w:rsidRPr="00423212">
        <w:rPr>
          <w:rFonts w:ascii="Arial Narrow" w:hAnsi="Arial Narrow"/>
          <w:b/>
          <w:bCs/>
          <w:sz w:val="20"/>
          <w:szCs w:val="20"/>
        </w:rPr>
        <w:t xml:space="preserve">Osoby s jinou než českou státní příslušností evidovaní na úřadech práce podle typu registrace v okrese </w:t>
      </w:r>
      <w:r>
        <w:rPr>
          <w:rFonts w:ascii="Arial Narrow" w:hAnsi="Arial Narrow"/>
          <w:b/>
          <w:bCs/>
          <w:sz w:val="20"/>
          <w:szCs w:val="20"/>
        </w:rPr>
        <w:t>Brno-město</w:t>
      </w:r>
      <w:r w:rsidRPr="00423212">
        <w:rPr>
          <w:rFonts w:ascii="Arial Narrow" w:hAnsi="Arial Narrow"/>
          <w:b/>
          <w:bCs/>
          <w:sz w:val="20"/>
          <w:szCs w:val="20"/>
        </w:rPr>
        <w:t xml:space="preserve"> k 31. 12. 202</w:t>
      </w:r>
      <w:r>
        <w:rPr>
          <w:rFonts w:ascii="Arial Narrow" w:hAnsi="Arial Narrow"/>
          <w:b/>
          <w:bCs/>
          <w:sz w:val="20"/>
          <w:szCs w:val="20"/>
        </w:rPr>
        <w:t>2</w:t>
      </w:r>
      <w:bookmarkEnd w:id="416"/>
    </w:p>
    <w:p w14:paraId="49AE2C5F" w14:textId="77777777" w:rsidR="00E30EC7" w:rsidRDefault="00E30EC7" w:rsidP="00E30EC7">
      <w:pPr>
        <w:spacing w:line="276" w:lineRule="auto"/>
        <w:jc w:val="both"/>
        <w:rPr>
          <w:rFonts w:ascii="Arial Narrow" w:hAnsi="Arial Narrow"/>
        </w:rPr>
      </w:pPr>
      <w:r>
        <w:rPr>
          <w:rFonts w:ascii="Arial Narrow" w:hAnsi="Arial Narrow"/>
          <w:noProof/>
          <w:lang w:eastAsia="cs-CZ"/>
        </w:rPr>
        <w:drawing>
          <wp:inline distT="0" distB="0" distL="0" distR="0" wp14:anchorId="551DE3B1" wp14:editId="76B4D20B">
            <wp:extent cx="5760720" cy="2171700"/>
            <wp:effectExtent l="0" t="0" r="1143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CA2E1AE" w14:textId="2FB78DAE" w:rsidR="00E30EC7" w:rsidRPr="00957F4E" w:rsidRDefault="00E30EC7" w:rsidP="00A23327">
      <w:pPr>
        <w:spacing w:after="240"/>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Pr>
          <w:rFonts w:ascii="Arial Narrow" w:hAnsi="Arial Narrow"/>
          <w:bCs/>
          <w:sz w:val="20"/>
          <w:szCs w:val="20"/>
        </w:rPr>
        <w:t xml:space="preserve"> (data k 31. 12. 2022</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4FB89F69" w14:textId="1961AB65" w:rsidR="00E30EC7" w:rsidRPr="00AD4D7E" w:rsidRDefault="00E30EC7" w:rsidP="00E30EC7">
      <w:pPr>
        <w:jc w:val="both"/>
        <w:rPr>
          <w:rFonts w:ascii="Arial Narrow" w:hAnsi="Arial Narrow"/>
          <w:b/>
          <w:bCs/>
          <w:sz w:val="20"/>
          <w:szCs w:val="20"/>
        </w:rPr>
      </w:pPr>
      <w:bookmarkStart w:id="417" w:name="_Toc136428913"/>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69</w:t>
      </w:r>
      <w:r>
        <w:rPr>
          <w:rFonts w:ascii="Arial Narrow" w:hAnsi="Arial Narrow"/>
          <w:b/>
          <w:sz w:val="20"/>
          <w:szCs w:val="20"/>
        </w:rPr>
        <w:fldChar w:fldCharType="end"/>
      </w:r>
      <w:r>
        <w:rPr>
          <w:rFonts w:ascii="Arial Narrow" w:hAnsi="Arial Narrow"/>
          <w:b/>
          <w:sz w:val="20"/>
          <w:szCs w:val="20"/>
        </w:rPr>
        <w:t xml:space="preserve">: </w:t>
      </w:r>
      <w:r w:rsidRPr="00423212">
        <w:rPr>
          <w:rFonts w:ascii="Arial Narrow" w:hAnsi="Arial Narrow"/>
          <w:b/>
          <w:bCs/>
          <w:sz w:val="20"/>
          <w:szCs w:val="20"/>
        </w:rPr>
        <w:t xml:space="preserve">Osoby s jinou než českou státní příslušností evidovaní na úřadech práce podle typu registrace v okrese </w:t>
      </w:r>
      <w:r>
        <w:rPr>
          <w:rFonts w:ascii="Arial Narrow" w:hAnsi="Arial Narrow"/>
          <w:b/>
          <w:bCs/>
          <w:sz w:val="20"/>
          <w:szCs w:val="20"/>
        </w:rPr>
        <w:t>Brno-venkov</w:t>
      </w:r>
      <w:r w:rsidRPr="00423212">
        <w:rPr>
          <w:rFonts w:ascii="Arial Narrow" w:hAnsi="Arial Narrow"/>
          <w:b/>
          <w:bCs/>
          <w:sz w:val="20"/>
          <w:szCs w:val="20"/>
        </w:rPr>
        <w:t xml:space="preserve"> k 31. 12. 202</w:t>
      </w:r>
      <w:r>
        <w:rPr>
          <w:rFonts w:ascii="Arial Narrow" w:hAnsi="Arial Narrow"/>
          <w:b/>
          <w:bCs/>
          <w:sz w:val="20"/>
          <w:szCs w:val="20"/>
        </w:rPr>
        <w:t>2</w:t>
      </w:r>
      <w:bookmarkEnd w:id="417"/>
    </w:p>
    <w:p w14:paraId="78C858C1" w14:textId="77777777" w:rsidR="00E30EC7" w:rsidRDefault="00E30EC7" w:rsidP="00E30EC7">
      <w:pPr>
        <w:jc w:val="both"/>
        <w:rPr>
          <w:rFonts w:ascii="Arial Narrow" w:hAnsi="Arial Narrow"/>
        </w:rPr>
      </w:pPr>
      <w:r>
        <w:rPr>
          <w:rFonts w:ascii="Arial Narrow" w:hAnsi="Arial Narrow"/>
          <w:noProof/>
          <w:lang w:eastAsia="cs-CZ"/>
        </w:rPr>
        <w:drawing>
          <wp:inline distT="0" distB="0" distL="0" distR="0" wp14:anchorId="11EADA8C" wp14:editId="79CEEBB9">
            <wp:extent cx="5760720" cy="2247900"/>
            <wp:effectExtent l="0" t="0" r="1143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A053924" w14:textId="2897CD57" w:rsidR="00E30EC7" w:rsidRPr="00957F4E" w:rsidRDefault="00E30EC7" w:rsidP="00957F4E">
      <w:pPr>
        <w:spacing w:after="240"/>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Pr>
          <w:rFonts w:ascii="Arial Narrow" w:hAnsi="Arial Narrow"/>
          <w:bCs/>
          <w:sz w:val="20"/>
          <w:szCs w:val="20"/>
        </w:rPr>
        <w:t xml:space="preserve"> (data k 31. 12. 2022</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556DC7C9" w14:textId="41D58112" w:rsidR="00E30EC7" w:rsidRPr="00AD4D7E" w:rsidRDefault="00E30EC7" w:rsidP="00E30EC7">
      <w:pPr>
        <w:jc w:val="both"/>
        <w:rPr>
          <w:rFonts w:ascii="Arial Narrow" w:hAnsi="Arial Narrow"/>
          <w:b/>
          <w:bCs/>
          <w:sz w:val="20"/>
          <w:szCs w:val="20"/>
        </w:rPr>
      </w:pPr>
      <w:bookmarkStart w:id="418" w:name="_Toc136428914"/>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70</w:t>
      </w:r>
      <w:r>
        <w:rPr>
          <w:rFonts w:ascii="Arial Narrow" w:hAnsi="Arial Narrow"/>
          <w:b/>
          <w:sz w:val="20"/>
          <w:szCs w:val="20"/>
        </w:rPr>
        <w:fldChar w:fldCharType="end"/>
      </w:r>
      <w:r>
        <w:rPr>
          <w:rFonts w:ascii="Arial Narrow" w:hAnsi="Arial Narrow"/>
          <w:b/>
          <w:sz w:val="20"/>
          <w:szCs w:val="20"/>
        </w:rPr>
        <w:t xml:space="preserve">: </w:t>
      </w:r>
      <w:r w:rsidRPr="00423212">
        <w:rPr>
          <w:rFonts w:ascii="Arial Narrow" w:hAnsi="Arial Narrow"/>
          <w:b/>
          <w:bCs/>
          <w:sz w:val="20"/>
          <w:szCs w:val="20"/>
        </w:rPr>
        <w:t xml:space="preserve">Osoby s jinou než českou státní příslušností evidovaní na úřadech práce podle typu registrace v okrese </w:t>
      </w:r>
      <w:r>
        <w:rPr>
          <w:rFonts w:ascii="Arial Narrow" w:hAnsi="Arial Narrow"/>
          <w:b/>
          <w:bCs/>
          <w:sz w:val="20"/>
          <w:szCs w:val="20"/>
        </w:rPr>
        <w:t>Brno-venkov</w:t>
      </w:r>
      <w:r w:rsidRPr="00423212">
        <w:rPr>
          <w:rFonts w:ascii="Arial Narrow" w:hAnsi="Arial Narrow"/>
          <w:b/>
          <w:bCs/>
          <w:sz w:val="20"/>
          <w:szCs w:val="20"/>
        </w:rPr>
        <w:t xml:space="preserve"> k 31. 12. 202</w:t>
      </w:r>
      <w:r>
        <w:rPr>
          <w:rFonts w:ascii="Arial Narrow" w:hAnsi="Arial Narrow"/>
          <w:b/>
          <w:bCs/>
          <w:sz w:val="20"/>
          <w:szCs w:val="20"/>
        </w:rPr>
        <w:t>2</w:t>
      </w:r>
      <w:bookmarkEnd w:id="418"/>
    </w:p>
    <w:p w14:paraId="6F963C37" w14:textId="77777777" w:rsidR="00E30EC7" w:rsidRDefault="00E30EC7" w:rsidP="00E30EC7">
      <w:pPr>
        <w:spacing w:line="276" w:lineRule="auto"/>
        <w:jc w:val="both"/>
        <w:rPr>
          <w:rFonts w:ascii="Arial Narrow" w:hAnsi="Arial Narrow"/>
        </w:rPr>
      </w:pPr>
      <w:r>
        <w:rPr>
          <w:rFonts w:ascii="Arial Narrow" w:hAnsi="Arial Narrow"/>
          <w:noProof/>
          <w:lang w:eastAsia="cs-CZ"/>
        </w:rPr>
        <w:drawing>
          <wp:inline distT="0" distB="0" distL="0" distR="0" wp14:anchorId="12360142" wp14:editId="3CDB0DEE">
            <wp:extent cx="5760720" cy="2171700"/>
            <wp:effectExtent l="0" t="0" r="11430" b="0"/>
            <wp:docPr id="2099" name="Graf 2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FFF0FC2" w14:textId="199E9443" w:rsidR="00E30EC7" w:rsidRPr="00957F4E" w:rsidRDefault="00E30EC7" w:rsidP="00957F4E">
      <w:pPr>
        <w:spacing w:after="240"/>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Pr>
          <w:rFonts w:ascii="Arial Narrow" w:hAnsi="Arial Narrow"/>
          <w:bCs/>
          <w:sz w:val="20"/>
          <w:szCs w:val="20"/>
        </w:rPr>
        <w:t xml:space="preserve"> (data k 31. 12. 2022</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570C7A4A" w14:textId="11C85AA1" w:rsidR="00E30EC7" w:rsidRPr="00AD4D7E" w:rsidRDefault="00E30EC7" w:rsidP="00E30EC7">
      <w:pPr>
        <w:jc w:val="both"/>
        <w:rPr>
          <w:rFonts w:ascii="Arial Narrow" w:hAnsi="Arial Narrow"/>
          <w:b/>
          <w:bCs/>
          <w:sz w:val="20"/>
          <w:szCs w:val="20"/>
        </w:rPr>
      </w:pPr>
      <w:bookmarkStart w:id="419" w:name="_Toc136428915"/>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71</w:t>
      </w:r>
      <w:r>
        <w:rPr>
          <w:rFonts w:ascii="Arial Narrow" w:hAnsi="Arial Narrow"/>
          <w:b/>
          <w:sz w:val="20"/>
          <w:szCs w:val="20"/>
        </w:rPr>
        <w:fldChar w:fldCharType="end"/>
      </w:r>
      <w:r>
        <w:rPr>
          <w:rFonts w:ascii="Arial Narrow" w:hAnsi="Arial Narrow"/>
          <w:b/>
          <w:sz w:val="20"/>
          <w:szCs w:val="20"/>
        </w:rPr>
        <w:t xml:space="preserve">: </w:t>
      </w:r>
      <w:r w:rsidRPr="00423212">
        <w:rPr>
          <w:rFonts w:ascii="Arial Narrow" w:hAnsi="Arial Narrow"/>
          <w:b/>
          <w:bCs/>
          <w:sz w:val="20"/>
          <w:szCs w:val="20"/>
        </w:rPr>
        <w:t xml:space="preserve">Osoby s jinou než českou státní příslušností evidovaní na úřadech práce podle typu registrace v okrese </w:t>
      </w:r>
      <w:r>
        <w:rPr>
          <w:rFonts w:ascii="Arial Narrow" w:hAnsi="Arial Narrow"/>
          <w:b/>
          <w:bCs/>
          <w:sz w:val="20"/>
          <w:szCs w:val="20"/>
        </w:rPr>
        <w:t>Brno-venkov</w:t>
      </w:r>
      <w:r w:rsidRPr="00423212">
        <w:rPr>
          <w:rFonts w:ascii="Arial Narrow" w:hAnsi="Arial Narrow"/>
          <w:b/>
          <w:bCs/>
          <w:sz w:val="20"/>
          <w:szCs w:val="20"/>
        </w:rPr>
        <w:t xml:space="preserve"> k 31. 12. 202</w:t>
      </w:r>
      <w:r>
        <w:rPr>
          <w:rFonts w:ascii="Arial Narrow" w:hAnsi="Arial Narrow"/>
          <w:b/>
          <w:bCs/>
          <w:sz w:val="20"/>
          <w:szCs w:val="20"/>
        </w:rPr>
        <w:t>2</w:t>
      </w:r>
      <w:bookmarkEnd w:id="419"/>
    </w:p>
    <w:p w14:paraId="14BC498B" w14:textId="77777777" w:rsidR="00E30EC7" w:rsidRDefault="00E30EC7" w:rsidP="00E30EC7">
      <w:pPr>
        <w:jc w:val="both"/>
        <w:rPr>
          <w:rFonts w:ascii="Arial Narrow" w:hAnsi="Arial Narrow"/>
        </w:rPr>
      </w:pPr>
      <w:r>
        <w:rPr>
          <w:rFonts w:ascii="Arial Narrow" w:hAnsi="Arial Narrow"/>
          <w:noProof/>
          <w:lang w:eastAsia="cs-CZ"/>
        </w:rPr>
        <w:drawing>
          <wp:inline distT="0" distB="0" distL="0" distR="0" wp14:anchorId="3AB22BD8" wp14:editId="6048C2C7">
            <wp:extent cx="5760720" cy="2133600"/>
            <wp:effectExtent l="0" t="0" r="11430" b="0"/>
            <wp:docPr id="2100" name="Graf 2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65E191D" w14:textId="77777777" w:rsidR="00E30EC7" w:rsidRPr="00FA6EAB" w:rsidRDefault="00E30EC7" w:rsidP="00167BA0">
      <w:pPr>
        <w:spacing w:after="240"/>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Pr>
          <w:rFonts w:ascii="Arial Narrow" w:hAnsi="Arial Narrow"/>
          <w:bCs/>
          <w:sz w:val="20"/>
          <w:szCs w:val="20"/>
        </w:rPr>
        <w:t xml:space="preserve"> (data k 31. 12. 2022</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w:t>
      </w:r>
      <w:r>
        <w:rPr>
          <w:rFonts w:ascii="Arial Narrow" w:hAnsi="Arial Narrow"/>
          <w:bCs/>
          <w:sz w:val="20"/>
          <w:szCs w:val="20"/>
        </w:rPr>
        <w:t xml:space="preserve">   Graf: AUGUR </w:t>
      </w:r>
      <w:proofErr w:type="spellStart"/>
      <w:r>
        <w:rPr>
          <w:rFonts w:ascii="Arial Narrow" w:hAnsi="Arial Narrow"/>
          <w:bCs/>
          <w:sz w:val="20"/>
          <w:szCs w:val="20"/>
        </w:rPr>
        <w:t>Consulting</w:t>
      </w:r>
      <w:proofErr w:type="spellEnd"/>
      <w:r>
        <w:rPr>
          <w:rFonts w:ascii="Arial Narrow" w:hAnsi="Arial Narrow"/>
          <w:bCs/>
          <w:sz w:val="20"/>
          <w:szCs w:val="20"/>
        </w:rPr>
        <w:t xml:space="preserve"> </w:t>
      </w:r>
      <w:proofErr w:type="spellStart"/>
      <w:r>
        <w:rPr>
          <w:rFonts w:ascii="Arial Narrow" w:hAnsi="Arial Narrow"/>
          <w:bCs/>
          <w:sz w:val="20"/>
          <w:szCs w:val="20"/>
        </w:rPr>
        <w:t>s.r.o</w:t>
      </w:r>
      <w:proofErr w:type="spellEnd"/>
    </w:p>
    <w:p w14:paraId="32F6292E" w14:textId="61702336" w:rsidR="00E30EC7" w:rsidRPr="00FC3D16" w:rsidRDefault="00E30EC7" w:rsidP="00E30EC7">
      <w:pPr>
        <w:jc w:val="both"/>
        <w:rPr>
          <w:rFonts w:ascii="Arial Narrow" w:hAnsi="Arial Narrow"/>
          <w:b/>
          <w:bCs/>
          <w:sz w:val="20"/>
          <w:szCs w:val="20"/>
        </w:rPr>
      </w:pPr>
      <w:bookmarkStart w:id="420" w:name="_Toc136428916"/>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72</w:t>
      </w:r>
      <w:r>
        <w:rPr>
          <w:rFonts w:ascii="Arial Narrow" w:hAnsi="Arial Narrow"/>
          <w:b/>
          <w:sz w:val="20"/>
          <w:szCs w:val="20"/>
        </w:rPr>
        <w:fldChar w:fldCharType="end"/>
      </w:r>
      <w:r>
        <w:rPr>
          <w:rFonts w:ascii="Arial Narrow" w:hAnsi="Arial Narrow"/>
          <w:b/>
          <w:sz w:val="20"/>
          <w:szCs w:val="20"/>
        </w:rPr>
        <w:t xml:space="preserve">: </w:t>
      </w:r>
      <w:r w:rsidRPr="00423212">
        <w:rPr>
          <w:rFonts w:ascii="Arial Narrow" w:hAnsi="Arial Narrow"/>
          <w:b/>
          <w:bCs/>
          <w:sz w:val="20"/>
          <w:szCs w:val="20"/>
        </w:rPr>
        <w:t xml:space="preserve">Osoby s jinou než českou státní příslušností evidovaní na úřadech práce podle typu registrace v okrese </w:t>
      </w:r>
      <w:r>
        <w:rPr>
          <w:rFonts w:ascii="Arial Narrow" w:hAnsi="Arial Narrow"/>
          <w:b/>
          <w:bCs/>
          <w:sz w:val="20"/>
          <w:szCs w:val="20"/>
        </w:rPr>
        <w:t>Brno-venkov</w:t>
      </w:r>
      <w:r w:rsidRPr="00423212">
        <w:rPr>
          <w:rFonts w:ascii="Arial Narrow" w:hAnsi="Arial Narrow"/>
          <w:b/>
          <w:bCs/>
          <w:sz w:val="20"/>
          <w:szCs w:val="20"/>
        </w:rPr>
        <w:t xml:space="preserve"> k 31. 12. 202</w:t>
      </w:r>
      <w:r>
        <w:rPr>
          <w:rFonts w:ascii="Arial Narrow" w:hAnsi="Arial Narrow"/>
          <w:b/>
          <w:bCs/>
          <w:sz w:val="20"/>
          <w:szCs w:val="20"/>
        </w:rPr>
        <w:t>2</w:t>
      </w:r>
      <w:bookmarkEnd w:id="420"/>
    </w:p>
    <w:p w14:paraId="289693AB" w14:textId="77777777" w:rsidR="00E30EC7" w:rsidRPr="00CE357F" w:rsidRDefault="00E30EC7" w:rsidP="00E30EC7">
      <w:pPr>
        <w:spacing w:line="276" w:lineRule="auto"/>
        <w:jc w:val="both"/>
        <w:rPr>
          <w:rFonts w:ascii="Arial Narrow" w:hAnsi="Arial Narrow"/>
        </w:rPr>
      </w:pPr>
      <w:r>
        <w:rPr>
          <w:rFonts w:ascii="Arial Narrow" w:hAnsi="Arial Narrow"/>
          <w:noProof/>
          <w:lang w:eastAsia="cs-CZ"/>
        </w:rPr>
        <w:drawing>
          <wp:inline distT="0" distB="0" distL="0" distR="0" wp14:anchorId="626526CE" wp14:editId="5D8E96DC">
            <wp:extent cx="5800725" cy="2219325"/>
            <wp:effectExtent l="0" t="0" r="9525"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3ABC550" w14:textId="49C9DB95" w:rsidR="00E30EC7" w:rsidRDefault="00E30EC7" w:rsidP="00E30EC7">
      <w:pPr>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Pr>
          <w:rFonts w:ascii="Arial Narrow" w:hAnsi="Arial Narrow"/>
          <w:bCs/>
          <w:sz w:val="20"/>
          <w:szCs w:val="20"/>
        </w:rPr>
        <w:t xml:space="preserve"> (data k 31. 12. 2022</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5FF9B4F3" w14:textId="099FB59B" w:rsidR="00B457EF" w:rsidRDefault="00B457EF" w:rsidP="00E30EC7">
      <w:pPr>
        <w:rPr>
          <w:rFonts w:ascii="Arial Narrow" w:hAnsi="Arial Narrow"/>
          <w:bCs/>
          <w:sz w:val="20"/>
          <w:szCs w:val="20"/>
        </w:rPr>
      </w:pPr>
    </w:p>
    <w:p w14:paraId="4F06C14B" w14:textId="5237DD85" w:rsidR="00B457EF" w:rsidRDefault="00B457EF" w:rsidP="00E30EC7">
      <w:pPr>
        <w:rPr>
          <w:rFonts w:ascii="Arial Narrow" w:hAnsi="Arial Narrow"/>
          <w:bCs/>
          <w:sz w:val="20"/>
          <w:szCs w:val="20"/>
        </w:rPr>
      </w:pPr>
    </w:p>
    <w:p w14:paraId="066F4F26" w14:textId="77777777" w:rsidR="00167BA0" w:rsidRDefault="00167BA0" w:rsidP="00E30EC7">
      <w:pPr>
        <w:rPr>
          <w:rFonts w:ascii="Arial Narrow" w:hAnsi="Arial Narrow"/>
          <w:bCs/>
          <w:sz w:val="20"/>
          <w:szCs w:val="20"/>
        </w:rPr>
      </w:pPr>
    </w:p>
    <w:p w14:paraId="553A8DD2" w14:textId="77777777" w:rsidR="00167BA0" w:rsidRDefault="00167BA0" w:rsidP="00E30EC7">
      <w:pPr>
        <w:rPr>
          <w:rFonts w:ascii="Arial Narrow" w:hAnsi="Arial Narrow"/>
          <w:bCs/>
          <w:sz w:val="20"/>
          <w:szCs w:val="20"/>
        </w:rPr>
      </w:pPr>
    </w:p>
    <w:p w14:paraId="69C1DC1E" w14:textId="77777777" w:rsidR="00167BA0" w:rsidRDefault="00167BA0" w:rsidP="00E30EC7">
      <w:pPr>
        <w:rPr>
          <w:rFonts w:ascii="Arial Narrow" w:hAnsi="Arial Narrow"/>
          <w:bCs/>
          <w:sz w:val="20"/>
          <w:szCs w:val="20"/>
        </w:rPr>
      </w:pPr>
    </w:p>
    <w:p w14:paraId="55C517AB" w14:textId="77777777" w:rsidR="00167BA0" w:rsidRDefault="00167BA0" w:rsidP="00E30EC7">
      <w:pPr>
        <w:rPr>
          <w:rFonts w:ascii="Arial Narrow" w:hAnsi="Arial Narrow"/>
          <w:bCs/>
          <w:sz w:val="20"/>
          <w:szCs w:val="20"/>
        </w:rPr>
      </w:pPr>
    </w:p>
    <w:p w14:paraId="3273E0AD" w14:textId="77777777" w:rsidR="00167BA0" w:rsidRDefault="00167BA0" w:rsidP="00E30EC7">
      <w:pPr>
        <w:rPr>
          <w:rFonts w:ascii="Arial Narrow" w:hAnsi="Arial Narrow"/>
          <w:bCs/>
          <w:sz w:val="20"/>
          <w:szCs w:val="20"/>
        </w:rPr>
      </w:pPr>
    </w:p>
    <w:p w14:paraId="01751134" w14:textId="77777777" w:rsidR="00167BA0" w:rsidRDefault="00167BA0" w:rsidP="00E30EC7">
      <w:pPr>
        <w:rPr>
          <w:rFonts w:ascii="Arial Narrow" w:hAnsi="Arial Narrow"/>
          <w:bCs/>
          <w:sz w:val="20"/>
          <w:szCs w:val="20"/>
        </w:rPr>
      </w:pPr>
    </w:p>
    <w:p w14:paraId="3B67E177" w14:textId="77777777" w:rsidR="00167BA0" w:rsidRDefault="00167BA0" w:rsidP="00E30EC7">
      <w:pPr>
        <w:rPr>
          <w:rFonts w:ascii="Arial Narrow" w:hAnsi="Arial Narrow"/>
          <w:bCs/>
          <w:sz w:val="20"/>
          <w:szCs w:val="20"/>
        </w:rPr>
      </w:pPr>
    </w:p>
    <w:p w14:paraId="34819FDA" w14:textId="77777777" w:rsidR="00167BA0" w:rsidRDefault="00167BA0" w:rsidP="00E30EC7">
      <w:pPr>
        <w:rPr>
          <w:rFonts w:ascii="Arial Narrow" w:hAnsi="Arial Narrow"/>
          <w:bCs/>
          <w:sz w:val="20"/>
          <w:szCs w:val="20"/>
        </w:rPr>
      </w:pPr>
    </w:p>
    <w:p w14:paraId="45EF1BF0" w14:textId="77777777" w:rsidR="00167BA0" w:rsidRDefault="00167BA0" w:rsidP="00E30EC7">
      <w:pPr>
        <w:rPr>
          <w:rFonts w:ascii="Arial Narrow" w:hAnsi="Arial Narrow"/>
          <w:bCs/>
          <w:sz w:val="20"/>
          <w:szCs w:val="20"/>
        </w:rPr>
      </w:pPr>
    </w:p>
    <w:p w14:paraId="4FBA3B5E" w14:textId="77777777" w:rsidR="00167BA0" w:rsidRDefault="00167BA0" w:rsidP="00E30EC7">
      <w:pPr>
        <w:rPr>
          <w:rFonts w:ascii="Arial Narrow" w:hAnsi="Arial Narrow"/>
          <w:bCs/>
          <w:sz w:val="20"/>
          <w:szCs w:val="20"/>
        </w:rPr>
      </w:pPr>
    </w:p>
    <w:p w14:paraId="12D4C3AA" w14:textId="77777777" w:rsidR="00167BA0" w:rsidRDefault="00167BA0" w:rsidP="00E30EC7">
      <w:pPr>
        <w:rPr>
          <w:rFonts w:ascii="Arial Narrow" w:hAnsi="Arial Narrow"/>
          <w:bCs/>
          <w:sz w:val="20"/>
          <w:szCs w:val="20"/>
        </w:rPr>
      </w:pPr>
    </w:p>
    <w:p w14:paraId="443A216A" w14:textId="77777777" w:rsidR="00B457EF" w:rsidRDefault="00B457EF" w:rsidP="00E30EC7">
      <w:pPr>
        <w:rPr>
          <w:rFonts w:ascii="Arial Narrow" w:hAnsi="Arial Narrow"/>
          <w:bCs/>
          <w:sz w:val="20"/>
          <w:szCs w:val="20"/>
        </w:rPr>
      </w:pPr>
    </w:p>
    <w:p w14:paraId="740ADD5B" w14:textId="77777777" w:rsidR="00341C89" w:rsidRPr="00CE357F" w:rsidRDefault="00341C89" w:rsidP="008B3D36">
      <w:pPr>
        <w:pStyle w:val="Odstavecseseznamem"/>
        <w:keepNext/>
        <w:keepLines/>
        <w:numPr>
          <w:ilvl w:val="2"/>
          <w:numId w:val="15"/>
        </w:numPr>
        <w:spacing w:before="200"/>
        <w:contextualSpacing w:val="0"/>
        <w:jc w:val="both"/>
        <w:outlineLvl w:val="2"/>
        <w:rPr>
          <w:rFonts w:ascii="Arial Narrow" w:eastAsiaTheme="majorEastAsia" w:hAnsi="Arial Narrow" w:cs="Arial"/>
          <w:b/>
          <w:bCs/>
          <w:vanish/>
          <w:color w:val="002060"/>
          <w:sz w:val="26"/>
          <w:szCs w:val="26"/>
          <w:u w:val="single"/>
        </w:rPr>
      </w:pPr>
      <w:bookmarkStart w:id="421" w:name="_Toc132629146"/>
      <w:bookmarkStart w:id="422" w:name="_Toc136876093"/>
      <w:bookmarkEnd w:id="421"/>
      <w:bookmarkEnd w:id="422"/>
    </w:p>
    <w:p w14:paraId="694DFEA0" w14:textId="77777777" w:rsidR="00341C89" w:rsidRPr="00CE357F" w:rsidRDefault="00341C89" w:rsidP="008B3D36">
      <w:pPr>
        <w:pStyle w:val="Odstavecseseznamem"/>
        <w:keepNext/>
        <w:keepLines/>
        <w:numPr>
          <w:ilvl w:val="2"/>
          <w:numId w:val="15"/>
        </w:numPr>
        <w:spacing w:before="200"/>
        <w:contextualSpacing w:val="0"/>
        <w:jc w:val="both"/>
        <w:outlineLvl w:val="2"/>
        <w:rPr>
          <w:rFonts w:ascii="Arial Narrow" w:eastAsiaTheme="majorEastAsia" w:hAnsi="Arial Narrow" w:cs="Arial"/>
          <w:b/>
          <w:bCs/>
          <w:vanish/>
          <w:color w:val="002060"/>
          <w:sz w:val="26"/>
          <w:szCs w:val="26"/>
          <w:u w:val="single"/>
        </w:rPr>
      </w:pPr>
      <w:bookmarkStart w:id="423" w:name="_Toc94301339"/>
      <w:bookmarkStart w:id="424" w:name="_Toc94390128"/>
      <w:bookmarkStart w:id="425" w:name="_Toc94390213"/>
      <w:bookmarkStart w:id="426" w:name="_Toc94444097"/>
      <w:bookmarkStart w:id="427" w:name="_Toc95386874"/>
      <w:bookmarkStart w:id="428" w:name="_Toc95386966"/>
      <w:bookmarkStart w:id="429" w:name="_Toc95731974"/>
      <w:bookmarkStart w:id="430" w:name="_Toc95733319"/>
      <w:bookmarkStart w:id="431" w:name="_Toc95821879"/>
      <w:bookmarkStart w:id="432" w:name="_Toc95986713"/>
      <w:bookmarkStart w:id="433" w:name="_Toc125635440"/>
      <w:bookmarkStart w:id="434" w:name="_Toc132629147"/>
      <w:bookmarkStart w:id="435" w:name="_Toc136876094"/>
      <w:bookmarkEnd w:id="423"/>
      <w:bookmarkEnd w:id="424"/>
      <w:bookmarkEnd w:id="425"/>
      <w:bookmarkEnd w:id="426"/>
      <w:bookmarkEnd w:id="427"/>
      <w:bookmarkEnd w:id="428"/>
      <w:bookmarkEnd w:id="429"/>
      <w:bookmarkEnd w:id="430"/>
      <w:bookmarkEnd w:id="431"/>
      <w:bookmarkEnd w:id="432"/>
      <w:bookmarkEnd w:id="433"/>
      <w:bookmarkEnd w:id="434"/>
      <w:bookmarkEnd w:id="435"/>
    </w:p>
    <w:p w14:paraId="34B23E60" w14:textId="77777777" w:rsidR="00341C89" w:rsidRPr="00CE357F" w:rsidRDefault="00341C89" w:rsidP="008B3D36">
      <w:pPr>
        <w:pStyle w:val="Odstavecseseznamem"/>
        <w:keepNext/>
        <w:keepLines/>
        <w:numPr>
          <w:ilvl w:val="2"/>
          <w:numId w:val="15"/>
        </w:numPr>
        <w:spacing w:before="200"/>
        <w:contextualSpacing w:val="0"/>
        <w:jc w:val="both"/>
        <w:outlineLvl w:val="2"/>
        <w:rPr>
          <w:rFonts w:ascii="Arial Narrow" w:eastAsiaTheme="majorEastAsia" w:hAnsi="Arial Narrow" w:cs="Arial"/>
          <w:b/>
          <w:bCs/>
          <w:vanish/>
          <w:color w:val="002060"/>
          <w:sz w:val="26"/>
          <w:szCs w:val="26"/>
          <w:u w:val="single"/>
        </w:rPr>
      </w:pPr>
      <w:bookmarkStart w:id="436" w:name="_Toc94301340"/>
      <w:bookmarkStart w:id="437" w:name="_Toc94390129"/>
      <w:bookmarkStart w:id="438" w:name="_Toc94390214"/>
      <w:bookmarkStart w:id="439" w:name="_Toc94444098"/>
      <w:bookmarkStart w:id="440" w:name="_Toc95386875"/>
      <w:bookmarkStart w:id="441" w:name="_Toc95386967"/>
      <w:bookmarkStart w:id="442" w:name="_Toc95731975"/>
      <w:bookmarkStart w:id="443" w:name="_Toc95733320"/>
      <w:bookmarkStart w:id="444" w:name="_Toc95821880"/>
      <w:bookmarkStart w:id="445" w:name="_Toc95986714"/>
      <w:bookmarkStart w:id="446" w:name="_Toc125635441"/>
      <w:bookmarkStart w:id="447" w:name="_Toc132629148"/>
      <w:bookmarkStart w:id="448" w:name="_Toc136876095"/>
      <w:bookmarkEnd w:id="436"/>
      <w:bookmarkEnd w:id="437"/>
      <w:bookmarkEnd w:id="438"/>
      <w:bookmarkEnd w:id="439"/>
      <w:bookmarkEnd w:id="440"/>
      <w:bookmarkEnd w:id="441"/>
      <w:bookmarkEnd w:id="442"/>
      <w:bookmarkEnd w:id="443"/>
      <w:bookmarkEnd w:id="444"/>
      <w:bookmarkEnd w:id="445"/>
      <w:bookmarkEnd w:id="446"/>
      <w:bookmarkEnd w:id="447"/>
      <w:bookmarkEnd w:id="448"/>
    </w:p>
    <w:p w14:paraId="38ADB827" w14:textId="77777777" w:rsidR="00341C89" w:rsidRPr="00CE357F" w:rsidRDefault="00341C89" w:rsidP="008B3D36">
      <w:pPr>
        <w:pStyle w:val="Odstavecseseznamem"/>
        <w:keepNext/>
        <w:keepLines/>
        <w:numPr>
          <w:ilvl w:val="2"/>
          <w:numId w:val="15"/>
        </w:numPr>
        <w:spacing w:before="200"/>
        <w:contextualSpacing w:val="0"/>
        <w:jc w:val="both"/>
        <w:outlineLvl w:val="2"/>
        <w:rPr>
          <w:rFonts w:ascii="Arial Narrow" w:eastAsiaTheme="majorEastAsia" w:hAnsi="Arial Narrow" w:cs="Arial"/>
          <w:b/>
          <w:bCs/>
          <w:vanish/>
          <w:color w:val="002060"/>
          <w:sz w:val="26"/>
          <w:szCs w:val="26"/>
          <w:u w:val="single"/>
        </w:rPr>
      </w:pPr>
      <w:bookmarkStart w:id="449" w:name="_Toc94301341"/>
      <w:bookmarkStart w:id="450" w:name="_Toc94390130"/>
      <w:bookmarkStart w:id="451" w:name="_Toc94390215"/>
      <w:bookmarkStart w:id="452" w:name="_Toc94444099"/>
      <w:bookmarkStart w:id="453" w:name="_Toc95386876"/>
      <w:bookmarkStart w:id="454" w:name="_Toc95386968"/>
      <w:bookmarkStart w:id="455" w:name="_Toc95731976"/>
      <w:bookmarkStart w:id="456" w:name="_Toc95733321"/>
      <w:bookmarkStart w:id="457" w:name="_Toc95821881"/>
      <w:bookmarkStart w:id="458" w:name="_Toc95986715"/>
      <w:bookmarkStart w:id="459" w:name="_Toc125635442"/>
      <w:bookmarkStart w:id="460" w:name="_Toc132629149"/>
      <w:bookmarkStart w:id="461" w:name="_Toc136876096"/>
      <w:bookmarkEnd w:id="449"/>
      <w:bookmarkEnd w:id="450"/>
      <w:bookmarkEnd w:id="451"/>
      <w:bookmarkEnd w:id="452"/>
      <w:bookmarkEnd w:id="453"/>
      <w:bookmarkEnd w:id="454"/>
      <w:bookmarkEnd w:id="455"/>
      <w:bookmarkEnd w:id="456"/>
      <w:bookmarkEnd w:id="457"/>
      <w:bookmarkEnd w:id="458"/>
      <w:bookmarkEnd w:id="459"/>
      <w:bookmarkEnd w:id="460"/>
      <w:bookmarkEnd w:id="461"/>
    </w:p>
    <w:p w14:paraId="4070012D" w14:textId="77777777" w:rsidR="00341C89" w:rsidRPr="00CE357F" w:rsidRDefault="00341C89" w:rsidP="008B3D36">
      <w:pPr>
        <w:pStyle w:val="Odstavecseseznamem"/>
        <w:keepNext/>
        <w:keepLines/>
        <w:numPr>
          <w:ilvl w:val="2"/>
          <w:numId w:val="15"/>
        </w:numPr>
        <w:spacing w:before="200"/>
        <w:contextualSpacing w:val="0"/>
        <w:jc w:val="both"/>
        <w:outlineLvl w:val="2"/>
        <w:rPr>
          <w:rFonts w:ascii="Arial Narrow" w:eastAsiaTheme="majorEastAsia" w:hAnsi="Arial Narrow" w:cs="Arial"/>
          <w:b/>
          <w:bCs/>
          <w:vanish/>
          <w:color w:val="002060"/>
          <w:sz w:val="26"/>
          <w:szCs w:val="26"/>
          <w:u w:val="single"/>
        </w:rPr>
      </w:pPr>
      <w:bookmarkStart w:id="462" w:name="_Toc94301342"/>
      <w:bookmarkStart w:id="463" w:name="_Toc94390131"/>
      <w:bookmarkStart w:id="464" w:name="_Toc94390216"/>
      <w:bookmarkStart w:id="465" w:name="_Toc94444100"/>
      <w:bookmarkStart w:id="466" w:name="_Toc95386877"/>
      <w:bookmarkStart w:id="467" w:name="_Toc95386969"/>
      <w:bookmarkStart w:id="468" w:name="_Toc95731977"/>
      <w:bookmarkStart w:id="469" w:name="_Toc95733322"/>
      <w:bookmarkStart w:id="470" w:name="_Toc95821882"/>
      <w:bookmarkStart w:id="471" w:name="_Toc95986716"/>
      <w:bookmarkStart w:id="472" w:name="_Toc125635443"/>
      <w:bookmarkStart w:id="473" w:name="_Toc132629150"/>
      <w:bookmarkStart w:id="474" w:name="_Toc136876097"/>
      <w:bookmarkEnd w:id="462"/>
      <w:bookmarkEnd w:id="463"/>
      <w:bookmarkEnd w:id="464"/>
      <w:bookmarkEnd w:id="465"/>
      <w:bookmarkEnd w:id="466"/>
      <w:bookmarkEnd w:id="467"/>
      <w:bookmarkEnd w:id="468"/>
      <w:bookmarkEnd w:id="469"/>
      <w:bookmarkEnd w:id="470"/>
      <w:bookmarkEnd w:id="471"/>
      <w:bookmarkEnd w:id="472"/>
      <w:bookmarkEnd w:id="473"/>
      <w:bookmarkEnd w:id="474"/>
    </w:p>
    <w:p w14:paraId="6A4CCAB3" w14:textId="08D4E1A6" w:rsidR="00341C89" w:rsidRPr="007B59C4" w:rsidRDefault="007F2B8A" w:rsidP="008B3D36">
      <w:pPr>
        <w:pStyle w:val="Nadpis3"/>
        <w:numPr>
          <w:ilvl w:val="2"/>
          <w:numId w:val="15"/>
        </w:numPr>
        <w:ind w:left="709"/>
      </w:pPr>
      <w:bookmarkStart w:id="475" w:name="_Toc136876098"/>
      <w:bookmarkStart w:id="476" w:name="_Hlk95746936"/>
      <w:r w:rsidRPr="007B59C4">
        <w:t xml:space="preserve">Struktura zaměstnanců s jinou než českou státní příslušností dle </w:t>
      </w:r>
      <w:r w:rsidR="00341C89" w:rsidRPr="007B59C4">
        <w:t>platných povolení k zaměstnání, informac</w:t>
      </w:r>
      <w:r w:rsidR="00375766" w:rsidRPr="007B59C4">
        <w:t>e</w:t>
      </w:r>
      <w:r w:rsidR="00341C89" w:rsidRPr="007B59C4">
        <w:t xml:space="preserve"> o občanech EU/EHP a Švýcarska, informac</w:t>
      </w:r>
      <w:r w:rsidR="00375766" w:rsidRPr="007B59C4">
        <w:t>e</w:t>
      </w:r>
      <w:r w:rsidR="00341C89" w:rsidRPr="007B59C4">
        <w:t xml:space="preserve"> o </w:t>
      </w:r>
      <w:r w:rsidR="00375766" w:rsidRPr="007B59C4">
        <w:t>osobách s jinou než českou státní příslušností</w:t>
      </w:r>
      <w:r w:rsidR="00341C89" w:rsidRPr="007B59C4">
        <w:t>, kte</w:t>
      </w:r>
      <w:r w:rsidR="00375766" w:rsidRPr="007B59C4">
        <w:t>ré</w:t>
      </w:r>
      <w:r w:rsidR="00341C89" w:rsidRPr="007B59C4">
        <w:t xml:space="preserve"> nepotřebují povolení k</w:t>
      </w:r>
      <w:r w:rsidR="00375766" w:rsidRPr="007B59C4">
        <w:t> </w:t>
      </w:r>
      <w:r w:rsidR="00341C89" w:rsidRPr="007B59C4">
        <w:t>zaměstnání</w:t>
      </w:r>
      <w:r w:rsidR="00375766" w:rsidRPr="007B59C4">
        <w:t>,</w:t>
      </w:r>
      <w:r w:rsidR="00341C89" w:rsidRPr="007B59C4">
        <w:t xml:space="preserve"> a zelených a modrých a zaměstnaneckých kartách v letech 2008–202</w:t>
      </w:r>
      <w:r w:rsidR="00790094" w:rsidRPr="007B59C4">
        <w:t>2</w:t>
      </w:r>
      <w:bookmarkEnd w:id="475"/>
      <w:r w:rsidR="00341C89" w:rsidRPr="007B59C4">
        <w:t xml:space="preserve"> </w:t>
      </w:r>
    </w:p>
    <w:bookmarkEnd w:id="382"/>
    <w:bookmarkEnd w:id="476"/>
    <w:p w14:paraId="2323AF9F" w14:textId="77777777" w:rsidR="00D6793F" w:rsidRPr="00CE357F" w:rsidRDefault="00D6793F" w:rsidP="00D6793F">
      <w:pPr>
        <w:spacing w:line="276" w:lineRule="auto"/>
        <w:jc w:val="both"/>
        <w:rPr>
          <w:rFonts w:ascii="Arial Narrow" w:hAnsi="Arial Narrow"/>
          <w:b/>
          <w:color w:val="C00000"/>
        </w:rPr>
      </w:pPr>
    </w:p>
    <w:p w14:paraId="2B152687" w14:textId="77777777" w:rsidR="00D6793F" w:rsidRPr="00CE357F" w:rsidRDefault="00D6793F" w:rsidP="7CC7BF57">
      <w:pPr>
        <w:spacing w:after="240" w:line="276" w:lineRule="auto"/>
        <w:jc w:val="both"/>
        <w:rPr>
          <w:rFonts w:ascii="Arial Narrow" w:hAnsi="Arial Narrow" w:cs="Arial"/>
          <w:b/>
          <w:bCs/>
          <w:color w:val="C00000"/>
        </w:rPr>
      </w:pPr>
      <w:bookmarkStart w:id="477" w:name="_Hlk92728327"/>
      <w:r w:rsidRPr="7CC7BF57">
        <w:rPr>
          <w:rFonts w:ascii="Arial Narrow" w:hAnsi="Arial Narrow" w:cs="Arial"/>
          <w:b/>
          <w:bCs/>
          <w:color w:val="C00000"/>
        </w:rPr>
        <w:t xml:space="preserve">Věková struktura zaměstnanců s jinou než českou státní příslušností </w:t>
      </w:r>
    </w:p>
    <w:p w14:paraId="7D13ED15" w14:textId="3918B8CE" w:rsidR="00167BA0" w:rsidRDefault="00B457EF" w:rsidP="00167BA0">
      <w:pPr>
        <w:spacing w:after="240" w:line="276" w:lineRule="auto"/>
        <w:jc w:val="both"/>
        <w:rPr>
          <w:rFonts w:ascii="Arial Narrow" w:hAnsi="Arial Narrow"/>
          <w:b/>
          <w:sz w:val="20"/>
          <w:szCs w:val="20"/>
        </w:rPr>
      </w:pPr>
      <w:bookmarkStart w:id="478" w:name="_Hlk95747365"/>
      <w:bookmarkEnd w:id="477"/>
      <w:r>
        <w:rPr>
          <w:rFonts w:ascii="Arial Narrow" w:hAnsi="Arial Narrow" w:cs="Arial"/>
        </w:rPr>
        <w:t>K 31. 12. 2022</w:t>
      </w:r>
      <w:r w:rsidRPr="00CE357F">
        <w:rPr>
          <w:rFonts w:ascii="Arial Narrow" w:hAnsi="Arial Narrow" w:cs="Arial"/>
        </w:rPr>
        <w:t xml:space="preserve"> bylo v J</w:t>
      </w:r>
      <w:r>
        <w:rPr>
          <w:rFonts w:ascii="Arial Narrow" w:hAnsi="Arial Narrow" w:cs="Arial"/>
        </w:rPr>
        <w:t>ihomoravském kraji zaměstnáno 91 375</w:t>
      </w:r>
      <w:r w:rsidRPr="00CE357F">
        <w:rPr>
          <w:rFonts w:ascii="Arial Narrow" w:hAnsi="Arial Narrow" w:cs="Arial"/>
        </w:rPr>
        <w:t xml:space="preserve"> </w:t>
      </w:r>
      <w:r w:rsidRPr="00CE357F">
        <w:rPr>
          <w:rFonts w:ascii="Arial Narrow" w:hAnsi="Arial Narrow"/>
        </w:rPr>
        <w:t>osob s jinou než českou státní příslušností</w:t>
      </w:r>
      <w:r w:rsidRPr="00CE357F">
        <w:rPr>
          <w:rFonts w:ascii="Arial Narrow" w:hAnsi="Arial Narrow" w:cs="Arial"/>
        </w:rPr>
        <w:t xml:space="preserve"> evidovaných na úřadech práce. </w:t>
      </w:r>
      <w:r>
        <w:rPr>
          <w:rFonts w:ascii="Arial Narrow" w:hAnsi="Arial Narrow" w:cs="Arial"/>
        </w:rPr>
        <w:t>Více než 1/2</w:t>
      </w:r>
      <w:r w:rsidRPr="00CE357F">
        <w:rPr>
          <w:rFonts w:ascii="Arial Narrow" w:hAnsi="Arial Narrow" w:cs="Arial"/>
        </w:rPr>
        <w:t xml:space="preserve"> všech zaměstnaných </w:t>
      </w:r>
      <w:r w:rsidRPr="00CE357F">
        <w:rPr>
          <w:rFonts w:ascii="Arial Narrow" w:hAnsi="Arial Narrow"/>
        </w:rPr>
        <w:t>osob s jinou než českou státní příslušností</w:t>
      </w:r>
      <w:r>
        <w:rPr>
          <w:rFonts w:ascii="Arial Narrow" w:hAnsi="Arial Narrow" w:cs="Arial"/>
        </w:rPr>
        <w:t xml:space="preserve"> </w:t>
      </w:r>
      <w:r>
        <w:rPr>
          <w:rFonts w:ascii="Arial Narrow" w:hAnsi="Arial Narrow" w:cs="Arial"/>
        </w:rPr>
        <w:br/>
        <w:t>(56,6</w:t>
      </w:r>
      <w:r w:rsidRPr="00CE357F">
        <w:rPr>
          <w:rFonts w:ascii="Arial Narrow" w:hAnsi="Arial Narrow" w:cs="Arial"/>
        </w:rPr>
        <w:t xml:space="preserve"> %) na území Jihomoravského kraje bylo možné zařadit do věkové skupiny 20–39 let. </w:t>
      </w:r>
      <w:bookmarkEnd w:id="478"/>
      <w:r>
        <w:rPr>
          <w:rFonts w:ascii="Arial Narrow" w:hAnsi="Arial Narrow" w:cs="Arial"/>
        </w:rPr>
        <w:t>Téměř 1/4</w:t>
      </w:r>
      <w:r w:rsidRPr="00CE357F">
        <w:rPr>
          <w:rFonts w:ascii="Arial Narrow" w:hAnsi="Arial Narrow" w:cs="Arial"/>
        </w:rPr>
        <w:t xml:space="preserve"> všech zaměstnaných </w:t>
      </w:r>
      <w:r w:rsidRPr="00CE357F">
        <w:rPr>
          <w:rFonts w:ascii="Arial Narrow" w:hAnsi="Arial Narrow"/>
        </w:rPr>
        <w:t>osob s jinou než českou státní příslušností</w:t>
      </w:r>
      <w:r>
        <w:rPr>
          <w:rFonts w:ascii="Arial Narrow" w:hAnsi="Arial Narrow" w:cs="Arial"/>
        </w:rPr>
        <w:t xml:space="preserve"> (22,8</w:t>
      </w:r>
      <w:r w:rsidRPr="00CE357F">
        <w:rPr>
          <w:rFonts w:ascii="Arial Narrow" w:hAnsi="Arial Narrow" w:cs="Arial"/>
        </w:rPr>
        <w:t xml:space="preserve"> %) bylo možné zařadit do věkové skupiny 40–49 let. Zaměstnanců ve věku do 19 l</w:t>
      </w:r>
      <w:r>
        <w:rPr>
          <w:rFonts w:ascii="Arial Narrow" w:hAnsi="Arial Narrow" w:cs="Arial"/>
        </w:rPr>
        <w:t>et bylo k 31. 12. 2022 pouze 1,9</w:t>
      </w:r>
      <w:r w:rsidRPr="00CE357F">
        <w:rPr>
          <w:rFonts w:ascii="Arial Narrow" w:hAnsi="Arial Narrow" w:cs="Arial"/>
        </w:rPr>
        <w:t xml:space="preserve"> %. </w:t>
      </w:r>
      <w:bookmarkStart w:id="479" w:name="_Toc94443771"/>
      <w:bookmarkStart w:id="480" w:name="_Toc136428917"/>
      <w:r w:rsidRPr="00CE357F">
        <w:rPr>
          <w:rFonts w:ascii="Arial Narrow" w:hAnsi="Arial Narrow" w:cs="Arial"/>
        </w:rPr>
        <w:t xml:space="preserve">Věkovou strukturu všech zaměstnaných </w:t>
      </w:r>
      <w:r w:rsidRPr="00CE357F">
        <w:rPr>
          <w:rFonts w:ascii="Arial Narrow" w:hAnsi="Arial Narrow"/>
        </w:rPr>
        <w:t>osob s jinou než českou státní příslušností</w:t>
      </w:r>
      <w:r w:rsidRPr="00CE357F">
        <w:rPr>
          <w:rFonts w:ascii="Arial Narrow" w:hAnsi="Arial Narrow" w:cs="Arial"/>
        </w:rPr>
        <w:t xml:space="preserve"> evidovaných na úřadech práce v Jihomoravském kraji podrobně dokumentuje</w:t>
      </w:r>
      <w:r w:rsidR="00167BA0">
        <w:rPr>
          <w:rFonts w:ascii="Arial Narrow" w:hAnsi="Arial Narrow" w:cs="Arial"/>
        </w:rPr>
        <w:t xml:space="preserve"> </w:t>
      </w:r>
      <w:r w:rsidRPr="00CE357F">
        <w:rPr>
          <w:rFonts w:ascii="Arial Narrow" w:hAnsi="Arial Narrow" w:cs="Arial"/>
        </w:rPr>
        <w:t>graf</w:t>
      </w:r>
      <w:r w:rsidR="00167BA0">
        <w:rPr>
          <w:rFonts w:ascii="Arial Narrow" w:hAnsi="Arial Narrow" w:cs="Arial"/>
        </w:rPr>
        <w:t xml:space="preserve"> č. 73</w:t>
      </w:r>
      <w:r w:rsidRPr="00CE357F">
        <w:rPr>
          <w:rFonts w:ascii="Arial Narrow" w:hAnsi="Arial Narrow" w:cs="Arial"/>
        </w:rPr>
        <w:t>.</w:t>
      </w:r>
    </w:p>
    <w:p w14:paraId="3F403CE5" w14:textId="3702AF82" w:rsidR="00B457EF" w:rsidRPr="00CE357F" w:rsidRDefault="00B457EF" w:rsidP="00167BA0">
      <w:pPr>
        <w:spacing w:line="276" w:lineRule="auto"/>
        <w:jc w:val="both"/>
        <w:rPr>
          <w:rFonts w:ascii="Arial Narrow" w:hAnsi="Arial Narrow" w:cs="Arial"/>
        </w:rPr>
      </w:pPr>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73</w:t>
      </w:r>
      <w:r>
        <w:rPr>
          <w:rFonts w:ascii="Arial Narrow" w:hAnsi="Arial Narrow"/>
          <w:b/>
          <w:sz w:val="20"/>
          <w:szCs w:val="20"/>
        </w:rPr>
        <w:fldChar w:fldCharType="end"/>
      </w:r>
      <w:r w:rsidRPr="00CE357F">
        <w:rPr>
          <w:rFonts w:ascii="Arial Narrow" w:hAnsi="Arial Narrow"/>
          <w:b/>
          <w:sz w:val="20"/>
          <w:szCs w:val="20"/>
        </w:rPr>
        <w:t xml:space="preserve">: </w:t>
      </w:r>
      <w:r w:rsidRPr="00B66CFC">
        <w:rPr>
          <w:rFonts w:ascii="Arial Narrow" w:hAnsi="Arial Narrow"/>
          <w:b/>
          <w:bCs/>
          <w:sz w:val="20"/>
          <w:szCs w:val="20"/>
        </w:rPr>
        <w:t>Věková struktura zaměstnaných osob s jinou než českou státní příslušností evidovaných na úřadech práce v Jihomoravském kraji k 31. 12. 202</w:t>
      </w:r>
      <w:bookmarkEnd w:id="479"/>
      <w:r w:rsidRPr="00B66CFC">
        <w:rPr>
          <w:rFonts w:ascii="Arial Narrow" w:hAnsi="Arial Narrow"/>
          <w:b/>
          <w:bCs/>
          <w:sz w:val="20"/>
          <w:szCs w:val="20"/>
        </w:rPr>
        <w:t>2</w:t>
      </w:r>
      <w:bookmarkEnd w:id="480"/>
    </w:p>
    <w:p w14:paraId="1E6D020C" w14:textId="77777777" w:rsidR="00B457EF" w:rsidRPr="00CE357F" w:rsidRDefault="00B457EF" w:rsidP="7CC7BF57">
      <w:pPr>
        <w:spacing w:line="276" w:lineRule="auto"/>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inline distT="0" distB="0" distL="0" distR="0" wp14:anchorId="0D9427A8" wp14:editId="07C1FE79">
            <wp:extent cx="5760720" cy="1238250"/>
            <wp:effectExtent l="0" t="0" r="1143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bookmarkStart w:id="481" w:name="_Hlk92716079"/>
    </w:p>
    <w:p w14:paraId="752A3814" w14:textId="04768EF5" w:rsidR="00B457EF" w:rsidRPr="00167BA0" w:rsidRDefault="00B457EF" w:rsidP="00167BA0">
      <w:pPr>
        <w:spacing w:after="240"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sidRPr="00CE357F">
        <w:rPr>
          <w:rFonts w:ascii="Arial Narrow" w:hAnsi="Arial Narrow"/>
          <w:bCs/>
          <w:sz w:val="20"/>
          <w:szCs w:val="20"/>
        </w:rPr>
        <w:t xml:space="preserve"> </w:t>
      </w:r>
      <w:r>
        <w:rPr>
          <w:rFonts w:ascii="Arial Narrow" w:hAnsi="Arial Narrow"/>
          <w:bCs/>
          <w:sz w:val="20"/>
          <w:szCs w:val="20"/>
        </w:rPr>
        <w:t>(data k 31. 12. 2022</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Graf: AUGUR </w:t>
      </w:r>
      <w:proofErr w:type="spellStart"/>
      <w:r w:rsidRPr="00CE357F">
        <w:rPr>
          <w:rFonts w:ascii="Arial Narrow" w:hAnsi="Arial Narrow"/>
          <w:bCs/>
          <w:sz w:val="20"/>
          <w:szCs w:val="20"/>
        </w:rPr>
        <w:t>Consulting</w:t>
      </w:r>
      <w:proofErr w:type="spellEnd"/>
    </w:p>
    <w:p w14:paraId="6FB65C8F" w14:textId="3E6FD856" w:rsidR="00B457EF" w:rsidRPr="0087100F" w:rsidRDefault="00B457EF" w:rsidP="00B457EF">
      <w:pPr>
        <w:spacing w:after="120" w:line="276" w:lineRule="auto"/>
        <w:jc w:val="both"/>
        <w:rPr>
          <w:rFonts w:ascii="Arial Narrow" w:hAnsi="Arial Narrow" w:cs="Arial"/>
        </w:rPr>
      </w:pPr>
      <w:bookmarkStart w:id="482" w:name="_Hlk95747385"/>
      <w:r w:rsidRPr="00CE357F">
        <w:rPr>
          <w:rFonts w:ascii="Arial Narrow" w:hAnsi="Arial Narrow" w:cs="Arial"/>
        </w:rPr>
        <w:t>Podíváme-li se na data o věkové struktuře zaměstnaných osob s jinou než českou státní příslušností evidovaných na úřadech práce v Jihomoravském kraji</w:t>
      </w:r>
      <w:r w:rsidR="00167BA0">
        <w:rPr>
          <w:rFonts w:ascii="Arial Narrow" w:hAnsi="Arial Narrow" w:cs="Arial"/>
        </w:rPr>
        <w:t xml:space="preserve"> (grafy č. 74 a č. 75)</w:t>
      </w:r>
      <w:r w:rsidRPr="00CE357F">
        <w:rPr>
          <w:rFonts w:ascii="Arial Narrow" w:hAnsi="Arial Narrow" w:cs="Arial"/>
        </w:rPr>
        <w:t xml:space="preserve"> od roku 2008, můžeme </w:t>
      </w:r>
      <w:r w:rsidRPr="00B66CFC">
        <w:rPr>
          <w:rFonts w:ascii="Arial Narrow" w:hAnsi="Arial Narrow" w:cs="Arial"/>
        </w:rPr>
        <w:t>vidět, že poměr zastoupených věkových kategorií se zásadním způsobem nemě</w:t>
      </w:r>
      <w:r w:rsidRPr="0087100F">
        <w:rPr>
          <w:rFonts w:ascii="Arial Narrow" w:hAnsi="Arial Narrow" w:cs="Arial"/>
        </w:rPr>
        <w:t xml:space="preserve">ní. </w:t>
      </w:r>
    </w:p>
    <w:bookmarkEnd w:id="482"/>
    <w:p w14:paraId="4209DF8C" w14:textId="0EC12A75" w:rsidR="00B457EF" w:rsidRPr="00CE357F" w:rsidRDefault="00B457EF" w:rsidP="00B457EF">
      <w:pPr>
        <w:spacing w:after="120" w:line="276" w:lineRule="auto"/>
        <w:jc w:val="both"/>
        <w:rPr>
          <w:rFonts w:ascii="Arial Narrow" w:hAnsi="Arial Narrow" w:cs="Arial"/>
        </w:rPr>
      </w:pPr>
      <w:r w:rsidRPr="0087100F">
        <w:rPr>
          <w:rFonts w:ascii="Arial Narrow" w:hAnsi="Arial Narrow" w:cs="Arial"/>
        </w:rPr>
        <w:t>Pokud nezohledníme rok 2013 a 2021</w:t>
      </w:r>
      <w:r w:rsidRPr="0087100F">
        <w:rPr>
          <w:rStyle w:val="Znakapoznpodarou"/>
          <w:rFonts w:ascii="Arial Narrow" w:hAnsi="Arial Narrow"/>
        </w:rPr>
        <w:footnoteReference w:id="50"/>
      </w:r>
      <w:r w:rsidRPr="0087100F">
        <w:rPr>
          <w:rFonts w:ascii="Arial Narrow" w:hAnsi="Arial Narrow" w:cs="Arial"/>
        </w:rPr>
        <w:t>, věková</w:t>
      </w:r>
      <w:r w:rsidRPr="00B66CFC">
        <w:rPr>
          <w:rFonts w:ascii="Arial Narrow" w:hAnsi="Arial Narrow" w:cs="Arial"/>
        </w:rPr>
        <w:t xml:space="preserve"> kategorie osob do 19 let byla od roku 2008 do roku 2022 zastoupena od 0,6 % do 5,6 %. Nejvíce osob v této věkové kategorii bylo ve věkové struktuře zastoupeno v letech 2012 (5,6 %) a v roce 2017 (4,3 %). Za celé sledované období se jednalo o nejméně početnou skupinu osob.</w:t>
      </w:r>
      <w:r w:rsidRPr="00CE357F">
        <w:rPr>
          <w:rFonts w:ascii="Arial Narrow" w:hAnsi="Arial Narrow" w:cs="Arial"/>
        </w:rPr>
        <w:t xml:space="preserve"> </w:t>
      </w:r>
    </w:p>
    <w:p w14:paraId="126C4244" w14:textId="77777777" w:rsidR="00B457EF" w:rsidRDefault="00B457EF" w:rsidP="00B457EF">
      <w:pPr>
        <w:spacing w:after="120" w:line="276" w:lineRule="auto"/>
        <w:jc w:val="both"/>
        <w:rPr>
          <w:rFonts w:ascii="Arial Narrow" w:hAnsi="Arial Narrow" w:cs="Arial"/>
        </w:rPr>
      </w:pPr>
      <w:r w:rsidRPr="00CE357F">
        <w:rPr>
          <w:rFonts w:ascii="Arial Narrow" w:hAnsi="Arial Narrow" w:cs="Arial"/>
        </w:rPr>
        <w:t>Věková kategorie osob 20–29 le</w:t>
      </w:r>
      <w:r>
        <w:rPr>
          <w:rFonts w:ascii="Arial Narrow" w:hAnsi="Arial Narrow" w:cs="Arial"/>
        </w:rPr>
        <w:t>t byla od roku 2008 do roku 2022 zastoupena od 25,8</w:t>
      </w:r>
      <w:r w:rsidRPr="00CE357F">
        <w:rPr>
          <w:rFonts w:ascii="Arial Narrow" w:hAnsi="Arial Narrow" w:cs="Arial"/>
        </w:rPr>
        <w:t xml:space="preserve"> % do 40,6 %. Nejvíce osob v této věkové kategorii bylo ve věkové </w:t>
      </w:r>
      <w:r>
        <w:rPr>
          <w:rFonts w:ascii="Arial Narrow" w:hAnsi="Arial Narrow" w:cs="Arial"/>
        </w:rPr>
        <w:t>struktuře zastoupeno v roce 2008</w:t>
      </w:r>
      <w:r w:rsidRPr="00CE357F">
        <w:rPr>
          <w:rFonts w:ascii="Arial Narrow" w:hAnsi="Arial Narrow" w:cs="Arial"/>
        </w:rPr>
        <w:t xml:space="preserve"> (40,6 %)</w:t>
      </w:r>
      <w:r>
        <w:rPr>
          <w:rFonts w:ascii="Arial Narrow" w:hAnsi="Arial Narrow" w:cs="Arial"/>
        </w:rPr>
        <w:t xml:space="preserve"> a nejméně v roce 2022 (25,8 %)</w:t>
      </w:r>
      <w:r w:rsidRPr="00CE357F">
        <w:rPr>
          <w:rFonts w:ascii="Arial Narrow" w:hAnsi="Arial Narrow" w:cs="Arial"/>
        </w:rPr>
        <w:t>.</w:t>
      </w:r>
    </w:p>
    <w:p w14:paraId="0FD1D29B" w14:textId="56A4FC34" w:rsidR="00B457EF" w:rsidRPr="00CE357F" w:rsidRDefault="00B457EF" w:rsidP="00B457EF">
      <w:pPr>
        <w:spacing w:after="120" w:line="276" w:lineRule="auto"/>
        <w:jc w:val="both"/>
        <w:rPr>
          <w:rFonts w:ascii="Arial Narrow" w:hAnsi="Arial Narrow" w:cs="Arial"/>
        </w:rPr>
      </w:pPr>
      <w:r w:rsidRPr="00CE357F">
        <w:rPr>
          <w:rFonts w:ascii="Arial Narrow" w:hAnsi="Arial Narrow" w:cs="Arial"/>
        </w:rPr>
        <w:t>Věková kategorie osob 30–39 le</w:t>
      </w:r>
      <w:r>
        <w:rPr>
          <w:rFonts w:ascii="Arial Narrow" w:hAnsi="Arial Narrow" w:cs="Arial"/>
        </w:rPr>
        <w:t>t byla od roku 2008 do roku 2022</w:t>
      </w:r>
      <w:r w:rsidRPr="00CE357F">
        <w:rPr>
          <w:rFonts w:ascii="Arial Narrow" w:hAnsi="Arial Narrow" w:cs="Arial"/>
        </w:rPr>
        <w:t xml:space="preserve"> zastoupena od 27,5 % do 35,7 %. Nejvíce osob v této věkové kategorii bylo ve věkové struktuře zastoupeno v roce 2012. Tyto dvě zmíněné věkové kategorie jsou tak po celé sledované období nejvýznamněji zastoupenými kategoriemi.</w:t>
      </w:r>
    </w:p>
    <w:p w14:paraId="7F89487D" w14:textId="77777777" w:rsidR="00B457EF" w:rsidRPr="00CE357F" w:rsidRDefault="00B457EF" w:rsidP="00B457EF">
      <w:pPr>
        <w:spacing w:after="120" w:line="276" w:lineRule="auto"/>
        <w:jc w:val="both"/>
        <w:rPr>
          <w:rFonts w:ascii="Arial Narrow" w:hAnsi="Arial Narrow" w:cs="Arial"/>
        </w:rPr>
      </w:pPr>
      <w:r w:rsidRPr="00CE357F">
        <w:rPr>
          <w:rFonts w:ascii="Arial Narrow" w:hAnsi="Arial Narrow" w:cs="Arial"/>
        </w:rPr>
        <w:t>Věková kategorie osob 40–49 le</w:t>
      </w:r>
      <w:r>
        <w:rPr>
          <w:rFonts w:ascii="Arial Narrow" w:hAnsi="Arial Narrow" w:cs="Arial"/>
        </w:rPr>
        <w:t>t byla od roku 2008 do roku 2022 zastoupena od 16,4 % do 22,8</w:t>
      </w:r>
      <w:r w:rsidRPr="00CE357F">
        <w:rPr>
          <w:rFonts w:ascii="Arial Narrow" w:hAnsi="Arial Narrow" w:cs="Arial"/>
        </w:rPr>
        <w:t xml:space="preserve"> %. Nejvíce osob v této věkové kategorii bylo ve věkové struktuře zast</w:t>
      </w:r>
      <w:r>
        <w:rPr>
          <w:rFonts w:ascii="Arial Narrow" w:hAnsi="Arial Narrow" w:cs="Arial"/>
        </w:rPr>
        <w:t>oupeno v roce 2022 (22,8</w:t>
      </w:r>
      <w:r w:rsidRPr="00CE357F">
        <w:rPr>
          <w:rFonts w:ascii="Arial Narrow" w:hAnsi="Arial Narrow" w:cs="Arial"/>
        </w:rPr>
        <w:t xml:space="preserve"> %).</w:t>
      </w:r>
    </w:p>
    <w:p w14:paraId="50AEEEDA" w14:textId="77777777" w:rsidR="00B457EF" w:rsidRPr="00CE357F" w:rsidRDefault="00B457EF" w:rsidP="00B457EF">
      <w:pPr>
        <w:spacing w:after="120" w:line="276" w:lineRule="auto"/>
        <w:jc w:val="both"/>
        <w:rPr>
          <w:rFonts w:ascii="Arial Narrow" w:hAnsi="Arial Narrow" w:cs="Arial"/>
        </w:rPr>
      </w:pPr>
      <w:r w:rsidRPr="00CE357F">
        <w:rPr>
          <w:rFonts w:ascii="Arial Narrow" w:hAnsi="Arial Narrow" w:cs="Arial"/>
        </w:rPr>
        <w:lastRenderedPageBreak/>
        <w:t>Věková kategorie osob 50–59 let byla od roku 2008 do roku 2020 zastoupena od 10,3 % do 12,7 %. Nejvíce osob v této věkové kategorii bylo ve věkové struktuře zastoupeno v roce 2014 (12,7 %). Stejně jako předchozí skupina vykazuje konstantní hodnoty po celé sledované období.</w:t>
      </w:r>
    </w:p>
    <w:p w14:paraId="1929A92D" w14:textId="1636A3D8" w:rsidR="00B457EF" w:rsidRPr="00167BA0" w:rsidRDefault="00B457EF" w:rsidP="00167BA0">
      <w:pPr>
        <w:spacing w:after="120" w:line="276" w:lineRule="auto"/>
        <w:jc w:val="both"/>
        <w:rPr>
          <w:rFonts w:ascii="Arial Narrow" w:hAnsi="Arial Narrow" w:cs="Arial"/>
        </w:rPr>
      </w:pPr>
      <w:r w:rsidRPr="00CE357F">
        <w:rPr>
          <w:rFonts w:ascii="Arial Narrow" w:hAnsi="Arial Narrow" w:cs="Arial"/>
        </w:rPr>
        <w:t>Poslední věkovou kategorií jsou osoby ve věku 60 a více let, tato kategorie byla v roce 200</w:t>
      </w:r>
      <w:r>
        <w:rPr>
          <w:rFonts w:ascii="Arial Narrow" w:hAnsi="Arial Narrow" w:cs="Arial"/>
        </w:rPr>
        <w:t>8 do roku 2022</w:t>
      </w:r>
      <w:r w:rsidRPr="00CE357F">
        <w:rPr>
          <w:rFonts w:ascii="Arial Narrow" w:hAnsi="Arial Narrow" w:cs="Arial"/>
        </w:rPr>
        <w:t xml:space="preserve"> </w:t>
      </w:r>
      <w:r>
        <w:rPr>
          <w:rFonts w:ascii="Arial Narrow" w:hAnsi="Arial Narrow" w:cs="Arial"/>
        </w:rPr>
        <w:t>zastoupena od 1,6 %, do 6,3</w:t>
      </w:r>
      <w:r w:rsidRPr="00CE357F">
        <w:rPr>
          <w:rFonts w:ascii="Arial Narrow" w:hAnsi="Arial Narrow" w:cs="Arial"/>
        </w:rPr>
        <w:t xml:space="preserve"> %. Nejvíce osob v této věkové kategorii bylo ve věkové struktuře zastoupeno v roce </w:t>
      </w:r>
      <w:r>
        <w:rPr>
          <w:rFonts w:ascii="Arial Narrow" w:hAnsi="Arial Narrow" w:cs="Arial"/>
        </w:rPr>
        <w:t xml:space="preserve">2022 (6,3 %). </w:t>
      </w:r>
      <w:bookmarkStart w:id="483" w:name="_Toc94443772"/>
    </w:p>
    <w:p w14:paraId="4D98179D" w14:textId="2F758C3E" w:rsidR="00B457EF" w:rsidRPr="00CE357F" w:rsidRDefault="00B457EF" w:rsidP="00B457EF">
      <w:pPr>
        <w:jc w:val="both"/>
        <w:rPr>
          <w:rFonts w:ascii="Arial Narrow" w:hAnsi="Arial Narrow"/>
          <w:b/>
          <w:bCs/>
          <w:sz w:val="20"/>
          <w:szCs w:val="20"/>
        </w:rPr>
      </w:pPr>
      <w:bookmarkStart w:id="484" w:name="_Toc136428918"/>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74</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Věková struktura zaměstnaných osob s jinou než českou státní příslušností evidovaných na úřadech práce v Jihomoravském kraji v letech 2008–202</w:t>
      </w:r>
      <w:bookmarkEnd w:id="483"/>
      <w:r>
        <w:rPr>
          <w:rFonts w:ascii="Arial Narrow" w:hAnsi="Arial Narrow"/>
          <w:b/>
          <w:bCs/>
          <w:sz w:val="20"/>
          <w:szCs w:val="20"/>
        </w:rPr>
        <w:t>2</w:t>
      </w:r>
      <w:bookmarkEnd w:id="484"/>
    </w:p>
    <w:bookmarkEnd w:id="481"/>
    <w:p w14:paraId="5ECEBDF8" w14:textId="77777777" w:rsidR="00B457EF" w:rsidRPr="00CE357F" w:rsidRDefault="00B457EF" w:rsidP="7CC7BF57">
      <w:pPr>
        <w:spacing w:line="276" w:lineRule="auto"/>
        <w:rPr>
          <w:rFonts w:ascii="Arial Narrow" w:hAnsi="Arial Narrow"/>
          <w:b/>
          <w:bCs/>
          <w:color w:val="2F5496" w:themeColor="accent1" w:themeShade="BF"/>
        </w:rPr>
      </w:pPr>
      <w:r w:rsidRPr="00286735">
        <w:rPr>
          <w:rFonts w:ascii="Arial Narrow" w:hAnsi="Arial Narrow"/>
          <w:b/>
          <w:noProof/>
          <w:color w:val="2F5496" w:themeColor="accent1" w:themeShade="BF"/>
          <w:sz w:val="16"/>
          <w:szCs w:val="16"/>
          <w:shd w:val="clear" w:color="auto" w:fill="FFFFFF" w:themeFill="background1"/>
          <w:lang w:eastAsia="cs-CZ"/>
        </w:rPr>
        <w:drawing>
          <wp:inline distT="0" distB="0" distL="0" distR="0" wp14:anchorId="384C2267" wp14:editId="24ADD012">
            <wp:extent cx="5705475" cy="4743450"/>
            <wp:effectExtent l="0" t="0" r="0" b="0"/>
            <wp:docPr id="2079" name="Graf 2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3C5ACE6D" w14:textId="77777777" w:rsidR="00B457EF" w:rsidRPr="00CE357F" w:rsidRDefault="00B457EF" w:rsidP="00B457EF">
      <w:pPr>
        <w:spacing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sidRPr="00CE357F">
        <w:rPr>
          <w:rFonts w:ascii="Arial Narrow" w:hAnsi="Arial Narrow"/>
          <w:bCs/>
          <w:sz w:val="20"/>
          <w:szCs w:val="20"/>
        </w:rPr>
        <w:t xml:space="preserve"> (data k 31. 12. daného roku)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02AE04B1" w14:textId="1155C773" w:rsidR="00B457EF" w:rsidRDefault="00B457EF" w:rsidP="00B457EF">
      <w:pPr>
        <w:spacing w:line="276" w:lineRule="auto"/>
        <w:rPr>
          <w:rFonts w:ascii="Arial Narrow" w:hAnsi="Arial Narrow"/>
          <w:bCs/>
          <w:sz w:val="20"/>
          <w:szCs w:val="20"/>
        </w:rPr>
      </w:pPr>
      <w:r>
        <w:rPr>
          <w:rFonts w:ascii="Arial Narrow" w:hAnsi="Arial Narrow"/>
          <w:bCs/>
          <w:sz w:val="20"/>
          <w:szCs w:val="20"/>
        </w:rPr>
        <w:t>*</w:t>
      </w:r>
      <w:r w:rsidRPr="00CE357F">
        <w:rPr>
          <w:rFonts w:ascii="Arial Narrow" w:hAnsi="Arial Narrow"/>
          <w:bCs/>
          <w:sz w:val="20"/>
          <w:szCs w:val="20"/>
        </w:rPr>
        <w:t>rok 2013 – absence dat z okresů Brno-město, Hodonín a Vyškov</w:t>
      </w:r>
      <w:r w:rsidR="0087100F">
        <w:rPr>
          <w:rFonts w:ascii="Arial Narrow" w:hAnsi="Arial Narrow"/>
          <w:bCs/>
          <w:sz w:val="20"/>
          <w:szCs w:val="20"/>
        </w:rPr>
        <w:t>.</w:t>
      </w:r>
    </w:p>
    <w:p w14:paraId="68F6ACA7" w14:textId="22D14D49" w:rsidR="00B457EF" w:rsidRPr="00CE357F" w:rsidRDefault="00B457EF" w:rsidP="00B457EF">
      <w:pPr>
        <w:spacing w:line="276" w:lineRule="auto"/>
        <w:rPr>
          <w:rFonts w:ascii="Arial Narrow" w:hAnsi="Arial Narrow"/>
          <w:bCs/>
          <w:sz w:val="20"/>
          <w:szCs w:val="20"/>
        </w:rPr>
      </w:pPr>
      <w:r w:rsidRPr="0087100F">
        <w:rPr>
          <w:rFonts w:ascii="Arial Narrow" w:hAnsi="Arial Narrow"/>
          <w:bCs/>
          <w:sz w:val="20"/>
          <w:szCs w:val="20"/>
        </w:rPr>
        <w:t xml:space="preserve">**rok 2021 – </w:t>
      </w:r>
      <w:r w:rsidR="0087100F" w:rsidRPr="0087100F">
        <w:rPr>
          <w:rFonts w:ascii="Arial Narrow" w:hAnsi="Arial Narrow"/>
          <w:bCs/>
          <w:sz w:val="20"/>
          <w:szCs w:val="20"/>
        </w:rPr>
        <w:t xml:space="preserve">data platná </w:t>
      </w:r>
      <w:r w:rsidRPr="0087100F">
        <w:rPr>
          <w:rFonts w:ascii="Arial Narrow" w:hAnsi="Arial Narrow"/>
          <w:bCs/>
          <w:sz w:val="20"/>
          <w:szCs w:val="20"/>
        </w:rPr>
        <w:t>k 30.</w:t>
      </w:r>
      <w:r w:rsidR="0087100F" w:rsidRPr="0087100F">
        <w:rPr>
          <w:rFonts w:ascii="Arial Narrow" w:hAnsi="Arial Narrow"/>
          <w:bCs/>
          <w:sz w:val="20"/>
          <w:szCs w:val="20"/>
        </w:rPr>
        <w:t xml:space="preserve"> </w:t>
      </w:r>
      <w:r w:rsidRPr="0087100F">
        <w:rPr>
          <w:rFonts w:ascii="Arial Narrow" w:hAnsi="Arial Narrow"/>
          <w:bCs/>
          <w:sz w:val="20"/>
          <w:szCs w:val="20"/>
        </w:rPr>
        <w:t>6.</w:t>
      </w:r>
      <w:r w:rsidR="0087100F" w:rsidRPr="0087100F">
        <w:rPr>
          <w:rFonts w:ascii="Arial Narrow" w:hAnsi="Arial Narrow"/>
          <w:bCs/>
          <w:sz w:val="20"/>
          <w:szCs w:val="20"/>
        </w:rPr>
        <w:t xml:space="preserve"> 2021</w:t>
      </w:r>
    </w:p>
    <w:p w14:paraId="5A4A5EE8" w14:textId="1C1054A5" w:rsidR="00B457EF" w:rsidRDefault="00B457EF" w:rsidP="00B457EF">
      <w:pPr>
        <w:spacing w:line="276" w:lineRule="auto"/>
        <w:rPr>
          <w:rFonts w:ascii="Arial Narrow" w:hAnsi="Arial Narrow"/>
          <w:bCs/>
          <w:sz w:val="20"/>
          <w:szCs w:val="20"/>
        </w:rPr>
      </w:pPr>
    </w:p>
    <w:p w14:paraId="398BF697" w14:textId="497FBE9F" w:rsidR="00D517FE" w:rsidRDefault="00D517FE" w:rsidP="00B457EF">
      <w:pPr>
        <w:spacing w:line="276" w:lineRule="auto"/>
        <w:rPr>
          <w:rFonts w:ascii="Arial Narrow" w:hAnsi="Arial Narrow"/>
          <w:bCs/>
          <w:sz w:val="20"/>
          <w:szCs w:val="20"/>
        </w:rPr>
      </w:pPr>
    </w:p>
    <w:p w14:paraId="44C0A357" w14:textId="2E7F119C" w:rsidR="00D517FE" w:rsidRDefault="00D517FE" w:rsidP="00B457EF">
      <w:pPr>
        <w:spacing w:line="276" w:lineRule="auto"/>
        <w:rPr>
          <w:rFonts w:ascii="Arial Narrow" w:hAnsi="Arial Narrow"/>
          <w:bCs/>
          <w:sz w:val="20"/>
          <w:szCs w:val="20"/>
        </w:rPr>
      </w:pPr>
    </w:p>
    <w:p w14:paraId="5BD3565A" w14:textId="4BE1DABA" w:rsidR="00D517FE" w:rsidRDefault="00D517FE" w:rsidP="00B457EF">
      <w:pPr>
        <w:spacing w:line="276" w:lineRule="auto"/>
        <w:rPr>
          <w:rFonts w:ascii="Arial Narrow" w:hAnsi="Arial Narrow"/>
          <w:bCs/>
          <w:sz w:val="20"/>
          <w:szCs w:val="20"/>
        </w:rPr>
      </w:pPr>
    </w:p>
    <w:p w14:paraId="3290DE26" w14:textId="36B368C3" w:rsidR="00D517FE" w:rsidRDefault="00D517FE" w:rsidP="00B457EF">
      <w:pPr>
        <w:spacing w:line="276" w:lineRule="auto"/>
        <w:rPr>
          <w:rFonts w:ascii="Arial Narrow" w:hAnsi="Arial Narrow"/>
          <w:bCs/>
          <w:sz w:val="20"/>
          <w:szCs w:val="20"/>
        </w:rPr>
      </w:pPr>
    </w:p>
    <w:p w14:paraId="1BC6D630" w14:textId="5B6EA4D5" w:rsidR="00D517FE" w:rsidRDefault="00D517FE" w:rsidP="00B457EF">
      <w:pPr>
        <w:spacing w:line="276" w:lineRule="auto"/>
        <w:rPr>
          <w:rFonts w:ascii="Arial Narrow" w:hAnsi="Arial Narrow"/>
          <w:bCs/>
          <w:sz w:val="20"/>
          <w:szCs w:val="20"/>
        </w:rPr>
      </w:pPr>
    </w:p>
    <w:p w14:paraId="3EB65E9D" w14:textId="1C0F485F" w:rsidR="00D517FE" w:rsidRDefault="00D517FE" w:rsidP="00B457EF">
      <w:pPr>
        <w:spacing w:line="276" w:lineRule="auto"/>
        <w:rPr>
          <w:rFonts w:ascii="Arial Narrow" w:hAnsi="Arial Narrow"/>
          <w:bCs/>
          <w:sz w:val="20"/>
          <w:szCs w:val="20"/>
        </w:rPr>
      </w:pPr>
    </w:p>
    <w:p w14:paraId="11581FDC" w14:textId="77777777" w:rsidR="00D517FE" w:rsidRDefault="00D517FE" w:rsidP="00B457EF">
      <w:pPr>
        <w:spacing w:line="276" w:lineRule="auto"/>
        <w:rPr>
          <w:rFonts w:ascii="Arial Narrow" w:hAnsi="Arial Narrow"/>
          <w:bCs/>
          <w:sz w:val="20"/>
          <w:szCs w:val="20"/>
        </w:rPr>
      </w:pPr>
    </w:p>
    <w:p w14:paraId="7F8C3A64" w14:textId="77777777" w:rsidR="006B0149" w:rsidRPr="00CE357F" w:rsidRDefault="006B0149" w:rsidP="00B457EF">
      <w:pPr>
        <w:spacing w:line="276" w:lineRule="auto"/>
        <w:rPr>
          <w:rFonts w:ascii="Arial Narrow" w:hAnsi="Arial Narrow"/>
          <w:bCs/>
          <w:sz w:val="20"/>
          <w:szCs w:val="20"/>
        </w:rPr>
      </w:pPr>
    </w:p>
    <w:p w14:paraId="7227CBC3" w14:textId="6C138429" w:rsidR="00B457EF" w:rsidRPr="00CE357F" w:rsidRDefault="00B457EF" w:rsidP="00B457EF">
      <w:pPr>
        <w:jc w:val="both"/>
        <w:rPr>
          <w:rFonts w:ascii="Arial Narrow" w:hAnsi="Arial Narrow"/>
          <w:b/>
          <w:bCs/>
          <w:sz w:val="20"/>
          <w:szCs w:val="20"/>
        </w:rPr>
      </w:pPr>
      <w:bookmarkStart w:id="485" w:name="_Toc94443773"/>
      <w:bookmarkStart w:id="486" w:name="_Toc136428919"/>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75</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Procentuální zastoupení věkové struktury osob s jinou než českou státní příslušností evidovaných na úřadech práce v Jihomoravském kraji v letech 2008–202</w:t>
      </w:r>
      <w:bookmarkEnd w:id="485"/>
      <w:r>
        <w:rPr>
          <w:rFonts w:ascii="Arial Narrow" w:hAnsi="Arial Narrow"/>
          <w:b/>
          <w:bCs/>
          <w:sz w:val="20"/>
          <w:szCs w:val="20"/>
        </w:rPr>
        <w:t>2</w:t>
      </w:r>
      <w:bookmarkEnd w:id="486"/>
    </w:p>
    <w:p w14:paraId="7BC0DDBD" w14:textId="49219635" w:rsidR="00B457EF" w:rsidRPr="008C3725" w:rsidRDefault="00B457EF" w:rsidP="7CC7BF57">
      <w:pPr>
        <w:spacing w:line="276" w:lineRule="auto"/>
        <w:rPr>
          <w:rFonts w:ascii="Arial Narrow" w:hAnsi="Arial Narrow"/>
          <w:sz w:val="20"/>
          <w:szCs w:val="20"/>
        </w:rPr>
      </w:pPr>
      <w:r w:rsidRPr="00CE357F">
        <w:rPr>
          <w:rFonts w:ascii="Arial Narrow" w:hAnsi="Arial Narrow"/>
          <w:b/>
          <w:noProof/>
          <w:color w:val="2F5496" w:themeColor="accent1" w:themeShade="BF"/>
          <w:lang w:eastAsia="cs-CZ"/>
        </w:rPr>
        <w:drawing>
          <wp:inline distT="0" distB="0" distL="0" distR="0" wp14:anchorId="6C3C81DB" wp14:editId="17DCE457">
            <wp:extent cx="5915025" cy="4410075"/>
            <wp:effectExtent l="0" t="0" r="9525" b="9525"/>
            <wp:docPr id="2160" name="Graf 2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4E4A4B36" w:rsidRPr="7CC7BF57">
        <w:rPr>
          <w:rFonts w:ascii="Arial Narrow" w:hAnsi="Arial Narrow"/>
          <w:sz w:val="20"/>
          <w:szCs w:val="20"/>
        </w:rPr>
        <w:t xml:space="preserve">Zdroj: </w:t>
      </w:r>
      <w:r w:rsidR="4E4A4B36" w:rsidRPr="7CC7BF57">
        <w:rPr>
          <w:rFonts w:ascii="Arial Narrow" w:hAnsi="Arial Narrow" w:cs="Arial"/>
          <w:sz w:val="20"/>
          <w:szCs w:val="20"/>
        </w:rPr>
        <w:t>Úřad práce České republiky</w:t>
      </w:r>
      <w:r w:rsidR="4E4A4B36" w:rsidRPr="7CC7BF57">
        <w:rPr>
          <w:rFonts w:ascii="Arial Narrow" w:hAnsi="Arial Narrow"/>
          <w:sz w:val="20"/>
          <w:szCs w:val="20"/>
        </w:rPr>
        <w:t xml:space="preserve"> (data k 31. 12. daného roku) </w:t>
      </w:r>
      <w:r w:rsidRPr="00CE357F">
        <w:rPr>
          <w:rFonts w:ascii="Arial Narrow" w:hAnsi="Arial Narrow"/>
          <w:bCs/>
          <w:sz w:val="20"/>
          <w:szCs w:val="20"/>
        </w:rPr>
        <w:tab/>
      </w:r>
      <w:r w:rsidRPr="00CE357F">
        <w:rPr>
          <w:rFonts w:ascii="Arial Narrow" w:hAnsi="Arial Narrow"/>
          <w:bCs/>
          <w:sz w:val="20"/>
          <w:szCs w:val="20"/>
        </w:rPr>
        <w:tab/>
      </w:r>
      <w:r w:rsidR="4E4A4B36" w:rsidRPr="7CC7BF57">
        <w:rPr>
          <w:rFonts w:ascii="Arial Narrow" w:hAnsi="Arial Narrow"/>
          <w:sz w:val="20"/>
          <w:szCs w:val="20"/>
        </w:rPr>
        <w:t xml:space="preserve">                          Graf: AUGUR </w:t>
      </w:r>
      <w:proofErr w:type="spellStart"/>
      <w:r w:rsidR="4E4A4B36" w:rsidRPr="7CC7BF57">
        <w:rPr>
          <w:rFonts w:ascii="Arial Narrow" w:hAnsi="Arial Narrow"/>
          <w:sz w:val="20"/>
          <w:szCs w:val="20"/>
        </w:rPr>
        <w:t>Consulting</w:t>
      </w:r>
      <w:proofErr w:type="spellEnd"/>
      <w:r w:rsidR="4E4A4B36" w:rsidRPr="7CC7BF57">
        <w:rPr>
          <w:rFonts w:ascii="Arial Narrow" w:hAnsi="Arial Narrow"/>
          <w:sz w:val="20"/>
          <w:szCs w:val="20"/>
        </w:rPr>
        <w:t xml:space="preserve"> s.r.o</w:t>
      </w:r>
      <w:r w:rsidRPr="00CE357F">
        <w:rPr>
          <w:rFonts w:ascii="Arial Narrow" w:hAnsi="Arial Narrow"/>
          <w:bCs/>
          <w:sz w:val="20"/>
          <w:szCs w:val="20"/>
        </w:rPr>
        <w:br/>
      </w:r>
      <w:r w:rsidR="4E4A4B36" w:rsidRPr="7CC7BF57">
        <w:rPr>
          <w:rFonts w:ascii="Arial Narrow" w:hAnsi="Arial Narrow"/>
          <w:sz w:val="20"/>
          <w:szCs w:val="20"/>
        </w:rPr>
        <w:t>*rok 2013 – absence dat z okresů Brno-město, Hodonín a Vyškov</w:t>
      </w:r>
      <w:r>
        <w:rPr>
          <w:rFonts w:ascii="Arial Narrow" w:hAnsi="Arial Narrow"/>
          <w:bCs/>
          <w:sz w:val="20"/>
          <w:szCs w:val="20"/>
        </w:rPr>
        <w:br/>
      </w:r>
      <w:r w:rsidR="10F5D811" w:rsidRPr="7CC7BF57">
        <w:rPr>
          <w:rFonts w:ascii="Arial Narrow" w:hAnsi="Arial Narrow"/>
          <w:sz w:val="20"/>
          <w:szCs w:val="20"/>
        </w:rPr>
        <w:t>**rok 2021 – data platná k 30. 6. 2021</w:t>
      </w:r>
      <w:r w:rsidR="0087100F">
        <w:rPr>
          <w:rFonts w:ascii="Arial Narrow" w:hAnsi="Arial Narrow"/>
          <w:bCs/>
          <w:sz w:val="20"/>
          <w:szCs w:val="20"/>
        </w:rPr>
        <w:tab/>
      </w:r>
      <w:r w:rsidR="0087100F">
        <w:rPr>
          <w:rFonts w:ascii="Arial Narrow" w:hAnsi="Arial Narrow"/>
          <w:bCs/>
          <w:sz w:val="20"/>
          <w:szCs w:val="20"/>
        </w:rPr>
        <w:br/>
      </w:r>
    </w:p>
    <w:p w14:paraId="31079D10" w14:textId="77777777" w:rsidR="00B457EF" w:rsidRPr="00CE357F" w:rsidRDefault="00B457EF" w:rsidP="00B457EF">
      <w:pPr>
        <w:spacing w:after="240" w:line="276" w:lineRule="auto"/>
        <w:jc w:val="both"/>
        <w:rPr>
          <w:rFonts w:ascii="Arial Narrow" w:hAnsi="Arial Narrow" w:cs="Arial"/>
          <w:b/>
          <w:color w:val="C00000"/>
        </w:rPr>
      </w:pPr>
      <w:bookmarkStart w:id="487" w:name="_Hlk92728340"/>
      <w:r w:rsidRPr="00CE357F">
        <w:rPr>
          <w:rFonts w:ascii="Arial Narrow" w:hAnsi="Arial Narrow" w:cs="Arial"/>
          <w:b/>
          <w:color w:val="C00000"/>
        </w:rPr>
        <w:t xml:space="preserve">Délka trvání zaměstnání osob s jinou než českou státní příslušností </w:t>
      </w:r>
    </w:p>
    <w:p w14:paraId="327D5DA4" w14:textId="6D25424E" w:rsidR="0087100F" w:rsidRPr="006B0149" w:rsidRDefault="00B457EF" w:rsidP="006B0149">
      <w:pPr>
        <w:spacing w:after="240" w:line="276" w:lineRule="auto"/>
        <w:jc w:val="both"/>
        <w:rPr>
          <w:rFonts w:ascii="Arial Narrow" w:hAnsi="Arial Narrow" w:cs="Arial"/>
        </w:rPr>
      </w:pPr>
      <w:bookmarkStart w:id="488" w:name="_Hlk95747404"/>
      <w:r w:rsidRPr="00CE357F">
        <w:rPr>
          <w:rFonts w:ascii="Arial Narrow" w:hAnsi="Arial Narrow" w:cs="Arial"/>
        </w:rPr>
        <w:t xml:space="preserve">Z dostupných dat je patrné, že převážná většina zaměstnaných </w:t>
      </w:r>
      <w:r w:rsidRPr="00CE357F">
        <w:rPr>
          <w:rFonts w:ascii="Arial Narrow" w:hAnsi="Arial Narrow"/>
        </w:rPr>
        <w:t>osob s jinou než českou státní příslušností</w:t>
      </w:r>
      <w:r w:rsidRPr="00CE357F">
        <w:rPr>
          <w:rFonts w:ascii="Arial Narrow" w:hAnsi="Arial Narrow" w:cs="Arial"/>
        </w:rPr>
        <w:t xml:space="preserve"> evidovaných na úřadech práce v Ji</w:t>
      </w:r>
      <w:r>
        <w:rPr>
          <w:rFonts w:ascii="Arial Narrow" w:hAnsi="Arial Narrow" w:cs="Arial"/>
        </w:rPr>
        <w:t>homoravském kraji k 31. 12. 2021</w:t>
      </w:r>
      <w:r w:rsidRPr="00CE357F">
        <w:rPr>
          <w:rFonts w:ascii="Arial Narrow" w:hAnsi="Arial Narrow" w:cs="Arial"/>
        </w:rPr>
        <w:t xml:space="preserve"> pracovala ve svém současném zaměstnání více než 12 měsíců</w:t>
      </w:r>
      <w:r w:rsidR="00167BA0">
        <w:rPr>
          <w:rFonts w:ascii="Arial Narrow" w:hAnsi="Arial Narrow" w:cs="Arial"/>
        </w:rPr>
        <w:t>.</w:t>
      </w:r>
      <w:r w:rsidR="0087100F">
        <w:rPr>
          <w:rStyle w:val="Znakapoznpodarou"/>
          <w:rFonts w:ascii="Arial Narrow" w:hAnsi="Arial Narrow" w:cs="Arial"/>
        </w:rPr>
        <w:footnoteReference w:id="51"/>
      </w:r>
      <w:bookmarkStart w:id="489" w:name="_Toc94443774"/>
      <w:bookmarkEnd w:id="488"/>
    </w:p>
    <w:p w14:paraId="722C9483" w14:textId="06C28A8A" w:rsidR="00B457EF" w:rsidRPr="00CE357F" w:rsidRDefault="00B457EF" w:rsidP="00B457EF">
      <w:pPr>
        <w:spacing w:line="276" w:lineRule="auto"/>
        <w:jc w:val="both"/>
        <w:rPr>
          <w:rFonts w:ascii="Arial Narrow" w:hAnsi="Arial Narrow"/>
          <w:b/>
          <w:bCs/>
          <w:sz w:val="20"/>
          <w:szCs w:val="20"/>
        </w:rPr>
      </w:pPr>
      <w:bookmarkStart w:id="490" w:name="_Toc136428920"/>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76</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Délka trvání zaměstnání osob s jinou než českou státní příslušností evidovaných na úřadech práce k 31. 12. 202</w:t>
      </w:r>
      <w:bookmarkEnd w:id="489"/>
      <w:r>
        <w:rPr>
          <w:rFonts w:ascii="Arial Narrow" w:hAnsi="Arial Narrow"/>
          <w:b/>
          <w:bCs/>
          <w:sz w:val="20"/>
          <w:szCs w:val="20"/>
        </w:rPr>
        <w:t>1</w:t>
      </w:r>
      <w:bookmarkEnd w:id="490"/>
    </w:p>
    <w:p w14:paraId="334A5C0D" w14:textId="77777777" w:rsidR="00B457EF" w:rsidRPr="00CE357F" w:rsidRDefault="00B457EF" w:rsidP="7CC7BF57">
      <w:pPr>
        <w:spacing w:line="276" w:lineRule="auto"/>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inline distT="0" distB="0" distL="0" distR="0" wp14:anchorId="2B4E9AB6" wp14:editId="22F872E4">
            <wp:extent cx="5744845" cy="1133475"/>
            <wp:effectExtent l="0" t="0" r="8255" b="952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bookmarkEnd w:id="487"/>
    <w:p w14:paraId="46BA3F4E" w14:textId="10308EFD" w:rsidR="00B457EF" w:rsidRPr="00CE357F" w:rsidRDefault="00B457EF" w:rsidP="00B457EF">
      <w:pPr>
        <w:spacing w:line="276" w:lineRule="auto"/>
        <w:rPr>
          <w:rFonts w:ascii="Arial Narrow" w:hAnsi="Arial Narrow"/>
          <w:b/>
          <w:color w:val="FF0000"/>
          <w:sz w:val="32"/>
          <w:szCs w:val="32"/>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sidRPr="00CE357F">
        <w:rPr>
          <w:rFonts w:ascii="Arial Narrow" w:hAnsi="Arial Narrow"/>
          <w:bCs/>
          <w:sz w:val="20"/>
          <w:szCs w:val="20"/>
        </w:rPr>
        <w:t xml:space="preserve"> </w:t>
      </w:r>
      <w:r>
        <w:rPr>
          <w:rFonts w:ascii="Arial Narrow" w:hAnsi="Arial Narrow"/>
          <w:bCs/>
          <w:sz w:val="20"/>
          <w:szCs w:val="20"/>
        </w:rPr>
        <w:t>(data k 30. 6. 2021</w:t>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w:t>
      </w:r>
      <w:proofErr w:type="spellStart"/>
      <w:r w:rsidRPr="00CE357F">
        <w:rPr>
          <w:rFonts w:ascii="Arial Narrow" w:hAnsi="Arial Narrow"/>
          <w:bCs/>
          <w:sz w:val="20"/>
          <w:szCs w:val="20"/>
        </w:rPr>
        <w:t>s.r</w:t>
      </w:r>
      <w:proofErr w:type="spellEnd"/>
      <w:r w:rsidRPr="00CE357F">
        <w:rPr>
          <w:rFonts w:ascii="Arial Narrow" w:hAnsi="Arial Narrow"/>
          <w:bCs/>
          <w:sz w:val="20"/>
          <w:szCs w:val="20"/>
        </w:rPr>
        <w:t>.</w:t>
      </w:r>
      <w:r w:rsidRPr="00CE357F">
        <w:rPr>
          <w:rFonts w:ascii="Arial Narrow" w:hAnsi="Arial Narrow"/>
          <w:bCs/>
          <w:sz w:val="20"/>
          <w:szCs w:val="20"/>
        </w:rPr>
        <w:tab/>
        <w:t>o</w:t>
      </w:r>
    </w:p>
    <w:p w14:paraId="721B7258" w14:textId="5C163EF8" w:rsidR="00B457EF" w:rsidRPr="00A73265" w:rsidRDefault="00B457EF" w:rsidP="00B457EF">
      <w:pPr>
        <w:spacing w:line="276" w:lineRule="auto"/>
        <w:jc w:val="both"/>
        <w:rPr>
          <w:rFonts w:ascii="Arial Narrow" w:hAnsi="Arial Narrow" w:cs="Arial"/>
        </w:rPr>
      </w:pPr>
      <w:bookmarkStart w:id="491" w:name="_Hlk95747422"/>
      <w:r w:rsidRPr="00A73265">
        <w:rPr>
          <w:rFonts w:ascii="Arial Narrow" w:hAnsi="Arial Narrow" w:cs="Arial"/>
        </w:rPr>
        <w:lastRenderedPageBreak/>
        <w:t xml:space="preserve">Podíváme-li se na data o době zaměstnání </w:t>
      </w:r>
      <w:r w:rsidRPr="00A73265">
        <w:rPr>
          <w:rFonts w:ascii="Arial Narrow" w:hAnsi="Arial Narrow"/>
        </w:rPr>
        <w:t xml:space="preserve">osob s jinou než českou státní příslušností </w:t>
      </w:r>
      <w:r w:rsidRPr="00A73265">
        <w:rPr>
          <w:rFonts w:ascii="Arial Narrow" w:hAnsi="Arial Narrow" w:cs="Arial"/>
        </w:rPr>
        <w:t>od roku 2008, můžeme vidět, že tito zaměstnanci zpravidla setrvávají ve svém zaměstnání déle než 12 měsíců. V letech 2009-2021 ve svém zaměstnání déle než 12 měsíců setrvalo průměrně 89 % zaměstnanců. S výjimkou roku 2008, kdy dobu setrvání v zaměstnání mohla výrazně ovlivnit počínající ekonomická krize, byla fluktuace zaměstnanců s jinou než českou státní příslušností nízká</w:t>
      </w:r>
      <w:bookmarkEnd w:id="491"/>
      <w:r w:rsidRPr="00A73265">
        <w:rPr>
          <w:rFonts w:ascii="Arial Narrow" w:hAnsi="Arial Narrow" w:cs="Arial"/>
        </w:rPr>
        <w:t>. Dobu zaměstnání osob s jinou než českou státní příslušností evidovaných na úřadech práce v Jihomoravském kraji v letech 2008-2021 podrobně dokumentuje následující graf.</w:t>
      </w:r>
    </w:p>
    <w:p w14:paraId="21FE8019" w14:textId="77777777" w:rsidR="00B457EF" w:rsidRPr="006D1FE3" w:rsidRDefault="00B457EF" w:rsidP="00B457EF">
      <w:pPr>
        <w:spacing w:line="276" w:lineRule="auto"/>
        <w:jc w:val="both"/>
        <w:rPr>
          <w:rFonts w:ascii="Arial Narrow" w:hAnsi="Arial Narrow" w:cs="Arial"/>
          <w:highlight w:val="yellow"/>
        </w:rPr>
      </w:pPr>
    </w:p>
    <w:p w14:paraId="3B8508BD" w14:textId="6D667FC8" w:rsidR="00B457EF" w:rsidRPr="00ED2BF9" w:rsidRDefault="00B457EF" w:rsidP="00B457EF">
      <w:pPr>
        <w:jc w:val="both"/>
        <w:rPr>
          <w:rFonts w:ascii="Arial Narrow" w:hAnsi="Arial Narrow"/>
          <w:b/>
          <w:bCs/>
          <w:sz w:val="20"/>
          <w:szCs w:val="20"/>
        </w:rPr>
      </w:pPr>
      <w:bookmarkStart w:id="492" w:name="_Toc94443775"/>
      <w:bookmarkStart w:id="493" w:name="_Toc136428921"/>
      <w:r w:rsidRPr="00ED2BF9">
        <w:rPr>
          <w:rFonts w:ascii="Arial Narrow" w:hAnsi="Arial Narrow"/>
          <w:b/>
          <w:sz w:val="20"/>
          <w:szCs w:val="20"/>
        </w:rPr>
        <w:t xml:space="preserve">Graf </w:t>
      </w:r>
      <w:r w:rsidRPr="00ED2BF9">
        <w:rPr>
          <w:rFonts w:ascii="Arial Narrow" w:hAnsi="Arial Narrow"/>
          <w:b/>
          <w:sz w:val="20"/>
          <w:szCs w:val="20"/>
        </w:rPr>
        <w:fldChar w:fldCharType="begin"/>
      </w:r>
      <w:r w:rsidRPr="00ED2BF9">
        <w:rPr>
          <w:rFonts w:ascii="Arial Narrow" w:hAnsi="Arial Narrow"/>
          <w:b/>
          <w:sz w:val="20"/>
          <w:szCs w:val="20"/>
        </w:rPr>
        <w:instrText xml:space="preserve"> SEQ Graf \* ARABIC </w:instrText>
      </w:r>
      <w:r w:rsidRPr="00ED2BF9">
        <w:rPr>
          <w:rFonts w:ascii="Arial Narrow" w:hAnsi="Arial Narrow"/>
          <w:b/>
          <w:sz w:val="20"/>
          <w:szCs w:val="20"/>
        </w:rPr>
        <w:fldChar w:fldCharType="separate"/>
      </w:r>
      <w:r w:rsidR="009F49C8">
        <w:rPr>
          <w:rFonts w:ascii="Arial Narrow" w:hAnsi="Arial Narrow"/>
          <w:b/>
          <w:noProof/>
          <w:sz w:val="20"/>
          <w:szCs w:val="20"/>
        </w:rPr>
        <w:t>77</w:t>
      </w:r>
      <w:r w:rsidRPr="00ED2BF9">
        <w:rPr>
          <w:rFonts w:ascii="Arial Narrow" w:hAnsi="Arial Narrow"/>
          <w:b/>
          <w:sz w:val="20"/>
          <w:szCs w:val="20"/>
        </w:rPr>
        <w:fldChar w:fldCharType="end"/>
      </w:r>
      <w:r w:rsidRPr="00ED2BF9">
        <w:rPr>
          <w:rFonts w:ascii="Arial Narrow" w:hAnsi="Arial Narrow"/>
          <w:b/>
          <w:sz w:val="20"/>
          <w:szCs w:val="20"/>
        </w:rPr>
        <w:t xml:space="preserve">: </w:t>
      </w:r>
      <w:r w:rsidRPr="00ED2BF9">
        <w:rPr>
          <w:rFonts w:ascii="Arial Narrow" w:hAnsi="Arial Narrow"/>
          <w:b/>
          <w:bCs/>
          <w:sz w:val="20"/>
          <w:szCs w:val="20"/>
        </w:rPr>
        <w:t>Doba zaměstnání osob s jinou než českou státní příslušností evidovaných na úřadech práce v Jihomoravském kraji v letech 2008–202</w:t>
      </w:r>
      <w:bookmarkEnd w:id="492"/>
      <w:r w:rsidRPr="00ED2BF9">
        <w:rPr>
          <w:rFonts w:ascii="Arial Narrow" w:hAnsi="Arial Narrow"/>
          <w:b/>
          <w:bCs/>
          <w:sz w:val="20"/>
          <w:szCs w:val="20"/>
        </w:rPr>
        <w:t>1</w:t>
      </w:r>
      <w:bookmarkEnd w:id="493"/>
    </w:p>
    <w:p w14:paraId="79AD0356" w14:textId="77777777" w:rsidR="00B457EF" w:rsidRPr="00ED2BF9" w:rsidRDefault="00B457EF" w:rsidP="7CC7BF57">
      <w:pPr>
        <w:spacing w:line="276" w:lineRule="auto"/>
        <w:rPr>
          <w:rFonts w:ascii="Arial Narrow" w:hAnsi="Arial Narrow"/>
          <w:b/>
          <w:bCs/>
          <w:color w:val="2F5496" w:themeColor="accent1" w:themeShade="BF"/>
        </w:rPr>
      </w:pPr>
      <w:r w:rsidRPr="00ED2BF9">
        <w:rPr>
          <w:rFonts w:ascii="Arial Narrow" w:hAnsi="Arial Narrow"/>
          <w:b/>
          <w:noProof/>
          <w:color w:val="2F5496" w:themeColor="accent1" w:themeShade="BF"/>
          <w:lang w:eastAsia="cs-CZ"/>
        </w:rPr>
        <w:drawing>
          <wp:inline distT="0" distB="0" distL="0" distR="0" wp14:anchorId="5B071E57" wp14:editId="3B23D091">
            <wp:extent cx="5783580" cy="4290060"/>
            <wp:effectExtent l="0" t="0" r="7620" b="0"/>
            <wp:docPr id="2089" name="Graf 2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7D6601C9" w14:textId="77777777" w:rsidR="00B457EF" w:rsidRPr="00ED2BF9" w:rsidRDefault="00B457EF" w:rsidP="00B457EF">
      <w:pPr>
        <w:spacing w:line="276" w:lineRule="auto"/>
        <w:rPr>
          <w:rFonts w:ascii="Arial Narrow" w:hAnsi="Arial Narrow"/>
          <w:bCs/>
          <w:sz w:val="20"/>
          <w:szCs w:val="20"/>
        </w:rPr>
      </w:pPr>
      <w:r w:rsidRPr="00ED2BF9">
        <w:rPr>
          <w:rFonts w:ascii="Arial Narrow" w:hAnsi="Arial Narrow"/>
          <w:bCs/>
          <w:sz w:val="20"/>
          <w:szCs w:val="20"/>
        </w:rPr>
        <w:t xml:space="preserve">Zdroj: </w:t>
      </w:r>
      <w:r w:rsidRPr="00ED2BF9">
        <w:rPr>
          <w:rFonts w:ascii="Arial Narrow" w:hAnsi="Arial Narrow" w:cs="Arial"/>
          <w:sz w:val="20"/>
        </w:rPr>
        <w:t>Úřad práce České republiky</w:t>
      </w:r>
      <w:r w:rsidRPr="00ED2BF9">
        <w:rPr>
          <w:rFonts w:ascii="Arial Narrow" w:hAnsi="Arial Narrow"/>
          <w:bCs/>
          <w:sz w:val="20"/>
          <w:szCs w:val="20"/>
        </w:rPr>
        <w:t xml:space="preserve"> (data k 31. 12. daného roku) </w:t>
      </w:r>
      <w:r w:rsidRPr="00ED2BF9">
        <w:rPr>
          <w:rFonts w:ascii="Arial Narrow" w:hAnsi="Arial Narrow"/>
          <w:bCs/>
          <w:sz w:val="20"/>
          <w:szCs w:val="20"/>
        </w:rPr>
        <w:tab/>
      </w:r>
      <w:r w:rsidRPr="00ED2BF9">
        <w:rPr>
          <w:rFonts w:ascii="Arial Narrow" w:hAnsi="Arial Narrow"/>
          <w:bCs/>
          <w:sz w:val="20"/>
          <w:szCs w:val="20"/>
        </w:rPr>
        <w:tab/>
      </w:r>
      <w:r w:rsidRPr="00ED2BF9">
        <w:rPr>
          <w:rFonts w:ascii="Arial Narrow" w:hAnsi="Arial Narrow"/>
          <w:bCs/>
          <w:sz w:val="20"/>
          <w:szCs w:val="20"/>
        </w:rPr>
        <w:tab/>
        <w:t xml:space="preserve">          Graf: AUGUR </w:t>
      </w:r>
      <w:proofErr w:type="spellStart"/>
      <w:r w:rsidRPr="00ED2BF9">
        <w:rPr>
          <w:rFonts w:ascii="Arial Narrow" w:hAnsi="Arial Narrow"/>
          <w:bCs/>
          <w:sz w:val="20"/>
          <w:szCs w:val="20"/>
        </w:rPr>
        <w:t>Consulting</w:t>
      </w:r>
      <w:proofErr w:type="spellEnd"/>
      <w:r w:rsidRPr="00ED2BF9">
        <w:rPr>
          <w:rFonts w:ascii="Arial Narrow" w:hAnsi="Arial Narrow"/>
          <w:bCs/>
          <w:sz w:val="20"/>
          <w:szCs w:val="20"/>
        </w:rPr>
        <w:t xml:space="preserve"> s.r.o.</w:t>
      </w:r>
    </w:p>
    <w:p w14:paraId="4D5F6C7D" w14:textId="189EC54B" w:rsidR="00B457EF" w:rsidRPr="00CE357F" w:rsidRDefault="00B457EF" w:rsidP="00B457EF">
      <w:pPr>
        <w:spacing w:line="276" w:lineRule="auto"/>
        <w:rPr>
          <w:rFonts w:ascii="Arial Narrow" w:hAnsi="Arial Narrow"/>
          <w:bCs/>
          <w:sz w:val="20"/>
          <w:szCs w:val="20"/>
        </w:rPr>
      </w:pPr>
      <w:r w:rsidRPr="00ED2BF9">
        <w:rPr>
          <w:rFonts w:ascii="Arial Narrow" w:hAnsi="Arial Narrow"/>
          <w:bCs/>
          <w:sz w:val="20"/>
          <w:szCs w:val="20"/>
        </w:rPr>
        <w:t>*rok 2013 – absence dat z okresů Brno-město, Hodonín a Vyškov</w:t>
      </w:r>
      <w:r w:rsidRPr="00ED2BF9">
        <w:rPr>
          <w:rFonts w:ascii="Arial Narrow" w:hAnsi="Arial Narrow"/>
          <w:bCs/>
          <w:sz w:val="20"/>
          <w:szCs w:val="20"/>
        </w:rPr>
        <w:br/>
      </w:r>
      <w:r w:rsidR="0087100F" w:rsidRPr="0087100F">
        <w:rPr>
          <w:rFonts w:ascii="Arial Narrow" w:hAnsi="Arial Narrow"/>
          <w:bCs/>
          <w:sz w:val="20"/>
          <w:szCs w:val="20"/>
        </w:rPr>
        <w:t>**rok 2021 – data platná k 30. 6. 2021</w:t>
      </w:r>
      <w:r w:rsidR="0087100F">
        <w:rPr>
          <w:rFonts w:ascii="Arial Narrow" w:hAnsi="Arial Narrow"/>
          <w:bCs/>
          <w:sz w:val="20"/>
          <w:szCs w:val="20"/>
        </w:rPr>
        <w:tab/>
        <w:t xml:space="preserve"> </w:t>
      </w:r>
    </w:p>
    <w:p w14:paraId="60D1C39C" w14:textId="77777777" w:rsidR="00B457EF" w:rsidRPr="00CE357F" w:rsidRDefault="00B457EF" w:rsidP="00B457EF">
      <w:pPr>
        <w:spacing w:line="276" w:lineRule="auto"/>
        <w:rPr>
          <w:rFonts w:ascii="Arial Narrow" w:hAnsi="Arial Narrow"/>
          <w:b/>
          <w:color w:val="2F5496" w:themeColor="accent1" w:themeShade="BF"/>
        </w:rPr>
      </w:pPr>
    </w:p>
    <w:p w14:paraId="6A4A2D75" w14:textId="77777777" w:rsidR="00B457EF" w:rsidRPr="00CE357F" w:rsidRDefault="00B457EF" w:rsidP="00B457EF">
      <w:pPr>
        <w:spacing w:after="240" w:line="276" w:lineRule="auto"/>
        <w:jc w:val="both"/>
        <w:rPr>
          <w:rFonts w:ascii="Arial Narrow" w:hAnsi="Arial Narrow" w:cs="Arial"/>
          <w:b/>
          <w:color w:val="C00000"/>
        </w:rPr>
      </w:pPr>
      <w:r w:rsidRPr="00CE357F">
        <w:rPr>
          <w:rFonts w:ascii="Arial Narrow" w:hAnsi="Arial Narrow" w:cs="Arial"/>
          <w:b/>
          <w:color w:val="C00000"/>
        </w:rPr>
        <w:t xml:space="preserve">Nejvyšší dosažené vzdělání zaměstnanců s jinou než českou státní příslušností </w:t>
      </w:r>
    </w:p>
    <w:p w14:paraId="1B7CD677" w14:textId="1F3C5565" w:rsidR="00167BA0" w:rsidRDefault="009D7EF6" w:rsidP="00167BA0">
      <w:pPr>
        <w:spacing w:line="276" w:lineRule="auto"/>
        <w:jc w:val="both"/>
        <w:rPr>
          <w:rFonts w:ascii="Arial Narrow" w:hAnsi="Arial Narrow"/>
          <w:b/>
          <w:sz w:val="20"/>
          <w:szCs w:val="20"/>
        </w:rPr>
      </w:pPr>
      <w:bookmarkStart w:id="494" w:name="_Toc94443776"/>
      <w:bookmarkStart w:id="495" w:name="_Hlk92727956"/>
      <w:r w:rsidRPr="00CE357F">
        <w:rPr>
          <w:rFonts w:ascii="Arial Narrow" w:hAnsi="Arial Narrow" w:cs="Arial"/>
        </w:rPr>
        <w:t>Více než ¼ zaměstnaných osob s jinou než česko</w:t>
      </w:r>
      <w:r>
        <w:rPr>
          <w:rFonts w:ascii="Arial Narrow" w:hAnsi="Arial Narrow" w:cs="Arial"/>
        </w:rPr>
        <w:t>u státní příslušností (29,23</w:t>
      </w:r>
      <w:r w:rsidRPr="00CE357F">
        <w:rPr>
          <w:rFonts w:ascii="Arial Narrow" w:hAnsi="Arial Narrow" w:cs="Arial"/>
        </w:rPr>
        <w:t xml:space="preserve"> %) evidovaných na úřadech práce v Ji</w:t>
      </w:r>
      <w:r>
        <w:rPr>
          <w:rFonts w:ascii="Arial Narrow" w:hAnsi="Arial Narrow" w:cs="Arial"/>
        </w:rPr>
        <w:t>homoravském kraji k 30. 6. 2021</w:t>
      </w:r>
      <w:r w:rsidRPr="00CE357F">
        <w:rPr>
          <w:rFonts w:ascii="Arial Narrow" w:hAnsi="Arial Narrow" w:cs="Arial"/>
        </w:rPr>
        <w:t xml:space="preserve"> měla základní vzdělání, či praktickou školu. Téměř ¼ zaměstnaných osob s jinou ne</w:t>
      </w:r>
      <w:r>
        <w:rPr>
          <w:rFonts w:ascii="Arial Narrow" w:hAnsi="Arial Narrow" w:cs="Arial"/>
        </w:rPr>
        <w:t>ž českou státní příslušností (23,63</w:t>
      </w:r>
      <w:r w:rsidRPr="00CE357F">
        <w:rPr>
          <w:rFonts w:ascii="Arial Narrow" w:hAnsi="Arial Narrow" w:cs="Arial"/>
        </w:rPr>
        <w:t xml:space="preserve"> %) evidovaných na úřadech </w:t>
      </w:r>
      <w:r>
        <w:rPr>
          <w:rFonts w:ascii="Arial Narrow" w:hAnsi="Arial Narrow" w:cs="Arial"/>
        </w:rPr>
        <w:t>práce v Jihomoravském kraji k 30. 6. 2021</w:t>
      </w:r>
      <w:r w:rsidRPr="00CE357F">
        <w:rPr>
          <w:rFonts w:ascii="Arial Narrow" w:hAnsi="Arial Narrow" w:cs="Arial"/>
        </w:rPr>
        <w:t xml:space="preserve"> měla ale vysokoškolské vzdělání. Třetí nejčastější úrovní vzdělání, které tito zaměstnanci dosáhli, bylo střední nebo střední odborné vzdělání bez maturity i výučního listu. Nejvyšší </w:t>
      </w:r>
      <w:r w:rsidRPr="009D7EF6">
        <w:rPr>
          <w:rFonts w:ascii="Arial Narrow" w:hAnsi="Arial Narrow" w:cs="Arial"/>
        </w:rPr>
        <w:t>dosažené vzdělání zaměstnaných osob s jinou než českou státní příslušností evidovaných na úřadech práce v Jihomoravském kraji k 30. 6. 2021 podrobně dokumentuje graf</w:t>
      </w:r>
      <w:r w:rsidR="00167BA0">
        <w:rPr>
          <w:rFonts w:ascii="Arial Narrow" w:hAnsi="Arial Narrow" w:cs="Arial"/>
        </w:rPr>
        <w:t xml:space="preserve"> č. 78</w:t>
      </w:r>
      <w:r w:rsidRPr="009D7EF6">
        <w:rPr>
          <w:rFonts w:ascii="Arial Narrow" w:hAnsi="Arial Narrow" w:cs="Arial"/>
        </w:rPr>
        <w:t>.</w:t>
      </w:r>
      <w:bookmarkStart w:id="496" w:name="_Toc136428922"/>
    </w:p>
    <w:p w14:paraId="17D75409" w14:textId="11F913E4" w:rsidR="00772E8E" w:rsidRPr="00167BA0" w:rsidRDefault="00772E8E" w:rsidP="00167BA0">
      <w:pPr>
        <w:spacing w:line="276" w:lineRule="auto"/>
        <w:jc w:val="both"/>
        <w:rPr>
          <w:rFonts w:ascii="Arial Narrow" w:hAnsi="Arial Narrow" w:cs="Arial"/>
        </w:rPr>
      </w:pPr>
      <w:r w:rsidRPr="009D7EF6">
        <w:rPr>
          <w:rFonts w:ascii="Arial Narrow" w:hAnsi="Arial Narrow"/>
          <w:b/>
          <w:sz w:val="20"/>
          <w:szCs w:val="20"/>
        </w:rPr>
        <w:lastRenderedPageBreak/>
        <w:t xml:space="preserve">Graf </w:t>
      </w:r>
      <w:r w:rsidRPr="009D7EF6">
        <w:rPr>
          <w:rFonts w:ascii="Arial Narrow" w:hAnsi="Arial Narrow"/>
          <w:b/>
          <w:sz w:val="20"/>
          <w:szCs w:val="20"/>
        </w:rPr>
        <w:fldChar w:fldCharType="begin"/>
      </w:r>
      <w:r w:rsidRPr="009D7EF6">
        <w:rPr>
          <w:rFonts w:ascii="Arial Narrow" w:hAnsi="Arial Narrow"/>
          <w:b/>
          <w:sz w:val="20"/>
          <w:szCs w:val="20"/>
        </w:rPr>
        <w:instrText xml:space="preserve"> SEQ Graf \* ARABIC </w:instrText>
      </w:r>
      <w:r w:rsidRPr="009D7EF6">
        <w:rPr>
          <w:rFonts w:ascii="Arial Narrow" w:hAnsi="Arial Narrow"/>
          <w:b/>
          <w:sz w:val="20"/>
          <w:szCs w:val="20"/>
        </w:rPr>
        <w:fldChar w:fldCharType="separate"/>
      </w:r>
      <w:r w:rsidR="009F49C8">
        <w:rPr>
          <w:rFonts w:ascii="Arial Narrow" w:hAnsi="Arial Narrow"/>
          <w:b/>
          <w:noProof/>
          <w:sz w:val="20"/>
          <w:szCs w:val="20"/>
        </w:rPr>
        <w:t>78</w:t>
      </w:r>
      <w:r w:rsidRPr="009D7EF6">
        <w:rPr>
          <w:rFonts w:ascii="Arial Narrow" w:hAnsi="Arial Narrow"/>
          <w:b/>
          <w:sz w:val="20"/>
          <w:szCs w:val="20"/>
        </w:rPr>
        <w:fldChar w:fldCharType="end"/>
      </w:r>
      <w:r w:rsidRPr="009D7EF6">
        <w:rPr>
          <w:rFonts w:ascii="Arial Narrow" w:hAnsi="Arial Narrow"/>
          <w:b/>
          <w:sz w:val="20"/>
          <w:szCs w:val="20"/>
        </w:rPr>
        <w:t>:</w:t>
      </w:r>
      <w:r w:rsidRPr="009D7EF6">
        <w:rPr>
          <w:rFonts w:ascii="Arial Narrow" w:eastAsiaTheme="minorEastAsia" w:hAnsi="Arial Narrow" w:cstheme="minorBidi"/>
          <w:b/>
          <w:bCs/>
          <w:color w:val="000000"/>
          <w:kern w:val="24"/>
          <w:sz w:val="20"/>
          <w:szCs w:val="20"/>
          <w:lang w:eastAsia="cs-CZ"/>
        </w:rPr>
        <w:t xml:space="preserve"> </w:t>
      </w:r>
      <w:r w:rsidRPr="009D7EF6">
        <w:rPr>
          <w:rFonts w:ascii="Arial Narrow" w:hAnsi="Arial Narrow"/>
          <w:b/>
          <w:bCs/>
          <w:sz w:val="20"/>
          <w:szCs w:val="20"/>
        </w:rPr>
        <w:t>Nejvyšší dosažené vzdělání osob s jinou než českou státní příslušností evidovaných na úřadech práce k</w:t>
      </w:r>
      <w:r w:rsidR="00C97514" w:rsidRPr="009D7EF6">
        <w:rPr>
          <w:rFonts w:ascii="Arial Narrow" w:hAnsi="Arial Narrow"/>
          <w:b/>
          <w:bCs/>
          <w:sz w:val="20"/>
          <w:szCs w:val="20"/>
        </w:rPr>
        <w:t> </w:t>
      </w:r>
      <w:r w:rsidRPr="009D7EF6">
        <w:rPr>
          <w:rFonts w:ascii="Arial Narrow" w:hAnsi="Arial Narrow"/>
          <w:b/>
          <w:bCs/>
          <w:sz w:val="20"/>
          <w:szCs w:val="20"/>
        </w:rPr>
        <w:t>3</w:t>
      </w:r>
      <w:bookmarkEnd w:id="494"/>
      <w:r w:rsidR="00C97514" w:rsidRPr="009D7EF6">
        <w:rPr>
          <w:rFonts w:ascii="Arial Narrow" w:hAnsi="Arial Narrow"/>
          <w:b/>
          <w:bCs/>
          <w:sz w:val="20"/>
          <w:szCs w:val="20"/>
        </w:rPr>
        <w:t>1. 12. 202</w:t>
      </w:r>
      <w:r w:rsidR="009D7EF6" w:rsidRPr="009D7EF6">
        <w:rPr>
          <w:rFonts w:ascii="Arial Narrow" w:hAnsi="Arial Narrow"/>
          <w:b/>
          <w:bCs/>
          <w:sz w:val="20"/>
          <w:szCs w:val="20"/>
        </w:rPr>
        <w:t>1</w:t>
      </w:r>
      <w:bookmarkEnd w:id="496"/>
    </w:p>
    <w:p w14:paraId="3ABFA799" w14:textId="77777777" w:rsidR="00772E8E" w:rsidRPr="009D7EF6" w:rsidRDefault="00772E8E" w:rsidP="7CC7BF57">
      <w:pPr>
        <w:spacing w:line="276" w:lineRule="auto"/>
        <w:rPr>
          <w:rFonts w:ascii="Arial Narrow" w:hAnsi="Arial Narrow"/>
          <w:b/>
          <w:bCs/>
          <w:color w:val="2F5496" w:themeColor="accent1" w:themeShade="BF"/>
        </w:rPr>
      </w:pPr>
      <w:r w:rsidRPr="009D7EF6">
        <w:rPr>
          <w:rFonts w:ascii="Arial Narrow" w:hAnsi="Arial Narrow"/>
          <w:b/>
          <w:noProof/>
          <w:color w:val="2F5496" w:themeColor="accent1" w:themeShade="BF"/>
          <w:lang w:eastAsia="cs-CZ"/>
        </w:rPr>
        <w:drawing>
          <wp:inline distT="0" distB="0" distL="0" distR="0" wp14:anchorId="4D1111EE" wp14:editId="22E9AC5B">
            <wp:extent cx="5734050" cy="3623310"/>
            <wp:effectExtent l="0" t="0" r="0" b="1524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7F7F5E7D" w14:textId="68A4C613" w:rsidR="00772E8E" w:rsidRPr="00167BA0" w:rsidRDefault="00772E8E" w:rsidP="00167BA0">
      <w:pPr>
        <w:spacing w:after="240" w:line="276" w:lineRule="auto"/>
        <w:rPr>
          <w:rFonts w:ascii="Arial Narrow" w:hAnsi="Arial Narrow"/>
          <w:bCs/>
          <w:sz w:val="20"/>
          <w:szCs w:val="20"/>
        </w:rPr>
      </w:pPr>
      <w:r w:rsidRPr="009D7EF6">
        <w:rPr>
          <w:rFonts w:ascii="Arial Narrow" w:hAnsi="Arial Narrow"/>
          <w:bCs/>
          <w:sz w:val="20"/>
          <w:szCs w:val="20"/>
        </w:rPr>
        <w:t xml:space="preserve">Zdroj: </w:t>
      </w:r>
      <w:r w:rsidRPr="009D7EF6">
        <w:rPr>
          <w:rFonts w:ascii="Arial Narrow" w:hAnsi="Arial Narrow" w:cs="Arial"/>
          <w:sz w:val="20"/>
        </w:rPr>
        <w:t>Úřad práce České republiky</w:t>
      </w:r>
      <w:r w:rsidRPr="009D7EF6">
        <w:rPr>
          <w:rFonts w:ascii="Arial Narrow" w:hAnsi="Arial Narrow"/>
          <w:bCs/>
          <w:sz w:val="20"/>
          <w:szCs w:val="20"/>
        </w:rPr>
        <w:t xml:space="preserve"> (data k 30. 6. 2021) </w:t>
      </w:r>
      <w:r w:rsidRPr="009D7EF6">
        <w:rPr>
          <w:rFonts w:ascii="Arial Narrow" w:hAnsi="Arial Narrow"/>
          <w:bCs/>
          <w:sz w:val="20"/>
          <w:szCs w:val="20"/>
        </w:rPr>
        <w:tab/>
      </w:r>
      <w:r w:rsidRPr="009D7EF6">
        <w:rPr>
          <w:rFonts w:ascii="Arial Narrow" w:hAnsi="Arial Narrow"/>
          <w:bCs/>
          <w:sz w:val="20"/>
          <w:szCs w:val="20"/>
        </w:rPr>
        <w:tab/>
        <w:t xml:space="preserve">               </w:t>
      </w:r>
      <w:r w:rsidRPr="009D7EF6">
        <w:rPr>
          <w:rFonts w:ascii="Arial Narrow" w:hAnsi="Arial Narrow"/>
          <w:bCs/>
          <w:sz w:val="20"/>
          <w:szCs w:val="20"/>
        </w:rPr>
        <w:tab/>
        <w:t xml:space="preserve">         Graf: AUGUR </w:t>
      </w:r>
      <w:proofErr w:type="spellStart"/>
      <w:r w:rsidRPr="009D7EF6">
        <w:rPr>
          <w:rFonts w:ascii="Arial Narrow" w:hAnsi="Arial Narrow"/>
          <w:bCs/>
          <w:sz w:val="20"/>
          <w:szCs w:val="20"/>
        </w:rPr>
        <w:t>Consulting</w:t>
      </w:r>
      <w:proofErr w:type="spellEnd"/>
      <w:r w:rsidRPr="009D7EF6">
        <w:rPr>
          <w:rFonts w:ascii="Arial Narrow" w:hAnsi="Arial Narrow"/>
          <w:bCs/>
          <w:sz w:val="20"/>
          <w:szCs w:val="20"/>
        </w:rPr>
        <w:t xml:space="preserve"> s.r.o.</w:t>
      </w:r>
    </w:p>
    <w:bookmarkEnd w:id="495"/>
    <w:p w14:paraId="6BBFF18B" w14:textId="1EBA276D" w:rsidR="009D7EF6" w:rsidRPr="00172D19" w:rsidRDefault="009D7EF6" w:rsidP="009D7EF6">
      <w:pPr>
        <w:spacing w:after="120" w:line="276" w:lineRule="auto"/>
        <w:jc w:val="both"/>
        <w:rPr>
          <w:rFonts w:ascii="Arial Narrow" w:hAnsi="Arial Narrow" w:cs="Arial"/>
        </w:rPr>
      </w:pPr>
      <w:r w:rsidRPr="00172D19">
        <w:rPr>
          <w:rFonts w:ascii="Arial Narrow" w:hAnsi="Arial Narrow" w:cs="Arial"/>
        </w:rPr>
        <w:t>Podíváme-li se na data o zastoupení zaměstnaných osob s jinou než českou státní příslušností dle nejvyššího dosaženého vzdělání v Jihomoravském kraji od roku 2008</w:t>
      </w:r>
      <w:r w:rsidR="00947ADC">
        <w:rPr>
          <w:rFonts w:ascii="Arial Narrow" w:hAnsi="Arial Narrow" w:cs="Arial"/>
        </w:rPr>
        <w:t xml:space="preserve"> (grafy č. 79 a č. 80)</w:t>
      </w:r>
      <w:r w:rsidRPr="00172D19">
        <w:rPr>
          <w:rFonts w:ascii="Arial Narrow" w:hAnsi="Arial Narrow" w:cs="Arial"/>
        </w:rPr>
        <w:t>, můžeme vidět určité trendy či výkyvy v jednotlivých letech</w:t>
      </w:r>
      <w:r w:rsidR="00167BA0">
        <w:rPr>
          <w:rFonts w:ascii="Arial Narrow" w:hAnsi="Arial Narrow" w:cs="Arial"/>
        </w:rPr>
        <w:t>.</w:t>
      </w:r>
      <w:r w:rsidRPr="00172D19">
        <w:rPr>
          <w:rStyle w:val="Znakapoznpodarou"/>
          <w:rFonts w:ascii="Arial Narrow" w:hAnsi="Arial Narrow"/>
        </w:rPr>
        <w:footnoteReference w:id="52"/>
      </w:r>
    </w:p>
    <w:p w14:paraId="3DA25DCD" w14:textId="77777777" w:rsidR="009D7EF6" w:rsidRPr="00CE357F" w:rsidRDefault="009D7EF6" w:rsidP="009D7EF6">
      <w:pPr>
        <w:spacing w:after="120" w:line="276" w:lineRule="auto"/>
        <w:jc w:val="both"/>
        <w:rPr>
          <w:rFonts w:ascii="Arial Narrow" w:hAnsi="Arial Narrow" w:cs="Arial"/>
        </w:rPr>
      </w:pPr>
      <w:bookmarkStart w:id="497" w:name="_Hlk95747543"/>
      <w:r w:rsidRPr="00172D19">
        <w:rPr>
          <w:rFonts w:ascii="Arial Narrow" w:hAnsi="Arial Narrow" w:cs="Arial"/>
        </w:rPr>
        <w:t>Vzdělanostní kategorie „vysokoškolské a vyšší odborné vzdělání“ byla zastoupena nejméně v letech 2008–2010. V roce 2008 se jednalo pouze o 14,7 % osob s tímto vzděláním oproti 25,5 % osob s tímto vzděláním v roce 2021. Tato kategorie se v roce 2011 a 2012 skokově přiblížila téměř k 30 % zastoupení, od roku 2014 se pak konstantně pohybuje v průměru okolo 26,7 % zastoupení mezi zaměstnanými osobami s jinou než českou státní příslušností v Jihomoravském kraji.</w:t>
      </w:r>
      <w:r w:rsidRPr="00CE357F">
        <w:rPr>
          <w:rFonts w:ascii="Arial Narrow" w:hAnsi="Arial Narrow" w:cs="Arial"/>
        </w:rPr>
        <w:t xml:space="preserve">  </w:t>
      </w:r>
    </w:p>
    <w:bookmarkEnd w:id="497"/>
    <w:p w14:paraId="18F56880" w14:textId="77777777" w:rsidR="009D7EF6" w:rsidRPr="00CE357F" w:rsidRDefault="009D7EF6" w:rsidP="009D7EF6">
      <w:pPr>
        <w:spacing w:after="120" w:line="276" w:lineRule="auto"/>
        <w:jc w:val="both"/>
        <w:rPr>
          <w:rFonts w:ascii="Arial Narrow" w:hAnsi="Arial Narrow" w:cs="Arial"/>
        </w:rPr>
      </w:pPr>
      <w:r w:rsidRPr="00507DA3">
        <w:rPr>
          <w:rFonts w:ascii="Arial Narrow" w:hAnsi="Arial Narrow" w:cs="Arial"/>
        </w:rPr>
        <w:t>Vzdělanostní kategorie „střední a odborné vzdělání s maturitou“ se mezi lety 2008–2021 konstantně pohybovala mezi 16,9 % až 25,3 % zastoupení v základním vzorku. Vzdělanostní kategorie „střední vzdělání bez maturity“ se mezi lety 2008–2021 konstantně pohybovala mezi 18,3 % až 27,3 %</w:t>
      </w:r>
      <w:r w:rsidRPr="00507DA3">
        <w:rPr>
          <w:rStyle w:val="Znakapoznpodarou"/>
          <w:rFonts w:ascii="Arial Narrow" w:hAnsi="Arial Narrow" w:cs="Arial"/>
        </w:rPr>
        <w:footnoteReference w:id="53"/>
      </w:r>
      <w:r w:rsidRPr="00507DA3">
        <w:rPr>
          <w:rFonts w:ascii="Arial Narrow" w:hAnsi="Arial Narrow" w:cs="Arial"/>
        </w:rPr>
        <w:t xml:space="preserve"> zastoupení v základním vzorku a jedná se tak o nejpočetněji zastoupenou vzdělanostní kategorii. V součtu byly tyto vzdělanostní kategorie nejvíce zastoupeny opět v letech 2011 a 2012.  </w:t>
      </w:r>
    </w:p>
    <w:p w14:paraId="19B6C6FA" w14:textId="77777777" w:rsidR="009D7EF6" w:rsidRPr="00CE357F" w:rsidRDefault="009D7EF6" w:rsidP="009D7EF6">
      <w:pPr>
        <w:spacing w:after="120" w:line="276" w:lineRule="auto"/>
        <w:jc w:val="both"/>
        <w:rPr>
          <w:rFonts w:ascii="Arial Narrow" w:hAnsi="Arial Narrow" w:cs="Arial"/>
        </w:rPr>
      </w:pPr>
      <w:bookmarkStart w:id="498" w:name="_Hlk95747563"/>
      <w:r w:rsidRPr="00CE357F">
        <w:rPr>
          <w:rFonts w:ascii="Arial Narrow" w:hAnsi="Arial Narrow" w:cs="Arial"/>
        </w:rPr>
        <w:t xml:space="preserve">Vzdělanostní kategorie „základní vzdělání“ vykazuje opačný trend než kategorie „vysokoškolské a vyšší odborné vzdělání“. Nejvíce byla zastoupena v letech 2008–2010. V roce 2008 se jednalo o 39,7 % </w:t>
      </w:r>
      <w:r>
        <w:rPr>
          <w:rFonts w:ascii="Arial Narrow" w:hAnsi="Arial Narrow" w:cs="Arial"/>
        </w:rPr>
        <w:t xml:space="preserve">osob s tímto vzděláním </w:t>
      </w:r>
      <w:r>
        <w:rPr>
          <w:rFonts w:ascii="Arial Narrow" w:hAnsi="Arial Narrow" w:cs="Arial"/>
        </w:rPr>
        <w:lastRenderedPageBreak/>
        <w:t>oproti 29,2</w:t>
      </w:r>
      <w:r w:rsidRPr="00CE357F">
        <w:rPr>
          <w:rFonts w:ascii="Arial Narrow" w:hAnsi="Arial Narrow" w:cs="Arial"/>
        </w:rPr>
        <w:t xml:space="preserve"> % os</w:t>
      </w:r>
      <w:r>
        <w:rPr>
          <w:rFonts w:ascii="Arial Narrow" w:hAnsi="Arial Narrow" w:cs="Arial"/>
        </w:rPr>
        <w:t>ob s tímto vzděláním v roce 2021</w:t>
      </w:r>
      <w:r w:rsidRPr="00CE357F">
        <w:rPr>
          <w:rFonts w:ascii="Arial Narrow" w:hAnsi="Arial Narrow" w:cs="Arial"/>
        </w:rPr>
        <w:t>, v roce 2012 se jednalo pouze o 11,2 %. Od roku 2014 opětovně vykazuje mírný meziroční nárůst.</w:t>
      </w:r>
    </w:p>
    <w:p w14:paraId="26601826" w14:textId="66873366" w:rsidR="009D7EF6" w:rsidRPr="00947ADC" w:rsidRDefault="009D7EF6" w:rsidP="00947ADC">
      <w:pPr>
        <w:spacing w:after="120" w:line="276" w:lineRule="auto"/>
        <w:jc w:val="both"/>
        <w:rPr>
          <w:rFonts w:ascii="Arial Narrow" w:hAnsi="Arial Narrow" w:cs="Arial"/>
        </w:rPr>
      </w:pPr>
      <w:bookmarkStart w:id="499" w:name="_Hlk95384548"/>
      <w:bookmarkEnd w:id="498"/>
      <w:r w:rsidRPr="00CE357F">
        <w:rPr>
          <w:rFonts w:ascii="Arial Narrow" w:hAnsi="Arial Narrow" w:cs="Arial"/>
        </w:rPr>
        <w:t xml:space="preserve">Výjimkou byl pouze rok 2017, kdy můžeme ojediněle pozorovat zvýšený nárůst osob se vzdělanostní kategorií „bez vzdělání“, jednalo se o 9,7 % osob ze základního vzorku. </w:t>
      </w:r>
      <w:bookmarkStart w:id="500" w:name="_Toc94443777"/>
      <w:bookmarkStart w:id="501" w:name="_Toc95986552"/>
    </w:p>
    <w:p w14:paraId="49B5A7D9" w14:textId="2E532826" w:rsidR="009D7EF6" w:rsidRPr="00CE357F" w:rsidRDefault="009D7EF6" w:rsidP="009D7EF6">
      <w:pPr>
        <w:jc w:val="both"/>
        <w:rPr>
          <w:rFonts w:ascii="Arial Narrow" w:hAnsi="Arial Narrow"/>
          <w:b/>
          <w:bCs/>
          <w:sz w:val="20"/>
          <w:szCs w:val="20"/>
        </w:rPr>
      </w:pPr>
      <w:bookmarkStart w:id="502" w:name="_Toc136428923"/>
      <w:r w:rsidRPr="005A1DC5">
        <w:rPr>
          <w:rFonts w:ascii="Arial Narrow" w:hAnsi="Arial Narrow"/>
          <w:b/>
          <w:sz w:val="20"/>
          <w:szCs w:val="20"/>
        </w:rPr>
        <w:t xml:space="preserve">Graf </w:t>
      </w:r>
      <w:r w:rsidRPr="005A1DC5">
        <w:rPr>
          <w:rFonts w:ascii="Arial Narrow" w:hAnsi="Arial Narrow"/>
          <w:b/>
          <w:sz w:val="20"/>
          <w:szCs w:val="20"/>
        </w:rPr>
        <w:fldChar w:fldCharType="begin"/>
      </w:r>
      <w:r w:rsidRPr="005A1DC5">
        <w:rPr>
          <w:rFonts w:ascii="Arial Narrow" w:hAnsi="Arial Narrow"/>
          <w:b/>
          <w:sz w:val="20"/>
          <w:szCs w:val="20"/>
        </w:rPr>
        <w:instrText xml:space="preserve"> SEQ Graf \* ARABIC </w:instrText>
      </w:r>
      <w:r w:rsidRPr="005A1DC5">
        <w:rPr>
          <w:rFonts w:ascii="Arial Narrow" w:hAnsi="Arial Narrow"/>
          <w:b/>
          <w:sz w:val="20"/>
          <w:szCs w:val="20"/>
        </w:rPr>
        <w:fldChar w:fldCharType="separate"/>
      </w:r>
      <w:r w:rsidR="009F49C8">
        <w:rPr>
          <w:rFonts w:ascii="Arial Narrow" w:hAnsi="Arial Narrow"/>
          <w:b/>
          <w:noProof/>
          <w:sz w:val="20"/>
          <w:szCs w:val="20"/>
        </w:rPr>
        <w:t>79</w:t>
      </w:r>
      <w:r w:rsidRPr="005A1DC5">
        <w:rPr>
          <w:rFonts w:ascii="Arial Narrow" w:hAnsi="Arial Narrow"/>
          <w:b/>
          <w:sz w:val="20"/>
          <w:szCs w:val="20"/>
        </w:rPr>
        <w:fldChar w:fldCharType="end"/>
      </w:r>
      <w:r w:rsidRPr="005A1DC5">
        <w:rPr>
          <w:rFonts w:ascii="Arial Narrow" w:hAnsi="Arial Narrow"/>
          <w:b/>
          <w:sz w:val="20"/>
          <w:szCs w:val="20"/>
        </w:rPr>
        <w:t>:</w:t>
      </w:r>
      <w:r w:rsidRPr="005A1DC5">
        <w:rPr>
          <w:rFonts w:ascii="Arial Narrow" w:eastAsiaTheme="minorEastAsia" w:hAnsi="Arial Narrow" w:cstheme="minorBidi"/>
          <w:b/>
          <w:bCs/>
          <w:color w:val="000000"/>
          <w:kern w:val="24"/>
          <w:sz w:val="20"/>
          <w:szCs w:val="20"/>
          <w:lang w:eastAsia="cs-CZ"/>
        </w:rPr>
        <w:t xml:space="preserve"> </w:t>
      </w:r>
      <w:r w:rsidRPr="005A1DC5">
        <w:rPr>
          <w:rFonts w:ascii="Arial Narrow" w:hAnsi="Arial Narrow"/>
          <w:b/>
          <w:bCs/>
          <w:sz w:val="20"/>
          <w:szCs w:val="20"/>
        </w:rPr>
        <w:t>Počty zaměstnaných osob s jinou než českou státní příslušností v Jihomoravském kraji dle nejvyššího dosaženého vzdělání v letech 2008–202</w:t>
      </w:r>
      <w:bookmarkEnd w:id="500"/>
      <w:bookmarkEnd w:id="501"/>
      <w:r w:rsidRPr="005A1DC5">
        <w:rPr>
          <w:rFonts w:ascii="Arial Narrow" w:hAnsi="Arial Narrow"/>
          <w:b/>
          <w:bCs/>
          <w:sz w:val="20"/>
          <w:szCs w:val="20"/>
        </w:rPr>
        <w:t>1</w:t>
      </w:r>
      <w:bookmarkEnd w:id="502"/>
    </w:p>
    <w:p w14:paraId="58F51BF4" w14:textId="77777777" w:rsidR="009D7EF6" w:rsidRPr="00CE357F" w:rsidRDefault="009D7EF6" w:rsidP="7CC7BF57">
      <w:pPr>
        <w:rPr>
          <w:rFonts w:ascii="Arial Narrow" w:hAnsi="Arial Narrow"/>
          <w:b/>
          <w:bCs/>
          <w:color w:val="2F5496" w:themeColor="accent1" w:themeShade="BF"/>
        </w:rPr>
      </w:pPr>
      <w:bookmarkStart w:id="503" w:name="_Hlk92727409"/>
      <w:r w:rsidRPr="00CE357F">
        <w:rPr>
          <w:rFonts w:ascii="Arial Narrow" w:hAnsi="Arial Narrow"/>
          <w:b/>
          <w:noProof/>
          <w:color w:val="2F5496" w:themeColor="accent1" w:themeShade="BF"/>
          <w:lang w:eastAsia="cs-CZ"/>
        </w:rPr>
        <w:drawing>
          <wp:inline distT="0" distB="0" distL="0" distR="0" wp14:anchorId="5A489129" wp14:editId="6B8836F0">
            <wp:extent cx="5867400" cy="3381375"/>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E3E3D9A" w14:textId="77777777" w:rsidR="009D7EF6" w:rsidRPr="00CE357F" w:rsidRDefault="009D7EF6" w:rsidP="009D7EF6">
      <w:pPr>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sidRPr="00CE357F">
        <w:rPr>
          <w:rFonts w:ascii="Arial Narrow" w:hAnsi="Arial Narrow"/>
          <w:bCs/>
          <w:sz w:val="20"/>
          <w:szCs w:val="20"/>
        </w:rPr>
        <w:t xml:space="preserve"> (data k 31. 12. daného roku)</w:t>
      </w:r>
      <w:r w:rsidRPr="00CE357F">
        <w:rPr>
          <w:rStyle w:val="Znakapoznpodarou"/>
          <w:rFonts w:ascii="Arial Narrow" w:hAnsi="Arial Narrow"/>
          <w:sz w:val="20"/>
          <w:szCs w:val="20"/>
        </w:rPr>
        <w:footnoteReference w:id="54"/>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44CE0E3E" w14:textId="77777777" w:rsidR="009D7EF6" w:rsidRDefault="009D7EF6" w:rsidP="009D7EF6">
      <w:pPr>
        <w:spacing w:line="276" w:lineRule="auto"/>
        <w:rPr>
          <w:rFonts w:ascii="Arial Narrow" w:hAnsi="Arial Narrow"/>
          <w:bCs/>
          <w:sz w:val="20"/>
          <w:szCs w:val="20"/>
        </w:rPr>
      </w:pPr>
      <w:r w:rsidRPr="00CE357F">
        <w:rPr>
          <w:rFonts w:ascii="Arial Narrow" w:hAnsi="Arial Narrow"/>
          <w:bCs/>
          <w:sz w:val="20"/>
          <w:szCs w:val="20"/>
        </w:rPr>
        <w:t>*rok 2013 – absence dat z okresů Brno-město, Hodonín a Vyškov</w:t>
      </w:r>
    </w:p>
    <w:p w14:paraId="30053D70" w14:textId="77777777" w:rsidR="009D7EF6" w:rsidRDefault="009D7EF6" w:rsidP="009D7EF6">
      <w:pPr>
        <w:spacing w:line="276" w:lineRule="auto"/>
        <w:rPr>
          <w:rFonts w:ascii="Arial Narrow" w:hAnsi="Arial Narrow"/>
          <w:bCs/>
          <w:sz w:val="20"/>
          <w:szCs w:val="20"/>
        </w:rPr>
      </w:pPr>
      <w:r>
        <w:rPr>
          <w:rFonts w:ascii="Arial Narrow" w:hAnsi="Arial Narrow"/>
          <w:bCs/>
          <w:sz w:val="20"/>
          <w:szCs w:val="20"/>
        </w:rPr>
        <w:t>*rok 2021 – data k 30. 6. 2021</w:t>
      </w:r>
    </w:p>
    <w:p w14:paraId="6823984A" w14:textId="77777777" w:rsidR="006B0149" w:rsidRDefault="006B0149" w:rsidP="009D7EF6">
      <w:pPr>
        <w:spacing w:line="276" w:lineRule="auto"/>
        <w:rPr>
          <w:rFonts w:ascii="Arial Narrow" w:hAnsi="Arial Narrow"/>
          <w:bCs/>
          <w:sz w:val="20"/>
          <w:szCs w:val="20"/>
        </w:rPr>
      </w:pPr>
    </w:p>
    <w:p w14:paraId="7596B01D" w14:textId="77777777" w:rsidR="006B0149" w:rsidRDefault="006B0149" w:rsidP="009D7EF6">
      <w:pPr>
        <w:spacing w:line="276" w:lineRule="auto"/>
        <w:rPr>
          <w:rFonts w:ascii="Arial Narrow" w:hAnsi="Arial Narrow"/>
          <w:bCs/>
          <w:sz w:val="20"/>
          <w:szCs w:val="20"/>
        </w:rPr>
      </w:pPr>
    </w:p>
    <w:p w14:paraId="4576D991" w14:textId="77777777" w:rsidR="006B0149" w:rsidRDefault="006B0149" w:rsidP="009D7EF6">
      <w:pPr>
        <w:spacing w:line="276" w:lineRule="auto"/>
        <w:rPr>
          <w:rFonts w:ascii="Arial Narrow" w:hAnsi="Arial Narrow"/>
          <w:bCs/>
          <w:sz w:val="20"/>
          <w:szCs w:val="20"/>
        </w:rPr>
      </w:pPr>
    </w:p>
    <w:p w14:paraId="554CE68C" w14:textId="77777777" w:rsidR="006B0149" w:rsidRDefault="006B0149" w:rsidP="009D7EF6">
      <w:pPr>
        <w:spacing w:line="276" w:lineRule="auto"/>
        <w:rPr>
          <w:rFonts w:ascii="Arial Narrow" w:hAnsi="Arial Narrow"/>
          <w:bCs/>
          <w:sz w:val="20"/>
          <w:szCs w:val="20"/>
        </w:rPr>
      </w:pPr>
    </w:p>
    <w:p w14:paraId="5D9A4AA9" w14:textId="77777777" w:rsidR="006B0149" w:rsidRDefault="006B0149" w:rsidP="009D7EF6">
      <w:pPr>
        <w:spacing w:line="276" w:lineRule="auto"/>
        <w:rPr>
          <w:rFonts w:ascii="Arial Narrow" w:hAnsi="Arial Narrow"/>
          <w:bCs/>
          <w:sz w:val="20"/>
          <w:szCs w:val="20"/>
        </w:rPr>
      </w:pPr>
    </w:p>
    <w:p w14:paraId="59D2614C" w14:textId="77777777" w:rsidR="006B0149" w:rsidRDefault="006B0149" w:rsidP="009D7EF6">
      <w:pPr>
        <w:spacing w:line="276" w:lineRule="auto"/>
        <w:rPr>
          <w:rFonts w:ascii="Arial Narrow" w:hAnsi="Arial Narrow"/>
          <w:bCs/>
          <w:sz w:val="20"/>
          <w:szCs w:val="20"/>
        </w:rPr>
      </w:pPr>
    </w:p>
    <w:p w14:paraId="218D847D" w14:textId="77777777" w:rsidR="006B0149" w:rsidRDefault="006B0149" w:rsidP="009D7EF6">
      <w:pPr>
        <w:spacing w:line="276" w:lineRule="auto"/>
        <w:rPr>
          <w:rFonts w:ascii="Arial Narrow" w:hAnsi="Arial Narrow"/>
          <w:bCs/>
          <w:sz w:val="20"/>
          <w:szCs w:val="20"/>
        </w:rPr>
      </w:pPr>
    </w:p>
    <w:p w14:paraId="6E235FD4" w14:textId="77777777" w:rsidR="006B0149" w:rsidRDefault="006B0149" w:rsidP="009D7EF6">
      <w:pPr>
        <w:spacing w:line="276" w:lineRule="auto"/>
        <w:rPr>
          <w:rFonts w:ascii="Arial Narrow" w:hAnsi="Arial Narrow"/>
          <w:bCs/>
          <w:sz w:val="20"/>
          <w:szCs w:val="20"/>
        </w:rPr>
      </w:pPr>
    </w:p>
    <w:p w14:paraId="55892D2D" w14:textId="77777777" w:rsidR="006B0149" w:rsidRDefault="006B0149" w:rsidP="009D7EF6">
      <w:pPr>
        <w:spacing w:line="276" w:lineRule="auto"/>
        <w:rPr>
          <w:rFonts w:ascii="Arial Narrow" w:hAnsi="Arial Narrow"/>
          <w:bCs/>
          <w:sz w:val="20"/>
          <w:szCs w:val="20"/>
        </w:rPr>
      </w:pPr>
    </w:p>
    <w:p w14:paraId="4EE9F073" w14:textId="77777777" w:rsidR="006B0149" w:rsidRDefault="006B0149" w:rsidP="009D7EF6">
      <w:pPr>
        <w:spacing w:line="276" w:lineRule="auto"/>
        <w:rPr>
          <w:rFonts w:ascii="Arial Narrow" w:hAnsi="Arial Narrow"/>
          <w:bCs/>
          <w:sz w:val="20"/>
          <w:szCs w:val="20"/>
        </w:rPr>
      </w:pPr>
    </w:p>
    <w:p w14:paraId="72650ED7" w14:textId="77777777" w:rsidR="006B0149" w:rsidRDefault="006B0149" w:rsidP="009D7EF6">
      <w:pPr>
        <w:spacing w:line="276" w:lineRule="auto"/>
        <w:rPr>
          <w:rFonts w:ascii="Arial Narrow" w:hAnsi="Arial Narrow"/>
          <w:bCs/>
          <w:sz w:val="20"/>
          <w:szCs w:val="20"/>
        </w:rPr>
      </w:pPr>
    </w:p>
    <w:p w14:paraId="0021BDC8" w14:textId="77777777" w:rsidR="00947ADC" w:rsidRPr="00CE357F" w:rsidRDefault="00947ADC" w:rsidP="009D7EF6">
      <w:pPr>
        <w:spacing w:line="276" w:lineRule="auto"/>
        <w:rPr>
          <w:rFonts w:ascii="Arial Narrow" w:hAnsi="Arial Narrow"/>
          <w:bCs/>
          <w:sz w:val="20"/>
          <w:szCs w:val="20"/>
        </w:rPr>
      </w:pPr>
    </w:p>
    <w:p w14:paraId="6BAFFE69" w14:textId="77942F0E" w:rsidR="009D7EF6" w:rsidRPr="00CE357F" w:rsidRDefault="009D7EF6" w:rsidP="009D7EF6">
      <w:pPr>
        <w:spacing w:line="276" w:lineRule="auto"/>
        <w:jc w:val="both"/>
        <w:rPr>
          <w:rFonts w:ascii="Arial Narrow" w:hAnsi="Arial Narrow"/>
          <w:b/>
          <w:bCs/>
          <w:sz w:val="20"/>
          <w:szCs w:val="20"/>
        </w:rPr>
      </w:pPr>
      <w:bookmarkStart w:id="504" w:name="_Toc94443778"/>
      <w:bookmarkStart w:id="505" w:name="_Toc95986553"/>
      <w:bookmarkStart w:id="506" w:name="_Toc136428924"/>
      <w:bookmarkStart w:id="507" w:name="_Hlk92727821"/>
      <w:bookmarkEnd w:id="503"/>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80</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kern w:val="24"/>
          <w:sz w:val="20"/>
          <w:szCs w:val="20"/>
          <w:lang w:eastAsia="cs-CZ"/>
        </w:rPr>
        <w:t xml:space="preserve"> </w:t>
      </w:r>
      <w:r w:rsidRPr="005A1DC5">
        <w:rPr>
          <w:rFonts w:ascii="Arial Narrow" w:hAnsi="Arial Narrow"/>
          <w:b/>
          <w:bCs/>
          <w:sz w:val="20"/>
          <w:szCs w:val="20"/>
        </w:rPr>
        <w:t>Procentuální zastoupení osob s jinou než českou státní příslušností v JMK dle nejvyššího dosaženého vzdělání v letech 2008–202</w:t>
      </w:r>
      <w:bookmarkEnd w:id="504"/>
      <w:bookmarkEnd w:id="505"/>
      <w:r w:rsidRPr="005A1DC5">
        <w:rPr>
          <w:rFonts w:ascii="Arial Narrow" w:hAnsi="Arial Narrow"/>
          <w:b/>
          <w:bCs/>
          <w:sz w:val="20"/>
          <w:szCs w:val="20"/>
        </w:rPr>
        <w:t>1</w:t>
      </w:r>
      <w:bookmarkEnd w:id="506"/>
    </w:p>
    <w:p w14:paraId="59BFDFBB" w14:textId="77777777" w:rsidR="009D7EF6" w:rsidRPr="00CE357F" w:rsidRDefault="009D7EF6" w:rsidP="7CC7BF57">
      <w:pPr>
        <w:spacing w:line="276" w:lineRule="auto"/>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inline distT="0" distB="0" distL="0" distR="0" wp14:anchorId="69BE4677" wp14:editId="43A22875">
            <wp:extent cx="5692140" cy="5105400"/>
            <wp:effectExtent l="0" t="0" r="3810" b="0"/>
            <wp:docPr id="2080" name="Graf 2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bookmarkEnd w:id="507"/>
    <w:p w14:paraId="30F6DDD4" w14:textId="77777777" w:rsidR="009D7EF6" w:rsidRPr="00CE357F" w:rsidRDefault="009D7EF6" w:rsidP="009D7EF6">
      <w:pPr>
        <w:spacing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sidRPr="00CE357F">
        <w:rPr>
          <w:rFonts w:ascii="Arial Narrow" w:hAnsi="Arial Narrow"/>
          <w:bCs/>
          <w:sz w:val="20"/>
          <w:szCs w:val="20"/>
        </w:rPr>
        <w:t xml:space="preserve"> (data k 31. 12. daného roku)</w:t>
      </w:r>
      <w:r w:rsidRPr="00CE357F">
        <w:rPr>
          <w:rStyle w:val="Znakapoznpodarou"/>
          <w:rFonts w:ascii="Arial Narrow" w:hAnsi="Arial Narrow"/>
          <w:sz w:val="20"/>
          <w:szCs w:val="20"/>
        </w:rPr>
        <w:footnoteReference w:id="55"/>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t xml:space="preserve">                   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09A8E024" w14:textId="77777777" w:rsidR="009D7EF6" w:rsidRDefault="009D7EF6" w:rsidP="009D7EF6">
      <w:pPr>
        <w:spacing w:line="276" w:lineRule="auto"/>
        <w:rPr>
          <w:rFonts w:ascii="Arial Narrow" w:hAnsi="Arial Narrow"/>
          <w:bCs/>
          <w:sz w:val="20"/>
          <w:szCs w:val="20"/>
        </w:rPr>
      </w:pPr>
      <w:r w:rsidRPr="00CE357F">
        <w:rPr>
          <w:rFonts w:ascii="Arial Narrow" w:hAnsi="Arial Narrow"/>
          <w:bCs/>
          <w:sz w:val="20"/>
          <w:szCs w:val="20"/>
        </w:rPr>
        <w:t>*rok 2013 – absence dat z okresů Brno-město, Hodonín a Vyškov</w:t>
      </w:r>
    </w:p>
    <w:p w14:paraId="2EAB7B8D" w14:textId="77777777" w:rsidR="009D7EF6" w:rsidRPr="00CE357F" w:rsidRDefault="009D7EF6" w:rsidP="009D7EF6">
      <w:pPr>
        <w:spacing w:line="276" w:lineRule="auto"/>
        <w:rPr>
          <w:rFonts w:ascii="Arial Narrow" w:hAnsi="Arial Narrow"/>
          <w:bCs/>
          <w:sz w:val="20"/>
          <w:szCs w:val="20"/>
        </w:rPr>
      </w:pPr>
      <w:r>
        <w:rPr>
          <w:rFonts w:ascii="Arial Narrow" w:hAnsi="Arial Narrow"/>
          <w:bCs/>
          <w:sz w:val="20"/>
          <w:szCs w:val="20"/>
        </w:rPr>
        <w:t>** rok 2021 – data k 30. 6. 2021</w:t>
      </w:r>
    </w:p>
    <w:p w14:paraId="1189344B" w14:textId="77777777" w:rsidR="009D7EF6" w:rsidRPr="00CE357F" w:rsidRDefault="009D7EF6" w:rsidP="009D7EF6">
      <w:pPr>
        <w:spacing w:line="276" w:lineRule="auto"/>
        <w:rPr>
          <w:rFonts w:ascii="Arial Narrow" w:hAnsi="Arial Narrow"/>
          <w:b/>
          <w:color w:val="2F5496" w:themeColor="accent1" w:themeShade="BF"/>
        </w:rPr>
      </w:pPr>
    </w:p>
    <w:bookmarkEnd w:id="499"/>
    <w:p w14:paraId="57A7E7FA" w14:textId="77777777" w:rsidR="009D7EF6" w:rsidRPr="00CE357F" w:rsidRDefault="009D7EF6" w:rsidP="009D7EF6">
      <w:pPr>
        <w:spacing w:after="240" w:line="276" w:lineRule="auto"/>
        <w:jc w:val="both"/>
        <w:rPr>
          <w:rFonts w:ascii="Arial Narrow" w:hAnsi="Arial Narrow" w:cs="Arial"/>
          <w:b/>
          <w:color w:val="C00000"/>
        </w:rPr>
      </w:pPr>
      <w:r w:rsidRPr="00CE357F">
        <w:rPr>
          <w:rFonts w:ascii="Arial Narrow" w:hAnsi="Arial Narrow" w:cs="Arial"/>
          <w:b/>
          <w:color w:val="C00000"/>
        </w:rPr>
        <w:t xml:space="preserve">Požadavek na vzdělání zaměstnanců s jinou než českou státní příslušností </w:t>
      </w:r>
    </w:p>
    <w:p w14:paraId="5F7B4DA4" w14:textId="348BEF14" w:rsidR="009D7EF6" w:rsidRPr="00CE357F" w:rsidRDefault="009D7EF6" w:rsidP="009D7EF6">
      <w:pPr>
        <w:spacing w:after="120" w:line="276" w:lineRule="auto"/>
        <w:jc w:val="both"/>
        <w:rPr>
          <w:rFonts w:ascii="Arial Narrow" w:hAnsi="Arial Narrow" w:cs="Arial"/>
        </w:rPr>
      </w:pPr>
      <w:bookmarkStart w:id="508" w:name="_Hlk95819058"/>
      <w:r w:rsidRPr="00CE357F">
        <w:rPr>
          <w:rFonts w:ascii="Arial Narrow" w:hAnsi="Arial Narrow" w:cs="Arial"/>
        </w:rPr>
        <w:t>Podíváme-li se na data o pracovních pozicích obsazených osobami s jinou než českou státní příslušností dle požadavku na vzdělání v</w:t>
      </w:r>
      <w:r>
        <w:rPr>
          <w:rFonts w:ascii="Arial Narrow" w:hAnsi="Arial Narrow" w:cs="Arial"/>
        </w:rPr>
        <w:t> Jihomoravském kraji v roce 2021</w:t>
      </w:r>
      <w:r w:rsidR="004F304D">
        <w:rPr>
          <w:rFonts w:ascii="Arial Narrow" w:hAnsi="Arial Narrow" w:cs="Arial"/>
        </w:rPr>
        <w:t xml:space="preserve"> (graf č. 81)</w:t>
      </w:r>
      <w:r w:rsidRPr="00CE357F">
        <w:rPr>
          <w:rFonts w:ascii="Arial Narrow" w:hAnsi="Arial Narrow" w:cs="Arial"/>
        </w:rPr>
        <w:t xml:space="preserve">, můžeme vidět, že ve většině případů byly tyto osoby zaměstnány na pracovní pozici, která požadovala nižší úroveň vzdělání.    </w:t>
      </w:r>
    </w:p>
    <w:p w14:paraId="185E7508" w14:textId="77777777" w:rsidR="009D7EF6" w:rsidRPr="00CE357F" w:rsidRDefault="009D7EF6" w:rsidP="009D7EF6">
      <w:pPr>
        <w:spacing w:after="120" w:line="276" w:lineRule="auto"/>
        <w:jc w:val="both"/>
        <w:rPr>
          <w:rFonts w:ascii="Arial Narrow" w:hAnsi="Arial Narrow" w:cs="Arial"/>
        </w:rPr>
      </w:pPr>
      <w:bookmarkStart w:id="509" w:name="_Hlk95819303"/>
      <w:bookmarkEnd w:id="508"/>
      <w:r w:rsidRPr="00CE357F">
        <w:rPr>
          <w:rFonts w:ascii="Arial Narrow" w:hAnsi="Arial Narrow" w:cs="Arial"/>
        </w:rPr>
        <w:lastRenderedPageBreak/>
        <w:t>Nejvíce patrný je tento jev u osob s vysokoškolským vzd</w:t>
      </w:r>
      <w:r>
        <w:rPr>
          <w:rFonts w:ascii="Arial Narrow" w:hAnsi="Arial Narrow" w:cs="Arial"/>
        </w:rPr>
        <w:t>ěláním, kterých bylo v roce 2021 celkem 17 581, avšak pouze 9 709</w:t>
      </w:r>
      <w:r w:rsidRPr="00CE357F">
        <w:rPr>
          <w:rFonts w:ascii="Arial Narrow" w:hAnsi="Arial Narrow" w:cs="Arial"/>
        </w:rPr>
        <w:t xml:space="preserve"> pracovních pozic s požadavkem na vysokoškolské vzdělání bylo obsazeno, a u osob se s</w:t>
      </w:r>
      <w:r>
        <w:rPr>
          <w:rFonts w:ascii="Arial Narrow" w:hAnsi="Arial Narrow" w:cs="Arial"/>
        </w:rPr>
        <w:t>tředním (odborným) vzděláním s vyučením a maturitou/s maturitou bez vyučení</w:t>
      </w:r>
      <w:r w:rsidRPr="00CE357F">
        <w:rPr>
          <w:rFonts w:ascii="Arial Narrow" w:hAnsi="Arial Narrow" w:cs="Arial"/>
        </w:rPr>
        <w:t xml:space="preserve"> listu, kterých bylo v r</w:t>
      </w:r>
      <w:r>
        <w:rPr>
          <w:rFonts w:ascii="Arial Narrow" w:hAnsi="Arial Narrow" w:cs="Arial"/>
        </w:rPr>
        <w:t>oce 2021 celkem 11 826, avšak pouze 9 678</w:t>
      </w:r>
      <w:r w:rsidRPr="00CE357F">
        <w:rPr>
          <w:rFonts w:ascii="Arial Narrow" w:hAnsi="Arial Narrow" w:cs="Arial"/>
        </w:rPr>
        <w:t xml:space="preserve"> pozic s požadavkem na toto vzdělání bylo obsazeno. Je tedy patrné, že tyto osoby byly zaměstnány na pracovní pozici požadující nižší vzdělání. </w:t>
      </w:r>
      <w:bookmarkEnd w:id="509"/>
      <w:r w:rsidRPr="00CE357F">
        <w:rPr>
          <w:rFonts w:ascii="Arial Narrow" w:hAnsi="Arial Narrow" w:cs="Arial"/>
        </w:rPr>
        <w:t xml:space="preserve">Stejně tak tomu bylo u osob s doktorským vzděláním, vyšším odborným vzděláním či </w:t>
      </w:r>
      <w:r>
        <w:rPr>
          <w:rFonts w:ascii="Arial Narrow" w:hAnsi="Arial Narrow" w:cs="Arial"/>
        </w:rPr>
        <w:t>středním odborným vzděláním výučním listem</w:t>
      </w:r>
      <w:r w:rsidRPr="00CE357F">
        <w:rPr>
          <w:rFonts w:ascii="Arial Narrow" w:hAnsi="Arial Narrow" w:cs="Arial"/>
        </w:rPr>
        <w:t>.</w:t>
      </w:r>
    </w:p>
    <w:p w14:paraId="7ABC6F52" w14:textId="775FB4B8" w:rsidR="009D7EF6" w:rsidRPr="00CE357F" w:rsidRDefault="009D7EF6" w:rsidP="009D7EF6">
      <w:pPr>
        <w:spacing w:after="120" w:line="276" w:lineRule="auto"/>
        <w:jc w:val="both"/>
        <w:rPr>
          <w:rFonts w:ascii="Arial Narrow" w:hAnsi="Arial Narrow" w:cs="Arial"/>
        </w:rPr>
      </w:pPr>
      <w:r w:rsidRPr="00CE357F">
        <w:rPr>
          <w:rFonts w:ascii="Arial Narrow" w:hAnsi="Arial Narrow" w:cs="Arial"/>
        </w:rPr>
        <w:t>Naopak po</w:t>
      </w:r>
      <w:r>
        <w:rPr>
          <w:rFonts w:ascii="Arial Narrow" w:hAnsi="Arial Narrow" w:cs="Arial"/>
        </w:rPr>
        <w:t>zice vyžadující střední vzdělání bez</w:t>
      </w:r>
      <w:r w:rsidRPr="00CE357F">
        <w:rPr>
          <w:rFonts w:ascii="Arial Narrow" w:hAnsi="Arial Narrow" w:cs="Arial"/>
        </w:rPr>
        <w:t> </w:t>
      </w:r>
      <w:r>
        <w:rPr>
          <w:rFonts w:ascii="Arial Narrow" w:hAnsi="Arial Narrow" w:cs="Arial"/>
        </w:rPr>
        <w:t>maturity i výučního listu</w:t>
      </w:r>
      <w:r w:rsidRPr="00CE357F">
        <w:rPr>
          <w:rFonts w:ascii="Arial Narrow" w:hAnsi="Arial Narrow" w:cs="Arial"/>
        </w:rPr>
        <w:t xml:space="preserve">, nižší střední (odborné) vzdělání a základní vzdělání byly obsazeny větším počtem osob, než byly počty osob s tímto vzděláním zastoupeny v základním vzorku. Je tedy patrné, že tyto pracovní pozice byly obsazeny osobami s vyšším dosaženým vzděláním, než pozice požadovala. </w:t>
      </w:r>
    </w:p>
    <w:p w14:paraId="2A079E91" w14:textId="5829A4B5" w:rsidR="009D7EF6" w:rsidRPr="00CE357F" w:rsidRDefault="009D7EF6" w:rsidP="009D7EF6">
      <w:pPr>
        <w:jc w:val="both"/>
        <w:rPr>
          <w:rFonts w:ascii="Arial Narrow" w:hAnsi="Arial Narrow"/>
          <w:b/>
          <w:sz w:val="20"/>
          <w:szCs w:val="20"/>
        </w:rPr>
      </w:pPr>
      <w:bookmarkStart w:id="510" w:name="_Toc94443779"/>
      <w:bookmarkStart w:id="511" w:name="_Toc95986554"/>
      <w:bookmarkStart w:id="512" w:name="_Toc136428925"/>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81</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Osoby s jinou než českou státní příslušností</w:t>
      </w:r>
      <w:r>
        <w:rPr>
          <w:rFonts w:ascii="Arial Narrow" w:hAnsi="Arial Narrow"/>
          <w:b/>
          <w:bCs/>
          <w:sz w:val="20"/>
          <w:szCs w:val="20"/>
        </w:rPr>
        <w:t xml:space="preserve"> evidované na úřadech práce k 30. 6. 2021</w:t>
      </w:r>
      <w:r w:rsidRPr="00CE357F">
        <w:rPr>
          <w:rFonts w:ascii="Arial Narrow" w:hAnsi="Arial Narrow"/>
          <w:b/>
          <w:bCs/>
          <w:sz w:val="20"/>
          <w:szCs w:val="20"/>
        </w:rPr>
        <w:t xml:space="preserve"> – Počty osob s nejvyšším dosaženým vzděláním a počty obsazených pozic s požadavkem na vzdělání</w:t>
      </w:r>
      <w:bookmarkEnd w:id="510"/>
      <w:bookmarkEnd w:id="511"/>
      <w:bookmarkEnd w:id="512"/>
      <w:r w:rsidRPr="00CE357F">
        <w:rPr>
          <w:rFonts w:ascii="Arial Narrow" w:hAnsi="Arial Narrow"/>
          <w:b/>
          <w:bCs/>
          <w:sz w:val="20"/>
          <w:szCs w:val="20"/>
        </w:rPr>
        <w:t xml:space="preserve"> </w:t>
      </w:r>
    </w:p>
    <w:p w14:paraId="015AEB3C" w14:textId="77777777" w:rsidR="009D7EF6" w:rsidRPr="00CE357F" w:rsidRDefault="009D7EF6" w:rsidP="7CC7BF57">
      <w:pPr>
        <w:spacing w:line="276" w:lineRule="auto"/>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inline distT="0" distB="0" distL="0" distR="0" wp14:anchorId="3EF6F98E" wp14:editId="23D08964">
            <wp:extent cx="5657850" cy="4581525"/>
            <wp:effectExtent l="0" t="0" r="0" b="9525"/>
            <wp:docPr id="2161" name="Graf 2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7FF0603" w14:textId="77777777" w:rsidR="009D7EF6" w:rsidRPr="00CE357F" w:rsidRDefault="009D7EF6" w:rsidP="009D7EF6">
      <w:pPr>
        <w:spacing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sidRPr="00CE357F">
        <w:rPr>
          <w:rFonts w:ascii="Arial Narrow" w:hAnsi="Arial Narrow"/>
          <w:bCs/>
          <w:sz w:val="20"/>
          <w:szCs w:val="20"/>
        </w:rPr>
        <w:t xml:space="preserve"> </w:t>
      </w:r>
      <w:r>
        <w:rPr>
          <w:rFonts w:ascii="Arial Narrow" w:hAnsi="Arial Narrow"/>
          <w:bCs/>
          <w:sz w:val="20"/>
          <w:szCs w:val="20"/>
        </w:rPr>
        <w:t>(data k 30. 6. 2021</w:t>
      </w:r>
      <w:r w:rsidRPr="00CE357F">
        <w:rPr>
          <w:rFonts w:ascii="Arial Narrow" w:hAnsi="Arial Narrow"/>
          <w:bCs/>
          <w:sz w:val="20"/>
          <w:szCs w:val="20"/>
        </w:rPr>
        <w:t>)</w:t>
      </w:r>
      <w:r w:rsidRPr="00CE357F">
        <w:rPr>
          <w:rFonts w:ascii="Arial Narrow" w:hAnsi="Arial Narrow"/>
          <w:bCs/>
          <w:sz w:val="20"/>
          <w:szCs w:val="20"/>
        </w:rPr>
        <w:tab/>
        <w:t xml:space="preserve">          </w:t>
      </w:r>
      <w:r w:rsidRPr="00CE357F">
        <w:rPr>
          <w:rFonts w:ascii="Arial Narrow" w:hAnsi="Arial Narrow"/>
          <w:bCs/>
          <w:sz w:val="20"/>
          <w:szCs w:val="20"/>
        </w:rPr>
        <w:tab/>
      </w:r>
      <w:r w:rsidRPr="00CE357F">
        <w:rPr>
          <w:rFonts w:ascii="Arial Narrow" w:hAnsi="Arial Narrow"/>
          <w:bCs/>
          <w:sz w:val="20"/>
          <w:szCs w:val="20"/>
        </w:rPr>
        <w:tab/>
        <w:t xml:space="preserve">    </w:t>
      </w:r>
      <w:r>
        <w:rPr>
          <w:rFonts w:ascii="Arial Narrow" w:hAnsi="Arial Narrow"/>
          <w:bCs/>
          <w:sz w:val="20"/>
          <w:szCs w:val="20"/>
        </w:rPr>
        <w:t xml:space="preserve">          </w:t>
      </w:r>
      <w:r w:rsidRPr="00CE357F">
        <w:rPr>
          <w:rFonts w:ascii="Arial Narrow" w:hAnsi="Arial Narrow"/>
          <w:bCs/>
          <w:sz w:val="20"/>
          <w:szCs w:val="20"/>
        </w:rPr>
        <w:t xml:space="preserve">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2D9650D2" w14:textId="77777777" w:rsidR="009D7EF6" w:rsidRPr="00CE357F" w:rsidRDefault="009D7EF6" w:rsidP="009D7EF6">
      <w:pPr>
        <w:spacing w:line="276" w:lineRule="auto"/>
        <w:rPr>
          <w:rFonts w:ascii="Arial Narrow" w:hAnsi="Arial Narrow"/>
          <w:b/>
          <w:color w:val="2F5496" w:themeColor="accent1" w:themeShade="BF"/>
        </w:rPr>
      </w:pPr>
    </w:p>
    <w:p w14:paraId="7AA76250" w14:textId="42D8A653" w:rsidR="009D7EF6" w:rsidRPr="008704F5" w:rsidRDefault="009D7EF6" w:rsidP="009D7EF6">
      <w:pPr>
        <w:spacing w:after="120" w:line="276" w:lineRule="auto"/>
        <w:jc w:val="both"/>
        <w:rPr>
          <w:rFonts w:ascii="Arial Narrow" w:hAnsi="Arial Narrow" w:cs="Arial"/>
        </w:rPr>
      </w:pPr>
      <w:r w:rsidRPr="00CE357F">
        <w:rPr>
          <w:rFonts w:ascii="Arial Narrow" w:hAnsi="Arial Narrow" w:cs="Arial"/>
        </w:rPr>
        <w:t>Podíváme-li se na data o pracovních pozicích obsazených osobami s jinou než českou státní příslušností dle požadavku na vzdělání v Jihomoravském kraji od roku 2008</w:t>
      </w:r>
      <w:r w:rsidR="004F304D">
        <w:rPr>
          <w:rFonts w:ascii="Arial Narrow" w:hAnsi="Arial Narrow" w:cs="Arial"/>
        </w:rPr>
        <w:t xml:space="preserve"> (grafy č. 82 a č. 83)</w:t>
      </w:r>
      <w:r w:rsidRPr="00CE357F">
        <w:rPr>
          <w:rFonts w:ascii="Arial Narrow" w:hAnsi="Arial Narrow" w:cs="Arial"/>
        </w:rPr>
        <w:t>, můžeme vidět, že přestože osoby s vysokoškolským a vyšším odborným vzděláním byly mezi zaměstnanými osobami s jinou než českou státní</w:t>
      </w:r>
      <w:r>
        <w:rPr>
          <w:rFonts w:ascii="Arial Narrow" w:hAnsi="Arial Narrow" w:cs="Arial"/>
        </w:rPr>
        <w:t xml:space="preserve"> příslušností v letech 2008–2021</w:t>
      </w:r>
      <w:r w:rsidRPr="00CE357F">
        <w:rPr>
          <w:rFonts w:ascii="Arial Narrow" w:hAnsi="Arial Narrow" w:cs="Arial"/>
        </w:rPr>
        <w:t xml:space="preserve"> zastoupeny v průměru 24,3 %, pracovní pozice s požadavkem na vysokoškolské či vyšší odborné vzdělání byly osobami s jinou než českou státní příslušností v letech 2008–20</w:t>
      </w:r>
      <w:r>
        <w:rPr>
          <w:rFonts w:ascii="Arial Narrow" w:hAnsi="Arial Narrow" w:cs="Arial"/>
        </w:rPr>
        <w:t xml:space="preserve">21 obsazeny </w:t>
      </w:r>
      <w:r>
        <w:rPr>
          <w:rFonts w:ascii="Arial Narrow" w:hAnsi="Arial Narrow" w:cs="Arial"/>
        </w:rPr>
        <w:lastRenderedPageBreak/>
        <w:t>v průměru pouze z 15,4</w:t>
      </w:r>
      <w:r w:rsidRPr="00CE357F">
        <w:rPr>
          <w:rFonts w:ascii="Arial Narrow" w:hAnsi="Arial Narrow" w:cs="Arial"/>
        </w:rPr>
        <w:t xml:space="preserve"> %. Znamená to tedy, že v průměru </w:t>
      </w:r>
      <w:r>
        <w:rPr>
          <w:rFonts w:ascii="Arial Narrow" w:hAnsi="Arial Narrow" w:cs="Arial"/>
        </w:rPr>
        <w:t xml:space="preserve">skoro </w:t>
      </w:r>
      <w:r w:rsidRPr="00CE357F">
        <w:rPr>
          <w:rFonts w:ascii="Arial Narrow" w:hAnsi="Arial Narrow" w:cs="Arial"/>
        </w:rPr>
        <w:t xml:space="preserve">10 % těchto </w:t>
      </w:r>
      <w:r w:rsidRPr="00CE357F">
        <w:rPr>
          <w:rFonts w:ascii="Arial Narrow" w:hAnsi="Arial Narrow" w:cs="Arial"/>
          <w:b/>
          <w:bCs/>
        </w:rPr>
        <w:t xml:space="preserve">osob s vysokoškolským či vyšším odborným vzděláním </w:t>
      </w:r>
      <w:r w:rsidRPr="008704F5">
        <w:rPr>
          <w:rFonts w:ascii="Arial Narrow" w:hAnsi="Arial Narrow" w:cs="Arial"/>
          <w:b/>
          <w:bCs/>
        </w:rPr>
        <w:t>bylo zaměstnáno na pracovní pozici, která požadovala nižší úroveň vzdělání</w:t>
      </w:r>
      <w:r w:rsidRPr="008704F5">
        <w:rPr>
          <w:rFonts w:ascii="Arial Narrow" w:hAnsi="Arial Narrow" w:cs="Arial"/>
        </w:rPr>
        <w:t xml:space="preserve">.    </w:t>
      </w:r>
    </w:p>
    <w:p w14:paraId="02738D57" w14:textId="77777777" w:rsidR="009D7EF6" w:rsidRPr="00CE357F" w:rsidRDefault="009D7EF6" w:rsidP="009D7EF6">
      <w:pPr>
        <w:spacing w:after="120" w:line="276" w:lineRule="auto"/>
        <w:jc w:val="both"/>
        <w:rPr>
          <w:rFonts w:ascii="Arial Narrow" w:hAnsi="Arial Narrow" w:cs="Arial"/>
        </w:rPr>
      </w:pPr>
      <w:r w:rsidRPr="008704F5">
        <w:rPr>
          <w:rFonts w:ascii="Arial Narrow" w:hAnsi="Arial Narrow" w:cs="Arial"/>
        </w:rPr>
        <w:t>Osoby se středním odborným vzděláním s maturitou byly mezi zaměstnanými osobami s jinou než českou státní příslušností v letech 2008–2021 zastoupeny v průměru 24,2 %, pracovní pozice s požadavkem na střední odborné vzdělání s maturitou byly osobami s jinou než českou státní příslušností v letech 2008–2021 obsazeny v průměru pouze 21,3 %.</w:t>
      </w:r>
      <w:r w:rsidRPr="00CE357F">
        <w:rPr>
          <w:rFonts w:ascii="Arial Narrow" w:hAnsi="Arial Narrow" w:cs="Arial"/>
        </w:rPr>
        <w:t xml:space="preserve"> I v tomto případě můžeme pozorovat, že osoby se středním odborným vzděláním s maturitou či vyšším byly zaměstnány na pracovní pozici, která požadovala nižší vzdělání. Zde již však není možné určit, do jaké míry byly tyto pracovní pozice obsazeny touto vzdělanostní kategorií, či osobami s vysokoškolským a vyšším odborným vzděláním. </w:t>
      </w:r>
    </w:p>
    <w:p w14:paraId="2601FEA0" w14:textId="77777777" w:rsidR="009D7EF6" w:rsidRPr="00CE357F" w:rsidRDefault="009D7EF6" w:rsidP="009D7EF6">
      <w:pPr>
        <w:spacing w:after="120" w:line="276" w:lineRule="auto"/>
        <w:jc w:val="both"/>
        <w:rPr>
          <w:rFonts w:ascii="Arial Narrow" w:hAnsi="Arial Narrow" w:cs="Arial"/>
        </w:rPr>
      </w:pPr>
      <w:r w:rsidRPr="008704F5">
        <w:rPr>
          <w:rFonts w:ascii="Arial Narrow" w:hAnsi="Arial Narrow" w:cs="Arial"/>
        </w:rPr>
        <w:t>Osoby se středním vzděláním bez maturity byly mezi zaměstnanými osobami s jinou než českou státní příslušností v letech 2008–2021 zastoupeny v průměru 22,7 %, pracovní pozice s požadavkem na střední vzdělání bez maturity byly osobami s jinou než českou státní příslušností v letech 2008–2020 obsazeny v průměru 21,7 %. V tomto případě můžeme opět pozorovat, že osoby se středním vzděláním bez maturity či vyšším byly zaměstnány na pracovní pozici, která požadovala nižší vzdělání.</w:t>
      </w:r>
      <w:r w:rsidRPr="00CE357F">
        <w:rPr>
          <w:rFonts w:ascii="Arial Narrow" w:hAnsi="Arial Narrow" w:cs="Arial"/>
        </w:rPr>
        <w:t xml:space="preserve"> </w:t>
      </w:r>
    </w:p>
    <w:p w14:paraId="35920690" w14:textId="77777777" w:rsidR="009D7EF6" w:rsidRPr="00CE357F" w:rsidRDefault="009D7EF6" w:rsidP="009D7EF6">
      <w:pPr>
        <w:spacing w:after="120" w:line="276" w:lineRule="auto"/>
        <w:jc w:val="both"/>
        <w:rPr>
          <w:rFonts w:ascii="Arial Narrow" w:hAnsi="Arial Narrow" w:cs="Arial"/>
        </w:rPr>
      </w:pPr>
      <w:r w:rsidRPr="00CE357F">
        <w:rPr>
          <w:rFonts w:ascii="Arial Narrow" w:hAnsi="Arial Narrow" w:cs="Arial"/>
        </w:rPr>
        <w:t>Osoby se základním vzděláním byly mezi zaměstnanými osobami s jinou než českou státní</w:t>
      </w:r>
      <w:r>
        <w:rPr>
          <w:rFonts w:ascii="Arial Narrow" w:hAnsi="Arial Narrow" w:cs="Arial"/>
        </w:rPr>
        <w:t xml:space="preserve"> příslušností v letech 2008–2021 zastoupeny v průměru 24,7</w:t>
      </w:r>
      <w:r w:rsidRPr="00CE357F">
        <w:rPr>
          <w:rFonts w:ascii="Arial Narrow" w:hAnsi="Arial Narrow" w:cs="Arial"/>
        </w:rPr>
        <w:t xml:space="preserve"> %, pracovní pozice s požadavkem na základní vzdělání však byly osobami s jinou než českou státní</w:t>
      </w:r>
      <w:r>
        <w:rPr>
          <w:rFonts w:ascii="Arial Narrow" w:hAnsi="Arial Narrow" w:cs="Arial"/>
        </w:rPr>
        <w:t xml:space="preserve"> příslušností v letech 2008–2021 zastoupeny v průměru 36,6</w:t>
      </w:r>
      <w:r w:rsidRPr="00CE357F">
        <w:rPr>
          <w:rFonts w:ascii="Arial Narrow" w:hAnsi="Arial Narrow" w:cs="Arial"/>
        </w:rPr>
        <w:t xml:space="preserve"> %. Je tedy patrné, že </w:t>
      </w:r>
      <w:r w:rsidRPr="00CE357F">
        <w:rPr>
          <w:rFonts w:ascii="Arial Narrow" w:hAnsi="Arial Narrow" w:cs="Arial"/>
          <w:b/>
          <w:bCs/>
        </w:rPr>
        <w:t>výrazná část osob s vyšším než základním vzděláním byla zaměstnána na pracovní pozici, která neodpovídala úrovni jejich vzdělání</w:t>
      </w:r>
      <w:r w:rsidRPr="00CE357F">
        <w:rPr>
          <w:rFonts w:ascii="Arial Narrow" w:hAnsi="Arial Narrow" w:cs="Arial"/>
        </w:rPr>
        <w:t xml:space="preserve">. Není však možné určit, do jaké míry byly tyto pracovní pozice obsazeny jednotlivými vzdělanostními kategoriemi. </w:t>
      </w:r>
    </w:p>
    <w:p w14:paraId="3E1282E7" w14:textId="2DA4EA9C" w:rsidR="009D7EF6" w:rsidRPr="00CE357F" w:rsidRDefault="009D7EF6" w:rsidP="009D7EF6">
      <w:pPr>
        <w:spacing w:after="120" w:line="276" w:lineRule="auto"/>
        <w:jc w:val="both"/>
        <w:rPr>
          <w:rFonts w:ascii="Arial Narrow" w:hAnsi="Arial Narrow"/>
          <w:b/>
          <w:color w:val="2F5496" w:themeColor="accent1" w:themeShade="BF"/>
        </w:rPr>
      </w:pPr>
      <w:r w:rsidRPr="00CE357F">
        <w:rPr>
          <w:rFonts w:ascii="Arial Narrow" w:hAnsi="Arial Narrow" w:cs="Arial"/>
        </w:rPr>
        <w:t>Osoby bez vzdělání byly mezi zaměstnanými osobami s jinou než českou státní</w:t>
      </w:r>
      <w:r>
        <w:rPr>
          <w:rFonts w:ascii="Arial Narrow" w:hAnsi="Arial Narrow" w:cs="Arial"/>
        </w:rPr>
        <w:t xml:space="preserve"> příslušností v letech 2008–2021</w:t>
      </w:r>
      <w:r w:rsidRPr="00CE357F">
        <w:rPr>
          <w:rFonts w:ascii="Arial Narrow" w:hAnsi="Arial Narrow" w:cs="Arial"/>
        </w:rPr>
        <w:t xml:space="preserve"> zastoupeny v průměru 0,</w:t>
      </w:r>
      <w:r>
        <w:rPr>
          <w:rFonts w:ascii="Arial Narrow" w:hAnsi="Arial Narrow" w:cs="Arial"/>
        </w:rPr>
        <w:t>8</w:t>
      </w:r>
      <w:r w:rsidRPr="00CE357F">
        <w:rPr>
          <w:rFonts w:ascii="Arial Narrow" w:hAnsi="Arial Narrow" w:cs="Arial"/>
        </w:rPr>
        <w:t xml:space="preserve"> %, pracovní pozice bez požadavku na vzdělání byly osobami s jinou než českou státní</w:t>
      </w:r>
      <w:r>
        <w:rPr>
          <w:rFonts w:ascii="Arial Narrow" w:hAnsi="Arial Narrow" w:cs="Arial"/>
        </w:rPr>
        <w:t xml:space="preserve"> příslušností v letech 2008–2021 obsazeny v průměru 1,3</w:t>
      </w:r>
      <w:r w:rsidRPr="00CE357F">
        <w:rPr>
          <w:rFonts w:ascii="Arial Narrow" w:hAnsi="Arial Narrow" w:cs="Arial"/>
        </w:rPr>
        <w:t xml:space="preserve"> %. </w:t>
      </w:r>
    </w:p>
    <w:p w14:paraId="6734A16C" w14:textId="77777777" w:rsidR="009D7EF6" w:rsidRPr="00CE357F" w:rsidRDefault="009D7EF6" w:rsidP="009D7EF6">
      <w:pPr>
        <w:spacing w:line="276" w:lineRule="auto"/>
        <w:rPr>
          <w:rFonts w:ascii="Arial Narrow" w:hAnsi="Arial Narrow"/>
          <w:b/>
          <w:color w:val="2F5496" w:themeColor="accent1" w:themeShade="BF"/>
        </w:rPr>
      </w:pPr>
    </w:p>
    <w:p w14:paraId="69218D57" w14:textId="77777777" w:rsidR="009D7EF6" w:rsidRPr="00CE357F" w:rsidRDefault="009D7EF6" w:rsidP="009D7EF6">
      <w:pPr>
        <w:spacing w:line="276" w:lineRule="auto"/>
        <w:rPr>
          <w:rFonts w:ascii="Arial Narrow" w:hAnsi="Arial Narrow"/>
          <w:b/>
          <w:color w:val="2F5496" w:themeColor="accent1" w:themeShade="BF"/>
        </w:rPr>
      </w:pPr>
    </w:p>
    <w:p w14:paraId="47382C08" w14:textId="77777777" w:rsidR="009D7EF6" w:rsidRPr="00CE357F" w:rsidRDefault="009D7EF6" w:rsidP="009D7EF6">
      <w:pPr>
        <w:spacing w:line="276" w:lineRule="auto"/>
        <w:rPr>
          <w:rFonts w:ascii="Arial Narrow" w:hAnsi="Arial Narrow"/>
          <w:b/>
          <w:color w:val="2F5496" w:themeColor="accent1" w:themeShade="BF"/>
        </w:rPr>
      </w:pPr>
    </w:p>
    <w:p w14:paraId="50FDF82F" w14:textId="77777777" w:rsidR="009D7EF6" w:rsidRPr="00CE357F" w:rsidRDefault="009D7EF6" w:rsidP="009D7EF6">
      <w:pPr>
        <w:spacing w:line="276" w:lineRule="auto"/>
        <w:rPr>
          <w:rFonts w:ascii="Arial Narrow" w:hAnsi="Arial Narrow"/>
          <w:b/>
          <w:color w:val="2F5496" w:themeColor="accent1" w:themeShade="BF"/>
        </w:rPr>
      </w:pPr>
    </w:p>
    <w:p w14:paraId="3A2715A4" w14:textId="77777777" w:rsidR="009D7EF6" w:rsidRPr="00CE357F" w:rsidRDefault="009D7EF6" w:rsidP="009D7EF6">
      <w:pPr>
        <w:spacing w:line="276" w:lineRule="auto"/>
        <w:rPr>
          <w:rFonts w:ascii="Arial Narrow" w:hAnsi="Arial Narrow"/>
          <w:b/>
          <w:color w:val="2F5496" w:themeColor="accent1" w:themeShade="BF"/>
        </w:rPr>
      </w:pPr>
    </w:p>
    <w:p w14:paraId="08760401" w14:textId="77777777" w:rsidR="009D7EF6" w:rsidRPr="00CE357F" w:rsidRDefault="009D7EF6" w:rsidP="009D7EF6">
      <w:pPr>
        <w:spacing w:line="276" w:lineRule="auto"/>
        <w:rPr>
          <w:rFonts w:ascii="Arial Narrow" w:hAnsi="Arial Narrow"/>
          <w:b/>
          <w:color w:val="2F5496" w:themeColor="accent1" w:themeShade="BF"/>
        </w:rPr>
      </w:pPr>
    </w:p>
    <w:p w14:paraId="32846285" w14:textId="77777777" w:rsidR="009D7EF6" w:rsidRPr="00CE357F" w:rsidRDefault="009D7EF6" w:rsidP="009D7EF6">
      <w:pPr>
        <w:spacing w:line="276" w:lineRule="auto"/>
        <w:rPr>
          <w:rFonts w:ascii="Arial Narrow" w:hAnsi="Arial Narrow"/>
          <w:b/>
          <w:color w:val="2F5496" w:themeColor="accent1" w:themeShade="BF"/>
        </w:rPr>
      </w:pPr>
    </w:p>
    <w:p w14:paraId="1BC45F16" w14:textId="77777777" w:rsidR="009D7EF6" w:rsidRPr="00CE357F" w:rsidRDefault="009D7EF6" w:rsidP="009D7EF6">
      <w:pPr>
        <w:spacing w:line="276" w:lineRule="auto"/>
        <w:rPr>
          <w:rFonts w:ascii="Arial Narrow" w:hAnsi="Arial Narrow"/>
          <w:b/>
          <w:color w:val="2F5496" w:themeColor="accent1" w:themeShade="BF"/>
        </w:rPr>
      </w:pPr>
    </w:p>
    <w:p w14:paraId="57808F81" w14:textId="77777777" w:rsidR="009D7EF6" w:rsidRPr="00CE357F" w:rsidRDefault="009D7EF6" w:rsidP="009D7EF6">
      <w:pPr>
        <w:spacing w:line="276" w:lineRule="auto"/>
        <w:rPr>
          <w:rFonts w:ascii="Arial Narrow" w:hAnsi="Arial Narrow"/>
          <w:b/>
          <w:color w:val="2F5496" w:themeColor="accent1" w:themeShade="BF"/>
        </w:rPr>
      </w:pPr>
    </w:p>
    <w:p w14:paraId="7A0E30C2" w14:textId="77777777" w:rsidR="009D7EF6" w:rsidRPr="00CE357F" w:rsidRDefault="009D7EF6" w:rsidP="009D7EF6">
      <w:pPr>
        <w:spacing w:line="276" w:lineRule="auto"/>
        <w:rPr>
          <w:rFonts w:ascii="Arial Narrow" w:hAnsi="Arial Narrow"/>
          <w:b/>
          <w:color w:val="2F5496" w:themeColor="accent1" w:themeShade="BF"/>
        </w:rPr>
      </w:pPr>
    </w:p>
    <w:p w14:paraId="0D718E12" w14:textId="77777777" w:rsidR="009D7EF6" w:rsidRPr="00CE357F" w:rsidRDefault="009D7EF6" w:rsidP="009D7EF6">
      <w:pPr>
        <w:spacing w:line="276" w:lineRule="auto"/>
        <w:rPr>
          <w:rFonts w:ascii="Arial Narrow" w:hAnsi="Arial Narrow"/>
          <w:b/>
          <w:color w:val="2F5496" w:themeColor="accent1" w:themeShade="BF"/>
        </w:rPr>
      </w:pPr>
    </w:p>
    <w:p w14:paraId="58640B4D" w14:textId="77777777" w:rsidR="009D7EF6" w:rsidRDefault="009D7EF6" w:rsidP="009D7EF6">
      <w:pPr>
        <w:spacing w:line="276" w:lineRule="auto"/>
        <w:rPr>
          <w:rFonts w:ascii="Arial Narrow" w:hAnsi="Arial Narrow"/>
          <w:b/>
          <w:color w:val="2F5496" w:themeColor="accent1" w:themeShade="BF"/>
        </w:rPr>
      </w:pPr>
    </w:p>
    <w:p w14:paraId="68299813" w14:textId="77777777" w:rsidR="003F3DCB" w:rsidRDefault="003F3DCB" w:rsidP="009D7EF6">
      <w:pPr>
        <w:spacing w:line="276" w:lineRule="auto"/>
        <w:rPr>
          <w:rFonts w:ascii="Arial Narrow" w:hAnsi="Arial Narrow"/>
          <w:b/>
          <w:color w:val="2F5496" w:themeColor="accent1" w:themeShade="BF"/>
        </w:rPr>
      </w:pPr>
    </w:p>
    <w:p w14:paraId="2B17E1F6" w14:textId="77777777" w:rsidR="003F3DCB" w:rsidRDefault="003F3DCB" w:rsidP="009D7EF6">
      <w:pPr>
        <w:spacing w:line="276" w:lineRule="auto"/>
        <w:rPr>
          <w:rFonts w:ascii="Arial Narrow" w:hAnsi="Arial Narrow"/>
          <w:b/>
          <w:color w:val="2F5496" w:themeColor="accent1" w:themeShade="BF"/>
        </w:rPr>
      </w:pPr>
    </w:p>
    <w:p w14:paraId="14887A53" w14:textId="77777777" w:rsidR="009D7EF6" w:rsidRDefault="009D7EF6" w:rsidP="009D7EF6">
      <w:pPr>
        <w:spacing w:line="276" w:lineRule="auto"/>
        <w:rPr>
          <w:rFonts w:ascii="Arial Narrow" w:hAnsi="Arial Narrow"/>
          <w:b/>
          <w:color w:val="2F5496" w:themeColor="accent1" w:themeShade="BF"/>
        </w:rPr>
      </w:pPr>
    </w:p>
    <w:p w14:paraId="16A9A80A" w14:textId="77777777" w:rsidR="009D7EF6" w:rsidRDefault="009D7EF6" w:rsidP="009D7EF6">
      <w:pPr>
        <w:spacing w:line="276" w:lineRule="auto"/>
        <w:rPr>
          <w:rFonts w:ascii="Arial Narrow" w:hAnsi="Arial Narrow"/>
          <w:b/>
          <w:color w:val="2F5496" w:themeColor="accent1" w:themeShade="BF"/>
        </w:rPr>
      </w:pPr>
    </w:p>
    <w:p w14:paraId="7358412E" w14:textId="77777777" w:rsidR="009D7EF6" w:rsidRPr="00CE357F" w:rsidRDefault="009D7EF6" w:rsidP="009D7EF6">
      <w:pPr>
        <w:spacing w:line="276" w:lineRule="auto"/>
        <w:rPr>
          <w:rFonts w:ascii="Arial Narrow" w:hAnsi="Arial Narrow"/>
          <w:b/>
          <w:color w:val="2F5496" w:themeColor="accent1" w:themeShade="BF"/>
        </w:rPr>
      </w:pPr>
    </w:p>
    <w:p w14:paraId="11125CBF" w14:textId="77777777" w:rsidR="009D7EF6" w:rsidRPr="00CE357F" w:rsidRDefault="009D7EF6" w:rsidP="009D7EF6">
      <w:pPr>
        <w:spacing w:line="276" w:lineRule="auto"/>
        <w:rPr>
          <w:rFonts w:ascii="Arial Narrow" w:hAnsi="Arial Narrow"/>
          <w:b/>
          <w:color w:val="2F5496" w:themeColor="accent1" w:themeShade="BF"/>
        </w:rPr>
      </w:pPr>
    </w:p>
    <w:p w14:paraId="087CC1B7" w14:textId="77777777" w:rsidR="009D7EF6" w:rsidRDefault="009D7EF6" w:rsidP="009D7EF6">
      <w:pPr>
        <w:spacing w:line="276" w:lineRule="auto"/>
        <w:rPr>
          <w:rFonts w:ascii="Arial Narrow" w:hAnsi="Arial Narrow"/>
          <w:b/>
          <w:color w:val="2F5496" w:themeColor="accent1" w:themeShade="BF"/>
        </w:rPr>
      </w:pPr>
    </w:p>
    <w:p w14:paraId="7DA43426" w14:textId="77777777" w:rsidR="004F304D" w:rsidRPr="00CE357F" w:rsidRDefault="004F304D" w:rsidP="009D7EF6">
      <w:pPr>
        <w:spacing w:line="276" w:lineRule="auto"/>
        <w:rPr>
          <w:rFonts w:ascii="Arial Narrow" w:hAnsi="Arial Narrow"/>
          <w:b/>
          <w:color w:val="2F5496" w:themeColor="accent1" w:themeShade="BF"/>
        </w:rPr>
      </w:pPr>
    </w:p>
    <w:p w14:paraId="3520310B" w14:textId="2B538319" w:rsidR="009D7EF6" w:rsidRPr="00CE357F" w:rsidRDefault="009D7EF6" w:rsidP="009D7EF6">
      <w:pPr>
        <w:rPr>
          <w:rFonts w:ascii="Arial Narrow" w:hAnsi="Arial Narrow"/>
          <w:b/>
          <w:sz w:val="20"/>
          <w:szCs w:val="20"/>
        </w:rPr>
      </w:pPr>
      <w:bookmarkStart w:id="513" w:name="_Toc94443780"/>
      <w:bookmarkStart w:id="514" w:name="_Toc95986555"/>
      <w:bookmarkStart w:id="515" w:name="_Toc136428926"/>
      <w:r w:rsidRPr="00053842">
        <w:rPr>
          <w:rFonts w:ascii="Arial Narrow" w:hAnsi="Arial Narrow"/>
          <w:b/>
          <w:sz w:val="20"/>
          <w:szCs w:val="20"/>
        </w:rPr>
        <w:lastRenderedPageBreak/>
        <w:t xml:space="preserve">Graf </w:t>
      </w:r>
      <w:r w:rsidRPr="00053842">
        <w:rPr>
          <w:rFonts w:ascii="Arial Narrow" w:hAnsi="Arial Narrow"/>
          <w:b/>
          <w:sz w:val="20"/>
          <w:szCs w:val="20"/>
        </w:rPr>
        <w:fldChar w:fldCharType="begin"/>
      </w:r>
      <w:r w:rsidRPr="00053842">
        <w:rPr>
          <w:rFonts w:ascii="Arial Narrow" w:hAnsi="Arial Narrow"/>
          <w:b/>
          <w:sz w:val="20"/>
          <w:szCs w:val="20"/>
        </w:rPr>
        <w:instrText xml:space="preserve"> SEQ Graf \* ARABIC </w:instrText>
      </w:r>
      <w:r w:rsidRPr="00053842">
        <w:rPr>
          <w:rFonts w:ascii="Arial Narrow" w:hAnsi="Arial Narrow"/>
          <w:b/>
          <w:sz w:val="20"/>
          <w:szCs w:val="20"/>
        </w:rPr>
        <w:fldChar w:fldCharType="separate"/>
      </w:r>
      <w:r w:rsidR="009F49C8">
        <w:rPr>
          <w:rFonts w:ascii="Arial Narrow" w:hAnsi="Arial Narrow"/>
          <w:b/>
          <w:noProof/>
          <w:sz w:val="20"/>
          <w:szCs w:val="20"/>
        </w:rPr>
        <w:t>82</w:t>
      </w:r>
      <w:r w:rsidRPr="00053842">
        <w:rPr>
          <w:rFonts w:ascii="Arial Narrow" w:hAnsi="Arial Narrow"/>
          <w:b/>
          <w:sz w:val="20"/>
          <w:szCs w:val="20"/>
        </w:rPr>
        <w:fldChar w:fldCharType="end"/>
      </w:r>
      <w:r w:rsidRPr="00053842">
        <w:rPr>
          <w:rFonts w:ascii="Arial Narrow" w:hAnsi="Arial Narrow"/>
          <w:b/>
          <w:sz w:val="20"/>
          <w:szCs w:val="20"/>
        </w:rPr>
        <w:t>:</w:t>
      </w:r>
      <w:r w:rsidRPr="00053842">
        <w:rPr>
          <w:rFonts w:ascii="Arial Narrow" w:eastAsiaTheme="minorEastAsia" w:hAnsi="Arial Narrow" w:cstheme="minorBidi"/>
          <w:b/>
          <w:bCs/>
          <w:color w:val="000000" w:themeColor="text1"/>
          <w:kern w:val="24"/>
          <w:sz w:val="20"/>
          <w:szCs w:val="20"/>
          <w:lang w:eastAsia="cs-CZ"/>
        </w:rPr>
        <w:t xml:space="preserve"> </w:t>
      </w:r>
      <w:r w:rsidRPr="00053842">
        <w:rPr>
          <w:rFonts w:ascii="Arial Narrow" w:hAnsi="Arial Narrow"/>
          <w:b/>
          <w:bCs/>
          <w:sz w:val="20"/>
          <w:szCs w:val="20"/>
        </w:rPr>
        <w:t>Počty pracovních pozic obsazených osobami s jinou než českou státní příslušností v Jihomoravském kraji dle požadavku na vzdělání v letech 2008–202</w:t>
      </w:r>
      <w:bookmarkEnd w:id="513"/>
      <w:bookmarkEnd w:id="514"/>
      <w:r w:rsidRPr="00053842">
        <w:rPr>
          <w:rFonts w:ascii="Arial Narrow" w:hAnsi="Arial Narrow"/>
          <w:b/>
          <w:bCs/>
          <w:sz w:val="20"/>
          <w:szCs w:val="20"/>
        </w:rPr>
        <w:t>1</w:t>
      </w:r>
      <w:bookmarkEnd w:id="515"/>
    </w:p>
    <w:p w14:paraId="2F06493D" w14:textId="77777777" w:rsidR="009D7EF6" w:rsidRPr="00CE357F" w:rsidRDefault="009D7EF6" w:rsidP="7CC7BF57">
      <w:pPr>
        <w:spacing w:line="276" w:lineRule="auto"/>
        <w:rPr>
          <w:rFonts w:ascii="Arial Narrow" w:hAnsi="Arial Narrow"/>
          <w:b/>
          <w:bCs/>
          <w:color w:val="2F5496" w:themeColor="accent1" w:themeShade="BF"/>
        </w:rPr>
      </w:pPr>
      <w:bookmarkStart w:id="516" w:name="_Hlk92727845"/>
      <w:r w:rsidRPr="00CE357F">
        <w:rPr>
          <w:rFonts w:ascii="Arial Narrow" w:hAnsi="Arial Narrow"/>
          <w:b/>
          <w:noProof/>
          <w:color w:val="2F5496" w:themeColor="accent1" w:themeShade="BF"/>
          <w:lang w:eastAsia="cs-CZ"/>
        </w:rPr>
        <w:drawing>
          <wp:inline distT="0" distB="0" distL="0" distR="0" wp14:anchorId="12337BC6" wp14:editId="5C20287B">
            <wp:extent cx="5734050" cy="5600700"/>
            <wp:effectExtent l="0" t="0" r="0" b="0"/>
            <wp:docPr id="2081" name="Graf 2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bookmarkEnd w:id="516"/>
    <w:p w14:paraId="1F3485A0" w14:textId="77777777" w:rsidR="009D7EF6" w:rsidRPr="00CE357F" w:rsidRDefault="009D7EF6" w:rsidP="009D7EF6">
      <w:pPr>
        <w:spacing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sidRPr="00CE357F">
        <w:rPr>
          <w:rFonts w:ascii="Arial Narrow" w:hAnsi="Arial Narrow"/>
          <w:bCs/>
          <w:sz w:val="20"/>
          <w:szCs w:val="20"/>
        </w:rPr>
        <w:t xml:space="preserve"> (data k 31. 12. daného roku)</w:t>
      </w:r>
      <w:r w:rsidRPr="00CE357F">
        <w:rPr>
          <w:rStyle w:val="Znakapoznpodarou"/>
          <w:rFonts w:ascii="Arial Narrow" w:hAnsi="Arial Narrow"/>
          <w:sz w:val="20"/>
          <w:szCs w:val="20"/>
        </w:rPr>
        <w:footnoteReference w:id="56"/>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3CF70425" w14:textId="77777777" w:rsidR="009D7EF6" w:rsidRDefault="009D7EF6" w:rsidP="009D7EF6">
      <w:pPr>
        <w:spacing w:line="276" w:lineRule="auto"/>
        <w:rPr>
          <w:rFonts w:ascii="Arial Narrow" w:hAnsi="Arial Narrow"/>
          <w:bCs/>
          <w:sz w:val="20"/>
          <w:szCs w:val="20"/>
        </w:rPr>
      </w:pPr>
      <w:r w:rsidRPr="00CE357F">
        <w:rPr>
          <w:rFonts w:ascii="Arial Narrow" w:hAnsi="Arial Narrow"/>
          <w:bCs/>
          <w:sz w:val="20"/>
          <w:szCs w:val="20"/>
        </w:rPr>
        <w:t>*rok 2013 – absence dat z okresů Brno-město, Hodonín a Vyškov</w:t>
      </w:r>
    </w:p>
    <w:p w14:paraId="6B66E20B" w14:textId="77777777" w:rsidR="009D7EF6" w:rsidRPr="00CE357F" w:rsidRDefault="009D7EF6" w:rsidP="009D7EF6">
      <w:pPr>
        <w:spacing w:line="276" w:lineRule="auto"/>
        <w:rPr>
          <w:rFonts w:ascii="Arial Narrow" w:hAnsi="Arial Narrow"/>
          <w:bCs/>
          <w:sz w:val="20"/>
          <w:szCs w:val="20"/>
        </w:rPr>
      </w:pPr>
      <w:r>
        <w:rPr>
          <w:rFonts w:ascii="Arial Narrow" w:hAnsi="Arial Narrow"/>
          <w:bCs/>
          <w:sz w:val="20"/>
          <w:szCs w:val="20"/>
        </w:rPr>
        <w:t>**rok 2021 – data k 30. 6. 2021</w:t>
      </w:r>
    </w:p>
    <w:p w14:paraId="64FAC1B2" w14:textId="77777777" w:rsidR="009D7EF6" w:rsidRPr="00CE357F" w:rsidRDefault="009D7EF6" w:rsidP="009D7EF6">
      <w:pPr>
        <w:spacing w:line="276" w:lineRule="auto"/>
        <w:rPr>
          <w:rFonts w:ascii="Arial Narrow" w:hAnsi="Arial Narrow"/>
          <w:b/>
          <w:color w:val="2F5496" w:themeColor="accent1" w:themeShade="BF"/>
        </w:rPr>
      </w:pPr>
    </w:p>
    <w:p w14:paraId="02E5B3B1" w14:textId="77777777" w:rsidR="009D7EF6" w:rsidRPr="00CE357F" w:rsidRDefault="009D7EF6" w:rsidP="009D7EF6">
      <w:pPr>
        <w:spacing w:line="276" w:lineRule="auto"/>
        <w:rPr>
          <w:rFonts w:ascii="Arial Narrow" w:hAnsi="Arial Narrow"/>
          <w:b/>
          <w:color w:val="2F5496" w:themeColor="accent1" w:themeShade="BF"/>
        </w:rPr>
      </w:pPr>
    </w:p>
    <w:p w14:paraId="412B419A" w14:textId="77777777" w:rsidR="009D7EF6" w:rsidRDefault="009D7EF6" w:rsidP="009D7EF6">
      <w:pPr>
        <w:spacing w:line="276" w:lineRule="auto"/>
        <w:rPr>
          <w:rFonts w:ascii="Arial Narrow" w:hAnsi="Arial Narrow"/>
          <w:b/>
          <w:color w:val="2F5496" w:themeColor="accent1" w:themeShade="BF"/>
        </w:rPr>
      </w:pPr>
    </w:p>
    <w:p w14:paraId="641CF7EB" w14:textId="305D4842" w:rsidR="009D7EF6" w:rsidRPr="00CE357F" w:rsidRDefault="009D7EF6" w:rsidP="009D7EF6">
      <w:pPr>
        <w:rPr>
          <w:rFonts w:ascii="Arial Narrow" w:hAnsi="Arial Narrow"/>
          <w:b/>
          <w:sz w:val="20"/>
          <w:szCs w:val="20"/>
        </w:rPr>
      </w:pPr>
      <w:bookmarkStart w:id="517" w:name="_Toc94443781"/>
      <w:bookmarkStart w:id="518" w:name="_Toc95986556"/>
      <w:bookmarkStart w:id="519" w:name="_Toc136428927"/>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83</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Procentuální zastoupení pracovních pozic obsazených osobami s jinou než českou státní příslušností v JMK dle požadavku na vzdělání v letech 2008–202</w:t>
      </w:r>
      <w:bookmarkEnd w:id="517"/>
      <w:bookmarkEnd w:id="518"/>
      <w:r>
        <w:rPr>
          <w:rFonts w:ascii="Arial Narrow" w:hAnsi="Arial Narrow"/>
          <w:b/>
          <w:bCs/>
          <w:sz w:val="20"/>
          <w:szCs w:val="20"/>
        </w:rPr>
        <w:t>1</w:t>
      </w:r>
      <w:bookmarkEnd w:id="519"/>
    </w:p>
    <w:p w14:paraId="465FE204" w14:textId="77777777" w:rsidR="009D7EF6" w:rsidRPr="00CE357F" w:rsidRDefault="009D7EF6" w:rsidP="7CC7BF57">
      <w:pPr>
        <w:spacing w:line="276" w:lineRule="auto"/>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inline distT="0" distB="0" distL="0" distR="0" wp14:anchorId="58BDD072" wp14:editId="04F2967C">
            <wp:extent cx="5770880" cy="5545666"/>
            <wp:effectExtent l="0" t="0" r="1270" b="0"/>
            <wp:docPr id="2082" name="Graf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76E7FA7" w14:textId="77777777" w:rsidR="009D7EF6" w:rsidRPr="00CE357F" w:rsidRDefault="009D7EF6" w:rsidP="009D7EF6">
      <w:pPr>
        <w:spacing w:line="276" w:lineRule="auto"/>
        <w:rPr>
          <w:rFonts w:ascii="Arial Narrow" w:hAnsi="Arial Narrow"/>
          <w:bCs/>
          <w:sz w:val="20"/>
          <w:szCs w:val="20"/>
        </w:rPr>
      </w:pPr>
      <w:r w:rsidRPr="00CE357F">
        <w:rPr>
          <w:rFonts w:ascii="Arial Narrow" w:hAnsi="Arial Narrow"/>
          <w:bCs/>
          <w:sz w:val="20"/>
          <w:szCs w:val="20"/>
        </w:rPr>
        <w:t xml:space="preserve">Zdroj: </w:t>
      </w:r>
      <w:r w:rsidRPr="00CE357F">
        <w:rPr>
          <w:rFonts w:ascii="Arial Narrow" w:hAnsi="Arial Narrow" w:cs="Arial"/>
          <w:sz w:val="20"/>
        </w:rPr>
        <w:t>Úřad práce České republiky</w:t>
      </w:r>
      <w:r w:rsidRPr="00CE357F">
        <w:rPr>
          <w:rFonts w:ascii="Arial Narrow" w:hAnsi="Arial Narrow"/>
          <w:bCs/>
          <w:sz w:val="20"/>
          <w:szCs w:val="20"/>
        </w:rPr>
        <w:t xml:space="preserve"> (data k 31. 12. daného roku)</w:t>
      </w:r>
      <w:r w:rsidRPr="00CE357F">
        <w:rPr>
          <w:rStyle w:val="Znakapoznpodarou"/>
          <w:rFonts w:ascii="Arial Narrow" w:hAnsi="Arial Narrow"/>
          <w:sz w:val="20"/>
          <w:szCs w:val="20"/>
        </w:rPr>
        <w:footnoteReference w:id="57"/>
      </w:r>
      <w:r w:rsidRPr="00CE357F">
        <w:rPr>
          <w:rFonts w:ascii="Arial Narrow" w:hAnsi="Arial Narrow"/>
          <w:bCs/>
          <w:sz w:val="20"/>
          <w:szCs w:val="20"/>
        </w:rPr>
        <w:t xml:space="preserve"> </w:t>
      </w:r>
      <w:r w:rsidRPr="00CE357F">
        <w:rPr>
          <w:rFonts w:ascii="Arial Narrow" w:hAnsi="Arial Narrow"/>
          <w:bCs/>
          <w:sz w:val="20"/>
          <w:szCs w:val="20"/>
        </w:rPr>
        <w:tab/>
      </w:r>
      <w:r w:rsidRPr="00CE357F">
        <w:rPr>
          <w:rFonts w:ascii="Arial Narrow" w:hAnsi="Arial Narrow"/>
          <w:bCs/>
          <w:sz w:val="20"/>
          <w:szCs w:val="20"/>
        </w:rPr>
        <w:tab/>
      </w:r>
      <w:r w:rsidRPr="00CE357F">
        <w:rPr>
          <w:rFonts w:ascii="Arial Narrow" w:hAnsi="Arial Narrow"/>
          <w:bCs/>
          <w:sz w:val="20"/>
          <w:szCs w:val="20"/>
        </w:rPr>
        <w:tab/>
        <w:t xml:space="preserve">Graf: AUGUR </w:t>
      </w:r>
      <w:proofErr w:type="spellStart"/>
      <w:r w:rsidRPr="00CE357F">
        <w:rPr>
          <w:rFonts w:ascii="Arial Narrow" w:hAnsi="Arial Narrow"/>
          <w:bCs/>
          <w:sz w:val="20"/>
          <w:szCs w:val="20"/>
        </w:rPr>
        <w:t>Consulting</w:t>
      </w:r>
      <w:proofErr w:type="spellEnd"/>
      <w:r w:rsidRPr="00CE357F">
        <w:rPr>
          <w:rFonts w:ascii="Arial Narrow" w:hAnsi="Arial Narrow"/>
          <w:bCs/>
          <w:sz w:val="20"/>
          <w:szCs w:val="20"/>
        </w:rPr>
        <w:t xml:space="preserve"> s.r.o.</w:t>
      </w:r>
    </w:p>
    <w:p w14:paraId="15241F75" w14:textId="77777777" w:rsidR="009D7EF6" w:rsidRDefault="009D7EF6" w:rsidP="009D7EF6">
      <w:pPr>
        <w:spacing w:line="276" w:lineRule="auto"/>
        <w:rPr>
          <w:rFonts w:ascii="Arial Narrow" w:hAnsi="Arial Narrow"/>
          <w:bCs/>
          <w:sz w:val="20"/>
          <w:szCs w:val="20"/>
        </w:rPr>
      </w:pPr>
      <w:r w:rsidRPr="00CE357F">
        <w:rPr>
          <w:rFonts w:ascii="Arial Narrow" w:hAnsi="Arial Narrow"/>
          <w:bCs/>
          <w:sz w:val="20"/>
          <w:szCs w:val="20"/>
        </w:rPr>
        <w:t>*rok 2013 – absence dat z okresů Brno-město, Hodonín a Vyškov</w:t>
      </w:r>
    </w:p>
    <w:p w14:paraId="25D793A9" w14:textId="77777777" w:rsidR="009D7EF6" w:rsidRPr="00CE357F" w:rsidRDefault="009D7EF6" w:rsidP="009D7EF6">
      <w:pPr>
        <w:spacing w:line="276" w:lineRule="auto"/>
        <w:rPr>
          <w:rFonts w:ascii="Arial Narrow" w:hAnsi="Arial Narrow"/>
          <w:bCs/>
          <w:sz w:val="20"/>
          <w:szCs w:val="20"/>
        </w:rPr>
      </w:pPr>
      <w:r>
        <w:rPr>
          <w:rFonts w:ascii="Arial Narrow" w:hAnsi="Arial Narrow"/>
          <w:bCs/>
          <w:sz w:val="20"/>
          <w:szCs w:val="20"/>
        </w:rPr>
        <w:t>**rok 2021 – data k 30. 6. 2021</w:t>
      </w:r>
    </w:p>
    <w:p w14:paraId="75822194" w14:textId="77777777" w:rsidR="00536405" w:rsidRDefault="00536405" w:rsidP="00D6793F">
      <w:pPr>
        <w:spacing w:after="240" w:line="276" w:lineRule="auto"/>
        <w:jc w:val="both"/>
        <w:rPr>
          <w:rFonts w:ascii="Arial Narrow" w:hAnsi="Arial Narrow" w:cs="Arial"/>
          <w:b/>
          <w:color w:val="C00000"/>
        </w:rPr>
      </w:pPr>
    </w:p>
    <w:p w14:paraId="333C7F31" w14:textId="77777777" w:rsidR="009D7EF6" w:rsidRPr="00CE357F" w:rsidRDefault="009D7EF6" w:rsidP="7CC7BF57">
      <w:pPr>
        <w:spacing w:after="240" w:line="276" w:lineRule="auto"/>
        <w:jc w:val="both"/>
        <w:rPr>
          <w:rFonts w:ascii="Arial Narrow" w:hAnsi="Arial Narrow" w:cs="Arial"/>
          <w:b/>
          <w:bCs/>
          <w:color w:val="C00000"/>
        </w:rPr>
      </w:pPr>
    </w:p>
    <w:p w14:paraId="72607EE0" w14:textId="643F3555" w:rsidR="00D6793F" w:rsidRPr="00CE357F" w:rsidRDefault="00D6793F" w:rsidP="7CC7BF57">
      <w:pPr>
        <w:spacing w:after="240" w:line="276" w:lineRule="auto"/>
        <w:jc w:val="both"/>
        <w:rPr>
          <w:rFonts w:ascii="Arial Narrow" w:hAnsi="Arial Narrow" w:cs="Arial"/>
          <w:b/>
          <w:bCs/>
          <w:color w:val="C00000"/>
        </w:rPr>
      </w:pPr>
      <w:r w:rsidRPr="2E13D2E5">
        <w:rPr>
          <w:rFonts w:ascii="Arial Narrow" w:hAnsi="Arial Narrow" w:cs="Arial"/>
          <w:b/>
          <w:bCs/>
          <w:color w:val="C00000"/>
        </w:rPr>
        <w:lastRenderedPageBreak/>
        <w:t>Pozice obsazené osobami s jinou než českou státní příslušností dle CZ-NACE</w:t>
      </w:r>
    </w:p>
    <w:p w14:paraId="4D8524B1" w14:textId="59BB8345" w:rsidR="00772E8E" w:rsidRPr="007B59C4" w:rsidRDefault="00772E8E" w:rsidP="00772E8E">
      <w:pPr>
        <w:spacing w:after="240" w:line="276" w:lineRule="auto"/>
        <w:jc w:val="both"/>
        <w:rPr>
          <w:rFonts w:ascii="Arial Narrow" w:hAnsi="Arial Narrow"/>
        </w:rPr>
      </w:pPr>
      <w:bookmarkStart w:id="520" w:name="_Hlk95747608"/>
      <w:r w:rsidRPr="007B59C4">
        <w:rPr>
          <w:rFonts w:ascii="Arial Narrow" w:hAnsi="Arial Narrow"/>
        </w:rPr>
        <w:t>Dle klasifikace ekonomických činností CZ-NACE</w:t>
      </w:r>
      <w:r w:rsidRPr="007B59C4">
        <w:rPr>
          <w:rStyle w:val="Znakapoznpodarou"/>
          <w:rFonts w:ascii="Arial Narrow" w:hAnsi="Arial Narrow"/>
        </w:rPr>
        <w:footnoteReference w:id="58"/>
      </w:r>
      <w:r w:rsidRPr="007B59C4">
        <w:rPr>
          <w:rFonts w:ascii="Arial Narrow" w:hAnsi="Arial Narrow"/>
        </w:rPr>
        <w:t xml:space="preserve">  bylo nejvíce osob s jinou než českou státní příslušností v Jihomoravském kraji k datu 30. 6. 2021 zaměstnáno ve zpracovatelském průmyslu (24,2 %). Druhou oblastí, ve které bylo zaměstnáno nejvíce osob s jinou než českou státní příslušností, byla administrativa, ve které pracovalo 13,8 % všech osob s jinou než českou státní příslušností. Zhruba 1 osoba s jinou než českou státní příslušností z 10 pracovala v oblasti informací a komunikace (10,2 %), nebo obchodu, oprav spotřebičů a motorových vozidel (10,5 %). V rámci těchto čtyř oblastí byly v uvedeném období zaměstnány téměř 3/5 všech zaměstnaných osob s jinou než českou státní příslušností v Jihomoravském kraji.</w:t>
      </w:r>
    </w:p>
    <w:p w14:paraId="07DD6BC0" w14:textId="736AE0F2" w:rsidR="00772E8E" w:rsidRPr="00CE357F" w:rsidRDefault="00772E8E" w:rsidP="00772E8E">
      <w:pPr>
        <w:jc w:val="both"/>
        <w:rPr>
          <w:rFonts w:ascii="Arial Narrow" w:hAnsi="Arial Narrow"/>
          <w:b/>
          <w:bCs/>
          <w:sz w:val="20"/>
          <w:szCs w:val="20"/>
        </w:rPr>
      </w:pPr>
      <w:bookmarkStart w:id="521" w:name="_Toc94443782"/>
      <w:bookmarkStart w:id="522" w:name="_Toc136428928"/>
      <w:bookmarkEnd w:id="520"/>
      <w:r w:rsidRPr="007B59C4">
        <w:rPr>
          <w:rFonts w:ascii="Arial Narrow" w:hAnsi="Arial Narrow"/>
          <w:b/>
          <w:sz w:val="20"/>
          <w:szCs w:val="20"/>
        </w:rPr>
        <w:t xml:space="preserve">Graf </w:t>
      </w:r>
      <w:r w:rsidRPr="007B59C4">
        <w:rPr>
          <w:rFonts w:ascii="Arial Narrow" w:hAnsi="Arial Narrow"/>
          <w:b/>
          <w:sz w:val="20"/>
          <w:szCs w:val="20"/>
        </w:rPr>
        <w:fldChar w:fldCharType="begin"/>
      </w:r>
      <w:r w:rsidRPr="007B59C4">
        <w:rPr>
          <w:rFonts w:ascii="Arial Narrow" w:hAnsi="Arial Narrow"/>
          <w:b/>
          <w:sz w:val="20"/>
          <w:szCs w:val="20"/>
        </w:rPr>
        <w:instrText xml:space="preserve"> SEQ Graf \* ARABIC </w:instrText>
      </w:r>
      <w:r w:rsidRPr="007B59C4">
        <w:rPr>
          <w:rFonts w:ascii="Arial Narrow" w:hAnsi="Arial Narrow"/>
          <w:b/>
          <w:sz w:val="20"/>
          <w:szCs w:val="20"/>
        </w:rPr>
        <w:fldChar w:fldCharType="separate"/>
      </w:r>
      <w:r w:rsidR="009F49C8" w:rsidRPr="007B59C4">
        <w:rPr>
          <w:rFonts w:ascii="Arial Narrow" w:hAnsi="Arial Narrow"/>
          <w:b/>
          <w:noProof/>
          <w:sz w:val="20"/>
          <w:szCs w:val="20"/>
        </w:rPr>
        <w:t>84</w:t>
      </w:r>
      <w:r w:rsidRPr="007B59C4">
        <w:rPr>
          <w:rFonts w:ascii="Arial Narrow" w:hAnsi="Arial Narrow"/>
          <w:b/>
          <w:sz w:val="20"/>
          <w:szCs w:val="20"/>
        </w:rPr>
        <w:fldChar w:fldCharType="end"/>
      </w:r>
      <w:r w:rsidRPr="007B59C4">
        <w:rPr>
          <w:rFonts w:ascii="Arial Narrow" w:hAnsi="Arial Narrow"/>
          <w:b/>
          <w:sz w:val="20"/>
          <w:szCs w:val="20"/>
        </w:rPr>
        <w:t xml:space="preserve">: </w:t>
      </w:r>
      <w:r w:rsidRPr="007B59C4">
        <w:rPr>
          <w:rFonts w:ascii="Arial Narrow" w:hAnsi="Arial Narrow"/>
          <w:b/>
          <w:bCs/>
          <w:sz w:val="20"/>
          <w:szCs w:val="20"/>
        </w:rPr>
        <w:t>Pozice obsazené osobami s jinou než českou státní příslušností</w:t>
      </w:r>
      <w:r w:rsidR="00284AC4" w:rsidRPr="007B59C4">
        <w:rPr>
          <w:rFonts w:ascii="Arial Narrow" w:hAnsi="Arial Narrow"/>
          <w:b/>
          <w:bCs/>
          <w:sz w:val="20"/>
          <w:szCs w:val="20"/>
        </w:rPr>
        <w:t xml:space="preserve"> v JMK</w:t>
      </w:r>
      <w:r w:rsidRPr="007B59C4">
        <w:rPr>
          <w:rFonts w:ascii="Arial Narrow" w:hAnsi="Arial Narrow"/>
          <w:b/>
          <w:bCs/>
          <w:sz w:val="20"/>
          <w:szCs w:val="20"/>
        </w:rPr>
        <w:t xml:space="preserve"> evidovanými na úřadech práce</w:t>
      </w:r>
      <w:r w:rsidR="00284AC4" w:rsidRPr="007B59C4">
        <w:rPr>
          <w:rStyle w:val="Znakapoznpodarou"/>
          <w:rFonts w:ascii="Arial Narrow" w:hAnsi="Arial Narrow"/>
          <w:b/>
          <w:bCs/>
          <w:sz w:val="20"/>
          <w:szCs w:val="20"/>
        </w:rPr>
        <w:footnoteReference w:id="59"/>
      </w:r>
      <w:r w:rsidRPr="007B59C4">
        <w:rPr>
          <w:rFonts w:ascii="Arial Narrow" w:hAnsi="Arial Narrow"/>
          <w:b/>
          <w:bCs/>
          <w:sz w:val="20"/>
          <w:szCs w:val="20"/>
        </w:rPr>
        <w:t xml:space="preserve"> podle CZ-NACE k 30. 6. 202</w:t>
      </w:r>
      <w:bookmarkEnd w:id="521"/>
      <w:r w:rsidRPr="007B59C4">
        <w:rPr>
          <w:rFonts w:ascii="Arial Narrow" w:hAnsi="Arial Narrow"/>
          <w:b/>
          <w:bCs/>
          <w:sz w:val="20"/>
          <w:szCs w:val="20"/>
        </w:rPr>
        <w:t>1</w:t>
      </w:r>
      <w:bookmarkEnd w:id="522"/>
    </w:p>
    <w:p w14:paraId="547B693C" w14:textId="77777777" w:rsidR="00772E8E" w:rsidRPr="00CE357F" w:rsidRDefault="00772E8E" w:rsidP="7CC7BF57">
      <w:pPr>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anchor distT="0" distB="0" distL="114300" distR="114300" simplePos="0" relativeHeight="251699712" behindDoc="0" locked="0" layoutInCell="1" allowOverlap="1" wp14:anchorId="2639640A" wp14:editId="1E0D3B77">
            <wp:simplePos x="0" y="0"/>
            <wp:positionH relativeFrom="page">
              <wp:posOffset>3490711</wp:posOffset>
            </wp:positionH>
            <wp:positionV relativeFrom="paragraph">
              <wp:posOffset>1389150</wp:posOffset>
            </wp:positionV>
            <wp:extent cx="3858491" cy="3082636"/>
            <wp:effectExtent l="0" t="0" r="0" b="41910"/>
            <wp:wrapNone/>
            <wp:docPr id="2083" name="Diagram 20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14:sizeRelH relativeFrom="margin">
              <wp14:pctWidth>0</wp14:pctWidth>
            </wp14:sizeRelH>
            <wp14:sizeRelV relativeFrom="margin">
              <wp14:pctHeight>0</wp14:pctHeight>
            </wp14:sizeRelV>
          </wp:anchor>
        </w:drawing>
      </w:r>
      <w:r w:rsidRPr="00CB3A1F">
        <w:rPr>
          <w:rFonts w:ascii="Arial Narrow" w:hAnsi="Arial Narrow"/>
          <w:b/>
          <w:noProof/>
          <w:color w:val="2F5496" w:themeColor="accent1" w:themeShade="BF"/>
          <w:lang w:eastAsia="cs-CZ"/>
        </w:rPr>
        <w:drawing>
          <wp:inline distT="0" distB="0" distL="0" distR="0" wp14:anchorId="0D71D803" wp14:editId="61DFA4B6">
            <wp:extent cx="5756564" cy="4523509"/>
            <wp:effectExtent l="0" t="0" r="15875" b="1079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1D80FD63" w14:textId="77777777" w:rsidR="00772E8E" w:rsidRPr="00CE357F" w:rsidRDefault="00772E8E" w:rsidP="00772E8E">
      <w:pPr>
        <w:spacing w:line="276" w:lineRule="auto"/>
        <w:jc w:val="both"/>
        <w:rPr>
          <w:rFonts w:ascii="Arial Narrow" w:hAnsi="Arial Narrow" w:cs="Arial"/>
          <w:sz w:val="20"/>
        </w:rPr>
      </w:pPr>
      <w:r w:rsidRPr="00CE357F">
        <w:rPr>
          <w:rFonts w:ascii="Arial Narrow" w:hAnsi="Arial Narrow" w:cs="Arial"/>
          <w:sz w:val="20"/>
        </w:rPr>
        <w:t>Zdroj: Úřad práce České republiky</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78858997" w14:textId="77777777" w:rsidR="00772E8E" w:rsidRPr="00CE357F" w:rsidRDefault="00772E8E" w:rsidP="00772E8E">
      <w:pPr>
        <w:spacing w:line="276" w:lineRule="auto"/>
        <w:rPr>
          <w:rFonts w:ascii="Arial Narrow" w:hAnsi="Arial Narrow"/>
          <w:b/>
          <w:color w:val="2F5496" w:themeColor="accent1" w:themeShade="BF"/>
        </w:rPr>
      </w:pPr>
    </w:p>
    <w:p w14:paraId="35FC62C3" w14:textId="2FD60E66" w:rsidR="00772E8E" w:rsidRPr="00CE357F" w:rsidRDefault="00772E8E" w:rsidP="00772E8E">
      <w:pPr>
        <w:spacing w:line="276" w:lineRule="auto"/>
        <w:jc w:val="both"/>
        <w:rPr>
          <w:rFonts w:ascii="Arial Narrow" w:hAnsi="Arial Narrow" w:cs="Arial"/>
        </w:rPr>
      </w:pPr>
      <w:r w:rsidRPr="00CE357F">
        <w:rPr>
          <w:rFonts w:ascii="Arial Narrow" w:hAnsi="Arial Narrow" w:cs="Arial"/>
        </w:rPr>
        <w:t>Podíváme-li se na vývoj oblastí, v rámci kterých bylo nejvíce pozic obsazených osobami s jinou než českou státní příslušností v let</w:t>
      </w:r>
      <w:r>
        <w:rPr>
          <w:rFonts w:ascii="Arial Narrow" w:hAnsi="Arial Narrow" w:cs="Arial"/>
        </w:rPr>
        <w:t>ech 2008-2021</w:t>
      </w:r>
      <w:r w:rsidRPr="00CE357F">
        <w:rPr>
          <w:rFonts w:ascii="Arial Narrow" w:hAnsi="Arial Narrow" w:cs="Arial"/>
        </w:rPr>
        <w:t xml:space="preserve">, výrazné změny lze zaznamenat zejména mezi lety 2008 a 2012, v době </w:t>
      </w:r>
      <w:r w:rsidRPr="00CE357F">
        <w:rPr>
          <w:rFonts w:ascii="Arial Narrow" w:hAnsi="Arial Narrow" w:cs="Arial"/>
        </w:rPr>
        <w:lastRenderedPageBreak/>
        <w:t xml:space="preserve">celosvětové ekonomické krize. </w:t>
      </w:r>
      <w:bookmarkStart w:id="523" w:name="_Hlk95819619"/>
      <w:r w:rsidRPr="00CE357F">
        <w:rPr>
          <w:rFonts w:ascii="Arial Narrow" w:hAnsi="Arial Narrow" w:cs="Arial"/>
        </w:rPr>
        <w:t xml:space="preserve">Největších změn v tomto ohledu dostála </w:t>
      </w:r>
      <w:r w:rsidRPr="00CE357F">
        <w:rPr>
          <w:rFonts w:ascii="Arial Narrow" w:hAnsi="Arial Narrow" w:cs="Arial"/>
          <w:b/>
        </w:rPr>
        <w:t>oblast stavebnictví</w:t>
      </w:r>
      <w:r w:rsidRPr="00CE357F">
        <w:rPr>
          <w:rFonts w:ascii="Arial Narrow" w:hAnsi="Arial Narrow" w:cs="Arial"/>
        </w:rPr>
        <w:t xml:space="preserve">. Zatímco v roce 2009 v této oblasti pracovalo 32,8 % všech zaměstnanců s jinou než českou státní příslušností, v roce 2011 to </w:t>
      </w:r>
      <w:r>
        <w:rPr>
          <w:rFonts w:ascii="Arial Narrow" w:hAnsi="Arial Narrow" w:cs="Arial"/>
        </w:rPr>
        <w:t xml:space="preserve">bylo </w:t>
      </w:r>
      <w:r w:rsidRPr="00CE357F">
        <w:rPr>
          <w:rFonts w:ascii="Arial Narrow" w:hAnsi="Arial Narrow" w:cs="Arial"/>
        </w:rPr>
        <w:t>pouze 12,0 % všech těchto zaměstnanců. Podíl zaměstnanců s jinou než českou státní pří</w:t>
      </w:r>
      <w:r>
        <w:rPr>
          <w:rFonts w:ascii="Arial Narrow" w:hAnsi="Arial Narrow" w:cs="Arial"/>
        </w:rPr>
        <w:t>slušností v tomto oboru až do roku 2020 dál mírně klesal až na 8,3 %, k červnu 2021 se ale opět mírně zvýšil na 9,1 %</w:t>
      </w:r>
      <w:r w:rsidRPr="00CE357F">
        <w:rPr>
          <w:rFonts w:ascii="Arial Narrow" w:hAnsi="Arial Narrow" w:cs="Arial"/>
        </w:rPr>
        <w:t xml:space="preserve">. </w:t>
      </w:r>
      <w:bookmarkEnd w:id="523"/>
      <w:r w:rsidRPr="00CE357F">
        <w:rPr>
          <w:rFonts w:ascii="Arial Narrow" w:hAnsi="Arial Narrow" w:cs="Arial"/>
        </w:rPr>
        <w:t xml:space="preserve">Poměrně významný propad zaznamenala v letech 2008-2010 také </w:t>
      </w:r>
      <w:r w:rsidRPr="00CE357F">
        <w:rPr>
          <w:rFonts w:ascii="Arial Narrow" w:hAnsi="Arial Narrow" w:cs="Arial"/>
          <w:b/>
        </w:rPr>
        <w:t>oblast zpracovatelského průmyslu</w:t>
      </w:r>
      <w:r w:rsidRPr="00CE357F">
        <w:rPr>
          <w:rFonts w:ascii="Arial Narrow" w:hAnsi="Arial Narrow" w:cs="Arial"/>
        </w:rPr>
        <w:t>. Mezi lety 2011 a 2012 došlo k opětovnému nárůstu podílu zaměstnanců s jinou než českou státní příslušností v této ob</w:t>
      </w:r>
      <w:r>
        <w:rPr>
          <w:rFonts w:ascii="Arial Narrow" w:hAnsi="Arial Narrow" w:cs="Arial"/>
        </w:rPr>
        <w:t>lasti, od roku 2014 do roku 2021</w:t>
      </w:r>
      <w:r w:rsidRPr="00CE357F">
        <w:rPr>
          <w:rFonts w:ascii="Arial Narrow" w:hAnsi="Arial Narrow" w:cs="Arial"/>
        </w:rPr>
        <w:t xml:space="preserve"> se však podíl zaměstnanců v této oblasti ustálil na průměrně 24,3 %. Zpracovatelský průmysl tak představuje oblast, ve které pracuje, s výjimkou roku 2009, dlouhodobě nejvyšší podíl zaměstnanců s jinou než českou státní příslušností z celkového počtu této skupiny zaměstnanců.</w:t>
      </w:r>
    </w:p>
    <w:p w14:paraId="2E65A4E3" w14:textId="77777777" w:rsidR="00772E8E" w:rsidRPr="00CE357F" w:rsidRDefault="00772E8E" w:rsidP="00772E8E">
      <w:pPr>
        <w:spacing w:before="240" w:line="276" w:lineRule="auto"/>
        <w:jc w:val="both"/>
        <w:rPr>
          <w:rFonts w:ascii="Arial Narrow" w:hAnsi="Arial Narrow" w:cs="Arial"/>
        </w:rPr>
      </w:pPr>
      <w:r>
        <w:rPr>
          <w:rFonts w:ascii="Arial Narrow" w:hAnsi="Arial Narrow" w:cs="Arial"/>
        </w:rPr>
        <w:t>K datu 30. 6. 2021</w:t>
      </w:r>
      <w:r w:rsidRPr="00CE357F">
        <w:rPr>
          <w:rFonts w:ascii="Arial Narrow" w:hAnsi="Arial Narrow" w:cs="Arial"/>
        </w:rPr>
        <w:t xml:space="preserve"> bylo v oblasti ad</w:t>
      </w:r>
      <w:r>
        <w:rPr>
          <w:rFonts w:ascii="Arial Narrow" w:hAnsi="Arial Narrow" w:cs="Arial"/>
        </w:rPr>
        <w:t>ministrativy zaměstnáno 13,8</w:t>
      </w:r>
      <w:r w:rsidRPr="00CE357F">
        <w:rPr>
          <w:rFonts w:ascii="Arial Narrow" w:hAnsi="Arial Narrow" w:cs="Arial"/>
        </w:rPr>
        <w:t xml:space="preserve"> % všech osob s jinou než českou státní příslušností, v oblasti</w:t>
      </w:r>
      <w:r>
        <w:rPr>
          <w:rFonts w:ascii="Arial Narrow" w:hAnsi="Arial Narrow" w:cs="Arial"/>
        </w:rPr>
        <w:t xml:space="preserve"> informací a komunikace pak 10,2</w:t>
      </w:r>
      <w:r w:rsidRPr="00CE357F">
        <w:rPr>
          <w:rFonts w:ascii="Arial Narrow" w:hAnsi="Arial Narrow" w:cs="Arial"/>
        </w:rPr>
        <w:t xml:space="preserve"> % těchto zaměstnanců. </w:t>
      </w:r>
      <w:r w:rsidRPr="00CE357F">
        <w:rPr>
          <w:rFonts w:ascii="Arial Narrow" w:hAnsi="Arial Narrow" w:cs="Arial"/>
          <w:b/>
        </w:rPr>
        <w:t>Oblast informací a komunikace</w:t>
      </w:r>
      <w:r w:rsidRPr="00CE357F">
        <w:rPr>
          <w:rFonts w:ascii="Arial Narrow" w:hAnsi="Arial Narrow" w:cs="Arial"/>
        </w:rPr>
        <w:t xml:space="preserve"> představuje jednu z mála oblastí, </w:t>
      </w:r>
      <w:bookmarkStart w:id="524" w:name="_Hlk95819706"/>
      <w:r w:rsidRPr="00CE357F">
        <w:rPr>
          <w:rFonts w:ascii="Arial Narrow" w:hAnsi="Arial Narrow" w:cs="Arial"/>
        </w:rPr>
        <w:t xml:space="preserve">v rámci které můžeme po roce 2008 zaznamenat nárůst podílu zaměstnaných osob, a to ze 4,5 % v roce 2008 na 14,4 % v roce 2012. </w:t>
      </w:r>
      <w:bookmarkEnd w:id="524"/>
      <w:r w:rsidRPr="00CE357F">
        <w:rPr>
          <w:rFonts w:ascii="Arial Narrow" w:hAnsi="Arial Narrow" w:cs="Arial"/>
        </w:rPr>
        <w:t>Od roku 2014 se podíl osob s jinou než českou státní příslušností zaměstnaných v této oblasti stabilizova</w:t>
      </w:r>
      <w:r>
        <w:rPr>
          <w:rFonts w:ascii="Arial Narrow" w:hAnsi="Arial Narrow" w:cs="Arial"/>
        </w:rPr>
        <w:t>l a pohybuje se průměrně na 11</w:t>
      </w:r>
      <w:r w:rsidRPr="00CE357F">
        <w:rPr>
          <w:rFonts w:ascii="Arial Narrow" w:hAnsi="Arial Narrow" w:cs="Arial"/>
        </w:rPr>
        <w:t xml:space="preserve"> %. </w:t>
      </w:r>
      <w:r w:rsidRPr="00CE357F">
        <w:rPr>
          <w:rFonts w:ascii="Arial Narrow" w:hAnsi="Arial Narrow" w:cs="Arial"/>
          <w:b/>
        </w:rPr>
        <w:t>V oblasti</w:t>
      </w:r>
      <w:r w:rsidRPr="00CE357F">
        <w:rPr>
          <w:rFonts w:ascii="Arial Narrow" w:hAnsi="Arial Narrow" w:cs="Arial"/>
        </w:rPr>
        <w:t xml:space="preserve"> </w:t>
      </w:r>
      <w:r w:rsidRPr="00CE357F">
        <w:rPr>
          <w:rFonts w:ascii="Arial Narrow" w:hAnsi="Arial Narrow" w:cs="Arial"/>
          <w:b/>
        </w:rPr>
        <w:t xml:space="preserve">administrativy </w:t>
      </w:r>
      <w:r w:rsidRPr="00CE357F">
        <w:rPr>
          <w:rFonts w:ascii="Arial Narrow" w:hAnsi="Arial Narrow" w:cs="Arial"/>
        </w:rPr>
        <w:t>nebyla v tomto ohledu v průběhu let 2008-2012 zaznamenána žádná významná změna. Po prudkém nárůstu podílu zaměstnaných osob s jinou než českou státní příslušností v tomto oboru v roce 2014 (ze 4,4 % v roce 2013 na 12,2 % v roce 2014) zůstává jejich podíl meziročně stabilní</w:t>
      </w:r>
      <w:r>
        <w:rPr>
          <w:rFonts w:ascii="Arial Narrow" w:hAnsi="Arial Narrow" w:cs="Arial"/>
        </w:rPr>
        <w:t xml:space="preserve"> na v průměru 14,2 %. </w:t>
      </w:r>
      <w:r w:rsidRPr="00CE357F">
        <w:rPr>
          <w:rFonts w:ascii="Arial Narrow" w:hAnsi="Arial Narrow" w:cs="Arial"/>
          <w:b/>
        </w:rPr>
        <w:t xml:space="preserve">V oblasti </w:t>
      </w:r>
      <w:r w:rsidRPr="00CE357F">
        <w:rPr>
          <w:rFonts w:ascii="Arial Narrow" w:hAnsi="Arial Narrow"/>
          <w:b/>
        </w:rPr>
        <w:t>obchodu, oprav spotřebičů a motorových vozidel</w:t>
      </w:r>
      <w:r>
        <w:rPr>
          <w:rFonts w:ascii="Arial Narrow" w:hAnsi="Arial Narrow"/>
        </w:rPr>
        <w:t xml:space="preserve"> bylo k 30. 6. 2021 zaměstnáno 10,5</w:t>
      </w:r>
      <w:r w:rsidRPr="00CE357F">
        <w:rPr>
          <w:rFonts w:ascii="Arial Narrow" w:hAnsi="Arial Narrow"/>
        </w:rPr>
        <w:t xml:space="preserve"> %</w:t>
      </w:r>
      <w:r w:rsidRPr="00CE357F">
        <w:rPr>
          <w:rFonts w:ascii="Arial Narrow" w:hAnsi="Arial Narrow" w:cs="Arial"/>
        </w:rPr>
        <w:t xml:space="preserve"> všech osob s jinou než českou státní příslušností v Jihomoravském kraji. Jedná se o oblast, v rámci které můžeme po roce 2008 také zaznamenat nárůst podílu zaměstnaných osob s jinou než českou státní příslušností, a to </w:t>
      </w:r>
      <w:bookmarkStart w:id="525" w:name="_Hlk95819750"/>
      <w:r w:rsidRPr="00CE357F">
        <w:rPr>
          <w:rFonts w:ascii="Arial Narrow" w:hAnsi="Arial Narrow" w:cs="Arial"/>
        </w:rPr>
        <w:t xml:space="preserve">z 5,4 % v roce 2008 na 10,2 % v roce 2012. </w:t>
      </w:r>
      <w:bookmarkEnd w:id="525"/>
      <w:r>
        <w:rPr>
          <w:rFonts w:ascii="Arial Narrow" w:hAnsi="Arial Narrow" w:cs="Arial"/>
        </w:rPr>
        <w:t>V letech 2014-2021</w:t>
      </w:r>
      <w:r w:rsidRPr="00CE357F">
        <w:rPr>
          <w:rFonts w:ascii="Arial Narrow" w:hAnsi="Arial Narrow" w:cs="Arial"/>
        </w:rPr>
        <w:t xml:space="preserve"> je podíl zaměstnaných osob v této oblasti stabil</w:t>
      </w:r>
      <w:r>
        <w:rPr>
          <w:rFonts w:ascii="Arial Narrow" w:hAnsi="Arial Narrow" w:cs="Arial"/>
        </w:rPr>
        <w:t>ní a pohybuje se průměrně na 10</w:t>
      </w:r>
      <w:r w:rsidRPr="00CE357F">
        <w:rPr>
          <w:rFonts w:ascii="Arial Narrow" w:hAnsi="Arial Narrow" w:cs="Arial"/>
        </w:rPr>
        <w:t xml:space="preserve"> %. </w:t>
      </w:r>
    </w:p>
    <w:p w14:paraId="0C736E56" w14:textId="4D79A46C" w:rsidR="00772E8E" w:rsidRPr="00CE357F" w:rsidRDefault="00772E8E" w:rsidP="00772E8E">
      <w:pPr>
        <w:spacing w:before="240" w:after="240" w:line="276" w:lineRule="auto"/>
        <w:jc w:val="both"/>
        <w:rPr>
          <w:rFonts w:ascii="Arial Narrow" w:hAnsi="Arial Narrow" w:cs="Arial"/>
        </w:rPr>
      </w:pPr>
      <w:r w:rsidRPr="00CE357F">
        <w:rPr>
          <w:rFonts w:ascii="Arial Narrow" w:hAnsi="Arial Narrow" w:cs="Arial"/>
        </w:rPr>
        <w:t>Pozice obsazené osobami s jinou než českou státní příslušností v Jihomoravském kraji evidované na úřadech práce podle CZ-NACE a jejich vývoj v rámci pěti nejvýznamně</w:t>
      </w:r>
      <w:r>
        <w:rPr>
          <w:rFonts w:ascii="Arial Narrow" w:hAnsi="Arial Narrow" w:cs="Arial"/>
        </w:rPr>
        <w:t>jších oblastí v letech 2008-2021</w:t>
      </w:r>
      <w:r w:rsidRPr="00CE357F">
        <w:rPr>
          <w:rFonts w:ascii="Arial Narrow" w:hAnsi="Arial Narrow" w:cs="Arial"/>
        </w:rPr>
        <w:t xml:space="preserve"> podrobně dokumentují grafy</w:t>
      </w:r>
      <w:r w:rsidR="00510C3D">
        <w:rPr>
          <w:rFonts w:ascii="Arial Narrow" w:hAnsi="Arial Narrow" w:cs="Arial"/>
        </w:rPr>
        <w:t xml:space="preserve"> č. 85 a č. 86</w:t>
      </w:r>
      <w:r w:rsidRPr="00CE357F">
        <w:rPr>
          <w:rFonts w:ascii="Arial Narrow" w:hAnsi="Arial Narrow" w:cs="Arial"/>
        </w:rPr>
        <w:t>.</w:t>
      </w:r>
    </w:p>
    <w:p w14:paraId="435C92DD" w14:textId="573129F6" w:rsidR="00772E8E" w:rsidRPr="00CE357F" w:rsidRDefault="00772E8E" w:rsidP="00772E8E">
      <w:pPr>
        <w:jc w:val="both"/>
        <w:rPr>
          <w:rFonts w:ascii="Arial Narrow" w:hAnsi="Arial Narrow"/>
          <w:b/>
          <w:bCs/>
          <w:sz w:val="20"/>
          <w:szCs w:val="20"/>
        </w:rPr>
      </w:pPr>
      <w:bookmarkStart w:id="526" w:name="_Toc94443783"/>
      <w:bookmarkStart w:id="527" w:name="_Toc136428929"/>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85</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Pozice obsazené osobami s jinou než českou státní příslušností v Jihomoravském kraji evidované na úřadech práce podle CZ-NACE - 3 nejčastější oblasti v letech 2008-202</w:t>
      </w:r>
      <w:bookmarkEnd w:id="526"/>
      <w:r>
        <w:rPr>
          <w:rFonts w:ascii="Arial Narrow" w:hAnsi="Arial Narrow"/>
          <w:b/>
          <w:bCs/>
          <w:sz w:val="20"/>
          <w:szCs w:val="20"/>
        </w:rPr>
        <w:t>1</w:t>
      </w:r>
      <w:bookmarkEnd w:id="527"/>
    </w:p>
    <w:p w14:paraId="517AF5E9" w14:textId="77777777" w:rsidR="00772E8E" w:rsidRPr="00CE357F" w:rsidRDefault="00772E8E" w:rsidP="00772E8E">
      <w:pPr>
        <w:spacing w:line="276" w:lineRule="auto"/>
        <w:jc w:val="both"/>
        <w:rPr>
          <w:rFonts w:ascii="Arial Narrow" w:hAnsi="Arial Narrow" w:cs="Arial"/>
        </w:rPr>
      </w:pPr>
      <w:r w:rsidRPr="00CE357F">
        <w:rPr>
          <w:rFonts w:ascii="Arial Narrow" w:hAnsi="Arial Narrow" w:cstheme="minorHAnsi"/>
          <w:b/>
          <w:bCs/>
          <w:noProof/>
          <w:sz w:val="28"/>
          <w:szCs w:val="28"/>
          <w:lang w:eastAsia="cs-CZ"/>
        </w:rPr>
        <w:drawing>
          <wp:inline distT="0" distB="0" distL="0" distR="0" wp14:anchorId="27F1AC20" wp14:editId="2D53BB8B">
            <wp:extent cx="5715000" cy="287655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538CC60" w14:textId="77777777" w:rsidR="00772E8E" w:rsidRPr="00CE357F" w:rsidRDefault="00772E8E" w:rsidP="00772E8E">
      <w:pPr>
        <w:spacing w:line="276" w:lineRule="auto"/>
        <w:jc w:val="both"/>
        <w:rPr>
          <w:rFonts w:ascii="Arial Narrow" w:hAnsi="Arial Narrow" w:cs="Arial"/>
          <w:sz w:val="20"/>
        </w:rPr>
      </w:pPr>
      <w:r w:rsidRPr="00CE357F">
        <w:rPr>
          <w:rFonts w:ascii="Arial Narrow" w:hAnsi="Arial Narrow" w:cs="Arial"/>
          <w:sz w:val="20"/>
        </w:rPr>
        <w:t>Zdroj: Úřad práce České republiky</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1F056BD3" w14:textId="77777777" w:rsidR="00772E8E" w:rsidRDefault="00772E8E" w:rsidP="00772E8E">
      <w:pPr>
        <w:jc w:val="both"/>
        <w:rPr>
          <w:rFonts w:ascii="Arial Narrow" w:hAnsi="Arial Narrow"/>
          <w:b/>
          <w:sz w:val="20"/>
          <w:szCs w:val="20"/>
        </w:rPr>
      </w:pPr>
      <w:bookmarkStart w:id="528" w:name="_Toc94443784"/>
    </w:p>
    <w:p w14:paraId="2E063553" w14:textId="34D63E46" w:rsidR="00772E8E" w:rsidRPr="00CE357F" w:rsidRDefault="00772E8E" w:rsidP="00772E8E">
      <w:pPr>
        <w:jc w:val="both"/>
        <w:rPr>
          <w:rFonts w:ascii="Arial Narrow" w:hAnsi="Arial Narrow"/>
          <w:b/>
          <w:bCs/>
          <w:sz w:val="20"/>
          <w:szCs w:val="20"/>
        </w:rPr>
      </w:pPr>
      <w:bookmarkStart w:id="529" w:name="_Toc136428930"/>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86</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 xml:space="preserve">Pozice obsazené osobami s jinou než českou státní příslušností </w:t>
      </w:r>
      <w:r>
        <w:rPr>
          <w:rFonts w:ascii="Arial Narrow" w:hAnsi="Arial Narrow"/>
          <w:b/>
          <w:bCs/>
          <w:sz w:val="20"/>
          <w:szCs w:val="20"/>
        </w:rPr>
        <w:t xml:space="preserve">v Jihomoravském kraji </w:t>
      </w:r>
      <w:r w:rsidRPr="00CE357F">
        <w:rPr>
          <w:rFonts w:ascii="Arial Narrow" w:hAnsi="Arial Narrow"/>
          <w:b/>
          <w:bCs/>
          <w:sz w:val="20"/>
          <w:szCs w:val="20"/>
        </w:rPr>
        <w:t>evidovanými na úřadech práce podle CZ-NACE - 4. a 5. nejčastější činnost v letech 2008-202</w:t>
      </w:r>
      <w:bookmarkEnd w:id="528"/>
      <w:r>
        <w:rPr>
          <w:rFonts w:ascii="Arial Narrow" w:hAnsi="Arial Narrow"/>
          <w:b/>
          <w:bCs/>
          <w:sz w:val="20"/>
          <w:szCs w:val="20"/>
        </w:rPr>
        <w:t>1</w:t>
      </w:r>
      <w:bookmarkEnd w:id="529"/>
    </w:p>
    <w:p w14:paraId="3F38896B" w14:textId="77777777" w:rsidR="00772E8E" w:rsidRPr="00CE357F" w:rsidRDefault="00772E8E" w:rsidP="00772E8E">
      <w:pPr>
        <w:spacing w:line="276" w:lineRule="auto"/>
        <w:jc w:val="both"/>
        <w:rPr>
          <w:rFonts w:ascii="Arial Narrow" w:hAnsi="Arial Narrow" w:cs="Arial"/>
        </w:rPr>
      </w:pPr>
      <w:r w:rsidRPr="00CE357F">
        <w:rPr>
          <w:rFonts w:ascii="Arial Narrow" w:hAnsi="Arial Narrow" w:cstheme="minorHAnsi"/>
          <w:b/>
          <w:bCs/>
          <w:noProof/>
          <w:sz w:val="28"/>
          <w:szCs w:val="28"/>
          <w:lang w:eastAsia="cs-CZ"/>
        </w:rPr>
        <w:drawing>
          <wp:inline distT="0" distB="0" distL="0" distR="0" wp14:anchorId="28BC66B1" wp14:editId="5EBC69CB">
            <wp:extent cx="5765800" cy="3318933"/>
            <wp:effectExtent l="0" t="0" r="6350" b="1524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76FCA6A8" w14:textId="77777777" w:rsidR="00772E8E" w:rsidRPr="00CE357F" w:rsidRDefault="00772E8E" w:rsidP="00772E8E">
      <w:pPr>
        <w:jc w:val="both"/>
        <w:rPr>
          <w:rFonts w:ascii="Arial Narrow" w:hAnsi="Arial Narrow" w:cs="Arial"/>
          <w:sz w:val="20"/>
        </w:rPr>
      </w:pPr>
      <w:r w:rsidRPr="00CE357F">
        <w:rPr>
          <w:rFonts w:ascii="Arial Narrow" w:hAnsi="Arial Narrow" w:cs="Arial"/>
          <w:sz w:val="20"/>
        </w:rPr>
        <w:t>Zdroj: Úřad práce České republiky</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55928499" w14:textId="77777777" w:rsidR="00772E8E" w:rsidRPr="00CE357F" w:rsidRDefault="00772E8E" w:rsidP="00772E8E">
      <w:pPr>
        <w:spacing w:before="240" w:after="240" w:line="276" w:lineRule="auto"/>
        <w:jc w:val="both"/>
        <w:rPr>
          <w:rFonts w:ascii="Arial Narrow" w:hAnsi="Arial Narrow" w:cs="Arial"/>
          <w:b/>
          <w:color w:val="C00000"/>
        </w:rPr>
      </w:pPr>
      <w:r w:rsidRPr="00CE357F">
        <w:rPr>
          <w:rFonts w:ascii="Arial Narrow" w:hAnsi="Arial Narrow" w:cs="Arial"/>
          <w:b/>
          <w:color w:val="C00000"/>
        </w:rPr>
        <w:t>Pozice obsazené osobami s jinou než českou státní příslušností dle CZ-ISCO</w:t>
      </w:r>
    </w:p>
    <w:p w14:paraId="70F5CE4D" w14:textId="77777777" w:rsidR="00772E8E" w:rsidRPr="00CE357F" w:rsidRDefault="00772E8E" w:rsidP="00772E8E">
      <w:pPr>
        <w:spacing w:line="276" w:lineRule="auto"/>
        <w:jc w:val="both"/>
        <w:rPr>
          <w:rFonts w:ascii="Arial Narrow" w:hAnsi="Arial Narrow" w:cs="Arial"/>
        </w:rPr>
      </w:pPr>
      <w:bookmarkStart w:id="530" w:name="_Hlk95747629"/>
      <w:r w:rsidRPr="00CE357F">
        <w:rPr>
          <w:rFonts w:ascii="Arial Narrow" w:hAnsi="Arial Narrow" w:cs="Arial"/>
        </w:rPr>
        <w:t xml:space="preserve">Klasifikace zaměstnání CZ-ISCO představuje jinou metodu národní statistické klasifikace, která byla vypracovaná na základě mezinárodního standardu International Standard </w:t>
      </w:r>
      <w:proofErr w:type="spellStart"/>
      <w:r w:rsidRPr="00CE357F">
        <w:rPr>
          <w:rFonts w:ascii="Arial Narrow" w:hAnsi="Arial Narrow" w:cs="Arial"/>
        </w:rPr>
        <w:t>Classification</w:t>
      </w:r>
      <w:proofErr w:type="spellEnd"/>
      <w:r w:rsidRPr="00CE357F">
        <w:rPr>
          <w:rFonts w:ascii="Arial Narrow" w:hAnsi="Arial Narrow" w:cs="Arial"/>
        </w:rPr>
        <w:t xml:space="preserve"> </w:t>
      </w:r>
      <w:proofErr w:type="spellStart"/>
      <w:r w:rsidRPr="00CE357F">
        <w:rPr>
          <w:rFonts w:ascii="Arial Narrow" w:hAnsi="Arial Narrow" w:cs="Arial"/>
        </w:rPr>
        <w:t>of</w:t>
      </w:r>
      <w:proofErr w:type="spellEnd"/>
      <w:r w:rsidRPr="00CE357F">
        <w:rPr>
          <w:rFonts w:ascii="Arial Narrow" w:hAnsi="Arial Narrow" w:cs="Arial"/>
        </w:rPr>
        <w:t xml:space="preserve"> </w:t>
      </w:r>
      <w:proofErr w:type="spellStart"/>
      <w:r w:rsidRPr="00CE357F">
        <w:rPr>
          <w:rFonts w:ascii="Arial Narrow" w:hAnsi="Arial Narrow" w:cs="Arial"/>
        </w:rPr>
        <w:t>Occupations</w:t>
      </w:r>
      <w:proofErr w:type="spellEnd"/>
      <w:r w:rsidRPr="00CE357F">
        <w:rPr>
          <w:rFonts w:ascii="Arial Narrow" w:hAnsi="Arial Narrow" w:cs="Arial"/>
        </w:rPr>
        <w:t xml:space="preserve"> (ISCO-08). Dle</w:t>
      </w:r>
      <w:r>
        <w:rPr>
          <w:rFonts w:ascii="Arial Narrow" w:hAnsi="Arial Narrow" w:cs="Arial"/>
        </w:rPr>
        <w:t xml:space="preserve"> této klasifikace pracovalo k 30. 6. 2021 celkem 26,63</w:t>
      </w:r>
      <w:r w:rsidRPr="00CE357F">
        <w:rPr>
          <w:rFonts w:ascii="Arial Narrow" w:hAnsi="Arial Narrow" w:cs="Arial"/>
        </w:rPr>
        <w:t xml:space="preserve"> % všech zaměstnaných </w:t>
      </w:r>
      <w:r w:rsidRPr="00CE357F">
        <w:rPr>
          <w:rFonts w:ascii="Arial Narrow" w:hAnsi="Arial Narrow"/>
        </w:rPr>
        <w:t>osob s jinou než českou státní příslušností</w:t>
      </w:r>
      <w:r w:rsidRPr="00CE357F">
        <w:rPr>
          <w:rFonts w:ascii="Arial Narrow" w:hAnsi="Arial Narrow" w:cs="Arial"/>
        </w:rPr>
        <w:t xml:space="preserve"> v Jihomoravském kraji evidovaných na úřadech práce na pozicích pomocných a nekvalifikovaných pracovní</w:t>
      </w:r>
      <w:r>
        <w:rPr>
          <w:rFonts w:ascii="Arial Narrow" w:hAnsi="Arial Narrow" w:cs="Arial"/>
        </w:rPr>
        <w:t>ků. Necelá 1/5 zaměstnanců (18,08</w:t>
      </w:r>
      <w:r w:rsidRPr="00CE357F">
        <w:rPr>
          <w:rFonts w:ascii="Arial Narrow" w:hAnsi="Arial Narrow" w:cs="Arial"/>
        </w:rPr>
        <w:t xml:space="preserve"> %) pracovala na pozici specialistů. Třetí nejčastější pozice u zaměstnání osob s jinou než českou státní příslušností byla obsluha strojů a zařízení, montéři. Na těchto pozicí</w:t>
      </w:r>
      <w:r>
        <w:rPr>
          <w:rFonts w:ascii="Arial Narrow" w:hAnsi="Arial Narrow" w:cs="Arial"/>
        </w:rPr>
        <w:t>ch k uvedenému datu pracovalo 17</w:t>
      </w:r>
      <w:r w:rsidRPr="00CE357F">
        <w:rPr>
          <w:rFonts w:ascii="Arial Narrow" w:hAnsi="Arial Narrow" w:cs="Arial"/>
        </w:rPr>
        <w:t>,4</w:t>
      </w:r>
      <w:r>
        <w:rPr>
          <w:rFonts w:ascii="Arial Narrow" w:hAnsi="Arial Narrow" w:cs="Arial"/>
        </w:rPr>
        <w:t>1</w:t>
      </w:r>
      <w:r w:rsidRPr="00CE357F">
        <w:rPr>
          <w:rFonts w:ascii="Arial Narrow" w:hAnsi="Arial Narrow" w:cs="Arial"/>
        </w:rPr>
        <w:t xml:space="preserve"> % všech zaměstnaných osob s jinou než českou státní příslušností. </w:t>
      </w:r>
    </w:p>
    <w:bookmarkEnd w:id="530"/>
    <w:p w14:paraId="20F84F51" w14:textId="77777777" w:rsidR="00772E8E" w:rsidRPr="00CE357F" w:rsidRDefault="00772E8E" w:rsidP="00772E8E">
      <w:pPr>
        <w:spacing w:line="276" w:lineRule="auto"/>
        <w:jc w:val="both"/>
        <w:rPr>
          <w:rFonts w:ascii="Arial Narrow" w:hAnsi="Arial Narrow" w:cs="Arial"/>
        </w:rPr>
      </w:pPr>
    </w:p>
    <w:p w14:paraId="7107AD44" w14:textId="484E68DE" w:rsidR="00772E8E" w:rsidRPr="00CE357F" w:rsidRDefault="00772E8E" w:rsidP="00772E8E">
      <w:pPr>
        <w:jc w:val="both"/>
        <w:rPr>
          <w:rFonts w:ascii="Arial Narrow" w:hAnsi="Arial Narrow"/>
          <w:b/>
          <w:bCs/>
          <w:sz w:val="20"/>
          <w:szCs w:val="20"/>
        </w:rPr>
      </w:pPr>
      <w:bookmarkStart w:id="531" w:name="_Toc94443785"/>
      <w:bookmarkStart w:id="532" w:name="_Toc136428931"/>
      <w:r w:rsidRPr="007B59C4">
        <w:rPr>
          <w:rFonts w:ascii="Arial Narrow" w:hAnsi="Arial Narrow"/>
          <w:b/>
          <w:sz w:val="20"/>
          <w:szCs w:val="20"/>
        </w:rPr>
        <w:t xml:space="preserve">Graf </w:t>
      </w:r>
      <w:r w:rsidRPr="007B59C4">
        <w:rPr>
          <w:rFonts w:ascii="Arial Narrow" w:hAnsi="Arial Narrow"/>
          <w:b/>
          <w:sz w:val="20"/>
          <w:szCs w:val="20"/>
        </w:rPr>
        <w:fldChar w:fldCharType="begin"/>
      </w:r>
      <w:r w:rsidRPr="007B59C4">
        <w:rPr>
          <w:rFonts w:ascii="Arial Narrow" w:hAnsi="Arial Narrow"/>
          <w:b/>
          <w:sz w:val="20"/>
          <w:szCs w:val="20"/>
        </w:rPr>
        <w:instrText xml:space="preserve"> SEQ Graf \* ARABIC </w:instrText>
      </w:r>
      <w:r w:rsidRPr="007B59C4">
        <w:rPr>
          <w:rFonts w:ascii="Arial Narrow" w:hAnsi="Arial Narrow"/>
          <w:b/>
          <w:sz w:val="20"/>
          <w:szCs w:val="20"/>
        </w:rPr>
        <w:fldChar w:fldCharType="separate"/>
      </w:r>
      <w:r w:rsidR="009F49C8" w:rsidRPr="007B59C4">
        <w:rPr>
          <w:rFonts w:ascii="Arial Narrow" w:hAnsi="Arial Narrow"/>
          <w:b/>
          <w:noProof/>
          <w:sz w:val="20"/>
          <w:szCs w:val="20"/>
        </w:rPr>
        <w:t>87</w:t>
      </w:r>
      <w:r w:rsidRPr="007B59C4">
        <w:rPr>
          <w:rFonts w:ascii="Arial Narrow" w:hAnsi="Arial Narrow"/>
          <w:b/>
          <w:sz w:val="20"/>
          <w:szCs w:val="20"/>
        </w:rPr>
        <w:fldChar w:fldCharType="end"/>
      </w:r>
      <w:r w:rsidRPr="007B59C4">
        <w:rPr>
          <w:rFonts w:ascii="Arial Narrow" w:hAnsi="Arial Narrow"/>
          <w:b/>
          <w:sz w:val="20"/>
          <w:szCs w:val="20"/>
        </w:rPr>
        <w:t xml:space="preserve">: </w:t>
      </w:r>
      <w:r w:rsidRPr="007B59C4">
        <w:rPr>
          <w:rFonts w:ascii="Arial Narrow" w:hAnsi="Arial Narrow"/>
          <w:b/>
          <w:bCs/>
          <w:sz w:val="20"/>
          <w:szCs w:val="20"/>
        </w:rPr>
        <w:t xml:space="preserve">Pozice obsazené osobami s jinou než českou státní příslušností </w:t>
      </w:r>
      <w:r w:rsidR="00284AC4" w:rsidRPr="007B59C4">
        <w:rPr>
          <w:rFonts w:ascii="Arial Narrow" w:hAnsi="Arial Narrow"/>
          <w:b/>
          <w:bCs/>
          <w:sz w:val="20"/>
          <w:szCs w:val="20"/>
        </w:rPr>
        <w:t xml:space="preserve">v Jihomoravském kraji </w:t>
      </w:r>
      <w:r w:rsidRPr="007B59C4">
        <w:rPr>
          <w:rFonts w:ascii="Arial Narrow" w:hAnsi="Arial Narrow"/>
          <w:b/>
          <w:bCs/>
          <w:sz w:val="20"/>
          <w:szCs w:val="20"/>
        </w:rPr>
        <w:t>evidovanými na úřadech práce podle CZ-ISCO k 30. 6. 202</w:t>
      </w:r>
      <w:bookmarkEnd w:id="531"/>
      <w:r w:rsidRPr="007B59C4">
        <w:rPr>
          <w:rFonts w:ascii="Arial Narrow" w:hAnsi="Arial Narrow"/>
          <w:b/>
          <w:bCs/>
          <w:sz w:val="20"/>
          <w:szCs w:val="20"/>
        </w:rPr>
        <w:t>1</w:t>
      </w:r>
      <w:bookmarkEnd w:id="532"/>
    </w:p>
    <w:p w14:paraId="4E8EF78C" w14:textId="77777777" w:rsidR="00772E8E" w:rsidRPr="00CE357F" w:rsidRDefault="00772E8E" w:rsidP="7CC7BF57">
      <w:pPr>
        <w:rPr>
          <w:rFonts w:ascii="Arial Narrow" w:hAnsi="Arial Narrow"/>
          <w:b/>
          <w:bCs/>
          <w:color w:val="2F5496" w:themeColor="accent1" w:themeShade="BF"/>
        </w:rPr>
      </w:pPr>
      <w:r w:rsidRPr="00CE357F">
        <w:rPr>
          <w:rFonts w:ascii="Arial Narrow" w:hAnsi="Arial Narrow"/>
          <w:b/>
          <w:noProof/>
          <w:color w:val="2F5496" w:themeColor="accent1" w:themeShade="BF"/>
          <w:lang w:eastAsia="cs-CZ"/>
        </w:rPr>
        <w:drawing>
          <wp:inline distT="0" distB="0" distL="0" distR="0" wp14:anchorId="7D33743F" wp14:editId="431EC38B">
            <wp:extent cx="5760720" cy="2141220"/>
            <wp:effectExtent l="0" t="0" r="11430" b="3048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5DBB9AC9" w14:textId="77777777" w:rsidR="00772E8E" w:rsidRPr="00CE357F" w:rsidRDefault="00772E8E" w:rsidP="00772E8E">
      <w:pPr>
        <w:spacing w:line="276" w:lineRule="auto"/>
        <w:jc w:val="both"/>
        <w:rPr>
          <w:rFonts w:ascii="Arial Narrow" w:hAnsi="Arial Narrow" w:cs="Arial"/>
          <w:sz w:val="20"/>
        </w:rPr>
      </w:pPr>
      <w:r w:rsidRPr="00CE357F">
        <w:rPr>
          <w:rFonts w:ascii="Arial Narrow" w:hAnsi="Arial Narrow" w:cs="Arial"/>
          <w:sz w:val="20"/>
        </w:rPr>
        <w:t>Zdroj: Úřad práce České republiky</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012E0490" w14:textId="77777777" w:rsidR="00772E8E" w:rsidRPr="00CE357F" w:rsidRDefault="00772E8E" w:rsidP="00772E8E">
      <w:pPr>
        <w:spacing w:after="120" w:line="276" w:lineRule="auto"/>
        <w:jc w:val="both"/>
        <w:rPr>
          <w:rFonts w:ascii="Arial Narrow" w:hAnsi="Arial Narrow" w:cs="Arial"/>
        </w:rPr>
      </w:pPr>
      <w:bookmarkStart w:id="533" w:name="_Hlk95820225"/>
      <w:r w:rsidRPr="00CE357F">
        <w:rPr>
          <w:rFonts w:ascii="Arial Narrow" w:hAnsi="Arial Narrow" w:cs="Arial"/>
        </w:rPr>
        <w:lastRenderedPageBreak/>
        <w:t>Podíváme-li se na vývoj pozic obsazených osobami s jinou než českou státní</w:t>
      </w:r>
      <w:r>
        <w:rPr>
          <w:rFonts w:ascii="Arial Narrow" w:hAnsi="Arial Narrow" w:cs="Arial"/>
        </w:rPr>
        <w:t xml:space="preserve"> příslušností v letech 2008-2021</w:t>
      </w:r>
      <w:r w:rsidRPr="00CE357F">
        <w:rPr>
          <w:rFonts w:ascii="Arial Narrow" w:hAnsi="Arial Narrow" w:cs="Arial"/>
        </w:rPr>
        <w:t xml:space="preserve">, výrazné změny lze, podobně jako v případě klasifikace oblastí dle CZ-NACE, zaznamenat zejména mezi lety 2008 a 2012, v době celosvětové ekonomické krize. Největších změn v tomto ohledu dostály </w:t>
      </w:r>
      <w:r w:rsidRPr="00CE357F">
        <w:rPr>
          <w:rFonts w:ascii="Arial Narrow" w:hAnsi="Arial Narrow" w:cs="Arial"/>
          <w:b/>
        </w:rPr>
        <w:t xml:space="preserve">pozice pomocných a </w:t>
      </w:r>
      <w:r>
        <w:rPr>
          <w:rFonts w:ascii="Arial Narrow" w:hAnsi="Arial Narrow" w:cs="Arial"/>
          <w:b/>
        </w:rPr>
        <w:t>ne</w:t>
      </w:r>
      <w:r w:rsidRPr="00CE357F">
        <w:rPr>
          <w:rFonts w:ascii="Arial Narrow" w:hAnsi="Arial Narrow" w:cs="Arial"/>
          <w:b/>
        </w:rPr>
        <w:t xml:space="preserve">kvalifikovaných pracovníků. </w:t>
      </w:r>
      <w:bookmarkStart w:id="534" w:name="_Hlk95820256"/>
      <w:bookmarkEnd w:id="533"/>
      <w:r w:rsidRPr="00CE357F">
        <w:rPr>
          <w:rFonts w:ascii="Arial Narrow" w:hAnsi="Arial Narrow" w:cs="Arial"/>
        </w:rPr>
        <w:t xml:space="preserve">Zatímco v roce 2008 na těchto pozicích pracovalo 38,8 % všech zaměstnanců s jinou než českou státní příslušností v Jihomoravském kraji, v roce 2012 to bylo pouze 12,5 % všech těchto zaměstnanců. </w:t>
      </w:r>
      <w:bookmarkEnd w:id="534"/>
      <w:r w:rsidRPr="00CE357F">
        <w:rPr>
          <w:rFonts w:ascii="Arial Narrow" w:hAnsi="Arial Narrow" w:cs="Arial"/>
        </w:rPr>
        <w:t>Podíl zaměstnanců s jinou než českou státní příslušností na těchto pozicích se do roku 2015 opět navýšil a dosáhl hodno</w:t>
      </w:r>
      <w:r>
        <w:rPr>
          <w:rFonts w:ascii="Arial Narrow" w:hAnsi="Arial Narrow" w:cs="Arial"/>
        </w:rPr>
        <w:t>ty 27,7 %. Mezi lety 2015 a 2021</w:t>
      </w:r>
      <w:r w:rsidRPr="00CE357F">
        <w:rPr>
          <w:rFonts w:ascii="Arial Narrow" w:hAnsi="Arial Narrow" w:cs="Arial"/>
        </w:rPr>
        <w:t xml:space="preserve"> se podíl osob na těchto poz</w:t>
      </w:r>
      <w:r>
        <w:rPr>
          <w:rFonts w:ascii="Arial Narrow" w:hAnsi="Arial Narrow" w:cs="Arial"/>
        </w:rPr>
        <w:t>icích pohyboval průměrně na 27,8</w:t>
      </w:r>
      <w:r w:rsidRPr="00CE357F">
        <w:rPr>
          <w:rFonts w:ascii="Arial Narrow" w:hAnsi="Arial Narrow" w:cs="Arial"/>
        </w:rPr>
        <w:t xml:space="preserve"> %. </w:t>
      </w:r>
    </w:p>
    <w:p w14:paraId="5D71BF3C" w14:textId="58BEC4C1" w:rsidR="00772E8E" w:rsidRPr="00CE357F" w:rsidRDefault="00772E8E" w:rsidP="00772E8E">
      <w:pPr>
        <w:spacing w:after="120" w:line="276" w:lineRule="auto"/>
        <w:jc w:val="both"/>
        <w:rPr>
          <w:rFonts w:ascii="Arial Narrow" w:hAnsi="Arial Narrow" w:cs="Arial"/>
        </w:rPr>
      </w:pPr>
      <w:r w:rsidRPr="00CE357F">
        <w:rPr>
          <w:rFonts w:ascii="Arial Narrow" w:hAnsi="Arial Narrow" w:cs="Arial"/>
        </w:rPr>
        <w:t xml:space="preserve">Poměrně významný propad zaznamenala v letech 2008-2010 také </w:t>
      </w:r>
      <w:r w:rsidRPr="00CE357F">
        <w:rPr>
          <w:rFonts w:ascii="Arial Narrow" w:hAnsi="Arial Narrow" w:cs="Arial"/>
          <w:b/>
        </w:rPr>
        <w:t xml:space="preserve">pozice řemeslníci a opraváři. </w:t>
      </w:r>
      <w:r w:rsidRPr="00CE357F">
        <w:rPr>
          <w:rFonts w:ascii="Arial Narrow" w:hAnsi="Arial Narrow" w:cs="Arial"/>
        </w:rPr>
        <w:t xml:space="preserve">Zatímco v roce 2008 na těchto pozicích pracovalo 19,1 % všech zaměstnanců s jinou než českou státní příslušností v Jihomoravském kraji, v roce 2010 to bylo 14,4 </w:t>
      </w:r>
      <w:r w:rsidR="00FF46AF">
        <w:rPr>
          <w:rFonts w:ascii="Arial Narrow" w:hAnsi="Arial Narrow" w:cs="Arial"/>
        </w:rPr>
        <w:t>%</w:t>
      </w:r>
      <w:r w:rsidRPr="00CE357F">
        <w:rPr>
          <w:rFonts w:ascii="Arial Narrow" w:hAnsi="Arial Narrow" w:cs="Arial"/>
        </w:rPr>
        <w:t>. Po krátkém nárůstu podílu osob na těchto pozicích v letech 2011 a 2012 podíl osob na těchto pozicích</w:t>
      </w:r>
      <w:r>
        <w:rPr>
          <w:rFonts w:ascii="Arial Narrow" w:hAnsi="Arial Narrow" w:cs="Arial"/>
        </w:rPr>
        <w:t xml:space="preserve"> dlouhodobě klesal a v roce 2021 dosáhl hodnoty 11,4</w:t>
      </w:r>
      <w:r w:rsidRPr="00CE357F">
        <w:rPr>
          <w:rFonts w:ascii="Arial Narrow" w:hAnsi="Arial Narrow" w:cs="Arial"/>
        </w:rPr>
        <w:t xml:space="preserve"> %. Po roce 2008 zaznamenaly srovnatelný vývoj i </w:t>
      </w:r>
      <w:r w:rsidRPr="00CE357F">
        <w:rPr>
          <w:rFonts w:ascii="Arial Narrow" w:hAnsi="Arial Narrow" w:cs="Arial"/>
          <w:b/>
        </w:rPr>
        <w:t>pozice obsluha strojů a zařízení, montéři</w:t>
      </w:r>
      <w:r w:rsidRPr="00CE357F">
        <w:rPr>
          <w:rFonts w:ascii="Arial Narrow" w:hAnsi="Arial Narrow" w:cs="Arial"/>
        </w:rPr>
        <w:t>, avšak na rozdíl od pozic řemeslníků a opravářů se pokles podílu osob s jinou než českou státní příslušností v Jihomoravském kraji na těchto pozicích zastavil a od roku 201</w:t>
      </w:r>
      <w:r>
        <w:rPr>
          <w:rFonts w:ascii="Arial Narrow" w:hAnsi="Arial Narrow" w:cs="Arial"/>
        </w:rPr>
        <w:t>5 meziročně narůstá. V roce 2021</w:t>
      </w:r>
      <w:r w:rsidRPr="00CE357F">
        <w:rPr>
          <w:rFonts w:ascii="Arial Narrow" w:hAnsi="Arial Narrow" w:cs="Arial"/>
        </w:rPr>
        <w:t xml:space="preserve"> dosáhl hodnoty 1</w:t>
      </w:r>
      <w:r>
        <w:rPr>
          <w:rFonts w:ascii="Arial Narrow" w:hAnsi="Arial Narrow" w:cs="Arial"/>
        </w:rPr>
        <w:t>7,4</w:t>
      </w:r>
      <w:r w:rsidRPr="00CE357F">
        <w:rPr>
          <w:rFonts w:ascii="Arial Narrow" w:hAnsi="Arial Narrow" w:cs="Arial"/>
        </w:rPr>
        <w:t xml:space="preserve"> %.</w:t>
      </w:r>
    </w:p>
    <w:p w14:paraId="0A2232EA" w14:textId="53908A74" w:rsidR="00772E8E" w:rsidRPr="00CE357F" w:rsidRDefault="00772E8E" w:rsidP="00772E8E">
      <w:pPr>
        <w:spacing w:after="120" w:line="276" w:lineRule="auto"/>
        <w:jc w:val="both"/>
        <w:rPr>
          <w:rFonts w:ascii="Arial Narrow" w:hAnsi="Arial Narrow" w:cs="Arial"/>
        </w:rPr>
      </w:pPr>
      <w:bookmarkStart w:id="535" w:name="_Hlk95820265"/>
      <w:r w:rsidRPr="00CE357F">
        <w:rPr>
          <w:rFonts w:ascii="Arial Narrow" w:hAnsi="Arial Narrow" w:cs="Arial"/>
          <w:b/>
        </w:rPr>
        <w:t xml:space="preserve">Specialisté </w:t>
      </w:r>
      <w:r w:rsidRPr="00CE357F">
        <w:rPr>
          <w:rFonts w:ascii="Arial Narrow" w:hAnsi="Arial Narrow" w:cs="Arial"/>
        </w:rPr>
        <w:t xml:space="preserve">představují v tomto srovnání jednu z mála kategorií pozic, v rámci kterých byl v době ekonomické krize v letech 2008-2012 zaznamenán nárůst podílu osob s jinou než českou státní příslušností v Jihomoravském kraji. Zatímco v roce 2008 na pozicích specialistů pracovalo 10,9 % všech těchto zaměstnanců, v roce 2012 to bylo již 24,4 %. </w:t>
      </w:r>
      <w:bookmarkEnd w:id="535"/>
      <w:r w:rsidRPr="00CE357F">
        <w:rPr>
          <w:rFonts w:ascii="Arial Narrow" w:hAnsi="Arial Narrow" w:cs="Arial"/>
        </w:rPr>
        <w:t>Od roku 2014 podíl zaměstnanců na těchto pozicíc</w:t>
      </w:r>
      <w:r>
        <w:rPr>
          <w:rFonts w:ascii="Arial Narrow" w:hAnsi="Arial Narrow" w:cs="Arial"/>
        </w:rPr>
        <w:t>h dlouhodobě klesá a v roce 2021 dosáhl hodnoty 18,1</w:t>
      </w:r>
      <w:r w:rsidRPr="00CE357F">
        <w:rPr>
          <w:rFonts w:ascii="Arial Narrow" w:hAnsi="Arial Narrow" w:cs="Arial"/>
        </w:rPr>
        <w:t xml:space="preserve"> %.</w:t>
      </w:r>
      <w:r w:rsidR="00510C3D">
        <w:rPr>
          <w:rFonts w:ascii="Arial Narrow" w:hAnsi="Arial Narrow" w:cs="Arial"/>
        </w:rPr>
        <w:t xml:space="preserve"> </w:t>
      </w:r>
      <w:r w:rsidRPr="00CE357F">
        <w:rPr>
          <w:rFonts w:ascii="Arial Narrow" w:hAnsi="Arial Narrow" w:cs="Arial"/>
        </w:rPr>
        <w:t>Pozice obsazené osobami s jinou než českou státní příslušností evidované na úřadech práce podle CZ-ISCO a jejich vývoj v rámci čtyř nejčas</w:t>
      </w:r>
      <w:r>
        <w:rPr>
          <w:rFonts w:ascii="Arial Narrow" w:hAnsi="Arial Narrow" w:cs="Arial"/>
        </w:rPr>
        <w:t>tějších pozic v letech 2008-2021</w:t>
      </w:r>
      <w:r w:rsidRPr="00CE357F">
        <w:rPr>
          <w:rFonts w:ascii="Arial Narrow" w:hAnsi="Arial Narrow" w:cs="Arial"/>
        </w:rPr>
        <w:t xml:space="preserve"> jsme kvůli lepší přehlednosti zdokumentovali v následujících dvou grafech</w:t>
      </w:r>
      <w:r w:rsidR="00510C3D">
        <w:rPr>
          <w:rFonts w:ascii="Arial Narrow" w:hAnsi="Arial Narrow" w:cs="Arial"/>
        </w:rPr>
        <w:t xml:space="preserve"> č. 88 a č. 89</w:t>
      </w:r>
      <w:r w:rsidRPr="00CE357F">
        <w:rPr>
          <w:rFonts w:ascii="Arial Narrow" w:hAnsi="Arial Narrow" w:cs="Arial"/>
        </w:rPr>
        <w:t>.</w:t>
      </w:r>
    </w:p>
    <w:p w14:paraId="5D07EC16" w14:textId="1B479D8C" w:rsidR="00772E8E" w:rsidRPr="00CE357F" w:rsidRDefault="00772E8E" w:rsidP="00772E8E">
      <w:pPr>
        <w:spacing w:before="240"/>
        <w:jc w:val="both"/>
        <w:rPr>
          <w:rFonts w:ascii="Arial Narrow" w:hAnsi="Arial Narrow" w:cs="Arial"/>
          <w:b/>
          <w:bCs/>
          <w:sz w:val="20"/>
          <w:szCs w:val="20"/>
        </w:rPr>
      </w:pPr>
      <w:bookmarkStart w:id="536" w:name="_Toc94443786"/>
      <w:bookmarkStart w:id="537" w:name="_Toc136428932"/>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88</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cs="Arial"/>
          <w:b/>
          <w:bCs/>
          <w:sz w:val="20"/>
          <w:szCs w:val="20"/>
        </w:rPr>
        <w:t>Pozice obsazené osobami s jinou než českou státní příslušností evidovanými na úřadech práce podle CZ-ISCO – 2 nejčastější pozice v letech 2008-202</w:t>
      </w:r>
      <w:bookmarkEnd w:id="536"/>
      <w:r>
        <w:rPr>
          <w:rFonts w:ascii="Arial Narrow" w:hAnsi="Arial Narrow" w:cs="Arial"/>
          <w:b/>
          <w:bCs/>
          <w:sz w:val="20"/>
          <w:szCs w:val="20"/>
        </w:rPr>
        <w:t>1</w:t>
      </w:r>
      <w:bookmarkEnd w:id="537"/>
    </w:p>
    <w:p w14:paraId="13F8E0DC" w14:textId="77777777" w:rsidR="00772E8E" w:rsidRPr="00CE357F" w:rsidRDefault="00772E8E" w:rsidP="00772E8E">
      <w:pPr>
        <w:spacing w:line="276" w:lineRule="auto"/>
        <w:jc w:val="both"/>
        <w:rPr>
          <w:rFonts w:ascii="Arial Narrow" w:hAnsi="Arial Narrow" w:cs="Arial"/>
        </w:rPr>
      </w:pPr>
      <w:r w:rsidRPr="00CE357F">
        <w:rPr>
          <w:rFonts w:ascii="Arial Narrow" w:hAnsi="Arial Narrow" w:cstheme="minorHAnsi"/>
          <w:b/>
          <w:bCs/>
          <w:noProof/>
          <w:sz w:val="28"/>
          <w:szCs w:val="28"/>
          <w:lang w:eastAsia="cs-CZ"/>
        </w:rPr>
        <w:drawing>
          <wp:inline distT="0" distB="0" distL="0" distR="0" wp14:anchorId="1E49569F" wp14:editId="7E8CCA8E">
            <wp:extent cx="5765800" cy="3064933"/>
            <wp:effectExtent l="0" t="0" r="6350" b="254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4DD71BBB" w14:textId="77777777" w:rsidR="00772E8E" w:rsidRPr="00CE357F" w:rsidRDefault="00772E8E" w:rsidP="00772E8E">
      <w:pPr>
        <w:spacing w:line="276" w:lineRule="auto"/>
        <w:jc w:val="both"/>
        <w:rPr>
          <w:rFonts w:ascii="Arial Narrow" w:hAnsi="Arial Narrow" w:cs="Arial"/>
          <w:sz w:val="20"/>
        </w:rPr>
      </w:pPr>
      <w:r w:rsidRPr="00CE357F">
        <w:rPr>
          <w:rFonts w:ascii="Arial Narrow" w:hAnsi="Arial Narrow" w:cs="Arial"/>
          <w:sz w:val="20"/>
        </w:rPr>
        <w:t xml:space="preserve">Zdroj: Úřad práce České republiky </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504FBD88" w14:textId="77777777" w:rsidR="00772E8E" w:rsidRPr="00CE357F" w:rsidRDefault="00772E8E" w:rsidP="00772E8E">
      <w:pPr>
        <w:spacing w:line="276" w:lineRule="auto"/>
        <w:jc w:val="both"/>
        <w:rPr>
          <w:rFonts w:ascii="Arial Narrow" w:hAnsi="Arial Narrow" w:cs="Arial"/>
          <w:sz w:val="20"/>
        </w:rPr>
      </w:pPr>
    </w:p>
    <w:p w14:paraId="1E26FA20" w14:textId="47EE150D" w:rsidR="00772E8E" w:rsidRPr="00CE357F" w:rsidRDefault="00772E8E" w:rsidP="00772E8E">
      <w:pPr>
        <w:spacing w:before="240"/>
        <w:jc w:val="both"/>
        <w:rPr>
          <w:rFonts w:ascii="Arial Narrow" w:hAnsi="Arial Narrow" w:cs="Arial"/>
          <w:b/>
          <w:bCs/>
          <w:sz w:val="20"/>
          <w:szCs w:val="20"/>
        </w:rPr>
      </w:pPr>
      <w:bookmarkStart w:id="538" w:name="_Toc94443787"/>
      <w:bookmarkStart w:id="539" w:name="_Toc136428933"/>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89</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cs="Arial"/>
          <w:b/>
          <w:bCs/>
          <w:sz w:val="20"/>
          <w:szCs w:val="20"/>
        </w:rPr>
        <w:t>Pozice obsazené osobami s jinou než českou státní příslušností evidovanými na úřadech práce podle CZ-ISCO – 3. a 4. nejčastější pozice v letech 2008-202</w:t>
      </w:r>
      <w:bookmarkEnd w:id="538"/>
      <w:r>
        <w:rPr>
          <w:rFonts w:ascii="Arial Narrow" w:hAnsi="Arial Narrow" w:cs="Arial"/>
          <w:b/>
          <w:bCs/>
          <w:sz w:val="20"/>
          <w:szCs w:val="20"/>
        </w:rPr>
        <w:t>1</w:t>
      </w:r>
      <w:bookmarkEnd w:id="539"/>
    </w:p>
    <w:p w14:paraId="585670CB" w14:textId="77777777" w:rsidR="00772E8E" w:rsidRPr="00CE357F" w:rsidRDefault="00772E8E" w:rsidP="7CC7BF57">
      <w:pPr>
        <w:spacing w:line="276" w:lineRule="auto"/>
        <w:jc w:val="both"/>
        <w:rPr>
          <w:rFonts w:ascii="Arial Narrow" w:hAnsi="Arial Narrow" w:cs="Arial"/>
          <w:sz w:val="20"/>
          <w:szCs w:val="20"/>
        </w:rPr>
      </w:pPr>
      <w:r w:rsidRPr="00CE357F">
        <w:rPr>
          <w:rFonts w:ascii="Arial Narrow" w:hAnsi="Arial Narrow" w:cstheme="minorHAnsi"/>
          <w:b/>
          <w:bCs/>
          <w:noProof/>
          <w:sz w:val="28"/>
          <w:szCs w:val="28"/>
          <w:lang w:eastAsia="cs-CZ"/>
        </w:rPr>
        <w:drawing>
          <wp:inline distT="0" distB="0" distL="0" distR="0" wp14:anchorId="7A439DA6" wp14:editId="0F03D115">
            <wp:extent cx="5765800" cy="2988733"/>
            <wp:effectExtent l="0" t="0" r="6350" b="2540"/>
            <wp:docPr id="2159" name="Graf 2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5485A0D3" w14:textId="6B1C702F" w:rsidR="00D6793F" w:rsidRPr="00CE357F" w:rsidRDefault="00772E8E" w:rsidP="00D6793F">
      <w:pPr>
        <w:spacing w:line="276" w:lineRule="auto"/>
        <w:jc w:val="both"/>
        <w:rPr>
          <w:rFonts w:ascii="Arial Narrow" w:hAnsi="Arial Narrow" w:cs="Arial"/>
          <w:sz w:val="20"/>
        </w:rPr>
      </w:pPr>
      <w:r w:rsidRPr="00CE357F">
        <w:rPr>
          <w:rFonts w:ascii="Arial Narrow" w:hAnsi="Arial Narrow" w:cs="Arial"/>
          <w:sz w:val="20"/>
        </w:rPr>
        <w:t>Zdroj: Úřad práce České republiky</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04226E13" w14:textId="77777777" w:rsidR="00D6793F" w:rsidRPr="00CE357F" w:rsidRDefault="00D6793F" w:rsidP="00D6793F">
      <w:pPr>
        <w:spacing w:line="276" w:lineRule="auto"/>
        <w:jc w:val="both"/>
        <w:rPr>
          <w:rFonts w:ascii="Arial Narrow" w:hAnsi="Arial Narrow" w:cs="Arial"/>
          <w:sz w:val="20"/>
        </w:rPr>
      </w:pPr>
    </w:p>
    <w:p w14:paraId="0AD1F9B9" w14:textId="21A65FB7" w:rsidR="00D6793F" w:rsidRPr="00CE357F" w:rsidRDefault="00C54507" w:rsidP="00D6793F">
      <w:pPr>
        <w:spacing w:line="276" w:lineRule="auto"/>
        <w:jc w:val="both"/>
        <w:rPr>
          <w:rFonts w:ascii="Arial Narrow" w:eastAsia="Times New Roman" w:hAnsi="Arial Narrow" w:cs="Arial"/>
          <w:b/>
          <w:bCs/>
          <w:color w:val="C00000"/>
          <w:sz w:val="24"/>
          <w:szCs w:val="24"/>
          <w:lang w:eastAsia="cs-CZ"/>
        </w:rPr>
      </w:pPr>
      <w:r>
        <w:rPr>
          <w:rFonts w:ascii="Arial Narrow" w:eastAsia="Times New Roman" w:hAnsi="Arial Narrow" w:cs="Arial"/>
          <w:b/>
          <w:bCs/>
          <w:color w:val="C00000"/>
          <w:sz w:val="24"/>
          <w:szCs w:val="24"/>
          <w:lang w:eastAsia="cs-CZ"/>
        </w:rPr>
        <w:t>Významní</w:t>
      </w:r>
      <w:r w:rsidR="00D6793F" w:rsidRPr="00CE357F">
        <w:rPr>
          <w:rFonts w:ascii="Arial Narrow" w:eastAsia="Times New Roman" w:hAnsi="Arial Narrow" w:cs="Arial"/>
          <w:b/>
          <w:bCs/>
          <w:color w:val="C00000"/>
          <w:sz w:val="24"/>
          <w:szCs w:val="24"/>
          <w:lang w:eastAsia="cs-CZ"/>
        </w:rPr>
        <w:t xml:space="preserve"> zaměstnavatelé občanů s jinou než českou státní příslušností v roce 2020 v ORP Jihomoravského kraje</w:t>
      </w:r>
    </w:p>
    <w:p w14:paraId="662E5C60" w14:textId="365B9A99" w:rsidR="00A67E93" w:rsidRPr="00CE357F" w:rsidRDefault="00B25C07" w:rsidP="00062447">
      <w:pPr>
        <w:spacing w:after="120" w:line="276" w:lineRule="auto"/>
        <w:jc w:val="both"/>
        <w:rPr>
          <w:rFonts w:ascii="Arial Narrow" w:eastAsia="Times New Roman" w:hAnsi="Arial Narrow" w:cs="Arial"/>
          <w:lang w:eastAsia="cs-CZ"/>
        </w:rPr>
      </w:pPr>
      <w:r w:rsidRPr="00CE357F">
        <w:rPr>
          <w:rFonts w:ascii="Arial Narrow" w:eastAsia="Times New Roman" w:hAnsi="Arial Narrow" w:cs="Arial"/>
          <w:b/>
          <w:bCs/>
          <w:color w:val="C00000"/>
          <w:lang w:eastAsia="cs-CZ"/>
        </w:rPr>
        <w:br/>
      </w:r>
      <w:r w:rsidR="009A5A87" w:rsidRPr="00CE357F">
        <w:rPr>
          <w:rFonts w:ascii="Arial Narrow" w:eastAsia="Times New Roman" w:hAnsi="Arial Narrow" w:cs="Arial"/>
          <w:lang w:eastAsia="cs-CZ"/>
        </w:rPr>
        <w:t xml:space="preserve">Tabulka níže dokumentuje </w:t>
      </w:r>
      <w:r w:rsidR="006E323C" w:rsidRPr="00CE357F">
        <w:rPr>
          <w:rFonts w:ascii="Arial Narrow" w:eastAsia="Times New Roman" w:hAnsi="Arial Narrow" w:cs="Arial"/>
          <w:lang w:eastAsia="cs-CZ"/>
        </w:rPr>
        <w:t xml:space="preserve">tři </w:t>
      </w:r>
      <w:r w:rsidR="00C54507">
        <w:rPr>
          <w:rFonts w:ascii="Arial Narrow" w:eastAsia="Times New Roman" w:hAnsi="Arial Narrow" w:cs="Arial"/>
          <w:lang w:eastAsia="cs-CZ"/>
        </w:rPr>
        <w:t>významné</w:t>
      </w:r>
      <w:r w:rsidR="004C7566" w:rsidRPr="00CE357F">
        <w:rPr>
          <w:rFonts w:ascii="Arial Narrow" w:eastAsia="Times New Roman" w:hAnsi="Arial Narrow" w:cs="Arial"/>
          <w:lang w:eastAsia="cs-CZ"/>
        </w:rPr>
        <w:t xml:space="preserve"> zaměstnavatel</w:t>
      </w:r>
      <w:r w:rsidR="009A5A87" w:rsidRPr="00CE357F">
        <w:rPr>
          <w:rFonts w:ascii="Arial Narrow" w:eastAsia="Times New Roman" w:hAnsi="Arial Narrow" w:cs="Arial"/>
          <w:lang w:eastAsia="cs-CZ"/>
        </w:rPr>
        <w:t>e</w:t>
      </w:r>
      <w:r w:rsidR="004C7566" w:rsidRPr="00CE357F">
        <w:rPr>
          <w:rFonts w:ascii="Arial Narrow" w:eastAsia="Times New Roman" w:hAnsi="Arial Narrow" w:cs="Arial"/>
          <w:lang w:eastAsia="cs-CZ"/>
        </w:rPr>
        <w:t xml:space="preserve"> občanů s jinou než českou státní příslušností v roce 2020 v</w:t>
      </w:r>
      <w:r w:rsidR="009A5A87" w:rsidRPr="00CE357F">
        <w:rPr>
          <w:rFonts w:ascii="Arial Narrow" w:eastAsia="Times New Roman" w:hAnsi="Arial Narrow" w:cs="Arial"/>
          <w:lang w:eastAsia="cs-CZ"/>
        </w:rPr>
        <w:t xml:space="preserve"> jednotlivých </w:t>
      </w:r>
      <w:r w:rsidR="004C7566" w:rsidRPr="00CE357F">
        <w:rPr>
          <w:rFonts w:ascii="Arial Narrow" w:eastAsia="Times New Roman" w:hAnsi="Arial Narrow" w:cs="Arial"/>
          <w:lang w:eastAsia="cs-CZ"/>
        </w:rPr>
        <w:t>ORP Jihomoravského kraje</w:t>
      </w:r>
      <w:r w:rsidR="00A67E93" w:rsidRPr="00CE357F">
        <w:rPr>
          <w:rFonts w:ascii="Arial Narrow" w:eastAsia="Times New Roman" w:hAnsi="Arial Narrow" w:cs="Arial"/>
          <w:lang w:eastAsia="cs-CZ"/>
        </w:rPr>
        <w:t xml:space="preserve"> podle počtu těchto zaměstnaných osob</w:t>
      </w:r>
      <w:r w:rsidR="009A5A87" w:rsidRPr="00CE357F">
        <w:rPr>
          <w:rFonts w:ascii="Arial Narrow" w:eastAsia="Times New Roman" w:hAnsi="Arial Narrow" w:cs="Arial"/>
          <w:lang w:eastAsia="cs-CZ"/>
        </w:rPr>
        <w:t xml:space="preserve">. </w:t>
      </w:r>
      <w:r w:rsidR="00A67E93" w:rsidRPr="00CE357F">
        <w:rPr>
          <w:rFonts w:ascii="Arial Narrow" w:eastAsia="Times New Roman" w:hAnsi="Arial Narrow" w:cs="Arial"/>
          <w:lang w:eastAsia="cs-CZ"/>
        </w:rPr>
        <w:t>Z tabulky je patrné, že zaměstnavatelé</w:t>
      </w:r>
      <w:r w:rsidR="006E323C" w:rsidRPr="00CE357F">
        <w:rPr>
          <w:rFonts w:ascii="Arial Narrow" w:eastAsia="Times New Roman" w:hAnsi="Arial Narrow" w:cs="Arial"/>
          <w:lang w:eastAsia="cs-CZ"/>
        </w:rPr>
        <w:t>, kteří zaměstnávají největší počet osob s jinou než českou státní příslušností,</w:t>
      </w:r>
      <w:r w:rsidR="00A67E93" w:rsidRPr="00CE357F">
        <w:rPr>
          <w:rFonts w:ascii="Arial Narrow" w:eastAsia="Times New Roman" w:hAnsi="Arial Narrow" w:cs="Arial"/>
          <w:lang w:eastAsia="cs-CZ"/>
        </w:rPr>
        <w:t xml:space="preserve"> sídlí v ORP Brno</w:t>
      </w:r>
      <w:r w:rsidR="006E323C" w:rsidRPr="00CE357F">
        <w:rPr>
          <w:rFonts w:ascii="Arial Narrow" w:eastAsia="Times New Roman" w:hAnsi="Arial Narrow" w:cs="Arial"/>
          <w:lang w:eastAsia="cs-CZ"/>
        </w:rPr>
        <w:t xml:space="preserve"> (3 797 osob)</w:t>
      </w:r>
      <w:r w:rsidR="00A67E93" w:rsidRPr="00CE357F">
        <w:rPr>
          <w:rFonts w:ascii="Arial Narrow" w:eastAsia="Times New Roman" w:hAnsi="Arial Narrow" w:cs="Arial"/>
          <w:lang w:eastAsia="cs-CZ"/>
        </w:rPr>
        <w:t>, dále v ORP Šlapanice</w:t>
      </w:r>
      <w:r w:rsidR="006E323C" w:rsidRPr="00CE357F">
        <w:rPr>
          <w:rFonts w:ascii="Arial Narrow" w:eastAsia="Times New Roman" w:hAnsi="Arial Narrow" w:cs="Arial"/>
          <w:lang w:eastAsia="cs-CZ"/>
        </w:rPr>
        <w:t xml:space="preserve"> (586</w:t>
      </w:r>
      <w:r w:rsidR="00A67E93" w:rsidRPr="00CE357F">
        <w:rPr>
          <w:rFonts w:ascii="Arial Narrow" w:eastAsia="Times New Roman" w:hAnsi="Arial Narrow" w:cs="Arial"/>
          <w:lang w:eastAsia="cs-CZ"/>
        </w:rPr>
        <w:t xml:space="preserve"> </w:t>
      </w:r>
      <w:r w:rsidR="006E323C" w:rsidRPr="00CE357F">
        <w:rPr>
          <w:rFonts w:ascii="Arial Narrow" w:eastAsia="Times New Roman" w:hAnsi="Arial Narrow" w:cs="Arial"/>
          <w:lang w:eastAsia="cs-CZ"/>
        </w:rPr>
        <w:t xml:space="preserve">osob) </w:t>
      </w:r>
      <w:r w:rsidR="00A67E93" w:rsidRPr="00CE357F">
        <w:rPr>
          <w:rFonts w:ascii="Arial Narrow" w:eastAsia="Times New Roman" w:hAnsi="Arial Narrow" w:cs="Arial"/>
          <w:lang w:eastAsia="cs-CZ"/>
        </w:rPr>
        <w:t>a v ORP Břeclav</w:t>
      </w:r>
      <w:r w:rsidR="006E323C" w:rsidRPr="00CE357F">
        <w:rPr>
          <w:rFonts w:ascii="Arial Narrow" w:eastAsia="Times New Roman" w:hAnsi="Arial Narrow" w:cs="Arial"/>
          <w:lang w:eastAsia="cs-CZ"/>
        </w:rPr>
        <w:t xml:space="preserve"> (289 osob)</w:t>
      </w:r>
      <w:r w:rsidR="00A67E93" w:rsidRPr="00CE357F">
        <w:rPr>
          <w:rFonts w:ascii="Arial Narrow" w:eastAsia="Times New Roman" w:hAnsi="Arial Narrow" w:cs="Arial"/>
          <w:lang w:eastAsia="cs-CZ"/>
        </w:rPr>
        <w:t xml:space="preserve">. </w:t>
      </w:r>
      <w:r w:rsidR="00A67E93" w:rsidRPr="00CE357F">
        <w:rPr>
          <w:rFonts w:ascii="Arial Narrow" w:eastAsia="Times New Roman" w:hAnsi="Arial Narrow" w:cs="Arial"/>
          <w:lang w:eastAsia="cs-CZ"/>
        </w:rPr>
        <w:tab/>
      </w:r>
    </w:p>
    <w:p w14:paraId="1929F955" w14:textId="77777777" w:rsidR="006E323C" w:rsidRPr="00CE357F" w:rsidRDefault="00A67E93" w:rsidP="00062447">
      <w:pPr>
        <w:spacing w:after="120" w:line="276" w:lineRule="auto"/>
        <w:jc w:val="both"/>
        <w:rPr>
          <w:rFonts w:ascii="Arial Narrow" w:eastAsia="Times New Roman" w:hAnsi="Arial Narrow" w:cs="Arial"/>
          <w:lang w:eastAsia="cs-CZ"/>
        </w:rPr>
      </w:pPr>
      <w:r w:rsidRPr="00CE357F">
        <w:rPr>
          <w:rFonts w:ascii="Arial Narrow" w:eastAsia="Times New Roman" w:hAnsi="Arial Narrow" w:cs="Arial"/>
          <w:lang w:eastAsia="cs-CZ"/>
        </w:rPr>
        <w:t>Co se týče podílu zaměstnanců</w:t>
      </w:r>
      <w:r w:rsidR="00B72096" w:rsidRPr="00CE357F">
        <w:rPr>
          <w:rFonts w:ascii="Arial Narrow" w:eastAsia="Times New Roman" w:hAnsi="Arial Narrow" w:cs="Arial"/>
          <w:lang w:eastAsia="cs-CZ"/>
        </w:rPr>
        <w:t xml:space="preserve"> u těchto zaměstnavatelů</w:t>
      </w:r>
      <w:r w:rsidRPr="00CE357F">
        <w:rPr>
          <w:rFonts w:ascii="Arial Narrow" w:eastAsia="Times New Roman" w:hAnsi="Arial Narrow" w:cs="Arial"/>
          <w:lang w:eastAsia="cs-CZ"/>
        </w:rPr>
        <w:t xml:space="preserve"> na celkovém počtu zaměstnaných osob s jinou než českou státní příslušností</w:t>
      </w:r>
      <w:r w:rsidR="00B72096" w:rsidRPr="00CE357F">
        <w:rPr>
          <w:rFonts w:ascii="Arial Narrow" w:eastAsia="Times New Roman" w:hAnsi="Arial Narrow" w:cs="Arial"/>
          <w:lang w:eastAsia="cs-CZ"/>
        </w:rPr>
        <w:t xml:space="preserve"> v jednotlivých ORP, největší podíl těchto zaměstnanců byl v roce 2020 v ORP Pohořelice. Celkových 207 zaměstnanců firem DHL Supply </w:t>
      </w:r>
      <w:proofErr w:type="spellStart"/>
      <w:r w:rsidR="00B72096" w:rsidRPr="00CE357F">
        <w:rPr>
          <w:rFonts w:ascii="Arial Narrow" w:eastAsia="Times New Roman" w:hAnsi="Arial Narrow" w:cs="Arial"/>
          <w:lang w:eastAsia="cs-CZ"/>
        </w:rPr>
        <w:t>Chain</w:t>
      </w:r>
      <w:proofErr w:type="spellEnd"/>
      <w:r w:rsidR="00B72096" w:rsidRPr="00CE357F">
        <w:rPr>
          <w:rFonts w:ascii="Arial Narrow" w:eastAsia="Times New Roman" w:hAnsi="Arial Narrow" w:cs="Arial"/>
          <w:lang w:eastAsia="cs-CZ"/>
        </w:rPr>
        <w:t xml:space="preserve"> s.r.o., </w:t>
      </w:r>
      <w:proofErr w:type="spellStart"/>
      <w:r w:rsidR="00B72096" w:rsidRPr="00CE357F">
        <w:rPr>
          <w:rFonts w:ascii="Arial Narrow" w:eastAsia="Times New Roman" w:hAnsi="Arial Narrow" w:cs="Arial"/>
          <w:lang w:eastAsia="cs-CZ"/>
        </w:rPr>
        <w:t>s.n.o.p</w:t>
      </w:r>
      <w:proofErr w:type="spellEnd"/>
      <w:r w:rsidR="00B72096" w:rsidRPr="00CE357F">
        <w:rPr>
          <w:rFonts w:ascii="Arial Narrow" w:eastAsia="Times New Roman" w:hAnsi="Arial Narrow" w:cs="Arial"/>
          <w:lang w:eastAsia="cs-CZ"/>
        </w:rPr>
        <w:t xml:space="preserve">. </w:t>
      </w:r>
      <w:proofErr w:type="spellStart"/>
      <w:r w:rsidR="00B72096" w:rsidRPr="00CE357F">
        <w:rPr>
          <w:rFonts w:ascii="Arial Narrow" w:eastAsia="Times New Roman" w:hAnsi="Arial Narrow" w:cs="Arial"/>
          <w:lang w:eastAsia="cs-CZ"/>
        </w:rPr>
        <w:t>cz</w:t>
      </w:r>
      <w:proofErr w:type="spellEnd"/>
      <w:r w:rsidR="00B72096" w:rsidRPr="00CE357F">
        <w:rPr>
          <w:rFonts w:ascii="Arial Narrow" w:eastAsia="Times New Roman" w:hAnsi="Arial Narrow" w:cs="Arial"/>
          <w:lang w:eastAsia="cs-CZ"/>
        </w:rPr>
        <w:t xml:space="preserve"> a.s. a CPI Moravia </w:t>
      </w:r>
      <w:proofErr w:type="spellStart"/>
      <w:r w:rsidR="00B72096" w:rsidRPr="00CE357F">
        <w:rPr>
          <w:rFonts w:ascii="Arial Narrow" w:eastAsia="Times New Roman" w:hAnsi="Arial Narrow" w:cs="Arial"/>
          <w:lang w:eastAsia="cs-CZ"/>
        </w:rPr>
        <w:t>Books</w:t>
      </w:r>
      <w:proofErr w:type="spellEnd"/>
      <w:r w:rsidR="00B72096" w:rsidRPr="00CE357F">
        <w:rPr>
          <w:rFonts w:ascii="Arial Narrow" w:eastAsia="Times New Roman" w:hAnsi="Arial Narrow" w:cs="Arial"/>
          <w:lang w:eastAsia="cs-CZ"/>
        </w:rPr>
        <w:t xml:space="preserve"> s.r.o. tvořilo až 91,6 % z celkového počtu zaměstnaných osob s jinou než českou státní příslušností v ORP Pohořelice. </w:t>
      </w:r>
    </w:p>
    <w:p w14:paraId="3465E8CD" w14:textId="0A42F081" w:rsidR="00D6793F" w:rsidRPr="00CE357F" w:rsidRDefault="00B72096" w:rsidP="00062447">
      <w:pPr>
        <w:spacing w:after="120" w:line="276" w:lineRule="auto"/>
        <w:jc w:val="both"/>
        <w:rPr>
          <w:rFonts w:ascii="Arial Narrow" w:eastAsia="Times New Roman" w:hAnsi="Arial Narrow" w:cs="Arial"/>
          <w:lang w:eastAsia="cs-CZ"/>
        </w:rPr>
      </w:pPr>
      <w:r w:rsidRPr="00CE357F">
        <w:rPr>
          <w:rFonts w:ascii="Arial Narrow" w:eastAsia="Times New Roman" w:hAnsi="Arial Narrow" w:cs="Arial"/>
          <w:lang w:eastAsia="cs-CZ"/>
        </w:rPr>
        <w:t xml:space="preserve">Vysoký podíl </w:t>
      </w:r>
      <w:r w:rsidR="006E323C" w:rsidRPr="00CE357F">
        <w:rPr>
          <w:rFonts w:ascii="Arial Narrow" w:eastAsia="Times New Roman" w:hAnsi="Arial Narrow" w:cs="Arial"/>
          <w:lang w:eastAsia="cs-CZ"/>
        </w:rPr>
        <w:t xml:space="preserve">zaměstnanců u tří </w:t>
      </w:r>
      <w:r w:rsidR="00C54507">
        <w:rPr>
          <w:rFonts w:ascii="Arial Narrow" w:eastAsia="Times New Roman" w:hAnsi="Arial Narrow" w:cs="Arial"/>
          <w:lang w:eastAsia="cs-CZ"/>
        </w:rPr>
        <w:t>významných</w:t>
      </w:r>
      <w:r w:rsidR="006E323C" w:rsidRPr="00CE357F">
        <w:rPr>
          <w:rFonts w:ascii="Arial Narrow" w:eastAsia="Times New Roman" w:hAnsi="Arial Narrow" w:cs="Arial"/>
          <w:lang w:eastAsia="cs-CZ"/>
        </w:rPr>
        <w:t xml:space="preserve"> zaměstnavatelů v ORP na celkovém počtu zaměstnaných osob s jinou než českou státní příslušností v ORP byl v roce 2020 patrný také v ORP Mikulov (86,8 %), v ORP Slavkov u Brna (85,2 %), v ORP Židlochovice (82,1 %) a v ORP Veselí nad Moravou (81,5 %).  </w:t>
      </w:r>
    </w:p>
    <w:p w14:paraId="0E8D4B11" w14:textId="72FBC8E6" w:rsidR="00476197" w:rsidRPr="00CE357F" w:rsidRDefault="00476197" w:rsidP="00F70015">
      <w:pPr>
        <w:pStyle w:val="Titulek"/>
        <w:keepNext/>
        <w:spacing w:after="0"/>
        <w:jc w:val="both"/>
        <w:rPr>
          <w:rFonts w:ascii="Arial Narrow" w:hAnsi="Arial Narrow"/>
          <w:color w:val="auto"/>
          <w:sz w:val="20"/>
          <w:szCs w:val="20"/>
        </w:rPr>
      </w:pPr>
      <w:bookmarkStart w:id="540" w:name="_Toc136429231"/>
      <w:r w:rsidRPr="00CE357F">
        <w:rPr>
          <w:rFonts w:ascii="Arial Narrow" w:hAnsi="Arial Narrow"/>
          <w:color w:val="auto"/>
          <w:sz w:val="20"/>
          <w:szCs w:val="20"/>
        </w:rPr>
        <w:t xml:space="preserve">Tabulka </w:t>
      </w:r>
      <w:r w:rsidRPr="00CE357F">
        <w:rPr>
          <w:rFonts w:ascii="Arial Narrow" w:hAnsi="Arial Narrow"/>
          <w:color w:val="auto"/>
          <w:sz w:val="20"/>
          <w:szCs w:val="20"/>
        </w:rPr>
        <w:fldChar w:fldCharType="begin"/>
      </w:r>
      <w:r w:rsidRPr="00CE357F">
        <w:rPr>
          <w:rFonts w:ascii="Arial Narrow" w:hAnsi="Arial Narrow"/>
          <w:color w:val="auto"/>
          <w:sz w:val="20"/>
          <w:szCs w:val="20"/>
        </w:rPr>
        <w:instrText xml:space="preserve"> SEQ Tabulka \* ARABIC </w:instrText>
      </w:r>
      <w:r w:rsidRPr="00CE357F">
        <w:rPr>
          <w:rFonts w:ascii="Arial Narrow" w:hAnsi="Arial Narrow"/>
          <w:color w:val="auto"/>
          <w:sz w:val="20"/>
          <w:szCs w:val="20"/>
        </w:rPr>
        <w:fldChar w:fldCharType="separate"/>
      </w:r>
      <w:r w:rsidR="00256C97">
        <w:rPr>
          <w:rFonts w:ascii="Arial Narrow" w:hAnsi="Arial Narrow"/>
          <w:noProof/>
          <w:color w:val="auto"/>
          <w:sz w:val="20"/>
          <w:szCs w:val="20"/>
        </w:rPr>
        <w:t>20</w:t>
      </w:r>
      <w:r w:rsidRPr="00CE357F">
        <w:rPr>
          <w:rFonts w:ascii="Arial Narrow" w:hAnsi="Arial Narrow"/>
          <w:color w:val="auto"/>
          <w:sz w:val="20"/>
          <w:szCs w:val="20"/>
        </w:rPr>
        <w:fldChar w:fldCharType="end"/>
      </w:r>
      <w:r w:rsidRPr="00CE357F">
        <w:rPr>
          <w:rFonts w:ascii="Arial Narrow" w:hAnsi="Arial Narrow"/>
          <w:color w:val="auto"/>
          <w:sz w:val="20"/>
          <w:szCs w:val="20"/>
        </w:rPr>
        <w:t xml:space="preserve">: </w:t>
      </w:r>
      <w:r w:rsidR="009A5A87" w:rsidRPr="00CE357F">
        <w:rPr>
          <w:rFonts w:ascii="Arial Narrow" w:hAnsi="Arial Narrow"/>
          <w:color w:val="auto"/>
          <w:sz w:val="20"/>
          <w:szCs w:val="20"/>
        </w:rPr>
        <w:t>Tři</w:t>
      </w:r>
      <w:r w:rsidRPr="00CE357F">
        <w:rPr>
          <w:rFonts w:ascii="Arial Narrow" w:hAnsi="Arial Narrow"/>
          <w:color w:val="auto"/>
          <w:sz w:val="20"/>
          <w:szCs w:val="20"/>
        </w:rPr>
        <w:t xml:space="preserve"> </w:t>
      </w:r>
      <w:r w:rsidR="00C54507">
        <w:rPr>
          <w:rFonts w:ascii="Arial Narrow" w:hAnsi="Arial Narrow"/>
          <w:color w:val="auto"/>
          <w:sz w:val="20"/>
          <w:szCs w:val="20"/>
        </w:rPr>
        <w:t>významn</w:t>
      </w:r>
      <w:r w:rsidRPr="00CE357F">
        <w:rPr>
          <w:rFonts w:ascii="Arial Narrow" w:hAnsi="Arial Narrow"/>
          <w:color w:val="auto"/>
          <w:sz w:val="20"/>
          <w:szCs w:val="20"/>
        </w:rPr>
        <w:t>í zaměstnavatelé občanů s jinou než českou státní příslušností v roce 2020 v ORP Jihomoravského kraje</w:t>
      </w:r>
      <w:bookmarkEnd w:id="540"/>
    </w:p>
    <w:tbl>
      <w:tblPr>
        <w:tblW w:w="9072" w:type="dxa"/>
        <w:tblInd w:w="108"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ayout w:type="fixed"/>
        <w:tblLook w:val="04A0" w:firstRow="1" w:lastRow="0" w:firstColumn="1" w:lastColumn="0" w:noHBand="0" w:noVBand="1"/>
      </w:tblPr>
      <w:tblGrid>
        <w:gridCol w:w="1134"/>
        <w:gridCol w:w="4395"/>
        <w:gridCol w:w="1559"/>
        <w:gridCol w:w="1984"/>
      </w:tblGrid>
      <w:tr w:rsidR="00D6793F" w:rsidRPr="00CE357F" w14:paraId="6A233DE3" w14:textId="77777777" w:rsidTr="00687372">
        <w:trPr>
          <w:trHeight w:val="20"/>
        </w:trPr>
        <w:tc>
          <w:tcPr>
            <w:tcW w:w="9072" w:type="dxa"/>
            <w:gridSpan w:val="4"/>
            <w:shd w:val="clear" w:color="auto" w:fill="D9E2F3" w:themeFill="accent1" w:themeFillTint="33"/>
            <w:vAlign w:val="center"/>
          </w:tcPr>
          <w:p w14:paraId="44A0DBF6" w14:textId="0C779E3F" w:rsidR="00D6793F" w:rsidRPr="00CE357F" w:rsidRDefault="009A5A87" w:rsidP="0056626A">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Tři</w:t>
            </w:r>
            <w:r w:rsidR="00D6793F" w:rsidRPr="00CE357F">
              <w:rPr>
                <w:rFonts w:ascii="Arial Narrow" w:eastAsia="Times New Roman" w:hAnsi="Arial Narrow" w:cs="Arial"/>
                <w:b/>
                <w:bCs/>
                <w:sz w:val="18"/>
                <w:szCs w:val="18"/>
                <w:lang w:eastAsia="cs-CZ"/>
              </w:rPr>
              <w:t xml:space="preserve"> </w:t>
            </w:r>
            <w:r w:rsidR="00C54507">
              <w:rPr>
                <w:rFonts w:ascii="Arial Narrow" w:eastAsia="Times New Roman" w:hAnsi="Arial Narrow" w:cs="Arial"/>
                <w:b/>
                <w:bCs/>
                <w:sz w:val="18"/>
                <w:szCs w:val="18"/>
                <w:lang w:eastAsia="cs-CZ"/>
              </w:rPr>
              <w:t>významní</w:t>
            </w:r>
            <w:r w:rsidR="00D6793F" w:rsidRPr="00CE357F">
              <w:rPr>
                <w:rFonts w:ascii="Arial Narrow" w:eastAsia="Times New Roman" w:hAnsi="Arial Narrow" w:cs="Arial"/>
                <w:b/>
                <w:bCs/>
                <w:sz w:val="18"/>
                <w:szCs w:val="18"/>
                <w:lang w:eastAsia="cs-CZ"/>
              </w:rPr>
              <w:t xml:space="preserve"> zaměstnavatelé občanů s jinou než českou státní příslušností v roce 2020 v ORP Jihomoravského kraje</w:t>
            </w:r>
          </w:p>
        </w:tc>
      </w:tr>
      <w:tr w:rsidR="00D6793F" w:rsidRPr="00CE357F" w14:paraId="5041DD75" w14:textId="77777777" w:rsidTr="00687372">
        <w:trPr>
          <w:trHeight w:val="1062"/>
        </w:trPr>
        <w:tc>
          <w:tcPr>
            <w:tcW w:w="1134" w:type="dxa"/>
            <w:shd w:val="clear" w:color="auto" w:fill="D9E2F3" w:themeFill="accent1" w:themeFillTint="33"/>
            <w:vAlign w:val="center"/>
          </w:tcPr>
          <w:p w14:paraId="650A1F47"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ORP</w:t>
            </w:r>
          </w:p>
        </w:tc>
        <w:tc>
          <w:tcPr>
            <w:tcW w:w="4395" w:type="dxa"/>
            <w:shd w:val="clear" w:color="auto" w:fill="D9E2F3" w:themeFill="accent1" w:themeFillTint="33"/>
            <w:vAlign w:val="center"/>
          </w:tcPr>
          <w:p w14:paraId="505EE39F" w14:textId="484ECA4E"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3 </w:t>
            </w:r>
            <w:r w:rsidR="00FD1BBA">
              <w:rPr>
                <w:rFonts w:ascii="Arial Narrow" w:eastAsia="Times New Roman" w:hAnsi="Arial Narrow" w:cs="Arial"/>
                <w:sz w:val="18"/>
                <w:szCs w:val="18"/>
                <w:lang w:eastAsia="cs-CZ"/>
              </w:rPr>
              <w:t>významní</w:t>
            </w:r>
            <w:r w:rsidRPr="00CE357F">
              <w:rPr>
                <w:rFonts w:ascii="Arial Narrow" w:eastAsia="Times New Roman" w:hAnsi="Arial Narrow" w:cs="Arial"/>
                <w:sz w:val="18"/>
                <w:szCs w:val="18"/>
                <w:lang w:eastAsia="cs-CZ"/>
              </w:rPr>
              <w:t xml:space="preserve"> zaměstnavatelé</w:t>
            </w:r>
            <w:r w:rsidR="009A5A87" w:rsidRPr="00CE357F">
              <w:rPr>
                <w:rFonts w:ascii="Arial Narrow" w:eastAsia="Times New Roman" w:hAnsi="Arial Narrow" w:cs="Arial"/>
                <w:sz w:val="18"/>
                <w:szCs w:val="18"/>
                <w:lang w:eastAsia="cs-CZ"/>
              </w:rPr>
              <w:t xml:space="preserve"> a počet zaměstnaných osob s jinou než českou stání příslušností</w:t>
            </w:r>
          </w:p>
        </w:tc>
        <w:tc>
          <w:tcPr>
            <w:tcW w:w="1559" w:type="dxa"/>
            <w:shd w:val="clear" w:color="auto" w:fill="D9E2F3" w:themeFill="accent1" w:themeFillTint="33"/>
            <w:vAlign w:val="center"/>
          </w:tcPr>
          <w:p w14:paraId="634F3C20"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Celkový počet zaměstnanců s jinou než českou státní příslušností </w:t>
            </w:r>
          </w:p>
        </w:tc>
        <w:tc>
          <w:tcPr>
            <w:tcW w:w="1984" w:type="dxa"/>
            <w:shd w:val="clear" w:color="auto" w:fill="D9E2F3" w:themeFill="accent1" w:themeFillTint="33"/>
            <w:vAlign w:val="center"/>
          </w:tcPr>
          <w:p w14:paraId="71C29102" w14:textId="77FFFB4D"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těchto zaměstnanců na celkovém počtu zaměstnaných osob s jinou než českou státní příslušností</w:t>
            </w:r>
            <w:r w:rsidR="00B72096" w:rsidRPr="00CE357F">
              <w:rPr>
                <w:rFonts w:ascii="Arial Narrow" w:eastAsia="Times New Roman" w:hAnsi="Arial Narrow" w:cs="Arial"/>
                <w:sz w:val="18"/>
                <w:szCs w:val="18"/>
                <w:lang w:eastAsia="cs-CZ"/>
              </w:rPr>
              <w:t xml:space="preserve"> v ORP</w:t>
            </w:r>
          </w:p>
        </w:tc>
      </w:tr>
      <w:tr w:rsidR="00D6793F" w:rsidRPr="00CE357F" w14:paraId="73968194" w14:textId="77777777" w:rsidTr="00687372">
        <w:trPr>
          <w:trHeight w:val="20"/>
        </w:trPr>
        <w:tc>
          <w:tcPr>
            <w:tcW w:w="1134" w:type="dxa"/>
            <w:vAlign w:val="center"/>
          </w:tcPr>
          <w:p w14:paraId="09D9A25B"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Blansko</w:t>
            </w:r>
          </w:p>
        </w:tc>
        <w:tc>
          <w:tcPr>
            <w:tcW w:w="4395" w:type="dxa"/>
            <w:vAlign w:val="center"/>
          </w:tcPr>
          <w:p w14:paraId="7D363028" w14:textId="77777777" w:rsidR="00D6793F" w:rsidRPr="00CE357F" w:rsidRDefault="00D6793F" w:rsidP="0056626A">
            <w:pPr>
              <w:suppressAutoHyphens/>
              <w:autoSpaceDN w:val="0"/>
              <w:textAlignment w:val="baseline"/>
              <w:rPr>
                <w:rFonts w:ascii="Arial Narrow" w:hAnsi="Arial Narrow"/>
                <w:sz w:val="18"/>
                <w:szCs w:val="18"/>
              </w:rPr>
            </w:pPr>
            <w:proofErr w:type="spellStart"/>
            <w:r w:rsidRPr="00CE357F">
              <w:rPr>
                <w:rFonts w:ascii="Arial Narrow" w:hAnsi="Arial Narrow"/>
                <w:sz w:val="18"/>
                <w:szCs w:val="18"/>
              </w:rPr>
              <w:t>Tyco</w:t>
            </w:r>
            <w:proofErr w:type="spellEnd"/>
            <w:r w:rsidRPr="00CE357F">
              <w:rPr>
                <w:rFonts w:ascii="Arial Narrow" w:hAnsi="Arial Narrow"/>
                <w:sz w:val="18"/>
                <w:szCs w:val="18"/>
              </w:rPr>
              <w:t xml:space="preserve"> </w:t>
            </w:r>
            <w:proofErr w:type="spellStart"/>
            <w:r w:rsidRPr="00CE357F">
              <w:rPr>
                <w:rFonts w:ascii="Arial Narrow" w:hAnsi="Arial Narrow"/>
                <w:sz w:val="18"/>
                <w:szCs w:val="18"/>
              </w:rPr>
              <w:t>Fire</w:t>
            </w:r>
            <w:proofErr w:type="spellEnd"/>
            <w:r w:rsidRPr="00CE357F">
              <w:rPr>
                <w:rFonts w:ascii="Arial Narrow" w:hAnsi="Arial Narrow"/>
                <w:sz w:val="18"/>
                <w:szCs w:val="18"/>
              </w:rPr>
              <w:t xml:space="preserve"> &amp; </w:t>
            </w:r>
            <w:proofErr w:type="spellStart"/>
            <w:r w:rsidRPr="00CE357F">
              <w:rPr>
                <w:rFonts w:ascii="Arial Narrow" w:hAnsi="Arial Narrow"/>
                <w:sz w:val="18"/>
                <w:szCs w:val="18"/>
              </w:rPr>
              <w:t>Security</w:t>
            </w:r>
            <w:proofErr w:type="spellEnd"/>
            <w:r w:rsidRPr="00CE357F">
              <w:rPr>
                <w:rFonts w:ascii="Arial Narrow" w:hAnsi="Arial Narrow"/>
                <w:sz w:val="18"/>
                <w:szCs w:val="18"/>
              </w:rPr>
              <w:t xml:space="preserve"> Czech Republic s.r.o. (23)</w:t>
            </w:r>
          </w:p>
          <w:p w14:paraId="22E26A17" w14:textId="77777777" w:rsidR="00D6793F" w:rsidRPr="00CE357F" w:rsidRDefault="00D6793F" w:rsidP="0056626A">
            <w:pPr>
              <w:suppressAutoHyphens/>
              <w:autoSpaceDN w:val="0"/>
              <w:textAlignment w:val="baseline"/>
              <w:rPr>
                <w:rFonts w:ascii="Arial Narrow" w:hAnsi="Arial Narrow"/>
                <w:sz w:val="18"/>
                <w:szCs w:val="18"/>
              </w:rPr>
            </w:pPr>
            <w:r w:rsidRPr="00CE357F">
              <w:rPr>
                <w:rFonts w:ascii="Arial Narrow" w:hAnsi="Arial Narrow"/>
                <w:sz w:val="18"/>
                <w:szCs w:val="18"/>
              </w:rPr>
              <w:t>Nemocnice Blansko (14)</w:t>
            </w:r>
          </w:p>
          <w:p w14:paraId="630CBC0F" w14:textId="77777777" w:rsidR="00D6793F" w:rsidRPr="00CE357F" w:rsidRDefault="00D6793F" w:rsidP="0056626A">
            <w:pPr>
              <w:suppressAutoHyphens/>
              <w:autoSpaceDN w:val="0"/>
              <w:textAlignment w:val="baseline"/>
              <w:rPr>
                <w:rFonts w:ascii="Arial Narrow" w:hAnsi="Arial Narrow"/>
                <w:sz w:val="18"/>
                <w:szCs w:val="18"/>
              </w:rPr>
            </w:pPr>
            <w:proofErr w:type="spellStart"/>
            <w:r w:rsidRPr="00CE357F">
              <w:rPr>
                <w:rFonts w:ascii="Arial Narrow" w:hAnsi="Arial Narrow"/>
                <w:sz w:val="18"/>
                <w:szCs w:val="18"/>
              </w:rPr>
              <w:t>Synthon</w:t>
            </w:r>
            <w:proofErr w:type="spellEnd"/>
            <w:r w:rsidRPr="00CE357F">
              <w:rPr>
                <w:rFonts w:ascii="Arial Narrow" w:hAnsi="Arial Narrow"/>
                <w:sz w:val="18"/>
                <w:szCs w:val="18"/>
              </w:rPr>
              <w:t>, s. r. o. (12)</w:t>
            </w:r>
          </w:p>
        </w:tc>
        <w:tc>
          <w:tcPr>
            <w:tcW w:w="1559" w:type="dxa"/>
            <w:vAlign w:val="center"/>
          </w:tcPr>
          <w:p w14:paraId="7A978521"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49</w:t>
            </w:r>
          </w:p>
        </w:tc>
        <w:tc>
          <w:tcPr>
            <w:tcW w:w="1984" w:type="dxa"/>
            <w:vAlign w:val="center"/>
          </w:tcPr>
          <w:p w14:paraId="21DB4298"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28 %</w:t>
            </w:r>
          </w:p>
        </w:tc>
      </w:tr>
      <w:tr w:rsidR="00D6793F" w:rsidRPr="00CE357F" w14:paraId="1373B427" w14:textId="77777777" w:rsidTr="00687372">
        <w:trPr>
          <w:trHeight w:val="20"/>
        </w:trPr>
        <w:tc>
          <w:tcPr>
            <w:tcW w:w="1134" w:type="dxa"/>
            <w:vAlign w:val="center"/>
          </w:tcPr>
          <w:p w14:paraId="6FF60C17"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Boskovice</w:t>
            </w:r>
          </w:p>
        </w:tc>
        <w:tc>
          <w:tcPr>
            <w:tcW w:w="4395" w:type="dxa"/>
            <w:vAlign w:val="center"/>
          </w:tcPr>
          <w:p w14:paraId="4D3ABBD3"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ALPS Electric Czech, s.r.o. (108)</w:t>
            </w:r>
          </w:p>
          <w:p w14:paraId="61447607"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Nemocnice Boskovice s.r.o. (19)</w:t>
            </w:r>
          </w:p>
          <w:p w14:paraId="1A70C55C"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TextilEco</w:t>
            </w:r>
            <w:proofErr w:type="spellEnd"/>
            <w:r w:rsidRPr="00CE357F">
              <w:rPr>
                <w:rFonts w:ascii="Arial Narrow" w:eastAsia="Times New Roman" w:hAnsi="Arial Narrow" w:cs="Arial"/>
                <w:sz w:val="18"/>
                <w:szCs w:val="18"/>
                <w:lang w:eastAsia="cs-CZ"/>
              </w:rPr>
              <w:t xml:space="preserve"> a.s. (15)</w:t>
            </w:r>
          </w:p>
        </w:tc>
        <w:tc>
          <w:tcPr>
            <w:tcW w:w="1559" w:type="dxa"/>
            <w:vAlign w:val="center"/>
          </w:tcPr>
          <w:p w14:paraId="73501397"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142</w:t>
            </w:r>
          </w:p>
        </w:tc>
        <w:tc>
          <w:tcPr>
            <w:tcW w:w="1984" w:type="dxa"/>
            <w:vAlign w:val="center"/>
          </w:tcPr>
          <w:p w14:paraId="620C7865"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38,4 %</w:t>
            </w:r>
          </w:p>
        </w:tc>
      </w:tr>
      <w:tr w:rsidR="00D6793F" w:rsidRPr="00CE357F" w14:paraId="6518621C" w14:textId="77777777" w:rsidTr="00687372">
        <w:trPr>
          <w:trHeight w:val="20"/>
        </w:trPr>
        <w:tc>
          <w:tcPr>
            <w:tcW w:w="1134" w:type="dxa"/>
            <w:vAlign w:val="center"/>
          </w:tcPr>
          <w:p w14:paraId="58D30080"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lastRenderedPageBreak/>
              <w:t>Brno</w:t>
            </w:r>
          </w:p>
        </w:tc>
        <w:tc>
          <w:tcPr>
            <w:tcW w:w="4395" w:type="dxa"/>
            <w:vAlign w:val="center"/>
          </w:tcPr>
          <w:p w14:paraId="31C72184"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IBM </w:t>
            </w:r>
            <w:proofErr w:type="spellStart"/>
            <w:r w:rsidRPr="00CE357F">
              <w:rPr>
                <w:rFonts w:ascii="Arial Narrow" w:eastAsia="Times New Roman" w:hAnsi="Arial Narrow" w:cs="Arial"/>
                <w:sz w:val="18"/>
                <w:szCs w:val="18"/>
                <w:lang w:eastAsia="cs-CZ"/>
              </w:rPr>
              <w:t>Global</w:t>
            </w:r>
            <w:proofErr w:type="spellEnd"/>
            <w:r w:rsidRPr="00CE357F">
              <w:rPr>
                <w:rFonts w:ascii="Arial Narrow" w:eastAsia="Times New Roman" w:hAnsi="Arial Narrow" w:cs="Arial"/>
                <w:sz w:val="18"/>
                <w:szCs w:val="18"/>
                <w:lang w:eastAsia="cs-CZ"/>
              </w:rPr>
              <w:t xml:space="preserve"> </w:t>
            </w:r>
            <w:proofErr w:type="spellStart"/>
            <w:r w:rsidRPr="00CE357F">
              <w:rPr>
                <w:rFonts w:ascii="Arial Narrow" w:eastAsia="Times New Roman" w:hAnsi="Arial Narrow" w:cs="Arial"/>
                <w:sz w:val="18"/>
                <w:szCs w:val="18"/>
                <w:lang w:eastAsia="cs-CZ"/>
              </w:rPr>
              <w:t>Services</w:t>
            </w:r>
            <w:proofErr w:type="spellEnd"/>
            <w:r w:rsidRPr="00CE357F">
              <w:rPr>
                <w:rFonts w:ascii="Arial Narrow" w:eastAsia="Times New Roman" w:hAnsi="Arial Narrow" w:cs="Arial"/>
                <w:sz w:val="18"/>
                <w:szCs w:val="18"/>
                <w:lang w:eastAsia="cs-CZ"/>
              </w:rPr>
              <w:t xml:space="preserve"> </w:t>
            </w:r>
            <w:proofErr w:type="spellStart"/>
            <w:r w:rsidRPr="00CE357F">
              <w:rPr>
                <w:rFonts w:ascii="Arial Narrow" w:eastAsia="Times New Roman" w:hAnsi="Arial Narrow" w:cs="Arial"/>
                <w:sz w:val="18"/>
                <w:szCs w:val="18"/>
                <w:lang w:eastAsia="cs-CZ"/>
              </w:rPr>
              <w:t>Delivery</w:t>
            </w:r>
            <w:proofErr w:type="spellEnd"/>
            <w:r w:rsidRPr="00CE357F">
              <w:rPr>
                <w:rFonts w:ascii="Arial Narrow" w:eastAsia="Times New Roman" w:hAnsi="Arial Narrow" w:cs="Arial"/>
                <w:sz w:val="18"/>
                <w:szCs w:val="18"/>
                <w:lang w:eastAsia="cs-CZ"/>
              </w:rPr>
              <w:t xml:space="preserve"> Center Czech Republic, s.r.o. (1844)</w:t>
            </w:r>
          </w:p>
          <w:p w14:paraId="3F5D97D3"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AT&amp;T </w:t>
            </w:r>
            <w:proofErr w:type="spellStart"/>
            <w:r w:rsidRPr="00CE357F">
              <w:rPr>
                <w:rFonts w:ascii="Arial Narrow" w:eastAsia="Times New Roman" w:hAnsi="Arial Narrow" w:cs="Arial"/>
                <w:sz w:val="18"/>
                <w:szCs w:val="18"/>
                <w:lang w:eastAsia="cs-CZ"/>
              </w:rPr>
              <w:t>Global</w:t>
            </w:r>
            <w:proofErr w:type="spellEnd"/>
            <w:r w:rsidRPr="00CE357F">
              <w:rPr>
                <w:rFonts w:ascii="Arial Narrow" w:eastAsia="Times New Roman" w:hAnsi="Arial Narrow" w:cs="Arial"/>
                <w:sz w:val="18"/>
                <w:szCs w:val="18"/>
                <w:lang w:eastAsia="cs-CZ"/>
              </w:rPr>
              <w:t xml:space="preserve"> Network </w:t>
            </w:r>
            <w:proofErr w:type="spellStart"/>
            <w:r w:rsidRPr="00CE357F">
              <w:rPr>
                <w:rFonts w:ascii="Arial Narrow" w:eastAsia="Times New Roman" w:hAnsi="Arial Narrow" w:cs="Arial"/>
                <w:sz w:val="18"/>
                <w:szCs w:val="18"/>
                <w:lang w:eastAsia="cs-CZ"/>
              </w:rPr>
              <w:t>Services</w:t>
            </w:r>
            <w:proofErr w:type="spellEnd"/>
            <w:r w:rsidRPr="00CE357F">
              <w:rPr>
                <w:rFonts w:ascii="Arial Narrow" w:eastAsia="Times New Roman" w:hAnsi="Arial Narrow" w:cs="Arial"/>
                <w:sz w:val="18"/>
                <w:szCs w:val="18"/>
                <w:lang w:eastAsia="cs-CZ"/>
              </w:rPr>
              <w:t xml:space="preserve"> Czech Republic s.r.o. (1045)</w:t>
            </w:r>
          </w:p>
          <w:p w14:paraId="04964F73"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Masarykova univerzita (908)</w:t>
            </w:r>
          </w:p>
        </w:tc>
        <w:tc>
          <w:tcPr>
            <w:tcW w:w="1559" w:type="dxa"/>
            <w:vAlign w:val="center"/>
          </w:tcPr>
          <w:p w14:paraId="1572A16F" w14:textId="359B0F9F"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w:t>
            </w:r>
            <w:r w:rsidR="00B25C07" w:rsidRPr="00CE357F">
              <w:rPr>
                <w:rFonts w:ascii="Arial Narrow" w:eastAsia="Times New Roman" w:hAnsi="Arial Narrow" w:cs="Arial"/>
                <w:sz w:val="18"/>
                <w:szCs w:val="18"/>
                <w:lang w:eastAsia="cs-CZ"/>
              </w:rPr>
              <w:t xml:space="preserve"> </w:t>
            </w:r>
            <w:r w:rsidRPr="00CE357F">
              <w:rPr>
                <w:rFonts w:ascii="Arial Narrow" w:eastAsia="Times New Roman" w:hAnsi="Arial Narrow" w:cs="Arial"/>
                <w:sz w:val="18"/>
                <w:szCs w:val="18"/>
                <w:lang w:eastAsia="cs-CZ"/>
              </w:rPr>
              <w:t>797</w:t>
            </w:r>
          </w:p>
        </w:tc>
        <w:tc>
          <w:tcPr>
            <w:tcW w:w="1984" w:type="dxa"/>
            <w:vAlign w:val="center"/>
          </w:tcPr>
          <w:p w14:paraId="69A7CAB5"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29,3 %</w:t>
            </w:r>
          </w:p>
        </w:tc>
      </w:tr>
      <w:tr w:rsidR="00D6793F" w:rsidRPr="00CE357F" w14:paraId="1DAF8ECD" w14:textId="77777777" w:rsidTr="00687372">
        <w:trPr>
          <w:trHeight w:val="20"/>
        </w:trPr>
        <w:tc>
          <w:tcPr>
            <w:tcW w:w="1134" w:type="dxa"/>
            <w:vAlign w:val="center"/>
          </w:tcPr>
          <w:p w14:paraId="7378BCA3"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Břeclav</w:t>
            </w:r>
          </w:p>
        </w:tc>
        <w:tc>
          <w:tcPr>
            <w:tcW w:w="4395" w:type="dxa"/>
            <w:vAlign w:val="center"/>
          </w:tcPr>
          <w:p w14:paraId="79E9ABB4"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Nemocnice Břeclav, p. o. (136)</w:t>
            </w:r>
          </w:p>
          <w:p w14:paraId="146D073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Legal</w:t>
            </w:r>
            <w:proofErr w:type="spellEnd"/>
            <w:r w:rsidRPr="00CE357F">
              <w:rPr>
                <w:rFonts w:ascii="Arial Narrow" w:eastAsia="Times New Roman" w:hAnsi="Arial Narrow" w:cs="Arial"/>
                <w:sz w:val="18"/>
                <w:szCs w:val="18"/>
                <w:lang w:eastAsia="cs-CZ"/>
              </w:rPr>
              <w:t xml:space="preserve"> </w:t>
            </w:r>
            <w:proofErr w:type="spellStart"/>
            <w:r w:rsidRPr="00CE357F">
              <w:rPr>
                <w:rFonts w:ascii="Arial Narrow" w:eastAsia="Times New Roman" w:hAnsi="Arial Narrow" w:cs="Arial"/>
                <w:sz w:val="18"/>
                <w:szCs w:val="18"/>
                <w:lang w:eastAsia="cs-CZ"/>
              </w:rPr>
              <w:t>Agenry</w:t>
            </w:r>
            <w:proofErr w:type="spellEnd"/>
            <w:r w:rsidRPr="00CE357F">
              <w:rPr>
                <w:rFonts w:ascii="Arial Narrow" w:eastAsia="Times New Roman" w:hAnsi="Arial Narrow" w:cs="Arial"/>
                <w:sz w:val="18"/>
                <w:szCs w:val="18"/>
                <w:lang w:eastAsia="cs-CZ"/>
              </w:rPr>
              <w:t xml:space="preserve"> s.r.o. (84)</w:t>
            </w:r>
          </w:p>
          <w:p w14:paraId="35BA6EF8"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Perfect</w:t>
            </w:r>
            <w:proofErr w:type="spellEnd"/>
            <w:r w:rsidRPr="00CE357F">
              <w:rPr>
                <w:rFonts w:ascii="Arial Narrow" w:eastAsia="Times New Roman" w:hAnsi="Arial Narrow" w:cs="Arial"/>
                <w:sz w:val="18"/>
                <w:szCs w:val="18"/>
                <w:lang w:eastAsia="cs-CZ"/>
              </w:rPr>
              <w:t xml:space="preserve"> </w:t>
            </w:r>
            <w:proofErr w:type="spellStart"/>
            <w:r w:rsidRPr="00CE357F">
              <w:rPr>
                <w:rFonts w:ascii="Arial Narrow" w:eastAsia="Times New Roman" w:hAnsi="Arial Narrow" w:cs="Arial"/>
                <w:sz w:val="18"/>
                <w:szCs w:val="18"/>
                <w:lang w:eastAsia="cs-CZ"/>
              </w:rPr>
              <w:t>Agency</w:t>
            </w:r>
            <w:proofErr w:type="spellEnd"/>
            <w:r w:rsidRPr="00CE357F">
              <w:rPr>
                <w:rFonts w:ascii="Arial Narrow" w:eastAsia="Times New Roman" w:hAnsi="Arial Narrow" w:cs="Arial"/>
                <w:sz w:val="18"/>
                <w:szCs w:val="18"/>
                <w:lang w:eastAsia="cs-CZ"/>
              </w:rPr>
              <w:t xml:space="preserve"> s.r.o. (62)</w:t>
            </w:r>
          </w:p>
        </w:tc>
        <w:tc>
          <w:tcPr>
            <w:tcW w:w="1559" w:type="dxa"/>
            <w:vAlign w:val="center"/>
          </w:tcPr>
          <w:p w14:paraId="4C3FFD74" w14:textId="77777777" w:rsidR="00D6793F" w:rsidRPr="00CE357F" w:rsidRDefault="00D6793F" w:rsidP="0056626A">
            <w:pPr>
              <w:jc w:val="center"/>
              <w:rPr>
                <w:rFonts w:ascii="Arial Narrow" w:eastAsia="Times New Roman" w:hAnsi="Arial Narrow" w:cs="Arial"/>
                <w:sz w:val="18"/>
                <w:szCs w:val="18"/>
                <w:lang w:eastAsia="cs-CZ"/>
              </w:rPr>
            </w:pPr>
          </w:p>
          <w:p w14:paraId="4DEB316B"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289</w:t>
            </w:r>
          </w:p>
        </w:tc>
        <w:tc>
          <w:tcPr>
            <w:tcW w:w="1984" w:type="dxa"/>
            <w:vAlign w:val="center"/>
          </w:tcPr>
          <w:p w14:paraId="52D3AD63"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44,6 %</w:t>
            </w:r>
          </w:p>
        </w:tc>
      </w:tr>
      <w:tr w:rsidR="00D6793F" w:rsidRPr="00CE357F" w14:paraId="5514D985" w14:textId="77777777" w:rsidTr="00687372">
        <w:trPr>
          <w:trHeight w:val="20"/>
        </w:trPr>
        <w:tc>
          <w:tcPr>
            <w:tcW w:w="1134" w:type="dxa"/>
            <w:vAlign w:val="center"/>
          </w:tcPr>
          <w:p w14:paraId="73060E29"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Bučovice</w:t>
            </w:r>
          </w:p>
        </w:tc>
        <w:tc>
          <w:tcPr>
            <w:tcW w:w="4395" w:type="dxa"/>
            <w:vAlign w:val="center"/>
          </w:tcPr>
          <w:p w14:paraId="4A5A23DE"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DINA - HITEX, spol. s r.o. (16)</w:t>
            </w:r>
          </w:p>
          <w:p w14:paraId="7F1EE7EB"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Domov u zámku, </w:t>
            </w:r>
            <w:proofErr w:type="spellStart"/>
            <w:r w:rsidRPr="00CE357F">
              <w:rPr>
                <w:rFonts w:ascii="Arial Narrow" w:eastAsia="Times New Roman" w:hAnsi="Arial Narrow" w:cs="Arial"/>
                <w:sz w:val="18"/>
                <w:szCs w:val="18"/>
                <w:lang w:eastAsia="cs-CZ"/>
              </w:rPr>
              <w:t>z.s</w:t>
            </w:r>
            <w:proofErr w:type="spellEnd"/>
            <w:r w:rsidRPr="00CE357F">
              <w:rPr>
                <w:rFonts w:ascii="Arial Narrow" w:eastAsia="Times New Roman" w:hAnsi="Arial Narrow" w:cs="Arial"/>
                <w:sz w:val="18"/>
                <w:szCs w:val="18"/>
                <w:lang w:eastAsia="cs-CZ"/>
              </w:rPr>
              <w:t>. (8)</w:t>
            </w:r>
          </w:p>
          <w:p w14:paraId="5FB40E44"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Sarda </w:t>
            </w:r>
            <w:proofErr w:type="spellStart"/>
            <w:r w:rsidRPr="00CE357F">
              <w:rPr>
                <w:rFonts w:ascii="Arial Narrow" w:eastAsia="Times New Roman" w:hAnsi="Arial Narrow" w:cs="Arial"/>
                <w:sz w:val="18"/>
                <w:szCs w:val="18"/>
                <w:lang w:eastAsia="cs-CZ"/>
              </w:rPr>
              <w:t>MedTech</w:t>
            </w:r>
            <w:proofErr w:type="spellEnd"/>
            <w:r w:rsidRPr="00CE357F">
              <w:rPr>
                <w:rFonts w:ascii="Arial Narrow" w:eastAsia="Times New Roman" w:hAnsi="Arial Narrow" w:cs="Arial"/>
                <w:sz w:val="18"/>
                <w:szCs w:val="18"/>
                <w:lang w:eastAsia="cs-CZ"/>
              </w:rPr>
              <w:t>, s.r.o. (5)</w:t>
            </w:r>
          </w:p>
        </w:tc>
        <w:tc>
          <w:tcPr>
            <w:tcW w:w="1559" w:type="dxa"/>
            <w:vAlign w:val="center"/>
          </w:tcPr>
          <w:p w14:paraId="19943620"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29</w:t>
            </w:r>
          </w:p>
        </w:tc>
        <w:tc>
          <w:tcPr>
            <w:tcW w:w="1984" w:type="dxa"/>
            <w:vAlign w:val="center"/>
          </w:tcPr>
          <w:p w14:paraId="65ED20EC"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64,4 %</w:t>
            </w:r>
          </w:p>
        </w:tc>
      </w:tr>
      <w:tr w:rsidR="00D6793F" w:rsidRPr="00CE357F" w14:paraId="3743C977" w14:textId="77777777" w:rsidTr="00687372">
        <w:trPr>
          <w:trHeight w:val="20"/>
        </w:trPr>
        <w:tc>
          <w:tcPr>
            <w:tcW w:w="1134" w:type="dxa"/>
            <w:vAlign w:val="center"/>
          </w:tcPr>
          <w:p w14:paraId="1BE9B0B7"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Hodonín</w:t>
            </w:r>
          </w:p>
        </w:tc>
        <w:tc>
          <w:tcPr>
            <w:tcW w:w="4395" w:type="dxa"/>
            <w:vAlign w:val="center"/>
          </w:tcPr>
          <w:p w14:paraId="6F2D1772"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Nemocnice TGM Hodonín, </w:t>
            </w:r>
            <w:proofErr w:type="spellStart"/>
            <w:r w:rsidRPr="00CE357F">
              <w:rPr>
                <w:rFonts w:ascii="Arial Narrow" w:eastAsia="Times New Roman" w:hAnsi="Arial Narrow" w:cs="Arial"/>
                <w:sz w:val="18"/>
                <w:szCs w:val="18"/>
                <w:lang w:eastAsia="cs-CZ"/>
              </w:rPr>
              <w:t>p.o</w:t>
            </w:r>
            <w:proofErr w:type="spellEnd"/>
            <w:r w:rsidRPr="00CE357F">
              <w:rPr>
                <w:rFonts w:ascii="Arial Narrow" w:eastAsia="Times New Roman" w:hAnsi="Arial Narrow" w:cs="Arial"/>
                <w:sz w:val="18"/>
                <w:szCs w:val="18"/>
                <w:lang w:eastAsia="cs-CZ"/>
              </w:rPr>
              <w:t>. (65)</w:t>
            </w:r>
          </w:p>
          <w:p w14:paraId="2FE96EBF"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ČSAD Hodonín a.s. (49)</w:t>
            </w:r>
          </w:p>
          <w:p w14:paraId="294A524E"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DELIMAX a.s. (39)</w:t>
            </w:r>
          </w:p>
        </w:tc>
        <w:tc>
          <w:tcPr>
            <w:tcW w:w="1559" w:type="dxa"/>
            <w:vAlign w:val="center"/>
          </w:tcPr>
          <w:p w14:paraId="234447AA"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153</w:t>
            </w:r>
          </w:p>
        </w:tc>
        <w:tc>
          <w:tcPr>
            <w:tcW w:w="1984" w:type="dxa"/>
            <w:vAlign w:val="center"/>
          </w:tcPr>
          <w:p w14:paraId="0D7E099F"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29,3 %</w:t>
            </w:r>
          </w:p>
        </w:tc>
      </w:tr>
      <w:tr w:rsidR="00D6793F" w:rsidRPr="00CE357F" w14:paraId="58C5A320" w14:textId="77777777" w:rsidTr="00687372">
        <w:trPr>
          <w:trHeight w:val="20"/>
        </w:trPr>
        <w:tc>
          <w:tcPr>
            <w:tcW w:w="1134" w:type="dxa"/>
            <w:vAlign w:val="center"/>
          </w:tcPr>
          <w:p w14:paraId="3E94B69E"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Hustopeče</w:t>
            </w:r>
          </w:p>
        </w:tc>
        <w:tc>
          <w:tcPr>
            <w:tcW w:w="4395" w:type="dxa"/>
            <w:vAlign w:val="center"/>
          </w:tcPr>
          <w:p w14:paraId="6A2EA3D0" w14:textId="77777777" w:rsidR="00D6793F" w:rsidRPr="00CE357F" w:rsidRDefault="00D6793F" w:rsidP="0056626A">
            <w:pPr>
              <w:tabs>
                <w:tab w:val="left" w:pos="-95"/>
              </w:tabs>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BLANÁŘ NÁBYTEK, a.s., (60)</w:t>
            </w:r>
          </w:p>
          <w:p w14:paraId="1A4F494B" w14:textId="77777777" w:rsidR="00D6793F" w:rsidRPr="00CE357F" w:rsidRDefault="00D6793F" w:rsidP="0056626A">
            <w:pPr>
              <w:tabs>
                <w:tab w:val="left" w:pos="-95"/>
              </w:tabs>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PATRIA Kobylí, a.s. (21)</w:t>
            </w:r>
          </w:p>
          <w:p w14:paraId="6EBB76D8" w14:textId="77777777" w:rsidR="00D6793F" w:rsidRPr="00CE357F" w:rsidRDefault="00D6793F" w:rsidP="0056626A">
            <w:pPr>
              <w:tabs>
                <w:tab w:val="left" w:pos="-95"/>
              </w:tabs>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NORMA Czech, s. r. o. (18)</w:t>
            </w:r>
          </w:p>
        </w:tc>
        <w:tc>
          <w:tcPr>
            <w:tcW w:w="1559" w:type="dxa"/>
            <w:vAlign w:val="center"/>
          </w:tcPr>
          <w:p w14:paraId="28CB29F1"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99</w:t>
            </w:r>
          </w:p>
        </w:tc>
        <w:tc>
          <w:tcPr>
            <w:tcW w:w="1984" w:type="dxa"/>
            <w:vAlign w:val="center"/>
          </w:tcPr>
          <w:p w14:paraId="1514C491"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56,6 %</w:t>
            </w:r>
          </w:p>
        </w:tc>
      </w:tr>
      <w:tr w:rsidR="00D6793F" w:rsidRPr="00CE357F" w14:paraId="417F2B8D" w14:textId="77777777" w:rsidTr="00687372">
        <w:trPr>
          <w:trHeight w:val="20"/>
        </w:trPr>
        <w:tc>
          <w:tcPr>
            <w:tcW w:w="1134" w:type="dxa"/>
            <w:vAlign w:val="center"/>
          </w:tcPr>
          <w:p w14:paraId="310FE229"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Ivančice</w:t>
            </w:r>
          </w:p>
        </w:tc>
        <w:tc>
          <w:tcPr>
            <w:tcW w:w="4395" w:type="dxa"/>
            <w:vAlign w:val="center"/>
          </w:tcPr>
          <w:p w14:paraId="49640913"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Nemocnice Ivančice, </w:t>
            </w:r>
            <w:proofErr w:type="spellStart"/>
            <w:r w:rsidRPr="00CE357F">
              <w:rPr>
                <w:rFonts w:ascii="Arial Narrow" w:eastAsia="Times New Roman" w:hAnsi="Arial Narrow" w:cs="Arial"/>
                <w:sz w:val="18"/>
                <w:szCs w:val="18"/>
                <w:lang w:eastAsia="cs-CZ"/>
              </w:rPr>
              <w:t>p.o</w:t>
            </w:r>
            <w:proofErr w:type="spellEnd"/>
            <w:r w:rsidRPr="00CE357F">
              <w:rPr>
                <w:rFonts w:ascii="Arial Narrow" w:eastAsia="Times New Roman" w:hAnsi="Arial Narrow" w:cs="Arial"/>
                <w:sz w:val="18"/>
                <w:szCs w:val="18"/>
                <w:lang w:eastAsia="cs-CZ"/>
              </w:rPr>
              <w:t>. (9)</w:t>
            </w:r>
          </w:p>
          <w:p w14:paraId="1DBCF100"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Prefa</w:t>
            </w:r>
            <w:proofErr w:type="spellEnd"/>
            <w:r w:rsidRPr="00CE357F">
              <w:rPr>
                <w:rFonts w:ascii="Arial Narrow" w:eastAsia="Times New Roman" w:hAnsi="Arial Narrow" w:cs="Arial"/>
                <w:sz w:val="18"/>
                <w:szCs w:val="18"/>
                <w:lang w:eastAsia="cs-CZ"/>
              </w:rPr>
              <w:t xml:space="preserve"> Brno a.s. (8)</w:t>
            </w:r>
          </w:p>
          <w:p w14:paraId="74765155"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Bravo Europa s.r.o. (3)</w:t>
            </w:r>
          </w:p>
        </w:tc>
        <w:tc>
          <w:tcPr>
            <w:tcW w:w="1559" w:type="dxa"/>
            <w:vAlign w:val="center"/>
          </w:tcPr>
          <w:p w14:paraId="7A1B1CE4"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w:t>
            </w:r>
          </w:p>
        </w:tc>
        <w:tc>
          <w:tcPr>
            <w:tcW w:w="1984" w:type="dxa"/>
            <w:vAlign w:val="center"/>
          </w:tcPr>
          <w:p w14:paraId="7D305022"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50 %</w:t>
            </w:r>
          </w:p>
        </w:tc>
      </w:tr>
      <w:tr w:rsidR="00D6793F" w:rsidRPr="00CE357F" w14:paraId="316CF801" w14:textId="77777777" w:rsidTr="00687372">
        <w:trPr>
          <w:trHeight w:val="20"/>
        </w:trPr>
        <w:tc>
          <w:tcPr>
            <w:tcW w:w="1134" w:type="dxa"/>
            <w:vAlign w:val="center"/>
          </w:tcPr>
          <w:p w14:paraId="46B69C29"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Kuřím</w:t>
            </w:r>
          </w:p>
        </w:tc>
        <w:tc>
          <w:tcPr>
            <w:tcW w:w="4395" w:type="dxa"/>
            <w:vAlign w:val="center"/>
          </w:tcPr>
          <w:p w14:paraId="6691A5DC"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Tyco</w:t>
            </w:r>
            <w:proofErr w:type="spellEnd"/>
            <w:r w:rsidRPr="00CE357F">
              <w:rPr>
                <w:rFonts w:ascii="Arial Narrow" w:eastAsia="Times New Roman" w:hAnsi="Arial Narrow" w:cs="Arial"/>
                <w:sz w:val="18"/>
                <w:szCs w:val="18"/>
                <w:lang w:eastAsia="cs-CZ"/>
              </w:rPr>
              <w:t xml:space="preserve"> Electronics Czech s.r.o. (232)</w:t>
            </w:r>
          </w:p>
          <w:p w14:paraId="7C94E85F"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AMB PLUS, s.r.o. (35)</w:t>
            </w:r>
          </w:p>
          <w:p w14:paraId="77A3839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OKNOSTYL </w:t>
            </w:r>
            <w:proofErr w:type="spellStart"/>
            <w:r w:rsidRPr="00CE357F">
              <w:rPr>
                <w:rFonts w:ascii="Arial Narrow" w:eastAsia="Times New Roman" w:hAnsi="Arial Narrow" w:cs="Arial"/>
                <w:sz w:val="18"/>
                <w:szCs w:val="18"/>
                <w:lang w:eastAsia="cs-CZ"/>
              </w:rPr>
              <w:t>group</w:t>
            </w:r>
            <w:proofErr w:type="spellEnd"/>
            <w:r w:rsidRPr="00CE357F">
              <w:rPr>
                <w:rFonts w:ascii="Arial Narrow" w:eastAsia="Times New Roman" w:hAnsi="Arial Narrow" w:cs="Arial"/>
                <w:sz w:val="18"/>
                <w:szCs w:val="18"/>
                <w:lang w:eastAsia="cs-CZ"/>
              </w:rPr>
              <w:t xml:space="preserve"> s.r.o. (16)</w:t>
            </w:r>
          </w:p>
        </w:tc>
        <w:tc>
          <w:tcPr>
            <w:tcW w:w="1559" w:type="dxa"/>
            <w:vAlign w:val="center"/>
          </w:tcPr>
          <w:p w14:paraId="56FC1417"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283</w:t>
            </w:r>
          </w:p>
        </w:tc>
        <w:tc>
          <w:tcPr>
            <w:tcW w:w="1984" w:type="dxa"/>
            <w:vAlign w:val="center"/>
          </w:tcPr>
          <w:p w14:paraId="1F9BA746"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78,6 %</w:t>
            </w:r>
          </w:p>
        </w:tc>
      </w:tr>
      <w:tr w:rsidR="00D6793F" w:rsidRPr="00CE357F" w14:paraId="0FB11D9B" w14:textId="77777777" w:rsidTr="00687372">
        <w:trPr>
          <w:trHeight w:val="20"/>
        </w:trPr>
        <w:tc>
          <w:tcPr>
            <w:tcW w:w="1134" w:type="dxa"/>
            <w:vAlign w:val="center"/>
          </w:tcPr>
          <w:p w14:paraId="3C731475"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Kyjov</w:t>
            </w:r>
          </w:p>
        </w:tc>
        <w:tc>
          <w:tcPr>
            <w:tcW w:w="4395" w:type="dxa"/>
            <w:vAlign w:val="center"/>
          </w:tcPr>
          <w:p w14:paraId="25E49B08"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PIKA, a.s. (62)</w:t>
            </w:r>
          </w:p>
          <w:p w14:paraId="4E1C432B"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AVX Czech Republic s.r.o. (46)</w:t>
            </w:r>
          </w:p>
          <w:p w14:paraId="2D49AA7B"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Nemocnice Kyjov, p. o. (44)</w:t>
            </w:r>
          </w:p>
        </w:tc>
        <w:tc>
          <w:tcPr>
            <w:tcW w:w="1559" w:type="dxa"/>
            <w:vAlign w:val="center"/>
          </w:tcPr>
          <w:p w14:paraId="7E1DECB3"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152</w:t>
            </w:r>
          </w:p>
        </w:tc>
        <w:tc>
          <w:tcPr>
            <w:tcW w:w="1984" w:type="dxa"/>
            <w:vAlign w:val="center"/>
          </w:tcPr>
          <w:p w14:paraId="5D0E7BD2"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65,2 %</w:t>
            </w:r>
          </w:p>
        </w:tc>
      </w:tr>
      <w:tr w:rsidR="00D6793F" w:rsidRPr="00CE357F" w14:paraId="46041F53" w14:textId="77777777" w:rsidTr="00687372">
        <w:trPr>
          <w:trHeight w:val="20"/>
        </w:trPr>
        <w:tc>
          <w:tcPr>
            <w:tcW w:w="1134" w:type="dxa"/>
            <w:vAlign w:val="center"/>
          </w:tcPr>
          <w:p w14:paraId="18C96F85"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Mikulov</w:t>
            </w:r>
          </w:p>
        </w:tc>
        <w:tc>
          <w:tcPr>
            <w:tcW w:w="4395" w:type="dxa"/>
            <w:vAlign w:val="center"/>
          </w:tcPr>
          <w:p w14:paraId="02C7FB3D"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Gebauer a </w:t>
            </w:r>
            <w:proofErr w:type="spellStart"/>
            <w:r w:rsidRPr="00CE357F">
              <w:rPr>
                <w:rFonts w:ascii="Arial Narrow" w:eastAsia="Times New Roman" w:hAnsi="Arial Narrow" w:cs="Arial"/>
                <w:sz w:val="18"/>
                <w:szCs w:val="18"/>
                <w:lang w:eastAsia="cs-CZ"/>
              </w:rPr>
              <w:t>Griller</w:t>
            </w:r>
            <w:proofErr w:type="spellEnd"/>
            <w:r w:rsidRPr="00CE357F">
              <w:rPr>
                <w:rFonts w:ascii="Arial Narrow" w:eastAsia="Times New Roman" w:hAnsi="Arial Narrow" w:cs="Arial"/>
                <w:sz w:val="18"/>
                <w:szCs w:val="18"/>
                <w:lang w:eastAsia="cs-CZ"/>
              </w:rPr>
              <w:t xml:space="preserve"> </w:t>
            </w:r>
            <w:proofErr w:type="spellStart"/>
            <w:r w:rsidRPr="00CE357F">
              <w:rPr>
                <w:rFonts w:ascii="Arial Narrow" w:eastAsia="Times New Roman" w:hAnsi="Arial Narrow" w:cs="Arial"/>
                <w:sz w:val="18"/>
                <w:szCs w:val="18"/>
                <w:lang w:eastAsia="cs-CZ"/>
              </w:rPr>
              <w:t>Kabeltechnik</w:t>
            </w:r>
            <w:proofErr w:type="spellEnd"/>
            <w:r w:rsidRPr="00CE357F">
              <w:rPr>
                <w:rFonts w:ascii="Arial Narrow" w:eastAsia="Times New Roman" w:hAnsi="Arial Narrow" w:cs="Arial"/>
                <w:sz w:val="18"/>
                <w:szCs w:val="18"/>
                <w:lang w:eastAsia="cs-CZ"/>
              </w:rPr>
              <w:t>, s r.o. (179)</w:t>
            </w:r>
          </w:p>
          <w:p w14:paraId="4CFE164C"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KŠX  - DELTA, s.r.o. (37)</w:t>
            </w:r>
          </w:p>
          <w:p w14:paraId="4AAA31DC"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Boutique</w:t>
            </w:r>
            <w:proofErr w:type="spellEnd"/>
            <w:r w:rsidRPr="00CE357F">
              <w:rPr>
                <w:rFonts w:ascii="Arial Narrow" w:eastAsia="Times New Roman" w:hAnsi="Arial Narrow" w:cs="Arial"/>
                <w:sz w:val="18"/>
                <w:szCs w:val="18"/>
                <w:lang w:eastAsia="cs-CZ"/>
              </w:rPr>
              <w:t xml:space="preserve"> hotel Mikulov s.r.o. (8)</w:t>
            </w:r>
          </w:p>
        </w:tc>
        <w:tc>
          <w:tcPr>
            <w:tcW w:w="1559" w:type="dxa"/>
            <w:vAlign w:val="center"/>
          </w:tcPr>
          <w:p w14:paraId="7E47A401"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224</w:t>
            </w:r>
          </w:p>
        </w:tc>
        <w:tc>
          <w:tcPr>
            <w:tcW w:w="1984" w:type="dxa"/>
            <w:vAlign w:val="center"/>
          </w:tcPr>
          <w:p w14:paraId="1D6BA776"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86,8 %</w:t>
            </w:r>
          </w:p>
        </w:tc>
      </w:tr>
      <w:tr w:rsidR="00D6793F" w:rsidRPr="00CE357F" w14:paraId="7B158B3E" w14:textId="77777777" w:rsidTr="00687372">
        <w:trPr>
          <w:trHeight w:val="20"/>
        </w:trPr>
        <w:tc>
          <w:tcPr>
            <w:tcW w:w="1134" w:type="dxa"/>
            <w:vAlign w:val="center"/>
          </w:tcPr>
          <w:p w14:paraId="27329B9B"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Moravský Krumlov</w:t>
            </w:r>
          </w:p>
        </w:tc>
        <w:tc>
          <w:tcPr>
            <w:tcW w:w="4395" w:type="dxa"/>
            <w:vAlign w:val="center"/>
          </w:tcPr>
          <w:p w14:paraId="5B8844BA"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Zemědělská společnost Jiřice u Miroslavi s.r.o. (6)</w:t>
            </w:r>
          </w:p>
          <w:p w14:paraId="15C16EFC"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AK DENT, s.r.o. (2)</w:t>
            </w:r>
          </w:p>
          <w:p w14:paraId="38CB841A"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AR Brno, spol. s r.o. (2)</w:t>
            </w:r>
          </w:p>
        </w:tc>
        <w:tc>
          <w:tcPr>
            <w:tcW w:w="1559" w:type="dxa"/>
            <w:vAlign w:val="center"/>
          </w:tcPr>
          <w:p w14:paraId="7297A904"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w:t>
            </w:r>
          </w:p>
        </w:tc>
        <w:tc>
          <w:tcPr>
            <w:tcW w:w="1984" w:type="dxa"/>
            <w:vAlign w:val="center"/>
          </w:tcPr>
          <w:p w14:paraId="3F3BFAE9"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58,8 %</w:t>
            </w:r>
          </w:p>
        </w:tc>
      </w:tr>
      <w:tr w:rsidR="00D6793F" w:rsidRPr="00CE357F" w14:paraId="3AF6771D" w14:textId="77777777" w:rsidTr="00687372">
        <w:trPr>
          <w:trHeight w:val="20"/>
        </w:trPr>
        <w:tc>
          <w:tcPr>
            <w:tcW w:w="1134" w:type="dxa"/>
            <w:vAlign w:val="center"/>
          </w:tcPr>
          <w:p w14:paraId="048BB81F"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Pohořelice</w:t>
            </w:r>
          </w:p>
        </w:tc>
        <w:tc>
          <w:tcPr>
            <w:tcW w:w="4395" w:type="dxa"/>
            <w:vAlign w:val="center"/>
          </w:tcPr>
          <w:p w14:paraId="7F2334A1"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DHL Supply </w:t>
            </w:r>
            <w:proofErr w:type="spellStart"/>
            <w:r w:rsidRPr="00CE357F">
              <w:rPr>
                <w:rFonts w:ascii="Arial Narrow" w:eastAsia="Times New Roman" w:hAnsi="Arial Narrow" w:cs="Arial"/>
                <w:sz w:val="18"/>
                <w:szCs w:val="18"/>
                <w:lang w:eastAsia="cs-CZ"/>
              </w:rPr>
              <w:t>Chain</w:t>
            </w:r>
            <w:proofErr w:type="spellEnd"/>
            <w:r w:rsidRPr="00CE357F">
              <w:rPr>
                <w:rFonts w:ascii="Arial Narrow" w:eastAsia="Times New Roman" w:hAnsi="Arial Narrow" w:cs="Arial"/>
                <w:sz w:val="18"/>
                <w:szCs w:val="18"/>
                <w:lang w:eastAsia="cs-CZ"/>
              </w:rPr>
              <w:t xml:space="preserve"> s.r.o. (160)</w:t>
            </w:r>
          </w:p>
          <w:p w14:paraId="04A70D9C"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s.n.o.p</w:t>
            </w:r>
            <w:proofErr w:type="spellEnd"/>
            <w:r w:rsidRPr="00CE357F">
              <w:rPr>
                <w:rFonts w:ascii="Arial Narrow" w:eastAsia="Times New Roman" w:hAnsi="Arial Narrow" w:cs="Arial"/>
                <w:sz w:val="18"/>
                <w:szCs w:val="18"/>
                <w:lang w:eastAsia="cs-CZ"/>
              </w:rPr>
              <w:t xml:space="preserve">. </w:t>
            </w:r>
            <w:proofErr w:type="spellStart"/>
            <w:r w:rsidRPr="00CE357F">
              <w:rPr>
                <w:rFonts w:ascii="Arial Narrow" w:eastAsia="Times New Roman" w:hAnsi="Arial Narrow" w:cs="Arial"/>
                <w:sz w:val="18"/>
                <w:szCs w:val="18"/>
                <w:lang w:eastAsia="cs-CZ"/>
              </w:rPr>
              <w:t>cz</w:t>
            </w:r>
            <w:proofErr w:type="spellEnd"/>
            <w:r w:rsidRPr="00CE357F">
              <w:rPr>
                <w:rFonts w:ascii="Arial Narrow" w:eastAsia="Times New Roman" w:hAnsi="Arial Narrow" w:cs="Arial"/>
                <w:sz w:val="18"/>
                <w:szCs w:val="18"/>
                <w:lang w:eastAsia="cs-CZ"/>
              </w:rPr>
              <w:t xml:space="preserve"> a.s. (38)</w:t>
            </w:r>
          </w:p>
          <w:p w14:paraId="17C1DC9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CPI Moravia </w:t>
            </w:r>
            <w:proofErr w:type="spellStart"/>
            <w:r w:rsidRPr="00CE357F">
              <w:rPr>
                <w:rFonts w:ascii="Arial Narrow" w:eastAsia="Times New Roman" w:hAnsi="Arial Narrow" w:cs="Arial"/>
                <w:sz w:val="18"/>
                <w:szCs w:val="18"/>
                <w:lang w:eastAsia="cs-CZ"/>
              </w:rPr>
              <w:t>Books</w:t>
            </w:r>
            <w:proofErr w:type="spellEnd"/>
            <w:r w:rsidRPr="00CE357F">
              <w:rPr>
                <w:rFonts w:ascii="Arial Narrow" w:eastAsia="Times New Roman" w:hAnsi="Arial Narrow" w:cs="Arial"/>
                <w:sz w:val="18"/>
                <w:szCs w:val="18"/>
                <w:lang w:eastAsia="cs-CZ"/>
              </w:rPr>
              <w:t xml:space="preserve"> s.r.o. (9)</w:t>
            </w:r>
          </w:p>
        </w:tc>
        <w:tc>
          <w:tcPr>
            <w:tcW w:w="1559" w:type="dxa"/>
            <w:vAlign w:val="center"/>
          </w:tcPr>
          <w:p w14:paraId="033821D7"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207</w:t>
            </w:r>
          </w:p>
        </w:tc>
        <w:tc>
          <w:tcPr>
            <w:tcW w:w="1984" w:type="dxa"/>
            <w:vAlign w:val="center"/>
          </w:tcPr>
          <w:p w14:paraId="1B76E330"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91,6 %</w:t>
            </w:r>
          </w:p>
        </w:tc>
      </w:tr>
      <w:tr w:rsidR="00D6793F" w:rsidRPr="00CE357F" w14:paraId="2E9F901B" w14:textId="77777777" w:rsidTr="00687372">
        <w:trPr>
          <w:trHeight w:val="20"/>
        </w:trPr>
        <w:tc>
          <w:tcPr>
            <w:tcW w:w="1134" w:type="dxa"/>
            <w:vAlign w:val="center"/>
          </w:tcPr>
          <w:p w14:paraId="1C4479BD"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Rosice</w:t>
            </w:r>
          </w:p>
        </w:tc>
        <w:tc>
          <w:tcPr>
            <w:tcW w:w="4395" w:type="dxa"/>
            <w:vAlign w:val="center"/>
          </w:tcPr>
          <w:p w14:paraId="09FF183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GenAgro</w:t>
            </w:r>
            <w:proofErr w:type="spellEnd"/>
            <w:r w:rsidRPr="00CE357F">
              <w:rPr>
                <w:rFonts w:ascii="Arial Narrow" w:eastAsia="Times New Roman" w:hAnsi="Arial Narrow" w:cs="Arial"/>
                <w:sz w:val="18"/>
                <w:szCs w:val="18"/>
                <w:lang w:eastAsia="cs-CZ"/>
              </w:rPr>
              <w:t xml:space="preserve"> Říčany, a.s. (9)</w:t>
            </w:r>
          </w:p>
          <w:p w14:paraId="1A508D3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MILPACK s.r.o. (9)</w:t>
            </w:r>
          </w:p>
          <w:p w14:paraId="1F460FEF"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Moravský </w:t>
            </w:r>
            <w:proofErr w:type="spellStart"/>
            <w:r w:rsidRPr="00CE357F">
              <w:rPr>
                <w:rFonts w:ascii="Arial Narrow" w:eastAsia="Times New Roman" w:hAnsi="Arial Narrow" w:cs="Arial"/>
                <w:sz w:val="18"/>
                <w:szCs w:val="18"/>
                <w:lang w:eastAsia="cs-CZ"/>
              </w:rPr>
              <w:t>Plynostav</w:t>
            </w:r>
            <w:proofErr w:type="spellEnd"/>
            <w:r w:rsidRPr="00CE357F">
              <w:rPr>
                <w:rFonts w:ascii="Arial Narrow" w:eastAsia="Times New Roman" w:hAnsi="Arial Narrow" w:cs="Arial"/>
                <w:sz w:val="18"/>
                <w:szCs w:val="18"/>
                <w:lang w:eastAsia="cs-CZ"/>
              </w:rPr>
              <w:t xml:space="preserve"> a.s. (4)</w:t>
            </w:r>
          </w:p>
        </w:tc>
        <w:tc>
          <w:tcPr>
            <w:tcW w:w="1559" w:type="dxa"/>
            <w:vAlign w:val="center"/>
          </w:tcPr>
          <w:p w14:paraId="5DDE09F5"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22</w:t>
            </w:r>
          </w:p>
        </w:tc>
        <w:tc>
          <w:tcPr>
            <w:tcW w:w="1984" w:type="dxa"/>
            <w:vAlign w:val="center"/>
          </w:tcPr>
          <w:p w14:paraId="2A30D672"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45,8 %</w:t>
            </w:r>
          </w:p>
        </w:tc>
      </w:tr>
      <w:tr w:rsidR="00D6793F" w:rsidRPr="00CE357F" w14:paraId="6E2EAFA6" w14:textId="77777777" w:rsidTr="00687372">
        <w:trPr>
          <w:trHeight w:val="20"/>
        </w:trPr>
        <w:tc>
          <w:tcPr>
            <w:tcW w:w="1134" w:type="dxa"/>
            <w:vAlign w:val="center"/>
          </w:tcPr>
          <w:p w14:paraId="3A683A98"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Slavkov u Brna</w:t>
            </w:r>
          </w:p>
        </w:tc>
        <w:tc>
          <w:tcPr>
            <w:tcW w:w="4395" w:type="dxa"/>
            <w:vAlign w:val="center"/>
          </w:tcPr>
          <w:p w14:paraId="4B9CAA71"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Lohmann</w:t>
            </w:r>
            <w:proofErr w:type="spellEnd"/>
            <w:r w:rsidRPr="00CE357F">
              <w:rPr>
                <w:rFonts w:ascii="Arial Narrow" w:eastAsia="Times New Roman" w:hAnsi="Arial Narrow" w:cs="Arial"/>
                <w:sz w:val="18"/>
                <w:szCs w:val="18"/>
                <w:lang w:eastAsia="cs-CZ"/>
              </w:rPr>
              <w:t xml:space="preserve"> &amp; </w:t>
            </w:r>
            <w:proofErr w:type="spellStart"/>
            <w:r w:rsidRPr="00CE357F">
              <w:rPr>
                <w:rFonts w:ascii="Arial Narrow" w:eastAsia="Times New Roman" w:hAnsi="Arial Narrow" w:cs="Arial"/>
                <w:sz w:val="18"/>
                <w:szCs w:val="18"/>
                <w:lang w:eastAsia="cs-CZ"/>
              </w:rPr>
              <w:t>Rauscher</w:t>
            </w:r>
            <w:proofErr w:type="spellEnd"/>
            <w:r w:rsidRPr="00CE357F">
              <w:rPr>
                <w:rFonts w:ascii="Arial Narrow" w:eastAsia="Times New Roman" w:hAnsi="Arial Narrow" w:cs="Arial"/>
                <w:sz w:val="18"/>
                <w:szCs w:val="18"/>
                <w:lang w:eastAsia="cs-CZ"/>
              </w:rPr>
              <w:t>, s.r.o. (63)</w:t>
            </w:r>
          </w:p>
          <w:p w14:paraId="544386FE"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FenStar</w:t>
            </w:r>
            <w:proofErr w:type="spellEnd"/>
            <w:r w:rsidRPr="00CE357F">
              <w:rPr>
                <w:rFonts w:ascii="Arial Narrow" w:eastAsia="Times New Roman" w:hAnsi="Arial Narrow" w:cs="Arial"/>
                <w:sz w:val="18"/>
                <w:szCs w:val="18"/>
                <w:lang w:eastAsia="cs-CZ"/>
              </w:rPr>
              <w:t xml:space="preserve"> s.r.o. (3)</w:t>
            </w:r>
          </w:p>
          <w:p w14:paraId="3D9EA53A"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EMP s.r.o. (3)</w:t>
            </w:r>
          </w:p>
        </w:tc>
        <w:tc>
          <w:tcPr>
            <w:tcW w:w="1559" w:type="dxa"/>
            <w:vAlign w:val="center"/>
          </w:tcPr>
          <w:p w14:paraId="0A356B94"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69</w:t>
            </w:r>
          </w:p>
        </w:tc>
        <w:tc>
          <w:tcPr>
            <w:tcW w:w="1984" w:type="dxa"/>
            <w:vAlign w:val="center"/>
          </w:tcPr>
          <w:p w14:paraId="3E6CC783"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85,2 %</w:t>
            </w:r>
          </w:p>
        </w:tc>
      </w:tr>
      <w:tr w:rsidR="00D6793F" w:rsidRPr="00CE357F" w14:paraId="05650DCF" w14:textId="77777777" w:rsidTr="00687372">
        <w:trPr>
          <w:trHeight w:val="20"/>
        </w:trPr>
        <w:tc>
          <w:tcPr>
            <w:tcW w:w="1134" w:type="dxa"/>
            <w:vAlign w:val="center"/>
          </w:tcPr>
          <w:p w14:paraId="101562F3"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Šlapanice</w:t>
            </w:r>
          </w:p>
        </w:tc>
        <w:tc>
          <w:tcPr>
            <w:tcW w:w="4395" w:type="dxa"/>
            <w:vAlign w:val="center"/>
          </w:tcPr>
          <w:p w14:paraId="1F81D07B"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Vodňanská drůbež, a.s. (367)</w:t>
            </w:r>
          </w:p>
          <w:p w14:paraId="5227CE1B"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IFE-</w:t>
            </w:r>
            <w:proofErr w:type="spellStart"/>
            <w:r w:rsidRPr="00CE357F">
              <w:rPr>
                <w:rFonts w:ascii="Arial Narrow" w:eastAsia="Times New Roman" w:hAnsi="Arial Narrow" w:cs="Arial"/>
                <w:sz w:val="18"/>
                <w:szCs w:val="18"/>
                <w:lang w:eastAsia="cs-CZ"/>
              </w:rPr>
              <w:t>CR,a.s</w:t>
            </w:r>
            <w:proofErr w:type="spellEnd"/>
            <w:r w:rsidRPr="00CE357F">
              <w:rPr>
                <w:rFonts w:ascii="Arial Narrow" w:eastAsia="Times New Roman" w:hAnsi="Arial Narrow" w:cs="Arial"/>
                <w:sz w:val="18"/>
                <w:szCs w:val="18"/>
                <w:lang w:eastAsia="cs-CZ"/>
              </w:rPr>
              <w:t>. (111)</w:t>
            </w:r>
          </w:p>
          <w:p w14:paraId="5C1AD054"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Inventec</w:t>
            </w:r>
            <w:proofErr w:type="spellEnd"/>
            <w:r w:rsidRPr="00CE357F">
              <w:rPr>
                <w:rFonts w:ascii="Arial Narrow" w:eastAsia="Times New Roman" w:hAnsi="Arial Narrow" w:cs="Arial"/>
                <w:sz w:val="18"/>
                <w:szCs w:val="18"/>
                <w:lang w:eastAsia="cs-CZ"/>
              </w:rPr>
              <w:t xml:space="preserve"> (Czech), s.r.o. (108)</w:t>
            </w:r>
          </w:p>
        </w:tc>
        <w:tc>
          <w:tcPr>
            <w:tcW w:w="1559" w:type="dxa"/>
            <w:vAlign w:val="center"/>
          </w:tcPr>
          <w:p w14:paraId="0BB6FD49"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586</w:t>
            </w:r>
          </w:p>
        </w:tc>
        <w:tc>
          <w:tcPr>
            <w:tcW w:w="1984" w:type="dxa"/>
            <w:vAlign w:val="center"/>
          </w:tcPr>
          <w:p w14:paraId="061F9A09"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60,8 %</w:t>
            </w:r>
          </w:p>
        </w:tc>
      </w:tr>
      <w:tr w:rsidR="00D6793F" w:rsidRPr="00CE357F" w14:paraId="1A15C60E" w14:textId="77777777" w:rsidTr="00687372">
        <w:trPr>
          <w:trHeight w:val="20"/>
        </w:trPr>
        <w:tc>
          <w:tcPr>
            <w:tcW w:w="1134" w:type="dxa"/>
            <w:vAlign w:val="center"/>
          </w:tcPr>
          <w:p w14:paraId="10CF7D11"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Tišnov</w:t>
            </w:r>
          </w:p>
        </w:tc>
        <w:tc>
          <w:tcPr>
            <w:tcW w:w="4395" w:type="dxa"/>
            <w:vAlign w:val="center"/>
          </w:tcPr>
          <w:p w14:paraId="02FDB7DE"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Siemens Electric </w:t>
            </w:r>
            <w:proofErr w:type="spellStart"/>
            <w:r w:rsidRPr="00CE357F">
              <w:rPr>
                <w:rFonts w:ascii="Arial Narrow" w:eastAsia="Times New Roman" w:hAnsi="Arial Narrow" w:cs="Arial"/>
                <w:sz w:val="18"/>
                <w:szCs w:val="18"/>
                <w:lang w:eastAsia="cs-CZ"/>
              </w:rPr>
              <w:t>Machines</w:t>
            </w:r>
            <w:proofErr w:type="spellEnd"/>
            <w:r w:rsidRPr="00CE357F">
              <w:rPr>
                <w:rFonts w:ascii="Arial Narrow" w:eastAsia="Times New Roman" w:hAnsi="Arial Narrow" w:cs="Arial"/>
                <w:sz w:val="18"/>
                <w:szCs w:val="18"/>
                <w:lang w:eastAsia="cs-CZ"/>
              </w:rPr>
              <w:t xml:space="preserve"> s.r.o. (30)</w:t>
            </w:r>
          </w:p>
          <w:p w14:paraId="5A83661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Steinhauser</w:t>
            </w:r>
            <w:proofErr w:type="spellEnd"/>
            <w:r w:rsidRPr="00CE357F">
              <w:rPr>
                <w:rFonts w:ascii="Arial Narrow" w:eastAsia="Times New Roman" w:hAnsi="Arial Narrow" w:cs="Arial"/>
                <w:sz w:val="18"/>
                <w:szCs w:val="18"/>
                <w:lang w:eastAsia="cs-CZ"/>
              </w:rPr>
              <w:t>, s.r.o. (11)</w:t>
            </w:r>
          </w:p>
          <w:p w14:paraId="7DF03ACC"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Stavounie</w:t>
            </w:r>
            <w:proofErr w:type="spellEnd"/>
            <w:r w:rsidRPr="00CE357F">
              <w:rPr>
                <w:rFonts w:ascii="Arial Narrow" w:eastAsia="Times New Roman" w:hAnsi="Arial Narrow" w:cs="Arial"/>
                <w:sz w:val="18"/>
                <w:szCs w:val="18"/>
                <w:lang w:eastAsia="cs-CZ"/>
              </w:rPr>
              <w:t>-CZ, s.r.o. (11)</w:t>
            </w:r>
          </w:p>
        </w:tc>
        <w:tc>
          <w:tcPr>
            <w:tcW w:w="1559" w:type="dxa"/>
            <w:vAlign w:val="center"/>
          </w:tcPr>
          <w:p w14:paraId="040CAF08"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52</w:t>
            </w:r>
          </w:p>
        </w:tc>
        <w:tc>
          <w:tcPr>
            <w:tcW w:w="1984" w:type="dxa"/>
            <w:vAlign w:val="center"/>
          </w:tcPr>
          <w:p w14:paraId="75A3703D"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52,5 %</w:t>
            </w:r>
          </w:p>
        </w:tc>
      </w:tr>
      <w:tr w:rsidR="00D6793F" w:rsidRPr="00CE357F" w14:paraId="4D1147B9" w14:textId="77777777" w:rsidTr="00687372">
        <w:trPr>
          <w:trHeight w:val="20"/>
        </w:trPr>
        <w:tc>
          <w:tcPr>
            <w:tcW w:w="1134" w:type="dxa"/>
            <w:vAlign w:val="center"/>
          </w:tcPr>
          <w:p w14:paraId="505BBE28"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Veselí nad Moravou</w:t>
            </w:r>
          </w:p>
        </w:tc>
        <w:tc>
          <w:tcPr>
            <w:tcW w:w="4395" w:type="dxa"/>
            <w:vAlign w:val="center"/>
          </w:tcPr>
          <w:p w14:paraId="6A9AF1C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KORDÁRNA Plus a.s. (82)</w:t>
            </w:r>
          </w:p>
          <w:p w14:paraId="553A32B0"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Stival</w:t>
            </w:r>
            <w:proofErr w:type="spellEnd"/>
            <w:r w:rsidRPr="00CE357F">
              <w:rPr>
                <w:rFonts w:ascii="Arial Narrow" w:eastAsia="Times New Roman" w:hAnsi="Arial Narrow" w:cs="Arial"/>
                <w:sz w:val="18"/>
                <w:szCs w:val="18"/>
                <w:lang w:eastAsia="cs-CZ"/>
              </w:rPr>
              <w:t xml:space="preserve"> </w:t>
            </w:r>
            <w:proofErr w:type="spellStart"/>
            <w:r w:rsidRPr="00CE357F">
              <w:rPr>
                <w:rFonts w:ascii="Arial Narrow" w:eastAsia="Times New Roman" w:hAnsi="Arial Narrow" w:cs="Arial"/>
                <w:sz w:val="18"/>
                <w:szCs w:val="18"/>
                <w:lang w:eastAsia="cs-CZ"/>
              </w:rPr>
              <w:t>automotive</w:t>
            </w:r>
            <w:proofErr w:type="spellEnd"/>
            <w:r w:rsidRPr="00CE357F">
              <w:rPr>
                <w:rFonts w:ascii="Arial Narrow" w:eastAsia="Times New Roman" w:hAnsi="Arial Narrow" w:cs="Arial"/>
                <w:sz w:val="18"/>
                <w:szCs w:val="18"/>
                <w:lang w:eastAsia="cs-CZ"/>
              </w:rPr>
              <w:t xml:space="preserve"> s.r.o. (31)</w:t>
            </w:r>
          </w:p>
          <w:p w14:paraId="34B76A25"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METALTREND CZ s.r.o. (15)</w:t>
            </w:r>
          </w:p>
        </w:tc>
        <w:tc>
          <w:tcPr>
            <w:tcW w:w="1559" w:type="dxa"/>
            <w:vAlign w:val="center"/>
          </w:tcPr>
          <w:p w14:paraId="7B6FEFF8"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128</w:t>
            </w:r>
          </w:p>
        </w:tc>
        <w:tc>
          <w:tcPr>
            <w:tcW w:w="1984" w:type="dxa"/>
            <w:vAlign w:val="center"/>
          </w:tcPr>
          <w:p w14:paraId="1055F7D4"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81,5 %</w:t>
            </w:r>
          </w:p>
        </w:tc>
      </w:tr>
      <w:tr w:rsidR="00D6793F" w:rsidRPr="00CE357F" w14:paraId="12C5A9FC" w14:textId="77777777" w:rsidTr="00687372">
        <w:trPr>
          <w:trHeight w:val="20"/>
        </w:trPr>
        <w:tc>
          <w:tcPr>
            <w:tcW w:w="1134" w:type="dxa"/>
            <w:vAlign w:val="center"/>
          </w:tcPr>
          <w:p w14:paraId="2AF95787"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Vyškov</w:t>
            </w:r>
          </w:p>
        </w:tc>
        <w:tc>
          <w:tcPr>
            <w:tcW w:w="4395" w:type="dxa"/>
            <w:vAlign w:val="center"/>
          </w:tcPr>
          <w:p w14:paraId="3A9FAF49"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MORAVIA AGENCY s.r.o. (102)</w:t>
            </w:r>
          </w:p>
          <w:p w14:paraId="1B1443D0"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Fischer </w:t>
            </w:r>
            <w:proofErr w:type="spellStart"/>
            <w:r w:rsidRPr="00CE357F">
              <w:rPr>
                <w:rFonts w:ascii="Arial Narrow" w:eastAsia="Times New Roman" w:hAnsi="Arial Narrow" w:cs="Arial"/>
                <w:sz w:val="18"/>
                <w:szCs w:val="18"/>
                <w:lang w:eastAsia="cs-CZ"/>
              </w:rPr>
              <w:t>automotive</w:t>
            </w:r>
            <w:proofErr w:type="spellEnd"/>
            <w:r w:rsidRPr="00CE357F">
              <w:rPr>
                <w:rFonts w:ascii="Arial Narrow" w:eastAsia="Times New Roman" w:hAnsi="Arial Narrow" w:cs="Arial"/>
                <w:sz w:val="18"/>
                <w:szCs w:val="18"/>
                <w:lang w:eastAsia="cs-CZ"/>
              </w:rPr>
              <w:t xml:space="preserve"> </w:t>
            </w:r>
            <w:proofErr w:type="spellStart"/>
            <w:r w:rsidRPr="00CE357F">
              <w:rPr>
                <w:rFonts w:ascii="Arial Narrow" w:eastAsia="Times New Roman" w:hAnsi="Arial Narrow" w:cs="Arial"/>
                <w:sz w:val="18"/>
                <w:szCs w:val="18"/>
                <w:lang w:eastAsia="cs-CZ"/>
              </w:rPr>
              <w:t>systems</w:t>
            </w:r>
            <w:proofErr w:type="spellEnd"/>
            <w:r w:rsidRPr="00CE357F">
              <w:rPr>
                <w:rFonts w:ascii="Arial Narrow" w:eastAsia="Times New Roman" w:hAnsi="Arial Narrow" w:cs="Arial"/>
                <w:sz w:val="18"/>
                <w:szCs w:val="18"/>
                <w:lang w:eastAsia="cs-CZ"/>
              </w:rPr>
              <w:t xml:space="preserve"> s.r.o. (36)</w:t>
            </w:r>
          </w:p>
          <w:p w14:paraId="737A3031"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Lear </w:t>
            </w:r>
            <w:proofErr w:type="spellStart"/>
            <w:r w:rsidRPr="00CE357F">
              <w:rPr>
                <w:rFonts w:ascii="Arial Narrow" w:eastAsia="Times New Roman" w:hAnsi="Arial Narrow" w:cs="Arial"/>
                <w:sz w:val="18"/>
                <w:szCs w:val="18"/>
                <w:lang w:eastAsia="cs-CZ"/>
              </w:rPr>
              <w:t>Corporation</w:t>
            </w:r>
            <w:proofErr w:type="spellEnd"/>
            <w:r w:rsidRPr="00CE357F">
              <w:rPr>
                <w:rFonts w:ascii="Arial Narrow" w:eastAsia="Times New Roman" w:hAnsi="Arial Narrow" w:cs="Arial"/>
                <w:sz w:val="18"/>
                <w:szCs w:val="18"/>
                <w:lang w:eastAsia="cs-CZ"/>
              </w:rPr>
              <w:t xml:space="preserve"> Czech Republic s.r.o. (33)</w:t>
            </w:r>
          </w:p>
        </w:tc>
        <w:tc>
          <w:tcPr>
            <w:tcW w:w="1559" w:type="dxa"/>
            <w:vAlign w:val="center"/>
          </w:tcPr>
          <w:p w14:paraId="3197B965"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171</w:t>
            </w:r>
          </w:p>
        </w:tc>
        <w:tc>
          <w:tcPr>
            <w:tcW w:w="1984" w:type="dxa"/>
            <w:vAlign w:val="center"/>
          </w:tcPr>
          <w:p w14:paraId="24B01941"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48,6 %</w:t>
            </w:r>
          </w:p>
        </w:tc>
      </w:tr>
      <w:tr w:rsidR="00D6793F" w:rsidRPr="00CE357F" w14:paraId="0559D477" w14:textId="77777777" w:rsidTr="00687372">
        <w:trPr>
          <w:trHeight w:val="20"/>
        </w:trPr>
        <w:tc>
          <w:tcPr>
            <w:tcW w:w="1134" w:type="dxa"/>
            <w:vAlign w:val="center"/>
          </w:tcPr>
          <w:p w14:paraId="4416D415"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Znojmo</w:t>
            </w:r>
          </w:p>
        </w:tc>
        <w:tc>
          <w:tcPr>
            <w:tcW w:w="4395" w:type="dxa"/>
            <w:vAlign w:val="center"/>
          </w:tcPr>
          <w:p w14:paraId="3AD2F190"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Egston</w:t>
            </w:r>
            <w:proofErr w:type="spellEnd"/>
            <w:r w:rsidRPr="00CE357F">
              <w:rPr>
                <w:rFonts w:ascii="Arial Narrow" w:eastAsia="Times New Roman" w:hAnsi="Arial Narrow" w:cs="Arial"/>
                <w:sz w:val="18"/>
                <w:szCs w:val="18"/>
                <w:lang w:eastAsia="cs-CZ"/>
              </w:rPr>
              <w:t xml:space="preserve"> Systém </w:t>
            </w:r>
            <w:proofErr w:type="spellStart"/>
            <w:r w:rsidRPr="00CE357F">
              <w:rPr>
                <w:rFonts w:ascii="Arial Narrow" w:eastAsia="Times New Roman" w:hAnsi="Arial Narrow" w:cs="Arial"/>
                <w:sz w:val="18"/>
                <w:szCs w:val="18"/>
                <w:lang w:eastAsia="cs-CZ"/>
              </w:rPr>
              <w:t>Electronic</w:t>
            </w:r>
            <w:proofErr w:type="spellEnd"/>
            <w:r w:rsidRPr="00CE357F">
              <w:rPr>
                <w:rFonts w:ascii="Arial Narrow" w:eastAsia="Times New Roman" w:hAnsi="Arial Narrow" w:cs="Arial"/>
                <w:sz w:val="18"/>
                <w:szCs w:val="18"/>
                <w:lang w:eastAsia="cs-CZ"/>
              </w:rPr>
              <w:t>, spol. s.r.o. (50)</w:t>
            </w:r>
          </w:p>
          <w:p w14:paraId="4989E32D"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Nemocnice Znojmo, p. o. (41)</w:t>
            </w:r>
          </w:p>
          <w:p w14:paraId="49DD0239"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ODĚVA, VÝROBNÍ DRUŽSTVO (20)</w:t>
            </w:r>
          </w:p>
        </w:tc>
        <w:tc>
          <w:tcPr>
            <w:tcW w:w="1559" w:type="dxa"/>
            <w:vAlign w:val="center"/>
          </w:tcPr>
          <w:p w14:paraId="3EAB2C7C"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111</w:t>
            </w:r>
          </w:p>
        </w:tc>
        <w:tc>
          <w:tcPr>
            <w:tcW w:w="1984" w:type="dxa"/>
            <w:vAlign w:val="center"/>
          </w:tcPr>
          <w:p w14:paraId="47D65A7A"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29 %</w:t>
            </w:r>
          </w:p>
        </w:tc>
      </w:tr>
      <w:tr w:rsidR="00D6793F" w:rsidRPr="00CE357F" w14:paraId="42CC595A" w14:textId="77777777" w:rsidTr="00687372">
        <w:trPr>
          <w:trHeight w:val="20"/>
        </w:trPr>
        <w:tc>
          <w:tcPr>
            <w:tcW w:w="1134" w:type="dxa"/>
            <w:vAlign w:val="center"/>
          </w:tcPr>
          <w:p w14:paraId="62387A0C"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Židlochovice</w:t>
            </w:r>
          </w:p>
        </w:tc>
        <w:tc>
          <w:tcPr>
            <w:tcW w:w="4395" w:type="dxa"/>
            <w:vAlign w:val="center"/>
          </w:tcPr>
          <w:p w14:paraId="2BAF0DA1"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proofErr w:type="spellStart"/>
            <w:r w:rsidRPr="00CE357F">
              <w:rPr>
                <w:rFonts w:ascii="Arial Narrow" w:eastAsia="Times New Roman" w:hAnsi="Arial Narrow" w:cs="Arial"/>
                <w:sz w:val="18"/>
                <w:szCs w:val="18"/>
                <w:lang w:eastAsia="cs-CZ"/>
              </w:rPr>
              <w:t>Notino</w:t>
            </w:r>
            <w:proofErr w:type="spellEnd"/>
            <w:r w:rsidRPr="00CE357F">
              <w:rPr>
                <w:rFonts w:ascii="Arial Narrow" w:eastAsia="Times New Roman" w:hAnsi="Arial Narrow" w:cs="Arial"/>
                <w:sz w:val="18"/>
                <w:szCs w:val="18"/>
                <w:lang w:eastAsia="cs-CZ"/>
              </w:rPr>
              <w:t>, s.r.o. (143)</w:t>
            </w:r>
          </w:p>
          <w:p w14:paraId="75AAA93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STEDIC s.r.o. (25)</w:t>
            </w:r>
          </w:p>
          <w:p w14:paraId="2F2A60A6" w14:textId="77777777" w:rsidR="00D6793F" w:rsidRPr="00CE357F" w:rsidRDefault="00D6793F" w:rsidP="0056626A">
            <w:pPr>
              <w:suppressAutoHyphens/>
              <w:autoSpaceDN w:val="0"/>
              <w:textAlignment w:val="baseline"/>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Karlova pekárna s.r.o. (11)</w:t>
            </w:r>
          </w:p>
        </w:tc>
        <w:tc>
          <w:tcPr>
            <w:tcW w:w="1559" w:type="dxa"/>
            <w:vAlign w:val="center"/>
          </w:tcPr>
          <w:p w14:paraId="07CA86AB" w14:textId="77777777" w:rsidR="00D6793F" w:rsidRPr="00CE357F" w:rsidRDefault="00D6793F" w:rsidP="005662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179</w:t>
            </w:r>
          </w:p>
        </w:tc>
        <w:tc>
          <w:tcPr>
            <w:tcW w:w="1984" w:type="dxa"/>
            <w:vAlign w:val="center"/>
          </w:tcPr>
          <w:p w14:paraId="7F9CF0BC" w14:textId="77777777" w:rsidR="00D6793F" w:rsidRPr="00CE357F" w:rsidRDefault="00D6793F" w:rsidP="0056626A">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82,1 %</w:t>
            </w:r>
          </w:p>
        </w:tc>
      </w:tr>
    </w:tbl>
    <w:p w14:paraId="6793BB2A" w14:textId="487A95B8" w:rsidR="002F056D" w:rsidRPr="00CE357F" w:rsidRDefault="002F056D" w:rsidP="002F056D">
      <w:pPr>
        <w:spacing w:line="276" w:lineRule="auto"/>
        <w:jc w:val="both"/>
        <w:rPr>
          <w:rFonts w:ascii="Arial Narrow" w:hAnsi="Arial Narrow" w:cs="Arial"/>
          <w:sz w:val="20"/>
        </w:rPr>
      </w:pPr>
      <w:r w:rsidRPr="00CE357F">
        <w:rPr>
          <w:rFonts w:ascii="Arial Narrow" w:hAnsi="Arial Narrow" w:cs="Arial"/>
          <w:sz w:val="20"/>
        </w:rPr>
        <w:t xml:space="preserve">Zdroj: </w:t>
      </w:r>
      <w:r w:rsidR="000F0F65" w:rsidRPr="00CE357F">
        <w:rPr>
          <w:rFonts w:ascii="Arial Narrow" w:hAnsi="Arial Narrow" w:cs="Arial"/>
          <w:sz w:val="20"/>
        </w:rPr>
        <w:t>J</w:t>
      </w:r>
      <w:r w:rsidR="008A1F9F">
        <w:rPr>
          <w:rFonts w:ascii="Arial Narrow" w:hAnsi="Arial Narrow" w:cs="Arial"/>
          <w:sz w:val="20"/>
        </w:rPr>
        <w:t>ihomoravský kraj</w:t>
      </w:r>
      <w:r w:rsidR="000F0F65" w:rsidRPr="00CE357F">
        <w:rPr>
          <w:rFonts w:ascii="Arial Narrow" w:hAnsi="Arial Narrow" w:cs="Arial"/>
          <w:sz w:val="20"/>
        </w:rPr>
        <w:tab/>
      </w:r>
      <w:r w:rsidR="000F0F65"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w:t>
      </w:r>
      <w:r w:rsidR="000F0F65" w:rsidRPr="00CE357F">
        <w:rPr>
          <w:rFonts w:ascii="Arial Narrow" w:hAnsi="Arial Narrow" w:cs="Arial"/>
          <w:sz w:val="20"/>
        </w:rPr>
        <w:t>Tabulka</w:t>
      </w:r>
      <w:r w:rsidRPr="00CE357F">
        <w:rPr>
          <w:rFonts w:ascii="Arial Narrow" w:hAnsi="Arial Narrow" w:cs="Arial"/>
          <w:sz w:val="20"/>
        </w:rPr>
        <w:t xml:space="preserve">: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6CA57BE6" w14:textId="77777777" w:rsidR="0063578A" w:rsidRDefault="0063578A" w:rsidP="00D6793F">
      <w:pPr>
        <w:rPr>
          <w:rFonts w:ascii="Arial Narrow" w:hAnsi="Arial Narrow"/>
          <w:b/>
          <w:color w:val="C00000"/>
          <w:sz w:val="24"/>
          <w:highlight w:val="yellow"/>
        </w:rPr>
      </w:pPr>
    </w:p>
    <w:p w14:paraId="2728A1D6" w14:textId="77777777" w:rsidR="003716D4" w:rsidRDefault="003716D4" w:rsidP="00D6793F">
      <w:pPr>
        <w:rPr>
          <w:rFonts w:ascii="Arial Narrow" w:hAnsi="Arial Narrow"/>
          <w:b/>
          <w:color w:val="C00000"/>
          <w:sz w:val="24"/>
        </w:rPr>
      </w:pPr>
    </w:p>
    <w:p w14:paraId="12982975" w14:textId="77777777" w:rsidR="00510C3D" w:rsidRDefault="00510C3D" w:rsidP="00D6793F">
      <w:pPr>
        <w:rPr>
          <w:rFonts w:ascii="Arial Narrow" w:hAnsi="Arial Narrow"/>
          <w:b/>
          <w:color w:val="C00000"/>
          <w:sz w:val="24"/>
        </w:rPr>
      </w:pPr>
    </w:p>
    <w:p w14:paraId="79B5A519" w14:textId="4CC7C6F6" w:rsidR="00047E0F" w:rsidRPr="0063578A" w:rsidRDefault="00047E0F" w:rsidP="00D6793F">
      <w:pPr>
        <w:rPr>
          <w:rFonts w:ascii="Arial Narrow" w:hAnsi="Arial Narrow"/>
          <w:b/>
          <w:color w:val="C00000"/>
          <w:sz w:val="24"/>
        </w:rPr>
      </w:pPr>
      <w:r w:rsidRPr="0063578A">
        <w:rPr>
          <w:rFonts w:ascii="Arial Narrow" w:hAnsi="Arial Narrow"/>
          <w:b/>
          <w:color w:val="C00000"/>
          <w:sz w:val="24"/>
        </w:rPr>
        <w:lastRenderedPageBreak/>
        <w:t>Agenturní zaměstnávání</w:t>
      </w:r>
    </w:p>
    <w:p w14:paraId="793F188E" w14:textId="049DF2C1" w:rsidR="00047E0F" w:rsidRPr="0063578A" w:rsidRDefault="00047E0F" w:rsidP="00D6793F">
      <w:pPr>
        <w:rPr>
          <w:rFonts w:ascii="Arial Narrow" w:hAnsi="Arial Narrow"/>
          <w:b/>
          <w:color w:val="C00000"/>
          <w:sz w:val="24"/>
        </w:rPr>
      </w:pPr>
    </w:p>
    <w:p w14:paraId="50A130A7" w14:textId="77777777" w:rsidR="008D6F5D" w:rsidRPr="0063578A" w:rsidRDefault="00992445" w:rsidP="00992445">
      <w:pPr>
        <w:spacing w:line="276" w:lineRule="auto"/>
        <w:jc w:val="both"/>
        <w:rPr>
          <w:rFonts w:ascii="Arial Narrow" w:hAnsi="Arial Narrow"/>
        </w:rPr>
      </w:pPr>
      <w:r w:rsidRPr="0063578A">
        <w:rPr>
          <w:rFonts w:ascii="Arial Narrow" w:hAnsi="Arial Narrow"/>
        </w:rPr>
        <w:t xml:space="preserve">Zabýváme-li se zaměstnáváním osob s jinou než českou státní příslušností na území České republiky, je důležité zmínit také agentury práce, které pro osoby s jinou než českou státní příslušností představují </w:t>
      </w:r>
      <w:r w:rsidR="00D05948" w:rsidRPr="0063578A">
        <w:rPr>
          <w:rFonts w:ascii="Arial Narrow" w:hAnsi="Arial Narrow"/>
        </w:rPr>
        <w:t xml:space="preserve">častého </w:t>
      </w:r>
      <w:r w:rsidRPr="0063578A">
        <w:rPr>
          <w:rFonts w:ascii="Arial Narrow" w:hAnsi="Arial Narrow"/>
        </w:rPr>
        <w:t xml:space="preserve">zprostředkovatele zaměstnání. </w:t>
      </w:r>
    </w:p>
    <w:p w14:paraId="21BB4C13" w14:textId="77777777" w:rsidR="001E5CBA" w:rsidRPr="0063578A" w:rsidRDefault="00047E0F" w:rsidP="00992445">
      <w:pPr>
        <w:spacing w:before="240" w:line="276" w:lineRule="auto"/>
        <w:jc w:val="both"/>
        <w:rPr>
          <w:rFonts w:ascii="Arial Narrow" w:hAnsi="Arial Narrow"/>
        </w:rPr>
      </w:pPr>
      <w:r w:rsidRPr="0063578A">
        <w:rPr>
          <w:rFonts w:ascii="Arial Narrow" w:hAnsi="Arial Narrow"/>
        </w:rPr>
        <w:t>Vnitrostátní právní úprava agenturního zaměstnávání vychází z Úmluvy M</w:t>
      </w:r>
      <w:r w:rsidR="00992445" w:rsidRPr="0063578A">
        <w:rPr>
          <w:rFonts w:ascii="Arial Narrow" w:hAnsi="Arial Narrow"/>
        </w:rPr>
        <w:t>ezinárodní organizace práce</w:t>
      </w:r>
      <w:r w:rsidRPr="0063578A">
        <w:rPr>
          <w:rFonts w:ascii="Arial Narrow" w:hAnsi="Arial Narrow"/>
        </w:rPr>
        <w:t xml:space="preserve"> č. 181 o soukromých agenturách prác</w:t>
      </w:r>
      <w:r w:rsidR="00D05948" w:rsidRPr="0063578A">
        <w:rPr>
          <w:rFonts w:ascii="Arial Narrow" w:hAnsi="Arial Narrow"/>
        </w:rPr>
        <w:t>e</w:t>
      </w:r>
      <w:r w:rsidR="00D05948" w:rsidRPr="0063578A">
        <w:rPr>
          <w:rStyle w:val="Znakapoznpodarou"/>
          <w:rFonts w:ascii="Arial Narrow" w:hAnsi="Arial Narrow"/>
        </w:rPr>
        <w:footnoteReference w:id="60"/>
      </w:r>
      <w:r w:rsidRPr="0063578A">
        <w:rPr>
          <w:rFonts w:ascii="Arial Narrow" w:hAnsi="Arial Narrow"/>
        </w:rPr>
        <w:t xml:space="preserve"> a ze směrnice </w:t>
      </w:r>
      <w:r w:rsidR="00046178" w:rsidRPr="0063578A">
        <w:rPr>
          <w:rFonts w:ascii="Arial Narrow" w:hAnsi="Arial Narrow"/>
        </w:rPr>
        <w:t xml:space="preserve">Evropského parlamentu a Rady Evropské unie </w:t>
      </w:r>
      <w:r w:rsidRPr="0063578A">
        <w:rPr>
          <w:rFonts w:ascii="Arial Narrow" w:hAnsi="Arial Narrow"/>
        </w:rPr>
        <w:t>č. 2008/104</w:t>
      </w:r>
      <w:r w:rsidR="00046178" w:rsidRPr="0063578A">
        <w:rPr>
          <w:rFonts w:ascii="Arial Narrow" w:hAnsi="Arial Narrow"/>
        </w:rPr>
        <w:t xml:space="preserve"> ze dne 19. listopadu 2009 o agenturním zaměstnávání</w:t>
      </w:r>
      <w:r w:rsidR="00046178" w:rsidRPr="0063578A">
        <w:rPr>
          <w:rStyle w:val="Znakapoznpodarou"/>
          <w:rFonts w:ascii="Arial Narrow" w:hAnsi="Arial Narrow"/>
        </w:rPr>
        <w:footnoteReference w:id="61"/>
      </w:r>
      <w:r w:rsidRPr="0063578A">
        <w:rPr>
          <w:rFonts w:ascii="Arial Narrow" w:hAnsi="Arial Narrow"/>
        </w:rPr>
        <w:t xml:space="preserve">, jejímž účelem je </w:t>
      </w:r>
      <w:r w:rsidR="00046178" w:rsidRPr="0063578A">
        <w:rPr>
          <w:rFonts w:ascii="Arial Narrow" w:hAnsi="Arial Narrow"/>
        </w:rPr>
        <w:t>především zajištění</w:t>
      </w:r>
      <w:r w:rsidRPr="0063578A">
        <w:rPr>
          <w:rFonts w:ascii="Arial Narrow" w:hAnsi="Arial Narrow"/>
        </w:rPr>
        <w:t xml:space="preserve"> ochrany agenturních zaměstnanců a rovného zacházení se zaměstnanci agentur práce a vlastními zaměstnanci zaměstnavatele.</w:t>
      </w:r>
    </w:p>
    <w:p w14:paraId="34EF98CD" w14:textId="2CE9D5C9" w:rsidR="00992445" w:rsidRPr="0063578A" w:rsidRDefault="00992445" w:rsidP="00992445">
      <w:pPr>
        <w:spacing w:before="240" w:line="276" w:lineRule="auto"/>
        <w:jc w:val="both"/>
        <w:rPr>
          <w:rFonts w:ascii="Arial Narrow" w:hAnsi="Arial Narrow"/>
          <w:color w:val="FF0000"/>
        </w:rPr>
      </w:pPr>
      <w:r w:rsidRPr="0063578A">
        <w:rPr>
          <w:rFonts w:ascii="Arial Narrow" w:hAnsi="Arial Narrow"/>
        </w:rPr>
        <w:t xml:space="preserve">Agenturou práce je fyzická nebo právnická osoba, které MPSV udělilo povolení ke zprostředkování zaměstnání. </w:t>
      </w:r>
      <w:r w:rsidR="00BD70A9" w:rsidRPr="0063578A">
        <w:rPr>
          <w:rFonts w:ascii="Arial Narrow" w:hAnsi="Arial Narrow"/>
        </w:rPr>
        <w:t>Agenturní zaměstnávání je součástí pracovněprávních vztahů. Vychází z kombinace tří vzájemně provázaných právních vztahů. Mezi subjekty v těchto vztazích patří agentura práce v roli zaměstnavatele, fyzická osoba jako zaměstnanec a uživatel, u kterého zaměstnanec práci fakticky vykonává.</w:t>
      </w:r>
      <w:r w:rsidR="00BD70A9" w:rsidRPr="0063578A">
        <w:rPr>
          <w:rStyle w:val="Znakapoznpodarou"/>
          <w:rFonts w:ascii="Arial Narrow" w:hAnsi="Arial Narrow"/>
        </w:rPr>
        <w:footnoteReference w:id="62"/>
      </w:r>
      <w:r w:rsidR="00BD70A9" w:rsidRPr="0063578A">
        <w:rPr>
          <w:rFonts w:ascii="Arial Narrow" w:hAnsi="Arial Narrow"/>
        </w:rPr>
        <w:t xml:space="preserve"> </w:t>
      </w:r>
    </w:p>
    <w:p w14:paraId="2CDEE7C8" w14:textId="6CBE3232" w:rsidR="005F7A4F" w:rsidRPr="0063578A" w:rsidRDefault="00D37215" w:rsidP="00510C3D">
      <w:pPr>
        <w:spacing w:before="240" w:after="240" w:line="276" w:lineRule="auto"/>
        <w:jc w:val="both"/>
        <w:rPr>
          <w:rFonts w:ascii="Arial Narrow" w:hAnsi="Arial Narrow"/>
        </w:rPr>
      </w:pPr>
      <w:r w:rsidRPr="0063578A">
        <w:rPr>
          <w:rFonts w:ascii="Arial Narrow" w:hAnsi="Arial Narrow"/>
        </w:rPr>
        <w:t>V České republice bylo k 31. 12. 2020 evidováno celkem 2 218 agentur práce. Počet agentur zprostředkovávajících zaměstnání se</w:t>
      </w:r>
      <w:r w:rsidR="008314C2" w:rsidRPr="0063578A">
        <w:rPr>
          <w:rFonts w:ascii="Arial Narrow" w:hAnsi="Arial Narrow"/>
        </w:rPr>
        <w:t xml:space="preserve"> mezi lety 2019 a 2020</w:t>
      </w:r>
      <w:r w:rsidRPr="0063578A">
        <w:rPr>
          <w:rFonts w:ascii="Arial Narrow" w:hAnsi="Arial Narrow"/>
        </w:rPr>
        <w:t xml:space="preserve"> zvýšil </w:t>
      </w:r>
      <w:r w:rsidR="008314C2" w:rsidRPr="0063578A">
        <w:rPr>
          <w:rFonts w:ascii="Arial Narrow" w:hAnsi="Arial Narrow"/>
        </w:rPr>
        <w:t>o 45 agentur, a to i n</w:t>
      </w:r>
      <w:r w:rsidRPr="0063578A">
        <w:rPr>
          <w:rFonts w:ascii="Arial Narrow" w:hAnsi="Arial Narrow"/>
        </w:rPr>
        <w:t>avzdory probíhající pandemii nemoci COVID-19</w:t>
      </w:r>
      <w:r w:rsidR="008314C2" w:rsidRPr="0063578A">
        <w:rPr>
          <w:rFonts w:ascii="Arial Narrow" w:hAnsi="Arial Narrow"/>
        </w:rPr>
        <w:t>. Podíváme-li se ale blíže na strukturu dočasně přidělených zaměstnanců z hlediska jejich počtu a občanství, mezi lety 2019 a 2020 lze zaznamenat pokles počtu dočasně přidělených zaměstnanců agentur práce, a to z 273 561 v roce 2019 na 269 853 v roce 2020. Zatímco počet dočasně přidělených zaměstnanců-občanů ČR i občanů EU a EHP/Švýcarska se v roce 2020 zvýšil</w:t>
      </w:r>
      <w:r w:rsidR="007F6B56" w:rsidRPr="0063578A">
        <w:rPr>
          <w:rFonts w:ascii="Arial Narrow" w:hAnsi="Arial Narrow"/>
        </w:rPr>
        <w:t>, počet dočasně přidělených zaměstnanců-občanů třetích zemí se výrazně snížil, a to z 59 839 v roce 2019 na 46 212 v roce 2020.</w:t>
      </w:r>
      <w:r w:rsidR="001E5CBA" w:rsidRPr="0063578A">
        <w:rPr>
          <w:rFonts w:ascii="Arial Narrow" w:hAnsi="Arial Narrow"/>
        </w:rPr>
        <w:t xml:space="preserve"> </w:t>
      </w:r>
      <w:r w:rsidR="00600689" w:rsidRPr="0063578A">
        <w:rPr>
          <w:rFonts w:ascii="Arial Narrow" w:hAnsi="Arial Narrow"/>
        </w:rPr>
        <w:t xml:space="preserve">Vývoj počtu dočasně přidělených zaměstnanců agentur práce </w:t>
      </w:r>
      <w:r w:rsidR="005F7A4F" w:rsidRPr="0063578A">
        <w:rPr>
          <w:rFonts w:ascii="Arial Narrow" w:hAnsi="Arial Narrow"/>
        </w:rPr>
        <w:t xml:space="preserve">z hlediska počtu a kategorie země původu </w:t>
      </w:r>
      <w:r w:rsidR="00F66BC0" w:rsidRPr="0063578A">
        <w:rPr>
          <w:rFonts w:ascii="Arial Narrow" w:hAnsi="Arial Narrow"/>
        </w:rPr>
        <w:t xml:space="preserve">mezi lety 2012 a 2020 </w:t>
      </w:r>
      <w:r w:rsidR="005F7A4F" w:rsidRPr="0063578A">
        <w:rPr>
          <w:rFonts w:ascii="Arial Narrow" w:hAnsi="Arial Narrow"/>
        </w:rPr>
        <w:t>dokumentuje následující tabulka</w:t>
      </w:r>
      <w:r w:rsidR="00510C3D">
        <w:rPr>
          <w:rFonts w:ascii="Arial Narrow" w:hAnsi="Arial Narrow"/>
        </w:rPr>
        <w:t xml:space="preserve"> č. 21</w:t>
      </w:r>
      <w:r w:rsidR="005F7A4F" w:rsidRPr="0063578A">
        <w:rPr>
          <w:rFonts w:ascii="Arial Narrow" w:hAnsi="Arial Narrow"/>
        </w:rPr>
        <w:t>.</w:t>
      </w:r>
    </w:p>
    <w:p w14:paraId="30473B19" w14:textId="19E6903A" w:rsidR="005F7A4F" w:rsidRPr="0063578A" w:rsidRDefault="005F7A4F" w:rsidP="00F66BC0">
      <w:pPr>
        <w:spacing w:line="276" w:lineRule="auto"/>
        <w:jc w:val="both"/>
        <w:rPr>
          <w:rFonts w:ascii="Arial Narrow" w:hAnsi="Arial Narrow" w:cs="Arial"/>
          <w:b/>
          <w:sz w:val="24"/>
          <w:szCs w:val="24"/>
        </w:rPr>
      </w:pPr>
      <w:bookmarkStart w:id="541" w:name="_Toc136429232"/>
      <w:r w:rsidRPr="0063578A">
        <w:rPr>
          <w:rFonts w:ascii="Arial Narrow" w:hAnsi="Arial Narrow"/>
          <w:b/>
          <w:sz w:val="20"/>
          <w:szCs w:val="20"/>
        </w:rPr>
        <w:t xml:space="preserve">Tabulka </w:t>
      </w:r>
      <w:r w:rsidRPr="0063578A">
        <w:rPr>
          <w:rFonts w:ascii="Arial Narrow" w:hAnsi="Arial Narrow"/>
          <w:b/>
          <w:sz w:val="20"/>
          <w:szCs w:val="20"/>
        </w:rPr>
        <w:fldChar w:fldCharType="begin"/>
      </w:r>
      <w:r w:rsidRPr="0063578A">
        <w:rPr>
          <w:rFonts w:ascii="Arial Narrow" w:hAnsi="Arial Narrow"/>
          <w:b/>
          <w:sz w:val="20"/>
          <w:szCs w:val="20"/>
        </w:rPr>
        <w:instrText xml:space="preserve"> SEQ Tabulka \* ARABIC </w:instrText>
      </w:r>
      <w:r w:rsidRPr="0063578A">
        <w:rPr>
          <w:rFonts w:ascii="Arial Narrow" w:hAnsi="Arial Narrow"/>
          <w:b/>
          <w:sz w:val="20"/>
          <w:szCs w:val="20"/>
        </w:rPr>
        <w:fldChar w:fldCharType="separate"/>
      </w:r>
      <w:r w:rsidR="00256C97">
        <w:rPr>
          <w:rFonts w:ascii="Arial Narrow" w:hAnsi="Arial Narrow"/>
          <w:b/>
          <w:noProof/>
          <w:sz w:val="20"/>
          <w:szCs w:val="20"/>
        </w:rPr>
        <w:t>21</w:t>
      </w:r>
      <w:r w:rsidRPr="0063578A">
        <w:rPr>
          <w:rFonts w:ascii="Arial Narrow" w:hAnsi="Arial Narrow"/>
          <w:b/>
          <w:sz w:val="20"/>
          <w:szCs w:val="20"/>
        </w:rPr>
        <w:fldChar w:fldCharType="end"/>
      </w:r>
      <w:r w:rsidRPr="0063578A">
        <w:rPr>
          <w:rFonts w:ascii="Arial Narrow" w:hAnsi="Arial Narrow"/>
          <w:b/>
          <w:sz w:val="20"/>
          <w:szCs w:val="20"/>
        </w:rPr>
        <w:t xml:space="preserve">: </w:t>
      </w:r>
      <w:r w:rsidRPr="0063578A">
        <w:rPr>
          <w:rFonts w:ascii="Arial Narrow" w:hAnsi="Arial Narrow"/>
          <w:b/>
          <w:bCs/>
          <w:sz w:val="20"/>
          <w:szCs w:val="20"/>
        </w:rPr>
        <w:t xml:space="preserve"> </w:t>
      </w:r>
      <w:r w:rsidR="00DA44EB" w:rsidRPr="0063578A">
        <w:rPr>
          <w:rFonts w:ascii="Arial Narrow" w:hAnsi="Arial Narrow"/>
          <w:b/>
          <w:bCs/>
          <w:sz w:val="20"/>
          <w:szCs w:val="20"/>
        </w:rPr>
        <w:t>Dočasně přidělení zaměstnanci agentur práce z hlediska počtu a země původu v letech 20</w:t>
      </w:r>
      <w:r w:rsidR="00F66BC0" w:rsidRPr="0063578A">
        <w:rPr>
          <w:rFonts w:ascii="Arial Narrow" w:hAnsi="Arial Narrow"/>
          <w:b/>
          <w:bCs/>
          <w:sz w:val="20"/>
          <w:szCs w:val="20"/>
        </w:rPr>
        <w:t>12-2020</w:t>
      </w:r>
      <w:bookmarkEnd w:id="541"/>
    </w:p>
    <w:tbl>
      <w:tblPr>
        <w:tblW w:w="9063"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064"/>
        <w:gridCol w:w="1698"/>
        <w:gridCol w:w="1276"/>
        <w:gridCol w:w="1418"/>
        <w:gridCol w:w="1559"/>
        <w:gridCol w:w="2021"/>
        <w:gridCol w:w="18"/>
        <w:gridCol w:w="9"/>
      </w:tblGrid>
      <w:tr w:rsidR="005713A7" w:rsidRPr="0063578A" w14:paraId="520E6ADC" w14:textId="1932BDCB" w:rsidTr="00F66BC0">
        <w:trPr>
          <w:gridAfter w:val="1"/>
          <w:wAfter w:w="9" w:type="dxa"/>
          <w:trHeight w:val="216"/>
          <w:jc w:val="center"/>
        </w:trPr>
        <w:tc>
          <w:tcPr>
            <w:tcW w:w="1064" w:type="dxa"/>
            <w:vMerge w:val="restart"/>
            <w:shd w:val="clear" w:color="auto" w:fill="D9E2F3" w:themeFill="accent1" w:themeFillTint="33"/>
            <w:vAlign w:val="center"/>
          </w:tcPr>
          <w:p w14:paraId="37B2F903" w14:textId="77777777" w:rsidR="00DA44EB" w:rsidRPr="0063578A" w:rsidRDefault="00DA44EB" w:rsidP="00DA44EB">
            <w:pPr>
              <w:jc w:val="center"/>
              <w:rPr>
                <w:rFonts w:ascii="Arial Narrow" w:eastAsia="Times New Roman" w:hAnsi="Arial Narrow" w:cs="Arial"/>
                <w:b/>
                <w:bCs/>
                <w:sz w:val="18"/>
                <w:szCs w:val="18"/>
                <w:lang w:eastAsia="cs-CZ"/>
              </w:rPr>
            </w:pPr>
          </w:p>
        </w:tc>
        <w:tc>
          <w:tcPr>
            <w:tcW w:w="1698" w:type="dxa"/>
            <w:vMerge w:val="restart"/>
            <w:shd w:val="clear" w:color="auto" w:fill="D9E2F3" w:themeFill="accent1" w:themeFillTint="33"/>
            <w:vAlign w:val="center"/>
          </w:tcPr>
          <w:p w14:paraId="0A96B0EF" w14:textId="0B00465D" w:rsidR="00DA44EB" w:rsidRPr="0063578A" w:rsidRDefault="00DA44EB" w:rsidP="00DA44EB">
            <w:pPr>
              <w:jc w:val="center"/>
              <w:rPr>
                <w:rFonts w:ascii="Arial Narrow" w:hAnsi="Arial Narrow"/>
                <w:bCs/>
                <w:sz w:val="18"/>
                <w:szCs w:val="18"/>
              </w:rPr>
            </w:pPr>
            <w:r w:rsidRPr="0063578A">
              <w:rPr>
                <w:rFonts w:ascii="Arial Narrow" w:hAnsi="Arial Narrow"/>
                <w:bCs/>
                <w:sz w:val="18"/>
                <w:szCs w:val="18"/>
              </w:rPr>
              <w:t>Počet přidělených zaměstnanců celkem</w:t>
            </w:r>
          </w:p>
        </w:tc>
        <w:tc>
          <w:tcPr>
            <w:tcW w:w="6292" w:type="dxa"/>
            <w:gridSpan w:val="5"/>
            <w:shd w:val="clear" w:color="auto" w:fill="D9E2F3" w:themeFill="accent1" w:themeFillTint="33"/>
            <w:vAlign w:val="center"/>
          </w:tcPr>
          <w:p w14:paraId="4AA7CCDE" w14:textId="37546575" w:rsidR="00DA44EB" w:rsidRPr="0063578A" w:rsidRDefault="00DA44EB" w:rsidP="00DA44EB">
            <w:pPr>
              <w:jc w:val="center"/>
              <w:rPr>
                <w:rFonts w:ascii="Arial Narrow" w:hAnsi="Arial Narrow"/>
                <w:bCs/>
                <w:sz w:val="18"/>
                <w:szCs w:val="18"/>
              </w:rPr>
            </w:pPr>
            <w:r w:rsidRPr="0063578A">
              <w:rPr>
                <w:rFonts w:ascii="Arial Narrow" w:hAnsi="Arial Narrow"/>
                <w:bCs/>
                <w:sz w:val="18"/>
                <w:szCs w:val="18"/>
              </w:rPr>
              <w:t>Z toho:</w:t>
            </w:r>
          </w:p>
        </w:tc>
      </w:tr>
      <w:tr w:rsidR="005713A7" w:rsidRPr="0063578A" w14:paraId="0C907511" w14:textId="226B3C5D" w:rsidTr="00F66BC0">
        <w:trPr>
          <w:trHeight w:val="216"/>
          <w:jc w:val="center"/>
        </w:trPr>
        <w:tc>
          <w:tcPr>
            <w:tcW w:w="1064" w:type="dxa"/>
            <w:vMerge/>
            <w:shd w:val="clear" w:color="auto" w:fill="D9E2F3" w:themeFill="accent1" w:themeFillTint="33"/>
            <w:vAlign w:val="center"/>
          </w:tcPr>
          <w:p w14:paraId="0E264FF1" w14:textId="77777777" w:rsidR="00DA44EB" w:rsidRPr="0063578A" w:rsidRDefault="00DA44EB" w:rsidP="00DA44EB">
            <w:pPr>
              <w:jc w:val="center"/>
              <w:rPr>
                <w:rFonts w:ascii="Arial Narrow" w:eastAsia="Times New Roman" w:hAnsi="Arial Narrow" w:cs="Arial"/>
                <w:b/>
                <w:bCs/>
                <w:sz w:val="18"/>
                <w:szCs w:val="18"/>
                <w:lang w:eastAsia="cs-CZ"/>
              </w:rPr>
            </w:pPr>
          </w:p>
        </w:tc>
        <w:tc>
          <w:tcPr>
            <w:tcW w:w="1698" w:type="dxa"/>
            <w:vMerge/>
            <w:shd w:val="clear" w:color="auto" w:fill="D9E2F3" w:themeFill="accent1" w:themeFillTint="33"/>
            <w:vAlign w:val="center"/>
          </w:tcPr>
          <w:p w14:paraId="1B64FED2" w14:textId="77777777" w:rsidR="00DA44EB" w:rsidRPr="0063578A" w:rsidRDefault="00DA44EB" w:rsidP="00DA44EB">
            <w:pPr>
              <w:jc w:val="center"/>
              <w:rPr>
                <w:rFonts w:ascii="Arial Narrow" w:eastAsia="Times New Roman" w:hAnsi="Arial Narrow" w:cs="Arial"/>
                <w:bCs/>
                <w:sz w:val="18"/>
                <w:szCs w:val="18"/>
                <w:lang w:eastAsia="cs-CZ"/>
              </w:rPr>
            </w:pPr>
          </w:p>
        </w:tc>
        <w:tc>
          <w:tcPr>
            <w:tcW w:w="1276" w:type="dxa"/>
            <w:shd w:val="clear" w:color="auto" w:fill="D9E2F3" w:themeFill="accent1" w:themeFillTint="33"/>
            <w:vAlign w:val="center"/>
          </w:tcPr>
          <w:p w14:paraId="45E19227" w14:textId="448698C9" w:rsidR="00DA44EB" w:rsidRPr="0063578A" w:rsidRDefault="00DA44EB" w:rsidP="00DA44EB">
            <w:pPr>
              <w:jc w:val="center"/>
              <w:rPr>
                <w:rFonts w:ascii="Arial Narrow" w:eastAsia="Times New Roman" w:hAnsi="Arial Narrow" w:cs="Arial"/>
                <w:bCs/>
                <w:sz w:val="18"/>
                <w:szCs w:val="18"/>
                <w:lang w:eastAsia="cs-CZ"/>
              </w:rPr>
            </w:pPr>
            <w:r w:rsidRPr="0063578A">
              <w:rPr>
                <w:rFonts w:ascii="Arial Narrow" w:eastAsia="Times New Roman" w:hAnsi="Arial Narrow" w:cs="Arial"/>
                <w:bCs/>
                <w:sz w:val="18"/>
                <w:szCs w:val="18"/>
                <w:lang w:eastAsia="cs-CZ"/>
              </w:rPr>
              <w:t>Občanů ČR</w:t>
            </w:r>
          </w:p>
        </w:tc>
        <w:tc>
          <w:tcPr>
            <w:tcW w:w="1418" w:type="dxa"/>
            <w:shd w:val="clear" w:color="auto" w:fill="D9E2F3" w:themeFill="accent1" w:themeFillTint="33"/>
            <w:vAlign w:val="center"/>
          </w:tcPr>
          <w:p w14:paraId="6E764C9A" w14:textId="2CC6F2E3" w:rsidR="00DA44EB" w:rsidRPr="0063578A" w:rsidRDefault="00DA44EB" w:rsidP="00DA44EB">
            <w:pPr>
              <w:jc w:val="center"/>
              <w:rPr>
                <w:rFonts w:ascii="Arial Narrow" w:eastAsia="Times New Roman" w:hAnsi="Arial Narrow" w:cs="Arial"/>
                <w:bCs/>
                <w:sz w:val="18"/>
                <w:szCs w:val="18"/>
                <w:lang w:eastAsia="cs-CZ"/>
              </w:rPr>
            </w:pPr>
            <w:r w:rsidRPr="0063578A">
              <w:rPr>
                <w:rFonts w:ascii="Arial Narrow" w:eastAsia="Times New Roman" w:hAnsi="Arial Narrow" w:cs="Arial"/>
                <w:bCs/>
                <w:sz w:val="18"/>
                <w:szCs w:val="18"/>
                <w:lang w:eastAsia="cs-CZ"/>
              </w:rPr>
              <w:t>Občanů EU</w:t>
            </w:r>
          </w:p>
        </w:tc>
        <w:tc>
          <w:tcPr>
            <w:tcW w:w="1559" w:type="dxa"/>
            <w:shd w:val="clear" w:color="auto" w:fill="D9E2F3" w:themeFill="accent1" w:themeFillTint="33"/>
            <w:vAlign w:val="center"/>
          </w:tcPr>
          <w:p w14:paraId="092E049B" w14:textId="143C8202" w:rsidR="00DA44EB" w:rsidRPr="0063578A" w:rsidRDefault="00DA44EB" w:rsidP="00DA44EB">
            <w:pPr>
              <w:jc w:val="center"/>
              <w:rPr>
                <w:rFonts w:ascii="Arial Narrow" w:eastAsia="Times New Roman" w:hAnsi="Arial Narrow" w:cs="Arial"/>
                <w:bCs/>
                <w:sz w:val="18"/>
                <w:szCs w:val="18"/>
                <w:lang w:eastAsia="cs-CZ"/>
              </w:rPr>
            </w:pPr>
            <w:r w:rsidRPr="0063578A">
              <w:rPr>
                <w:rFonts w:ascii="Arial Narrow" w:eastAsia="Times New Roman" w:hAnsi="Arial Narrow" w:cs="Arial"/>
                <w:bCs/>
                <w:sz w:val="18"/>
                <w:szCs w:val="18"/>
                <w:lang w:eastAsia="cs-CZ"/>
              </w:rPr>
              <w:t>EHP/Švýcarska</w:t>
            </w:r>
          </w:p>
        </w:tc>
        <w:tc>
          <w:tcPr>
            <w:tcW w:w="2048" w:type="dxa"/>
            <w:gridSpan w:val="3"/>
            <w:shd w:val="clear" w:color="auto" w:fill="D9E2F3" w:themeFill="accent1" w:themeFillTint="33"/>
            <w:vAlign w:val="center"/>
          </w:tcPr>
          <w:p w14:paraId="06F77BDA" w14:textId="78370ED2" w:rsidR="00DA44EB" w:rsidRPr="0063578A" w:rsidRDefault="00DA44EB" w:rsidP="00DA44EB">
            <w:pPr>
              <w:jc w:val="center"/>
              <w:rPr>
                <w:rFonts w:ascii="Arial Narrow" w:eastAsia="Times New Roman" w:hAnsi="Arial Narrow" w:cs="Arial"/>
                <w:bCs/>
                <w:sz w:val="18"/>
                <w:szCs w:val="18"/>
                <w:lang w:eastAsia="cs-CZ"/>
              </w:rPr>
            </w:pPr>
            <w:r w:rsidRPr="0063578A">
              <w:rPr>
                <w:rFonts w:ascii="Arial Narrow" w:eastAsia="Times New Roman" w:hAnsi="Arial Narrow" w:cs="Arial"/>
                <w:bCs/>
                <w:sz w:val="18"/>
                <w:szCs w:val="18"/>
                <w:lang w:eastAsia="cs-CZ"/>
              </w:rPr>
              <w:t>Občanů třetích zemí</w:t>
            </w:r>
          </w:p>
        </w:tc>
      </w:tr>
      <w:tr w:rsidR="005713A7" w:rsidRPr="0063578A" w14:paraId="3CAF1259" w14:textId="5F571949" w:rsidTr="0063578A">
        <w:trPr>
          <w:gridAfter w:val="2"/>
          <w:wAfter w:w="27" w:type="dxa"/>
          <w:trHeight w:val="312"/>
          <w:jc w:val="center"/>
        </w:trPr>
        <w:tc>
          <w:tcPr>
            <w:tcW w:w="1064" w:type="dxa"/>
            <w:shd w:val="clear" w:color="auto" w:fill="D9E2F3" w:themeFill="accent1" w:themeFillTint="33"/>
            <w:vAlign w:val="center"/>
          </w:tcPr>
          <w:p w14:paraId="1CE7B830" w14:textId="226B7851" w:rsidR="00DA44EB" w:rsidRPr="0063578A" w:rsidRDefault="00DA44EB"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2020</w:t>
            </w:r>
          </w:p>
        </w:tc>
        <w:tc>
          <w:tcPr>
            <w:tcW w:w="1698" w:type="dxa"/>
            <w:vAlign w:val="center"/>
          </w:tcPr>
          <w:p w14:paraId="570A2EB7" w14:textId="443DB539"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269 853</w:t>
            </w:r>
          </w:p>
        </w:tc>
        <w:tc>
          <w:tcPr>
            <w:tcW w:w="1276" w:type="dxa"/>
            <w:vAlign w:val="center"/>
          </w:tcPr>
          <w:p w14:paraId="0D62C7C5" w14:textId="43E1348F" w:rsidR="00DA44EB"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133 788</w:t>
            </w:r>
          </w:p>
        </w:tc>
        <w:tc>
          <w:tcPr>
            <w:tcW w:w="1418" w:type="dxa"/>
            <w:vAlign w:val="center"/>
          </w:tcPr>
          <w:p w14:paraId="15B663E7" w14:textId="6618C0C7" w:rsidR="00DA44EB"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88</w:t>
            </w:r>
            <w:r w:rsidR="005543DF" w:rsidRPr="0063578A">
              <w:rPr>
                <w:rFonts w:ascii="Arial Narrow" w:eastAsia="Times New Roman" w:hAnsi="Arial Narrow" w:cs="Arial"/>
                <w:sz w:val="18"/>
                <w:szCs w:val="18"/>
                <w:lang w:eastAsia="cs-CZ"/>
              </w:rPr>
              <w:t xml:space="preserve"> 010</w:t>
            </w:r>
          </w:p>
        </w:tc>
        <w:tc>
          <w:tcPr>
            <w:tcW w:w="1559" w:type="dxa"/>
            <w:vAlign w:val="center"/>
          </w:tcPr>
          <w:p w14:paraId="78135B53" w14:textId="7063FE12"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1 843</w:t>
            </w:r>
          </w:p>
        </w:tc>
        <w:tc>
          <w:tcPr>
            <w:tcW w:w="2021" w:type="dxa"/>
            <w:vAlign w:val="center"/>
          </w:tcPr>
          <w:p w14:paraId="2B71DD1D" w14:textId="50F0EF4F"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46 212</w:t>
            </w:r>
          </w:p>
        </w:tc>
      </w:tr>
      <w:tr w:rsidR="005713A7" w:rsidRPr="0063578A" w14:paraId="5AF528DA" w14:textId="4A3C61F9" w:rsidTr="0063578A">
        <w:trPr>
          <w:gridAfter w:val="2"/>
          <w:wAfter w:w="27" w:type="dxa"/>
          <w:trHeight w:val="312"/>
          <w:jc w:val="center"/>
        </w:trPr>
        <w:tc>
          <w:tcPr>
            <w:tcW w:w="1064" w:type="dxa"/>
            <w:shd w:val="clear" w:color="auto" w:fill="D9E2F3" w:themeFill="accent1" w:themeFillTint="33"/>
            <w:vAlign w:val="center"/>
            <w:hideMark/>
          </w:tcPr>
          <w:p w14:paraId="235FC171" w14:textId="3267FF63"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sz w:val="18"/>
                <w:szCs w:val="18"/>
                <w:lang w:eastAsia="cs-CZ"/>
              </w:rPr>
              <w:t>2019</w:t>
            </w:r>
          </w:p>
        </w:tc>
        <w:tc>
          <w:tcPr>
            <w:tcW w:w="1698" w:type="dxa"/>
            <w:vAlign w:val="center"/>
          </w:tcPr>
          <w:p w14:paraId="660B4F7C" w14:textId="7673A03A"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273 561</w:t>
            </w:r>
          </w:p>
        </w:tc>
        <w:tc>
          <w:tcPr>
            <w:tcW w:w="1276" w:type="dxa"/>
            <w:vAlign w:val="center"/>
          </w:tcPr>
          <w:p w14:paraId="26BBE704" w14:textId="77580E50" w:rsidR="00DA44EB"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127 663</w:t>
            </w:r>
          </w:p>
        </w:tc>
        <w:tc>
          <w:tcPr>
            <w:tcW w:w="1418" w:type="dxa"/>
            <w:vAlign w:val="center"/>
          </w:tcPr>
          <w:p w14:paraId="153D9298" w14:textId="0FCBDE6E"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84 753</w:t>
            </w:r>
          </w:p>
        </w:tc>
        <w:tc>
          <w:tcPr>
            <w:tcW w:w="1559" w:type="dxa"/>
            <w:vAlign w:val="center"/>
          </w:tcPr>
          <w:p w14:paraId="2ED2A965" w14:textId="150E0222"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1 306</w:t>
            </w:r>
          </w:p>
        </w:tc>
        <w:tc>
          <w:tcPr>
            <w:tcW w:w="2021" w:type="dxa"/>
            <w:vAlign w:val="center"/>
          </w:tcPr>
          <w:p w14:paraId="09876F64" w14:textId="3609F030"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59 839</w:t>
            </w:r>
          </w:p>
        </w:tc>
      </w:tr>
      <w:tr w:rsidR="005713A7" w:rsidRPr="0063578A" w14:paraId="30DCF2B8" w14:textId="2BC91251" w:rsidTr="0063578A">
        <w:trPr>
          <w:gridAfter w:val="2"/>
          <w:wAfter w:w="27" w:type="dxa"/>
          <w:trHeight w:val="312"/>
          <w:jc w:val="center"/>
        </w:trPr>
        <w:tc>
          <w:tcPr>
            <w:tcW w:w="1064" w:type="dxa"/>
            <w:shd w:val="clear" w:color="auto" w:fill="D9E2F3" w:themeFill="accent1" w:themeFillTint="33"/>
            <w:vAlign w:val="center"/>
            <w:hideMark/>
          </w:tcPr>
          <w:p w14:paraId="0A2D271D" w14:textId="0EC7EF41"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sz w:val="18"/>
                <w:szCs w:val="18"/>
                <w:lang w:eastAsia="cs-CZ"/>
              </w:rPr>
              <w:t>2018</w:t>
            </w:r>
          </w:p>
        </w:tc>
        <w:tc>
          <w:tcPr>
            <w:tcW w:w="1698" w:type="dxa"/>
            <w:vAlign w:val="center"/>
          </w:tcPr>
          <w:p w14:paraId="4F84B33C" w14:textId="6BA36B6A"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333 607</w:t>
            </w:r>
          </w:p>
        </w:tc>
        <w:tc>
          <w:tcPr>
            <w:tcW w:w="1276" w:type="dxa"/>
            <w:vAlign w:val="center"/>
          </w:tcPr>
          <w:p w14:paraId="6512AF1D" w14:textId="35AAE021" w:rsidR="00DA44EB"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167 297</w:t>
            </w:r>
          </w:p>
        </w:tc>
        <w:tc>
          <w:tcPr>
            <w:tcW w:w="1418" w:type="dxa"/>
            <w:vAlign w:val="center"/>
          </w:tcPr>
          <w:p w14:paraId="4CF4BF11" w14:textId="0F0B2E00"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102 317</w:t>
            </w:r>
          </w:p>
        </w:tc>
        <w:tc>
          <w:tcPr>
            <w:tcW w:w="1559" w:type="dxa"/>
            <w:vAlign w:val="center"/>
          </w:tcPr>
          <w:p w14:paraId="7B9A9EB0" w14:textId="5ED737C6"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1 322</w:t>
            </w:r>
          </w:p>
        </w:tc>
        <w:tc>
          <w:tcPr>
            <w:tcW w:w="2021" w:type="dxa"/>
            <w:vAlign w:val="center"/>
          </w:tcPr>
          <w:p w14:paraId="5BD06FBC" w14:textId="49CA3FFD"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62 671</w:t>
            </w:r>
          </w:p>
        </w:tc>
      </w:tr>
      <w:tr w:rsidR="005713A7" w:rsidRPr="0063578A" w14:paraId="2A989030" w14:textId="665B75FB" w:rsidTr="0063578A">
        <w:trPr>
          <w:gridAfter w:val="2"/>
          <w:wAfter w:w="27" w:type="dxa"/>
          <w:trHeight w:val="312"/>
          <w:jc w:val="center"/>
        </w:trPr>
        <w:tc>
          <w:tcPr>
            <w:tcW w:w="1064" w:type="dxa"/>
            <w:shd w:val="clear" w:color="auto" w:fill="D9E2F3" w:themeFill="accent1" w:themeFillTint="33"/>
            <w:vAlign w:val="center"/>
            <w:hideMark/>
          </w:tcPr>
          <w:p w14:paraId="2758423B" w14:textId="5E9FBBF5"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sz w:val="18"/>
                <w:szCs w:val="18"/>
                <w:lang w:eastAsia="cs-CZ"/>
              </w:rPr>
              <w:t>2017</w:t>
            </w:r>
          </w:p>
        </w:tc>
        <w:tc>
          <w:tcPr>
            <w:tcW w:w="1698" w:type="dxa"/>
            <w:vAlign w:val="center"/>
          </w:tcPr>
          <w:p w14:paraId="7AB91CF3" w14:textId="5806D164"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358 659</w:t>
            </w:r>
          </w:p>
        </w:tc>
        <w:tc>
          <w:tcPr>
            <w:tcW w:w="1276" w:type="dxa"/>
            <w:vAlign w:val="center"/>
          </w:tcPr>
          <w:p w14:paraId="3787AFD2" w14:textId="43346B21" w:rsidR="00DA44EB"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212 585</w:t>
            </w:r>
          </w:p>
        </w:tc>
        <w:tc>
          <w:tcPr>
            <w:tcW w:w="1418" w:type="dxa"/>
            <w:vAlign w:val="center"/>
          </w:tcPr>
          <w:p w14:paraId="56DF7129" w14:textId="5ABCE87E"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109 805</w:t>
            </w:r>
          </w:p>
        </w:tc>
        <w:tc>
          <w:tcPr>
            <w:tcW w:w="1559" w:type="dxa"/>
            <w:vAlign w:val="center"/>
          </w:tcPr>
          <w:p w14:paraId="6666FC57" w14:textId="31872B2D"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589</w:t>
            </w:r>
          </w:p>
        </w:tc>
        <w:tc>
          <w:tcPr>
            <w:tcW w:w="2021" w:type="dxa"/>
            <w:vAlign w:val="center"/>
          </w:tcPr>
          <w:p w14:paraId="5DCA1398" w14:textId="567FDA55"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35 680</w:t>
            </w:r>
          </w:p>
        </w:tc>
      </w:tr>
      <w:tr w:rsidR="005713A7" w:rsidRPr="0063578A" w14:paraId="3D44A36A" w14:textId="2C5EA043" w:rsidTr="0063578A">
        <w:trPr>
          <w:gridAfter w:val="2"/>
          <w:wAfter w:w="27" w:type="dxa"/>
          <w:trHeight w:val="312"/>
          <w:jc w:val="center"/>
        </w:trPr>
        <w:tc>
          <w:tcPr>
            <w:tcW w:w="1064" w:type="dxa"/>
            <w:shd w:val="clear" w:color="auto" w:fill="D9E2F3" w:themeFill="accent1" w:themeFillTint="33"/>
            <w:vAlign w:val="center"/>
            <w:hideMark/>
          </w:tcPr>
          <w:p w14:paraId="39E0494B" w14:textId="15CACA59"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sz w:val="18"/>
                <w:szCs w:val="18"/>
                <w:lang w:eastAsia="cs-CZ"/>
              </w:rPr>
              <w:t>2016</w:t>
            </w:r>
          </w:p>
        </w:tc>
        <w:tc>
          <w:tcPr>
            <w:tcW w:w="1698" w:type="dxa"/>
            <w:vAlign w:val="center"/>
          </w:tcPr>
          <w:p w14:paraId="47FC8344" w14:textId="41F8A7E2"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350 624</w:t>
            </w:r>
          </w:p>
        </w:tc>
        <w:tc>
          <w:tcPr>
            <w:tcW w:w="1276" w:type="dxa"/>
            <w:vAlign w:val="center"/>
          </w:tcPr>
          <w:p w14:paraId="64BCB88A" w14:textId="3DA0D386" w:rsidR="00DA44EB"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237 152</w:t>
            </w:r>
          </w:p>
        </w:tc>
        <w:tc>
          <w:tcPr>
            <w:tcW w:w="1418" w:type="dxa"/>
            <w:vAlign w:val="center"/>
          </w:tcPr>
          <w:p w14:paraId="3CBFC70F" w14:textId="5EB8CB29"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90 528</w:t>
            </w:r>
          </w:p>
        </w:tc>
        <w:tc>
          <w:tcPr>
            <w:tcW w:w="1559" w:type="dxa"/>
            <w:vAlign w:val="center"/>
          </w:tcPr>
          <w:p w14:paraId="43EA775B" w14:textId="37330FD9"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361</w:t>
            </w:r>
          </w:p>
        </w:tc>
        <w:tc>
          <w:tcPr>
            <w:tcW w:w="2021" w:type="dxa"/>
            <w:vAlign w:val="center"/>
          </w:tcPr>
          <w:p w14:paraId="4536EF59" w14:textId="72164016"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22 583</w:t>
            </w:r>
          </w:p>
        </w:tc>
      </w:tr>
      <w:tr w:rsidR="005713A7" w:rsidRPr="0063578A" w14:paraId="119A071A" w14:textId="67890E55" w:rsidTr="0063578A">
        <w:trPr>
          <w:gridAfter w:val="2"/>
          <w:wAfter w:w="27" w:type="dxa"/>
          <w:trHeight w:val="312"/>
          <w:jc w:val="center"/>
        </w:trPr>
        <w:tc>
          <w:tcPr>
            <w:tcW w:w="1064" w:type="dxa"/>
            <w:shd w:val="clear" w:color="auto" w:fill="D9E2F3" w:themeFill="accent1" w:themeFillTint="33"/>
            <w:vAlign w:val="center"/>
            <w:hideMark/>
          </w:tcPr>
          <w:p w14:paraId="0D3DFFF0" w14:textId="2320B59D"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sz w:val="18"/>
                <w:szCs w:val="18"/>
                <w:lang w:eastAsia="cs-CZ"/>
              </w:rPr>
              <w:t>2015</w:t>
            </w:r>
          </w:p>
        </w:tc>
        <w:tc>
          <w:tcPr>
            <w:tcW w:w="1698" w:type="dxa"/>
            <w:vAlign w:val="center"/>
          </w:tcPr>
          <w:p w14:paraId="3E926784" w14:textId="3D830720" w:rsidR="00DA44EB" w:rsidRPr="0063578A" w:rsidRDefault="00DA44EB"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308 478</w:t>
            </w:r>
          </w:p>
        </w:tc>
        <w:tc>
          <w:tcPr>
            <w:tcW w:w="1276" w:type="dxa"/>
            <w:vAlign w:val="center"/>
          </w:tcPr>
          <w:p w14:paraId="25A5172A" w14:textId="204BC586" w:rsidR="00DA44EB"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232 404</w:t>
            </w:r>
          </w:p>
        </w:tc>
        <w:tc>
          <w:tcPr>
            <w:tcW w:w="1418" w:type="dxa"/>
            <w:vAlign w:val="center"/>
          </w:tcPr>
          <w:p w14:paraId="6B24E674" w14:textId="7B36B463"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62 005</w:t>
            </w:r>
          </w:p>
        </w:tc>
        <w:tc>
          <w:tcPr>
            <w:tcW w:w="1559" w:type="dxa"/>
            <w:vAlign w:val="center"/>
          </w:tcPr>
          <w:p w14:paraId="159F2175" w14:textId="700BAD14"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1 150</w:t>
            </w:r>
          </w:p>
        </w:tc>
        <w:tc>
          <w:tcPr>
            <w:tcW w:w="2021" w:type="dxa"/>
            <w:vAlign w:val="center"/>
          </w:tcPr>
          <w:p w14:paraId="0FF7CD64" w14:textId="74DC97C9" w:rsidR="00DA44EB"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12 919</w:t>
            </w:r>
          </w:p>
        </w:tc>
      </w:tr>
      <w:tr w:rsidR="005713A7" w:rsidRPr="0063578A" w14:paraId="7697BC9F" w14:textId="77777777" w:rsidTr="0063578A">
        <w:trPr>
          <w:gridAfter w:val="2"/>
          <w:wAfter w:w="27" w:type="dxa"/>
          <w:trHeight w:val="312"/>
          <w:jc w:val="center"/>
        </w:trPr>
        <w:tc>
          <w:tcPr>
            <w:tcW w:w="1064" w:type="dxa"/>
            <w:shd w:val="clear" w:color="auto" w:fill="D9E2F3" w:themeFill="accent1" w:themeFillTint="33"/>
            <w:vAlign w:val="center"/>
          </w:tcPr>
          <w:p w14:paraId="4B28DD79" w14:textId="290F9190" w:rsidR="00F66BC0"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2014</w:t>
            </w:r>
          </w:p>
        </w:tc>
        <w:tc>
          <w:tcPr>
            <w:tcW w:w="1698" w:type="dxa"/>
            <w:vAlign w:val="center"/>
          </w:tcPr>
          <w:p w14:paraId="79C551C1" w14:textId="62704317" w:rsidR="00F66BC0" w:rsidRPr="0063578A" w:rsidRDefault="00F66BC0"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266 324</w:t>
            </w:r>
          </w:p>
        </w:tc>
        <w:tc>
          <w:tcPr>
            <w:tcW w:w="1276" w:type="dxa"/>
            <w:vAlign w:val="center"/>
          </w:tcPr>
          <w:p w14:paraId="21DE6169" w14:textId="6C2BE566" w:rsidR="00F66BC0"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203 377</w:t>
            </w:r>
          </w:p>
        </w:tc>
        <w:tc>
          <w:tcPr>
            <w:tcW w:w="1418" w:type="dxa"/>
            <w:vAlign w:val="center"/>
          </w:tcPr>
          <w:p w14:paraId="6B4BBC34" w14:textId="05F84B71" w:rsidR="00F66BC0"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52 171</w:t>
            </w:r>
          </w:p>
        </w:tc>
        <w:tc>
          <w:tcPr>
            <w:tcW w:w="1559" w:type="dxa"/>
            <w:vAlign w:val="center"/>
          </w:tcPr>
          <w:p w14:paraId="53800688" w14:textId="790F8390" w:rsidR="00F66BC0"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542</w:t>
            </w:r>
          </w:p>
        </w:tc>
        <w:tc>
          <w:tcPr>
            <w:tcW w:w="2021" w:type="dxa"/>
            <w:vAlign w:val="center"/>
          </w:tcPr>
          <w:p w14:paraId="7187821E" w14:textId="283934FD" w:rsidR="00F66BC0"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10 234</w:t>
            </w:r>
          </w:p>
        </w:tc>
      </w:tr>
      <w:tr w:rsidR="005713A7" w:rsidRPr="0063578A" w14:paraId="077C630F" w14:textId="77777777" w:rsidTr="0063578A">
        <w:trPr>
          <w:gridAfter w:val="2"/>
          <w:wAfter w:w="27" w:type="dxa"/>
          <w:trHeight w:val="312"/>
          <w:jc w:val="center"/>
        </w:trPr>
        <w:tc>
          <w:tcPr>
            <w:tcW w:w="1064" w:type="dxa"/>
            <w:shd w:val="clear" w:color="auto" w:fill="D9E2F3" w:themeFill="accent1" w:themeFillTint="33"/>
            <w:vAlign w:val="center"/>
          </w:tcPr>
          <w:p w14:paraId="12384F09" w14:textId="3D72FB4F" w:rsidR="00F66BC0"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2013</w:t>
            </w:r>
          </w:p>
        </w:tc>
        <w:tc>
          <w:tcPr>
            <w:tcW w:w="1698" w:type="dxa"/>
            <w:vAlign w:val="center"/>
          </w:tcPr>
          <w:p w14:paraId="153CB87B" w14:textId="49452B96" w:rsidR="00F66BC0" w:rsidRPr="0063578A" w:rsidRDefault="00F66BC0" w:rsidP="0063578A">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224 560</w:t>
            </w:r>
          </w:p>
        </w:tc>
        <w:tc>
          <w:tcPr>
            <w:tcW w:w="1276" w:type="dxa"/>
            <w:vAlign w:val="center"/>
          </w:tcPr>
          <w:p w14:paraId="557E009A" w14:textId="44AC0216" w:rsidR="00F66BC0" w:rsidRPr="0063578A" w:rsidRDefault="00F66BC0"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174 784</w:t>
            </w:r>
          </w:p>
        </w:tc>
        <w:tc>
          <w:tcPr>
            <w:tcW w:w="1418" w:type="dxa"/>
            <w:vAlign w:val="center"/>
          </w:tcPr>
          <w:p w14:paraId="5DE9FD71" w14:textId="0E9A0E2D" w:rsidR="00F66BC0"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39 027</w:t>
            </w:r>
          </w:p>
        </w:tc>
        <w:tc>
          <w:tcPr>
            <w:tcW w:w="1559" w:type="dxa"/>
            <w:vAlign w:val="center"/>
          </w:tcPr>
          <w:p w14:paraId="74ACCEA9" w14:textId="6CE055D3" w:rsidR="00F66BC0"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553</w:t>
            </w:r>
          </w:p>
        </w:tc>
        <w:tc>
          <w:tcPr>
            <w:tcW w:w="2021" w:type="dxa"/>
            <w:vAlign w:val="center"/>
          </w:tcPr>
          <w:p w14:paraId="248117D7" w14:textId="2E67AE52" w:rsidR="00F66BC0" w:rsidRPr="0063578A" w:rsidRDefault="005543DF" w:rsidP="0063578A">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10 196</w:t>
            </w:r>
          </w:p>
        </w:tc>
      </w:tr>
      <w:tr w:rsidR="005713A7" w:rsidRPr="0063578A" w14:paraId="1009BC54" w14:textId="77777777" w:rsidTr="0063578A">
        <w:trPr>
          <w:gridAfter w:val="2"/>
          <w:wAfter w:w="27" w:type="dxa"/>
          <w:trHeight w:val="312"/>
          <w:jc w:val="center"/>
        </w:trPr>
        <w:tc>
          <w:tcPr>
            <w:tcW w:w="1064" w:type="dxa"/>
            <w:shd w:val="clear" w:color="auto" w:fill="D9E2F3" w:themeFill="accent1" w:themeFillTint="33"/>
            <w:vAlign w:val="center"/>
          </w:tcPr>
          <w:p w14:paraId="74BA8F4A" w14:textId="66E339B3" w:rsidR="00F66BC0" w:rsidRPr="0063578A" w:rsidRDefault="00F66BC0" w:rsidP="00DA44EB">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2012</w:t>
            </w:r>
          </w:p>
        </w:tc>
        <w:tc>
          <w:tcPr>
            <w:tcW w:w="1698" w:type="dxa"/>
            <w:vAlign w:val="center"/>
          </w:tcPr>
          <w:p w14:paraId="3418091D" w14:textId="05F88DFE" w:rsidR="00F66BC0" w:rsidRPr="0063578A" w:rsidRDefault="00F66BC0" w:rsidP="00DA44EB">
            <w:pPr>
              <w:jc w:val="center"/>
              <w:rPr>
                <w:rFonts w:ascii="Arial Narrow" w:eastAsia="Times New Roman" w:hAnsi="Arial Narrow" w:cs="Arial"/>
                <w:b/>
                <w:bCs/>
                <w:sz w:val="18"/>
                <w:szCs w:val="18"/>
                <w:lang w:eastAsia="cs-CZ"/>
              </w:rPr>
            </w:pPr>
            <w:r w:rsidRPr="0063578A">
              <w:rPr>
                <w:rFonts w:ascii="Arial Narrow" w:eastAsia="Times New Roman" w:hAnsi="Arial Narrow" w:cs="Arial"/>
                <w:b/>
                <w:bCs/>
                <w:sz w:val="18"/>
                <w:szCs w:val="18"/>
                <w:lang w:eastAsia="cs-CZ"/>
              </w:rPr>
              <w:t>201 258</w:t>
            </w:r>
          </w:p>
        </w:tc>
        <w:tc>
          <w:tcPr>
            <w:tcW w:w="1276" w:type="dxa"/>
            <w:vAlign w:val="center"/>
          </w:tcPr>
          <w:p w14:paraId="1922617F" w14:textId="6FA4D674" w:rsidR="00F66BC0" w:rsidRPr="0063578A" w:rsidRDefault="00F66BC0" w:rsidP="00DA44EB">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159 262</w:t>
            </w:r>
          </w:p>
        </w:tc>
        <w:tc>
          <w:tcPr>
            <w:tcW w:w="1418" w:type="dxa"/>
            <w:vAlign w:val="center"/>
          </w:tcPr>
          <w:p w14:paraId="5703154F" w14:textId="3285F070" w:rsidR="00F66BC0" w:rsidRPr="0063578A" w:rsidRDefault="005543DF" w:rsidP="00DA44EB">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37 365</w:t>
            </w:r>
          </w:p>
        </w:tc>
        <w:tc>
          <w:tcPr>
            <w:tcW w:w="1559" w:type="dxa"/>
            <w:vAlign w:val="center"/>
          </w:tcPr>
          <w:p w14:paraId="2C555F2D" w14:textId="6B484DEB" w:rsidR="00F66BC0" w:rsidRPr="0063578A" w:rsidRDefault="005543DF" w:rsidP="00DA44EB">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339</w:t>
            </w:r>
          </w:p>
        </w:tc>
        <w:tc>
          <w:tcPr>
            <w:tcW w:w="2021" w:type="dxa"/>
            <w:vAlign w:val="center"/>
          </w:tcPr>
          <w:p w14:paraId="62311544" w14:textId="052CFF9B" w:rsidR="00F66BC0" w:rsidRPr="0063578A" w:rsidRDefault="005543DF" w:rsidP="00DA44EB">
            <w:pPr>
              <w:jc w:val="center"/>
              <w:rPr>
                <w:rFonts w:ascii="Arial Narrow" w:eastAsia="Times New Roman" w:hAnsi="Arial Narrow" w:cs="Arial"/>
                <w:sz w:val="18"/>
                <w:szCs w:val="18"/>
                <w:lang w:eastAsia="cs-CZ"/>
              </w:rPr>
            </w:pPr>
            <w:r w:rsidRPr="0063578A">
              <w:rPr>
                <w:rFonts w:ascii="Arial Narrow" w:eastAsia="Times New Roman" w:hAnsi="Arial Narrow" w:cs="Arial"/>
                <w:sz w:val="18"/>
                <w:szCs w:val="18"/>
                <w:lang w:eastAsia="cs-CZ"/>
              </w:rPr>
              <w:t>4 292</w:t>
            </w:r>
          </w:p>
        </w:tc>
      </w:tr>
    </w:tbl>
    <w:p w14:paraId="201A40E6" w14:textId="7A7F00F0" w:rsidR="005F7A4F" w:rsidRDefault="005F7A4F" w:rsidP="001E5CBA">
      <w:pPr>
        <w:spacing w:after="120" w:line="276" w:lineRule="auto"/>
        <w:jc w:val="both"/>
        <w:rPr>
          <w:rFonts w:ascii="Arial Narrow" w:hAnsi="Arial Narrow"/>
        </w:rPr>
      </w:pPr>
      <w:r w:rsidRPr="0063578A">
        <w:rPr>
          <w:rFonts w:ascii="Arial Narrow" w:hAnsi="Arial Narrow" w:cs="Arial"/>
          <w:sz w:val="20"/>
        </w:rPr>
        <w:t xml:space="preserve">Zdroj: </w:t>
      </w:r>
      <w:r w:rsidR="00F66BC0" w:rsidRPr="0063578A">
        <w:rPr>
          <w:rFonts w:ascii="Arial Narrow" w:hAnsi="Arial Narrow" w:cs="Arial"/>
          <w:sz w:val="20"/>
        </w:rPr>
        <w:t>Ministerstvo práce a sociálních věcí</w:t>
      </w:r>
      <w:r w:rsidR="00F66BC0" w:rsidRPr="0063578A">
        <w:rPr>
          <w:rFonts w:ascii="Arial Narrow" w:hAnsi="Arial Narrow" w:cs="Arial"/>
          <w:sz w:val="20"/>
        </w:rPr>
        <w:tab/>
      </w:r>
      <w:r w:rsidR="00F66BC0" w:rsidRPr="0063578A">
        <w:rPr>
          <w:rFonts w:ascii="Arial Narrow" w:hAnsi="Arial Narrow" w:cs="Arial"/>
          <w:sz w:val="20"/>
        </w:rPr>
        <w:tab/>
      </w:r>
      <w:r w:rsidR="00F66BC0" w:rsidRPr="0063578A">
        <w:rPr>
          <w:rFonts w:ascii="Arial Narrow" w:hAnsi="Arial Narrow" w:cs="Arial"/>
          <w:sz w:val="20"/>
        </w:rPr>
        <w:tab/>
      </w:r>
      <w:r w:rsidR="00F66BC0" w:rsidRPr="0063578A">
        <w:rPr>
          <w:rFonts w:ascii="Arial Narrow" w:hAnsi="Arial Narrow" w:cs="Arial"/>
          <w:sz w:val="20"/>
        </w:rPr>
        <w:tab/>
      </w:r>
      <w:r w:rsidRPr="0063578A">
        <w:rPr>
          <w:rFonts w:ascii="Arial Narrow" w:hAnsi="Arial Narrow" w:cs="Arial"/>
          <w:sz w:val="20"/>
        </w:rPr>
        <w:tab/>
        <w:t xml:space="preserve">Tabulka: AUGUR </w:t>
      </w:r>
      <w:proofErr w:type="spellStart"/>
      <w:r w:rsidRPr="0063578A">
        <w:rPr>
          <w:rFonts w:ascii="Arial Narrow" w:hAnsi="Arial Narrow" w:cs="Arial"/>
          <w:sz w:val="20"/>
        </w:rPr>
        <w:t>Consulting</w:t>
      </w:r>
      <w:proofErr w:type="spellEnd"/>
      <w:r w:rsidRPr="0063578A">
        <w:rPr>
          <w:rFonts w:ascii="Arial Narrow" w:hAnsi="Arial Narrow" w:cs="Arial"/>
          <w:sz w:val="20"/>
        </w:rPr>
        <w:t>, s.r.o.</w:t>
      </w:r>
    </w:p>
    <w:p w14:paraId="158E7AC3" w14:textId="77777777" w:rsidR="00510C3D" w:rsidRDefault="00510C3D" w:rsidP="00D6793F">
      <w:pPr>
        <w:rPr>
          <w:rFonts w:ascii="Arial Narrow" w:hAnsi="Arial Narrow"/>
          <w:b/>
          <w:color w:val="C00000"/>
          <w:sz w:val="24"/>
        </w:rPr>
      </w:pPr>
    </w:p>
    <w:p w14:paraId="56680E4B" w14:textId="77777777" w:rsidR="00510C3D" w:rsidRDefault="00510C3D" w:rsidP="00D6793F">
      <w:pPr>
        <w:rPr>
          <w:rFonts w:ascii="Arial Narrow" w:hAnsi="Arial Narrow"/>
          <w:b/>
          <w:color w:val="C00000"/>
          <w:sz w:val="24"/>
        </w:rPr>
      </w:pPr>
    </w:p>
    <w:p w14:paraId="089DC1D4" w14:textId="160845BD" w:rsidR="00D6793F" w:rsidRPr="00CE357F" w:rsidRDefault="00D6793F" w:rsidP="00D6793F">
      <w:pPr>
        <w:rPr>
          <w:rFonts w:ascii="Arial Narrow" w:hAnsi="Arial Narrow"/>
          <w:b/>
          <w:color w:val="C00000"/>
          <w:sz w:val="24"/>
        </w:rPr>
      </w:pPr>
      <w:r w:rsidRPr="00CE357F">
        <w:rPr>
          <w:rFonts w:ascii="Arial Narrow" w:hAnsi="Arial Narrow"/>
          <w:b/>
          <w:color w:val="C00000"/>
          <w:sz w:val="24"/>
        </w:rPr>
        <w:lastRenderedPageBreak/>
        <w:t>Nelegální zaměstnávání osob s jinou než českou státní příslušností v České republice</w:t>
      </w:r>
    </w:p>
    <w:p w14:paraId="272186A8" w14:textId="77777777" w:rsidR="00D6793F" w:rsidRPr="00CE357F" w:rsidRDefault="00D6793F" w:rsidP="00D6793F">
      <w:pPr>
        <w:rPr>
          <w:rFonts w:ascii="Arial Narrow" w:hAnsi="Arial Narrow"/>
        </w:rPr>
      </w:pPr>
    </w:p>
    <w:p w14:paraId="0B33CFF1" w14:textId="77777777" w:rsidR="003716D4" w:rsidRPr="00CE357F" w:rsidRDefault="003716D4" w:rsidP="003716D4">
      <w:pPr>
        <w:spacing w:after="120" w:line="276" w:lineRule="auto"/>
        <w:jc w:val="both"/>
        <w:rPr>
          <w:rFonts w:ascii="Arial Narrow" w:hAnsi="Arial Narrow"/>
        </w:rPr>
      </w:pPr>
      <w:r w:rsidRPr="00CE357F">
        <w:rPr>
          <w:rFonts w:ascii="Arial Narrow" w:hAnsi="Arial Narrow"/>
        </w:rPr>
        <w:t>V závěru této kapitoly považujeme za důležité zmínit</w:t>
      </w:r>
      <w:r>
        <w:rPr>
          <w:rFonts w:ascii="Arial Narrow" w:hAnsi="Arial Narrow"/>
        </w:rPr>
        <w:t xml:space="preserve"> také</w:t>
      </w:r>
      <w:r w:rsidRPr="00CE357F">
        <w:rPr>
          <w:rFonts w:ascii="Arial Narrow" w:hAnsi="Arial Narrow"/>
        </w:rPr>
        <w:t xml:space="preserve"> téma nelegálního zaměstnávání. </w:t>
      </w:r>
      <w:r>
        <w:rPr>
          <w:rFonts w:ascii="Arial Narrow" w:hAnsi="Arial Narrow"/>
        </w:rPr>
        <w:t>Nelegální zaměstnávání představuje</w:t>
      </w:r>
      <w:r w:rsidRPr="00CE357F">
        <w:rPr>
          <w:rFonts w:ascii="Arial Narrow" w:hAnsi="Arial Narrow"/>
        </w:rPr>
        <w:t xml:space="preserve"> téma, které se týká jak výdělečně činných občanů České republiky, tak osob s jinou než českou státní příslušností. Jako nelegální se v případě osob s jinou než českou státní příslušností rozumí práce, kterou vykonává osoba s jinou než českou státní příslušností v rozporu s vydaným povolením k zaměstnání nebo bez tohoto povolení, nebo v rozporu se zaměstnaneckou kartou, kartou vnitropodnikově převedeného zaměstnance nebo modrou kartou nebo bez některé z těchto karet; (to neplatí v případě převedení na jinou práci podle zákoníku práce), nebo práce vykonávaná osobou s jinou než českou státní příslušností pro právnickou nebo fyzickou osobu bez platného oprávnění k pobytu na území České republiky.</w:t>
      </w:r>
      <w:r w:rsidRPr="00CE357F">
        <w:rPr>
          <w:rStyle w:val="Znakapoznpodarou"/>
          <w:rFonts w:ascii="Arial Narrow" w:hAnsi="Arial Narrow"/>
        </w:rPr>
        <w:footnoteReference w:id="63"/>
      </w:r>
    </w:p>
    <w:p w14:paraId="5DBD03F3" w14:textId="77777777" w:rsidR="003716D4" w:rsidRPr="00CE357F" w:rsidRDefault="003716D4" w:rsidP="003716D4">
      <w:pPr>
        <w:spacing w:after="120" w:line="276" w:lineRule="auto"/>
        <w:jc w:val="both"/>
        <w:rPr>
          <w:rFonts w:ascii="Arial Narrow" w:hAnsi="Arial Narrow"/>
        </w:rPr>
      </w:pPr>
      <w:r w:rsidRPr="00CE357F">
        <w:rPr>
          <w:rFonts w:ascii="Arial Narrow" w:hAnsi="Arial Narrow"/>
        </w:rPr>
        <w:t xml:space="preserve">Nelegálním zaměstnáváním osob s jinou než českou státní příslušností se zabývá Meziresortní orgán pro potírání nelegálního zaměstnávání cizinců, který zastřešuje Ministerstvo práce a sociálních věcí. Kontroly nelegálního zaměstnávání provádí orgány inspekce práce. </w:t>
      </w:r>
    </w:p>
    <w:p w14:paraId="374D7258" w14:textId="77777777" w:rsidR="003716D4" w:rsidRPr="00CE357F" w:rsidRDefault="003716D4" w:rsidP="003716D4">
      <w:pPr>
        <w:spacing w:after="120" w:line="276" w:lineRule="auto"/>
        <w:jc w:val="both"/>
        <w:rPr>
          <w:rFonts w:ascii="Arial Narrow" w:hAnsi="Arial Narrow"/>
        </w:rPr>
      </w:pPr>
      <w:r w:rsidRPr="00CE357F">
        <w:rPr>
          <w:rFonts w:ascii="Arial Narrow" w:hAnsi="Arial Narrow"/>
        </w:rPr>
        <w:t>V</w:t>
      </w:r>
      <w:r>
        <w:rPr>
          <w:rFonts w:ascii="Arial Narrow" w:hAnsi="Arial Narrow"/>
        </w:rPr>
        <w:t> roce 2021 proběhlo celkem 5 222</w:t>
      </w:r>
      <w:r w:rsidRPr="00CE357F">
        <w:rPr>
          <w:rFonts w:ascii="Arial Narrow" w:hAnsi="Arial Narrow"/>
        </w:rPr>
        <w:t xml:space="preserve"> kontrol a při nelegální práci bylo u 767 zaměs</w:t>
      </w:r>
      <w:r>
        <w:rPr>
          <w:rFonts w:ascii="Arial Narrow" w:hAnsi="Arial Narrow"/>
        </w:rPr>
        <w:t>tnavatelů zachyceno celkem 3 295</w:t>
      </w:r>
      <w:r w:rsidRPr="00CE357F">
        <w:rPr>
          <w:rFonts w:ascii="Arial Narrow" w:hAnsi="Arial Narrow"/>
        </w:rPr>
        <w:t xml:space="preserve"> osob, z toho </w:t>
      </w:r>
      <w:r w:rsidRPr="00A11A21">
        <w:rPr>
          <w:rFonts w:ascii="Arial Narrow" w:hAnsi="Arial Narrow"/>
        </w:rPr>
        <w:t xml:space="preserve">312 občanů ČR, 288 občanů EU a 2 695 státních příslušníků třetích zemí. </w:t>
      </w:r>
      <w:r w:rsidRPr="00CE357F">
        <w:rPr>
          <w:rFonts w:ascii="Arial Narrow" w:hAnsi="Arial Narrow"/>
        </w:rPr>
        <w:t xml:space="preserve">Nejčastěji </w:t>
      </w:r>
      <w:r>
        <w:rPr>
          <w:rFonts w:ascii="Arial Narrow" w:hAnsi="Arial Narrow"/>
        </w:rPr>
        <w:t>se jednalo o občany Ukrajiny (2 295 případů), Polska (187), Moldavska (81), Vietnamu (80) a Slovenska (40</w:t>
      </w:r>
      <w:r w:rsidRPr="00CE357F">
        <w:rPr>
          <w:rFonts w:ascii="Arial Narrow" w:hAnsi="Arial Narrow"/>
        </w:rPr>
        <w:t xml:space="preserve">). Nejčastěji se jednalo o výkon práce v rozporu s vydaným povolením k zaměstnání nebo bez tohoto povolení, nebo v rozporu se zaměstnaneckou kartou, kartou vnitropodnikově převedeného zaměstnance nebo modrou kartou </w:t>
      </w:r>
      <w:r>
        <w:rPr>
          <w:rFonts w:ascii="Arial Narrow" w:hAnsi="Arial Narrow"/>
        </w:rPr>
        <w:t xml:space="preserve">nebo bez některé z těchto karet. </w:t>
      </w:r>
      <w:r w:rsidRPr="00CE357F">
        <w:rPr>
          <w:rFonts w:ascii="Arial Narrow" w:hAnsi="Arial Narrow"/>
        </w:rPr>
        <w:t>Nelegálně zaměstnávané osoby s jinou českou stát</w:t>
      </w:r>
      <w:r>
        <w:rPr>
          <w:rFonts w:ascii="Arial Narrow" w:hAnsi="Arial Narrow"/>
        </w:rPr>
        <w:t>ní příslušností byly v roce 2021</w:t>
      </w:r>
      <w:r w:rsidRPr="00CE357F">
        <w:rPr>
          <w:rFonts w:ascii="Arial Narrow" w:hAnsi="Arial Narrow"/>
        </w:rPr>
        <w:t xml:space="preserve"> nejčastěji evidován</w:t>
      </w:r>
      <w:r>
        <w:rPr>
          <w:rFonts w:ascii="Arial Narrow" w:hAnsi="Arial Narrow"/>
        </w:rPr>
        <w:t>y v oblastech stavebnictví (u 14</w:t>
      </w:r>
      <w:r w:rsidRPr="00CE357F">
        <w:rPr>
          <w:rFonts w:ascii="Arial Narrow" w:hAnsi="Arial Narrow"/>
        </w:rPr>
        <w:t>8 zaměstnavatel</w:t>
      </w:r>
      <w:r>
        <w:rPr>
          <w:rFonts w:ascii="Arial Narrow" w:hAnsi="Arial Narrow"/>
        </w:rPr>
        <w:t>ů), zpracovatelský průmysl (u 96</w:t>
      </w:r>
      <w:r w:rsidRPr="00CE357F">
        <w:rPr>
          <w:rFonts w:ascii="Arial Narrow" w:hAnsi="Arial Narrow"/>
        </w:rPr>
        <w:t xml:space="preserve"> zaměstnavatelů), </w:t>
      </w:r>
      <w:r>
        <w:rPr>
          <w:rFonts w:ascii="Arial Narrow" w:hAnsi="Arial Narrow"/>
        </w:rPr>
        <w:t>ubytování, stravování a pohostinství</w:t>
      </w:r>
      <w:r w:rsidRPr="00CE357F">
        <w:rPr>
          <w:rFonts w:ascii="Arial Narrow" w:hAnsi="Arial Narrow"/>
        </w:rPr>
        <w:t xml:space="preserve"> (u </w:t>
      </w:r>
      <w:r>
        <w:rPr>
          <w:rFonts w:ascii="Arial Narrow" w:hAnsi="Arial Narrow"/>
        </w:rPr>
        <w:t>45</w:t>
      </w:r>
      <w:r w:rsidRPr="00CE357F">
        <w:rPr>
          <w:rFonts w:ascii="Arial Narrow" w:hAnsi="Arial Narrow"/>
        </w:rPr>
        <w:t xml:space="preserve"> zaměstnavatelů).</w:t>
      </w:r>
      <w:r w:rsidRPr="00CE357F">
        <w:rPr>
          <w:rStyle w:val="Znakapoznpodarou"/>
          <w:rFonts w:ascii="Arial Narrow" w:hAnsi="Arial Narrow"/>
        </w:rPr>
        <w:footnoteReference w:id="64"/>
      </w:r>
    </w:p>
    <w:p w14:paraId="3128777B" w14:textId="584DCCE2" w:rsidR="003716D4" w:rsidRPr="00CE357F" w:rsidRDefault="003716D4" w:rsidP="7CC7BF57">
      <w:pPr>
        <w:spacing w:after="120" w:line="276" w:lineRule="auto"/>
        <w:jc w:val="both"/>
        <w:rPr>
          <w:rFonts w:ascii="Arial Narrow" w:eastAsia="Arial Narrow" w:hAnsi="Arial Narrow" w:cs="Arial Narrow"/>
        </w:rPr>
      </w:pPr>
      <w:r w:rsidRPr="7CC7BF57">
        <w:rPr>
          <w:rFonts w:ascii="Arial Narrow" w:hAnsi="Arial Narrow"/>
        </w:rPr>
        <w:t>Přestože byl, z důvodu následků šíření viru SARS-CoV_2, v roce 2021 proveden nižší počet kontrol nelegálního zaměstnávání než v předchozích letech, byl v roce 2021 potvrzen trend let předchozích, tedy skutečnost, že počet zachycených nelegálně pracujících zaměstnaných osob s jinou než českou státní příslušností pocházejících ze třetích zemí, výrazně převyšuje počet zachycených nelegálně pracujících občanů České republiky a Evropské Unie.</w:t>
      </w:r>
      <w:r w:rsidR="005B30C6">
        <w:rPr>
          <w:rFonts w:ascii="Arial Narrow" w:hAnsi="Arial Narrow"/>
        </w:rPr>
        <w:t xml:space="preserve"> </w:t>
      </w:r>
      <w:r w:rsidR="627A915A" w:rsidRPr="7CC7BF57">
        <w:rPr>
          <w:rFonts w:ascii="Arial Narrow" w:hAnsi="Arial Narrow"/>
        </w:rPr>
        <w:t xml:space="preserve">A právě cizinci ze třetích zemí jsou tak nejvíce ohroženou skupinou, na kterou nejvíce dopadají </w:t>
      </w:r>
      <w:r w:rsidR="2FB1C162" w:rsidRPr="7CC7BF57">
        <w:rPr>
          <w:rFonts w:ascii="Arial Narrow" w:hAnsi="Arial Narrow"/>
        </w:rPr>
        <w:t>n</w:t>
      </w:r>
      <w:r w:rsidR="53B9C219" w:rsidRPr="7CC7BF57">
        <w:rPr>
          <w:rFonts w:ascii="Arial Narrow" w:hAnsi="Arial Narrow"/>
        </w:rPr>
        <w:t>e</w:t>
      </w:r>
      <w:r w:rsidR="2FB1C162" w:rsidRPr="7CC7BF57">
        <w:rPr>
          <w:rFonts w:ascii="Arial Narrow" w:hAnsi="Arial Narrow"/>
        </w:rPr>
        <w:t>g</w:t>
      </w:r>
      <w:r w:rsidR="7D768312" w:rsidRPr="7CC7BF57">
        <w:rPr>
          <w:rFonts w:ascii="Arial Narrow" w:hAnsi="Arial Narrow"/>
        </w:rPr>
        <w:t>a</w:t>
      </w:r>
      <w:r w:rsidR="2FB1C162" w:rsidRPr="7CC7BF57">
        <w:rPr>
          <w:rFonts w:ascii="Arial Narrow" w:hAnsi="Arial Narrow"/>
        </w:rPr>
        <w:t xml:space="preserve">tivní dopady </w:t>
      </w:r>
      <w:r w:rsidR="627A915A" w:rsidRPr="7CC7BF57">
        <w:rPr>
          <w:rFonts w:ascii="Arial Narrow" w:hAnsi="Arial Narrow"/>
        </w:rPr>
        <w:t>u</w:t>
      </w:r>
      <w:r w:rsidR="627A915A" w:rsidRPr="7CC7BF57">
        <w:rPr>
          <w:rFonts w:ascii="Arial Narrow" w:eastAsia="Arial Narrow" w:hAnsi="Arial Narrow" w:cs="Arial Narrow"/>
        </w:rPr>
        <w:t>možnění výkonu nelegální práce ze strany zaměstnavatelů</w:t>
      </w:r>
      <w:r w:rsidR="005B30C6">
        <w:rPr>
          <w:rFonts w:ascii="Arial Narrow" w:eastAsia="Arial Narrow" w:hAnsi="Arial Narrow" w:cs="Arial Narrow"/>
        </w:rPr>
        <w:t>.</w:t>
      </w:r>
      <w:r w:rsidR="627A915A" w:rsidRPr="7CC7BF57">
        <w:rPr>
          <w:rFonts w:ascii="Arial Narrow" w:eastAsia="Arial Narrow" w:hAnsi="Arial Narrow" w:cs="Arial Narrow"/>
        </w:rPr>
        <w:t xml:space="preserve"> Fyzické osoby vykonávající nelegální práce ztrácejí možnost právní ochrany, která je jim jinak garantována uzavřeným pracovněprávním vztahem. Nelegálně pracující osoby nejsou také účastny plateb zdravotního a sociálního pojištění, což</w:t>
      </w:r>
      <w:r w:rsidR="1ADB3144" w:rsidRPr="7CC7BF57">
        <w:rPr>
          <w:rFonts w:ascii="Arial Narrow" w:eastAsia="Arial Narrow" w:hAnsi="Arial Narrow" w:cs="Arial Narrow"/>
        </w:rPr>
        <w:t xml:space="preserve"> </w:t>
      </w:r>
      <w:r w:rsidR="627A915A" w:rsidRPr="7CC7BF57">
        <w:rPr>
          <w:rFonts w:ascii="Arial Narrow" w:eastAsia="Arial Narrow" w:hAnsi="Arial Narrow" w:cs="Arial Narrow"/>
        </w:rPr>
        <w:t>může mít pro ně nepříznivé dopady (např. na výši důchodu).</w:t>
      </w:r>
      <w:r w:rsidR="005B30C6">
        <w:rPr>
          <w:rStyle w:val="Znakapoznpodarou"/>
          <w:rFonts w:ascii="Arial Narrow" w:eastAsia="Arial Narrow" w:hAnsi="Arial Narrow" w:cs="Arial Narrow"/>
        </w:rPr>
        <w:footnoteReference w:id="65"/>
      </w:r>
    </w:p>
    <w:p w14:paraId="4BB393F8" w14:textId="247941D2" w:rsidR="00D6793F" w:rsidRDefault="00D6793F" w:rsidP="00D6793F">
      <w:pPr>
        <w:spacing w:line="276" w:lineRule="auto"/>
        <w:rPr>
          <w:rFonts w:ascii="Arial Narrow" w:hAnsi="Arial Narrow"/>
          <w:b/>
          <w:color w:val="2F5496" w:themeColor="accent1" w:themeShade="BF"/>
        </w:rPr>
      </w:pPr>
    </w:p>
    <w:p w14:paraId="244BBF42" w14:textId="77777777" w:rsidR="00510C3D" w:rsidRDefault="00510C3D" w:rsidP="00D6793F">
      <w:pPr>
        <w:spacing w:line="276" w:lineRule="auto"/>
        <w:rPr>
          <w:rFonts w:ascii="Arial Narrow" w:hAnsi="Arial Narrow"/>
          <w:b/>
          <w:color w:val="2F5496" w:themeColor="accent1" w:themeShade="BF"/>
        </w:rPr>
      </w:pPr>
    </w:p>
    <w:p w14:paraId="5FB478A4" w14:textId="77777777" w:rsidR="00510C3D" w:rsidRPr="00CE357F" w:rsidRDefault="00510C3D" w:rsidP="00D6793F">
      <w:pPr>
        <w:spacing w:line="276" w:lineRule="auto"/>
        <w:rPr>
          <w:rFonts w:ascii="Arial Narrow" w:hAnsi="Arial Narrow"/>
          <w:b/>
          <w:color w:val="2F5496" w:themeColor="accent1" w:themeShade="BF"/>
        </w:rPr>
      </w:pPr>
    </w:p>
    <w:p w14:paraId="74F817A6" w14:textId="0D348E5A" w:rsidR="00D6793F" w:rsidRPr="00CE357F" w:rsidRDefault="00D6793F" w:rsidP="00D6793F">
      <w:pPr>
        <w:pStyle w:val="Nadpis3"/>
        <w:ind w:left="567" w:firstLine="0"/>
      </w:pPr>
      <w:bookmarkStart w:id="542" w:name="_Toc94178159"/>
      <w:bookmarkStart w:id="543" w:name="_Toc136876099"/>
      <w:bookmarkStart w:id="544" w:name="_Hlk95746985"/>
      <w:r w:rsidRPr="00CE357F">
        <w:lastRenderedPageBreak/>
        <w:t>Osoby s</w:t>
      </w:r>
      <w:r w:rsidR="00552AC6" w:rsidRPr="00CE357F">
        <w:t> jinou než českou státní příslušností</w:t>
      </w:r>
      <w:r w:rsidRPr="00CE357F">
        <w:t xml:space="preserve"> samostatně výdělečně činné na základě platného živnostenského oprávnění</w:t>
      </w:r>
      <w:bookmarkEnd w:id="542"/>
      <w:bookmarkEnd w:id="543"/>
    </w:p>
    <w:p w14:paraId="09067701" w14:textId="3B042463" w:rsidR="0063578A" w:rsidRDefault="003716D4" w:rsidP="00510C3D">
      <w:pPr>
        <w:spacing w:before="240" w:after="240" w:line="276" w:lineRule="auto"/>
        <w:jc w:val="both"/>
        <w:rPr>
          <w:rFonts w:ascii="Arial Narrow" w:hAnsi="Arial Narrow"/>
        </w:rPr>
      </w:pPr>
      <w:bookmarkStart w:id="545" w:name="_Hlk95747006"/>
      <w:bookmarkEnd w:id="544"/>
      <w:r w:rsidRPr="00CE357F">
        <w:rPr>
          <w:rFonts w:ascii="Arial Narrow" w:hAnsi="Arial Narrow"/>
        </w:rPr>
        <w:t>Nejvyšší podíl osob s jiným než českým občanstvím v postavení samostatně výdělečných osob má tradičně Hl</w:t>
      </w:r>
      <w:r>
        <w:rPr>
          <w:rFonts w:ascii="Arial Narrow" w:hAnsi="Arial Narrow"/>
        </w:rPr>
        <w:t>avní město Praha</w:t>
      </w:r>
      <w:r w:rsidR="00510C3D">
        <w:rPr>
          <w:rFonts w:ascii="Arial Narrow" w:hAnsi="Arial Narrow"/>
        </w:rPr>
        <w:t xml:space="preserve"> (graf č. 90)</w:t>
      </w:r>
      <w:r>
        <w:rPr>
          <w:rFonts w:ascii="Arial Narrow" w:hAnsi="Arial Narrow"/>
        </w:rPr>
        <w:t>. K 31. 12. 2022 to bylo 41,7</w:t>
      </w:r>
      <w:r w:rsidRPr="00CE357F">
        <w:rPr>
          <w:rFonts w:ascii="Arial Narrow" w:hAnsi="Arial Narrow"/>
        </w:rPr>
        <w:t xml:space="preserve"> % všech samostatně výdělečných osob </w:t>
      </w:r>
      <w:r>
        <w:rPr>
          <w:rFonts w:ascii="Arial Narrow" w:hAnsi="Arial Narrow"/>
        </w:rPr>
        <w:t xml:space="preserve">s jinou než českou státní příslušností </w:t>
      </w:r>
      <w:r w:rsidRPr="00CE357F">
        <w:rPr>
          <w:rFonts w:ascii="Arial Narrow" w:hAnsi="Arial Narrow"/>
        </w:rPr>
        <w:t xml:space="preserve">na území </w:t>
      </w:r>
      <w:r>
        <w:rPr>
          <w:rFonts w:ascii="Arial Narrow" w:hAnsi="Arial Narrow"/>
        </w:rPr>
        <w:t>České republiky.</w:t>
      </w:r>
      <w:r w:rsidRPr="00CE357F">
        <w:rPr>
          <w:rFonts w:ascii="Arial Narrow" w:hAnsi="Arial Narrow"/>
        </w:rPr>
        <w:t xml:space="preserve"> Druhý nejvyšší podíl měl </w:t>
      </w:r>
      <w:r>
        <w:rPr>
          <w:rFonts w:ascii="Arial Narrow" w:hAnsi="Arial Narrow"/>
        </w:rPr>
        <w:t>Středočeský kraj, celkem 12,1</w:t>
      </w:r>
      <w:r w:rsidRPr="00CE357F">
        <w:rPr>
          <w:rFonts w:ascii="Arial Narrow" w:hAnsi="Arial Narrow"/>
        </w:rPr>
        <w:t xml:space="preserve"> %. Podíl osob s jinou než českou státní příslušností na celkovém počtu podnikatelů byl v</w:t>
      </w:r>
      <w:r>
        <w:rPr>
          <w:rFonts w:ascii="Arial Narrow" w:hAnsi="Arial Narrow"/>
        </w:rPr>
        <w:t> </w:t>
      </w:r>
      <w:r w:rsidRPr="00CE357F">
        <w:rPr>
          <w:rFonts w:ascii="Arial Narrow" w:hAnsi="Arial Narrow"/>
        </w:rPr>
        <w:t>roc</w:t>
      </w:r>
      <w:r>
        <w:rPr>
          <w:rFonts w:ascii="Arial Narrow" w:hAnsi="Arial Narrow"/>
        </w:rPr>
        <w:t>e 2022 v Jihomoravském kraji vyšší (8,1</w:t>
      </w:r>
      <w:r w:rsidRPr="00CE357F">
        <w:rPr>
          <w:rFonts w:ascii="Arial Narrow" w:hAnsi="Arial Narrow"/>
        </w:rPr>
        <w:t xml:space="preserve"> </w:t>
      </w:r>
      <w:r>
        <w:rPr>
          <w:rFonts w:ascii="Arial Narrow" w:hAnsi="Arial Narrow"/>
        </w:rPr>
        <w:t>%) než byl republikový průměr (7,1</w:t>
      </w:r>
      <w:r w:rsidRPr="00CE357F">
        <w:rPr>
          <w:rFonts w:ascii="Arial Narrow" w:hAnsi="Arial Narrow"/>
        </w:rPr>
        <w:t xml:space="preserve"> %).</w:t>
      </w:r>
      <w:bookmarkEnd w:id="545"/>
      <w:r w:rsidRPr="00CE357F">
        <w:rPr>
          <w:rFonts w:ascii="Arial Narrow" w:hAnsi="Arial Narrow"/>
        </w:rPr>
        <w:t xml:space="preserve"> </w:t>
      </w:r>
    </w:p>
    <w:p w14:paraId="6942A427" w14:textId="7708C6BE" w:rsidR="003716D4" w:rsidRPr="00CE357F" w:rsidRDefault="003716D4" w:rsidP="003716D4">
      <w:pPr>
        <w:jc w:val="both"/>
        <w:rPr>
          <w:rFonts w:ascii="Arial Narrow" w:hAnsi="Arial Narrow"/>
          <w:b/>
          <w:bCs/>
          <w:sz w:val="20"/>
          <w:szCs w:val="20"/>
        </w:rPr>
      </w:pPr>
      <w:bookmarkStart w:id="546" w:name="_Toc94443788"/>
      <w:bookmarkStart w:id="547" w:name="_Toc136428934"/>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90</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Podíl podnikatelů s jinou než českou státní příslušností na celkovém počtu podnikatelů v krajích ČR</w:t>
      </w:r>
      <w:bookmarkEnd w:id="546"/>
      <w:bookmarkEnd w:id="547"/>
    </w:p>
    <w:p w14:paraId="776F97EF" w14:textId="77777777" w:rsidR="00FC7EA0" w:rsidRPr="00CE357F" w:rsidRDefault="00FC7EA0" w:rsidP="00FC7EA0">
      <w:pPr>
        <w:jc w:val="both"/>
        <w:rPr>
          <w:rFonts w:ascii="Arial Narrow" w:hAnsi="Arial Narrow"/>
        </w:rPr>
      </w:pPr>
      <w:r w:rsidRPr="00CE357F">
        <w:rPr>
          <w:rFonts w:ascii="Arial Narrow" w:hAnsi="Arial Narrow"/>
          <w:bCs/>
          <w:noProof/>
          <w:sz w:val="20"/>
          <w:szCs w:val="20"/>
          <w:lang w:eastAsia="cs-CZ"/>
        </w:rPr>
        <w:drawing>
          <wp:inline distT="0" distB="0" distL="0" distR="0" wp14:anchorId="0A8F9566" wp14:editId="416315F7">
            <wp:extent cx="5743575" cy="325755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0F249C5F" w14:textId="77777777" w:rsidR="00FC7EA0" w:rsidRPr="00CE357F" w:rsidRDefault="00FC7EA0" w:rsidP="00FC7EA0">
      <w:pPr>
        <w:spacing w:line="276" w:lineRule="auto"/>
        <w:jc w:val="both"/>
        <w:rPr>
          <w:rFonts w:ascii="Arial Narrow" w:hAnsi="Arial Narrow" w:cs="Arial"/>
          <w:sz w:val="20"/>
        </w:rPr>
      </w:pPr>
      <w:r w:rsidRPr="00CE357F">
        <w:rPr>
          <w:rFonts w:ascii="Arial Narrow" w:hAnsi="Arial Narrow" w:cs="Arial"/>
          <w:sz w:val="20"/>
        </w:rPr>
        <w:t>Zdroj: Ministerstvo práce a obchodu</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66B124C1" w14:textId="3522CF07" w:rsidR="003716D4" w:rsidRDefault="003716D4" w:rsidP="003716D4">
      <w:pPr>
        <w:spacing w:after="120" w:line="276" w:lineRule="auto"/>
        <w:jc w:val="both"/>
        <w:rPr>
          <w:rFonts w:ascii="Arial Narrow" w:hAnsi="Arial Narrow"/>
        </w:rPr>
      </w:pPr>
      <w:r>
        <w:br/>
      </w:r>
      <w:bookmarkStart w:id="548" w:name="_Hlk95747018"/>
      <w:r w:rsidRPr="7CC7BF57">
        <w:rPr>
          <w:rFonts w:ascii="Arial Narrow" w:hAnsi="Arial Narrow"/>
        </w:rPr>
        <w:t xml:space="preserve">Mezi podnikateli obecně převažují muži nad ženami. Je tomu tak i v případě osob s jinou než českou státní příslušností v pozici podnikatelů. V roce 2020 převažovaly mezi osobami s jinou než českou státní příslušností v pozici samostatně výdělečných osob muži nad ženami ve všech krajích České republiky včetně Jihomoravského kraje. </w:t>
      </w:r>
      <w:bookmarkEnd w:id="548"/>
      <w:r w:rsidRPr="7CC7BF57">
        <w:rPr>
          <w:rFonts w:ascii="Arial Narrow" w:hAnsi="Arial Narrow"/>
        </w:rPr>
        <w:t>Z celkového počtu 7 764 samostatně výdělečných osob to bylo 5 542 mužů a 2 222 žen. Počet samostatně výdělečných osob s jinou než českou státní příslušností dle pohlaví a krajů k 31. 12. 2020 podrobně dokumentuje</w:t>
      </w:r>
      <w:r w:rsidR="00510C3D">
        <w:rPr>
          <w:rFonts w:ascii="Arial Narrow" w:hAnsi="Arial Narrow"/>
        </w:rPr>
        <w:t xml:space="preserve"> </w:t>
      </w:r>
      <w:r w:rsidRPr="7CC7BF57">
        <w:rPr>
          <w:rFonts w:ascii="Arial Narrow" w:hAnsi="Arial Narrow"/>
        </w:rPr>
        <w:t>graf</w:t>
      </w:r>
      <w:r w:rsidR="00510C3D">
        <w:rPr>
          <w:rFonts w:ascii="Arial Narrow" w:hAnsi="Arial Narrow"/>
        </w:rPr>
        <w:t xml:space="preserve"> č. 91</w:t>
      </w:r>
      <w:r w:rsidRPr="7CC7BF57">
        <w:rPr>
          <w:rFonts w:ascii="Arial Narrow" w:hAnsi="Arial Narrow"/>
        </w:rPr>
        <w:t>.</w:t>
      </w:r>
    </w:p>
    <w:p w14:paraId="0997C019" w14:textId="77777777" w:rsidR="003716D4" w:rsidRDefault="003716D4" w:rsidP="003716D4">
      <w:pPr>
        <w:spacing w:after="120" w:line="276" w:lineRule="auto"/>
        <w:jc w:val="both"/>
        <w:rPr>
          <w:rFonts w:ascii="Arial Narrow" w:hAnsi="Arial Narrow"/>
        </w:rPr>
      </w:pPr>
    </w:p>
    <w:p w14:paraId="3BE0981E" w14:textId="77777777" w:rsidR="003716D4" w:rsidRDefault="003716D4" w:rsidP="003716D4">
      <w:pPr>
        <w:spacing w:after="120" w:line="276" w:lineRule="auto"/>
        <w:jc w:val="both"/>
        <w:rPr>
          <w:rFonts w:ascii="Arial Narrow" w:hAnsi="Arial Narrow"/>
        </w:rPr>
      </w:pPr>
    </w:p>
    <w:p w14:paraId="306EF2B3" w14:textId="2B6198AB" w:rsidR="001E5CBA" w:rsidRDefault="001E5CBA" w:rsidP="0032612B">
      <w:pPr>
        <w:spacing w:after="120" w:line="276" w:lineRule="auto"/>
        <w:jc w:val="both"/>
        <w:rPr>
          <w:rFonts w:ascii="Arial Narrow" w:hAnsi="Arial Narrow"/>
        </w:rPr>
      </w:pPr>
    </w:p>
    <w:p w14:paraId="5A2A9137" w14:textId="0887FCCD" w:rsidR="001E5CBA" w:rsidRDefault="001E5CBA" w:rsidP="0032612B">
      <w:pPr>
        <w:spacing w:after="120" w:line="276" w:lineRule="auto"/>
        <w:jc w:val="both"/>
        <w:rPr>
          <w:rFonts w:ascii="Arial Narrow" w:hAnsi="Arial Narrow"/>
        </w:rPr>
      </w:pPr>
    </w:p>
    <w:p w14:paraId="63F9EE5B" w14:textId="2EE5D165" w:rsidR="001E5CBA" w:rsidRDefault="001E5CBA" w:rsidP="0032612B">
      <w:pPr>
        <w:spacing w:after="120" w:line="276" w:lineRule="auto"/>
        <w:jc w:val="both"/>
        <w:rPr>
          <w:rFonts w:ascii="Arial Narrow" w:hAnsi="Arial Narrow"/>
        </w:rPr>
      </w:pPr>
    </w:p>
    <w:p w14:paraId="419ED1DA" w14:textId="0D9F0B30" w:rsidR="001E5CBA" w:rsidRDefault="001E5CBA" w:rsidP="0032612B">
      <w:pPr>
        <w:spacing w:after="120" w:line="276" w:lineRule="auto"/>
        <w:jc w:val="both"/>
        <w:rPr>
          <w:rFonts w:ascii="Arial Narrow" w:hAnsi="Arial Narrow"/>
        </w:rPr>
      </w:pPr>
    </w:p>
    <w:p w14:paraId="2B1CC025" w14:textId="77777777" w:rsidR="001E5CBA" w:rsidRDefault="001E5CBA" w:rsidP="00D6793F">
      <w:pPr>
        <w:jc w:val="both"/>
        <w:rPr>
          <w:rFonts w:ascii="Arial Narrow" w:hAnsi="Arial Narrow"/>
        </w:rPr>
      </w:pPr>
      <w:bookmarkStart w:id="549" w:name="_Toc94443789"/>
    </w:p>
    <w:p w14:paraId="58A4F69B" w14:textId="77777777" w:rsidR="00510C3D" w:rsidRDefault="00510C3D" w:rsidP="00D6793F">
      <w:pPr>
        <w:jc w:val="both"/>
        <w:rPr>
          <w:rFonts w:ascii="Arial Narrow" w:hAnsi="Arial Narrow"/>
        </w:rPr>
      </w:pPr>
    </w:p>
    <w:p w14:paraId="4A858227" w14:textId="0C6937CC" w:rsidR="00D6793F" w:rsidRPr="00CE357F" w:rsidRDefault="00D6793F" w:rsidP="00D6793F">
      <w:pPr>
        <w:jc w:val="both"/>
        <w:rPr>
          <w:rFonts w:ascii="Arial Narrow" w:hAnsi="Arial Narrow"/>
          <w:b/>
          <w:bCs/>
          <w:sz w:val="20"/>
          <w:szCs w:val="20"/>
        </w:rPr>
      </w:pPr>
      <w:bookmarkStart w:id="550" w:name="_Toc136428935"/>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91</w:t>
      </w:r>
      <w:r w:rsidR="00B63C25">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Počet samostatně výdělečných osob s jinou než českou státní příslušnosti dle pohlaví a krajů k 31. 12. 2020</w:t>
      </w:r>
      <w:bookmarkEnd w:id="549"/>
      <w:bookmarkEnd w:id="550"/>
    </w:p>
    <w:p w14:paraId="7EDEF033" w14:textId="77777777" w:rsidR="00D6793F" w:rsidRPr="00CE357F" w:rsidRDefault="00D6793F" w:rsidP="7CC7BF57">
      <w:pPr>
        <w:jc w:val="both"/>
        <w:rPr>
          <w:rFonts w:ascii="Arial Narrow" w:hAnsi="Arial Narrow"/>
          <w:b/>
          <w:bCs/>
          <w:color w:val="2F5496" w:themeColor="accent1" w:themeShade="BF"/>
        </w:rPr>
      </w:pPr>
      <w:r w:rsidRPr="00CE357F">
        <w:rPr>
          <w:rFonts w:ascii="Arial Narrow" w:hAnsi="Arial Narrow"/>
          <w:noProof/>
          <w:sz w:val="18"/>
          <w:szCs w:val="18"/>
          <w:lang w:eastAsia="cs-CZ"/>
        </w:rPr>
        <w:drawing>
          <wp:inline distT="0" distB="0" distL="0" distR="0" wp14:anchorId="51D7A0A2" wp14:editId="1CEBA097">
            <wp:extent cx="5753100" cy="4257675"/>
            <wp:effectExtent l="0" t="0" r="0" b="9525"/>
            <wp:docPr id="2060" name="Graf 2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49B1D328" w14:textId="65C315E0" w:rsidR="00D6793F" w:rsidRDefault="00D6793F" w:rsidP="00D6793F">
      <w:pPr>
        <w:spacing w:line="276" w:lineRule="auto"/>
        <w:jc w:val="both"/>
        <w:rPr>
          <w:rFonts w:ascii="Arial Narrow" w:hAnsi="Arial Narrow" w:cs="Arial"/>
          <w:sz w:val="20"/>
        </w:rPr>
      </w:pPr>
      <w:r w:rsidRPr="00CE357F">
        <w:rPr>
          <w:rFonts w:ascii="Arial Narrow" w:hAnsi="Arial Narrow" w:cs="Arial"/>
          <w:sz w:val="20"/>
        </w:rPr>
        <w:t>Zdroj: Ministerstvo práce a obchodu</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082B1728" w14:textId="77777777" w:rsidR="00DA5F46" w:rsidRPr="00CE357F" w:rsidRDefault="00DA5F46" w:rsidP="00D6793F">
      <w:pPr>
        <w:spacing w:line="276" w:lineRule="auto"/>
        <w:jc w:val="both"/>
        <w:rPr>
          <w:rFonts w:ascii="Arial Narrow" w:hAnsi="Arial Narrow" w:cs="Arial"/>
          <w:sz w:val="20"/>
        </w:rPr>
      </w:pPr>
    </w:p>
    <w:p w14:paraId="65C449E2" w14:textId="77777777" w:rsidR="003716D4" w:rsidRPr="00CE357F" w:rsidRDefault="003716D4" w:rsidP="003716D4">
      <w:pPr>
        <w:spacing w:after="120" w:line="276" w:lineRule="auto"/>
        <w:jc w:val="both"/>
        <w:rPr>
          <w:rFonts w:ascii="Arial Narrow" w:hAnsi="Arial Narrow" w:cs="Arial"/>
          <w:szCs w:val="24"/>
        </w:rPr>
      </w:pPr>
      <w:bookmarkStart w:id="551" w:name="_Hlk95747037"/>
      <w:r w:rsidRPr="00CE357F">
        <w:rPr>
          <w:rFonts w:ascii="Arial Narrow" w:hAnsi="Arial Narrow" w:cs="Arial"/>
          <w:szCs w:val="24"/>
        </w:rPr>
        <w:t>Z hlediska struktury samostatně výdělečných osob s jinou než českou státní příslušností podle občanství v této oblasti dominují občané stejných zemí jako v případě osob v pozici zaměstnanců, tedy Ukrajiny a Slovenska. Výjimku v tomto ohledu tvoří ob</w:t>
      </w:r>
      <w:r>
        <w:rPr>
          <w:rFonts w:ascii="Arial Narrow" w:hAnsi="Arial Narrow" w:cs="Arial"/>
          <w:szCs w:val="24"/>
        </w:rPr>
        <w:t>čané Vietnamu, kteří v roce 2022</w:t>
      </w:r>
      <w:r w:rsidRPr="00CE357F">
        <w:rPr>
          <w:rFonts w:ascii="Arial Narrow" w:hAnsi="Arial Narrow" w:cs="Arial"/>
          <w:szCs w:val="24"/>
        </w:rPr>
        <w:t xml:space="preserve"> tvořili pouze 2,2 % všech osob s jinou než českou státní příslušnost</w:t>
      </w:r>
      <w:r>
        <w:rPr>
          <w:rFonts w:ascii="Arial Narrow" w:hAnsi="Arial Narrow" w:cs="Arial"/>
          <w:szCs w:val="24"/>
        </w:rPr>
        <w:t>í v pozici zaměstnanců, avšak 18,6</w:t>
      </w:r>
      <w:r w:rsidRPr="00CE357F">
        <w:rPr>
          <w:rFonts w:ascii="Arial Narrow" w:hAnsi="Arial Narrow" w:cs="Arial"/>
          <w:szCs w:val="24"/>
        </w:rPr>
        <w:t xml:space="preserve"> % všech t osob s jinou než českou státní příslušností v pozici samostatně výdělečných osob. Občané Ukrajiny, </w:t>
      </w:r>
      <w:r>
        <w:rPr>
          <w:rFonts w:ascii="Arial Narrow" w:hAnsi="Arial Narrow" w:cs="Arial"/>
          <w:szCs w:val="24"/>
        </w:rPr>
        <w:t>Vietnamu a Slovenska v roce 2022 tvořili 66,9</w:t>
      </w:r>
      <w:r w:rsidRPr="00CE357F">
        <w:rPr>
          <w:rFonts w:ascii="Arial Narrow" w:hAnsi="Arial Narrow" w:cs="Arial"/>
          <w:szCs w:val="24"/>
        </w:rPr>
        <w:t xml:space="preserve"> % všech samostatně výdělečných osob s jinou než českou státní příslušností v České republice. </w:t>
      </w:r>
    </w:p>
    <w:bookmarkEnd w:id="551"/>
    <w:p w14:paraId="3732633A" w14:textId="3B85CE7F" w:rsidR="003716D4" w:rsidRDefault="003716D4" w:rsidP="003716D4">
      <w:pPr>
        <w:spacing w:after="120" w:line="276" w:lineRule="auto"/>
        <w:jc w:val="both"/>
        <w:rPr>
          <w:rFonts w:ascii="Arial Narrow" w:hAnsi="Arial Narrow" w:cs="Arial"/>
          <w:szCs w:val="24"/>
        </w:rPr>
      </w:pPr>
      <w:r w:rsidRPr="00CE357F">
        <w:rPr>
          <w:rFonts w:ascii="Arial Narrow" w:hAnsi="Arial Narrow" w:cs="Arial"/>
          <w:szCs w:val="24"/>
        </w:rPr>
        <w:t>Podíváme-li se na strukturu samostatně výdělečných osob s jinou než českou státní příslušností z hlediska deseti nejčastějšíc</w:t>
      </w:r>
      <w:r>
        <w:rPr>
          <w:rFonts w:ascii="Arial Narrow" w:hAnsi="Arial Narrow" w:cs="Arial"/>
          <w:szCs w:val="24"/>
        </w:rPr>
        <w:t>h občanství v letech 2019 a srovnáme je s rokem 2022</w:t>
      </w:r>
      <w:r w:rsidRPr="00CE357F">
        <w:rPr>
          <w:rFonts w:ascii="Arial Narrow" w:hAnsi="Arial Narrow" w:cs="Arial"/>
          <w:szCs w:val="24"/>
        </w:rPr>
        <w:t>, k největšímu nárůstu z hlediska absolutních čí</w:t>
      </w:r>
      <w:r>
        <w:rPr>
          <w:rFonts w:ascii="Arial Narrow" w:hAnsi="Arial Narrow" w:cs="Arial"/>
          <w:szCs w:val="24"/>
        </w:rPr>
        <w:t>sel došlo u občanů Ukrajiny (+ 8 054 osob) a Slovenska (+ 3 948</w:t>
      </w:r>
      <w:r w:rsidRPr="00CE357F">
        <w:rPr>
          <w:rFonts w:ascii="Arial Narrow" w:hAnsi="Arial Narrow" w:cs="Arial"/>
          <w:szCs w:val="24"/>
        </w:rPr>
        <w:t xml:space="preserve"> osob). Z hlediska procentuální z</w:t>
      </w:r>
      <w:r>
        <w:rPr>
          <w:rFonts w:ascii="Arial Narrow" w:hAnsi="Arial Narrow" w:cs="Arial"/>
          <w:szCs w:val="24"/>
        </w:rPr>
        <w:t>měny došlo mezi lety 2019 a 2022</w:t>
      </w:r>
      <w:r w:rsidRPr="00CE357F">
        <w:rPr>
          <w:rFonts w:ascii="Arial Narrow" w:hAnsi="Arial Narrow" w:cs="Arial"/>
          <w:szCs w:val="24"/>
        </w:rPr>
        <w:t xml:space="preserve"> k nejv</w:t>
      </w:r>
      <w:r>
        <w:rPr>
          <w:rFonts w:ascii="Arial Narrow" w:hAnsi="Arial Narrow" w:cs="Arial"/>
          <w:szCs w:val="24"/>
        </w:rPr>
        <w:t xml:space="preserve">ětšímu nárůstu u občanů Ukrajiny (+ 3,3 %) a Ruska (+0,5). </w:t>
      </w:r>
      <w:r w:rsidRPr="00CE357F">
        <w:rPr>
          <w:rFonts w:ascii="Arial Narrow" w:hAnsi="Arial Narrow" w:cs="Arial"/>
          <w:szCs w:val="24"/>
        </w:rPr>
        <w:t>Oproti tomu pokles byl v tomt</w:t>
      </w:r>
      <w:r>
        <w:rPr>
          <w:rFonts w:ascii="Arial Narrow" w:hAnsi="Arial Narrow" w:cs="Arial"/>
          <w:szCs w:val="24"/>
        </w:rPr>
        <w:t>o ohledu zaznamenán u občanů Vietnamu (- 3,5 %) a Velké Británie (- 0,5</w:t>
      </w:r>
      <w:r w:rsidRPr="00CE357F">
        <w:rPr>
          <w:rFonts w:ascii="Arial Narrow" w:hAnsi="Arial Narrow" w:cs="Arial"/>
          <w:szCs w:val="24"/>
        </w:rPr>
        <w:t xml:space="preserve"> %). Samostatně výdělečné osoby s jinou než českou státní příslušností v Česk</w:t>
      </w:r>
      <w:r>
        <w:rPr>
          <w:rFonts w:ascii="Arial Narrow" w:hAnsi="Arial Narrow" w:cs="Arial"/>
          <w:szCs w:val="24"/>
        </w:rPr>
        <w:t>é republice v letech 2019 a 2022</w:t>
      </w:r>
      <w:r w:rsidRPr="00CE357F">
        <w:rPr>
          <w:rFonts w:ascii="Arial Narrow" w:hAnsi="Arial Narrow" w:cs="Arial"/>
          <w:szCs w:val="24"/>
        </w:rPr>
        <w:t xml:space="preserve"> dle deseti nejčastějších občanství těchto osob podrobně dokumentuje následující tabulka</w:t>
      </w:r>
      <w:r w:rsidR="00510C3D">
        <w:rPr>
          <w:rFonts w:ascii="Arial Narrow" w:hAnsi="Arial Narrow" w:cs="Arial"/>
          <w:szCs w:val="24"/>
        </w:rPr>
        <w:t xml:space="preserve"> č. 22</w:t>
      </w:r>
      <w:r w:rsidRPr="00CE357F">
        <w:rPr>
          <w:rFonts w:ascii="Arial Narrow" w:hAnsi="Arial Narrow" w:cs="Arial"/>
          <w:szCs w:val="24"/>
        </w:rPr>
        <w:t xml:space="preserve">. </w:t>
      </w:r>
    </w:p>
    <w:p w14:paraId="23156DC1" w14:textId="77777777" w:rsidR="003716D4" w:rsidRDefault="003716D4" w:rsidP="003716D4">
      <w:pPr>
        <w:spacing w:after="120" w:line="276" w:lineRule="auto"/>
        <w:jc w:val="both"/>
        <w:rPr>
          <w:rFonts w:ascii="Arial Narrow" w:hAnsi="Arial Narrow" w:cs="Arial"/>
          <w:szCs w:val="24"/>
        </w:rPr>
      </w:pPr>
    </w:p>
    <w:p w14:paraId="08205C1C" w14:textId="77777777" w:rsidR="003716D4" w:rsidRDefault="003716D4" w:rsidP="003716D4">
      <w:pPr>
        <w:spacing w:after="120" w:line="276" w:lineRule="auto"/>
        <w:jc w:val="both"/>
        <w:rPr>
          <w:rFonts w:ascii="Arial Narrow" w:hAnsi="Arial Narrow" w:cs="Arial"/>
          <w:szCs w:val="24"/>
        </w:rPr>
      </w:pPr>
    </w:p>
    <w:p w14:paraId="5AF1869B" w14:textId="77777777" w:rsidR="003716D4" w:rsidRDefault="003716D4" w:rsidP="003716D4">
      <w:pPr>
        <w:spacing w:after="120" w:line="276" w:lineRule="auto"/>
        <w:jc w:val="both"/>
        <w:rPr>
          <w:rFonts w:ascii="Arial Narrow" w:hAnsi="Arial Narrow" w:cs="Arial"/>
          <w:szCs w:val="24"/>
        </w:rPr>
      </w:pPr>
    </w:p>
    <w:p w14:paraId="68CD5DEE" w14:textId="77777777" w:rsidR="00510C3D" w:rsidRPr="0091654E" w:rsidRDefault="00510C3D" w:rsidP="003716D4">
      <w:pPr>
        <w:spacing w:after="120" w:line="276" w:lineRule="auto"/>
        <w:jc w:val="both"/>
        <w:rPr>
          <w:rFonts w:ascii="Arial Narrow" w:hAnsi="Arial Narrow" w:cs="Arial"/>
          <w:szCs w:val="24"/>
        </w:rPr>
      </w:pPr>
    </w:p>
    <w:p w14:paraId="7EC5CEA8" w14:textId="14BDE404" w:rsidR="003716D4" w:rsidRPr="00CE357F" w:rsidRDefault="003716D4" w:rsidP="003716D4">
      <w:pPr>
        <w:spacing w:before="240"/>
        <w:jc w:val="both"/>
        <w:rPr>
          <w:rFonts w:ascii="Arial Narrow" w:hAnsi="Arial Narrow"/>
          <w:b/>
          <w:sz w:val="20"/>
          <w:szCs w:val="20"/>
        </w:rPr>
      </w:pPr>
      <w:bookmarkStart w:id="552" w:name="_Toc136429233"/>
      <w:r w:rsidRPr="00CE357F">
        <w:rPr>
          <w:rFonts w:ascii="Arial Narrow" w:hAnsi="Arial Narrow"/>
          <w:b/>
          <w:sz w:val="20"/>
          <w:szCs w:val="20"/>
        </w:rPr>
        <w:lastRenderedPageBreak/>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22</w:t>
      </w:r>
      <w:r w:rsidRPr="00CE357F">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 xml:space="preserve"> Samostatně výdělečné </w:t>
      </w:r>
      <w:r w:rsidRPr="00CE357F">
        <w:rPr>
          <w:rFonts w:ascii="Arial Narrow" w:eastAsia="Times New Roman" w:hAnsi="Arial Narrow" w:cs="Arial"/>
          <w:b/>
          <w:sz w:val="20"/>
          <w:szCs w:val="20"/>
          <w:lang w:eastAsia="cs-CZ"/>
        </w:rPr>
        <w:t>osoby s jinou než českou státní příslušností v České republice – 10 nejčastějších občanství – srovnání let 2019 a 202</w:t>
      </w:r>
      <w:r>
        <w:rPr>
          <w:rFonts w:ascii="Arial Narrow" w:eastAsia="Times New Roman" w:hAnsi="Arial Narrow" w:cs="Arial"/>
          <w:b/>
          <w:sz w:val="20"/>
          <w:szCs w:val="20"/>
          <w:lang w:eastAsia="cs-CZ"/>
        </w:rPr>
        <w:t>2</w:t>
      </w:r>
      <w:bookmarkEnd w:id="552"/>
    </w:p>
    <w:tbl>
      <w:tblPr>
        <w:tblStyle w:val="Svtltabulkasmkou1zvraznn12"/>
        <w:tblW w:w="9210" w:type="dxa"/>
        <w:jc w:val="center"/>
        <w:tblLook w:val="04A0" w:firstRow="1" w:lastRow="0" w:firstColumn="1" w:lastColumn="0" w:noHBand="0" w:noVBand="1"/>
      </w:tblPr>
      <w:tblGrid>
        <w:gridCol w:w="1203"/>
        <w:gridCol w:w="1060"/>
        <w:gridCol w:w="1418"/>
        <w:gridCol w:w="709"/>
        <w:gridCol w:w="1491"/>
        <w:gridCol w:w="1202"/>
        <w:gridCol w:w="2127"/>
      </w:tblGrid>
      <w:tr w:rsidR="003716D4" w:rsidRPr="00CE357F" w14:paraId="4EDA8FC3" w14:textId="77777777" w:rsidTr="00F84177">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203" w:type="dxa"/>
            <w:vMerge w:val="restart"/>
            <w:shd w:val="clear" w:color="auto" w:fill="D9E2F3" w:themeFill="accent1" w:themeFillTint="33"/>
            <w:noWrap/>
            <w:hideMark/>
          </w:tcPr>
          <w:p w14:paraId="059607E2" w14:textId="77777777" w:rsidR="003716D4" w:rsidRPr="00CE357F" w:rsidRDefault="003716D4" w:rsidP="004A0C47">
            <w:pPr>
              <w:jc w:val="center"/>
              <w:rPr>
                <w:rFonts w:ascii="Arial Narrow" w:eastAsia="Times New Roman" w:hAnsi="Arial Narrow" w:cs="Tahoma"/>
                <w:b w:val="0"/>
                <w:bCs w:val="0"/>
                <w:sz w:val="18"/>
                <w:szCs w:val="18"/>
                <w:lang w:eastAsia="cs-CZ"/>
              </w:rPr>
            </w:pPr>
          </w:p>
        </w:tc>
        <w:tc>
          <w:tcPr>
            <w:tcW w:w="2478" w:type="dxa"/>
            <w:gridSpan w:val="2"/>
            <w:shd w:val="clear" w:color="auto" w:fill="D9E2F3" w:themeFill="accent1" w:themeFillTint="33"/>
            <w:vAlign w:val="center"/>
            <w:hideMark/>
          </w:tcPr>
          <w:p w14:paraId="67B91E86" w14:textId="77777777" w:rsidR="003716D4" w:rsidRPr="00CE357F" w:rsidRDefault="003716D4"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Cs w:val="0"/>
                <w:sz w:val="18"/>
                <w:szCs w:val="18"/>
                <w:lang w:eastAsia="cs-CZ"/>
              </w:rPr>
            </w:pPr>
            <w:r w:rsidRPr="00CE357F">
              <w:rPr>
                <w:rFonts w:ascii="Arial Narrow" w:eastAsia="Times New Roman" w:hAnsi="Arial Narrow" w:cs="Tahoma"/>
                <w:bCs w:val="0"/>
                <w:sz w:val="18"/>
                <w:szCs w:val="18"/>
                <w:lang w:eastAsia="cs-CZ"/>
              </w:rPr>
              <w:t>2019</w:t>
            </w:r>
          </w:p>
        </w:tc>
        <w:tc>
          <w:tcPr>
            <w:tcW w:w="2200" w:type="dxa"/>
            <w:gridSpan w:val="2"/>
            <w:shd w:val="clear" w:color="auto" w:fill="D9E2F3" w:themeFill="accent1" w:themeFillTint="33"/>
            <w:vAlign w:val="center"/>
          </w:tcPr>
          <w:p w14:paraId="43D4E813" w14:textId="77777777" w:rsidR="003716D4" w:rsidRPr="00CE357F" w:rsidRDefault="003716D4"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Cs w:val="0"/>
                <w:sz w:val="18"/>
                <w:szCs w:val="18"/>
                <w:lang w:eastAsia="cs-CZ"/>
              </w:rPr>
            </w:pPr>
            <w:r>
              <w:rPr>
                <w:rFonts w:ascii="Arial Narrow" w:eastAsia="Times New Roman" w:hAnsi="Arial Narrow" w:cs="Tahoma"/>
                <w:bCs w:val="0"/>
                <w:sz w:val="18"/>
                <w:szCs w:val="18"/>
                <w:lang w:eastAsia="cs-CZ"/>
              </w:rPr>
              <w:t>2022</w:t>
            </w:r>
          </w:p>
        </w:tc>
        <w:tc>
          <w:tcPr>
            <w:tcW w:w="3329" w:type="dxa"/>
            <w:gridSpan w:val="2"/>
            <w:shd w:val="clear" w:color="auto" w:fill="D9E2F3" w:themeFill="accent1" w:themeFillTint="33"/>
            <w:vAlign w:val="center"/>
          </w:tcPr>
          <w:p w14:paraId="59D8023C" w14:textId="77777777" w:rsidR="003716D4" w:rsidRPr="00CE357F" w:rsidRDefault="003716D4" w:rsidP="004A0C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Cs w:val="0"/>
                <w:sz w:val="18"/>
                <w:szCs w:val="18"/>
                <w:lang w:eastAsia="cs-CZ"/>
              </w:rPr>
            </w:pPr>
            <w:r>
              <w:rPr>
                <w:rFonts w:ascii="Arial Narrow" w:eastAsia="Times New Roman" w:hAnsi="Arial Narrow" w:cs="Tahoma"/>
                <w:bCs w:val="0"/>
                <w:sz w:val="18"/>
                <w:szCs w:val="18"/>
                <w:lang w:eastAsia="cs-CZ"/>
              </w:rPr>
              <w:t>Změna mezi lety 2019 a 2022</w:t>
            </w:r>
          </w:p>
        </w:tc>
      </w:tr>
      <w:tr w:rsidR="003716D4" w:rsidRPr="00CE357F" w14:paraId="74931378" w14:textId="77777777" w:rsidTr="00F84177">
        <w:trPr>
          <w:trHeight w:val="423"/>
          <w:jc w:val="center"/>
        </w:trPr>
        <w:tc>
          <w:tcPr>
            <w:cnfStyle w:val="001000000000" w:firstRow="0" w:lastRow="0" w:firstColumn="1" w:lastColumn="0" w:oddVBand="0" w:evenVBand="0" w:oddHBand="0" w:evenHBand="0" w:firstRowFirstColumn="0" w:firstRowLastColumn="0" w:lastRowFirstColumn="0" w:lastRowLastColumn="0"/>
            <w:tcW w:w="1203" w:type="dxa"/>
            <w:vMerge/>
            <w:noWrap/>
          </w:tcPr>
          <w:p w14:paraId="31CA0F1F" w14:textId="77777777" w:rsidR="003716D4" w:rsidRPr="00CE357F" w:rsidRDefault="003716D4" w:rsidP="004A0C47">
            <w:pPr>
              <w:jc w:val="center"/>
              <w:rPr>
                <w:rFonts w:ascii="Arial Narrow" w:eastAsia="Times New Roman" w:hAnsi="Arial Narrow" w:cs="Tahoma"/>
                <w:b w:val="0"/>
                <w:bCs w:val="0"/>
                <w:sz w:val="18"/>
                <w:szCs w:val="18"/>
                <w:lang w:eastAsia="cs-CZ"/>
              </w:rPr>
            </w:pPr>
          </w:p>
        </w:tc>
        <w:tc>
          <w:tcPr>
            <w:tcW w:w="1060" w:type="dxa"/>
            <w:shd w:val="clear" w:color="auto" w:fill="D9E2F3" w:themeFill="accent1" w:themeFillTint="33"/>
            <w:vAlign w:val="center"/>
          </w:tcPr>
          <w:p w14:paraId="2FB2E597" w14:textId="28F07AA1" w:rsidR="003716D4" w:rsidRPr="00CE357F" w:rsidRDefault="00CB3A1F"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Pr>
                <w:rFonts w:ascii="Arial Narrow" w:eastAsia="Times New Roman" w:hAnsi="Arial Narrow" w:cs="Tahoma"/>
                <w:b/>
                <w:bCs/>
                <w:sz w:val="18"/>
                <w:szCs w:val="18"/>
                <w:lang w:eastAsia="cs-CZ"/>
              </w:rPr>
              <w:t>Počet</w:t>
            </w:r>
          </w:p>
        </w:tc>
        <w:tc>
          <w:tcPr>
            <w:tcW w:w="1418" w:type="dxa"/>
            <w:shd w:val="clear" w:color="auto" w:fill="D9E2F3" w:themeFill="accent1" w:themeFillTint="33"/>
            <w:vAlign w:val="center"/>
          </w:tcPr>
          <w:p w14:paraId="7D1E96B6" w14:textId="5C60F45F" w:rsidR="003716D4" w:rsidRPr="00CE357F" w:rsidRDefault="00CB3A1F"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Pr>
                <w:rFonts w:ascii="Arial Narrow" w:eastAsia="Times New Roman" w:hAnsi="Arial Narrow" w:cs="Tahoma"/>
                <w:b/>
                <w:bCs/>
                <w:sz w:val="18"/>
                <w:szCs w:val="18"/>
                <w:lang w:eastAsia="cs-CZ"/>
              </w:rPr>
              <w:t>Podíl z celku</w:t>
            </w:r>
          </w:p>
        </w:tc>
        <w:tc>
          <w:tcPr>
            <w:tcW w:w="709" w:type="dxa"/>
            <w:shd w:val="clear" w:color="auto" w:fill="D9E2F3" w:themeFill="accent1" w:themeFillTint="33"/>
            <w:vAlign w:val="center"/>
          </w:tcPr>
          <w:p w14:paraId="1988C18D" w14:textId="403FF1CB" w:rsidR="003716D4" w:rsidRPr="00CE357F" w:rsidRDefault="00CB3A1F"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Pr>
                <w:rFonts w:ascii="Arial Narrow" w:eastAsia="Times New Roman" w:hAnsi="Arial Narrow" w:cs="Tahoma"/>
                <w:b/>
                <w:bCs/>
                <w:sz w:val="18"/>
                <w:szCs w:val="18"/>
                <w:lang w:eastAsia="cs-CZ"/>
              </w:rPr>
              <w:t>Počet</w:t>
            </w:r>
          </w:p>
        </w:tc>
        <w:tc>
          <w:tcPr>
            <w:tcW w:w="1491" w:type="dxa"/>
            <w:shd w:val="clear" w:color="auto" w:fill="D9E2F3" w:themeFill="accent1" w:themeFillTint="33"/>
            <w:vAlign w:val="center"/>
          </w:tcPr>
          <w:p w14:paraId="2E75F466" w14:textId="7FC44B95" w:rsidR="003716D4" w:rsidRPr="00CE357F" w:rsidRDefault="00CB3A1F"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Pr>
                <w:rFonts w:ascii="Arial Narrow" w:eastAsia="Times New Roman" w:hAnsi="Arial Narrow" w:cs="Tahoma"/>
                <w:b/>
                <w:bCs/>
                <w:sz w:val="18"/>
                <w:szCs w:val="18"/>
                <w:lang w:eastAsia="cs-CZ"/>
              </w:rPr>
              <w:t>Podíl z celku</w:t>
            </w:r>
          </w:p>
        </w:tc>
        <w:tc>
          <w:tcPr>
            <w:tcW w:w="1202" w:type="dxa"/>
            <w:shd w:val="clear" w:color="auto" w:fill="D9E2F3" w:themeFill="accent1" w:themeFillTint="33"/>
            <w:vAlign w:val="center"/>
          </w:tcPr>
          <w:p w14:paraId="7E2DAD0A" w14:textId="0710CCC8" w:rsidR="003716D4" w:rsidRPr="00CE357F" w:rsidRDefault="00CB3A1F"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Pr>
                <w:rFonts w:ascii="Arial Narrow" w:eastAsia="Times New Roman" w:hAnsi="Arial Narrow" w:cs="Tahoma"/>
                <w:b/>
                <w:bCs/>
                <w:sz w:val="18"/>
                <w:szCs w:val="18"/>
                <w:lang w:eastAsia="cs-CZ"/>
              </w:rPr>
              <w:t>Počet</w:t>
            </w:r>
          </w:p>
        </w:tc>
        <w:tc>
          <w:tcPr>
            <w:tcW w:w="2127" w:type="dxa"/>
            <w:shd w:val="clear" w:color="auto" w:fill="D9E2F3" w:themeFill="accent1" w:themeFillTint="33"/>
            <w:vAlign w:val="center"/>
          </w:tcPr>
          <w:p w14:paraId="39545D7B" w14:textId="0924F901" w:rsidR="003716D4" w:rsidRPr="00CE357F" w:rsidRDefault="00F84177" w:rsidP="00F8417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bCs/>
                <w:sz w:val="18"/>
                <w:szCs w:val="18"/>
                <w:lang w:eastAsia="cs-CZ"/>
              </w:rPr>
            </w:pPr>
            <w:r>
              <w:rPr>
                <w:rFonts w:ascii="Arial Narrow" w:eastAsia="Times New Roman" w:hAnsi="Arial Narrow" w:cs="Tahoma"/>
                <w:b/>
                <w:bCs/>
                <w:sz w:val="18"/>
                <w:szCs w:val="18"/>
                <w:lang w:eastAsia="cs-CZ"/>
              </w:rPr>
              <w:t>Rozdíl v podílech</w:t>
            </w:r>
            <w:r>
              <w:rPr>
                <w:rStyle w:val="Znakapoznpodarou"/>
                <w:rFonts w:ascii="Arial Narrow" w:eastAsia="Times New Roman" w:hAnsi="Arial Narrow" w:cs="Tahoma"/>
                <w:b/>
                <w:bCs/>
                <w:sz w:val="18"/>
                <w:szCs w:val="18"/>
                <w:lang w:eastAsia="cs-CZ"/>
              </w:rPr>
              <w:footnoteReference w:id="66"/>
            </w:r>
            <w:r>
              <w:rPr>
                <w:rFonts w:ascii="Arial Narrow" w:eastAsia="Times New Roman" w:hAnsi="Arial Narrow" w:cs="Tahoma"/>
                <w:b/>
                <w:bCs/>
                <w:sz w:val="18"/>
                <w:szCs w:val="18"/>
                <w:lang w:eastAsia="cs-CZ"/>
              </w:rPr>
              <w:t xml:space="preserve"> </w:t>
            </w:r>
          </w:p>
        </w:tc>
      </w:tr>
      <w:tr w:rsidR="003716D4" w:rsidRPr="00CE357F" w14:paraId="20573098" w14:textId="77777777" w:rsidTr="00F84177">
        <w:trPr>
          <w:trHeight w:val="38"/>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hideMark/>
          </w:tcPr>
          <w:p w14:paraId="495ECFFD"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Ukrajina</w:t>
            </w:r>
          </w:p>
        </w:tc>
        <w:tc>
          <w:tcPr>
            <w:tcW w:w="1060" w:type="dxa"/>
            <w:vAlign w:val="center"/>
          </w:tcPr>
          <w:p w14:paraId="555DFE3E"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22 924</w:t>
            </w:r>
          </w:p>
        </w:tc>
        <w:tc>
          <w:tcPr>
            <w:tcW w:w="1418" w:type="dxa"/>
            <w:vAlign w:val="center"/>
          </w:tcPr>
          <w:p w14:paraId="11EF687E"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24,4 %</w:t>
            </w:r>
          </w:p>
        </w:tc>
        <w:tc>
          <w:tcPr>
            <w:tcW w:w="709" w:type="dxa"/>
          </w:tcPr>
          <w:p w14:paraId="288866B1"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30 978</w:t>
            </w:r>
          </w:p>
        </w:tc>
        <w:tc>
          <w:tcPr>
            <w:tcW w:w="1491" w:type="dxa"/>
          </w:tcPr>
          <w:p w14:paraId="13D861A1"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27</w:t>
            </w:r>
            <w:r w:rsidRPr="00CE357F">
              <w:rPr>
                <w:rFonts w:ascii="Arial Narrow" w:eastAsia="Times New Roman" w:hAnsi="Arial Narrow" w:cs="Tahoma"/>
                <w:sz w:val="18"/>
                <w:szCs w:val="18"/>
                <w:lang w:eastAsia="cs-CZ"/>
              </w:rPr>
              <w:t>,7 %</w:t>
            </w:r>
          </w:p>
        </w:tc>
        <w:tc>
          <w:tcPr>
            <w:tcW w:w="1202" w:type="dxa"/>
            <w:vAlign w:val="bottom"/>
          </w:tcPr>
          <w:p w14:paraId="6F262258"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20"/>
                <w:lang w:eastAsia="cs-CZ"/>
              </w:rPr>
            </w:pPr>
            <w:r w:rsidRPr="00AA1F12">
              <w:rPr>
                <w:rFonts w:ascii="Arial Narrow" w:hAnsi="Arial Narrow"/>
                <w:color w:val="000000"/>
                <w:sz w:val="18"/>
                <w:szCs w:val="20"/>
              </w:rPr>
              <w:t>8 054</w:t>
            </w:r>
          </w:p>
        </w:tc>
        <w:tc>
          <w:tcPr>
            <w:tcW w:w="2127" w:type="dxa"/>
            <w:vAlign w:val="center"/>
          </w:tcPr>
          <w:p w14:paraId="25008767"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sz w:val="18"/>
                <w:szCs w:val="18"/>
                <w:lang w:eastAsia="cs-CZ"/>
              </w:rPr>
            </w:pPr>
            <w:r>
              <w:rPr>
                <w:rFonts w:ascii="Arial Narrow" w:eastAsia="Times New Roman" w:hAnsi="Arial Narrow" w:cs="Tahoma"/>
                <w:b/>
                <w:sz w:val="18"/>
                <w:szCs w:val="18"/>
                <w:lang w:eastAsia="cs-CZ"/>
              </w:rPr>
              <w:t>3,3</w:t>
            </w:r>
            <w:r w:rsidRPr="00CE357F">
              <w:rPr>
                <w:rFonts w:ascii="Arial Narrow" w:eastAsia="Times New Roman" w:hAnsi="Arial Narrow" w:cs="Tahoma"/>
                <w:b/>
                <w:sz w:val="18"/>
                <w:szCs w:val="18"/>
                <w:lang w:eastAsia="cs-CZ"/>
              </w:rPr>
              <w:t xml:space="preserve"> %</w:t>
            </w:r>
          </w:p>
        </w:tc>
      </w:tr>
      <w:tr w:rsidR="003716D4" w:rsidRPr="00CE357F" w14:paraId="70452A2A"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hideMark/>
          </w:tcPr>
          <w:p w14:paraId="4BEFF735"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Vietnam</w:t>
            </w:r>
          </w:p>
        </w:tc>
        <w:tc>
          <w:tcPr>
            <w:tcW w:w="1060" w:type="dxa"/>
            <w:vAlign w:val="center"/>
          </w:tcPr>
          <w:p w14:paraId="4FEB8ABD"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20 733</w:t>
            </w:r>
          </w:p>
        </w:tc>
        <w:tc>
          <w:tcPr>
            <w:tcW w:w="1418" w:type="dxa"/>
            <w:vAlign w:val="center"/>
          </w:tcPr>
          <w:p w14:paraId="1A365060"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22,1 %</w:t>
            </w:r>
          </w:p>
        </w:tc>
        <w:tc>
          <w:tcPr>
            <w:tcW w:w="709" w:type="dxa"/>
          </w:tcPr>
          <w:p w14:paraId="30B632F1"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20 745</w:t>
            </w:r>
          </w:p>
        </w:tc>
        <w:tc>
          <w:tcPr>
            <w:tcW w:w="1491" w:type="dxa"/>
          </w:tcPr>
          <w:p w14:paraId="58CD06A4"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18,6</w:t>
            </w:r>
            <w:r w:rsidRPr="00CE357F">
              <w:rPr>
                <w:rFonts w:ascii="Arial Narrow" w:eastAsia="Times New Roman" w:hAnsi="Arial Narrow" w:cs="Tahoma"/>
                <w:sz w:val="18"/>
                <w:szCs w:val="18"/>
                <w:lang w:eastAsia="cs-CZ"/>
              </w:rPr>
              <w:t xml:space="preserve"> %</w:t>
            </w:r>
          </w:p>
        </w:tc>
        <w:tc>
          <w:tcPr>
            <w:tcW w:w="1202" w:type="dxa"/>
            <w:vAlign w:val="bottom"/>
          </w:tcPr>
          <w:p w14:paraId="4C84992B"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20"/>
                <w:lang w:eastAsia="cs-CZ"/>
              </w:rPr>
            </w:pPr>
            <w:r w:rsidRPr="00AA1F12">
              <w:rPr>
                <w:rFonts w:ascii="Arial Narrow" w:hAnsi="Arial Narrow"/>
                <w:color w:val="000000"/>
                <w:sz w:val="18"/>
                <w:szCs w:val="20"/>
              </w:rPr>
              <w:t>12</w:t>
            </w:r>
          </w:p>
        </w:tc>
        <w:tc>
          <w:tcPr>
            <w:tcW w:w="2127" w:type="dxa"/>
            <w:vAlign w:val="center"/>
          </w:tcPr>
          <w:p w14:paraId="15F4ED6D"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sz w:val="18"/>
                <w:szCs w:val="18"/>
                <w:lang w:eastAsia="cs-CZ"/>
              </w:rPr>
            </w:pPr>
            <w:r>
              <w:rPr>
                <w:rFonts w:ascii="Arial Narrow" w:eastAsia="Times New Roman" w:hAnsi="Arial Narrow" w:cs="Tahoma"/>
                <w:b/>
                <w:color w:val="C00000"/>
                <w:sz w:val="18"/>
                <w:szCs w:val="18"/>
                <w:lang w:eastAsia="cs-CZ"/>
              </w:rPr>
              <w:t>-3,5</w:t>
            </w:r>
            <w:r w:rsidRPr="00CE357F">
              <w:rPr>
                <w:rFonts w:ascii="Arial Narrow" w:eastAsia="Times New Roman" w:hAnsi="Arial Narrow" w:cs="Tahoma"/>
                <w:b/>
                <w:color w:val="C00000"/>
                <w:sz w:val="18"/>
                <w:szCs w:val="18"/>
                <w:lang w:eastAsia="cs-CZ"/>
              </w:rPr>
              <w:t xml:space="preserve"> %</w:t>
            </w:r>
          </w:p>
        </w:tc>
      </w:tr>
      <w:tr w:rsidR="003716D4" w:rsidRPr="00CE357F" w14:paraId="413AACD9"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hideMark/>
          </w:tcPr>
          <w:p w14:paraId="286F769C"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Slovensko</w:t>
            </w:r>
          </w:p>
        </w:tc>
        <w:tc>
          <w:tcPr>
            <w:tcW w:w="1060" w:type="dxa"/>
            <w:vAlign w:val="center"/>
          </w:tcPr>
          <w:p w14:paraId="57260122"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19 035</w:t>
            </w:r>
          </w:p>
        </w:tc>
        <w:tc>
          <w:tcPr>
            <w:tcW w:w="1418" w:type="dxa"/>
            <w:vAlign w:val="center"/>
          </w:tcPr>
          <w:p w14:paraId="6806539C"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20,3 %</w:t>
            </w:r>
          </w:p>
        </w:tc>
        <w:tc>
          <w:tcPr>
            <w:tcW w:w="709" w:type="dxa"/>
          </w:tcPr>
          <w:p w14:paraId="55C274D7"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22 983</w:t>
            </w:r>
          </w:p>
        </w:tc>
        <w:tc>
          <w:tcPr>
            <w:tcW w:w="1491" w:type="dxa"/>
            <w:vAlign w:val="center"/>
          </w:tcPr>
          <w:p w14:paraId="20094EE6"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20,6</w:t>
            </w:r>
            <w:r w:rsidRPr="00CE357F">
              <w:rPr>
                <w:rFonts w:ascii="Arial Narrow" w:eastAsia="Times New Roman" w:hAnsi="Arial Narrow" w:cs="Tahoma"/>
                <w:sz w:val="18"/>
                <w:szCs w:val="18"/>
                <w:lang w:eastAsia="cs-CZ"/>
              </w:rPr>
              <w:t xml:space="preserve"> %</w:t>
            </w:r>
          </w:p>
        </w:tc>
        <w:tc>
          <w:tcPr>
            <w:tcW w:w="1202" w:type="dxa"/>
            <w:vAlign w:val="bottom"/>
          </w:tcPr>
          <w:p w14:paraId="20248B86"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20"/>
                <w:lang w:eastAsia="cs-CZ"/>
              </w:rPr>
            </w:pPr>
            <w:r w:rsidRPr="00AA1F12">
              <w:rPr>
                <w:rFonts w:ascii="Arial Narrow" w:hAnsi="Arial Narrow"/>
                <w:color w:val="000000"/>
                <w:sz w:val="18"/>
                <w:szCs w:val="20"/>
              </w:rPr>
              <w:t>3 948</w:t>
            </w:r>
          </w:p>
        </w:tc>
        <w:tc>
          <w:tcPr>
            <w:tcW w:w="2127" w:type="dxa"/>
            <w:vAlign w:val="center"/>
          </w:tcPr>
          <w:p w14:paraId="35094F79"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sz w:val="18"/>
                <w:szCs w:val="18"/>
                <w:lang w:eastAsia="cs-CZ"/>
              </w:rPr>
            </w:pPr>
            <w:r>
              <w:rPr>
                <w:rFonts w:ascii="Arial Narrow" w:eastAsia="Times New Roman" w:hAnsi="Arial Narrow" w:cs="Tahoma"/>
                <w:b/>
                <w:sz w:val="18"/>
                <w:szCs w:val="18"/>
                <w:lang w:eastAsia="cs-CZ"/>
              </w:rPr>
              <w:t>0,3</w:t>
            </w:r>
            <w:r w:rsidRPr="00CE357F">
              <w:rPr>
                <w:rFonts w:ascii="Arial Narrow" w:eastAsia="Times New Roman" w:hAnsi="Arial Narrow" w:cs="Tahoma"/>
                <w:b/>
                <w:sz w:val="18"/>
                <w:szCs w:val="18"/>
                <w:lang w:eastAsia="cs-CZ"/>
              </w:rPr>
              <w:t xml:space="preserve"> %</w:t>
            </w:r>
          </w:p>
        </w:tc>
      </w:tr>
      <w:tr w:rsidR="003716D4" w:rsidRPr="00CE357F" w14:paraId="69CDC242"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hideMark/>
          </w:tcPr>
          <w:p w14:paraId="0305DD26"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Rusko</w:t>
            </w:r>
          </w:p>
        </w:tc>
        <w:tc>
          <w:tcPr>
            <w:tcW w:w="1060" w:type="dxa"/>
            <w:vAlign w:val="center"/>
          </w:tcPr>
          <w:p w14:paraId="1301A5E4"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3 446</w:t>
            </w:r>
          </w:p>
        </w:tc>
        <w:tc>
          <w:tcPr>
            <w:tcW w:w="1418" w:type="dxa"/>
            <w:vAlign w:val="center"/>
          </w:tcPr>
          <w:p w14:paraId="4145E051"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3,7 %</w:t>
            </w:r>
          </w:p>
        </w:tc>
        <w:tc>
          <w:tcPr>
            <w:tcW w:w="709" w:type="dxa"/>
          </w:tcPr>
          <w:p w14:paraId="30BB4EA8"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4 649</w:t>
            </w:r>
          </w:p>
        </w:tc>
        <w:tc>
          <w:tcPr>
            <w:tcW w:w="1491" w:type="dxa"/>
            <w:vAlign w:val="center"/>
          </w:tcPr>
          <w:p w14:paraId="1CC54499"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4,2</w:t>
            </w:r>
            <w:r w:rsidRPr="00CE357F">
              <w:rPr>
                <w:rFonts w:ascii="Arial Narrow" w:eastAsia="Times New Roman" w:hAnsi="Arial Narrow" w:cs="Tahoma"/>
                <w:sz w:val="18"/>
                <w:szCs w:val="18"/>
                <w:lang w:eastAsia="cs-CZ"/>
              </w:rPr>
              <w:t xml:space="preserve"> %</w:t>
            </w:r>
          </w:p>
        </w:tc>
        <w:tc>
          <w:tcPr>
            <w:tcW w:w="1202" w:type="dxa"/>
            <w:vAlign w:val="bottom"/>
          </w:tcPr>
          <w:p w14:paraId="56E55296"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20"/>
                <w:lang w:eastAsia="cs-CZ"/>
              </w:rPr>
            </w:pPr>
            <w:r w:rsidRPr="00AA1F12">
              <w:rPr>
                <w:rFonts w:ascii="Arial Narrow" w:hAnsi="Arial Narrow"/>
                <w:color w:val="000000"/>
                <w:sz w:val="18"/>
                <w:szCs w:val="20"/>
              </w:rPr>
              <w:t>1 203</w:t>
            </w:r>
          </w:p>
        </w:tc>
        <w:tc>
          <w:tcPr>
            <w:tcW w:w="2127" w:type="dxa"/>
            <w:vAlign w:val="center"/>
          </w:tcPr>
          <w:p w14:paraId="369E1664"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sz w:val="18"/>
                <w:szCs w:val="18"/>
                <w:lang w:eastAsia="cs-CZ"/>
              </w:rPr>
            </w:pPr>
            <w:r w:rsidRPr="00B41AE1">
              <w:rPr>
                <w:rFonts w:ascii="Arial Narrow" w:eastAsia="Times New Roman" w:hAnsi="Arial Narrow" w:cs="Tahoma"/>
                <w:b/>
                <w:sz w:val="18"/>
                <w:szCs w:val="18"/>
                <w:lang w:eastAsia="cs-CZ"/>
              </w:rPr>
              <w:t>0,5 %</w:t>
            </w:r>
          </w:p>
        </w:tc>
      </w:tr>
      <w:tr w:rsidR="003716D4" w:rsidRPr="00CE357F" w14:paraId="5CB9FD40"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hideMark/>
          </w:tcPr>
          <w:p w14:paraId="15A24634"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Německo</w:t>
            </w:r>
          </w:p>
        </w:tc>
        <w:tc>
          <w:tcPr>
            <w:tcW w:w="1060" w:type="dxa"/>
            <w:vAlign w:val="center"/>
          </w:tcPr>
          <w:p w14:paraId="0D6C05C5"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3 045</w:t>
            </w:r>
          </w:p>
        </w:tc>
        <w:tc>
          <w:tcPr>
            <w:tcW w:w="1418" w:type="dxa"/>
            <w:vAlign w:val="center"/>
          </w:tcPr>
          <w:p w14:paraId="042617FC"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3,2 %</w:t>
            </w:r>
          </w:p>
        </w:tc>
        <w:tc>
          <w:tcPr>
            <w:tcW w:w="709" w:type="dxa"/>
          </w:tcPr>
          <w:p w14:paraId="4472C19D"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3 192</w:t>
            </w:r>
          </w:p>
        </w:tc>
        <w:tc>
          <w:tcPr>
            <w:tcW w:w="1491" w:type="dxa"/>
            <w:vAlign w:val="center"/>
          </w:tcPr>
          <w:p w14:paraId="017A7E2E"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2,9</w:t>
            </w:r>
            <w:r w:rsidRPr="00CE357F">
              <w:rPr>
                <w:rFonts w:ascii="Arial Narrow" w:eastAsia="Times New Roman" w:hAnsi="Arial Narrow" w:cs="Tahoma"/>
                <w:sz w:val="18"/>
                <w:szCs w:val="18"/>
                <w:lang w:eastAsia="cs-CZ"/>
              </w:rPr>
              <w:t xml:space="preserve"> %</w:t>
            </w:r>
          </w:p>
        </w:tc>
        <w:tc>
          <w:tcPr>
            <w:tcW w:w="1202" w:type="dxa"/>
            <w:vAlign w:val="bottom"/>
          </w:tcPr>
          <w:p w14:paraId="53474B87"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20"/>
                <w:lang w:eastAsia="cs-CZ"/>
              </w:rPr>
            </w:pPr>
            <w:r w:rsidRPr="00AA1F12">
              <w:rPr>
                <w:rFonts w:ascii="Arial Narrow" w:hAnsi="Arial Narrow"/>
                <w:color w:val="000000"/>
                <w:sz w:val="18"/>
                <w:szCs w:val="20"/>
              </w:rPr>
              <w:t>147</w:t>
            </w:r>
          </w:p>
        </w:tc>
        <w:tc>
          <w:tcPr>
            <w:tcW w:w="2127" w:type="dxa"/>
            <w:vAlign w:val="center"/>
          </w:tcPr>
          <w:p w14:paraId="7129694F" w14:textId="77777777" w:rsidR="003716D4" w:rsidRPr="00B41AE1"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color w:val="C00000"/>
                <w:sz w:val="18"/>
                <w:szCs w:val="18"/>
                <w:lang w:eastAsia="cs-CZ"/>
              </w:rPr>
            </w:pPr>
            <w:r w:rsidRPr="00B41AE1">
              <w:rPr>
                <w:rFonts w:ascii="Arial Narrow" w:eastAsia="Times New Roman" w:hAnsi="Arial Narrow" w:cs="Tahoma"/>
                <w:b/>
                <w:color w:val="C00000"/>
                <w:sz w:val="18"/>
                <w:szCs w:val="18"/>
                <w:lang w:eastAsia="cs-CZ"/>
              </w:rPr>
              <w:t>-0,3 %</w:t>
            </w:r>
          </w:p>
        </w:tc>
      </w:tr>
      <w:tr w:rsidR="003716D4" w:rsidRPr="00CE357F" w14:paraId="3973EDFD"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hideMark/>
          </w:tcPr>
          <w:p w14:paraId="66355C56"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Polsko</w:t>
            </w:r>
          </w:p>
        </w:tc>
        <w:tc>
          <w:tcPr>
            <w:tcW w:w="1060" w:type="dxa"/>
            <w:vAlign w:val="center"/>
          </w:tcPr>
          <w:p w14:paraId="28243226"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2 650</w:t>
            </w:r>
          </w:p>
        </w:tc>
        <w:tc>
          <w:tcPr>
            <w:tcW w:w="1418" w:type="dxa"/>
            <w:vAlign w:val="center"/>
          </w:tcPr>
          <w:p w14:paraId="0FA4ACA8"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2,8 %</w:t>
            </w:r>
          </w:p>
        </w:tc>
        <w:tc>
          <w:tcPr>
            <w:tcW w:w="709" w:type="dxa"/>
          </w:tcPr>
          <w:p w14:paraId="3B805C22"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2 998</w:t>
            </w:r>
          </w:p>
        </w:tc>
        <w:tc>
          <w:tcPr>
            <w:tcW w:w="1491" w:type="dxa"/>
            <w:vAlign w:val="center"/>
          </w:tcPr>
          <w:p w14:paraId="465B598C"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2,7</w:t>
            </w:r>
            <w:r w:rsidRPr="00CE357F">
              <w:rPr>
                <w:rFonts w:ascii="Arial Narrow" w:eastAsia="Times New Roman" w:hAnsi="Arial Narrow" w:cs="Tahoma"/>
                <w:sz w:val="18"/>
                <w:szCs w:val="18"/>
                <w:lang w:eastAsia="cs-CZ"/>
              </w:rPr>
              <w:t xml:space="preserve"> %</w:t>
            </w:r>
          </w:p>
        </w:tc>
        <w:tc>
          <w:tcPr>
            <w:tcW w:w="1202" w:type="dxa"/>
            <w:vAlign w:val="bottom"/>
          </w:tcPr>
          <w:p w14:paraId="3987177E"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20"/>
                <w:lang w:eastAsia="cs-CZ"/>
              </w:rPr>
            </w:pPr>
            <w:r w:rsidRPr="00AA1F12">
              <w:rPr>
                <w:rFonts w:ascii="Arial Narrow" w:hAnsi="Arial Narrow"/>
                <w:color w:val="000000"/>
                <w:sz w:val="18"/>
                <w:szCs w:val="20"/>
              </w:rPr>
              <w:t>348</w:t>
            </w:r>
          </w:p>
        </w:tc>
        <w:tc>
          <w:tcPr>
            <w:tcW w:w="2127" w:type="dxa"/>
            <w:vAlign w:val="center"/>
          </w:tcPr>
          <w:p w14:paraId="0E9D0921" w14:textId="77777777" w:rsidR="003716D4" w:rsidRPr="00B41AE1"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color w:val="C00000"/>
                <w:sz w:val="18"/>
                <w:szCs w:val="18"/>
                <w:lang w:eastAsia="cs-CZ"/>
              </w:rPr>
            </w:pPr>
            <w:r w:rsidRPr="00B41AE1">
              <w:rPr>
                <w:rFonts w:ascii="Arial Narrow" w:eastAsia="Times New Roman" w:hAnsi="Arial Narrow" w:cs="Tahoma"/>
                <w:b/>
                <w:color w:val="C00000"/>
                <w:sz w:val="18"/>
                <w:szCs w:val="18"/>
                <w:lang w:eastAsia="cs-CZ"/>
              </w:rPr>
              <w:t>-0,1 %</w:t>
            </w:r>
          </w:p>
        </w:tc>
      </w:tr>
      <w:tr w:rsidR="003716D4" w:rsidRPr="00CE357F" w14:paraId="49CB722B"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hideMark/>
          </w:tcPr>
          <w:p w14:paraId="2F7DC2D3"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Rumunsko</w:t>
            </w:r>
          </w:p>
        </w:tc>
        <w:tc>
          <w:tcPr>
            <w:tcW w:w="1060" w:type="dxa"/>
            <w:vAlign w:val="center"/>
          </w:tcPr>
          <w:p w14:paraId="06A7F02C"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2 055</w:t>
            </w:r>
          </w:p>
        </w:tc>
        <w:tc>
          <w:tcPr>
            <w:tcW w:w="1418" w:type="dxa"/>
            <w:vAlign w:val="center"/>
          </w:tcPr>
          <w:p w14:paraId="73B58174"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2,2 %</w:t>
            </w:r>
          </w:p>
        </w:tc>
        <w:tc>
          <w:tcPr>
            <w:tcW w:w="709" w:type="dxa"/>
          </w:tcPr>
          <w:p w14:paraId="15342532"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2 812</w:t>
            </w:r>
          </w:p>
        </w:tc>
        <w:tc>
          <w:tcPr>
            <w:tcW w:w="1491" w:type="dxa"/>
            <w:vAlign w:val="center"/>
          </w:tcPr>
          <w:p w14:paraId="0C83B1EE"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2,5</w:t>
            </w:r>
            <w:r w:rsidRPr="00CE357F">
              <w:rPr>
                <w:rFonts w:ascii="Arial Narrow" w:eastAsia="Times New Roman" w:hAnsi="Arial Narrow" w:cs="Tahoma"/>
                <w:sz w:val="18"/>
                <w:szCs w:val="18"/>
                <w:lang w:eastAsia="cs-CZ"/>
              </w:rPr>
              <w:t xml:space="preserve"> %</w:t>
            </w:r>
          </w:p>
        </w:tc>
        <w:tc>
          <w:tcPr>
            <w:tcW w:w="1202" w:type="dxa"/>
            <w:vAlign w:val="bottom"/>
          </w:tcPr>
          <w:p w14:paraId="334DA4DE"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20"/>
                <w:lang w:eastAsia="cs-CZ"/>
              </w:rPr>
            </w:pPr>
            <w:r w:rsidRPr="00AA1F12">
              <w:rPr>
                <w:rFonts w:ascii="Arial Narrow" w:hAnsi="Arial Narrow"/>
                <w:color w:val="000000"/>
                <w:sz w:val="18"/>
                <w:szCs w:val="20"/>
              </w:rPr>
              <w:t>757</w:t>
            </w:r>
          </w:p>
        </w:tc>
        <w:tc>
          <w:tcPr>
            <w:tcW w:w="2127" w:type="dxa"/>
            <w:vAlign w:val="center"/>
          </w:tcPr>
          <w:p w14:paraId="44BAB556"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sz w:val="18"/>
                <w:szCs w:val="18"/>
                <w:lang w:eastAsia="cs-CZ"/>
              </w:rPr>
            </w:pPr>
            <w:r w:rsidRPr="00B41AE1">
              <w:rPr>
                <w:rFonts w:ascii="Arial Narrow" w:eastAsia="Times New Roman" w:hAnsi="Arial Narrow" w:cs="Tahoma"/>
                <w:b/>
                <w:sz w:val="18"/>
                <w:szCs w:val="18"/>
                <w:lang w:eastAsia="cs-CZ"/>
              </w:rPr>
              <w:t>0,3 %</w:t>
            </w:r>
          </w:p>
        </w:tc>
      </w:tr>
      <w:tr w:rsidR="003716D4" w:rsidRPr="00CE357F" w14:paraId="4EA1E54B"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hideMark/>
          </w:tcPr>
          <w:p w14:paraId="1CE7B1DE"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Velká Británie</w:t>
            </w:r>
          </w:p>
        </w:tc>
        <w:tc>
          <w:tcPr>
            <w:tcW w:w="1060" w:type="dxa"/>
            <w:vAlign w:val="center"/>
          </w:tcPr>
          <w:p w14:paraId="7F9F47BE"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1 899</w:t>
            </w:r>
          </w:p>
        </w:tc>
        <w:tc>
          <w:tcPr>
            <w:tcW w:w="1418" w:type="dxa"/>
            <w:vAlign w:val="center"/>
          </w:tcPr>
          <w:p w14:paraId="1C9049C6"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sidRPr="00CE357F">
              <w:rPr>
                <w:rFonts w:ascii="Arial Narrow" w:eastAsia="Times New Roman" w:hAnsi="Arial Narrow" w:cs="Tahoma"/>
                <w:sz w:val="18"/>
                <w:szCs w:val="18"/>
                <w:lang w:eastAsia="cs-CZ"/>
              </w:rPr>
              <w:t>2,0 %</w:t>
            </w:r>
          </w:p>
        </w:tc>
        <w:tc>
          <w:tcPr>
            <w:tcW w:w="709" w:type="dxa"/>
          </w:tcPr>
          <w:p w14:paraId="666AED3F"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1 683</w:t>
            </w:r>
          </w:p>
        </w:tc>
        <w:tc>
          <w:tcPr>
            <w:tcW w:w="1491" w:type="dxa"/>
            <w:vAlign w:val="center"/>
          </w:tcPr>
          <w:p w14:paraId="2F1C6C32"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1,5</w:t>
            </w:r>
            <w:r w:rsidRPr="00CE357F">
              <w:rPr>
                <w:rFonts w:ascii="Arial Narrow" w:eastAsia="Times New Roman" w:hAnsi="Arial Narrow" w:cs="Tahoma"/>
                <w:sz w:val="18"/>
                <w:szCs w:val="18"/>
                <w:lang w:eastAsia="cs-CZ"/>
              </w:rPr>
              <w:t xml:space="preserve"> %</w:t>
            </w:r>
          </w:p>
        </w:tc>
        <w:tc>
          <w:tcPr>
            <w:tcW w:w="1202" w:type="dxa"/>
            <w:vAlign w:val="bottom"/>
          </w:tcPr>
          <w:p w14:paraId="706F79A0"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20"/>
                <w:lang w:eastAsia="cs-CZ"/>
              </w:rPr>
            </w:pPr>
            <w:r w:rsidRPr="00AA1F12">
              <w:rPr>
                <w:rFonts w:ascii="Arial Narrow" w:hAnsi="Arial Narrow"/>
                <w:color w:val="000000"/>
                <w:sz w:val="18"/>
                <w:szCs w:val="20"/>
              </w:rPr>
              <w:t>-216</w:t>
            </w:r>
          </w:p>
        </w:tc>
        <w:tc>
          <w:tcPr>
            <w:tcW w:w="2127" w:type="dxa"/>
            <w:vAlign w:val="center"/>
          </w:tcPr>
          <w:p w14:paraId="7F99E98E" w14:textId="77777777" w:rsidR="003716D4" w:rsidRPr="00B41AE1"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b/>
                <w:color w:val="C00000"/>
                <w:sz w:val="18"/>
                <w:szCs w:val="18"/>
                <w:lang w:eastAsia="cs-CZ"/>
              </w:rPr>
            </w:pPr>
            <w:r w:rsidRPr="00B41AE1">
              <w:rPr>
                <w:rFonts w:ascii="Arial Narrow" w:eastAsia="Times New Roman" w:hAnsi="Arial Narrow" w:cs="Tahoma"/>
                <w:b/>
                <w:color w:val="C00000"/>
                <w:sz w:val="18"/>
                <w:szCs w:val="18"/>
                <w:lang w:eastAsia="cs-CZ"/>
              </w:rPr>
              <w:t>-0,5 %</w:t>
            </w:r>
          </w:p>
        </w:tc>
      </w:tr>
      <w:tr w:rsidR="003716D4" w:rsidRPr="00CE357F" w14:paraId="10AB089B"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tcPr>
          <w:p w14:paraId="33E66010"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Bulharsko</w:t>
            </w:r>
          </w:p>
        </w:tc>
        <w:tc>
          <w:tcPr>
            <w:tcW w:w="1060" w:type="dxa"/>
            <w:vAlign w:val="center"/>
          </w:tcPr>
          <w:p w14:paraId="28001C48"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CE357F">
              <w:rPr>
                <w:rFonts w:ascii="Arial Narrow" w:hAnsi="Arial Narrow" w:cs="Tahoma"/>
                <w:color w:val="000000"/>
                <w:sz w:val="18"/>
                <w:szCs w:val="18"/>
              </w:rPr>
              <w:t>1 826</w:t>
            </w:r>
          </w:p>
        </w:tc>
        <w:tc>
          <w:tcPr>
            <w:tcW w:w="1418" w:type="dxa"/>
            <w:vAlign w:val="center"/>
          </w:tcPr>
          <w:p w14:paraId="2749C129"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CE357F">
              <w:rPr>
                <w:rFonts w:ascii="Arial Narrow" w:hAnsi="Arial Narrow" w:cs="Tahoma"/>
                <w:color w:val="000000"/>
                <w:sz w:val="18"/>
                <w:szCs w:val="18"/>
              </w:rPr>
              <w:t>1,9 %</w:t>
            </w:r>
          </w:p>
        </w:tc>
        <w:tc>
          <w:tcPr>
            <w:tcW w:w="709" w:type="dxa"/>
          </w:tcPr>
          <w:p w14:paraId="538414EA"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eastAsia="Times New Roman" w:hAnsi="Arial Narrow" w:cs="Tahoma"/>
                <w:sz w:val="18"/>
                <w:szCs w:val="18"/>
                <w:lang w:eastAsia="cs-CZ"/>
              </w:rPr>
              <w:t>2 004</w:t>
            </w:r>
          </w:p>
        </w:tc>
        <w:tc>
          <w:tcPr>
            <w:tcW w:w="1491" w:type="dxa"/>
            <w:vAlign w:val="center"/>
          </w:tcPr>
          <w:p w14:paraId="0D2338BE"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18"/>
                <w:szCs w:val="18"/>
                <w:lang w:eastAsia="cs-CZ"/>
              </w:rPr>
            </w:pPr>
            <w:r>
              <w:rPr>
                <w:rFonts w:ascii="Arial Narrow" w:hAnsi="Arial Narrow" w:cs="Tahoma"/>
                <w:color w:val="000000"/>
                <w:sz w:val="18"/>
                <w:szCs w:val="18"/>
              </w:rPr>
              <w:t>1,8</w:t>
            </w:r>
            <w:r w:rsidRPr="00CE357F">
              <w:rPr>
                <w:rFonts w:ascii="Arial Narrow" w:hAnsi="Arial Narrow" w:cs="Tahoma"/>
                <w:color w:val="000000"/>
                <w:sz w:val="18"/>
                <w:szCs w:val="18"/>
              </w:rPr>
              <w:t xml:space="preserve"> %</w:t>
            </w:r>
          </w:p>
        </w:tc>
        <w:tc>
          <w:tcPr>
            <w:tcW w:w="1202" w:type="dxa"/>
            <w:vAlign w:val="bottom"/>
          </w:tcPr>
          <w:p w14:paraId="1B447B6F"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20"/>
              </w:rPr>
            </w:pPr>
            <w:r w:rsidRPr="00AA1F12">
              <w:rPr>
                <w:rFonts w:ascii="Arial Narrow" w:hAnsi="Arial Narrow"/>
                <w:color w:val="000000"/>
                <w:sz w:val="18"/>
                <w:szCs w:val="20"/>
              </w:rPr>
              <w:t>178</w:t>
            </w:r>
          </w:p>
        </w:tc>
        <w:tc>
          <w:tcPr>
            <w:tcW w:w="2127" w:type="dxa"/>
            <w:vAlign w:val="center"/>
          </w:tcPr>
          <w:p w14:paraId="2D4023D2" w14:textId="77777777" w:rsidR="003716D4" w:rsidRPr="00B41AE1"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color w:val="C00000"/>
                <w:sz w:val="18"/>
                <w:szCs w:val="18"/>
              </w:rPr>
            </w:pPr>
            <w:r w:rsidRPr="00B41AE1">
              <w:rPr>
                <w:rFonts w:ascii="Arial Narrow" w:hAnsi="Arial Narrow" w:cs="Tahoma"/>
                <w:b/>
                <w:color w:val="C00000"/>
                <w:sz w:val="18"/>
                <w:szCs w:val="18"/>
              </w:rPr>
              <w:t>-0,1 %</w:t>
            </w:r>
          </w:p>
        </w:tc>
      </w:tr>
      <w:tr w:rsidR="003716D4" w:rsidRPr="00CE357F" w14:paraId="3A3E1D35" w14:textId="77777777" w:rsidTr="00F84177">
        <w:trPr>
          <w:trHeight w:val="227"/>
          <w:jc w:val="center"/>
        </w:trPr>
        <w:tc>
          <w:tcPr>
            <w:cnfStyle w:val="001000000000" w:firstRow="0" w:lastRow="0" w:firstColumn="1" w:lastColumn="0" w:oddVBand="0" w:evenVBand="0" w:oddHBand="0" w:evenHBand="0" w:firstRowFirstColumn="0" w:firstRowLastColumn="0" w:lastRowFirstColumn="0" w:lastRowLastColumn="0"/>
            <w:tcW w:w="1203" w:type="dxa"/>
            <w:shd w:val="clear" w:color="auto" w:fill="D9E2F3" w:themeFill="accent1" w:themeFillTint="33"/>
            <w:noWrap/>
          </w:tcPr>
          <w:p w14:paraId="0C75E992" w14:textId="77777777" w:rsidR="003716D4" w:rsidRPr="00CE357F" w:rsidRDefault="003716D4" w:rsidP="004A0C47">
            <w:pPr>
              <w:jc w:val="center"/>
              <w:rPr>
                <w:rFonts w:ascii="Arial Narrow" w:eastAsia="Times New Roman" w:hAnsi="Arial Narrow"/>
                <w:b w:val="0"/>
                <w:bCs w:val="0"/>
                <w:sz w:val="18"/>
                <w:szCs w:val="18"/>
                <w:lang w:eastAsia="cs-CZ"/>
              </w:rPr>
            </w:pPr>
            <w:r w:rsidRPr="00CE357F">
              <w:rPr>
                <w:rFonts w:ascii="Arial Narrow" w:eastAsia="Times New Roman" w:hAnsi="Arial Narrow"/>
                <w:b w:val="0"/>
                <w:bCs w:val="0"/>
                <w:sz w:val="18"/>
                <w:szCs w:val="18"/>
                <w:lang w:eastAsia="cs-CZ"/>
              </w:rPr>
              <w:t>USA</w:t>
            </w:r>
          </w:p>
        </w:tc>
        <w:tc>
          <w:tcPr>
            <w:tcW w:w="1060" w:type="dxa"/>
            <w:vAlign w:val="center"/>
          </w:tcPr>
          <w:p w14:paraId="228E2F8D"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CE357F">
              <w:rPr>
                <w:rFonts w:ascii="Arial Narrow" w:hAnsi="Arial Narrow" w:cs="Tahoma"/>
                <w:color w:val="000000"/>
                <w:sz w:val="18"/>
                <w:szCs w:val="18"/>
              </w:rPr>
              <w:t>1 708</w:t>
            </w:r>
          </w:p>
        </w:tc>
        <w:tc>
          <w:tcPr>
            <w:tcW w:w="1418" w:type="dxa"/>
            <w:vAlign w:val="center"/>
          </w:tcPr>
          <w:p w14:paraId="43C2FFD3"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sidRPr="00CE357F">
              <w:rPr>
                <w:rFonts w:ascii="Arial Narrow" w:hAnsi="Arial Narrow" w:cs="Tahoma"/>
                <w:color w:val="000000"/>
                <w:sz w:val="18"/>
                <w:szCs w:val="18"/>
              </w:rPr>
              <w:t>1,8 %</w:t>
            </w:r>
          </w:p>
        </w:tc>
        <w:tc>
          <w:tcPr>
            <w:tcW w:w="709" w:type="dxa"/>
          </w:tcPr>
          <w:p w14:paraId="2ADD260F"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Pr>
                <w:rFonts w:ascii="Arial Narrow" w:hAnsi="Arial Narrow" w:cs="Tahoma"/>
                <w:color w:val="000000"/>
                <w:sz w:val="18"/>
                <w:szCs w:val="18"/>
              </w:rPr>
              <w:t>1 686</w:t>
            </w:r>
          </w:p>
        </w:tc>
        <w:tc>
          <w:tcPr>
            <w:tcW w:w="1491" w:type="dxa"/>
            <w:vAlign w:val="center"/>
          </w:tcPr>
          <w:p w14:paraId="0109D037"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18"/>
              </w:rPr>
            </w:pPr>
            <w:r>
              <w:rPr>
                <w:rFonts w:ascii="Arial Narrow" w:hAnsi="Arial Narrow" w:cs="Tahoma"/>
                <w:color w:val="000000"/>
                <w:sz w:val="18"/>
                <w:szCs w:val="18"/>
              </w:rPr>
              <w:t>1,6</w:t>
            </w:r>
            <w:r w:rsidRPr="00CE357F">
              <w:rPr>
                <w:rFonts w:ascii="Arial Narrow" w:hAnsi="Arial Narrow" w:cs="Tahoma"/>
                <w:color w:val="000000"/>
                <w:sz w:val="18"/>
                <w:szCs w:val="18"/>
              </w:rPr>
              <w:t xml:space="preserve"> %</w:t>
            </w:r>
          </w:p>
        </w:tc>
        <w:tc>
          <w:tcPr>
            <w:tcW w:w="1202" w:type="dxa"/>
            <w:vAlign w:val="bottom"/>
          </w:tcPr>
          <w:p w14:paraId="70857B62" w14:textId="77777777" w:rsidR="003716D4" w:rsidRPr="00AA1F12"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sz w:val="18"/>
                <w:szCs w:val="20"/>
              </w:rPr>
            </w:pPr>
            <w:r w:rsidRPr="00AA1F12">
              <w:rPr>
                <w:rFonts w:ascii="Arial Narrow" w:hAnsi="Arial Narrow"/>
                <w:color w:val="000000"/>
                <w:sz w:val="18"/>
                <w:szCs w:val="20"/>
              </w:rPr>
              <w:t>-22</w:t>
            </w:r>
          </w:p>
        </w:tc>
        <w:tc>
          <w:tcPr>
            <w:tcW w:w="2127" w:type="dxa"/>
            <w:vAlign w:val="center"/>
          </w:tcPr>
          <w:p w14:paraId="4BDB61A7" w14:textId="77777777" w:rsidR="003716D4" w:rsidRPr="00CE357F" w:rsidRDefault="003716D4" w:rsidP="004A0C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color w:val="000000"/>
                <w:sz w:val="18"/>
                <w:szCs w:val="18"/>
              </w:rPr>
            </w:pPr>
            <w:r>
              <w:rPr>
                <w:rFonts w:ascii="Arial Narrow" w:hAnsi="Arial Narrow" w:cs="Tahoma"/>
                <w:b/>
                <w:color w:val="C00000"/>
                <w:sz w:val="18"/>
                <w:szCs w:val="18"/>
              </w:rPr>
              <w:t>-0,2</w:t>
            </w:r>
            <w:r w:rsidRPr="00CE357F">
              <w:rPr>
                <w:rFonts w:ascii="Arial Narrow" w:hAnsi="Arial Narrow" w:cs="Tahoma"/>
                <w:b/>
                <w:color w:val="C00000"/>
                <w:sz w:val="18"/>
                <w:szCs w:val="18"/>
              </w:rPr>
              <w:t xml:space="preserve"> %</w:t>
            </w:r>
          </w:p>
        </w:tc>
      </w:tr>
    </w:tbl>
    <w:p w14:paraId="7BF3566A" w14:textId="77777777" w:rsidR="003716D4" w:rsidRPr="00CE357F" w:rsidRDefault="003716D4" w:rsidP="003716D4">
      <w:pPr>
        <w:spacing w:line="276" w:lineRule="auto"/>
        <w:jc w:val="both"/>
        <w:rPr>
          <w:rFonts w:ascii="Arial Narrow" w:hAnsi="Arial Narrow" w:cs="Arial"/>
          <w:sz w:val="20"/>
        </w:rPr>
      </w:pPr>
      <w:r w:rsidRPr="00CE357F">
        <w:rPr>
          <w:rFonts w:ascii="Arial Narrow" w:hAnsi="Arial Narrow" w:cs="Arial"/>
          <w:sz w:val="20"/>
        </w:rPr>
        <w:t>Zdroj: Ministerstvo práce a obchodu</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35969AF6" w14:textId="77777777" w:rsidR="00C91607" w:rsidRPr="00CE357F" w:rsidRDefault="00C91607" w:rsidP="00D6793F">
      <w:pPr>
        <w:spacing w:line="276" w:lineRule="auto"/>
        <w:rPr>
          <w:rFonts w:ascii="Arial Narrow" w:hAnsi="Arial Narrow"/>
          <w:b/>
          <w:color w:val="C00000"/>
        </w:rPr>
      </w:pPr>
    </w:p>
    <w:p w14:paraId="2D062EB1" w14:textId="77777777" w:rsidR="00D6793F" w:rsidRPr="00CE357F" w:rsidRDefault="00D6793F" w:rsidP="00D6793F">
      <w:pPr>
        <w:spacing w:line="276" w:lineRule="auto"/>
        <w:rPr>
          <w:rFonts w:ascii="Arial Narrow" w:hAnsi="Arial Narrow"/>
          <w:b/>
          <w:color w:val="C00000"/>
        </w:rPr>
      </w:pPr>
      <w:r w:rsidRPr="00CE357F">
        <w:rPr>
          <w:rFonts w:ascii="Arial Narrow" w:hAnsi="Arial Narrow"/>
          <w:b/>
          <w:color w:val="C00000"/>
        </w:rPr>
        <w:t>Samostatně výdělečné osoby s jinou než českou státní příslušností v Jihomoravském kraji</w:t>
      </w:r>
    </w:p>
    <w:p w14:paraId="613A0C8C" w14:textId="77777777" w:rsidR="00D6793F" w:rsidRPr="00CE357F" w:rsidRDefault="00D6793F" w:rsidP="00D6793F">
      <w:pPr>
        <w:spacing w:line="276" w:lineRule="auto"/>
        <w:rPr>
          <w:rFonts w:ascii="Arial Narrow" w:hAnsi="Arial Narrow"/>
          <w:b/>
          <w:color w:val="2F5496" w:themeColor="accent1" w:themeShade="BF"/>
        </w:rPr>
      </w:pPr>
    </w:p>
    <w:p w14:paraId="566AA65C" w14:textId="74847BF8" w:rsidR="003716D4" w:rsidRPr="00CE357F" w:rsidRDefault="003716D4" w:rsidP="003716D4">
      <w:pPr>
        <w:spacing w:after="120" w:line="276" w:lineRule="auto"/>
        <w:jc w:val="both"/>
        <w:rPr>
          <w:rFonts w:ascii="Arial Narrow" w:hAnsi="Arial Narrow"/>
        </w:rPr>
      </w:pPr>
      <w:r w:rsidRPr="7CC7BF57">
        <w:rPr>
          <w:rFonts w:ascii="Arial Narrow" w:hAnsi="Arial Narrow"/>
        </w:rPr>
        <w:t xml:space="preserve">Z celkových 100 425 zaměstnaných osob s jinou než českou státní příslušností v Jihomoravském kraji k 31. 12. 2022 </w:t>
      </w:r>
      <w:r w:rsidRPr="007B59C4">
        <w:rPr>
          <w:rFonts w:ascii="Arial Narrow" w:hAnsi="Arial Narrow"/>
        </w:rPr>
        <w:t>bylo 91 </w:t>
      </w:r>
      <w:r w:rsidR="0065686D" w:rsidRPr="007B59C4">
        <w:rPr>
          <w:rFonts w:ascii="Arial Narrow" w:hAnsi="Arial Narrow"/>
        </w:rPr>
        <w:t>375</w:t>
      </w:r>
      <w:r w:rsidRPr="007B59C4">
        <w:rPr>
          <w:rFonts w:ascii="Arial Narrow" w:hAnsi="Arial Narrow"/>
        </w:rPr>
        <w:t xml:space="preserve"> evidovaných na úřadech práce. K tomu bylo živnostenskými úřady v kraji registrováno dalších celkem 9 042 osob s jinou než českou</w:t>
      </w:r>
      <w:r w:rsidRPr="7CC7BF57">
        <w:rPr>
          <w:rFonts w:ascii="Arial Narrow" w:hAnsi="Arial Narrow"/>
        </w:rPr>
        <w:t xml:space="preserve"> státní příslušností, které podnikají. </w:t>
      </w:r>
    </w:p>
    <w:p w14:paraId="547D0C89" w14:textId="11FC70F9" w:rsidR="003716D4" w:rsidRPr="00CE357F" w:rsidRDefault="003716D4" w:rsidP="003716D4">
      <w:pPr>
        <w:spacing w:after="120" w:line="276" w:lineRule="auto"/>
        <w:jc w:val="both"/>
        <w:rPr>
          <w:rFonts w:ascii="Arial Narrow" w:hAnsi="Arial Narrow"/>
        </w:rPr>
      </w:pPr>
      <w:r w:rsidRPr="00CE357F">
        <w:rPr>
          <w:rFonts w:ascii="Arial Narrow" w:hAnsi="Arial Narrow"/>
        </w:rPr>
        <w:t>Podíváme-li se na vývoj počtu osob s jinou než českou státní příslušností s platným živnostenským oprávněním v Jihomoravském kraji, lze konstatovat, po dočasném nárůstu jejich počtu v letech 2009-2011 se jejich stavy stabilizovaly. „</w:t>
      </w:r>
      <w:r w:rsidRPr="00CE357F">
        <w:rPr>
          <w:rFonts w:ascii="Arial Narrow" w:hAnsi="Arial Narrow"/>
          <w:i/>
          <w:iCs/>
        </w:rPr>
        <w:t>Nárůst jejich počtu v období let 2009–2011 byl důsledkem restriktivních opatření Úřadu práce v oblasti vydávání pracovních povolení. Část cizinců, jimž bylo odmítnuto standardní pracovní povolení, řešila situaci založením vlastní živnosti. Bylo to však zřejmě pouze dočasné řešení, protože po roce 2011 počet těchto živností postupně opět klesl na úroveň roku 2009</w:t>
      </w:r>
      <w:r w:rsidRPr="00CE357F">
        <w:rPr>
          <w:rFonts w:ascii="Arial Narrow" w:hAnsi="Arial Narrow"/>
        </w:rPr>
        <w:t>.“</w:t>
      </w:r>
      <w:r w:rsidRPr="00CE357F">
        <w:rPr>
          <w:rStyle w:val="Znakapoznpodarou"/>
          <w:rFonts w:ascii="Arial Narrow" w:hAnsi="Arial Narrow"/>
        </w:rPr>
        <w:footnoteReference w:id="67"/>
      </w:r>
      <w:r w:rsidRPr="00CE357F">
        <w:rPr>
          <w:rFonts w:ascii="Arial Narrow" w:hAnsi="Arial Narrow"/>
        </w:rPr>
        <w:t xml:space="preserve"> Vývoj počtu osob s jinou než českou státní příslušností s platným živnostenským oprávněním k 31. 12. daného roku podrobně dokumentuje tabulka</w:t>
      </w:r>
      <w:r w:rsidR="00FE053E">
        <w:rPr>
          <w:rFonts w:ascii="Arial Narrow" w:hAnsi="Arial Narrow"/>
        </w:rPr>
        <w:t xml:space="preserve"> č. 23</w:t>
      </w:r>
      <w:r w:rsidRPr="00CE357F">
        <w:rPr>
          <w:rFonts w:ascii="Arial Narrow" w:hAnsi="Arial Narrow"/>
        </w:rPr>
        <w:t xml:space="preserve">. </w:t>
      </w:r>
    </w:p>
    <w:p w14:paraId="671FB059" w14:textId="37739D5A" w:rsidR="00D6793F" w:rsidRPr="00CE357F" w:rsidRDefault="00D6793F" w:rsidP="00D6793F">
      <w:pPr>
        <w:spacing w:before="240"/>
        <w:jc w:val="both"/>
        <w:rPr>
          <w:rFonts w:ascii="Arial Narrow" w:hAnsi="Arial Narrow"/>
          <w:b/>
          <w:sz w:val="20"/>
          <w:szCs w:val="20"/>
        </w:rPr>
      </w:pPr>
      <w:bookmarkStart w:id="554" w:name="_Toc136429234"/>
      <w:r w:rsidRPr="00CE357F">
        <w:rPr>
          <w:rFonts w:ascii="Arial Narrow" w:hAnsi="Arial Narrow"/>
          <w:b/>
          <w:sz w:val="20"/>
          <w:szCs w:val="20"/>
        </w:rPr>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23</w:t>
      </w:r>
      <w:r w:rsidRPr="00CE357F">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 xml:space="preserve"> </w:t>
      </w:r>
      <w:r w:rsidRPr="00CE357F">
        <w:rPr>
          <w:rFonts w:ascii="Arial Narrow" w:eastAsia="Times New Roman" w:hAnsi="Arial Narrow" w:cs="Arial"/>
          <w:b/>
          <w:sz w:val="20"/>
          <w:szCs w:val="20"/>
          <w:lang w:eastAsia="cs-CZ"/>
        </w:rPr>
        <w:t xml:space="preserve">Počet osob </w:t>
      </w:r>
      <w:r w:rsidR="00FD1BBA">
        <w:rPr>
          <w:rFonts w:ascii="Arial Narrow" w:eastAsia="Times New Roman" w:hAnsi="Arial Narrow" w:cs="Arial"/>
          <w:b/>
          <w:sz w:val="20"/>
          <w:szCs w:val="20"/>
          <w:lang w:eastAsia="cs-CZ"/>
        </w:rPr>
        <w:t xml:space="preserve">v Jihomoravském kraji </w:t>
      </w:r>
      <w:r w:rsidRPr="00CE357F">
        <w:rPr>
          <w:rFonts w:ascii="Arial Narrow" w:eastAsia="Times New Roman" w:hAnsi="Arial Narrow" w:cs="Arial"/>
          <w:b/>
          <w:sz w:val="20"/>
          <w:szCs w:val="20"/>
          <w:lang w:eastAsia="cs-CZ"/>
        </w:rPr>
        <w:t>s jin</w:t>
      </w:r>
      <w:r w:rsidR="00FD1BBA">
        <w:rPr>
          <w:rFonts w:ascii="Arial Narrow" w:eastAsia="Times New Roman" w:hAnsi="Arial Narrow" w:cs="Arial"/>
          <w:b/>
          <w:sz w:val="20"/>
          <w:szCs w:val="20"/>
          <w:lang w:eastAsia="cs-CZ"/>
        </w:rPr>
        <w:t>ou</w:t>
      </w:r>
      <w:r w:rsidRPr="00CE357F">
        <w:rPr>
          <w:rFonts w:ascii="Arial Narrow" w:eastAsia="Times New Roman" w:hAnsi="Arial Narrow" w:cs="Arial"/>
          <w:b/>
          <w:sz w:val="20"/>
          <w:szCs w:val="20"/>
          <w:lang w:eastAsia="cs-CZ"/>
        </w:rPr>
        <w:t xml:space="preserve"> než českou státní příslušností s platným živnostenským oprávněním k 31. 12</w:t>
      </w:r>
      <w:r w:rsidR="003716D4">
        <w:rPr>
          <w:rFonts w:ascii="Arial Narrow" w:eastAsia="Times New Roman" w:hAnsi="Arial Narrow" w:cs="Arial"/>
          <w:b/>
          <w:sz w:val="20"/>
          <w:szCs w:val="20"/>
          <w:lang w:eastAsia="cs-CZ"/>
        </w:rPr>
        <w:t>. daného roku</w:t>
      </w:r>
      <w:bookmarkEnd w:id="554"/>
    </w:p>
    <w:tbl>
      <w:tblPr>
        <w:tblStyle w:val="Svtltabulkasmkou1zvraznn12"/>
        <w:tblW w:w="8789" w:type="dxa"/>
        <w:jc w:val="center"/>
        <w:tblLook w:val="04A0" w:firstRow="1" w:lastRow="0" w:firstColumn="1" w:lastColumn="0" w:noHBand="0" w:noVBand="1"/>
      </w:tblPr>
      <w:tblGrid>
        <w:gridCol w:w="878"/>
        <w:gridCol w:w="879"/>
        <w:gridCol w:w="879"/>
        <w:gridCol w:w="879"/>
        <w:gridCol w:w="879"/>
        <w:gridCol w:w="879"/>
        <w:gridCol w:w="879"/>
        <w:gridCol w:w="879"/>
        <w:gridCol w:w="879"/>
        <w:gridCol w:w="879"/>
      </w:tblGrid>
      <w:tr w:rsidR="003716D4" w:rsidRPr="00CE357F" w14:paraId="73388BFD" w14:textId="77777777" w:rsidTr="003716D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89" w:type="dxa"/>
            <w:gridSpan w:val="10"/>
            <w:shd w:val="clear" w:color="auto" w:fill="D9E2F3" w:themeFill="accent1" w:themeFillTint="33"/>
            <w:vAlign w:val="center"/>
          </w:tcPr>
          <w:p w14:paraId="069A9451" w14:textId="402A0664" w:rsidR="003716D4" w:rsidRPr="00CE357F" w:rsidRDefault="003716D4" w:rsidP="0056626A">
            <w:pPr>
              <w:jc w:val="center"/>
              <w:rPr>
                <w:rFonts w:ascii="Arial Narrow" w:eastAsia="Times New Roman" w:hAnsi="Arial Narrow" w:cs="Arial"/>
                <w:sz w:val="18"/>
                <w:szCs w:val="18"/>
                <w:lang w:eastAsia="cs-CZ"/>
              </w:rPr>
            </w:pPr>
            <w:r w:rsidRPr="00FD1BBA">
              <w:rPr>
                <w:rFonts w:ascii="Arial Narrow" w:eastAsia="Times New Roman" w:hAnsi="Arial Narrow" w:cs="Arial"/>
                <w:b w:val="0"/>
                <w:sz w:val="20"/>
                <w:szCs w:val="20"/>
                <w:lang w:eastAsia="cs-CZ"/>
              </w:rPr>
              <w:t xml:space="preserve">Počet osob v Jihomoravském kraji s jinou než českou státní příslušností s platným živnostenským oprávněním </w:t>
            </w:r>
            <w:r>
              <w:rPr>
                <w:rFonts w:ascii="Arial Narrow" w:eastAsia="Times New Roman" w:hAnsi="Arial Narrow" w:cs="Arial"/>
                <w:b w:val="0"/>
                <w:sz w:val="20"/>
                <w:szCs w:val="20"/>
                <w:lang w:eastAsia="cs-CZ"/>
              </w:rPr>
              <w:br/>
            </w:r>
            <w:r w:rsidRPr="00FD1BBA">
              <w:rPr>
                <w:rFonts w:ascii="Arial Narrow" w:eastAsia="Times New Roman" w:hAnsi="Arial Narrow" w:cs="Arial"/>
                <w:b w:val="0"/>
                <w:sz w:val="20"/>
                <w:szCs w:val="20"/>
                <w:lang w:eastAsia="cs-CZ"/>
              </w:rPr>
              <w:t>k 31. 12.</w:t>
            </w:r>
            <w:r>
              <w:rPr>
                <w:rFonts w:ascii="Arial Narrow" w:eastAsia="Times New Roman" w:hAnsi="Arial Narrow" w:cs="Arial"/>
                <w:b w:val="0"/>
                <w:sz w:val="20"/>
                <w:szCs w:val="20"/>
                <w:lang w:eastAsia="cs-CZ"/>
              </w:rPr>
              <w:t xml:space="preserve"> daného roku</w:t>
            </w:r>
          </w:p>
        </w:tc>
      </w:tr>
      <w:tr w:rsidR="003716D4" w:rsidRPr="00CE357F" w14:paraId="0804D564" w14:textId="77777777" w:rsidTr="003716D4">
        <w:trPr>
          <w:trHeight w:val="270"/>
          <w:jc w:val="center"/>
        </w:trPr>
        <w:tc>
          <w:tcPr>
            <w:cnfStyle w:val="001000000000" w:firstRow="0" w:lastRow="0" w:firstColumn="1" w:lastColumn="0" w:oddVBand="0" w:evenVBand="0" w:oddHBand="0" w:evenHBand="0" w:firstRowFirstColumn="0" w:firstRowLastColumn="0" w:lastRowFirstColumn="0" w:lastRowLastColumn="0"/>
            <w:tcW w:w="878" w:type="dxa"/>
            <w:shd w:val="clear" w:color="auto" w:fill="D9E2F3" w:themeFill="accent1" w:themeFillTint="33"/>
            <w:vAlign w:val="center"/>
            <w:hideMark/>
          </w:tcPr>
          <w:p w14:paraId="02D05DFF" w14:textId="77777777" w:rsidR="003716D4" w:rsidRPr="00CE357F" w:rsidRDefault="003716D4" w:rsidP="0056626A">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Rok</w:t>
            </w:r>
          </w:p>
        </w:tc>
        <w:tc>
          <w:tcPr>
            <w:tcW w:w="879" w:type="dxa"/>
            <w:shd w:val="clear" w:color="auto" w:fill="D9E2F3" w:themeFill="accent1" w:themeFillTint="33"/>
            <w:vAlign w:val="center"/>
            <w:hideMark/>
          </w:tcPr>
          <w:p w14:paraId="0EB2A434"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2005</w:t>
            </w:r>
          </w:p>
        </w:tc>
        <w:tc>
          <w:tcPr>
            <w:tcW w:w="879" w:type="dxa"/>
            <w:shd w:val="clear" w:color="auto" w:fill="D9E2F3" w:themeFill="accent1" w:themeFillTint="33"/>
            <w:vAlign w:val="center"/>
          </w:tcPr>
          <w:p w14:paraId="76522AF1"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2006</w:t>
            </w:r>
          </w:p>
        </w:tc>
        <w:tc>
          <w:tcPr>
            <w:tcW w:w="879" w:type="dxa"/>
            <w:shd w:val="clear" w:color="auto" w:fill="D9E2F3" w:themeFill="accent1" w:themeFillTint="33"/>
            <w:vAlign w:val="center"/>
          </w:tcPr>
          <w:p w14:paraId="49465E67"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2007</w:t>
            </w:r>
          </w:p>
        </w:tc>
        <w:tc>
          <w:tcPr>
            <w:tcW w:w="879" w:type="dxa"/>
            <w:shd w:val="clear" w:color="auto" w:fill="D9E2F3" w:themeFill="accent1" w:themeFillTint="33"/>
            <w:vAlign w:val="center"/>
          </w:tcPr>
          <w:p w14:paraId="2BA08331"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2008</w:t>
            </w:r>
          </w:p>
        </w:tc>
        <w:tc>
          <w:tcPr>
            <w:tcW w:w="879" w:type="dxa"/>
            <w:shd w:val="clear" w:color="auto" w:fill="D9E2F3" w:themeFill="accent1" w:themeFillTint="33"/>
            <w:vAlign w:val="center"/>
          </w:tcPr>
          <w:p w14:paraId="47D5A63F"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2009</w:t>
            </w:r>
          </w:p>
        </w:tc>
        <w:tc>
          <w:tcPr>
            <w:tcW w:w="879" w:type="dxa"/>
            <w:shd w:val="clear" w:color="auto" w:fill="D9E2F3" w:themeFill="accent1" w:themeFillTint="33"/>
            <w:vAlign w:val="center"/>
          </w:tcPr>
          <w:p w14:paraId="6A57A89C"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2010</w:t>
            </w:r>
          </w:p>
        </w:tc>
        <w:tc>
          <w:tcPr>
            <w:tcW w:w="879" w:type="dxa"/>
            <w:shd w:val="clear" w:color="auto" w:fill="D9E2F3" w:themeFill="accent1" w:themeFillTint="33"/>
            <w:vAlign w:val="center"/>
          </w:tcPr>
          <w:p w14:paraId="3FEC4DD3"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2011</w:t>
            </w:r>
          </w:p>
        </w:tc>
        <w:tc>
          <w:tcPr>
            <w:tcW w:w="879" w:type="dxa"/>
            <w:shd w:val="clear" w:color="auto" w:fill="D9E2F3" w:themeFill="accent1" w:themeFillTint="33"/>
            <w:vAlign w:val="center"/>
          </w:tcPr>
          <w:p w14:paraId="677279BB"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2012</w:t>
            </w:r>
          </w:p>
        </w:tc>
        <w:tc>
          <w:tcPr>
            <w:tcW w:w="879" w:type="dxa"/>
            <w:shd w:val="clear" w:color="auto" w:fill="D9E2F3" w:themeFill="accent1" w:themeFillTint="33"/>
            <w:vAlign w:val="center"/>
          </w:tcPr>
          <w:p w14:paraId="2DB4F239" w14:textId="77777777"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2013</w:t>
            </w:r>
          </w:p>
        </w:tc>
      </w:tr>
      <w:tr w:rsidR="003716D4" w:rsidRPr="00CE357F" w14:paraId="6A0F3628" w14:textId="77777777" w:rsidTr="003716D4">
        <w:trPr>
          <w:trHeight w:val="272"/>
          <w:jc w:val="center"/>
        </w:trPr>
        <w:tc>
          <w:tcPr>
            <w:cnfStyle w:val="001000000000" w:firstRow="0" w:lastRow="0" w:firstColumn="1" w:lastColumn="0" w:oddVBand="0" w:evenVBand="0" w:oddHBand="0" w:evenHBand="0" w:firstRowFirstColumn="0" w:firstRowLastColumn="0" w:lastRowFirstColumn="0" w:lastRowLastColumn="0"/>
            <w:tcW w:w="878" w:type="dxa"/>
            <w:shd w:val="clear" w:color="auto" w:fill="D9E2F3" w:themeFill="accent1" w:themeFillTint="33"/>
            <w:vAlign w:val="center"/>
          </w:tcPr>
          <w:p w14:paraId="3C7B0065" w14:textId="77777777" w:rsidR="003716D4" w:rsidRPr="00CE357F" w:rsidRDefault="003716D4" w:rsidP="0056626A">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20"/>
                <w:szCs w:val="20"/>
                <w:lang w:eastAsia="cs-CZ"/>
              </w:rPr>
              <w:t>Počet</w:t>
            </w:r>
          </w:p>
        </w:tc>
        <w:tc>
          <w:tcPr>
            <w:tcW w:w="879" w:type="dxa"/>
            <w:vAlign w:val="center"/>
          </w:tcPr>
          <w:p w14:paraId="55CAFCD4" w14:textId="13C02D36"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5</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783</w:t>
            </w:r>
          </w:p>
        </w:tc>
        <w:tc>
          <w:tcPr>
            <w:tcW w:w="879" w:type="dxa"/>
            <w:vAlign w:val="center"/>
          </w:tcPr>
          <w:p w14:paraId="67523E8F" w14:textId="4E932AFC"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5</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662</w:t>
            </w:r>
          </w:p>
        </w:tc>
        <w:tc>
          <w:tcPr>
            <w:tcW w:w="879" w:type="dxa"/>
            <w:vAlign w:val="center"/>
          </w:tcPr>
          <w:p w14:paraId="5936E337" w14:textId="7EE4F27D"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5</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901</w:t>
            </w:r>
          </w:p>
        </w:tc>
        <w:tc>
          <w:tcPr>
            <w:tcW w:w="879" w:type="dxa"/>
            <w:vAlign w:val="center"/>
          </w:tcPr>
          <w:p w14:paraId="29B7AB12" w14:textId="3037A9A9"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6</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085</w:t>
            </w:r>
          </w:p>
        </w:tc>
        <w:tc>
          <w:tcPr>
            <w:tcW w:w="879" w:type="dxa"/>
            <w:vAlign w:val="center"/>
          </w:tcPr>
          <w:p w14:paraId="062A8F35" w14:textId="627482CC"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6</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922</w:t>
            </w:r>
          </w:p>
        </w:tc>
        <w:tc>
          <w:tcPr>
            <w:tcW w:w="879" w:type="dxa"/>
            <w:vAlign w:val="center"/>
          </w:tcPr>
          <w:p w14:paraId="29C4AA8A" w14:textId="2ACAB41D"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7</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918</w:t>
            </w:r>
          </w:p>
        </w:tc>
        <w:tc>
          <w:tcPr>
            <w:tcW w:w="879" w:type="dxa"/>
            <w:vAlign w:val="center"/>
          </w:tcPr>
          <w:p w14:paraId="78CF3224" w14:textId="3D6C7482"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9</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002</w:t>
            </w:r>
          </w:p>
        </w:tc>
        <w:tc>
          <w:tcPr>
            <w:tcW w:w="879" w:type="dxa"/>
            <w:vAlign w:val="center"/>
          </w:tcPr>
          <w:p w14:paraId="3FC39041" w14:textId="04BE6D02"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8</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588</w:t>
            </w:r>
          </w:p>
        </w:tc>
        <w:tc>
          <w:tcPr>
            <w:tcW w:w="879" w:type="dxa"/>
            <w:vAlign w:val="center"/>
          </w:tcPr>
          <w:p w14:paraId="4C81ED25" w14:textId="186887AC" w:rsidR="003716D4" w:rsidRPr="00CE357F" w:rsidRDefault="003716D4" w:rsidP="0056626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7</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288</w:t>
            </w:r>
          </w:p>
        </w:tc>
      </w:tr>
      <w:tr w:rsidR="003716D4" w:rsidRPr="00CE357F" w14:paraId="30AFEF58" w14:textId="77777777" w:rsidTr="003716D4">
        <w:trPr>
          <w:trHeight w:val="272"/>
          <w:jc w:val="center"/>
        </w:trPr>
        <w:tc>
          <w:tcPr>
            <w:cnfStyle w:val="001000000000" w:firstRow="0" w:lastRow="0" w:firstColumn="1" w:lastColumn="0" w:oddVBand="0" w:evenVBand="0" w:oddHBand="0" w:evenHBand="0" w:firstRowFirstColumn="0" w:firstRowLastColumn="0" w:lastRowFirstColumn="0" w:lastRowLastColumn="0"/>
            <w:tcW w:w="878" w:type="dxa"/>
            <w:shd w:val="clear" w:color="auto" w:fill="D9E2F3" w:themeFill="accent1" w:themeFillTint="33"/>
            <w:vAlign w:val="center"/>
          </w:tcPr>
          <w:p w14:paraId="44E40571" w14:textId="7D2DED05" w:rsidR="003716D4" w:rsidRPr="00CE357F" w:rsidRDefault="003716D4" w:rsidP="003716D4">
            <w:pPr>
              <w:jc w:val="center"/>
              <w:rPr>
                <w:rFonts w:ascii="Arial Narrow" w:eastAsia="Times New Roman" w:hAnsi="Arial Narrow" w:cs="Arial"/>
                <w:sz w:val="20"/>
                <w:szCs w:val="20"/>
                <w:lang w:eastAsia="cs-CZ"/>
              </w:rPr>
            </w:pPr>
            <w:r w:rsidRPr="00CE357F">
              <w:rPr>
                <w:rFonts w:ascii="Arial Narrow" w:eastAsia="Times New Roman" w:hAnsi="Arial Narrow" w:cs="Arial"/>
                <w:b w:val="0"/>
                <w:bCs w:val="0"/>
                <w:sz w:val="18"/>
                <w:szCs w:val="18"/>
                <w:lang w:eastAsia="cs-CZ"/>
              </w:rPr>
              <w:t>Rok</w:t>
            </w:r>
          </w:p>
        </w:tc>
        <w:tc>
          <w:tcPr>
            <w:tcW w:w="879" w:type="dxa"/>
            <w:shd w:val="clear" w:color="auto" w:fill="D9E2F3" w:themeFill="accent1" w:themeFillTint="33"/>
            <w:vAlign w:val="center"/>
          </w:tcPr>
          <w:p w14:paraId="7AB19BFC" w14:textId="740080FB"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2014</w:t>
            </w:r>
          </w:p>
        </w:tc>
        <w:tc>
          <w:tcPr>
            <w:tcW w:w="879" w:type="dxa"/>
            <w:shd w:val="clear" w:color="auto" w:fill="D9E2F3" w:themeFill="accent1" w:themeFillTint="33"/>
            <w:vAlign w:val="center"/>
          </w:tcPr>
          <w:p w14:paraId="0ABA0DE2" w14:textId="52611CC9"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2015</w:t>
            </w:r>
          </w:p>
        </w:tc>
        <w:tc>
          <w:tcPr>
            <w:tcW w:w="879" w:type="dxa"/>
            <w:shd w:val="clear" w:color="auto" w:fill="D9E2F3" w:themeFill="accent1" w:themeFillTint="33"/>
            <w:vAlign w:val="center"/>
          </w:tcPr>
          <w:p w14:paraId="1EB349FB" w14:textId="729A31BE"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2016</w:t>
            </w:r>
          </w:p>
        </w:tc>
        <w:tc>
          <w:tcPr>
            <w:tcW w:w="879" w:type="dxa"/>
            <w:shd w:val="clear" w:color="auto" w:fill="D9E2F3" w:themeFill="accent1" w:themeFillTint="33"/>
            <w:vAlign w:val="center"/>
          </w:tcPr>
          <w:p w14:paraId="5F29E278" w14:textId="2073475A"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2017</w:t>
            </w:r>
          </w:p>
        </w:tc>
        <w:tc>
          <w:tcPr>
            <w:tcW w:w="879" w:type="dxa"/>
            <w:shd w:val="clear" w:color="auto" w:fill="D9E2F3" w:themeFill="accent1" w:themeFillTint="33"/>
            <w:vAlign w:val="center"/>
          </w:tcPr>
          <w:p w14:paraId="64E20FF3" w14:textId="01850EF5"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2018</w:t>
            </w:r>
          </w:p>
        </w:tc>
        <w:tc>
          <w:tcPr>
            <w:tcW w:w="879" w:type="dxa"/>
            <w:shd w:val="clear" w:color="auto" w:fill="D9E2F3" w:themeFill="accent1" w:themeFillTint="33"/>
            <w:vAlign w:val="center"/>
          </w:tcPr>
          <w:p w14:paraId="4F8ACEDE" w14:textId="689B7683"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2019</w:t>
            </w:r>
          </w:p>
        </w:tc>
        <w:tc>
          <w:tcPr>
            <w:tcW w:w="879" w:type="dxa"/>
            <w:shd w:val="clear" w:color="auto" w:fill="D9E2F3" w:themeFill="accent1" w:themeFillTint="33"/>
            <w:vAlign w:val="center"/>
          </w:tcPr>
          <w:p w14:paraId="1B2F0294" w14:textId="2F1E718F"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2020</w:t>
            </w:r>
          </w:p>
        </w:tc>
        <w:tc>
          <w:tcPr>
            <w:tcW w:w="879" w:type="dxa"/>
            <w:shd w:val="clear" w:color="auto" w:fill="D9E2F3" w:themeFill="accent1" w:themeFillTint="33"/>
            <w:vAlign w:val="center"/>
          </w:tcPr>
          <w:p w14:paraId="758298C4" w14:textId="68C70459" w:rsidR="003716D4" w:rsidRPr="003716D4"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3716D4">
              <w:rPr>
                <w:rFonts w:ascii="Arial Narrow" w:eastAsia="Times New Roman" w:hAnsi="Arial Narrow" w:cs="Arial"/>
                <w:sz w:val="18"/>
                <w:szCs w:val="18"/>
                <w:lang w:eastAsia="cs-CZ"/>
              </w:rPr>
              <w:t>2021</w:t>
            </w:r>
          </w:p>
        </w:tc>
        <w:tc>
          <w:tcPr>
            <w:tcW w:w="879" w:type="dxa"/>
            <w:shd w:val="clear" w:color="auto" w:fill="D9E2F3" w:themeFill="accent1" w:themeFillTint="33"/>
            <w:vAlign w:val="center"/>
          </w:tcPr>
          <w:p w14:paraId="2E2B8F77" w14:textId="557CB9D3" w:rsidR="003716D4" w:rsidRPr="003716D4"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3716D4">
              <w:rPr>
                <w:rFonts w:ascii="Arial Narrow" w:eastAsia="Times New Roman" w:hAnsi="Arial Narrow" w:cs="Arial"/>
                <w:sz w:val="18"/>
                <w:szCs w:val="18"/>
                <w:lang w:eastAsia="cs-CZ"/>
              </w:rPr>
              <w:t>2022</w:t>
            </w:r>
          </w:p>
        </w:tc>
      </w:tr>
      <w:tr w:rsidR="003716D4" w:rsidRPr="00CE357F" w14:paraId="3110C4B4" w14:textId="77777777" w:rsidTr="003716D4">
        <w:trPr>
          <w:trHeight w:val="272"/>
          <w:jc w:val="center"/>
        </w:trPr>
        <w:tc>
          <w:tcPr>
            <w:cnfStyle w:val="001000000000" w:firstRow="0" w:lastRow="0" w:firstColumn="1" w:lastColumn="0" w:oddVBand="0" w:evenVBand="0" w:oddHBand="0" w:evenHBand="0" w:firstRowFirstColumn="0" w:firstRowLastColumn="0" w:lastRowFirstColumn="0" w:lastRowLastColumn="0"/>
            <w:tcW w:w="878" w:type="dxa"/>
            <w:shd w:val="clear" w:color="auto" w:fill="D9E2F3" w:themeFill="accent1" w:themeFillTint="33"/>
            <w:vAlign w:val="center"/>
          </w:tcPr>
          <w:p w14:paraId="687DD0E4" w14:textId="65EAE275" w:rsidR="003716D4" w:rsidRPr="00CE357F" w:rsidRDefault="003716D4" w:rsidP="003716D4">
            <w:pPr>
              <w:jc w:val="center"/>
              <w:rPr>
                <w:rFonts w:ascii="Arial Narrow" w:eastAsia="Times New Roman" w:hAnsi="Arial Narrow" w:cs="Arial"/>
                <w:sz w:val="20"/>
                <w:szCs w:val="20"/>
                <w:lang w:eastAsia="cs-CZ"/>
              </w:rPr>
            </w:pPr>
            <w:r w:rsidRPr="00CE357F">
              <w:rPr>
                <w:rFonts w:ascii="Arial Narrow" w:eastAsia="Times New Roman" w:hAnsi="Arial Narrow" w:cs="Arial"/>
                <w:b w:val="0"/>
                <w:bCs w:val="0"/>
                <w:sz w:val="20"/>
                <w:szCs w:val="20"/>
                <w:lang w:eastAsia="cs-CZ"/>
              </w:rPr>
              <w:t>Počet</w:t>
            </w:r>
          </w:p>
        </w:tc>
        <w:tc>
          <w:tcPr>
            <w:tcW w:w="879" w:type="dxa"/>
            <w:vAlign w:val="center"/>
          </w:tcPr>
          <w:p w14:paraId="3DC3B76F" w14:textId="253A22D2"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6</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888</w:t>
            </w:r>
          </w:p>
        </w:tc>
        <w:tc>
          <w:tcPr>
            <w:tcW w:w="879" w:type="dxa"/>
            <w:vAlign w:val="center"/>
          </w:tcPr>
          <w:p w14:paraId="1860F9CA" w14:textId="2A0BE417"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6</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895</w:t>
            </w:r>
          </w:p>
        </w:tc>
        <w:tc>
          <w:tcPr>
            <w:tcW w:w="879" w:type="dxa"/>
            <w:vAlign w:val="center"/>
          </w:tcPr>
          <w:p w14:paraId="5B5B7367" w14:textId="0FC595AE"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7</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042</w:t>
            </w:r>
          </w:p>
        </w:tc>
        <w:tc>
          <w:tcPr>
            <w:tcW w:w="879" w:type="dxa"/>
            <w:vAlign w:val="center"/>
          </w:tcPr>
          <w:p w14:paraId="5E671906" w14:textId="0907EAC1"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7</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063</w:t>
            </w:r>
          </w:p>
        </w:tc>
        <w:tc>
          <w:tcPr>
            <w:tcW w:w="879" w:type="dxa"/>
            <w:vAlign w:val="center"/>
          </w:tcPr>
          <w:p w14:paraId="3437D685" w14:textId="08784551"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7</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228</w:t>
            </w:r>
          </w:p>
        </w:tc>
        <w:tc>
          <w:tcPr>
            <w:tcW w:w="879" w:type="dxa"/>
            <w:vAlign w:val="center"/>
          </w:tcPr>
          <w:p w14:paraId="5D2D6FE6" w14:textId="5503A907"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7</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527</w:t>
            </w:r>
          </w:p>
        </w:tc>
        <w:tc>
          <w:tcPr>
            <w:tcW w:w="879" w:type="dxa"/>
            <w:vAlign w:val="center"/>
          </w:tcPr>
          <w:p w14:paraId="332AC49D" w14:textId="0BD71314"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7</w:t>
            </w:r>
            <w:r>
              <w:rPr>
                <w:rFonts w:ascii="Arial Narrow" w:eastAsia="Times New Roman" w:hAnsi="Arial Narrow" w:cs="Arial"/>
                <w:b/>
                <w:bCs/>
                <w:sz w:val="18"/>
                <w:szCs w:val="18"/>
                <w:lang w:eastAsia="cs-CZ"/>
              </w:rPr>
              <w:t xml:space="preserve"> </w:t>
            </w:r>
            <w:r w:rsidRPr="00CE357F">
              <w:rPr>
                <w:rFonts w:ascii="Arial Narrow" w:eastAsia="Times New Roman" w:hAnsi="Arial Narrow" w:cs="Arial"/>
                <w:b/>
                <w:bCs/>
                <w:sz w:val="18"/>
                <w:szCs w:val="18"/>
                <w:lang w:eastAsia="cs-CZ"/>
              </w:rPr>
              <w:t>764</w:t>
            </w:r>
          </w:p>
        </w:tc>
        <w:tc>
          <w:tcPr>
            <w:tcW w:w="879" w:type="dxa"/>
            <w:vAlign w:val="center"/>
          </w:tcPr>
          <w:p w14:paraId="0AC590C2" w14:textId="23EAB7FE"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8 317</w:t>
            </w:r>
          </w:p>
        </w:tc>
        <w:tc>
          <w:tcPr>
            <w:tcW w:w="879" w:type="dxa"/>
            <w:vAlign w:val="center"/>
          </w:tcPr>
          <w:p w14:paraId="584F0E29" w14:textId="7EA144BD" w:rsidR="003716D4" w:rsidRPr="00CE357F" w:rsidRDefault="003716D4" w:rsidP="003716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Pr>
                <w:rFonts w:ascii="Arial Narrow" w:eastAsia="Times New Roman" w:hAnsi="Arial Narrow" w:cs="Arial"/>
                <w:b/>
                <w:bCs/>
                <w:sz w:val="18"/>
                <w:szCs w:val="18"/>
                <w:lang w:eastAsia="cs-CZ"/>
              </w:rPr>
              <w:t>9 042</w:t>
            </w:r>
          </w:p>
        </w:tc>
      </w:tr>
    </w:tbl>
    <w:p w14:paraId="649D9C95" w14:textId="77777777" w:rsidR="00D6793F" w:rsidRPr="00CE357F" w:rsidRDefault="00D6793F" w:rsidP="00D6793F">
      <w:pPr>
        <w:spacing w:line="276" w:lineRule="auto"/>
        <w:jc w:val="both"/>
        <w:rPr>
          <w:rFonts w:ascii="Arial Narrow" w:hAnsi="Arial Narrow" w:cs="Arial"/>
          <w:sz w:val="20"/>
        </w:rPr>
      </w:pPr>
      <w:r w:rsidRPr="00CE357F">
        <w:rPr>
          <w:rFonts w:ascii="Arial Narrow" w:hAnsi="Arial Narrow" w:cs="Arial"/>
          <w:sz w:val="20"/>
        </w:rPr>
        <w:t>Zdroj: Ministerstvo práce a obchodu</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0D8CEA3B" w14:textId="77777777" w:rsidR="00D6793F" w:rsidRPr="00CE357F" w:rsidRDefault="00D6793F" w:rsidP="00D6793F">
      <w:pPr>
        <w:spacing w:line="276" w:lineRule="auto"/>
        <w:rPr>
          <w:rFonts w:ascii="Arial Narrow" w:hAnsi="Arial Narrow"/>
          <w:b/>
          <w:color w:val="2F5496" w:themeColor="accent1" w:themeShade="BF"/>
        </w:rPr>
      </w:pPr>
    </w:p>
    <w:p w14:paraId="6BC0DC60" w14:textId="42C8295F" w:rsidR="0063578A" w:rsidRDefault="00A26F11" w:rsidP="00F84177">
      <w:pPr>
        <w:spacing w:after="240" w:line="276" w:lineRule="auto"/>
        <w:jc w:val="both"/>
        <w:rPr>
          <w:rFonts w:ascii="Arial Narrow" w:hAnsi="Arial Narrow"/>
        </w:rPr>
      </w:pPr>
      <w:r>
        <w:rPr>
          <w:rFonts w:ascii="Arial Narrow" w:hAnsi="Arial Narrow"/>
        </w:rPr>
        <w:t>Z celkového počtu 9 042</w:t>
      </w:r>
      <w:r w:rsidRPr="00CE357F">
        <w:rPr>
          <w:rFonts w:ascii="Arial Narrow" w:hAnsi="Arial Narrow"/>
        </w:rPr>
        <w:t xml:space="preserve"> podnikatelů s jinou než českou státní příslušností</w:t>
      </w:r>
      <w:r>
        <w:rPr>
          <w:rFonts w:ascii="Arial Narrow" w:hAnsi="Arial Narrow"/>
        </w:rPr>
        <w:t xml:space="preserve"> jich k 31. 12. 2022 bylo 5 613</w:t>
      </w:r>
      <w:r w:rsidRPr="00CE357F">
        <w:rPr>
          <w:rFonts w:ascii="Arial Narrow" w:hAnsi="Arial Narrow"/>
        </w:rPr>
        <w:t xml:space="preserve"> evidovaných v okrese Brno-mě</w:t>
      </w:r>
      <w:r>
        <w:rPr>
          <w:rFonts w:ascii="Arial Narrow" w:hAnsi="Arial Narrow"/>
        </w:rPr>
        <w:t>sto, což představovalo celkem 62</w:t>
      </w:r>
      <w:r w:rsidRPr="00CE357F">
        <w:rPr>
          <w:rFonts w:ascii="Arial Narrow" w:hAnsi="Arial Narrow"/>
        </w:rPr>
        <w:t xml:space="preserve">,08 % všech podnikatelů s jinou než českou státní </w:t>
      </w:r>
      <w:r w:rsidRPr="00CE357F">
        <w:rPr>
          <w:rFonts w:ascii="Arial Narrow" w:hAnsi="Arial Narrow"/>
        </w:rPr>
        <w:lastRenderedPageBreak/>
        <w:t>příslušností na území Jihomoravského kraje. Ve zbývajících okresech byli podnikatelé s jinou než českou státní příslušností</w:t>
      </w:r>
      <w:r>
        <w:rPr>
          <w:rFonts w:ascii="Arial Narrow" w:hAnsi="Arial Narrow"/>
        </w:rPr>
        <w:t xml:space="preserve"> evidováni v rozsahu 9,8 % (Brno-venkov) až 4,8 % (Blansko</w:t>
      </w:r>
      <w:r w:rsidRPr="00CE357F">
        <w:rPr>
          <w:rFonts w:ascii="Arial Narrow" w:hAnsi="Arial Narrow"/>
        </w:rPr>
        <w:t xml:space="preserve">). </w:t>
      </w:r>
      <w:bookmarkStart w:id="555" w:name="_Toc94443790"/>
    </w:p>
    <w:p w14:paraId="1C4C190F" w14:textId="45649A0C" w:rsidR="00A26F11" w:rsidRPr="00CE357F" w:rsidRDefault="00A26F11" w:rsidP="00A26F11">
      <w:pPr>
        <w:jc w:val="both"/>
        <w:rPr>
          <w:rFonts w:ascii="Arial Narrow" w:hAnsi="Arial Narrow"/>
          <w:b/>
          <w:bCs/>
          <w:sz w:val="20"/>
          <w:szCs w:val="20"/>
        </w:rPr>
      </w:pPr>
      <w:bookmarkStart w:id="556" w:name="_Toc136428936"/>
      <w:bookmarkEnd w:id="201"/>
      <w:bookmarkEnd w:id="555"/>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92</w:t>
      </w:r>
      <w:r>
        <w:rPr>
          <w:rFonts w:ascii="Arial Narrow" w:hAnsi="Arial Narrow"/>
          <w:b/>
          <w:sz w:val="20"/>
          <w:szCs w:val="20"/>
        </w:rPr>
        <w:fldChar w:fldCharType="end"/>
      </w:r>
      <w:r w:rsidRPr="00CE357F">
        <w:rPr>
          <w:rFonts w:ascii="Arial Narrow" w:hAnsi="Arial Narrow"/>
          <w:b/>
          <w:sz w:val="20"/>
          <w:szCs w:val="20"/>
        </w:rPr>
        <w:t xml:space="preserve">: </w:t>
      </w:r>
      <w:r w:rsidRPr="00CE357F">
        <w:rPr>
          <w:rFonts w:ascii="Arial Narrow" w:hAnsi="Arial Narrow"/>
          <w:b/>
          <w:bCs/>
          <w:sz w:val="20"/>
          <w:szCs w:val="20"/>
        </w:rPr>
        <w:t>Samostatně výdělečné osoby s jinou než českou státní příslušností dle okresů k 31. 12. 202</w:t>
      </w:r>
      <w:r>
        <w:rPr>
          <w:rFonts w:ascii="Arial Narrow" w:hAnsi="Arial Narrow"/>
          <w:b/>
          <w:bCs/>
          <w:sz w:val="20"/>
          <w:szCs w:val="20"/>
        </w:rPr>
        <w:t>2</w:t>
      </w:r>
      <w:bookmarkEnd w:id="556"/>
    </w:p>
    <w:p w14:paraId="2E6A26CC" w14:textId="77777777" w:rsidR="00A26F11" w:rsidRPr="00CE357F" w:rsidRDefault="00A26F11" w:rsidP="7CC7BF57">
      <w:pPr>
        <w:rPr>
          <w:rFonts w:ascii="Arial Narrow" w:hAnsi="Arial Narrow"/>
          <w:b/>
          <w:bCs/>
          <w:color w:val="2F5496" w:themeColor="accent1" w:themeShade="BF"/>
        </w:rPr>
      </w:pPr>
      <w:r w:rsidRPr="00CE357F">
        <w:rPr>
          <w:rFonts w:ascii="Arial Narrow" w:hAnsi="Arial Narrow"/>
          <w:noProof/>
          <w:lang w:eastAsia="cs-CZ"/>
        </w:rPr>
        <w:drawing>
          <wp:inline distT="0" distB="0" distL="0" distR="0" wp14:anchorId="1044FF45" wp14:editId="39466B5E">
            <wp:extent cx="5748655" cy="1781175"/>
            <wp:effectExtent l="0" t="0" r="4445" b="952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395F2B7D" w14:textId="77777777" w:rsidR="00A26F11" w:rsidRPr="00CE357F" w:rsidRDefault="00A26F11" w:rsidP="00A26F11">
      <w:pPr>
        <w:spacing w:line="276" w:lineRule="auto"/>
        <w:jc w:val="both"/>
        <w:rPr>
          <w:rFonts w:ascii="Arial Narrow" w:hAnsi="Arial Narrow" w:cs="Arial"/>
          <w:sz w:val="20"/>
        </w:rPr>
      </w:pPr>
      <w:r w:rsidRPr="00CE357F">
        <w:rPr>
          <w:rFonts w:ascii="Arial Narrow" w:hAnsi="Arial Narrow" w:cs="Arial"/>
          <w:sz w:val="20"/>
        </w:rPr>
        <w:t>Zdroj: Ministerstvo práce a obchodu</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131429EA" w14:textId="77777777" w:rsidR="00A26F11" w:rsidRPr="00CE357F" w:rsidRDefault="00A26F11" w:rsidP="00A26F11">
      <w:pPr>
        <w:spacing w:line="276" w:lineRule="auto"/>
        <w:rPr>
          <w:rFonts w:ascii="Arial Narrow" w:hAnsi="Arial Narrow"/>
          <w:b/>
          <w:color w:val="2F5496" w:themeColor="accent1" w:themeShade="BF"/>
        </w:rPr>
      </w:pPr>
    </w:p>
    <w:p w14:paraId="480104DE" w14:textId="0DCFE78E" w:rsidR="00A26F11" w:rsidRPr="00FE053E" w:rsidRDefault="00A26F11" w:rsidP="00FE053E">
      <w:pPr>
        <w:spacing w:after="240" w:line="276" w:lineRule="auto"/>
        <w:jc w:val="both"/>
        <w:rPr>
          <w:rFonts w:ascii="Arial Narrow" w:hAnsi="Arial Narrow"/>
        </w:rPr>
      </w:pPr>
      <w:bookmarkStart w:id="557" w:name="_Hlk95747109"/>
      <w:r w:rsidRPr="00CE357F">
        <w:rPr>
          <w:rFonts w:ascii="Arial Narrow" w:hAnsi="Arial Narrow"/>
        </w:rPr>
        <w:t>Struktura osob s jinou než českou státní příslušností v postavení samostatně výdělečných osob v Jihomoravském kraji dle občanství</w:t>
      </w:r>
      <w:r w:rsidR="00FE053E">
        <w:rPr>
          <w:rFonts w:ascii="Arial Narrow" w:hAnsi="Arial Narrow"/>
        </w:rPr>
        <w:t xml:space="preserve"> (graf č. 93)</w:t>
      </w:r>
      <w:r w:rsidRPr="00CE357F">
        <w:rPr>
          <w:rFonts w:ascii="Arial Narrow" w:hAnsi="Arial Narrow"/>
        </w:rPr>
        <w:t xml:space="preserve"> je ovlivněna zejména geografickou blízkostí Slovenska. Zatímco v rámci celé Čes</w:t>
      </w:r>
      <w:r>
        <w:rPr>
          <w:rFonts w:ascii="Arial Narrow" w:hAnsi="Arial Narrow"/>
        </w:rPr>
        <w:t>ké republiky tvořili v roce 2022</w:t>
      </w:r>
      <w:r w:rsidRPr="00CE357F">
        <w:rPr>
          <w:rFonts w:ascii="Arial Narrow" w:hAnsi="Arial Narrow"/>
        </w:rPr>
        <w:t xml:space="preserve"> občané Slovenské </w:t>
      </w:r>
      <w:r w:rsidRPr="001A4CEA">
        <w:rPr>
          <w:rFonts w:ascii="Arial Narrow" w:hAnsi="Arial Narrow"/>
        </w:rPr>
        <w:t>republiky zhruba 20,6 %</w:t>
      </w:r>
      <w:r w:rsidRPr="00CE357F">
        <w:rPr>
          <w:rFonts w:ascii="Arial Narrow" w:hAnsi="Arial Narrow"/>
        </w:rPr>
        <w:t xml:space="preserve"> všech osob s jinou než českou státní příslušností v postavení samostatně výdělečných osob, v Jihomoravském kraji to </w:t>
      </w:r>
      <w:r w:rsidRPr="001A4CEA">
        <w:rPr>
          <w:rFonts w:ascii="Arial Narrow" w:hAnsi="Arial Narrow"/>
        </w:rPr>
        <w:t>bylo 38 %</w:t>
      </w:r>
      <w:r>
        <w:rPr>
          <w:rFonts w:ascii="Arial Narrow" w:hAnsi="Arial Narrow"/>
        </w:rPr>
        <w:t xml:space="preserve"> (3 432</w:t>
      </w:r>
      <w:r w:rsidRPr="00CE357F">
        <w:rPr>
          <w:rFonts w:ascii="Arial Narrow" w:hAnsi="Arial Narrow"/>
        </w:rPr>
        <w:t xml:space="preserve"> osob). Druhou nejčastější národností byli v tomto ohledu občan</w:t>
      </w:r>
      <w:r>
        <w:rPr>
          <w:rFonts w:ascii="Arial Narrow" w:hAnsi="Arial Narrow"/>
        </w:rPr>
        <w:t>é Ukrajiny, kteří k 31. 12. 2022 tvořili 22,3 % (2 018</w:t>
      </w:r>
      <w:r w:rsidRPr="00CE357F">
        <w:rPr>
          <w:rFonts w:ascii="Arial Narrow" w:hAnsi="Arial Narrow"/>
        </w:rPr>
        <w:t xml:space="preserve"> osob) všech podnikatelů s jinou než českou státní příslušností. Na pomyslné třetí místo lze zařadit ob</w:t>
      </w:r>
      <w:r>
        <w:rPr>
          <w:rFonts w:ascii="Arial Narrow" w:hAnsi="Arial Narrow"/>
        </w:rPr>
        <w:t>čany Vietnamu, kteří v roce 2022 tvořili 14,6</w:t>
      </w:r>
      <w:r w:rsidRPr="00CE357F">
        <w:rPr>
          <w:rFonts w:ascii="Arial Narrow" w:hAnsi="Arial Narrow"/>
        </w:rPr>
        <w:t xml:space="preserve"> % všech podnikatelů s jinou než českou státní příslušností v Jihomoravském kraji. Občané Slovenska, Ukrajin</w:t>
      </w:r>
      <w:r>
        <w:rPr>
          <w:rFonts w:ascii="Arial Narrow" w:hAnsi="Arial Narrow"/>
        </w:rPr>
        <w:t>y a Vietnamu tvořili v roce 2022</w:t>
      </w:r>
      <w:r w:rsidRPr="00CE357F">
        <w:rPr>
          <w:rFonts w:ascii="Arial Narrow" w:hAnsi="Arial Narrow"/>
        </w:rPr>
        <w:t xml:space="preserve"> téměř ¾ všech osob s jinou než českou státní příslušností registrovaných živnostenskými úřady. </w:t>
      </w:r>
      <w:bookmarkEnd w:id="557"/>
      <w:r w:rsidRPr="00CE357F">
        <w:rPr>
          <w:rFonts w:ascii="Arial Narrow" w:hAnsi="Arial Narrow"/>
        </w:rPr>
        <w:t>Zastoupení dalších jednotlivých států dosahuje maximálně dvou procent a jedná se vesměs o sousední státy a země bývalého východního bloku.</w:t>
      </w:r>
      <w:r w:rsidRPr="00CE357F">
        <w:rPr>
          <w:rStyle w:val="Znakapoznpodarou"/>
          <w:rFonts w:ascii="Arial Narrow" w:hAnsi="Arial Narrow"/>
        </w:rPr>
        <w:footnoteReference w:id="68"/>
      </w:r>
      <w:r w:rsidRPr="00CE357F">
        <w:rPr>
          <w:rFonts w:ascii="Arial Narrow" w:hAnsi="Arial Narrow"/>
        </w:rPr>
        <w:t xml:space="preserve"> </w:t>
      </w:r>
    </w:p>
    <w:p w14:paraId="6A249E06" w14:textId="209E00C4" w:rsidR="00A26F11" w:rsidRPr="00CE357F" w:rsidRDefault="00A26F11" w:rsidP="00A26F11">
      <w:pPr>
        <w:jc w:val="both"/>
        <w:rPr>
          <w:rFonts w:ascii="Arial Narrow" w:hAnsi="Arial Narrow"/>
          <w:b/>
          <w:bCs/>
          <w:sz w:val="20"/>
          <w:szCs w:val="20"/>
        </w:rPr>
      </w:pPr>
      <w:bookmarkStart w:id="558" w:name="_Toc136428937"/>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93</w:t>
      </w:r>
      <w:r>
        <w:rPr>
          <w:rFonts w:ascii="Arial Narrow" w:hAnsi="Arial Narrow"/>
          <w:b/>
          <w:sz w:val="20"/>
          <w:szCs w:val="20"/>
        </w:rPr>
        <w:fldChar w:fldCharType="end"/>
      </w:r>
      <w:r w:rsidRPr="00CE357F">
        <w:rPr>
          <w:rFonts w:ascii="Arial Narrow" w:hAnsi="Arial Narrow"/>
          <w:b/>
          <w:sz w:val="20"/>
          <w:szCs w:val="20"/>
        </w:rPr>
        <w:t xml:space="preserve">: </w:t>
      </w:r>
      <w:r w:rsidRPr="00E9022C">
        <w:rPr>
          <w:rFonts w:ascii="Arial Narrow" w:hAnsi="Arial Narrow"/>
          <w:b/>
          <w:bCs/>
          <w:sz w:val="20"/>
          <w:szCs w:val="20"/>
        </w:rPr>
        <w:t>Struktura osob s jinou než českou státní příslušností v postavení samostatně výdělečných osob v Jihomoravském kraji dle občanství k 31. 12. 202</w:t>
      </w:r>
      <w:r>
        <w:rPr>
          <w:rFonts w:ascii="Arial Narrow" w:hAnsi="Arial Narrow"/>
          <w:b/>
          <w:bCs/>
          <w:sz w:val="20"/>
          <w:szCs w:val="20"/>
        </w:rPr>
        <w:t>2</w:t>
      </w:r>
      <w:bookmarkEnd w:id="558"/>
    </w:p>
    <w:p w14:paraId="19CF432B" w14:textId="77777777" w:rsidR="00A26F11" w:rsidRPr="00CE357F" w:rsidRDefault="00A26F11" w:rsidP="00A26F11">
      <w:pPr>
        <w:jc w:val="both"/>
        <w:rPr>
          <w:rFonts w:ascii="Arial Narrow" w:hAnsi="Arial Narrow"/>
        </w:rPr>
      </w:pPr>
      <w:r w:rsidRPr="00CE357F">
        <w:rPr>
          <w:rFonts w:ascii="Arial Narrow" w:hAnsi="Arial Narrow"/>
          <w:bCs/>
          <w:noProof/>
          <w:sz w:val="20"/>
          <w:szCs w:val="20"/>
          <w:lang w:eastAsia="cs-CZ"/>
        </w:rPr>
        <w:drawing>
          <wp:inline distT="0" distB="0" distL="0" distR="0" wp14:anchorId="58459E51" wp14:editId="4FA6C3E2">
            <wp:extent cx="5581650" cy="2076450"/>
            <wp:effectExtent l="0" t="0" r="0" b="0"/>
            <wp:docPr id="2102" name="Graf 2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3F508D2E" w14:textId="77777777" w:rsidR="00A26F11" w:rsidRDefault="00A26F11" w:rsidP="00A26F11">
      <w:pPr>
        <w:spacing w:line="276" w:lineRule="auto"/>
        <w:jc w:val="both"/>
        <w:rPr>
          <w:rFonts w:ascii="Arial Narrow" w:hAnsi="Arial Narrow" w:cs="Arial"/>
          <w:sz w:val="20"/>
        </w:rPr>
      </w:pPr>
      <w:r w:rsidRPr="00CE357F">
        <w:rPr>
          <w:rFonts w:ascii="Arial Narrow" w:hAnsi="Arial Narrow" w:cs="Arial"/>
          <w:sz w:val="20"/>
        </w:rPr>
        <w:t>Zdroj: Ministerstvo práce a obchodu</w:t>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r>
      <w:r w:rsidRPr="00CE357F">
        <w:rPr>
          <w:rFonts w:ascii="Arial Narrow" w:hAnsi="Arial Narrow" w:cs="Arial"/>
          <w:sz w:val="20"/>
        </w:rPr>
        <w:tab/>
        <w:t xml:space="preserve">        Graf: AUGUR </w:t>
      </w:r>
      <w:proofErr w:type="spellStart"/>
      <w:r w:rsidRPr="00CE357F">
        <w:rPr>
          <w:rFonts w:ascii="Arial Narrow" w:hAnsi="Arial Narrow" w:cs="Arial"/>
          <w:sz w:val="20"/>
        </w:rPr>
        <w:t>Consulting</w:t>
      </w:r>
      <w:proofErr w:type="spellEnd"/>
      <w:r w:rsidRPr="00CE357F">
        <w:rPr>
          <w:rFonts w:ascii="Arial Narrow" w:hAnsi="Arial Narrow" w:cs="Arial"/>
          <w:sz w:val="20"/>
        </w:rPr>
        <w:t>, s.r.o.</w:t>
      </w:r>
    </w:p>
    <w:p w14:paraId="29E5D47B" w14:textId="77777777" w:rsidR="00FE053E" w:rsidRDefault="00FE053E" w:rsidP="00A26F11">
      <w:pPr>
        <w:spacing w:line="276" w:lineRule="auto"/>
        <w:jc w:val="both"/>
        <w:rPr>
          <w:rFonts w:ascii="Arial Narrow" w:hAnsi="Arial Narrow" w:cs="Arial"/>
          <w:sz w:val="20"/>
        </w:rPr>
      </w:pPr>
    </w:p>
    <w:p w14:paraId="5D78212A" w14:textId="3444B794" w:rsidR="00EB245F" w:rsidRPr="001E5CBA" w:rsidRDefault="00EB245F" w:rsidP="00EB245F">
      <w:pPr>
        <w:pStyle w:val="Nadpis3"/>
      </w:pPr>
      <w:bookmarkStart w:id="559" w:name="_Toc136876100"/>
      <w:r w:rsidRPr="001E5CBA">
        <w:lastRenderedPageBreak/>
        <w:t>Dílčí shrnutí kapitoly III. 2.</w:t>
      </w:r>
      <w:bookmarkEnd w:id="559"/>
      <w:r w:rsidRPr="001E5CBA">
        <w:t xml:space="preserve"> </w:t>
      </w:r>
    </w:p>
    <w:p w14:paraId="1080B2E6" w14:textId="4903AFF6" w:rsidR="00EB245F" w:rsidRDefault="00EB245F" w:rsidP="00DA5F46">
      <w:pPr>
        <w:spacing w:line="276" w:lineRule="auto"/>
        <w:jc w:val="both"/>
        <w:rPr>
          <w:rFonts w:ascii="Arial Narrow" w:hAnsi="Arial Narrow" w:cs="Arial"/>
          <w:sz w:val="20"/>
        </w:rPr>
      </w:pPr>
    </w:p>
    <w:p w14:paraId="5C72C454" w14:textId="77777777" w:rsidR="00EE4AD8" w:rsidRPr="006E2747" w:rsidRDefault="00EE4AD8" w:rsidP="00EE4AD8">
      <w:pPr>
        <w:spacing w:after="240" w:line="276" w:lineRule="auto"/>
        <w:rPr>
          <w:rFonts w:ascii="Arial Narrow" w:hAnsi="Arial Narrow"/>
          <w:b/>
          <w:bCs/>
          <w:color w:val="C00000"/>
        </w:rPr>
      </w:pPr>
      <w:r w:rsidRPr="006E2747">
        <w:rPr>
          <w:rFonts w:ascii="Arial Narrow" w:hAnsi="Arial Narrow"/>
          <w:b/>
          <w:bCs/>
          <w:color w:val="C00000"/>
          <w:sz w:val="24"/>
          <w:szCs w:val="24"/>
        </w:rPr>
        <w:t>Struktura uchazečů o zaměstnání s českou a s jinou než českou státní příslušností</w:t>
      </w:r>
    </w:p>
    <w:p w14:paraId="3EA10A51" w14:textId="77777777" w:rsidR="009D7EF6" w:rsidRPr="009D7EF6" w:rsidRDefault="009D7EF6" w:rsidP="009D7EF6">
      <w:pPr>
        <w:spacing w:after="240" w:line="276" w:lineRule="auto"/>
        <w:jc w:val="both"/>
        <w:rPr>
          <w:rFonts w:ascii="Arial Narrow" w:hAnsi="Arial Narrow"/>
        </w:rPr>
      </w:pPr>
      <w:r w:rsidRPr="009D7EF6">
        <w:rPr>
          <w:rFonts w:ascii="Arial Narrow" w:hAnsi="Arial Narrow"/>
        </w:rPr>
        <w:t xml:space="preserve">Závěrem této kapitoly si dovolujeme předložit stručné shrnutí základních poznatků, které vyplývají ze sekundární analýzy dat k vývoji struktury všech uchazečů o zaměstnání s důrazem na osoby s jinou než českou státní příslušností v České republice a Jihomoravském kraji. Tyto údaje jsou součástí projektu </w:t>
      </w:r>
      <w:r w:rsidRPr="009D7EF6">
        <w:rPr>
          <w:rStyle w:val="normaltextrun"/>
          <w:rFonts w:ascii="Arial Narrow" w:hAnsi="Arial Narrow"/>
          <w:color w:val="000000"/>
          <w:shd w:val="clear" w:color="auto" w:fill="FFFFFF"/>
        </w:rPr>
        <w:t>„Analýza potřeb klíčových aktérů v</w:t>
      </w:r>
      <w:r w:rsidRPr="009D7EF6">
        <w:rPr>
          <w:rStyle w:val="normaltextrun"/>
          <w:rFonts w:ascii="Arial" w:hAnsi="Arial" w:cs="Arial"/>
          <w:color w:val="000000"/>
          <w:shd w:val="clear" w:color="auto" w:fill="FFFFFF"/>
        </w:rPr>
        <w:t> </w:t>
      </w:r>
      <w:r w:rsidRPr="009D7EF6">
        <w:rPr>
          <w:rStyle w:val="normaltextrun"/>
          <w:rFonts w:ascii="Arial Narrow" w:hAnsi="Arial Narrow"/>
          <w:color w:val="000000"/>
          <w:shd w:val="clear" w:color="auto" w:fill="FFFFFF"/>
        </w:rPr>
        <w:t>oblasti zam</w:t>
      </w:r>
      <w:r w:rsidRPr="009D7EF6">
        <w:rPr>
          <w:rStyle w:val="normaltextrun"/>
          <w:rFonts w:ascii="Arial Narrow" w:hAnsi="Arial Narrow" w:cs="Arial Narrow"/>
          <w:color w:val="000000"/>
          <w:shd w:val="clear" w:color="auto" w:fill="FFFFFF"/>
        </w:rPr>
        <w:t>ě</w:t>
      </w:r>
      <w:r w:rsidRPr="009D7EF6">
        <w:rPr>
          <w:rStyle w:val="normaltextrun"/>
          <w:rFonts w:ascii="Arial Narrow" w:hAnsi="Arial Narrow"/>
          <w:color w:val="000000"/>
          <w:shd w:val="clear" w:color="auto" w:fill="FFFFFF"/>
        </w:rPr>
        <w:t>stn</w:t>
      </w:r>
      <w:r w:rsidRPr="009D7EF6">
        <w:rPr>
          <w:rStyle w:val="normaltextrun"/>
          <w:rFonts w:ascii="Arial Narrow" w:hAnsi="Arial Narrow" w:cs="Arial Narrow"/>
          <w:color w:val="000000"/>
          <w:shd w:val="clear" w:color="auto" w:fill="FFFFFF"/>
        </w:rPr>
        <w:t>á</w:t>
      </w:r>
      <w:r w:rsidRPr="009D7EF6">
        <w:rPr>
          <w:rStyle w:val="normaltextrun"/>
          <w:rFonts w:ascii="Arial Narrow" w:hAnsi="Arial Narrow"/>
          <w:color w:val="000000"/>
          <w:shd w:val="clear" w:color="auto" w:fill="FFFFFF"/>
        </w:rPr>
        <w:t>v</w:t>
      </w:r>
      <w:r w:rsidRPr="009D7EF6">
        <w:rPr>
          <w:rStyle w:val="normaltextrun"/>
          <w:rFonts w:ascii="Arial Narrow" w:hAnsi="Arial Narrow" w:cs="Arial Narrow"/>
          <w:color w:val="000000"/>
          <w:shd w:val="clear" w:color="auto" w:fill="FFFFFF"/>
        </w:rPr>
        <w:t>á</w:t>
      </w:r>
      <w:r w:rsidRPr="009D7EF6">
        <w:rPr>
          <w:rStyle w:val="normaltextrun"/>
          <w:rFonts w:ascii="Arial Narrow" w:hAnsi="Arial Narrow"/>
          <w:color w:val="000000"/>
          <w:shd w:val="clear" w:color="auto" w:fill="FFFFFF"/>
        </w:rPr>
        <w:t>n</w:t>
      </w:r>
      <w:r w:rsidRPr="009D7EF6">
        <w:rPr>
          <w:rStyle w:val="normaltextrun"/>
          <w:rFonts w:ascii="Arial Narrow" w:hAnsi="Arial Narrow" w:cs="Arial Narrow"/>
          <w:color w:val="000000"/>
          <w:shd w:val="clear" w:color="auto" w:fill="FFFFFF"/>
        </w:rPr>
        <w:t>í</w:t>
      </w:r>
      <w:r w:rsidRPr="009D7EF6">
        <w:rPr>
          <w:rStyle w:val="normaltextrun"/>
          <w:rFonts w:ascii="Arial Narrow" w:hAnsi="Arial Narrow"/>
          <w:color w:val="000000"/>
          <w:shd w:val="clear" w:color="auto" w:fill="FFFFFF"/>
        </w:rPr>
        <w:t xml:space="preserve"> cizinc</w:t>
      </w:r>
      <w:r w:rsidRPr="009D7EF6">
        <w:rPr>
          <w:rStyle w:val="normaltextrun"/>
          <w:rFonts w:ascii="Arial Narrow" w:hAnsi="Arial Narrow" w:cs="Arial Narrow"/>
          <w:color w:val="000000"/>
          <w:shd w:val="clear" w:color="auto" w:fill="FFFFFF"/>
        </w:rPr>
        <w:t>ů</w:t>
      </w:r>
      <w:r w:rsidRPr="009D7EF6">
        <w:rPr>
          <w:rStyle w:val="normaltextrun"/>
          <w:rFonts w:ascii="Arial Narrow" w:hAnsi="Arial Narrow"/>
          <w:color w:val="000000"/>
          <w:shd w:val="clear" w:color="auto" w:fill="FFFFFF"/>
        </w:rPr>
        <w:t xml:space="preserve"> v JMK“.</w:t>
      </w:r>
    </w:p>
    <w:p w14:paraId="4315900E" w14:textId="77777777" w:rsidR="009D7EF6" w:rsidRPr="009D7EF6" w:rsidRDefault="009D7EF6" w:rsidP="009D7EF6">
      <w:pPr>
        <w:autoSpaceDE w:val="0"/>
        <w:autoSpaceDN w:val="0"/>
        <w:adjustRightInd w:val="0"/>
        <w:spacing w:after="120" w:line="276" w:lineRule="auto"/>
        <w:jc w:val="both"/>
        <w:rPr>
          <w:rFonts w:ascii="Arial Narrow" w:hAnsi="Arial Narrow"/>
        </w:rPr>
      </w:pPr>
      <w:r w:rsidRPr="7CC7BF57">
        <w:rPr>
          <w:rFonts w:ascii="Arial Narrow" w:hAnsi="Arial Narrow"/>
        </w:rPr>
        <w:t xml:space="preserve">Na vývoj struktury uchazečů o zaměstnání s českou i jinou státní příslušností v Jihomoravském kraji lze pohlížet na základě řady faktorů. Podíváme-li se na vývoj struktury uchazečů o zaměstnání v Jihomoravském kraji </w:t>
      </w:r>
      <w:r w:rsidRPr="7CC7BF57">
        <w:rPr>
          <w:rFonts w:ascii="Arial Narrow" w:hAnsi="Arial Narrow"/>
          <w:b/>
          <w:bCs/>
        </w:rPr>
        <w:t>z hlediska věku</w:t>
      </w:r>
      <w:r w:rsidRPr="7CC7BF57">
        <w:rPr>
          <w:rFonts w:ascii="Arial Narrow" w:hAnsi="Arial Narrow"/>
        </w:rPr>
        <w:t xml:space="preserve">, je patrné, že mezi lety 2014 a 2021 </w:t>
      </w:r>
      <w:r w:rsidRPr="7CC7BF57">
        <w:rPr>
          <w:rFonts w:ascii="Arial Narrow" w:hAnsi="Arial Narrow"/>
          <w:b/>
          <w:bCs/>
        </w:rPr>
        <w:t xml:space="preserve">výrazně narostl podíl uchazečů ve věku 55 let a více, a to jak v případě uchazečů s českou, tak s jinou státní příslušností ze zemí EU/EHP. </w:t>
      </w:r>
      <w:r w:rsidRPr="7CC7BF57">
        <w:rPr>
          <w:rFonts w:ascii="Arial Narrow" w:hAnsi="Arial Narrow"/>
        </w:rPr>
        <w:t xml:space="preserve">Zatímco v prosinci roku 2014 tvořili uchazeči ve věku 55 let a více 15,2 % všech uchazečů o zaměstnání s českou státní příslušností a 11,8 % </w:t>
      </w:r>
      <w:r w:rsidRPr="7CC7BF57">
        <w:rPr>
          <w:rFonts w:ascii="Arial Narrow" w:hAnsi="Arial Narrow"/>
          <w:color w:val="000000" w:themeColor="text1"/>
        </w:rPr>
        <w:t xml:space="preserve">všech uchazečů o zaměstnání ze zemí EU/EHP, v prosinci roku 2021 to bylo již </w:t>
      </w:r>
      <w:r w:rsidRPr="7CC7BF57">
        <w:rPr>
          <w:rFonts w:ascii="Arial Narrow" w:hAnsi="Arial Narrow"/>
        </w:rPr>
        <w:t xml:space="preserve">25,8 % všech uchazečů s českou státní příslušností a </w:t>
      </w:r>
      <w:r w:rsidRPr="7CC7BF57">
        <w:rPr>
          <w:rFonts w:ascii="Arial Narrow" w:hAnsi="Arial Narrow"/>
          <w:color w:val="000000" w:themeColor="text1"/>
        </w:rPr>
        <w:t xml:space="preserve">17,2 % všech uchazečů ze zemí EU/EHP. </w:t>
      </w:r>
      <w:r w:rsidRPr="7CC7BF57">
        <w:rPr>
          <w:rFonts w:ascii="Arial Narrow" w:hAnsi="Arial Narrow"/>
        </w:rPr>
        <w:t>Mezi lety 2021 a 2022 se růst zastavil a podíly zůstávají stabilní.</w:t>
      </w:r>
    </w:p>
    <w:p w14:paraId="2D443FA1" w14:textId="77777777" w:rsidR="009D7EF6" w:rsidRPr="009D7EF6" w:rsidRDefault="009D7EF6" w:rsidP="009D7EF6">
      <w:pPr>
        <w:autoSpaceDE w:val="0"/>
        <w:autoSpaceDN w:val="0"/>
        <w:adjustRightInd w:val="0"/>
        <w:spacing w:after="120" w:line="276" w:lineRule="auto"/>
        <w:jc w:val="both"/>
        <w:rPr>
          <w:rFonts w:ascii="Arial Narrow" w:hAnsi="Arial Narrow"/>
          <w:color w:val="000000" w:themeColor="text1"/>
        </w:rPr>
      </w:pPr>
      <w:r w:rsidRPr="7CC7BF57">
        <w:rPr>
          <w:rFonts w:ascii="Arial Narrow" w:hAnsi="Arial Narrow"/>
          <w:b/>
          <w:bCs/>
        </w:rPr>
        <w:t>Z hlediska délky nezaměstnanosti</w:t>
      </w:r>
      <w:r w:rsidRPr="7CC7BF57">
        <w:rPr>
          <w:rFonts w:ascii="Arial Narrow" w:hAnsi="Arial Narrow"/>
        </w:rPr>
        <w:t xml:space="preserve"> mají v Jihomoravském kraji dlouhodobě největší podíl uchazeči, kteří jsou </w:t>
      </w:r>
      <w:r w:rsidRPr="7CC7BF57">
        <w:rPr>
          <w:rFonts w:ascii="Arial Narrow" w:hAnsi="Arial Narrow"/>
          <w:b/>
          <w:bCs/>
        </w:rPr>
        <w:t xml:space="preserve">nezaměstnaní v rozmezí 1–3 měsíců, a to jak v případě uchazečů s českou státní příslušností, tak s jinou státní příslušností ze zemí EU/EHP. </w:t>
      </w:r>
      <w:r w:rsidRPr="7CC7BF57">
        <w:rPr>
          <w:rFonts w:ascii="Arial Narrow" w:hAnsi="Arial Narrow"/>
          <w:color w:val="000000" w:themeColor="text1"/>
        </w:rPr>
        <w:t xml:space="preserve">Výrazný pokles podílu této skupiny uchazečů o zaměstnání, a to jak v případě uchazečů z České republiky, tak uchazečů ze zemí EU/EHP v letech 2020 a 2021 může souviset s dopady celosvětové pandemie viru SARS-CoV-2, v důsledku čehož se výrazně prodloužila délka nezaměstnanosti. To dokládá nárůst podílu osob s délkou nezaměstnanosti v rozmezí 12–24 měsíců (o 3,3 % mezi lety 2019 a 2021 u uchazečů z České republiky a 1,0 % u uchazečů ze zemí EU/EHP) a s délkou nezaměstnanosti více než 24 měsíců (o 6,0 % mezi lety 2019 a 2020 u uchazečů z České republiky a 6,0 % u uchazečů ze zemí EU/EHP). </w:t>
      </w:r>
      <w:r w:rsidRPr="7CC7BF57">
        <w:rPr>
          <w:rFonts w:ascii="Arial Narrow" w:hAnsi="Arial Narrow"/>
        </w:rPr>
        <w:t>V roce 2022 se opětovně zvýšil počet uchazečů s délkou nezaměstnanosti 0-3 měsíců a 3-6 měsíců. Naopak došlo k prudkému poklesu nezaměstnaných 12-24 měsíců (o 5,3 % oproti roku 2021).</w:t>
      </w:r>
    </w:p>
    <w:p w14:paraId="2E49D576" w14:textId="77777777" w:rsidR="009D7EF6" w:rsidRPr="009D7EF6" w:rsidRDefault="009D7EF6" w:rsidP="7CC7BF57">
      <w:pPr>
        <w:pStyle w:val="Normlnweb"/>
        <w:spacing w:before="0" w:beforeAutospacing="0" w:after="120" w:afterAutospacing="0" w:line="276" w:lineRule="auto"/>
        <w:jc w:val="both"/>
        <w:rPr>
          <w:rFonts w:ascii="Arial Narrow" w:hAnsi="Arial Narrow"/>
          <w:color w:val="000000" w:themeColor="text1"/>
          <w:sz w:val="22"/>
          <w:szCs w:val="22"/>
        </w:rPr>
      </w:pPr>
      <w:r w:rsidRPr="7CC7BF57">
        <w:rPr>
          <w:rFonts w:ascii="Arial Narrow" w:hAnsi="Arial Narrow"/>
          <w:color w:val="000000" w:themeColor="text1"/>
        </w:rPr>
        <w:t xml:space="preserve">Struktura </w:t>
      </w:r>
      <w:r w:rsidRPr="7CC7BF57">
        <w:rPr>
          <w:rFonts w:ascii="Arial Narrow" w:hAnsi="Arial Narrow"/>
          <w:sz w:val="22"/>
          <w:szCs w:val="22"/>
        </w:rPr>
        <w:t xml:space="preserve">uchazečů o zaměstnání v Jihomoravském kraji </w:t>
      </w:r>
      <w:r w:rsidRPr="7CC7BF57">
        <w:rPr>
          <w:rFonts w:ascii="Arial Narrow" w:hAnsi="Arial Narrow"/>
          <w:b/>
          <w:bCs/>
          <w:sz w:val="22"/>
          <w:szCs w:val="22"/>
        </w:rPr>
        <w:t>z hlediska jejich nejvyššího dosaženého vzdělání</w:t>
      </w:r>
      <w:r w:rsidRPr="7CC7BF57">
        <w:rPr>
          <w:rFonts w:ascii="Arial Narrow" w:hAnsi="Arial Narrow"/>
        </w:rPr>
        <w:t xml:space="preserve"> zůstává </w:t>
      </w:r>
      <w:r w:rsidRPr="7CC7BF57">
        <w:rPr>
          <w:rFonts w:ascii="Arial Narrow" w:hAnsi="Arial Narrow"/>
          <w:sz w:val="22"/>
          <w:szCs w:val="22"/>
        </w:rPr>
        <w:t>meziročně poměrně stabilní</w:t>
      </w:r>
      <w:r w:rsidRPr="7CC7BF57">
        <w:rPr>
          <w:rFonts w:ascii="Arial Narrow" w:hAnsi="Arial Narrow"/>
        </w:rPr>
        <w:t xml:space="preserve">, a to jak v případě uchazečů s českou státní příslušností, tak v případě uchazečů </w:t>
      </w:r>
      <w:r w:rsidRPr="7CC7BF57">
        <w:rPr>
          <w:rFonts w:ascii="Arial Narrow" w:hAnsi="Arial Narrow"/>
          <w:color w:val="000000" w:themeColor="text1"/>
          <w:sz w:val="22"/>
          <w:szCs w:val="22"/>
        </w:rPr>
        <w:t>ze zemí EU/EHP</w:t>
      </w:r>
      <w:r w:rsidRPr="7CC7BF57">
        <w:rPr>
          <w:rFonts w:ascii="Arial Narrow" w:hAnsi="Arial Narrow"/>
          <w:color w:val="000000" w:themeColor="text1"/>
        </w:rPr>
        <w:t xml:space="preserve">. Rozdíly lze ale spatřovat v rámci nejvyššího dosaženého vzdělání. </w:t>
      </w:r>
      <w:r w:rsidRPr="7CC7BF57">
        <w:rPr>
          <w:rFonts w:ascii="Arial Narrow" w:hAnsi="Arial Narrow"/>
          <w:color w:val="000000" w:themeColor="text1"/>
          <w:sz w:val="22"/>
          <w:szCs w:val="22"/>
        </w:rPr>
        <w:t xml:space="preserve">Zatímco v případě uchazečů z České republiky dlouhodobě dominují uchazeči s nižším středním vzděláním (v prosinci 2022 to bylo 36,7 % všech uchazečů s českou státní příslušností, zatímco u uchazečů ze zemí EU/EHP pouze 17,8 %), v případě uchazečů ze zemí EU/EHP se nejčastěji jedná o základní vzdělání včetně neukončeného (v prosinci 2022 to bylo 39,4 % všech uchazečů ze zemí EU/EHP, zatímco u uchazečů s českou státní příslušností pouze 26,4 %). </w:t>
      </w:r>
    </w:p>
    <w:p w14:paraId="618EDEC4" w14:textId="77777777" w:rsidR="009D7EF6" w:rsidRPr="009D7EF6" w:rsidRDefault="009D7EF6" w:rsidP="009D7EF6">
      <w:pPr>
        <w:autoSpaceDE w:val="0"/>
        <w:autoSpaceDN w:val="0"/>
        <w:adjustRightInd w:val="0"/>
        <w:spacing w:after="120" w:line="276" w:lineRule="auto"/>
        <w:jc w:val="both"/>
        <w:rPr>
          <w:rFonts w:ascii="Arial Narrow" w:hAnsi="Arial Narrow"/>
        </w:rPr>
      </w:pPr>
      <w:r w:rsidRPr="009D7EF6">
        <w:rPr>
          <w:rFonts w:ascii="Arial Narrow" w:hAnsi="Arial Narrow"/>
          <w:color w:val="000000" w:themeColor="text1"/>
        </w:rPr>
        <w:t xml:space="preserve">Z hlediska struktury uchazečů o zaměstnání v Jihomoravském kraji </w:t>
      </w:r>
      <w:r w:rsidRPr="009D7EF6">
        <w:rPr>
          <w:rFonts w:ascii="Arial Narrow" w:hAnsi="Arial Narrow"/>
          <w:b/>
          <w:bCs/>
          <w:color w:val="000000" w:themeColor="text1"/>
        </w:rPr>
        <w:t xml:space="preserve">z hlediska </w:t>
      </w:r>
      <w:r w:rsidRPr="009D7EF6">
        <w:rPr>
          <w:rFonts w:ascii="Arial Narrow" w:hAnsi="Arial Narrow"/>
          <w:b/>
          <w:bCs/>
        </w:rPr>
        <w:t>zaměstnavatelem požadovaného stupně vzdělání</w:t>
      </w:r>
      <w:r w:rsidRPr="009D7EF6">
        <w:rPr>
          <w:rFonts w:ascii="Arial Narrow" w:hAnsi="Arial Narrow"/>
        </w:rPr>
        <w:t xml:space="preserve"> jsou údaje dostupné pouze za uchazeče s českou státní příslušností. Dlouhodobě narůstá zejména poptávka po uchazečích se základním stupněm vzdělání. Zatímco v prosinci roku 2015 bylo základní vzdělání (včetně neukončeného) požadováno u 36,3 % pozic, v prosinci roku 2022 již u celkem 73,6 % pozic. Do roku 2021 dlouhodobě klesala poptávka po uchazečích se středním vzděláním bez maturity. Zatímco v prosinci roku 2015 bylo střední vzdělání bez maturity požadováno u 41,7 % pozic, v prosinci roku 2021 to bylo pouze 13,3 % pozic. V roce 2022 již poptávka neklesá tak výrazně jako v předchozích letech a relativně se stabilizovala okolo 12,7 %.</w:t>
      </w:r>
    </w:p>
    <w:p w14:paraId="4104E94F" w14:textId="72695215" w:rsidR="009D7EF6" w:rsidRPr="009D7EF6" w:rsidRDefault="009D7EF6" w:rsidP="009D7EF6">
      <w:pPr>
        <w:autoSpaceDE w:val="0"/>
        <w:autoSpaceDN w:val="0"/>
        <w:adjustRightInd w:val="0"/>
        <w:spacing w:after="120" w:line="276" w:lineRule="auto"/>
        <w:jc w:val="both"/>
        <w:rPr>
          <w:rFonts w:ascii="Arial Narrow" w:hAnsi="Arial Narrow"/>
        </w:rPr>
      </w:pPr>
      <w:r w:rsidRPr="7CC7BF57">
        <w:rPr>
          <w:rFonts w:ascii="Arial Narrow" w:hAnsi="Arial Narrow"/>
        </w:rPr>
        <w:lastRenderedPageBreak/>
        <w:t xml:space="preserve">Podíváme-li se blíže na strukturu uchazečů </w:t>
      </w:r>
      <w:r w:rsidR="04F11D9A" w:rsidRPr="7CC7BF57">
        <w:rPr>
          <w:rFonts w:ascii="Arial Narrow" w:hAnsi="Arial Narrow"/>
        </w:rPr>
        <w:t xml:space="preserve">o zaměstnání </w:t>
      </w:r>
      <w:r w:rsidRPr="7CC7BF57">
        <w:rPr>
          <w:rFonts w:ascii="Arial Narrow" w:hAnsi="Arial Narrow"/>
        </w:rPr>
        <w:t>s jinou než českou státní příslušností, v Jihomoravském kraji dlouhodobě převažovali uchazeči ze zemí EU/EHP nad uchazeči ze třetích zemí. V roce 2022se vlivem války na Ukrajině a zvýšené migrace do ČR poměr převrátil a uchazečů ze třetích zemí bylo ke konci roku 2022 evidováno více než dvojnásobně více nežli uchazečů z EU/EHP.</w:t>
      </w:r>
    </w:p>
    <w:p w14:paraId="747748F3" w14:textId="77777777" w:rsidR="009D7EF6" w:rsidRPr="009D7EF6" w:rsidRDefault="009D7EF6" w:rsidP="009D7EF6">
      <w:pPr>
        <w:autoSpaceDE w:val="0"/>
        <w:autoSpaceDN w:val="0"/>
        <w:adjustRightInd w:val="0"/>
        <w:spacing w:after="120" w:line="276" w:lineRule="auto"/>
        <w:jc w:val="both"/>
        <w:rPr>
          <w:rFonts w:ascii="Arial Narrow" w:hAnsi="Arial Narrow"/>
        </w:rPr>
      </w:pPr>
      <w:r w:rsidRPr="009D7EF6">
        <w:rPr>
          <w:rFonts w:ascii="Arial Narrow" w:hAnsi="Arial Narrow"/>
          <w:b/>
          <w:bCs/>
        </w:rPr>
        <w:t>V prosinci roku 2022 bylo v Jihomoravském kraji evidováno celkem 818 uchazečů o zaměstnání ze zemí EU/EHP</w:t>
      </w:r>
      <w:r w:rsidRPr="009D7EF6">
        <w:rPr>
          <w:rFonts w:ascii="Arial Narrow" w:hAnsi="Arial Narrow"/>
        </w:rPr>
        <w:t>, což bylo přibližně 11,8 % všech uchazečů z EU/EHP v České republice. Vývoj počtu uchazečů z EU/EHP v Jihomoravském kraji je takřka totožný s vývojem počtu uchazečů z těchto zemí v rámci celé České republiky. Uchazeči z Jihomoravského kraje mezi lety 2014 a 2022 průměrně tvořili 11 % všech uchazečů z EU/EHP v České republice.</w:t>
      </w:r>
    </w:p>
    <w:p w14:paraId="1F367689" w14:textId="77777777" w:rsidR="009D7EF6" w:rsidRPr="009D7EF6" w:rsidRDefault="009D7EF6" w:rsidP="009D7EF6">
      <w:pPr>
        <w:autoSpaceDE w:val="0"/>
        <w:autoSpaceDN w:val="0"/>
        <w:adjustRightInd w:val="0"/>
        <w:spacing w:after="120" w:line="276" w:lineRule="auto"/>
        <w:jc w:val="both"/>
        <w:rPr>
          <w:rFonts w:ascii="Arial Narrow" w:hAnsi="Arial Narrow"/>
        </w:rPr>
      </w:pPr>
      <w:r w:rsidRPr="009D7EF6">
        <w:rPr>
          <w:rFonts w:ascii="Arial Narrow" w:hAnsi="Arial Narrow"/>
        </w:rPr>
        <w:t>Více než 4/5 uchazečů (81,77 %) byli k tomuto datu občané Slovenské republiky, kteří dlouhodobě (od roku 2014) tvoří průměrně 80 % všech uchazečů. Druhou nejčastější národností mezi uchazeči z EU/EHP byli v prosinci 2022 uchazeči z Polska, kteří tvořili 4,11 % všech uchazečů z EU/EHP a uchazeči z Bulharska, kteří tvořili 2,76 % těchto uchazečů. Uchazeči z Polska, Bulharska a Rumunska, a také tvoří od roku 2014 pravidelně průměrně 10 % všech uchazečů z EU/EHP v Jihomoravském kraji.</w:t>
      </w:r>
    </w:p>
    <w:p w14:paraId="076E1ABF" w14:textId="77777777" w:rsidR="009D7EF6" w:rsidRPr="009D7EF6" w:rsidRDefault="009D7EF6" w:rsidP="009D7EF6">
      <w:pPr>
        <w:autoSpaceDE w:val="0"/>
        <w:autoSpaceDN w:val="0"/>
        <w:adjustRightInd w:val="0"/>
        <w:spacing w:after="120" w:line="276" w:lineRule="auto"/>
        <w:jc w:val="both"/>
        <w:rPr>
          <w:rFonts w:ascii="Arial Narrow" w:hAnsi="Arial Narrow"/>
        </w:rPr>
      </w:pPr>
      <w:r w:rsidRPr="009D7EF6">
        <w:rPr>
          <w:rFonts w:ascii="Arial Narrow" w:hAnsi="Arial Narrow"/>
        </w:rPr>
        <w:t xml:space="preserve">Mezi uchazeči o zaměstnání ze zemí EU/EHP dlouhodobě mírně převažují ženy nad muži. V prosinci 2022 se jednalo o 52,21 % uchazeček žen a 47,78 % uchazečů mužů. Podíváme-li se podrobněji na podíly mužů a žen v rámci uchazečů z jednotlivých států EU/EHP, lze konstatovat, že za celkovou převahou žen z hlediska pohlaví uchazečů, stojí zejména uchazeči ze Slovenska Polska a Rumunska. </w:t>
      </w:r>
    </w:p>
    <w:p w14:paraId="2604D4F9" w14:textId="3066DFBB" w:rsidR="009D7EF6" w:rsidRPr="009D7EF6" w:rsidRDefault="009D7EF6" w:rsidP="009D7EF6">
      <w:pPr>
        <w:spacing w:after="120" w:line="276" w:lineRule="auto"/>
        <w:jc w:val="both"/>
        <w:rPr>
          <w:rFonts w:ascii="Arial Narrow" w:hAnsi="Arial Narrow"/>
        </w:rPr>
      </w:pPr>
      <w:r w:rsidRPr="7CC7BF57">
        <w:rPr>
          <w:rFonts w:ascii="Arial Narrow" w:hAnsi="Arial Narrow"/>
          <w:b/>
          <w:bCs/>
        </w:rPr>
        <w:t>V prosinci roku 2022 bylo v Jihomoravském kraji evidováno celkem 1988 uchazečů o zaměstnání z třetích zemí,</w:t>
      </w:r>
      <w:r w:rsidRPr="7CC7BF57">
        <w:rPr>
          <w:rFonts w:ascii="Arial Narrow" w:hAnsi="Arial Narrow"/>
        </w:rPr>
        <w:t xml:space="preserve"> což bylo přibližně 10,8 % všech uchazečů z třetích zemí v České republice. Jedná se o trojnásobný nárůst v počtu uchazečů ze třetích zemí</w:t>
      </w:r>
      <w:r w:rsidR="73029135" w:rsidRPr="7CC7BF57">
        <w:rPr>
          <w:rFonts w:ascii="Arial Narrow" w:hAnsi="Arial Narrow"/>
        </w:rPr>
        <w:t xml:space="preserve"> oproti roku 2021</w:t>
      </w:r>
      <w:r w:rsidRPr="7CC7BF57">
        <w:rPr>
          <w:rFonts w:ascii="Arial Narrow" w:hAnsi="Arial Narrow"/>
        </w:rPr>
        <w:t xml:space="preserve">. </w:t>
      </w:r>
      <w:r w:rsidRPr="7CC7BF57">
        <w:rPr>
          <w:rFonts w:ascii="Arial Narrow" w:hAnsi="Arial Narrow"/>
          <w:color w:val="000000" w:themeColor="text1"/>
        </w:rPr>
        <w:t>Uchazeči z Jihomoravského kraje mezi lety 2014 a 2019 průměrně tvořili 14 % všech uchazečů z třetích zemí v České republice. V posledních třech letech se podíl uchazečů z Jihomoravského kraje na celkovém počtu všech uchazečů z třetích zemí v České republice mírně snížil, na průměrně 11 %.</w:t>
      </w:r>
    </w:p>
    <w:p w14:paraId="226B2827" w14:textId="3E0F3E51" w:rsidR="009D7EF6" w:rsidRPr="007B59C4" w:rsidRDefault="009D7EF6" w:rsidP="009D7EF6">
      <w:pPr>
        <w:spacing w:after="120" w:line="276" w:lineRule="auto"/>
        <w:jc w:val="both"/>
        <w:rPr>
          <w:rFonts w:ascii="Arial Narrow" w:hAnsi="Arial Narrow"/>
        </w:rPr>
      </w:pPr>
      <w:r w:rsidRPr="7CC7BF57">
        <w:rPr>
          <w:rFonts w:ascii="Arial Narrow" w:hAnsi="Arial Narrow"/>
          <w:b/>
          <w:bCs/>
        </w:rPr>
        <w:t>Více než 4/5 všech uchazečů</w:t>
      </w:r>
      <w:r w:rsidRPr="7CC7BF57">
        <w:rPr>
          <w:rFonts w:ascii="Arial Narrow" w:hAnsi="Arial Narrow"/>
        </w:rPr>
        <w:t xml:space="preserve"> z třetích zemí v Jihomoravském kraji </w:t>
      </w:r>
      <w:r w:rsidRPr="7CC7BF57">
        <w:rPr>
          <w:rFonts w:ascii="Arial Narrow" w:hAnsi="Arial Narrow"/>
          <w:b/>
          <w:bCs/>
        </w:rPr>
        <w:t xml:space="preserve">tvořili v prosinci 2022 občané Ukrajiny (85,56 %). </w:t>
      </w:r>
      <w:r w:rsidRPr="7CC7BF57">
        <w:rPr>
          <w:rFonts w:ascii="Arial Narrow" w:hAnsi="Arial Narrow"/>
        </w:rPr>
        <w:t>Občané Ukrajiny dlouhodobě (od roku 2014)</w:t>
      </w:r>
      <w:r w:rsidRPr="7CC7BF57">
        <w:rPr>
          <w:rFonts w:ascii="Arial Narrow" w:hAnsi="Arial Narrow"/>
          <w:color w:val="000000" w:themeColor="text1"/>
        </w:rPr>
        <w:t xml:space="preserve"> tvořili zhruba polovinu všech uchazečů o zaměstnání ze třetích zemí v rámci Jihomoravského kraje, v posledním roce došlo vlivem války na Ukrajině k výraznému nárůstu těchto osob v ČR. </w:t>
      </w:r>
      <w:r w:rsidRPr="7CC7BF57">
        <w:rPr>
          <w:rFonts w:ascii="Arial Narrow" w:hAnsi="Arial Narrow"/>
        </w:rPr>
        <w:t xml:space="preserve">Druhou nejčastější národností mezi uchazeči z třetích zemí byli v prosinci 2022 uchazeči z Ruska, kteří tvořili 2,26 % všech uchazečů z třetích zemí a uchazeči z Arménie, kteří tvořili 1,3 % těchto uchazečů. </w:t>
      </w:r>
      <w:r w:rsidRPr="7CC7BF57">
        <w:rPr>
          <w:rFonts w:ascii="Arial Narrow" w:hAnsi="Arial Narrow"/>
          <w:color w:val="000000" w:themeColor="text1"/>
        </w:rPr>
        <w:t>Občané těchto dvou států tvořili pravidelně (od roku 2014) průměrně 14 % všech uchazečů z třetích zemí v Jihomoravském kraji. Pokles podílu je způsoben především nárůstem podílu osob z Ukrajiny, celkový počet uchazečů se meziročně prakticky nezměnil.</w:t>
      </w:r>
      <w:r w:rsidRPr="7CC7BF57">
        <w:rPr>
          <w:rFonts w:ascii="Arial Narrow" w:hAnsi="Arial Narrow"/>
        </w:rPr>
        <w:t xml:space="preserve"> Oproti uchazečům z EU/EHP, tvoří ženy mezi uchazeči z třetích zemí celkově výrazně větší podíl než muži</w:t>
      </w:r>
      <w:r w:rsidRPr="007B59C4">
        <w:rPr>
          <w:rFonts w:ascii="Arial Narrow" w:hAnsi="Arial Narrow"/>
        </w:rPr>
        <w:t xml:space="preserve">. V prosinci 2022 se jednalo o 76,91 % uchazeček žen a 23,09 % uchazečů mužů. </w:t>
      </w:r>
      <w:r w:rsidR="00616121" w:rsidRPr="007B59C4">
        <w:rPr>
          <w:rFonts w:ascii="Arial Narrow" w:hAnsi="Arial Narrow"/>
        </w:rPr>
        <w:t>Dlouhodobě stabilní poměr, ve kterém podíl mužů převyšoval podíl žen, se v roce 2022 proměnil vlivem příchodu většího množství žen z Ukrajiny v důsledku konfliktu s Ruskem.</w:t>
      </w:r>
    </w:p>
    <w:p w14:paraId="03F035E4" w14:textId="37149A5D" w:rsidR="009D7EF6" w:rsidRPr="007B59C4" w:rsidRDefault="009D7EF6" w:rsidP="7CC7BF57">
      <w:pPr>
        <w:pStyle w:val="Normlnweb"/>
        <w:spacing w:after="240" w:line="276" w:lineRule="auto"/>
        <w:jc w:val="both"/>
        <w:rPr>
          <w:rFonts w:ascii="Arial Narrow" w:hAnsi="Arial Narrow" w:cstheme="minorBidi"/>
          <w:sz w:val="22"/>
          <w:szCs w:val="22"/>
        </w:rPr>
      </w:pPr>
      <w:r w:rsidRPr="007B59C4">
        <w:rPr>
          <w:rFonts w:ascii="Arial Narrow" w:hAnsi="Arial Narrow" w:cstheme="minorBidi"/>
          <w:sz w:val="22"/>
          <w:szCs w:val="22"/>
        </w:rPr>
        <w:t xml:space="preserve">Srovnáme-li vývoj počtu uchazečů o zaměstnání – občanů České republiky, občanů EU/EHP a třetích zemí v České republice, je patrné, že vývoj počtu uchazečů o zaměstnání ze zemí EU/EHP byl do roku 2021 srovnatelný s vývojem počtu uchazečů – občanů České republiky. Vývoj počtu uchazečů o zaměstnání z třetích zemí měl mezi roky 2015 a 2021 klesající tendenci. Podobná situace byla i v Jihomoravském kraji – zatímco u uchazečů z EU/EHP byla mezi lety 2019 a 2021 patrná narůstající tendence počtu uchazečů, v případě uchazečů z třetích zemí byl trend opačný. Výrazná proměna nastala v roce 2022, kdy vlivem konfliktu Ruska a Ukrajiny došlo k mimořádnému </w:t>
      </w:r>
      <w:r w:rsidRPr="007B59C4">
        <w:rPr>
          <w:rFonts w:ascii="Arial Narrow" w:hAnsi="Arial Narrow" w:cstheme="minorBidi"/>
          <w:sz w:val="22"/>
          <w:szCs w:val="22"/>
        </w:rPr>
        <w:lastRenderedPageBreak/>
        <w:t xml:space="preserve">nárůstu počtu uchazečů ze třetích zemí v důsledku zvýšené migrace z Ukrajiny do ČR. Meziročně tak </w:t>
      </w:r>
      <w:r w:rsidRPr="007B59C4">
        <w:rPr>
          <w:rFonts w:ascii="Arial Narrow" w:hAnsi="Arial Narrow" w:cstheme="minorBidi"/>
          <w:b/>
          <w:bCs/>
          <w:sz w:val="22"/>
          <w:szCs w:val="22"/>
        </w:rPr>
        <w:t>počet uchazečů o zaměstnání ze třetích zemí vzrostl více než čtyřnásobně</w:t>
      </w:r>
      <w:r w:rsidRPr="007B59C4">
        <w:rPr>
          <w:rFonts w:ascii="Arial Narrow" w:hAnsi="Arial Narrow" w:cstheme="minorBidi"/>
          <w:sz w:val="22"/>
          <w:szCs w:val="22"/>
        </w:rPr>
        <w:t>.</w:t>
      </w:r>
    </w:p>
    <w:p w14:paraId="31501783" w14:textId="77777777" w:rsidR="009D7EF6" w:rsidRPr="007B59C4" w:rsidRDefault="009D7EF6" w:rsidP="009D7EF6">
      <w:pPr>
        <w:spacing w:after="240" w:line="276" w:lineRule="auto"/>
        <w:rPr>
          <w:rFonts w:ascii="Arial Narrow" w:hAnsi="Arial Narrow"/>
          <w:b/>
          <w:bCs/>
        </w:rPr>
      </w:pPr>
      <w:r w:rsidRPr="007B59C4">
        <w:rPr>
          <w:rFonts w:ascii="Arial Narrow" w:hAnsi="Arial Narrow"/>
          <w:b/>
          <w:bCs/>
          <w:color w:val="C00000"/>
        </w:rPr>
        <w:t>Výdělečná činnost osob s jinou než českou státní příslušností žijících v České republice</w:t>
      </w:r>
    </w:p>
    <w:p w14:paraId="68A2D275" w14:textId="77777777" w:rsidR="009D7EF6" w:rsidRPr="007B59C4" w:rsidRDefault="009D7EF6" w:rsidP="009D7EF6">
      <w:pPr>
        <w:autoSpaceDE w:val="0"/>
        <w:autoSpaceDN w:val="0"/>
        <w:adjustRightInd w:val="0"/>
        <w:spacing w:after="120" w:line="276" w:lineRule="auto"/>
        <w:jc w:val="both"/>
        <w:rPr>
          <w:rFonts w:ascii="Arial Narrow" w:hAnsi="Arial Narrow"/>
        </w:rPr>
      </w:pPr>
      <w:r w:rsidRPr="007B59C4">
        <w:rPr>
          <w:rFonts w:ascii="Arial Narrow" w:hAnsi="Arial Narrow"/>
          <w:color w:val="000000" w:themeColor="text1"/>
        </w:rPr>
        <w:t xml:space="preserve">Ve srovnání s dalšími státy Evropské Unie patří Česká republika ke špičce </w:t>
      </w:r>
      <w:r w:rsidRPr="007B59C4">
        <w:rPr>
          <w:rFonts w:ascii="Arial Narrow" w:hAnsi="Arial Narrow"/>
        </w:rPr>
        <w:t xml:space="preserve">v úrovni zaměstnanosti osob s jinou státní příslušností. Zaměstnanost osob s jinou státní příslušností v produktivním věku pocházejících z Evropské unie byla nejvyšší v Litvě, kde dosáhla k 31. 12. 2021 celkem 92,3 %. Následuje Malta, která v úrovni zaměstnanosti osob s jinou státní příslušností-občanů zemí EU dosáhla 90,0 %. Česká republika se v zaměstnanosti osob s jinou státní příslušností pocházejících z EU umístila na třetím místě s 83,9 %. Z hlediska úrovně zaměstnanosti osob s jinou státní příslušností pocházejících ze třetích zemí se Česká republika ke konci roku 2021 umístila se 80,5 % zaměstnaností na čtvrtém místě ve srovnání s jinými státy Evropské Unie. </w:t>
      </w:r>
    </w:p>
    <w:p w14:paraId="4970B27D" w14:textId="77777777" w:rsidR="009D7EF6" w:rsidRPr="007B59C4" w:rsidRDefault="009D7EF6" w:rsidP="009D7EF6">
      <w:pPr>
        <w:autoSpaceDE w:val="0"/>
        <w:autoSpaceDN w:val="0"/>
        <w:adjustRightInd w:val="0"/>
        <w:spacing w:after="120" w:line="276" w:lineRule="auto"/>
        <w:jc w:val="both"/>
        <w:rPr>
          <w:rFonts w:ascii="Arial Narrow" w:hAnsi="Arial Narrow"/>
        </w:rPr>
      </w:pPr>
      <w:r w:rsidRPr="007B59C4">
        <w:rPr>
          <w:rFonts w:ascii="Arial Narrow" w:hAnsi="Arial Narrow"/>
        </w:rPr>
        <w:t xml:space="preserve">V Jihomoravském kraji bylo ke konci roku 2022 celkem 100 417 ekonomicky aktivních osob s jinou než českou státní příslušností (91 375 zaměstnaných a 9 042 samostatně výdělečných osob). </w:t>
      </w:r>
      <w:r w:rsidRPr="007B59C4">
        <w:rPr>
          <w:rFonts w:ascii="Arial Narrow" w:hAnsi="Arial Narrow"/>
          <w:szCs w:val="20"/>
        </w:rPr>
        <w:t>Počet těchto osob v pozici zaměstnanců i samostatně výdělečných osob v České republice dlouhodobě narůstá ve všech krajích České republiky.</w:t>
      </w:r>
    </w:p>
    <w:p w14:paraId="037C330A" w14:textId="3C849DA9" w:rsidR="009D7EF6" w:rsidRPr="007B59C4" w:rsidRDefault="009D7EF6" w:rsidP="7CC7BF57">
      <w:pPr>
        <w:spacing w:after="240" w:line="276" w:lineRule="auto"/>
        <w:jc w:val="both"/>
        <w:rPr>
          <w:rFonts w:ascii="Arial Narrow" w:hAnsi="Arial Narrow"/>
        </w:rPr>
      </w:pPr>
      <w:r w:rsidRPr="007B59C4">
        <w:rPr>
          <w:rFonts w:ascii="Arial Narrow" w:hAnsi="Arial Narrow"/>
        </w:rPr>
        <w:t>Převážnou většinu zaměstnaných osob s jinou než českou státní příslušností, kteří v prosinci 2020 v České republice pracovali, tvořili pracovníci s volným přístupem na trh práce – 55,7 % zaměstnanců pocházelo ze zemí EU/EHP a Švýcarska. Mezi zaměstnanci s jinou než českou státní příslušností dlouhodobě dominují občané Ukrajiny, Slovenska, Polska, Rumunska a Bulharska. Občané těchto pěti zemí dlouhodobě tvořili více než tři čtvrtiny všech zaměstnaných osob s jinou než českou státní příslušností v České republice. V důsledku zvýšené migrace do ČR z Ukrajiny v roce 2022 je tento podíl v současnosti ještě vyšší. V minulosti dlouhodobě drželi pomyslné prvenství v počtu zaměstnaných osob s jinou než českou státní příslušností občané Slovenska, v důsledky výše uvedené migrace v návaznosti na Rusko-Ukrajinský konflikt jsou dnes právě občané Ukrajiny nejpočetnější skupinou.</w:t>
      </w:r>
    </w:p>
    <w:p w14:paraId="4EBEC100" w14:textId="52B8CB36" w:rsidR="009D7EF6" w:rsidRPr="007B59C4" w:rsidRDefault="009D7EF6" w:rsidP="009D7EF6">
      <w:pPr>
        <w:autoSpaceDE w:val="0"/>
        <w:autoSpaceDN w:val="0"/>
        <w:adjustRightInd w:val="0"/>
        <w:spacing w:after="120" w:line="276" w:lineRule="auto"/>
        <w:jc w:val="both"/>
        <w:rPr>
          <w:rFonts w:ascii="Arial Narrow" w:hAnsi="Arial Narrow"/>
        </w:rPr>
      </w:pPr>
      <w:r w:rsidRPr="007B59C4">
        <w:rPr>
          <w:rFonts w:ascii="Arial Narrow" w:hAnsi="Arial Narrow"/>
        </w:rPr>
        <w:t>Celkový počet osob s jinou než českou státní příslušností na trhu práce v Jihomoravském kraji od roku 2011 výrazně narůstá. Důvodem je zejména zvyšující se počet pracovníků ze zemí EU. V souvislosti s růstem ekonomiky po roce 2014 a snižující se celkovou nezaměstnaností ale narůstá i poptávka po zahraniční pracovní síle ze třetích zemí. V datech mapujících rok 2020 se v tomto ohledu neprojevila ani pandemie nemoci COVID-19 a s ním očekávaná ekonomická recese. Naopak, mezi lety 2019 a 2020 meziročně došlo k nárůstu celkového počtu zaměstnaných osob s jinou než českou státní příslušností o 5 741, tedy ještě o 224 více než mezi lety 2018 a 2019.</w:t>
      </w:r>
      <w:r w:rsidRPr="007B59C4">
        <w:rPr>
          <w:rStyle w:val="Znakapoznpodarou"/>
        </w:rPr>
        <w:footnoteReference w:id="69"/>
      </w:r>
      <w:r w:rsidRPr="007B59C4">
        <w:rPr>
          <w:rFonts w:ascii="Arial Narrow" w:hAnsi="Arial Narrow"/>
        </w:rPr>
        <w:t xml:space="preserve"> Trend pokračoval i v roce 2022, kd</w:t>
      </w:r>
      <w:r w:rsidR="4A28B6D5" w:rsidRPr="007B59C4">
        <w:rPr>
          <w:rFonts w:ascii="Arial Narrow" w:hAnsi="Arial Narrow"/>
        </w:rPr>
        <w:t>y</w:t>
      </w:r>
      <w:r w:rsidRPr="007B59C4">
        <w:rPr>
          <w:rFonts w:ascii="Arial Narrow" w:hAnsi="Arial Narrow"/>
        </w:rPr>
        <w:t xml:space="preserve"> </w:t>
      </w:r>
      <w:r w:rsidR="74D1B0FE" w:rsidRPr="007B59C4">
        <w:rPr>
          <w:rFonts w:ascii="Arial Narrow" w:hAnsi="Arial Narrow"/>
        </w:rPr>
        <w:t>došlo k</w:t>
      </w:r>
      <w:r w:rsidRPr="007B59C4">
        <w:rPr>
          <w:rFonts w:ascii="Arial Narrow" w:hAnsi="Arial Narrow"/>
        </w:rPr>
        <w:t xml:space="preserve"> </w:t>
      </w:r>
      <w:r w:rsidR="01EA2D4E" w:rsidRPr="007B59C4">
        <w:rPr>
          <w:rFonts w:ascii="Arial Narrow" w:hAnsi="Arial Narrow"/>
        </w:rPr>
        <w:t xml:space="preserve">výraznému </w:t>
      </w:r>
      <w:r w:rsidR="20BDC42F" w:rsidRPr="007B59C4">
        <w:rPr>
          <w:rFonts w:ascii="Arial Narrow" w:hAnsi="Arial Narrow"/>
        </w:rPr>
        <w:t xml:space="preserve">navýšení počtu </w:t>
      </w:r>
      <w:r w:rsidRPr="007B59C4">
        <w:rPr>
          <w:rFonts w:ascii="Arial Narrow" w:hAnsi="Arial Narrow"/>
        </w:rPr>
        <w:t xml:space="preserve">občanů </w:t>
      </w:r>
      <w:r w:rsidR="6096AE1B" w:rsidRPr="007B59C4">
        <w:rPr>
          <w:rFonts w:ascii="Arial Narrow" w:hAnsi="Arial Narrow"/>
        </w:rPr>
        <w:t>z</w:t>
      </w:r>
      <w:r w:rsidR="00583AD1" w:rsidRPr="007B59C4">
        <w:rPr>
          <w:rFonts w:ascii="Arial Narrow" w:hAnsi="Arial Narrow"/>
        </w:rPr>
        <w:t>e</w:t>
      </w:r>
      <w:r w:rsidR="6096AE1B" w:rsidRPr="007B59C4">
        <w:rPr>
          <w:rFonts w:ascii="Arial Narrow" w:hAnsi="Arial Narrow"/>
        </w:rPr>
        <w:t xml:space="preserve"> </w:t>
      </w:r>
      <w:r w:rsidRPr="007B59C4">
        <w:rPr>
          <w:rFonts w:ascii="Arial Narrow" w:hAnsi="Arial Narrow"/>
        </w:rPr>
        <w:t xml:space="preserve">třetích zemí, kteří </w:t>
      </w:r>
      <w:r w:rsidR="14B1D70E" w:rsidRPr="007B59C4">
        <w:rPr>
          <w:rFonts w:ascii="Arial Narrow" w:hAnsi="Arial Narrow"/>
        </w:rPr>
        <w:t>mají volný vstup na trh práce</w:t>
      </w:r>
      <w:r w:rsidR="7C15D8B6" w:rsidRPr="007B59C4">
        <w:rPr>
          <w:rFonts w:ascii="Arial Narrow" w:hAnsi="Arial Narrow"/>
        </w:rPr>
        <w:t xml:space="preserve"> (občané Ukrajiny se statutem dočasné ochrany)</w:t>
      </w:r>
      <w:r w:rsidR="14B1D70E" w:rsidRPr="007B59C4">
        <w:rPr>
          <w:rFonts w:ascii="Arial Narrow" w:hAnsi="Arial Narrow"/>
        </w:rPr>
        <w:t xml:space="preserve"> a zároveň </w:t>
      </w:r>
      <w:r w:rsidR="64CF7016" w:rsidRPr="007B59C4">
        <w:rPr>
          <w:rFonts w:ascii="Arial Narrow" w:hAnsi="Arial Narrow"/>
        </w:rPr>
        <w:t xml:space="preserve">došlo k většímu počtu přechodů </w:t>
      </w:r>
      <w:r w:rsidR="14B1D70E" w:rsidRPr="007B59C4">
        <w:rPr>
          <w:rFonts w:ascii="Arial Narrow" w:hAnsi="Arial Narrow"/>
        </w:rPr>
        <w:t>již pobývajících o</w:t>
      </w:r>
      <w:r w:rsidR="4FB474BE" w:rsidRPr="007B59C4">
        <w:rPr>
          <w:rFonts w:ascii="Arial Narrow" w:hAnsi="Arial Narrow"/>
        </w:rPr>
        <w:t xml:space="preserve">sob z třetích zemí z pobytu přechodného na </w:t>
      </w:r>
      <w:r w:rsidR="00583AD1" w:rsidRPr="007B59C4">
        <w:rPr>
          <w:rFonts w:ascii="Arial Narrow" w:hAnsi="Arial Narrow"/>
        </w:rPr>
        <w:t xml:space="preserve">pobyt </w:t>
      </w:r>
      <w:r w:rsidR="4FB474BE" w:rsidRPr="007B59C4">
        <w:rPr>
          <w:rFonts w:ascii="Arial Narrow" w:hAnsi="Arial Narrow"/>
        </w:rPr>
        <w:t>trvalý.</w:t>
      </w:r>
      <w:r w:rsidR="00583AD1" w:rsidRPr="007B59C4">
        <w:rPr>
          <w:rFonts w:ascii="Arial Narrow" w:hAnsi="Arial Narrow"/>
        </w:rPr>
        <w:t xml:space="preserve"> </w:t>
      </w:r>
      <w:r w:rsidR="0B1C3958" w:rsidRPr="007B59C4">
        <w:rPr>
          <w:rFonts w:ascii="Arial Narrow" w:hAnsi="Arial Narrow"/>
        </w:rPr>
        <w:t>Velmi p</w:t>
      </w:r>
      <w:r w:rsidRPr="007B59C4">
        <w:rPr>
          <w:rFonts w:ascii="Arial Narrow" w:hAnsi="Arial Narrow"/>
        </w:rPr>
        <w:t>ravděpodobně</w:t>
      </w:r>
      <w:r w:rsidR="227F5EEA" w:rsidRPr="007B59C4">
        <w:rPr>
          <w:rFonts w:ascii="Arial Narrow" w:hAnsi="Arial Narrow"/>
        </w:rPr>
        <w:t xml:space="preserve"> s tím souvisí i</w:t>
      </w:r>
      <w:r w:rsidRPr="007B59C4">
        <w:rPr>
          <w:rFonts w:ascii="Arial Narrow" w:hAnsi="Arial Narrow"/>
        </w:rPr>
        <w:t xml:space="preserve"> </w:t>
      </w:r>
      <w:r w:rsidR="4FA382CB" w:rsidRPr="007B59C4">
        <w:rPr>
          <w:rFonts w:ascii="Arial Narrow" w:hAnsi="Arial Narrow"/>
        </w:rPr>
        <w:t>souběžný</w:t>
      </w:r>
      <w:r w:rsidRPr="007B59C4">
        <w:rPr>
          <w:rFonts w:ascii="Arial Narrow" w:hAnsi="Arial Narrow"/>
        </w:rPr>
        <w:t xml:space="preserve"> pokles počtu evidovaných osob, které potřebují povolení pro přístup na trh práce.</w:t>
      </w:r>
    </w:p>
    <w:p w14:paraId="012D66CE" w14:textId="6CDAC021" w:rsidR="009D7EF6" w:rsidRPr="009D7EF6" w:rsidRDefault="009D7EF6" w:rsidP="7CC7BF57">
      <w:pPr>
        <w:autoSpaceDE w:val="0"/>
        <w:autoSpaceDN w:val="0"/>
        <w:adjustRightInd w:val="0"/>
        <w:spacing w:after="120" w:line="276" w:lineRule="auto"/>
        <w:jc w:val="both"/>
        <w:rPr>
          <w:rFonts w:ascii="Arial Narrow" w:hAnsi="Arial Narrow"/>
        </w:rPr>
      </w:pPr>
      <w:r w:rsidRPr="007B59C4">
        <w:rPr>
          <w:rFonts w:ascii="Arial Narrow" w:hAnsi="Arial Narrow"/>
        </w:rPr>
        <w:t>Ve struktuře osob s jinou než českou státní příslušností, působících na trhu práce v Jihomoravském</w:t>
      </w:r>
      <w:r w:rsidRPr="009D7EF6">
        <w:rPr>
          <w:rFonts w:ascii="Arial Narrow" w:hAnsi="Arial Narrow"/>
        </w:rPr>
        <w:t xml:space="preserve"> kraji byly od nástupu hospodářské krize v roce 2008 zaznamenány značné změny. Zatímco před nástupem hospodářské krize v roce 2008 byl počet pracovníků ze zemí EU a pracovníků ze třetích zemí téměř vyrovnaný</w:t>
      </w:r>
      <w:r w:rsidRPr="009D7EF6">
        <w:rPr>
          <w:rStyle w:val="Znakapoznpodarou"/>
        </w:rPr>
        <w:footnoteReference w:id="70"/>
      </w:r>
      <w:r w:rsidRPr="009D7EF6">
        <w:rPr>
          <w:rFonts w:ascii="Arial Narrow" w:hAnsi="Arial Narrow"/>
        </w:rPr>
        <w:t xml:space="preserve">, v současné době </w:t>
      </w:r>
      <w:r w:rsidRPr="009D7EF6">
        <w:rPr>
          <w:rFonts w:ascii="Arial Narrow" w:hAnsi="Arial Narrow"/>
        </w:rPr>
        <w:lastRenderedPageBreak/>
        <w:t>téměř polovina osob s jinou než českou státní příslušností evidovaných úřady práce (tedy v postavení zaměstnanců) v Jihomoravském kraji představují občané EU/EHP (ke konci roku 2022 tento podíl činil 54,5 %). Oproti dřívějším letům se jedná o pokles způsobený zvýšením podílu osob z třetích zemí v roce 2022. Ke konci roku 2022 bylo úřady práce v Jihomoravském kraji evidováno celkem 50 893 pracovníků ze zemí Evropské unie. Největší podíl na této pracovní síle měli občané Slovenska, kterých bylo k 31. 12. 2022 v kraji zaměstnáno celkem 34 656, tj. 68,1 % všech pracovníků ze zemí EU/EHP a Švýcarska. Osoby ze Slovenské republiky byly v roce 2022 nejčastěji zaměstnáváni jako dělníci ve strojírenství, ve stavebnictví a zemědělství, navíc se díky neexistenci jazykové bariéry velmi často uplatňují rovněž v obchodě, službách a zdravotnictví.</w:t>
      </w:r>
      <w:r w:rsidRPr="009D7EF6">
        <w:rPr>
          <w:rStyle w:val="Znakapoznpodarou"/>
        </w:rPr>
        <w:footnoteReference w:id="71"/>
      </w:r>
    </w:p>
    <w:p w14:paraId="45CD90CD" w14:textId="77777777" w:rsidR="009D7EF6" w:rsidRPr="009D7EF6" w:rsidRDefault="009D7EF6" w:rsidP="009D7EF6">
      <w:pPr>
        <w:autoSpaceDE w:val="0"/>
        <w:autoSpaceDN w:val="0"/>
        <w:adjustRightInd w:val="0"/>
        <w:spacing w:after="120" w:line="276" w:lineRule="auto"/>
        <w:jc w:val="both"/>
        <w:rPr>
          <w:rFonts w:ascii="Arial Narrow" w:hAnsi="Arial Narrow"/>
        </w:rPr>
      </w:pPr>
      <w:r w:rsidRPr="009D7EF6">
        <w:rPr>
          <w:rFonts w:ascii="Arial Narrow" w:hAnsi="Arial Narrow"/>
        </w:rPr>
        <w:t xml:space="preserve">Nejvyšší počet všech pracovníků ze zemí EU bylo již tradičně zaměstnaných v okresech Brno-město a Brno-venkov, kde k 31. 12. 2022 pracovalo 80 % všech občanů EU/EHP + Švýcarska v postavení zaměstnanců v Jihomoravském kraji. Taktéž občané ostatních evropských zemí v postavení zaměstnanců byli v roce 2022 nejvíce koncentrovaní v okresech Brno-město a Brno-venkov. Jednalo se jak o méně, tak i vysoce kvalifikovanou pracovní sílu (programátoři, analytici a pracovníci operačních systémů, ale také učitele jazyků, obchodní zástupci či vedoucí a řídící pracovníci). Největšími zaměstnavateli těchto pracovníků byli v roce 2022 firmy </w:t>
      </w:r>
      <w:proofErr w:type="spellStart"/>
      <w:r w:rsidRPr="009D7EF6">
        <w:rPr>
          <w:rFonts w:ascii="Arial Narrow" w:hAnsi="Arial Narrow"/>
        </w:rPr>
        <w:t>Kyndryl</w:t>
      </w:r>
      <w:proofErr w:type="spellEnd"/>
      <w:r w:rsidRPr="009D7EF6">
        <w:rPr>
          <w:rFonts w:ascii="Arial Narrow" w:hAnsi="Arial Narrow"/>
        </w:rPr>
        <w:t xml:space="preserve"> </w:t>
      </w:r>
      <w:proofErr w:type="spellStart"/>
      <w:r w:rsidRPr="009D7EF6">
        <w:rPr>
          <w:rFonts w:ascii="Arial Narrow" w:hAnsi="Arial Narrow"/>
        </w:rPr>
        <w:t>Client</w:t>
      </w:r>
      <w:proofErr w:type="spellEnd"/>
      <w:r w:rsidRPr="009D7EF6">
        <w:rPr>
          <w:rFonts w:ascii="Arial Narrow" w:hAnsi="Arial Narrow"/>
        </w:rPr>
        <w:t xml:space="preserve"> Center, s.r.o. (dříve IBM) a AT&amp;T.</w:t>
      </w:r>
    </w:p>
    <w:p w14:paraId="421C64E0" w14:textId="77777777" w:rsidR="00BC1C0D" w:rsidRPr="00BC1C0D" w:rsidRDefault="00BC1C0D" w:rsidP="00BC1C0D">
      <w:pPr>
        <w:spacing w:before="240" w:line="276" w:lineRule="auto"/>
        <w:jc w:val="both"/>
        <w:rPr>
          <w:rFonts w:ascii="Arial Narrow" w:hAnsi="Arial Narrow"/>
          <w:highlight w:val="cyan"/>
        </w:rPr>
      </w:pPr>
      <w:r w:rsidRPr="00BC1C0D">
        <w:rPr>
          <w:rFonts w:ascii="Arial Narrow" w:hAnsi="Arial Narrow"/>
          <w:highlight w:val="cyan"/>
        </w:rPr>
        <w:t xml:space="preserve">K 31. 12. 2022 pracovalo v Jihomoravském kraji celkem 28 035 zaměstnanců původem ze třetích zemí, kteří </w:t>
      </w:r>
      <w:r w:rsidRPr="00BC1C0D">
        <w:rPr>
          <w:rFonts w:ascii="Arial Narrow" w:hAnsi="Arial Narrow"/>
          <w:b/>
          <w:highlight w:val="cyan"/>
        </w:rPr>
        <w:t>nepotřebují</w:t>
      </w:r>
      <w:r w:rsidRPr="00BC1C0D">
        <w:rPr>
          <w:rFonts w:ascii="Arial Narrow" w:hAnsi="Arial Narrow"/>
          <w:highlight w:val="cyan"/>
        </w:rPr>
        <w:t xml:space="preserve"> oprávnění k zaměstnání, tj. o 12,9 tis. více než v předchozím roce. Převážná většina občanů třetích zemí (81,5 %) v pozici zaměstnanců v Jihomoravském kraji, která nepotřebuje povolení k zaměstnání, pracovala k 31. 12. 2022 taktéž na území okresů Brno-město a Brno-venkov.</w:t>
      </w:r>
    </w:p>
    <w:p w14:paraId="5656AB2B" w14:textId="0334F0E5" w:rsidR="00BC1C0D" w:rsidRPr="009D7EF6" w:rsidRDefault="00BC1C0D" w:rsidP="00BC1C0D">
      <w:pPr>
        <w:spacing w:before="240" w:line="276" w:lineRule="auto"/>
        <w:jc w:val="both"/>
        <w:rPr>
          <w:rFonts w:ascii="Arial Narrow" w:hAnsi="Arial Narrow"/>
        </w:rPr>
      </w:pPr>
      <w:r w:rsidRPr="00BC1C0D">
        <w:rPr>
          <w:rFonts w:ascii="Arial Narrow" w:hAnsi="Arial Narrow"/>
          <w:highlight w:val="cyan"/>
        </w:rPr>
        <w:t xml:space="preserve">Počet zaměstnanců původem ze třetích zemí, kteří </w:t>
      </w:r>
      <w:r w:rsidRPr="00BC1C0D">
        <w:rPr>
          <w:rFonts w:ascii="Arial Narrow" w:hAnsi="Arial Narrow"/>
          <w:b/>
          <w:highlight w:val="cyan"/>
        </w:rPr>
        <w:t xml:space="preserve">potřebují </w:t>
      </w:r>
      <w:r w:rsidRPr="00BC1C0D">
        <w:rPr>
          <w:rFonts w:ascii="Arial Narrow" w:hAnsi="Arial Narrow"/>
          <w:highlight w:val="cyan"/>
        </w:rPr>
        <w:t xml:space="preserve">oprávnění pro vstup na pracovní trh, v ČR k 31. 12. 2022 činil 12 456 osob, přičemž pouze 510 z nich vstoupilo na trh práce díky povolení k zaměstnání </w:t>
      </w:r>
      <w:r w:rsidR="005D3EE8">
        <w:rPr>
          <w:rFonts w:ascii="Arial Narrow" w:hAnsi="Arial Narrow"/>
          <w:highlight w:val="cyan"/>
        </w:rPr>
        <w:t>–</w:t>
      </w:r>
      <w:r w:rsidRPr="00BC1C0D">
        <w:rPr>
          <w:rFonts w:ascii="Arial Narrow" w:hAnsi="Arial Narrow"/>
          <w:highlight w:val="cyan"/>
        </w:rPr>
        <w:t xml:space="preserve"> oproti roku 2021 se jedná o historicky největší meziroční pokles v počtu těchto osob, kdy se jejich počet snížil o 2 696, což představuje snížení o 84,1 %. Nejvíce osob, které potřebují oprávnění k zaměstnání, vstupuje dlouhodobě na trh práce se zaměstnaneckými kartami. V roce 2022 jich bylo 11 860, tedy o 1 394 více než v roce předchozím. Nejméně osob s jinou než českou státní příslušností naopak vlastní Modré karty, v roce 2022 jich bylo pouze 78.</w:t>
      </w:r>
    </w:p>
    <w:p w14:paraId="2D823DEB" w14:textId="0C7DB576" w:rsidR="00EB245F" w:rsidRPr="009D7EF6" w:rsidRDefault="00EB245F" w:rsidP="7CC7BF57">
      <w:pPr>
        <w:spacing w:line="276" w:lineRule="auto"/>
        <w:jc w:val="both"/>
        <w:rPr>
          <w:rFonts w:ascii="Arial Narrow" w:hAnsi="Arial Narrow" w:cs="Arial"/>
          <w:sz w:val="20"/>
          <w:szCs w:val="20"/>
        </w:rPr>
      </w:pPr>
    </w:p>
    <w:p w14:paraId="6C612FB5" w14:textId="786109C3" w:rsidR="009D7EF6" w:rsidRPr="007B59C4" w:rsidRDefault="00E2516C" w:rsidP="009D7EF6">
      <w:pPr>
        <w:spacing w:after="240"/>
        <w:jc w:val="both"/>
        <w:rPr>
          <w:rFonts w:ascii="Arial Narrow" w:hAnsi="Arial Narrow"/>
          <w:b/>
          <w:bCs/>
          <w:color w:val="C00000"/>
        </w:rPr>
      </w:pPr>
      <w:r w:rsidRPr="007B59C4">
        <w:rPr>
          <w:rFonts w:ascii="Arial Narrow" w:hAnsi="Arial Narrow"/>
          <w:b/>
          <w:bCs/>
          <w:color w:val="C00000"/>
        </w:rPr>
        <w:t xml:space="preserve">Struktura zaměstnanců dle </w:t>
      </w:r>
      <w:r w:rsidR="009D7EF6" w:rsidRPr="007B59C4">
        <w:rPr>
          <w:rFonts w:ascii="Arial Narrow" w:hAnsi="Arial Narrow"/>
          <w:b/>
          <w:bCs/>
          <w:color w:val="C00000"/>
        </w:rPr>
        <w:t xml:space="preserve">platných povolení k zaměstnání, informace o občanech EU/EHP a Švýcarska, informace o osobách s jinou než českou státní příslušností, které nepotřebují povolení k zaměstnání, a zelených a modrých a zaměstnaneckých kartách v letech 2008–2022 </w:t>
      </w:r>
    </w:p>
    <w:p w14:paraId="677013EF" w14:textId="77777777" w:rsidR="009D7EF6" w:rsidRPr="007B59C4" w:rsidRDefault="009D7EF6" w:rsidP="009D7EF6">
      <w:pPr>
        <w:spacing w:after="120" w:line="276" w:lineRule="auto"/>
        <w:jc w:val="both"/>
        <w:rPr>
          <w:rFonts w:ascii="Arial Narrow" w:hAnsi="Arial Narrow" w:cs="Arial"/>
        </w:rPr>
      </w:pPr>
      <w:r w:rsidRPr="007B59C4">
        <w:rPr>
          <w:rFonts w:ascii="Arial Narrow" w:hAnsi="Arial Narrow" w:cs="Arial"/>
        </w:rPr>
        <w:t xml:space="preserve">K 31. 12. 2022 bylo v Jihomoravském kraji zaměstnáno 91 375 </w:t>
      </w:r>
      <w:r w:rsidRPr="007B59C4">
        <w:rPr>
          <w:rFonts w:ascii="Arial Narrow" w:hAnsi="Arial Narrow"/>
        </w:rPr>
        <w:t>osob s jinou než českou státní příslušností</w:t>
      </w:r>
      <w:r w:rsidRPr="007B59C4">
        <w:rPr>
          <w:rFonts w:ascii="Arial Narrow" w:hAnsi="Arial Narrow" w:cs="Arial"/>
        </w:rPr>
        <w:t xml:space="preserve"> evidovaných na úřadech práce. Více než 1/2 všech zaměstnaných </w:t>
      </w:r>
      <w:r w:rsidRPr="007B59C4">
        <w:rPr>
          <w:rFonts w:ascii="Arial Narrow" w:hAnsi="Arial Narrow"/>
        </w:rPr>
        <w:t>osob s jinou než českou státní příslušností</w:t>
      </w:r>
      <w:r w:rsidRPr="007B59C4">
        <w:rPr>
          <w:rFonts w:ascii="Arial Narrow" w:hAnsi="Arial Narrow" w:cs="Arial"/>
        </w:rPr>
        <w:t xml:space="preserve"> (56,3 %) na území Jihomoravského kraje bylo možné zařadit do věkové skupiny 20–39 let. Podíváme-li se na data o věkové struktuře zaměstnaných osob s jinou než českou státní příslušností evidovaných na úřadech práce v Jihomoravském kraji od roku 2008, můžeme vidět, že poměr zastoupených věkových kategorií se zásadním způsobem nemění, a to jak z hlediska věku, tak z hlediska délky setrvání v zaměstnání – tito zaměstnanci zpravidla setrvávají ve svém zaměstnání déle než 12 měsíců</w:t>
      </w:r>
      <w:r w:rsidRPr="007B59C4">
        <w:rPr>
          <w:rStyle w:val="Znakapoznpodarou"/>
          <w:rFonts w:ascii="Arial Narrow" w:hAnsi="Arial Narrow" w:cs="Arial"/>
        </w:rPr>
        <w:footnoteReference w:id="72"/>
      </w:r>
      <w:r w:rsidRPr="007B59C4">
        <w:rPr>
          <w:rFonts w:ascii="Arial Narrow" w:hAnsi="Arial Narrow" w:cs="Arial"/>
        </w:rPr>
        <w:t>. V letech 2009-2021 ve svém zaměstnání déle než 12 měsíců setrvalo průměrně 86,3 % zaměstnanců. S výjimkou roku 2008, kdy dobu setrvání v zaměstnání mohla výrazně ovlivnit počínající ekonomická krize, byla fluktuace zaměstnanců s jinou než českou státní příslušností nízká.</w:t>
      </w:r>
    </w:p>
    <w:p w14:paraId="51B9A84A" w14:textId="77777777" w:rsidR="009D7EF6" w:rsidRPr="007B59C4" w:rsidRDefault="009D7EF6" w:rsidP="009D7EF6">
      <w:pPr>
        <w:spacing w:after="120" w:line="276" w:lineRule="auto"/>
        <w:jc w:val="both"/>
        <w:rPr>
          <w:rFonts w:ascii="Arial Narrow" w:hAnsi="Arial Narrow" w:cs="Arial"/>
        </w:rPr>
      </w:pPr>
      <w:r w:rsidRPr="007B59C4">
        <w:rPr>
          <w:rFonts w:ascii="Arial Narrow" w:hAnsi="Arial Narrow" w:cs="Arial"/>
        </w:rPr>
        <w:lastRenderedPageBreak/>
        <w:t xml:space="preserve">Zaměstnanci s jinou než českou státní příslušností mají zpravidla základní vzdělání, či praktickou školu (29,2 %), či naopak vysokoškolské vzdělání (25,5 %). </w:t>
      </w:r>
    </w:p>
    <w:p w14:paraId="5A7A115F" w14:textId="1428D329" w:rsidR="009D7EF6" w:rsidRPr="007B59C4" w:rsidRDefault="009D7EF6" w:rsidP="009D7EF6">
      <w:pPr>
        <w:spacing w:after="120" w:line="276" w:lineRule="auto"/>
        <w:jc w:val="both"/>
        <w:rPr>
          <w:rFonts w:ascii="Arial Narrow" w:hAnsi="Arial Narrow" w:cs="Arial"/>
        </w:rPr>
      </w:pPr>
      <w:r w:rsidRPr="007B59C4">
        <w:rPr>
          <w:rFonts w:ascii="Arial Narrow" w:hAnsi="Arial Narrow" w:cs="Arial"/>
        </w:rPr>
        <w:t xml:space="preserve">Vzdělanostní kategorie „vysokoškolské a vyšší odborné vzdělání“ byla zastoupena nejméně v letech 2008–2010. V roce 2008 se jednalo pouze o 14,7 % osob s tímto vzděláním oproti 25,5 % osob s tímto vzděláním v roce 2021.  Vzdělanostní kategorie „základní vzdělání“ vykazuje opačný trend než kategorie „vysokoškolské a vyšší odborné vzdělání“. Nejvíce byla zastoupena v letech 2008–2010. V roce 2008 se jednalo o 39,7 % osob s tímto vzděláním oproti 29,2 % osob s tímto vzděláním v roce 2021. Od roku 2014 opětovně vykazuje mírný meziroční nárůst. Na základě těchto dat lze tvrdit, že vzdělanostní úroveň zaměstnanců s jinou než českou státní příslušností se meziročně zvyšuje. </w:t>
      </w:r>
    </w:p>
    <w:p w14:paraId="17F95855" w14:textId="3DC06A09" w:rsidR="009D7EF6" w:rsidRPr="007B59C4" w:rsidRDefault="009D7EF6" w:rsidP="009D7EF6">
      <w:pPr>
        <w:spacing w:after="120" w:line="276" w:lineRule="auto"/>
        <w:jc w:val="both"/>
        <w:rPr>
          <w:rFonts w:ascii="Arial Narrow" w:hAnsi="Arial Narrow" w:cs="Arial"/>
        </w:rPr>
      </w:pPr>
      <w:r w:rsidRPr="007B59C4">
        <w:rPr>
          <w:rFonts w:ascii="Arial Narrow" w:hAnsi="Arial Narrow" w:cs="Arial"/>
        </w:rPr>
        <w:t xml:space="preserve">Navzdory tomu, že úroveň vzdělání se zvyšuje, v Jihomoravském kraji byly osoby s jinou než českou státní příslušností ve většině případů zaměstnány na pracovní pozici, která požadovala nižší úroveň vzdělání. Nejvíce patrný je tento jev u osob s vysokoškolským vzděláním, kterých bylo v roce 2021 celkem 17 581, avšak pouze 9 709 pracovních pozic s požadavkem na vysokoškolské vzdělání bylo obsazeno, a u osob s úplným středním (odborným) vzděláním s maturitou i výučním listem/bez výučního listu, kterých bylo v roce 2021 celkem 10 192, avšak pouze 7 503 pozic s požadavkem na toto vzdělání bylo obsazeno. Zároveň se nejedná o novou situace, ale o trend, který lze evidovat v dostupných datech již od roku 2008. </w:t>
      </w:r>
    </w:p>
    <w:p w14:paraId="53BE8128" w14:textId="58F2F12B" w:rsidR="009D7EF6" w:rsidRPr="00C45C20" w:rsidRDefault="009D7EF6" w:rsidP="009D7EF6">
      <w:pPr>
        <w:spacing w:after="240" w:line="276" w:lineRule="auto"/>
        <w:jc w:val="both"/>
        <w:rPr>
          <w:rFonts w:ascii="Arial Narrow" w:hAnsi="Arial Narrow"/>
        </w:rPr>
      </w:pPr>
      <w:r w:rsidRPr="007B59C4">
        <w:rPr>
          <w:rFonts w:ascii="Arial Narrow" w:hAnsi="Arial Narrow"/>
        </w:rPr>
        <w:t>Dle klasifikace ekonomických činností CZ-NACE</w:t>
      </w:r>
      <w:r w:rsidRPr="007B59C4">
        <w:rPr>
          <w:rStyle w:val="Znakapoznpodarou"/>
        </w:rPr>
        <w:footnoteReference w:id="73"/>
      </w:r>
      <w:r w:rsidRPr="007B59C4">
        <w:rPr>
          <w:rFonts w:ascii="Arial Narrow" w:hAnsi="Arial Narrow"/>
        </w:rPr>
        <w:t xml:space="preserve">  bylo nejvíce osob s jinou než českou státní příslušností v Jihomoravském kraji k datu 30. 6. 2021 zaměstnáno ve zpracovatelském průmyslu (24,2 %).  Druhou oblastí</w:t>
      </w:r>
      <w:r w:rsidRPr="00CE357F">
        <w:rPr>
          <w:rFonts w:ascii="Arial Narrow" w:hAnsi="Arial Narrow"/>
        </w:rPr>
        <w:t>, ve které bylo zaměstnáno nejvíce osob s jinou než českou státní příslušností, byla administrativa,</w:t>
      </w:r>
      <w:r>
        <w:rPr>
          <w:rFonts w:ascii="Arial Narrow" w:hAnsi="Arial Narrow"/>
        </w:rPr>
        <w:t xml:space="preserve"> ve které pracovalo 13</w:t>
      </w:r>
      <w:r w:rsidRPr="00CE357F">
        <w:rPr>
          <w:rFonts w:ascii="Arial Narrow" w:hAnsi="Arial Narrow"/>
        </w:rPr>
        <w:t>,8 % všech osob s jinou než českou státní příslušností. Zhruba 1 osoba s jinou než českou státní příslušností z 10 pracovala v obla</w:t>
      </w:r>
      <w:r>
        <w:rPr>
          <w:rFonts w:ascii="Arial Narrow" w:hAnsi="Arial Narrow"/>
        </w:rPr>
        <w:t>sti informací a komunikace (10,2</w:t>
      </w:r>
      <w:r w:rsidRPr="00CE357F">
        <w:rPr>
          <w:rFonts w:ascii="Arial Narrow" w:hAnsi="Arial Narrow"/>
        </w:rPr>
        <w:t xml:space="preserve"> %), nebo obchodu, oprav spotř</w:t>
      </w:r>
      <w:r>
        <w:rPr>
          <w:rFonts w:ascii="Arial Narrow" w:hAnsi="Arial Narrow"/>
        </w:rPr>
        <w:t>ebičů a motorových vozidel (10,5</w:t>
      </w:r>
      <w:r w:rsidRPr="00CE357F">
        <w:rPr>
          <w:rFonts w:ascii="Arial Narrow" w:hAnsi="Arial Narrow"/>
        </w:rPr>
        <w:t xml:space="preserve"> %). V rámci těchto čtyř oblastí bylo v uvedeném období </w:t>
      </w:r>
      <w:r>
        <w:rPr>
          <w:rFonts w:ascii="Arial Narrow" w:hAnsi="Arial Narrow"/>
        </w:rPr>
        <w:t>zaměstnány téměř 3/5</w:t>
      </w:r>
      <w:r w:rsidRPr="00C45C20">
        <w:rPr>
          <w:rFonts w:ascii="Arial Narrow" w:hAnsi="Arial Narrow"/>
        </w:rPr>
        <w:t xml:space="preserve"> všech zaměstnaných osob s jinou než českou státní příslušností v Jihomoravském kraji.</w:t>
      </w:r>
    </w:p>
    <w:p w14:paraId="4E6DB1EC" w14:textId="77777777" w:rsidR="009D7EF6" w:rsidRPr="00C45C20" w:rsidRDefault="009D7EF6" w:rsidP="009D7EF6">
      <w:pPr>
        <w:spacing w:after="240" w:line="276" w:lineRule="auto"/>
        <w:jc w:val="both"/>
        <w:rPr>
          <w:rFonts w:ascii="Arial Narrow" w:hAnsi="Arial Narrow"/>
        </w:rPr>
      </w:pPr>
      <w:bookmarkStart w:id="560" w:name="_Hlk100237293"/>
      <w:r w:rsidRPr="00C45C20">
        <w:rPr>
          <w:rFonts w:ascii="Arial Narrow" w:hAnsi="Arial Narrow"/>
        </w:rPr>
        <w:t>V oblastech zpracovatelského průmyslu a administrativních a podpůrných činností pracuje nejvíce osob s jinou než českou státní příslušností i z hlediska</w:t>
      </w:r>
      <w:r>
        <w:rPr>
          <w:rFonts w:ascii="Arial Narrow" w:hAnsi="Arial Narrow"/>
        </w:rPr>
        <w:t xml:space="preserve"> celorepublikového průměru.</w:t>
      </w:r>
      <w:r w:rsidRPr="00C45C20">
        <w:rPr>
          <w:rFonts w:ascii="Arial Narrow" w:hAnsi="Arial Narrow"/>
        </w:rPr>
        <w:t xml:space="preserve"> V oblasti informačních a komunikačních činností v </w:t>
      </w:r>
      <w:r>
        <w:rPr>
          <w:rFonts w:ascii="Arial Narrow" w:hAnsi="Arial Narrow"/>
        </w:rPr>
        <w:t>Jihomoravském kraji pracoval vyšší</w:t>
      </w:r>
      <w:r w:rsidRPr="00C45C20">
        <w:rPr>
          <w:rFonts w:ascii="Arial Narrow" w:hAnsi="Arial Narrow"/>
        </w:rPr>
        <w:t xml:space="preserve"> počet pracovníků než z hle</w:t>
      </w:r>
      <w:r>
        <w:rPr>
          <w:rFonts w:ascii="Arial Narrow" w:hAnsi="Arial Narrow"/>
        </w:rPr>
        <w:t>diska celorepublikového průměru.</w:t>
      </w:r>
      <w:r w:rsidRPr="00C45C20">
        <w:rPr>
          <w:rFonts w:ascii="Arial Narrow" w:hAnsi="Arial Narrow"/>
        </w:rPr>
        <w:t xml:space="preserve"> Důvodem je zejména přítomnost velkých zaměstnavatelů v této oblasti v ORP Brno, firem IBM </w:t>
      </w:r>
      <w:proofErr w:type="spellStart"/>
      <w:r w:rsidRPr="00C45C20">
        <w:rPr>
          <w:rFonts w:ascii="Arial Narrow" w:hAnsi="Arial Narrow"/>
        </w:rPr>
        <w:t>Global</w:t>
      </w:r>
      <w:proofErr w:type="spellEnd"/>
      <w:r w:rsidRPr="00C45C20">
        <w:rPr>
          <w:rFonts w:ascii="Arial Narrow" w:hAnsi="Arial Narrow"/>
        </w:rPr>
        <w:t xml:space="preserve"> </w:t>
      </w:r>
      <w:proofErr w:type="spellStart"/>
      <w:r w:rsidRPr="00C45C20">
        <w:rPr>
          <w:rFonts w:ascii="Arial Narrow" w:hAnsi="Arial Narrow"/>
        </w:rPr>
        <w:t>Services</w:t>
      </w:r>
      <w:proofErr w:type="spellEnd"/>
      <w:r w:rsidRPr="00C45C20">
        <w:rPr>
          <w:rFonts w:ascii="Arial Narrow" w:hAnsi="Arial Narrow"/>
        </w:rPr>
        <w:t xml:space="preserve"> </w:t>
      </w:r>
      <w:proofErr w:type="spellStart"/>
      <w:r w:rsidRPr="00C45C20">
        <w:rPr>
          <w:rFonts w:ascii="Arial Narrow" w:hAnsi="Arial Narrow"/>
        </w:rPr>
        <w:t>Delivery</w:t>
      </w:r>
      <w:proofErr w:type="spellEnd"/>
      <w:r w:rsidRPr="00C45C20">
        <w:rPr>
          <w:rFonts w:ascii="Arial Narrow" w:hAnsi="Arial Narrow"/>
        </w:rPr>
        <w:t xml:space="preserve"> Center Czech Republic, s.r.o. a AT&amp;T </w:t>
      </w:r>
      <w:proofErr w:type="spellStart"/>
      <w:r w:rsidRPr="00C45C20">
        <w:rPr>
          <w:rFonts w:ascii="Arial Narrow" w:hAnsi="Arial Narrow"/>
        </w:rPr>
        <w:t>Global</w:t>
      </w:r>
      <w:proofErr w:type="spellEnd"/>
      <w:r w:rsidRPr="00C45C20">
        <w:rPr>
          <w:rFonts w:ascii="Arial Narrow" w:hAnsi="Arial Narrow"/>
        </w:rPr>
        <w:t xml:space="preserve"> Network </w:t>
      </w:r>
      <w:proofErr w:type="spellStart"/>
      <w:r w:rsidRPr="00C45C20">
        <w:rPr>
          <w:rFonts w:ascii="Arial Narrow" w:hAnsi="Arial Narrow"/>
        </w:rPr>
        <w:t>Services</w:t>
      </w:r>
      <w:proofErr w:type="spellEnd"/>
      <w:r w:rsidRPr="00C45C20">
        <w:rPr>
          <w:rFonts w:ascii="Arial Narrow" w:hAnsi="Arial Narrow"/>
        </w:rPr>
        <w:t xml:space="preserve"> Czech Republic s.r.o. </w:t>
      </w:r>
    </w:p>
    <w:bookmarkEnd w:id="560"/>
    <w:p w14:paraId="614F9521" w14:textId="77777777" w:rsidR="009D7EF6" w:rsidRPr="00DD7C9E" w:rsidRDefault="009D7EF6" w:rsidP="009D7EF6">
      <w:pPr>
        <w:spacing w:after="240" w:line="276" w:lineRule="auto"/>
        <w:jc w:val="both"/>
        <w:rPr>
          <w:rFonts w:ascii="Arial Narrow" w:hAnsi="Arial Narrow" w:cs="Arial"/>
        </w:rPr>
      </w:pPr>
      <w:r w:rsidRPr="00CE357F">
        <w:rPr>
          <w:rFonts w:ascii="Arial Narrow" w:hAnsi="Arial Narrow"/>
        </w:rPr>
        <w:t xml:space="preserve">Ve struktuře </w:t>
      </w:r>
      <w:r>
        <w:rPr>
          <w:rFonts w:ascii="Arial Narrow" w:hAnsi="Arial Narrow"/>
        </w:rPr>
        <w:t xml:space="preserve">zaměstnaných </w:t>
      </w:r>
      <w:r w:rsidRPr="00CE357F">
        <w:rPr>
          <w:rFonts w:ascii="Arial Narrow" w:hAnsi="Arial Narrow"/>
        </w:rPr>
        <w:t>osob s jinou než českou státní příslušností, působících na trhu práce v Jihomoravském kraji</w:t>
      </w:r>
      <w:r>
        <w:rPr>
          <w:rFonts w:ascii="Arial Narrow" w:hAnsi="Arial Narrow"/>
        </w:rPr>
        <w:t xml:space="preserve"> z hlediska klasifikace ekonomických činností CZ-NACE</w:t>
      </w:r>
      <w:r w:rsidRPr="00CE357F">
        <w:rPr>
          <w:rFonts w:ascii="Arial Narrow" w:hAnsi="Arial Narrow"/>
        </w:rPr>
        <w:t xml:space="preserve"> byly od nástupu hospodářské krize v roce 2008 zaznamenány značné změny</w:t>
      </w:r>
      <w:r>
        <w:rPr>
          <w:rFonts w:ascii="Arial Narrow" w:hAnsi="Arial Narrow"/>
        </w:rPr>
        <w:t xml:space="preserve">. </w:t>
      </w:r>
      <w:r w:rsidRPr="00CE357F">
        <w:rPr>
          <w:rFonts w:ascii="Arial Narrow" w:hAnsi="Arial Narrow" w:cs="Arial"/>
        </w:rPr>
        <w:t xml:space="preserve">Největších změn v tomto ohledu dostála </w:t>
      </w:r>
      <w:r w:rsidRPr="00CE357F">
        <w:rPr>
          <w:rFonts w:ascii="Arial Narrow" w:hAnsi="Arial Narrow" w:cs="Arial"/>
          <w:b/>
        </w:rPr>
        <w:t>oblast stavebnictví</w:t>
      </w:r>
      <w:r w:rsidRPr="00CE357F">
        <w:rPr>
          <w:rFonts w:ascii="Arial Narrow" w:hAnsi="Arial Narrow" w:cs="Arial"/>
        </w:rPr>
        <w:t xml:space="preserve">. Zatímco v roce 2009 v této oblasti pracovalo 32,8 % všech zaměstnanců s jinou než českou státní příslušností, v roce 2011 to </w:t>
      </w:r>
      <w:r>
        <w:rPr>
          <w:rFonts w:ascii="Arial Narrow" w:hAnsi="Arial Narrow" w:cs="Arial"/>
        </w:rPr>
        <w:t xml:space="preserve">bylo </w:t>
      </w:r>
      <w:r w:rsidRPr="00CE357F">
        <w:rPr>
          <w:rFonts w:ascii="Arial Narrow" w:hAnsi="Arial Narrow" w:cs="Arial"/>
        </w:rPr>
        <w:t>pouze 12,0 % všech těchto zaměstnanců. Podíl zaměstnanců s jinou než českou státní příslušností v tomto oboru dlouhodo</w:t>
      </w:r>
      <w:r>
        <w:rPr>
          <w:rFonts w:ascii="Arial Narrow" w:hAnsi="Arial Narrow" w:cs="Arial"/>
        </w:rPr>
        <w:t>bě dál mírně klesá a v roce 2021 dosáhl 9</w:t>
      </w:r>
      <w:r w:rsidRPr="00CE357F">
        <w:rPr>
          <w:rFonts w:ascii="Arial Narrow" w:hAnsi="Arial Narrow" w:cs="Arial"/>
        </w:rPr>
        <w:t>,3 %.</w:t>
      </w:r>
      <w:r>
        <w:rPr>
          <w:rFonts w:ascii="Arial Narrow" w:hAnsi="Arial Narrow" w:cs="Arial"/>
        </w:rPr>
        <w:t xml:space="preserve"> Naopak v případě oblasti financí a komunikace a obchodu, oprav spotřebičů a motorových vozidel, se jedná o jedny z mála oblastí, v</w:t>
      </w:r>
      <w:r w:rsidRPr="00CE357F">
        <w:rPr>
          <w:rFonts w:ascii="Arial Narrow" w:hAnsi="Arial Narrow" w:cs="Arial"/>
        </w:rPr>
        <w:t> rámci kter</w:t>
      </w:r>
      <w:r>
        <w:rPr>
          <w:rFonts w:ascii="Arial Narrow" w:hAnsi="Arial Narrow" w:cs="Arial"/>
        </w:rPr>
        <w:t>ých</w:t>
      </w:r>
      <w:r w:rsidRPr="00CE357F">
        <w:rPr>
          <w:rFonts w:ascii="Arial Narrow" w:hAnsi="Arial Narrow" w:cs="Arial"/>
        </w:rPr>
        <w:t xml:space="preserve"> můžeme po roce 2008 zaznamenat nárůst podílu zaměstnaných osob, a to ze 4,5 % v roce 2008 na 14,4 % v roce 2012</w:t>
      </w:r>
      <w:r>
        <w:rPr>
          <w:rFonts w:ascii="Arial Narrow" w:hAnsi="Arial Narrow" w:cs="Arial"/>
        </w:rPr>
        <w:t xml:space="preserve"> v případě oblasti informací a komunikace a </w:t>
      </w:r>
      <w:r w:rsidRPr="00CE357F">
        <w:rPr>
          <w:rFonts w:ascii="Arial Narrow" w:hAnsi="Arial Narrow" w:cs="Arial"/>
        </w:rPr>
        <w:t>z 5,4 % v roce 2008 na 10,2 % v roce 2012</w:t>
      </w:r>
      <w:r>
        <w:rPr>
          <w:rFonts w:ascii="Arial Narrow" w:hAnsi="Arial Narrow" w:cs="Arial"/>
        </w:rPr>
        <w:t xml:space="preserve"> v případě oblasti obchodu, oprav spotřebičů </w:t>
      </w:r>
      <w:r>
        <w:rPr>
          <w:rFonts w:ascii="Arial Narrow" w:hAnsi="Arial Narrow" w:cs="Arial"/>
        </w:rPr>
        <w:lastRenderedPageBreak/>
        <w:t>a motorových vozidel. Od roku 2014 do současnosti zůstává podíl osob s jinou než českou státní příslušností stabilní.</w:t>
      </w:r>
    </w:p>
    <w:p w14:paraId="4519107E" w14:textId="77777777" w:rsidR="009D7EF6" w:rsidRDefault="009D7EF6" w:rsidP="009D7EF6">
      <w:pPr>
        <w:spacing w:after="240" w:line="276" w:lineRule="auto"/>
        <w:jc w:val="both"/>
        <w:rPr>
          <w:rFonts w:ascii="Arial Narrow" w:hAnsi="Arial Narrow" w:cs="Arial"/>
        </w:rPr>
      </w:pPr>
      <w:r w:rsidRPr="00CE357F">
        <w:rPr>
          <w:rFonts w:ascii="Arial Narrow" w:hAnsi="Arial Narrow" w:cs="Arial"/>
        </w:rPr>
        <w:t xml:space="preserve">Klasifikace zaměstnání CZ-ISCO představuje jinou metodu národní statistické klasifikace, která byla vypracovaná na základě mezinárodního standardu International Standard </w:t>
      </w:r>
      <w:proofErr w:type="spellStart"/>
      <w:r w:rsidRPr="00CE357F">
        <w:rPr>
          <w:rFonts w:ascii="Arial Narrow" w:hAnsi="Arial Narrow" w:cs="Arial"/>
        </w:rPr>
        <w:t>Classification</w:t>
      </w:r>
      <w:proofErr w:type="spellEnd"/>
      <w:r w:rsidRPr="00CE357F">
        <w:rPr>
          <w:rFonts w:ascii="Arial Narrow" w:hAnsi="Arial Narrow" w:cs="Arial"/>
        </w:rPr>
        <w:t xml:space="preserve"> </w:t>
      </w:r>
      <w:proofErr w:type="spellStart"/>
      <w:r w:rsidRPr="00CE357F">
        <w:rPr>
          <w:rFonts w:ascii="Arial Narrow" w:hAnsi="Arial Narrow" w:cs="Arial"/>
        </w:rPr>
        <w:t>of</w:t>
      </w:r>
      <w:proofErr w:type="spellEnd"/>
      <w:r w:rsidRPr="00CE357F">
        <w:rPr>
          <w:rFonts w:ascii="Arial Narrow" w:hAnsi="Arial Narrow" w:cs="Arial"/>
        </w:rPr>
        <w:t xml:space="preserve"> </w:t>
      </w:r>
      <w:proofErr w:type="spellStart"/>
      <w:r w:rsidRPr="00CE357F">
        <w:rPr>
          <w:rFonts w:ascii="Arial Narrow" w:hAnsi="Arial Narrow" w:cs="Arial"/>
        </w:rPr>
        <w:t>Occupations</w:t>
      </w:r>
      <w:proofErr w:type="spellEnd"/>
      <w:r w:rsidRPr="00CE357F">
        <w:rPr>
          <w:rFonts w:ascii="Arial Narrow" w:hAnsi="Arial Narrow" w:cs="Arial"/>
        </w:rPr>
        <w:t xml:space="preserve"> (ISCO-08). Dle</w:t>
      </w:r>
      <w:r>
        <w:rPr>
          <w:rFonts w:ascii="Arial Narrow" w:hAnsi="Arial Narrow" w:cs="Arial"/>
        </w:rPr>
        <w:t xml:space="preserve"> této klasifikace pracovalo k 30. 6. 2021 celkem 26,6</w:t>
      </w:r>
      <w:r w:rsidRPr="00CE357F">
        <w:rPr>
          <w:rFonts w:ascii="Arial Narrow" w:hAnsi="Arial Narrow" w:cs="Arial"/>
        </w:rPr>
        <w:t xml:space="preserve"> % všech zaměstnaných </w:t>
      </w:r>
      <w:r w:rsidRPr="00CE357F">
        <w:rPr>
          <w:rFonts w:ascii="Arial Narrow" w:hAnsi="Arial Narrow"/>
        </w:rPr>
        <w:t>osob s jinou než českou státní příslušností</w:t>
      </w:r>
      <w:r w:rsidRPr="00CE357F">
        <w:rPr>
          <w:rFonts w:ascii="Arial Narrow" w:hAnsi="Arial Narrow" w:cs="Arial"/>
        </w:rPr>
        <w:t xml:space="preserve"> v Jihomoravském kraji evidovaných na úřadech práce na pozicích </w:t>
      </w:r>
      <w:r w:rsidRPr="00CF3795">
        <w:rPr>
          <w:rFonts w:ascii="Arial Narrow" w:hAnsi="Arial Narrow" w:cs="Arial"/>
          <w:b/>
          <w:bCs/>
        </w:rPr>
        <w:t>pomocných a nekvalifikovaných pracovníků</w:t>
      </w:r>
      <w:r>
        <w:rPr>
          <w:rFonts w:ascii="Arial Narrow" w:hAnsi="Arial Narrow" w:cs="Arial"/>
        </w:rPr>
        <w:t>. Necelá 1/5 zaměstnanců (18,1</w:t>
      </w:r>
      <w:r w:rsidRPr="00CE357F">
        <w:rPr>
          <w:rFonts w:ascii="Arial Narrow" w:hAnsi="Arial Narrow" w:cs="Arial"/>
        </w:rPr>
        <w:t xml:space="preserve"> %) pracovala na pozici </w:t>
      </w:r>
      <w:r w:rsidRPr="00CF3795">
        <w:rPr>
          <w:rFonts w:ascii="Arial Narrow" w:hAnsi="Arial Narrow" w:cs="Arial"/>
          <w:b/>
          <w:bCs/>
        </w:rPr>
        <w:t>specialistů</w:t>
      </w:r>
      <w:r w:rsidRPr="00CE357F">
        <w:rPr>
          <w:rFonts w:ascii="Arial Narrow" w:hAnsi="Arial Narrow" w:cs="Arial"/>
        </w:rPr>
        <w:t xml:space="preserve">. Třetí nejčastější pozice u zaměstnání osob s jinou než českou státní příslušností byla </w:t>
      </w:r>
      <w:r w:rsidRPr="00CF3795">
        <w:rPr>
          <w:rFonts w:ascii="Arial Narrow" w:hAnsi="Arial Narrow" w:cs="Arial"/>
          <w:b/>
          <w:bCs/>
        </w:rPr>
        <w:t>obsluha strojů a zařízení, montéři.</w:t>
      </w:r>
      <w:r w:rsidRPr="00CE357F">
        <w:rPr>
          <w:rFonts w:ascii="Arial Narrow" w:hAnsi="Arial Narrow" w:cs="Arial"/>
        </w:rPr>
        <w:t xml:space="preserve"> Na těchto pozicích </w:t>
      </w:r>
      <w:r>
        <w:rPr>
          <w:rFonts w:ascii="Arial Narrow" w:hAnsi="Arial Narrow" w:cs="Arial"/>
        </w:rPr>
        <w:t>k uvedenému datu pracovalo 17,</w:t>
      </w:r>
      <w:r w:rsidRPr="00CE357F">
        <w:rPr>
          <w:rFonts w:ascii="Arial Narrow" w:hAnsi="Arial Narrow" w:cs="Arial"/>
        </w:rPr>
        <w:t xml:space="preserve">4 % všech zaměstnaných osob s jinou než českou státní příslušností. </w:t>
      </w:r>
    </w:p>
    <w:p w14:paraId="6D9A9520" w14:textId="77777777" w:rsidR="009D7EF6" w:rsidRDefault="009D7EF6" w:rsidP="009D7EF6">
      <w:pPr>
        <w:spacing w:line="276" w:lineRule="auto"/>
        <w:jc w:val="both"/>
        <w:rPr>
          <w:rFonts w:ascii="Arial Narrow" w:hAnsi="Arial Narrow" w:cs="Arial"/>
        </w:rPr>
      </w:pPr>
      <w:r w:rsidRPr="00CE357F">
        <w:rPr>
          <w:rFonts w:ascii="Arial Narrow" w:hAnsi="Arial Narrow" w:cs="Arial"/>
        </w:rPr>
        <w:t>Podíváme-li se na vývoj pozic obsazených osobami s jinou než českou státní</w:t>
      </w:r>
      <w:r>
        <w:rPr>
          <w:rFonts w:ascii="Arial Narrow" w:hAnsi="Arial Narrow" w:cs="Arial"/>
        </w:rPr>
        <w:t xml:space="preserve"> příslušností v letech 2008-2021</w:t>
      </w:r>
      <w:r w:rsidRPr="00CE357F">
        <w:rPr>
          <w:rFonts w:ascii="Arial Narrow" w:hAnsi="Arial Narrow" w:cs="Arial"/>
        </w:rPr>
        <w:t xml:space="preserve">, výrazné změny lze, podobně jako v případě klasifikace oblastí dle CZ-NACE, zaznamenat zejména mezi lety 2008 a 2012, v době celosvětové ekonomické krize. Největších změn v tomto ohledu dostály </w:t>
      </w:r>
      <w:r w:rsidRPr="00CE357F">
        <w:rPr>
          <w:rFonts w:ascii="Arial Narrow" w:hAnsi="Arial Narrow" w:cs="Arial"/>
          <w:b/>
        </w:rPr>
        <w:t>pozice pomocných a kvalifikovaných pracovníků.</w:t>
      </w:r>
      <w:r>
        <w:rPr>
          <w:rFonts w:ascii="Arial Narrow" w:hAnsi="Arial Narrow" w:cs="Arial"/>
          <w:b/>
        </w:rPr>
        <w:t xml:space="preserve"> </w:t>
      </w:r>
      <w:r w:rsidRPr="00CE357F">
        <w:rPr>
          <w:rFonts w:ascii="Arial Narrow" w:hAnsi="Arial Narrow" w:cs="Arial"/>
        </w:rPr>
        <w:t>Zatímco v roce 2008 na těchto pozicích pracovalo 38,8 % všech zaměstnanců s jinou než českou státní příslušností v Jihomoravském kraji, v roce 2012 to bylo pouze 12,5 % všech těchto zaměstnanců.</w:t>
      </w:r>
      <w:r>
        <w:rPr>
          <w:rFonts w:ascii="Arial Narrow" w:hAnsi="Arial Narrow" w:cs="Arial"/>
        </w:rPr>
        <w:t xml:space="preserve"> Naopak pozice </w:t>
      </w:r>
      <w:r>
        <w:rPr>
          <w:rFonts w:ascii="Arial Narrow" w:hAnsi="Arial Narrow" w:cs="Arial"/>
          <w:b/>
        </w:rPr>
        <w:t>s</w:t>
      </w:r>
      <w:r w:rsidRPr="00CE357F">
        <w:rPr>
          <w:rFonts w:ascii="Arial Narrow" w:hAnsi="Arial Narrow" w:cs="Arial"/>
          <w:b/>
        </w:rPr>
        <w:t xml:space="preserve">pecialisté </w:t>
      </w:r>
      <w:r w:rsidRPr="00CE357F">
        <w:rPr>
          <w:rFonts w:ascii="Arial Narrow" w:hAnsi="Arial Narrow" w:cs="Arial"/>
        </w:rPr>
        <w:t>představují v tomto srovnání jednu z mála kategorií pozic, v rámci kterých byl v době ekonomické krize v letech 2008-2012 zaznamenán nárůst podílu osob s jinou než českou státní příslušností v Jihomoravském kraji. Zatímco v roce 2008 na pozicích specialistů pracovalo 10,9 % všech těchto zaměstnanců, v roce 2012 to bylo již 24,4 %.</w:t>
      </w:r>
    </w:p>
    <w:p w14:paraId="5E57E748" w14:textId="77777777" w:rsidR="009D7EF6" w:rsidRDefault="009D7EF6" w:rsidP="009D7EF6">
      <w:pPr>
        <w:spacing w:line="276" w:lineRule="auto"/>
        <w:jc w:val="both"/>
        <w:rPr>
          <w:rFonts w:ascii="Arial Narrow" w:hAnsi="Arial Narrow" w:cs="Arial"/>
        </w:rPr>
      </w:pPr>
    </w:p>
    <w:p w14:paraId="6D509C54" w14:textId="77777777" w:rsidR="009D7EF6" w:rsidRPr="00DC1B1C" w:rsidRDefault="009D7EF6" w:rsidP="009D7EF6">
      <w:pPr>
        <w:spacing w:after="240"/>
        <w:jc w:val="both"/>
        <w:rPr>
          <w:rFonts w:ascii="Arial Narrow" w:hAnsi="Arial Narrow"/>
          <w:b/>
          <w:bCs/>
          <w:color w:val="C00000"/>
        </w:rPr>
      </w:pPr>
      <w:r w:rsidRPr="00DC1B1C">
        <w:rPr>
          <w:rFonts w:ascii="Arial Narrow" w:hAnsi="Arial Narrow"/>
          <w:b/>
          <w:bCs/>
          <w:color w:val="C00000"/>
        </w:rPr>
        <w:t>Osoby s jinou než českou státní příslušností samostatně výdělečně činné na základě platného živnostenského oprávnění</w:t>
      </w:r>
    </w:p>
    <w:p w14:paraId="488A474A" w14:textId="77777777" w:rsidR="009D7EF6" w:rsidRDefault="009D7EF6" w:rsidP="009D7EF6">
      <w:pPr>
        <w:autoSpaceDE w:val="0"/>
        <w:autoSpaceDN w:val="0"/>
        <w:adjustRightInd w:val="0"/>
        <w:spacing w:after="120" w:line="276" w:lineRule="auto"/>
        <w:jc w:val="both"/>
        <w:rPr>
          <w:rFonts w:ascii="Arial Narrow" w:hAnsi="Arial Narrow"/>
        </w:rPr>
      </w:pPr>
      <w:r w:rsidRPr="00CE357F">
        <w:rPr>
          <w:rFonts w:ascii="Arial Narrow" w:hAnsi="Arial Narrow"/>
        </w:rPr>
        <w:t>Nejvyšší podíl osob s jiným než českým občanstvím v postavení samostatně výdělečných osob má tradičně Hl</w:t>
      </w:r>
      <w:r>
        <w:rPr>
          <w:rFonts w:ascii="Arial Narrow" w:hAnsi="Arial Narrow"/>
        </w:rPr>
        <w:t>avní město Praha. K 31. 12. 2022 to bylo 41</w:t>
      </w:r>
      <w:r w:rsidRPr="00CE357F">
        <w:rPr>
          <w:rFonts w:ascii="Arial Narrow" w:hAnsi="Arial Narrow"/>
        </w:rPr>
        <w:t xml:space="preserve">,7 % všech samostatně výdělečných osob na území </w:t>
      </w:r>
      <w:r>
        <w:rPr>
          <w:rFonts w:ascii="Arial Narrow" w:hAnsi="Arial Narrow"/>
        </w:rPr>
        <w:t>České republiky.</w:t>
      </w:r>
      <w:r w:rsidRPr="00CE357F">
        <w:rPr>
          <w:rFonts w:ascii="Arial Narrow" w:hAnsi="Arial Narrow"/>
        </w:rPr>
        <w:t xml:space="preserve"> Druhý ne</w:t>
      </w:r>
      <w:r>
        <w:rPr>
          <w:rFonts w:ascii="Arial Narrow" w:hAnsi="Arial Narrow"/>
        </w:rPr>
        <w:t>jvyšší podíl měl Středočeský kraj, celkem 12,1</w:t>
      </w:r>
      <w:r w:rsidRPr="00CE357F">
        <w:rPr>
          <w:rFonts w:ascii="Arial Narrow" w:hAnsi="Arial Narrow"/>
        </w:rPr>
        <w:t xml:space="preserve"> %. Podíl osob s jinou než českou státní příslušností na celkovém počtu podnikatelů byl v </w:t>
      </w:r>
      <w:r>
        <w:rPr>
          <w:rFonts w:ascii="Arial Narrow" w:hAnsi="Arial Narrow"/>
        </w:rPr>
        <w:t>roce v Jihomoravském kraji vyšší (8,1</w:t>
      </w:r>
      <w:r w:rsidRPr="00CE357F">
        <w:rPr>
          <w:rFonts w:ascii="Arial Narrow" w:hAnsi="Arial Narrow"/>
        </w:rPr>
        <w:t xml:space="preserve"> </w:t>
      </w:r>
      <w:r>
        <w:rPr>
          <w:rFonts w:ascii="Arial Narrow" w:hAnsi="Arial Narrow"/>
        </w:rPr>
        <w:t>%) než byl republikový průměr (7,1</w:t>
      </w:r>
      <w:r w:rsidRPr="00CE357F">
        <w:rPr>
          <w:rFonts w:ascii="Arial Narrow" w:hAnsi="Arial Narrow"/>
        </w:rPr>
        <w:t xml:space="preserve"> %).</w:t>
      </w:r>
      <w:r>
        <w:rPr>
          <w:rFonts w:ascii="Arial Narrow" w:hAnsi="Arial Narrow"/>
        </w:rPr>
        <w:t xml:space="preserve"> </w:t>
      </w:r>
    </w:p>
    <w:p w14:paraId="03B402AD" w14:textId="77777777" w:rsidR="009D7EF6" w:rsidRPr="0061459E" w:rsidRDefault="009D7EF6" w:rsidP="009D7EF6">
      <w:pPr>
        <w:autoSpaceDE w:val="0"/>
        <w:autoSpaceDN w:val="0"/>
        <w:adjustRightInd w:val="0"/>
        <w:spacing w:after="120" w:line="276" w:lineRule="auto"/>
        <w:jc w:val="both"/>
        <w:rPr>
          <w:rFonts w:ascii="Arial Narrow" w:hAnsi="Arial Narrow"/>
        </w:rPr>
      </w:pPr>
      <w:r w:rsidRPr="00CE357F">
        <w:rPr>
          <w:rFonts w:ascii="Arial Narrow" w:hAnsi="Arial Narrow"/>
        </w:rPr>
        <w:t>Struktura osob s jinou než českou státní příslušností v postavení samostatně výdělečných osob v Jihomoravském kraji dle občanství je ovlivněna zejména geografickou blízkostí Slovenska. Zatímco v rámci celé České republiky t</w:t>
      </w:r>
      <w:r>
        <w:rPr>
          <w:rFonts w:ascii="Arial Narrow" w:hAnsi="Arial Narrow"/>
        </w:rPr>
        <w:t>vořili v roce 2022</w:t>
      </w:r>
      <w:r w:rsidRPr="00CE357F">
        <w:rPr>
          <w:rFonts w:ascii="Arial Narrow" w:hAnsi="Arial Narrow"/>
        </w:rPr>
        <w:t xml:space="preserve"> občané</w:t>
      </w:r>
      <w:r>
        <w:rPr>
          <w:rFonts w:ascii="Arial Narrow" w:hAnsi="Arial Narrow"/>
        </w:rPr>
        <w:t xml:space="preserve"> Slovenské republiky zhruba 20,6</w:t>
      </w:r>
      <w:r w:rsidRPr="00CE357F">
        <w:rPr>
          <w:rFonts w:ascii="Arial Narrow" w:hAnsi="Arial Narrow"/>
        </w:rPr>
        <w:t xml:space="preserve"> % všech osob s jinou než českou státní příslušností v postavení samostatně výdělečných osob, v J</w:t>
      </w:r>
      <w:r>
        <w:rPr>
          <w:rFonts w:ascii="Arial Narrow" w:hAnsi="Arial Narrow"/>
        </w:rPr>
        <w:t>ihomoravském kraji to bylo 38 % (5 613</w:t>
      </w:r>
      <w:r w:rsidRPr="00CE357F">
        <w:rPr>
          <w:rFonts w:ascii="Arial Narrow" w:hAnsi="Arial Narrow"/>
        </w:rPr>
        <w:t xml:space="preserve"> osob). Druhou nejčastější národností byli v tomto ohledu občan</w:t>
      </w:r>
      <w:r>
        <w:rPr>
          <w:rFonts w:ascii="Arial Narrow" w:hAnsi="Arial Narrow"/>
        </w:rPr>
        <w:t>é Ukrajiny, kteří k 31. 12. 2022 tvořili 22,3 % (2 018</w:t>
      </w:r>
      <w:r w:rsidRPr="00CE357F">
        <w:rPr>
          <w:rFonts w:ascii="Arial Narrow" w:hAnsi="Arial Narrow"/>
        </w:rPr>
        <w:t xml:space="preserve"> osob) všech podnikatelů s jinou než českou státní příslušností. Na pomyslné třetí místo lze zařadit ob</w:t>
      </w:r>
      <w:r>
        <w:rPr>
          <w:rFonts w:ascii="Arial Narrow" w:hAnsi="Arial Narrow"/>
        </w:rPr>
        <w:t>čany Vietnamu, kteří v roce 2022 tvořili 14,6</w:t>
      </w:r>
      <w:r w:rsidRPr="00CE357F">
        <w:rPr>
          <w:rFonts w:ascii="Arial Narrow" w:hAnsi="Arial Narrow"/>
        </w:rPr>
        <w:t xml:space="preserve"> % všech podnikatelů s jinou než českou státní příslušností v Jihomoravském kraji.</w:t>
      </w:r>
      <w:r>
        <w:rPr>
          <w:rFonts w:ascii="Arial Narrow" w:hAnsi="Arial Narrow"/>
        </w:rPr>
        <w:t xml:space="preserve"> Zatímco</w:t>
      </w:r>
      <w:r w:rsidRPr="00CE357F">
        <w:rPr>
          <w:rFonts w:ascii="Arial Narrow" w:hAnsi="Arial Narrow"/>
        </w:rPr>
        <w:t xml:space="preserve"> </w:t>
      </w:r>
      <w:r>
        <w:rPr>
          <w:rFonts w:ascii="Arial Narrow" w:hAnsi="Arial Narrow"/>
        </w:rPr>
        <w:t>o</w:t>
      </w:r>
      <w:r w:rsidRPr="00CE357F">
        <w:rPr>
          <w:rFonts w:ascii="Arial Narrow" w:hAnsi="Arial Narrow"/>
        </w:rPr>
        <w:t>bčané Slovenska, Ukrajin</w:t>
      </w:r>
      <w:r>
        <w:rPr>
          <w:rFonts w:ascii="Arial Narrow" w:hAnsi="Arial Narrow"/>
        </w:rPr>
        <w:t>y a Vietnamu tvořili v roce 2022</w:t>
      </w:r>
      <w:r w:rsidRPr="00CE357F">
        <w:rPr>
          <w:rFonts w:ascii="Arial Narrow" w:hAnsi="Arial Narrow"/>
        </w:rPr>
        <w:t xml:space="preserve"> téměř ¾ všech osob s jinou než českou státní příslušností registrovaných živnostenskými úřady</w:t>
      </w:r>
      <w:r>
        <w:rPr>
          <w:rFonts w:ascii="Arial Narrow" w:hAnsi="Arial Narrow"/>
        </w:rPr>
        <w:t xml:space="preserve"> v Jihomoravském kraji, v rámci celé České republiky se jednalo o zhruba 1/3</w:t>
      </w:r>
      <w:r w:rsidRPr="00CE357F">
        <w:rPr>
          <w:rFonts w:ascii="Arial Narrow" w:hAnsi="Arial Narrow" w:cs="Arial"/>
          <w:szCs w:val="24"/>
        </w:rPr>
        <w:t xml:space="preserve"> všech samostatně výdělečných osob s jinou než českou státní příslušností v České republice.</w:t>
      </w:r>
    </w:p>
    <w:p w14:paraId="4DA71E52" w14:textId="529CAEBC" w:rsidR="00EB245F" w:rsidRDefault="00EB245F" w:rsidP="00DA5F46">
      <w:pPr>
        <w:spacing w:line="276" w:lineRule="auto"/>
        <w:jc w:val="both"/>
        <w:rPr>
          <w:rFonts w:ascii="Arial Narrow" w:hAnsi="Arial Narrow" w:cs="Arial"/>
          <w:sz w:val="20"/>
        </w:rPr>
      </w:pPr>
    </w:p>
    <w:p w14:paraId="47A9518B" w14:textId="77777777" w:rsidR="008371C9" w:rsidRDefault="008371C9" w:rsidP="00DA5F46">
      <w:pPr>
        <w:spacing w:line="276" w:lineRule="auto"/>
        <w:jc w:val="both"/>
        <w:rPr>
          <w:rFonts w:ascii="Arial Narrow" w:hAnsi="Arial Narrow" w:cs="Arial"/>
          <w:sz w:val="20"/>
        </w:rPr>
      </w:pPr>
    </w:p>
    <w:p w14:paraId="2869351E" w14:textId="77777777" w:rsidR="008371C9" w:rsidRDefault="008371C9" w:rsidP="00DA5F46">
      <w:pPr>
        <w:spacing w:line="276" w:lineRule="auto"/>
        <w:jc w:val="both"/>
        <w:rPr>
          <w:rFonts w:ascii="Arial Narrow" w:hAnsi="Arial Narrow" w:cs="Arial"/>
          <w:sz w:val="20"/>
        </w:rPr>
      </w:pPr>
    </w:p>
    <w:p w14:paraId="153DA938" w14:textId="77777777" w:rsidR="008371C9" w:rsidRDefault="008371C9" w:rsidP="00DA5F46">
      <w:pPr>
        <w:spacing w:line="276" w:lineRule="auto"/>
        <w:jc w:val="both"/>
        <w:rPr>
          <w:rFonts w:ascii="Arial Narrow" w:hAnsi="Arial Narrow" w:cs="Arial"/>
          <w:sz w:val="20"/>
        </w:rPr>
      </w:pPr>
    </w:p>
    <w:p w14:paraId="71AE110B" w14:textId="77777777" w:rsidR="008371C9" w:rsidRDefault="008371C9" w:rsidP="00DA5F46">
      <w:pPr>
        <w:spacing w:line="276" w:lineRule="auto"/>
        <w:jc w:val="both"/>
        <w:rPr>
          <w:rFonts w:ascii="Arial Narrow" w:hAnsi="Arial Narrow" w:cs="Arial"/>
          <w:sz w:val="20"/>
        </w:rPr>
      </w:pPr>
    </w:p>
    <w:p w14:paraId="64B8225A" w14:textId="77777777" w:rsidR="008371C9" w:rsidRDefault="008371C9" w:rsidP="00DA5F46">
      <w:pPr>
        <w:spacing w:line="276" w:lineRule="auto"/>
        <w:jc w:val="both"/>
        <w:rPr>
          <w:rFonts w:ascii="Arial Narrow" w:hAnsi="Arial Narrow" w:cs="Arial"/>
          <w:sz w:val="20"/>
        </w:rPr>
      </w:pPr>
    </w:p>
    <w:p w14:paraId="0C18C392" w14:textId="77777777" w:rsidR="008371C9" w:rsidRDefault="008371C9" w:rsidP="00DA5F46">
      <w:pPr>
        <w:spacing w:line="276" w:lineRule="auto"/>
        <w:jc w:val="both"/>
        <w:rPr>
          <w:rFonts w:ascii="Arial Narrow" w:hAnsi="Arial Narrow" w:cs="Arial"/>
          <w:sz w:val="20"/>
        </w:rPr>
      </w:pPr>
    </w:p>
    <w:p w14:paraId="79C51B7B" w14:textId="0A67D80A" w:rsidR="00732A00" w:rsidRPr="00CE357F" w:rsidRDefault="002374F1" w:rsidP="007060E7">
      <w:pPr>
        <w:pStyle w:val="Nadpis1"/>
        <w:ind w:left="426"/>
        <w:rPr>
          <w:rFonts w:ascii="Arial Narrow" w:hAnsi="Arial Narrow"/>
          <w:color w:val="1F3864" w:themeColor="accent1" w:themeShade="80"/>
          <w:sz w:val="36"/>
          <w:szCs w:val="36"/>
        </w:rPr>
      </w:pPr>
      <w:bookmarkStart w:id="561" w:name="_Toc136876101"/>
      <w:r w:rsidRPr="00CE357F">
        <w:rPr>
          <w:rFonts w:ascii="Arial Narrow" w:hAnsi="Arial Narrow"/>
          <w:color w:val="1F3864" w:themeColor="accent1" w:themeShade="80"/>
          <w:sz w:val="36"/>
          <w:szCs w:val="36"/>
        </w:rPr>
        <w:lastRenderedPageBreak/>
        <w:t xml:space="preserve">ANALYTICKÁ ČÁST – </w:t>
      </w:r>
      <w:r w:rsidR="00F70015" w:rsidRPr="00CE357F">
        <w:rPr>
          <w:rFonts w:ascii="Arial Narrow" w:hAnsi="Arial Narrow"/>
          <w:color w:val="1F3864" w:themeColor="accent1" w:themeShade="80"/>
          <w:sz w:val="36"/>
          <w:szCs w:val="36"/>
        </w:rPr>
        <w:t xml:space="preserve">OSOBY S JINOU NEŽ ČESKOU STÁTNÍ PŘÍSLUŠNOSTÍ VE VYBRANÝCH ORP </w:t>
      </w:r>
      <w:r w:rsidRPr="00CE357F">
        <w:rPr>
          <w:rFonts w:ascii="Arial Narrow" w:hAnsi="Arial Narrow"/>
          <w:color w:val="1F3864" w:themeColor="accent1" w:themeShade="80"/>
          <w:sz w:val="36"/>
          <w:szCs w:val="36"/>
        </w:rPr>
        <w:br/>
      </w:r>
      <w:r w:rsidR="00F70015" w:rsidRPr="00CE357F">
        <w:rPr>
          <w:rFonts w:ascii="Arial Narrow" w:hAnsi="Arial Narrow"/>
          <w:color w:val="1F3864" w:themeColor="accent1" w:themeShade="80"/>
          <w:sz w:val="36"/>
          <w:szCs w:val="36"/>
        </w:rPr>
        <w:t xml:space="preserve">V JIHOMORAVSKÉM </w:t>
      </w:r>
      <w:r w:rsidR="00732A00" w:rsidRPr="00CE357F">
        <w:rPr>
          <w:rFonts w:ascii="Arial Narrow" w:hAnsi="Arial Narrow"/>
          <w:color w:val="1F3864" w:themeColor="accent1" w:themeShade="80"/>
          <w:sz w:val="36"/>
          <w:szCs w:val="36"/>
        </w:rPr>
        <w:t>KRAJI</w:t>
      </w:r>
      <w:bookmarkEnd w:id="561"/>
    </w:p>
    <w:p w14:paraId="1509B76B" w14:textId="77777777" w:rsidR="00732A00" w:rsidRPr="00CE357F" w:rsidRDefault="00732A00" w:rsidP="00732A00">
      <w:pPr>
        <w:rPr>
          <w:rFonts w:ascii="Arial Narrow" w:hAnsi="Arial Narrow"/>
        </w:rPr>
      </w:pPr>
    </w:p>
    <w:p w14:paraId="61E9D7D5" w14:textId="77777777" w:rsidR="007060E7" w:rsidRPr="00CE357F" w:rsidRDefault="007060E7" w:rsidP="007060E7">
      <w:pPr>
        <w:pStyle w:val="Nadpis2"/>
        <w:ind w:left="426"/>
        <w:rPr>
          <w:rFonts w:ascii="Arial Narrow" w:hAnsi="Arial Narrow"/>
          <w:sz w:val="28"/>
          <w:szCs w:val="30"/>
        </w:rPr>
      </w:pPr>
      <w:bookmarkStart w:id="562" w:name="_Toc136876102"/>
      <w:r w:rsidRPr="00CE357F">
        <w:rPr>
          <w:rFonts w:ascii="Arial Narrow" w:hAnsi="Arial Narrow"/>
          <w:sz w:val="28"/>
          <w:szCs w:val="30"/>
        </w:rPr>
        <w:t>OSOBY S JINOU NEŽ ČESKOU STÁTNÍ PŘÍSLUŠNOSTÍ V ORP BLANSKO</w:t>
      </w:r>
      <w:bookmarkEnd w:id="562"/>
    </w:p>
    <w:p w14:paraId="48CACA98" w14:textId="77777777" w:rsidR="007060E7" w:rsidRPr="00CE357F" w:rsidRDefault="007060E7" w:rsidP="007060E7">
      <w:pPr>
        <w:spacing w:line="276" w:lineRule="auto"/>
        <w:rPr>
          <w:rFonts w:ascii="Arial Narrow" w:hAnsi="Arial Narrow"/>
          <w:b/>
          <w:color w:val="2F5496" w:themeColor="accent1" w:themeShade="BF"/>
        </w:rPr>
      </w:pPr>
    </w:p>
    <w:p w14:paraId="26CAF86B" w14:textId="77777777" w:rsidR="007060E7" w:rsidRPr="00CE357F" w:rsidRDefault="007060E7" w:rsidP="007060E7">
      <w:pPr>
        <w:pStyle w:val="Nadpis3"/>
        <w:spacing w:after="240"/>
      </w:pPr>
      <w:bookmarkStart w:id="563" w:name="_Toc94215408"/>
      <w:bookmarkStart w:id="564" w:name="_Toc136876103"/>
      <w:r w:rsidRPr="00CE357F">
        <w:t>Základní demografické údaje o ORP Blansko</w:t>
      </w:r>
      <w:bookmarkEnd w:id="563"/>
      <w:bookmarkEnd w:id="564"/>
      <w:r w:rsidRPr="00CE357F">
        <w:t xml:space="preserve"> </w:t>
      </w:r>
    </w:p>
    <w:p w14:paraId="648000DA" w14:textId="77777777" w:rsidR="00774537" w:rsidRPr="00CE357F" w:rsidRDefault="00774537" w:rsidP="00774537">
      <w:pPr>
        <w:spacing w:line="276" w:lineRule="auto"/>
        <w:jc w:val="both"/>
        <w:rPr>
          <w:rFonts w:ascii="Arial Narrow" w:hAnsi="Arial Narrow"/>
        </w:rPr>
      </w:pPr>
      <w:bookmarkStart w:id="565" w:name="_Hlk131416109"/>
      <w:r w:rsidRPr="00CE357F">
        <w:rPr>
          <w:rFonts w:ascii="Arial Narrow" w:hAnsi="Arial Narrow"/>
        </w:rPr>
        <w:t>K 31. 12. 202</w:t>
      </w:r>
      <w:r>
        <w:rPr>
          <w:rFonts w:ascii="Arial Narrow" w:hAnsi="Arial Narrow"/>
        </w:rPr>
        <w:t>1</w:t>
      </w:r>
      <w:r>
        <w:rPr>
          <w:rStyle w:val="Znakapoznpodarou"/>
          <w:rFonts w:ascii="Arial Narrow" w:hAnsi="Arial Narrow"/>
        </w:rPr>
        <w:footnoteReference w:id="74"/>
      </w:r>
      <w:r w:rsidRPr="00CE357F">
        <w:rPr>
          <w:rFonts w:ascii="Arial Narrow" w:hAnsi="Arial Narrow"/>
        </w:rPr>
        <w:t xml:space="preserve"> žilo na </w:t>
      </w:r>
      <w:r w:rsidRPr="003C1DE9">
        <w:rPr>
          <w:rFonts w:ascii="Arial Narrow" w:hAnsi="Arial Narrow"/>
        </w:rPr>
        <w:t>území ORP Blansko celkem 56 155 obyvatel, což představovalo zhruba 4,74 % všech obyvatel Jihomoravského kraje. Mezi obyvateli ORP Blansko byli k tomuto datu muži a ženy téměř rovnoměrně zastoupeni (49,3 % mužů a 50,7 % žen).  Zastoupení mužů a žen mezi obyvateli ORP Blansko zůstává, stejně jako podíl obyvatel na celkovém počtu obyvatel JMK, dlouhodobě stabilní. Meziročně vzrůstá pouze průměrný věk obyvatel. Zatímco v roce 2005 byl průměrný</w:t>
      </w:r>
      <w:r w:rsidRPr="00CE357F">
        <w:rPr>
          <w:rFonts w:ascii="Arial Narrow" w:hAnsi="Arial Narrow"/>
        </w:rPr>
        <w:t xml:space="preserve"> věk obyvatel ORP </w:t>
      </w:r>
      <w:r>
        <w:rPr>
          <w:rFonts w:ascii="Arial Narrow" w:hAnsi="Arial Narrow"/>
        </w:rPr>
        <w:t>Blansko</w:t>
      </w:r>
      <w:r w:rsidRPr="00CE357F">
        <w:rPr>
          <w:rFonts w:ascii="Arial Narrow" w:hAnsi="Arial Narrow"/>
        </w:rPr>
        <w:t xml:space="preserve"> 40,</w:t>
      </w:r>
      <w:r>
        <w:rPr>
          <w:rFonts w:ascii="Arial Narrow" w:hAnsi="Arial Narrow"/>
        </w:rPr>
        <w:t>3</w:t>
      </w:r>
      <w:r w:rsidRPr="00CE357F">
        <w:rPr>
          <w:rFonts w:ascii="Arial Narrow" w:hAnsi="Arial Narrow"/>
        </w:rPr>
        <w:t xml:space="preserve"> let, v roce 202</w:t>
      </w:r>
      <w:r>
        <w:rPr>
          <w:rFonts w:ascii="Arial Narrow" w:hAnsi="Arial Narrow"/>
        </w:rPr>
        <w:t>1</w:t>
      </w:r>
      <w:r w:rsidRPr="00CE357F">
        <w:rPr>
          <w:rFonts w:ascii="Arial Narrow" w:hAnsi="Arial Narrow"/>
        </w:rPr>
        <w:t xml:space="preserve"> to bylo 4</w:t>
      </w:r>
      <w:r>
        <w:rPr>
          <w:rFonts w:ascii="Arial Narrow" w:hAnsi="Arial Narrow"/>
        </w:rPr>
        <w:t>3,1</w:t>
      </w:r>
      <w:r w:rsidRPr="00CE357F">
        <w:rPr>
          <w:rFonts w:ascii="Arial Narrow" w:hAnsi="Arial Narrow"/>
        </w:rPr>
        <w:t xml:space="preserve"> let. Jedná se ale o trend, který je charakteristický pro území celé České republiky. </w:t>
      </w:r>
    </w:p>
    <w:bookmarkEnd w:id="565"/>
    <w:p w14:paraId="149E4A2E" w14:textId="77777777" w:rsidR="007060E7" w:rsidRPr="00CE357F" w:rsidRDefault="007060E7" w:rsidP="007060E7">
      <w:pPr>
        <w:spacing w:line="276" w:lineRule="auto"/>
        <w:rPr>
          <w:rFonts w:ascii="Arial Narrow" w:hAnsi="Arial Narrow"/>
        </w:rPr>
      </w:pPr>
    </w:p>
    <w:p w14:paraId="1790861A" w14:textId="2F6FAA38" w:rsidR="007060E7" w:rsidRPr="00CE357F" w:rsidRDefault="007060E7" w:rsidP="007060E7">
      <w:pPr>
        <w:spacing w:line="276" w:lineRule="auto"/>
        <w:rPr>
          <w:rFonts w:ascii="Arial Narrow" w:hAnsi="Arial Narrow"/>
          <w:b/>
        </w:rPr>
      </w:pPr>
      <w:bookmarkStart w:id="566" w:name="_Toc136429235"/>
      <w:r w:rsidRPr="00CE357F">
        <w:rPr>
          <w:rFonts w:ascii="Arial Narrow" w:hAnsi="Arial Narrow"/>
          <w:b/>
          <w:sz w:val="20"/>
          <w:szCs w:val="20"/>
        </w:rPr>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24</w:t>
      </w:r>
      <w:r w:rsidRPr="00CE357F">
        <w:rPr>
          <w:rFonts w:ascii="Arial Narrow" w:hAnsi="Arial Narrow"/>
          <w:b/>
          <w:sz w:val="20"/>
          <w:szCs w:val="20"/>
        </w:rPr>
        <w:fldChar w:fldCharType="end"/>
      </w:r>
      <w:r w:rsidRPr="00CE357F">
        <w:rPr>
          <w:rFonts w:ascii="Arial Narrow" w:hAnsi="Arial Narrow"/>
          <w:b/>
          <w:sz w:val="20"/>
          <w:szCs w:val="20"/>
        </w:rPr>
        <w:t>: Vývoj počtu obyvatel v ORP Blansko v letech 2005-202</w:t>
      </w:r>
      <w:r w:rsidR="00774537">
        <w:rPr>
          <w:rFonts w:ascii="Arial Narrow" w:hAnsi="Arial Narrow"/>
          <w:b/>
          <w:sz w:val="20"/>
          <w:szCs w:val="20"/>
        </w:rPr>
        <w:t>1</w:t>
      </w:r>
      <w:bookmarkEnd w:id="566"/>
    </w:p>
    <w:tbl>
      <w:tblPr>
        <w:tblpPr w:leftFromText="141" w:rightFromText="141" w:vertAnchor="text" w:tblpY="1"/>
        <w:tblW w:w="5003"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55"/>
        <w:gridCol w:w="1842"/>
        <w:gridCol w:w="2410"/>
        <w:gridCol w:w="1134"/>
        <w:gridCol w:w="851"/>
        <w:gridCol w:w="1275"/>
      </w:tblGrid>
      <w:tr w:rsidR="007060E7" w:rsidRPr="00CE357F" w14:paraId="453E4A10" w14:textId="77777777" w:rsidTr="00774537">
        <w:trPr>
          <w:trHeight w:val="170"/>
        </w:trPr>
        <w:tc>
          <w:tcPr>
            <w:tcW w:w="1555" w:type="dxa"/>
            <w:vMerge w:val="restart"/>
            <w:shd w:val="clear" w:color="auto" w:fill="D9E2F3" w:themeFill="accent1" w:themeFillTint="33"/>
            <w:vAlign w:val="center"/>
            <w:hideMark/>
          </w:tcPr>
          <w:p w14:paraId="1E75608D" w14:textId="77777777" w:rsidR="007060E7" w:rsidRPr="00CE357F" w:rsidRDefault="007060E7" w:rsidP="007060E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Rok</w:t>
            </w:r>
          </w:p>
          <w:p w14:paraId="1805B12E" w14:textId="7A261264" w:rsidR="007060E7" w:rsidRPr="00CE357F" w:rsidRDefault="007060E7" w:rsidP="007060E7">
            <w:pPr>
              <w:jc w:val="center"/>
              <w:rPr>
                <w:rFonts w:ascii="Arial Narrow" w:hAnsi="Arial Narrow" w:cstheme="minorBidi"/>
                <w:b/>
                <w:bCs/>
                <w:sz w:val="18"/>
                <w:szCs w:val="18"/>
              </w:rPr>
            </w:pPr>
            <w:r w:rsidRPr="00CE357F">
              <w:rPr>
                <w:rFonts w:ascii="Arial Narrow" w:eastAsia="Times New Roman" w:hAnsi="Arial Narrow" w:cs="Arial"/>
                <w:b/>
                <w:bCs/>
                <w:sz w:val="18"/>
                <w:szCs w:val="18"/>
                <w:lang w:eastAsia="cs-CZ"/>
              </w:rPr>
              <w:t>(vždy k 31. 12.)</w:t>
            </w:r>
            <w:r w:rsidR="00774537" w:rsidRPr="00F951BF">
              <w:rPr>
                <w:rStyle w:val="Znakapoznpodarou"/>
                <w:rFonts w:ascii="Arial Narrow" w:eastAsia="Times New Roman" w:hAnsi="Arial Narrow" w:cs="Arial"/>
                <w:sz w:val="18"/>
                <w:szCs w:val="18"/>
                <w:lang w:eastAsia="cs-CZ"/>
              </w:rPr>
              <w:footnoteReference w:id="75"/>
            </w:r>
          </w:p>
        </w:tc>
        <w:tc>
          <w:tcPr>
            <w:tcW w:w="1842" w:type="dxa"/>
            <w:vMerge w:val="restart"/>
            <w:shd w:val="clear" w:color="auto" w:fill="D9E2F3" w:themeFill="accent1" w:themeFillTint="33"/>
            <w:vAlign w:val="center"/>
            <w:hideMark/>
          </w:tcPr>
          <w:p w14:paraId="2D6AEEC7"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Počet obyvatel celkem</w:t>
            </w:r>
          </w:p>
        </w:tc>
        <w:tc>
          <w:tcPr>
            <w:tcW w:w="2410" w:type="dxa"/>
            <w:vMerge w:val="restart"/>
            <w:shd w:val="clear" w:color="auto" w:fill="D9E2F3" w:themeFill="accent1" w:themeFillTint="33"/>
            <w:vAlign w:val="center"/>
          </w:tcPr>
          <w:p w14:paraId="7A57238D" w14:textId="77777777" w:rsidR="007060E7" w:rsidRPr="00CE357F" w:rsidRDefault="007060E7" w:rsidP="007060E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Podíl obyvatel na celkovém počtu obyvatel v JMK</w:t>
            </w:r>
          </w:p>
        </w:tc>
        <w:tc>
          <w:tcPr>
            <w:tcW w:w="1985" w:type="dxa"/>
            <w:gridSpan w:val="2"/>
            <w:shd w:val="clear" w:color="auto" w:fill="D9E2F3" w:themeFill="accent1" w:themeFillTint="33"/>
            <w:vAlign w:val="center"/>
          </w:tcPr>
          <w:p w14:paraId="7BFBE190" w14:textId="77777777" w:rsidR="007060E7" w:rsidRPr="00CE357F" w:rsidRDefault="007060E7" w:rsidP="007060E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w:t>
            </w:r>
          </w:p>
        </w:tc>
        <w:tc>
          <w:tcPr>
            <w:tcW w:w="1275" w:type="dxa"/>
            <w:vMerge w:val="restart"/>
            <w:shd w:val="clear" w:color="auto" w:fill="D9E2F3" w:themeFill="accent1" w:themeFillTint="33"/>
            <w:vAlign w:val="center"/>
          </w:tcPr>
          <w:p w14:paraId="09094F92" w14:textId="77777777" w:rsidR="007060E7" w:rsidRPr="00CE357F" w:rsidRDefault="007060E7" w:rsidP="007060E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Průměrný věk</w:t>
            </w:r>
          </w:p>
        </w:tc>
      </w:tr>
      <w:tr w:rsidR="007060E7" w:rsidRPr="00CE357F" w14:paraId="12B6ECDF" w14:textId="77777777" w:rsidTr="00774537">
        <w:trPr>
          <w:trHeight w:val="227"/>
        </w:trPr>
        <w:tc>
          <w:tcPr>
            <w:tcW w:w="1555" w:type="dxa"/>
            <w:vMerge/>
            <w:hideMark/>
          </w:tcPr>
          <w:p w14:paraId="01AC203B" w14:textId="77777777" w:rsidR="007060E7" w:rsidRPr="00CE357F" w:rsidRDefault="007060E7" w:rsidP="007060E7">
            <w:pPr>
              <w:rPr>
                <w:rFonts w:ascii="Arial Narrow" w:hAnsi="Arial Narrow"/>
                <w:sz w:val="18"/>
                <w:szCs w:val="18"/>
              </w:rPr>
            </w:pPr>
          </w:p>
        </w:tc>
        <w:tc>
          <w:tcPr>
            <w:tcW w:w="1842" w:type="dxa"/>
            <w:vMerge/>
            <w:hideMark/>
          </w:tcPr>
          <w:p w14:paraId="435D37CC" w14:textId="77777777" w:rsidR="007060E7" w:rsidRPr="00CE357F" w:rsidRDefault="007060E7" w:rsidP="007060E7">
            <w:pPr>
              <w:rPr>
                <w:rFonts w:ascii="Arial Narrow" w:hAnsi="Arial Narrow"/>
                <w:sz w:val="18"/>
                <w:szCs w:val="18"/>
              </w:rPr>
            </w:pPr>
          </w:p>
        </w:tc>
        <w:tc>
          <w:tcPr>
            <w:tcW w:w="2410" w:type="dxa"/>
            <w:vMerge/>
          </w:tcPr>
          <w:p w14:paraId="6A326813" w14:textId="77777777" w:rsidR="007060E7" w:rsidRPr="00CE357F" w:rsidRDefault="007060E7" w:rsidP="007060E7">
            <w:pPr>
              <w:jc w:val="center"/>
              <w:rPr>
                <w:rFonts w:ascii="Arial Narrow" w:hAnsi="Arial Narrow"/>
                <w:b/>
                <w:bCs/>
                <w:sz w:val="18"/>
                <w:szCs w:val="18"/>
              </w:rPr>
            </w:pPr>
          </w:p>
        </w:tc>
        <w:tc>
          <w:tcPr>
            <w:tcW w:w="1134" w:type="dxa"/>
            <w:shd w:val="clear" w:color="auto" w:fill="D9E2F3" w:themeFill="accent1" w:themeFillTint="33"/>
            <w:vAlign w:val="center"/>
          </w:tcPr>
          <w:p w14:paraId="2ACF7F04" w14:textId="77777777" w:rsidR="007060E7" w:rsidRPr="00CE357F" w:rsidRDefault="007060E7" w:rsidP="007060E7">
            <w:pPr>
              <w:jc w:val="center"/>
              <w:rPr>
                <w:rFonts w:ascii="Arial Narrow" w:hAnsi="Arial Narrow"/>
                <w:b/>
                <w:bCs/>
                <w:sz w:val="18"/>
                <w:szCs w:val="18"/>
              </w:rPr>
            </w:pPr>
            <w:r w:rsidRPr="00CE357F">
              <w:rPr>
                <w:rFonts w:ascii="Arial Narrow" w:hAnsi="Arial Narrow"/>
                <w:b/>
                <w:bCs/>
                <w:sz w:val="18"/>
                <w:szCs w:val="18"/>
              </w:rPr>
              <w:t>Muži</w:t>
            </w:r>
          </w:p>
        </w:tc>
        <w:tc>
          <w:tcPr>
            <w:tcW w:w="851" w:type="dxa"/>
            <w:shd w:val="clear" w:color="auto" w:fill="D9E2F3" w:themeFill="accent1" w:themeFillTint="33"/>
            <w:vAlign w:val="center"/>
          </w:tcPr>
          <w:p w14:paraId="75487552" w14:textId="77777777" w:rsidR="007060E7" w:rsidRPr="00CE357F" w:rsidRDefault="007060E7" w:rsidP="007060E7">
            <w:pPr>
              <w:jc w:val="center"/>
              <w:rPr>
                <w:rFonts w:ascii="Arial Narrow" w:hAnsi="Arial Narrow"/>
                <w:b/>
                <w:bCs/>
                <w:sz w:val="18"/>
                <w:szCs w:val="18"/>
              </w:rPr>
            </w:pPr>
            <w:r w:rsidRPr="00CE357F">
              <w:rPr>
                <w:rFonts w:ascii="Arial Narrow" w:hAnsi="Arial Narrow"/>
                <w:b/>
                <w:bCs/>
                <w:sz w:val="18"/>
                <w:szCs w:val="18"/>
              </w:rPr>
              <w:t>Ženy</w:t>
            </w:r>
          </w:p>
        </w:tc>
        <w:tc>
          <w:tcPr>
            <w:tcW w:w="1275" w:type="dxa"/>
            <w:vMerge/>
          </w:tcPr>
          <w:p w14:paraId="77C9C5D1" w14:textId="77777777" w:rsidR="007060E7" w:rsidRPr="00CE357F" w:rsidRDefault="007060E7" w:rsidP="007060E7">
            <w:pPr>
              <w:jc w:val="center"/>
              <w:rPr>
                <w:rFonts w:ascii="Arial Narrow" w:hAnsi="Arial Narrow"/>
                <w:b/>
                <w:bCs/>
                <w:color w:val="FFFFFF" w:themeColor="background1"/>
                <w:sz w:val="18"/>
                <w:szCs w:val="18"/>
              </w:rPr>
            </w:pPr>
          </w:p>
        </w:tc>
      </w:tr>
      <w:tr w:rsidR="00774537" w:rsidRPr="00CE357F" w14:paraId="3AF8479D" w14:textId="77777777" w:rsidTr="00774537">
        <w:trPr>
          <w:trHeight w:val="204"/>
        </w:trPr>
        <w:tc>
          <w:tcPr>
            <w:tcW w:w="1555" w:type="dxa"/>
            <w:shd w:val="clear" w:color="auto" w:fill="D9E2F3" w:themeFill="accent1" w:themeFillTint="33"/>
            <w:vAlign w:val="center"/>
          </w:tcPr>
          <w:p w14:paraId="02EC2034" w14:textId="321BC520" w:rsidR="00774537" w:rsidRPr="00CE357F" w:rsidRDefault="00774537" w:rsidP="00774537">
            <w:pPr>
              <w:jc w:val="center"/>
              <w:rPr>
                <w:rFonts w:ascii="Arial Narrow" w:hAnsi="Arial Narrow"/>
                <w:sz w:val="18"/>
                <w:szCs w:val="18"/>
              </w:rPr>
            </w:pPr>
            <w:r>
              <w:rPr>
                <w:rFonts w:ascii="Arial Narrow" w:hAnsi="Arial Narrow"/>
                <w:sz w:val="18"/>
                <w:szCs w:val="18"/>
              </w:rPr>
              <w:t>2021</w:t>
            </w:r>
          </w:p>
        </w:tc>
        <w:tc>
          <w:tcPr>
            <w:tcW w:w="1842" w:type="dxa"/>
          </w:tcPr>
          <w:p w14:paraId="379C1D05" w14:textId="6E6624B4" w:rsidR="00774537" w:rsidRPr="00CE357F" w:rsidRDefault="00774537" w:rsidP="00774537">
            <w:pPr>
              <w:jc w:val="center"/>
              <w:rPr>
                <w:rFonts w:ascii="Arial Narrow" w:hAnsi="Arial Narrow"/>
                <w:b/>
                <w:sz w:val="18"/>
                <w:szCs w:val="18"/>
              </w:rPr>
            </w:pPr>
            <w:r w:rsidRPr="00653483">
              <w:rPr>
                <w:rFonts w:ascii="Arial Narrow" w:hAnsi="Arial Narrow"/>
                <w:b/>
                <w:bCs/>
                <w:sz w:val="18"/>
                <w:szCs w:val="18"/>
              </w:rPr>
              <w:t>56 155</w:t>
            </w:r>
          </w:p>
        </w:tc>
        <w:tc>
          <w:tcPr>
            <w:tcW w:w="2410" w:type="dxa"/>
          </w:tcPr>
          <w:p w14:paraId="7B121026" w14:textId="5F9B038D" w:rsidR="00774537" w:rsidRPr="00CE357F" w:rsidRDefault="00774537" w:rsidP="00774537">
            <w:pPr>
              <w:jc w:val="center"/>
              <w:rPr>
                <w:rFonts w:ascii="Arial Narrow" w:hAnsi="Arial Narrow"/>
                <w:sz w:val="18"/>
                <w:szCs w:val="18"/>
              </w:rPr>
            </w:pPr>
            <w:r w:rsidRPr="00653483">
              <w:rPr>
                <w:rFonts w:ascii="Arial Narrow" w:hAnsi="Arial Narrow"/>
                <w:sz w:val="18"/>
                <w:szCs w:val="18"/>
              </w:rPr>
              <w:t>4,74 %</w:t>
            </w:r>
          </w:p>
        </w:tc>
        <w:tc>
          <w:tcPr>
            <w:tcW w:w="1134" w:type="dxa"/>
          </w:tcPr>
          <w:p w14:paraId="7F026FA5" w14:textId="58E4234B" w:rsidR="00774537" w:rsidRPr="00CE357F" w:rsidRDefault="00774537" w:rsidP="00774537">
            <w:pPr>
              <w:jc w:val="center"/>
              <w:rPr>
                <w:rFonts w:ascii="Arial Narrow" w:hAnsi="Arial Narrow"/>
                <w:sz w:val="18"/>
                <w:szCs w:val="18"/>
              </w:rPr>
            </w:pPr>
            <w:r w:rsidRPr="00653483">
              <w:rPr>
                <w:rFonts w:ascii="Arial Narrow" w:hAnsi="Arial Narrow"/>
                <w:sz w:val="18"/>
                <w:szCs w:val="18"/>
              </w:rPr>
              <w:t>27 701</w:t>
            </w:r>
          </w:p>
        </w:tc>
        <w:tc>
          <w:tcPr>
            <w:tcW w:w="851" w:type="dxa"/>
          </w:tcPr>
          <w:p w14:paraId="1B82183C" w14:textId="432AE3BD" w:rsidR="00774537" w:rsidRPr="00CE357F" w:rsidRDefault="00774537" w:rsidP="00774537">
            <w:pPr>
              <w:jc w:val="center"/>
              <w:rPr>
                <w:rFonts w:ascii="Arial Narrow" w:hAnsi="Arial Narrow"/>
                <w:sz w:val="18"/>
                <w:szCs w:val="18"/>
              </w:rPr>
            </w:pPr>
            <w:r w:rsidRPr="00653483">
              <w:rPr>
                <w:rFonts w:ascii="Arial Narrow" w:hAnsi="Arial Narrow"/>
                <w:sz w:val="18"/>
                <w:szCs w:val="18"/>
              </w:rPr>
              <w:t>28 454</w:t>
            </w:r>
          </w:p>
        </w:tc>
        <w:tc>
          <w:tcPr>
            <w:tcW w:w="1275" w:type="dxa"/>
          </w:tcPr>
          <w:p w14:paraId="68E8830C" w14:textId="5F6FAE4A" w:rsidR="00774537" w:rsidRPr="00CE357F" w:rsidRDefault="00774537" w:rsidP="00774537">
            <w:pPr>
              <w:jc w:val="center"/>
              <w:rPr>
                <w:rFonts w:ascii="Arial Narrow" w:hAnsi="Arial Narrow"/>
                <w:sz w:val="18"/>
                <w:szCs w:val="18"/>
              </w:rPr>
            </w:pPr>
            <w:r w:rsidRPr="00653483">
              <w:rPr>
                <w:rFonts w:ascii="Arial Narrow" w:hAnsi="Arial Narrow"/>
                <w:sz w:val="18"/>
                <w:szCs w:val="18"/>
              </w:rPr>
              <w:t>43,1</w:t>
            </w:r>
          </w:p>
        </w:tc>
      </w:tr>
      <w:tr w:rsidR="00774537" w:rsidRPr="00CE357F" w14:paraId="45928E45" w14:textId="77777777" w:rsidTr="00774537">
        <w:trPr>
          <w:trHeight w:val="204"/>
        </w:trPr>
        <w:tc>
          <w:tcPr>
            <w:tcW w:w="1555" w:type="dxa"/>
            <w:shd w:val="clear" w:color="auto" w:fill="D9E2F3" w:themeFill="accent1" w:themeFillTint="33"/>
            <w:vAlign w:val="center"/>
          </w:tcPr>
          <w:p w14:paraId="0EA9E9ED"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2020</w:t>
            </w:r>
          </w:p>
        </w:tc>
        <w:tc>
          <w:tcPr>
            <w:tcW w:w="1842" w:type="dxa"/>
            <w:vAlign w:val="center"/>
          </w:tcPr>
          <w:p w14:paraId="277FE471"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57 045</w:t>
            </w:r>
          </w:p>
        </w:tc>
        <w:tc>
          <w:tcPr>
            <w:tcW w:w="2410" w:type="dxa"/>
            <w:vAlign w:val="center"/>
          </w:tcPr>
          <w:p w14:paraId="706B977E"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4,77 %</w:t>
            </w:r>
          </w:p>
        </w:tc>
        <w:tc>
          <w:tcPr>
            <w:tcW w:w="1134" w:type="dxa"/>
            <w:vAlign w:val="center"/>
          </w:tcPr>
          <w:p w14:paraId="6A9FB1CF"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28 103</w:t>
            </w:r>
          </w:p>
        </w:tc>
        <w:tc>
          <w:tcPr>
            <w:tcW w:w="851" w:type="dxa"/>
            <w:vAlign w:val="center"/>
          </w:tcPr>
          <w:p w14:paraId="0B7547C4"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28 942</w:t>
            </w:r>
          </w:p>
        </w:tc>
        <w:tc>
          <w:tcPr>
            <w:tcW w:w="1275" w:type="dxa"/>
            <w:vAlign w:val="center"/>
          </w:tcPr>
          <w:p w14:paraId="2D4EDD7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43,0</w:t>
            </w:r>
          </w:p>
        </w:tc>
      </w:tr>
      <w:tr w:rsidR="00774537" w:rsidRPr="00CE357F" w14:paraId="52164D76" w14:textId="77777777" w:rsidTr="00774537">
        <w:trPr>
          <w:trHeight w:val="204"/>
        </w:trPr>
        <w:tc>
          <w:tcPr>
            <w:tcW w:w="1555" w:type="dxa"/>
            <w:shd w:val="clear" w:color="auto" w:fill="D9E2F3" w:themeFill="accent1" w:themeFillTint="33"/>
            <w:vAlign w:val="center"/>
          </w:tcPr>
          <w:p w14:paraId="2268D2D2"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2019</w:t>
            </w:r>
          </w:p>
        </w:tc>
        <w:tc>
          <w:tcPr>
            <w:tcW w:w="1842" w:type="dxa"/>
            <w:vAlign w:val="center"/>
          </w:tcPr>
          <w:p w14:paraId="2A6C8F64"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57 126</w:t>
            </w:r>
          </w:p>
        </w:tc>
        <w:tc>
          <w:tcPr>
            <w:tcW w:w="2410" w:type="dxa"/>
            <w:vAlign w:val="center"/>
          </w:tcPr>
          <w:p w14:paraId="21C5C5A6"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4,79 %</w:t>
            </w:r>
          </w:p>
        </w:tc>
        <w:tc>
          <w:tcPr>
            <w:tcW w:w="1134" w:type="dxa"/>
            <w:vAlign w:val="center"/>
          </w:tcPr>
          <w:p w14:paraId="3B3C2E5F"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28 137</w:t>
            </w:r>
          </w:p>
        </w:tc>
        <w:tc>
          <w:tcPr>
            <w:tcW w:w="851" w:type="dxa"/>
            <w:vAlign w:val="center"/>
          </w:tcPr>
          <w:p w14:paraId="0ECBCDC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28 989</w:t>
            </w:r>
          </w:p>
        </w:tc>
        <w:tc>
          <w:tcPr>
            <w:tcW w:w="1275" w:type="dxa"/>
            <w:vAlign w:val="center"/>
          </w:tcPr>
          <w:p w14:paraId="3BA207E9"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42,8</w:t>
            </w:r>
          </w:p>
        </w:tc>
      </w:tr>
      <w:tr w:rsidR="00774537" w:rsidRPr="00CE357F" w14:paraId="27A4B9A8" w14:textId="77777777" w:rsidTr="00774537">
        <w:trPr>
          <w:trHeight w:val="300"/>
        </w:trPr>
        <w:tc>
          <w:tcPr>
            <w:tcW w:w="1555" w:type="dxa"/>
            <w:shd w:val="clear" w:color="auto" w:fill="D9E2F3" w:themeFill="accent1" w:themeFillTint="33"/>
            <w:vAlign w:val="center"/>
          </w:tcPr>
          <w:p w14:paraId="3CA67D3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2018</w:t>
            </w:r>
          </w:p>
        </w:tc>
        <w:tc>
          <w:tcPr>
            <w:tcW w:w="1842" w:type="dxa"/>
            <w:vAlign w:val="center"/>
          </w:tcPr>
          <w:p w14:paraId="5A1E562F"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56 965</w:t>
            </w:r>
          </w:p>
        </w:tc>
        <w:tc>
          <w:tcPr>
            <w:tcW w:w="2410" w:type="dxa"/>
            <w:vAlign w:val="center"/>
          </w:tcPr>
          <w:p w14:paraId="58DD338C"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4,80 %</w:t>
            </w:r>
          </w:p>
        </w:tc>
        <w:tc>
          <w:tcPr>
            <w:tcW w:w="1134" w:type="dxa"/>
            <w:vAlign w:val="center"/>
          </w:tcPr>
          <w:p w14:paraId="390F5FF8"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28 072</w:t>
            </w:r>
          </w:p>
        </w:tc>
        <w:tc>
          <w:tcPr>
            <w:tcW w:w="851" w:type="dxa"/>
            <w:vAlign w:val="center"/>
          </w:tcPr>
          <w:p w14:paraId="1DE18C54"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28 893</w:t>
            </w:r>
          </w:p>
        </w:tc>
        <w:tc>
          <w:tcPr>
            <w:tcW w:w="1275" w:type="dxa"/>
            <w:vAlign w:val="center"/>
          </w:tcPr>
          <w:p w14:paraId="70D1472F"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42,6</w:t>
            </w:r>
          </w:p>
        </w:tc>
      </w:tr>
      <w:tr w:rsidR="00774537" w:rsidRPr="00CE357F" w14:paraId="74C661C2" w14:textId="77777777" w:rsidTr="00774537">
        <w:trPr>
          <w:trHeight w:val="204"/>
        </w:trPr>
        <w:tc>
          <w:tcPr>
            <w:tcW w:w="1555" w:type="dxa"/>
            <w:shd w:val="clear" w:color="auto" w:fill="D9E2F3" w:themeFill="accent1" w:themeFillTint="33"/>
            <w:vAlign w:val="center"/>
          </w:tcPr>
          <w:p w14:paraId="757324F0"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2017</w:t>
            </w:r>
          </w:p>
        </w:tc>
        <w:tc>
          <w:tcPr>
            <w:tcW w:w="1842" w:type="dxa"/>
            <w:vAlign w:val="center"/>
          </w:tcPr>
          <w:p w14:paraId="5D5D1341"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56 848</w:t>
            </w:r>
          </w:p>
        </w:tc>
        <w:tc>
          <w:tcPr>
            <w:tcW w:w="2410" w:type="dxa"/>
            <w:vAlign w:val="center"/>
          </w:tcPr>
          <w:p w14:paraId="56B89F6B"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4,80 %</w:t>
            </w:r>
          </w:p>
        </w:tc>
        <w:tc>
          <w:tcPr>
            <w:tcW w:w="1134" w:type="dxa"/>
            <w:vAlign w:val="center"/>
          </w:tcPr>
          <w:p w14:paraId="03C8C0EA"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28 010</w:t>
            </w:r>
          </w:p>
        </w:tc>
        <w:tc>
          <w:tcPr>
            <w:tcW w:w="851" w:type="dxa"/>
            <w:vAlign w:val="center"/>
          </w:tcPr>
          <w:p w14:paraId="479D79D8"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28 838</w:t>
            </w:r>
          </w:p>
        </w:tc>
        <w:tc>
          <w:tcPr>
            <w:tcW w:w="1275" w:type="dxa"/>
            <w:vAlign w:val="center"/>
          </w:tcPr>
          <w:p w14:paraId="7F582D14"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42,5</w:t>
            </w:r>
          </w:p>
        </w:tc>
      </w:tr>
      <w:tr w:rsidR="00774537" w:rsidRPr="00CE357F" w14:paraId="3D38F404" w14:textId="77777777" w:rsidTr="00774537">
        <w:trPr>
          <w:trHeight w:val="204"/>
        </w:trPr>
        <w:tc>
          <w:tcPr>
            <w:tcW w:w="1555" w:type="dxa"/>
            <w:shd w:val="clear" w:color="auto" w:fill="D9E2F3" w:themeFill="accent1" w:themeFillTint="33"/>
            <w:vAlign w:val="center"/>
          </w:tcPr>
          <w:p w14:paraId="79A1354D"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2016</w:t>
            </w:r>
          </w:p>
        </w:tc>
        <w:tc>
          <w:tcPr>
            <w:tcW w:w="1842" w:type="dxa"/>
            <w:vAlign w:val="center"/>
          </w:tcPr>
          <w:p w14:paraId="3886C57B"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56 624</w:t>
            </w:r>
          </w:p>
        </w:tc>
        <w:tc>
          <w:tcPr>
            <w:tcW w:w="2410" w:type="dxa"/>
            <w:vAlign w:val="center"/>
          </w:tcPr>
          <w:p w14:paraId="2552D8ED"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4,80 %</w:t>
            </w:r>
          </w:p>
        </w:tc>
        <w:tc>
          <w:tcPr>
            <w:tcW w:w="1134" w:type="dxa"/>
            <w:vAlign w:val="center"/>
          </w:tcPr>
          <w:p w14:paraId="7658BC62"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27 861</w:t>
            </w:r>
          </w:p>
        </w:tc>
        <w:tc>
          <w:tcPr>
            <w:tcW w:w="851" w:type="dxa"/>
            <w:vAlign w:val="center"/>
          </w:tcPr>
          <w:p w14:paraId="453FF5F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28 763</w:t>
            </w:r>
          </w:p>
        </w:tc>
        <w:tc>
          <w:tcPr>
            <w:tcW w:w="1275" w:type="dxa"/>
            <w:vAlign w:val="center"/>
          </w:tcPr>
          <w:p w14:paraId="41CBA9AC"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42,3</w:t>
            </w:r>
          </w:p>
        </w:tc>
      </w:tr>
      <w:tr w:rsidR="00774537" w:rsidRPr="00CE357F" w14:paraId="319D30FB" w14:textId="77777777" w:rsidTr="00774537">
        <w:trPr>
          <w:trHeight w:val="204"/>
        </w:trPr>
        <w:tc>
          <w:tcPr>
            <w:tcW w:w="1555" w:type="dxa"/>
            <w:shd w:val="clear" w:color="auto" w:fill="D9E2F3" w:themeFill="accent1" w:themeFillTint="33"/>
            <w:vAlign w:val="center"/>
          </w:tcPr>
          <w:p w14:paraId="4CF610B3"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2015</w:t>
            </w:r>
          </w:p>
        </w:tc>
        <w:tc>
          <w:tcPr>
            <w:tcW w:w="1842" w:type="dxa"/>
            <w:vAlign w:val="center"/>
          </w:tcPr>
          <w:p w14:paraId="16EB754D"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56 523</w:t>
            </w:r>
          </w:p>
        </w:tc>
        <w:tc>
          <w:tcPr>
            <w:tcW w:w="2410" w:type="dxa"/>
            <w:vAlign w:val="center"/>
          </w:tcPr>
          <w:p w14:paraId="61FFCF61"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4,81 %</w:t>
            </w:r>
          </w:p>
        </w:tc>
        <w:tc>
          <w:tcPr>
            <w:tcW w:w="1134" w:type="dxa"/>
            <w:vAlign w:val="center"/>
          </w:tcPr>
          <w:p w14:paraId="2DC3B639"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27 818</w:t>
            </w:r>
          </w:p>
        </w:tc>
        <w:tc>
          <w:tcPr>
            <w:tcW w:w="851" w:type="dxa"/>
            <w:vAlign w:val="center"/>
          </w:tcPr>
          <w:p w14:paraId="4832777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28 705</w:t>
            </w:r>
          </w:p>
        </w:tc>
        <w:tc>
          <w:tcPr>
            <w:tcW w:w="1275" w:type="dxa"/>
            <w:vAlign w:val="center"/>
          </w:tcPr>
          <w:p w14:paraId="531D99AC"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42,2</w:t>
            </w:r>
          </w:p>
        </w:tc>
      </w:tr>
      <w:tr w:rsidR="00774537" w:rsidRPr="00CE357F" w14:paraId="68E0B3E9" w14:textId="77777777" w:rsidTr="00774537">
        <w:trPr>
          <w:trHeight w:val="204"/>
        </w:trPr>
        <w:tc>
          <w:tcPr>
            <w:tcW w:w="1555" w:type="dxa"/>
            <w:shd w:val="clear" w:color="auto" w:fill="D9E2F3" w:themeFill="accent1" w:themeFillTint="33"/>
            <w:vAlign w:val="center"/>
          </w:tcPr>
          <w:p w14:paraId="766CCA52"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2014</w:t>
            </w:r>
          </w:p>
        </w:tc>
        <w:tc>
          <w:tcPr>
            <w:tcW w:w="1842" w:type="dxa"/>
            <w:vAlign w:val="center"/>
          </w:tcPr>
          <w:p w14:paraId="469AB462"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56 379</w:t>
            </w:r>
          </w:p>
        </w:tc>
        <w:tc>
          <w:tcPr>
            <w:tcW w:w="2410" w:type="dxa"/>
            <w:vAlign w:val="center"/>
          </w:tcPr>
          <w:p w14:paraId="3806F289"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4.81 %</w:t>
            </w:r>
          </w:p>
        </w:tc>
        <w:tc>
          <w:tcPr>
            <w:tcW w:w="1134" w:type="dxa"/>
            <w:vAlign w:val="center"/>
          </w:tcPr>
          <w:p w14:paraId="7D9350ED"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27 717</w:t>
            </w:r>
          </w:p>
        </w:tc>
        <w:tc>
          <w:tcPr>
            <w:tcW w:w="851" w:type="dxa"/>
            <w:vAlign w:val="center"/>
          </w:tcPr>
          <w:p w14:paraId="1794882A"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28 662</w:t>
            </w:r>
          </w:p>
        </w:tc>
        <w:tc>
          <w:tcPr>
            <w:tcW w:w="1275" w:type="dxa"/>
            <w:vAlign w:val="center"/>
          </w:tcPr>
          <w:p w14:paraId="383874AC"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42,0</w:t>
            </w:r>
          </w:p>
        </w:tc>
      </w:tr>
      <w:tr w:rsidR="00774537" w:rsidRPr="00CE357F" w14:paraId="0F0FD6EE" w14:textId="77777777" w:rsidTr="00774537">
        <w:trPr>
          <w:trHeight w:val="204"/>
        </w:trPr>
        <w:tc>
          <w:tcPr>
            <w:tcW w:w="1555" w:type="dxa"/>
            <w:shd w:val="clear" w:color="auto" w:fill="D9E2F3" w:themeFill="accent1" w:themeFillTint="33"/>
            <w:vAlign w:val="center"/>
          </w:tcPr>
          <w:p w14:paraId="0F62F22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2013</w:t>
            </w:r>
          </w:p>
        </w:tc>
        <w:tc>
          <w:tcPr>
            <w:tcW w:w="1842" w:type="dxa"/>
            <w:vAlign w:val="center"/>
          </w:tcPr>
          <w:p w14:paraId="61F062FC"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56 270</w:t>
            </w:r>
          </w:p>
        </w:tc>
        <w:tc>
          <w:tcPr>
            <w:tcW w:w="2410" w:type="dxa"/>
            <w:vAlign w:val="center"/>
          </w:tcPr>
          <w:p w14:paraId="5E124CD0"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4,81 %</w:t>
            </w:r>
          </w:p>
        </w:tc>
        <w:tc>
          <w:tcPr>
            <w:tcW w:w="1134" w:type="dxa"/>
            <w:vAlign w:val="center"/>
          </w:tcPr>
          <w:p w14:paraId="7F19BDA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27 647</w:t>
            </w:r>
          </w:p>
        </w:tc>
        <w:tc>
          <w:tcPr>
            <w:tcW w:w="851" w:type="dxa"/>
            <w:vAlign w:val="center"/>
          </w:tcPr>
          <w:p w14:paraId="198D6D5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28 623</w:t>
            </w:r>
          </w:p>
        </w:tc>
        <w:tc>
          <w:tcPr>
            <w:tcW w:w="1275" w:type="dxa"/>
            <w:vAlign w:val="center"/>
          </w:tcPr>
          <w:p w14:paraId="61A84299"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41,8</w:t>
            </w:r>
          </w:p>
        </w:tc>
      </w:tr>
      <w:tr w:rsidR="00774537" w:rsidRPr="00CE357F" w14:paraId="1B7E3C33" w14:textId="77777777" w:rsidTr="00774537">
        <w:trPr>
          <w:trHeight w:val="204"/>
        </w:trPr>
        <w:tc>
          <w:tcPr>
            <w:tcW w:w="1555" w:type="dxa"/>
            <w:shd w:val="clear" w:color="auto" w:fill="D9E2F3" w:themeFill="accent1" w:themeFillTint="33"/>
            <w:vAlign w:val="center"/>
          </w:tcPr>
          <w:p w14:paraId="6DB518CA"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2012</w:t>
            </w:r>
          </w:p>
        </w:tc>
        <w:tc>
          <w:tcPr>
            <w:tcW w:w="1842" w:type="dxa"/>
            <w:vAlign w:val="center"/>
          </w:tcPr>
          <w:p w14:paraId="5784DD4A"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55 976</w:t>
            </w:r>
          </w:p>
        </w:tc>
        <w:tc>
          <w:tcPr>
            <w:tcW w:w="2410" w:type="dxa"/>
            <w:vAlign w:val="center"/>
          </w:tcPr>
          <w:p w14:paraId="1F2A4CE8"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4,79 %</w:t>
            </w:r>
          </w:p>
        </w:tc>
        <w:tc>
          <w:tcPr>
            <w:tcW w:w="1134" w:type="dxa"/>
            <w:vAlign w:val="center"/>
          </w:tcPr>
          <w:p w14:paraId="34D51EC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27 502</w:t>
            </w:r>
          </w:p>
        </w:tc>
        <w:tc>
          <w:tcPr>
            <w:tcW w:w="851" w:type="dxa"/>
            <w:vAlign w:val="center"/>
          </w:tcPr>
          <w:p w14:paraId="6F0A5823"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28 474</w:t>
            </w:r>
          </w:p>
        </w:tc>
        <w:tc>
          <w:tcPr>
            <w:tcW w:w="1275" w:type="dxa"/>
            <w:vAlign w:val="center"/>
          </w:tcPr>
          <w:p w14:paraId="7AE4181E"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41,7</w:t>
            </w:r>
          </w:p>
        </w:tc>
      </w:tr>
      <w:tr w:rsidR="00774537" w:rsidRPr="00CE357F" w14:paraId="308A72EE" w14:textId="77777777" w:rsidTr="00774537">
        <w:trPr>
          <w:trHeight w:val="204"/>
        </w:trPr>
        <w:tc>
          <w:tcPr>
            <w:tcW w:w="1555" w:type="dxa"/>
            <w:shd w:val="clear" w:color="auto" w:fill="D9E2F3" w:themeFill="accent1" w:themeFillTint="33"/>
            <w:vAlign w:val="center"/>
          </w:tcPr>
          <w:p w14:paraId="54D8296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2011</w:t>
            </w:r>
          </w:p>
        </w:tc>
        <w:tc>
          <w:tcPr>
            <w:tcW w:w="1842" w:type="dxa"/>
            <w:vAlign w:val="center"/>
          </w:tcPr>
          <w:p w14:paraId="03B902BA"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55 566</w:t>
            </w:r>
          </w:p>
        </w:tc>
        <w:tc>
          <w:tcPr>
            <w:tcW w:w="2410" w:type="dxa"/>
            <w:vAlign w:val="center"/>
          </w:tcPr>
          <w:p w14:paraId="6BAA56C9"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4,46 %</w:t>
            </w:r>
          </w:p>
        </w:tc>
        <w:tc>
          <w:tcPr>
            <w:tcW w:w="1134" w:type="dxa"/>
            <w:vAlign w:val="center"/>
          </w:tcPr>
          <w:p w14:paraId="00D04639"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27 304</w:t>
            </w:r>
          </w:p>
        </w:tc>
        <w:tc>
          <w:tcPr>
            <w:tcW w:w="851" w:type="dxa"/>
            <w:vAlign w:val="center"/>
          </w:tcPr>
          <w:p w14:paraId="5122AD1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28 262</w:t>
            </w:r>
          </w:p>
        </w:tc>
        <w:tc>
          <w:tcPr>
            <w:tcW w:w="1275" w:type="dxa"/>
            <w:vAlign w:val="center"/>
          </w:tcPr>
          <w:p w14:paraId="3A56D732"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41,5</w:t>
            </w:r>
          </w:p>
        </w:tc>
      </w:tr>
      <w:tr w:rsidR="00774537" w:rsidRPr="00CE357F" w14:paraId="6D393E90" w14:textId="77777777" w:rsidTr="00774537">
        <w:trPr>
          <w:trHeight w:val="204"/>
        </w:trPr>
        <w:tc>
          <w:tcPr>
            <w:tcW w:w="1555" w:type="dxa"/>
            <w:shd w:val="clear" w:color="auto" w:fill="D9E2F3" w:themeFill="accent1" w:themeFillTint="33"/>
            <w:vAlign w:val="center"/>
          </w:tcPr>
          <w:p w14:paraId="4A67DF2A"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2010</w:t>
            </w:r>
          </w:p>
        </w:tc>
        <w:tc>
          <w:tcPr>
            <w:tcW w:w="1842" w:type="dxa"/>
            <w:vAlign w:val="center"/>
          </w:tcPr>
          <w:p w14:paraId="0DE92BC6"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55 848</w:t>
            </w:r>
          </w:p>
        </w:tc>
        <w:tc>
          <w:tcPr>
            <w:tcW w:w="2410" w:type="dxa"/>
            <w:vAlign w:val="center"/>
          </w:tcPr>
          <w:p w14:paraId="4540F26B"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4,84 %</w:t>
            </w:r>
          </w:p>
        </w:tc>
        <w:tc>
          <w:tcPr>
            <w:tcW w:w="1134" w:type="dxa"/>
            <w:vAlign w:val="center"/>
          </w:tcPr>
          <w:p w14:paraId="67A0C22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27 357</w:t>
            </w:r>
          </w:p>
        </w:tc>
        <w:tc>
          <w:tcPr>
            <w:tcW w:w="851" w:type="dxa"/>
            <w:vAlign w:val="center"/>
          </w:tcPr>
          <w:p w14:paraId="1D44E60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28 491</w:t>
            </w:r>
          </w:p>
        </w:tc>
        <w:tc>
          <w:tcPr>
            <w:tcW w:w="1275" w:type="dxa"/>
            <w:vAlign w:val="center"/>
          </w:tcPr>
          <w:p w14:paraId="77395330"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41,2</w:t>
            </w:r>
          </w:p>
        </w:tc>
      </w:tr>
      <w:tr w:rsidR="00774537" w:rsidRPr="00CE357F" w14:paraId="40716A92" w14:textId="77777777" w:rsidTr="00774537">
        <w:trPr>
          <w:trHeight w:val="204"/>
        </w:trPr>
        <w:tc>
          <w:tcPr>
            <w:tcW w:w="1555" w:type="dxa"/>
            <w:shd w:val="clear" w:color="auto" w:fill="D9E2F3" w:themeFill="accent1" w:themeFillTint="33"/>
            <w:vAlign w:val="center"/>
          </w:tcPr>
          <w:p w14:paraId="48220A5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2009</w:t>
            </w:r>
          </w:p>
        </w:tc>
        <w:tc>
          <w:tcPr>
            <w:tcW w:w="1842" w:type="dxa"/>
            <w:vAlign w:val="center"/>
          </w:tcPr>
          <w:p w14:paraId="5CF327A2"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55 664</w:t>
            </w:r>
          </w:p>
        </w:tc>
        <w:tc>
          <w:tcPr>
            <w:tcW w:w="2410" w:type="dxa"/>
            <w:vAlign w:val="center"/>
          </w:tcPr>
          <w:p w14:paraId="77445A00"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4,83 %</w:t>
            </w:r>
          </w:p>
        </w:tc>
        <w:tc>
          <w:tcPr>
            <w:tcW w:w="1134" w:type="dxa"/>
            <w:vAlign w:val="center"/>
          </w:tcPr>
          <w:p w14:paraId="143D9E4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27 268</w:t>
            </w:r>
          </w:p>
        </w:tc>
        <w:tc>
          <w:tcPr>
            <w:tcW w:w="851" w:type="dxa"/>
            <w:vAlign w:val="center"/>
          </w:tcPr>
          <w:p w14:paraId="1AEDA90A"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28 396</w:t>
            </w:r>
          </w:p>
        </w:tc>
        <w:tc>
          <w:tcPr>
            <w:tcW w:w="1275" w:type="dxa"/>
            <w:vAlign w:val="center"/>
          </w:tcPr>
          <w:p w14:paraId="2A7AB4A8"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41,1</w:t>
            </w:r>
          </w:p>
        </w:tc>
      </w:tr>
      <w:tr w:rsidR="00774537" w:rsidRPr="00CE357F" w14:paraId="1D7A0F15" w14:textId="77777777" w:rsidTr="00774537">
        <w:trPr>
          <w:trHeight w:val="204"/>
        </w:trPr>
        <w:tc>
          <w:tcPr>
            <w:tcW w:w="1555" w:type="dxa"/>
            <w:shd w:val="clear" w:color="auto" w:fill="D9E2F3" w:themeFill="accent1" w:themeFillTint="33"/>
            <w:vAlign w:val="center"/>
          </w:tcPr>
          <w:p w14:paraId="5A123F33"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2008</w:t>
            </w:r>
          </w:p>
        </w:tc>
        <w:tc>
          <w:tcPr>
            <w:tcW w:w="1842" w:type="dxa"/>
            <w:vAlign w:val="center"/>
          </w:tcPr>
          <w:p w14:paraId="090F7168"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55 508</w:t>
            </w:r>
          </w:p>
        </w:tc>
        <w:tc>
          <w:tcPr>
            <w:tcW w:w="2410" w:type="dxa"/>
            <w:vAlign w:val="center"/>
          </w:tcPr>
          <w:p w14:paraId="307E4925"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4,84 %</w:t>
            </w:r>
          </w:p>
        </w:tc>
        <w:tc>
          <w:tcPr>
            <w:tcW w:w="1134" w:type="dxa"/>
            <w:vAlign w:val="center"/>
          </w:tcPr>
          <w:p w14:paraId="77C8EA4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27 220</w:t>
            </w:r>
          </w:p>
        </w:tc>
        <w:tc>
          <w:tcPr>
            <w:tcW w:w="851" w:type="dxa"/>
            <w:vAlign w:val="center"/>
          </w:tcPr>
          <w:p w14:paraId="71D09DD3"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28 288</w:t>
            </w:r>
          </w:p>
        </w:tc>
        <w:tc>
          <w:tcPr>
            <w:tcW w:w="1275" w:type="dxa"/>
            <w:vAlign w:val="center"/>
          </w:tcPr>
          <w:p w14:paraId="6B43A76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40,9</w:t>
            </w:r>
          </w:p>
        </w:tc>
      </w:tr>
      <w:tr w:rsidR="00774537" w:rsidRPr="00CE357F" w14:paraId="0D522773" w14:textId="77777777" w:rsidTr="00774537">
        <w:trPr>
          <w:trHeight w:val="204"/>
        </w:trPr>
        <w:tc>
          <w:tcPr>
            <w:tcW w:w="1555" w:type="dxa"/>
            <w:shd w:val="clear" w:color="auto" w:fill="D9E2F3" w:themeFill="accent1" w:themeFillTint="33"/>
            <w:vAlign w:val="center"/>
          </w:tcPr>
          <w:p w14:paraId="6EA16B6C"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2007</w:t>
            </w:r>
          </w:p>
        </w:tc>
        <w:tc>
          <w:tcPr>
            <w:tcW w:w="1842" w:type="dxa"/>
            <w:vAlign w:val="center"/>
          </w:tcPr>
          <w:p w14:paraId="41A3036C"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55 204</w:t>
            </w:r>
          </w:p>
        </w:tc>
        <w:tc>
          <w:tcPr>
            <w:tcW w:w="2410" w:type="dxa"/>
            <w:vAlign w:val="center"/>
          </w:tcPr>
          <w:p w14:paraId="25C7235F"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4,84 %</w:t>
            </w:r>
          </w:p>
        </w:tc>
        <w:tc>
          <w:tcPr>
            <w:tcW w:w="1134" w:type="dxa"/>
            <w:vAlign w:val="center"/>
          </w:tcPr>
          <w:p w14:paraId="63A4C4E2"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27 076</w:t>
            </w:r>
          </w:p>
        </w:tc>
        <w:tc>
          <w:tcPr>
            <w:tcW w:w="851" w:type="dxa"/>
            <w:vAlign w:val="center"/>
          </w:tcPr>
          <w:p w14:paraId="4321F5FB"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28 128</w:t>
            </w:r>
          </w:p>
        </w:tc>
        <w:tc>
          <w:tcPr>
            <w:tcW w:w="1275" w:type="dxa"/>
            <w:vAlign w:val="center"/>
          </w:tcPr>
          <w:p w14:paraId="08E67CE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40,8</w:t>
            </w:r>
          </w:p>
        </w:tc>
      </w:tr>
      <w:tr w:rsidR="00774537" w:rsidRPr="00CE357F" w14:paraId="1FEDA90F" w14:textId="77777777" w:rsidTr="00774537">
        <w:trPr>
          <w:trHeight w:val="204"/>
        </w:trPr>
        <w:tc>
          <w:tcPr>
            <w:tcW w:w="1555" w:type="dxa"/>
            <w:shd w:val="clear" w:color="auto" w:fill="D9E2F3" w:themeFill="accent1" w:themeFillTint="33"/>
            <w:vAlign w:val="center"/>
          </w:tcPr>
          <w:p w14:paraId="23C01A7B"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2006</w:t>
            </w:r>
          </w:p>
        </w:tc>
        <w:tc>
          <w:tcPr>
            <w:tcW w:w="1842" w:type="dxa"/>
            <w:vAlign w:val="center"/>
          </w:tcPr>
          <w:p w14:paraId="1BC4A0E6"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54 803</w:t>
            </w:r>
          </w:p>
        </w:tc>
        <w:tc>
          <w:tcPr>
            <w:tcW w:w="2410" w:type="dxa"/>
            <w:vAlign w:val="center"/>
          </w:tcPr>
          <w:p w14:paraId="615D6494" w14:textId="77777777" w:rsidR="00774537" w:rsidRPr="00CE357F" w:rsidRDefault="00774537" w:rsidP="00774537">
            <w:pPr>
              <w:jc w:val="center"/>
              <w:rPr>
                <w:rFonts w:ascii="Arial Narrow" w:hAnsi="Arial Narrow"/>
                <w:color w:val="000000"/>
                <w:sz w:val="18"/>
                <w:szCs w:val="18"/>
              </w:rPr>
            </w:pPr>
            <w:r w:rsidRPr="00CE357F">
              <w:rPr>
                <w:rFonts w:ascii="Arial Narrow" w:hAnsi="Arial Narrow"/>
                <w:sz w:val="18"/>
                <w:szCs w:val="18"/>
              </w:rPr>
              <w:t>4,84 %</w:t>
            </w:r>
          </w:p>
        </w:tc>
        <w:tc>
          <w:tcPr>
            <w:tcW w:w="1134" w:type="dxa"/>
            <w:vAlign w:val="center"/>
          </w:tcPr>
          <w:p w14:paraId="56E8777A"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26 810</w:t>
            </w:r>
          </w:p>
        </w:tc>
        <w:tc>
          <w:tcPr>
            <w:tcW w:w="851" w:type="dxa"/>
            <w:vAlign w:val="center"/>
          </w:tcPr>
          <w:p w14:paraId="2F3C6ADF"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27 993</w:t>
            </w:r>
          </w:p>
        </w:tc>
        <w:tc>
          <w:tcPr>
            <w:tcW w:w="1275" w:type="dxa"/>
            <w:vAlign w:val="center"/>
          </w:tcPr>
          <w:p w14:paraId="3BDCC7E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40,6</w:t>
            </w:r>
          </w:p>
        </w:tc>
      </w:tr>
      <w:tr w:rsidR="00774537" w:rsidRPr="00CE357F" w14:paraId="388A54B2" w14:textId="77777777" w:rsidTr="00774537">
        <w:trPr>
          <w:trHeight w:val="204"/>
        </w:trPr>
        <w:tc>
          <w:tcPr>
            <w:tcW w:w="1555" w:type="dxa"/>
            <w:shd w:val="clear" w:color="auto" w:fill="D9E2F3" w:themeFill="accent1" w:themeFillTint="33"/>
            <w:vAlign w:val="center"/>
          </w:tcPr>
          <w:p w14:paraId="7B7B6A81"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2005</w:t>
            </w:r>
          </w:p>
        </w:tc>
        <w:tc>
          <w:tcPr>
            <w:tcW w:w="1842" w:type="dxa"/>
            <w:vAlign w:val="center"/>
          </w:tcPr>
          <w:p w14:paraId="48B1D0B2" w14:textId="77777777" w:rsidR="00774537" w:rsidRPr="00CE357F" w:rsidRDefault="00774537" w:rsidP="00774537">
            <w:pPr>
              <w:jc w:val="center"/>
              <w:rPr>
                <w:rFonts w:ascii="Arial Narrow" w:hAnsi="Arial Narrow"/>
                <w:sz w:val="18"/>
                <w:szCs w:val="18"/>
              </w:rPr>
            </w:pPr>
            <w:r w:rsidRPr="00CE357F">
              <w:rPr>
                <w:rFonts w:ascii="Arial Narrow" w:hAnsi="Arial Narrow"/>
                <w:b/>
                <w:sz w:val="18"/>
                <w:szCs w:val="18"/>
              </w:rPr>
              <w:t>54 354</w:t>
            </w:r>
          </w:p>
        </w:tc>
        <w:tc>
          <w:tcPr>
            <w:tcW w:w="2410" w:type="dxa"/>
            <w:vAlign w:val="center"/>
          </w:tcPr>
          <w:p w14:paraId="68A023D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4,81 %</w:t>
            </w:r>
          </w:p>
        </w:tc>
        <w:tc>
          <w:tcPr>
            <w:tcW w:w="1134" w:type="dxa"/>
            <w:vAlign w:val="center"/>
          </w:tcPr>
          <w:p w14:paraId="628BCD83"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26 541</w:t>
            </w:r>
          </w:p>
        </w:tc>
        <w:tc>
          <w:tcPr>
            <w:tcW w:w="851" w:type="dxa"/>
            <w:vAlign w:val="center"/>
          </w:tcPr>
          <w:p w14:paraId="285815B3"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27 813</w:t>
            </w:r>
          </w:p>
        </w:tc>
        <w:tc>
          <w:tcPr>
            <w:tcW w:w="1275" w:type="dxa"/>
            <w:vAlign w:val="center"/>
          </w:tcPr>
          <w:p w14:paraId="5645383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40,3</w:t>
            </w:r>
          </w:p>
        </w:tc>
      </w:tr>
    </w:tbl>
    <w:p w14:paraId="2DE00BC7" w14:textId="089C1DCF" w:rsidR="007060E7" w:rsidRPr="00CE357F" w:rsidRDefault="007060E7" w:rsidP="007060E7">
      <w:pPr>
        <w:rPr>
          <w:rFonts w:ascii="Arial Narrow" w:hAnsi="Arial Narrow"/>
          <w:b/>
          <w:bCs/>
          <w:sz w:val="28"/>
          <w:szCs w:val="28"/>
        </w:rPr>
      </w:pPr>
      <w:r w:rsidRPr="00CE357F">
        <w:rPr>
          <w:rFonts w:ascii="Arial Narrow" w:hAnsi="Arial Narrow"/>
          <w:sz w:val="20"/>
          <w:szCs w:val="20"/>
        </w:rPr>
        <w:t>Zdr</w:t>
      </w:r>
      <w:r w:rsidR="00F44E6E">
        <w:rPr>
          <w:rFonts w:ascii="Arial Narrow" w:hAnsi="Arial Narrow"/>
          <w:sz w:val="20"/>
          <w:szCs w:val="20"/>
        </w:rPr>
        <w:t>oj: Český statistický úřad</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Tabulka: AUGUR </w:t>
      </w:r>
      <w:proofErr w:type="spellStart"/>
      <w:r w:rsidRPr="00CE357F">
        <w:rPr>
          <w:rFonts w:ascii="Arial Narrow" w:hAnsi="Arial Narrow"/>
          <w:sz w:val="20"/>
          <w:szCs w:val="20"/>
        </w:rPr>
        <w:t>Consulting</w:t>
      </w:r>
      <w:proofErr w:type="spellEnd"/>
      <w:r w:rsidR="00F44E6E">
        <w:rPr>
          <w:rFonts w:ascii="Arial Narrow" w:hAnsi="Arial Narrow"/>
          <w:sz w:val="20"/>
          <w:szCs w:val="20"/>
        </w:rPr>
        <w:t xml:space="preserve"> s.r.o.</w:t>
      </w:r>
    </w:p>
    <w:p w14:paraId="0730A657" w14:textId="5A7E248C" w:rsidR="007060E7" w:rsidRDefault="007060E7" w:rsidP="007060E7">
      <w:pPr>
        <w:rPr>
          <w:rFonts w:ascii="Arial Narrow" w:hAnsi="Arial Narrow"/>
          <w:b/>
          <w:bCs/>
          <w:color w:val="C00000"/>
          <w:sz w:val="24"/>
          <w:szCs w:val="24"/>
        </w:rPr>
      </w:pPr>
    </w:p>
    <w:p w14:paraId="2BB320E4" w14:textId="77777777" w:rsidR="00774537" w:rsidRDefault="00774537" w:rsidP="007060E7">
      <w:pPr>
        <w:rPr>
          <w:rFonts w:ascii="Arial Narrow" w:hAnsi="Arial Narrow"/>
          <w:b/>
          <w:bCs/>
          <w:color w:val="C00000"/>
          <w:sz w:val="24"/>
          <w:szCs w:val="24"/>
        </w:rPr>
      </w:pPr>
    </w:p>
    <w:p w14:paraId="4350E91E" w14:textId="77777777" w:rsidR="009E089C" w:rsidRDefault="009E089C" w:rsidP="007060E7">
      <w:pPr>
        <w:rPr>
          <w:rFonts w:ascii="Arial Narrow" w:hAnsi="Arial Narrow"/>
          <w:b/>
          <w:bCs/>
          <w:color w:val="C00000"/>
          <w:sz w:val="24"/>
          <w:szCs w:val="24"/>
        </w:rPr>
      </w:pPr>
    </w:p>
    <w:p w14:paraId="71120D54" w14:textId="77777777" w:rsidR="009E089C" w:rsidRPr="00CE357F" w:rsidRDefault="009E089C" w:rsidP="007060E7">
      <w:pPr>
        <w:rPr>
          <w:rFonts w:ascii="Arial Narrow" w:hAnsi="Arial Narrow"/>
          <w:b/>
          <w:bCs/>
          <w:color w:val="C00000"/>
          <w:sz w:val="24"/>
          <w:szCs w:val="24"/>
        </w:rPr>
      </w:pPr>
    </w:p>
    <w:p w14:paraId="706A114C" w14:textId="4CCF1658" w:rsidR="007060E7" w:rsidRPr="00CE357F" w:rsidRDefault="002D58F4" w:rsidP="007060E7">
      <w:pPr>
        <w:pStyle w:val="Nadpis3"/>
        <w:ind w:left="709"/>
      </w:pPr>
      <w:bookmarkStart w:id="567" w:name="_Toc94215409"/>
      <w:bookmarkStart w:id="568" w:name="_Toc136876104"/>
      <w:r w:rsidRPr="00CE357F">
        <w:lastRenderedPageBreak/>
        <w:t xml:space="preserve">Počet </w:t>
      </w:r>
      <w:r w:rsidR="007060E7" w:rsidRPr="00CE357F">
        <w:t>osob s jinou než českou státní příslušností v ORP Blansko v letech 2006–202</w:t>
      </w:r>
      <w:bookmarkEnd w:id="567"/>
      <w:r w:rsidR="00774537">
        <w:t>3</w:t>
      </w:r>
      <w:bookmarkEnd w:id="568"/>
    </w:p>
    <w:p w14:paraId="30268B91" w14:textId="77777777" w:rsidR="007060E7" w:rsidRPr="00CE357F" w:rsidRDefault="007060E7" w:rsidP="007060E7">
      <w:pPr>
        <w:rPr>
          <w:rFonts w:ascii="Arial Narrow" w:hAnsi="Arial Narrow"/>
          <w:b/>
          <w:bCs/>
          <w:color w:val="C00000"/>
        </w:rPr>
      </w:pPr>
    </w:p>
    <w:p w14:paraId="4257DBAE" w14:textId="4BCAD1B8" w:rsidR="00E95550" w:rsidRPr="00CE357F" w:rsidRDefault="00774537" w:rsidP="00774537">
      <w:pPr>
        <w:spacing w:after="120" w:line="276" w:lineRule="auto"/>
        <w:jc w:val="both"/>
        <w:rPr>
          <w:rFonts w:ascii="Arial Narrow" w:hAnsi="Arial Narrow"/>
        </w:rPr>
      </w:pPr>
      <w:r w:rsidRPr="00774537">
        <w:rPr>
          <w:rFonts w:ascii="Arial Narrow" w:hAnsi="Arial Narrow"/>
        </w:rPr>
        <w:t>K 1.1 2023 žilo na území ORP Blansko celkem 3 186 osob s jinou než českou státní příslušností, což představuje zhruba 5,41 % všech obyvatel ORP Blansko. Jedná se o výrazný skokový nárůst počtu osob s jinou než českou státní příslušností.</w:t>
      </w:r>
      <w:r w:rsidR="009E089C">
        <w:rPr>
          <w:rFonts w:ascii="Arial Narrow" w:hAnsi="Arial Narrow"/>
        </w:rPr>
        <w:t xml:space="preserve"> </w:t>
      </w:r>
      <w:r w:rsidR="007060E7" w:rsidRPr="00CE357F">
        <w:rPr>
          <w:rFonts w:ascii="Arial Narrow" w:hAnsi="Arial Narrow"/>
        </w:rPr>
        <w:t>Vývoj podílu osob s jinou než českou státní příslušností na celkovém počtu obyvatel ORP Blansko</w:t>
      </w:r>
      <w:r w:rsidR="009E089C">
        <w:rPr>
          <w:rFonts w:ascii="Arial Narrow" w:hAnsi="Arial Narrow"/>
        </w:rPr>
        <w:t xml:space="preserve"> </w:t>
      </w:r>
      <w:r w:rsidR="007060E7" w:rsidRPr="00CE357F">
        <w:rPr>
          <w:rFonts w:ascii="Arial Narrow" w:hAnsi="Arial Narrow"/>
        </w:rPr>
        <w:t>v letech 2006</w:t>
      </w:r>
      <w:r w:rsidR="00BF2AB3" w:rsidRPr="00CE357F">
        <w:rPr>
          <w:rFonts w:ascii="Arial Narrow" w:hAnsi="Arial Narrow"/>
        </w:rPr>
        <w:t>–</w:t>
      </w:r>
      <w:r w:rsidR="007060E7" w:rsidRPr="00CE357F">
        <w:rPr>
          <w:rFonts w:ascii="Arial Narrow" w:hAnsi="Arial Narrow"/>
        </w:rPr>
        <w:t>202</w:t>
      </w:r>
      <w:r>
        <w:rPr>
          <w:rFonts w:ascii="Arial Narrow" w:hAnsi="Arial Narrow"/>
        </w:rPr>
        <w:t>3</w:t>
      </w:r>
      <w:r w:rsidR="007060E7" w:rsidRPr="00CE357F">
        <w:rPr>
          <w:rFonts w:ascii="Arial Narrow" w:hAnsi="Arial Narrow"/>
        </w:rPr>
        <w:t> podrobně dokumentuje graf</w:t>
      </w:r>
      <w:r w:rsidR="009E089C">
        <w:rPr>
          <w:rFonts w:ascii="Arial Narrow" w:hAnsi="Arial Narrow"/>
        </w:rPr>
        <w:t xml:space="preserve"> č. 94</w:t>
      </w:r>
      <w:r w:rsidR="007060E7" w:rsidRPr="00CE357F">
        <w:rPr>
          <w:rFonts w:ascii="Arial Narrow" w:hAnsi="Arial Narrow"/>
        </w:rPr>
        <w:t>.</w:t>
      </w:r>
    </w:p>
    <w:p w14:paraId="3A444C08" w14:textId="6AA91966" w:rsidR="007060E7" w:rsidRPr="00CE357F" w:rsidRDefault="007060E7" w:rsidP="007060E7">
      <w:pPr>
        <w:jc w:val="both"/>
        <w:rPr>
          <w:rFonts w:ascii="Arial Narrow" w:hAnsi="Arial Narrow"/>
          <w:b/>
          <w:sz w:val="20"/>
          <w:szCs w:val="20"/>
        </w:rPr>
      </w:pPr>
      <w:bookmarkStart w:id="569" w:name="_Toc94443791"/>
      <w:bookmarkStart w:id="570" w:name="_Toc136428938"/>
      <w:r w:rsidRPr="00CE357F">
        <w:rPr>
          <w:rFonts w:ascii="Arial Narrow" w:hAnsi="Arial Narrow"/>
          <w:b/>
          <w:sz w:val="20"/>
          <w:szCs w:val="20"/>
        </w:rPr>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94</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 ORP Blansko v letech 2006-202</w:t>
      </w:r>
      <w:bookmarkEnd w:id="569"/>
      <w:r w:rsidR="00774537">
        <w:rPr>
          <w:rFonts w:ascii="Arial Narrow" w:hAnsi="Arial Narrow"/>
          <w:b/>
          <w:bCs/>
          <w:sz w:val="20"/>
          <w:szCs w:val="20"/>
        </w:rPr>
        <w:t>3</w:t>
      </w:r>
      <w:bookmarkEnd w:id="570"/>
    </w:p>
    <w:p w14:paraId="69259C88" w14:textId="117D94ED" w:rsidR="007060E7" w:rsidRPr="00CE357F" w:rsidRDefault="00774537" w:rsidP="007060E7">
      <w:pPr>
        <w:spacing w:line="276" w:lineRule="auto"/>
        <w:rPr>
          <w:rFonts w:ascii="Arial Narrow" w:hAnsi="Arial Narrow"/>
        </w:rPr>
      </w:pPr>
      <w:r w:rsidRPr="00CE357F">
        <w:rPr>
          <w:rFonts w:ascii="Arial Narrow" w:hAnsi="Arial Narrow"/>
          <w:bCs/>
          <w:noProof/>
          <w:lang w:eastAsia="cs-CZ"/>
        </w:rPr>
        <w:drawing>
          <wp:inline distT="0" distB="0" distL="0" distR="0" wp14:anchorId="19C715BA" wp14:editId="568DD22E">
            <wp:extent cx="5740400" cy="3806456"/>
            <wp:effectExtent l="0" t="0" r="0" b="381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2F2EE23" w14:textId="77777777" w:rsidR="007060E7" w:rsidRPr="00CE357F" w:rsidRDefault="007060E7" w:rsidP="007060E7">
      <w:pPr>
        <w:spacing w:line="276" w:lineRule="auto"/>
        <w:rPr>
          <w:rFonts w:ascii="Arial Narrow" w:hAnsi="Arial Narrow"/>
          <w:sz w:val="20"/>
          <w:szCs w:val="20"/>
        </w:rPr>
      </w:pPr>
      <w:r w:rsidRPr="00CE357F">
        <w:rPr>
          <w:rFonts w:ascii="Arial Narrow" w:hAnsi="Arial Narrow"/>
          <w:sz w:val="20"/>
          <w:szCs w:val="20"/>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1CA6A1AA" w14:textId="77777777" w:rsidR="007060E7" w:rsidRPr="00CE357F" w:rsidRDefault="007060E7" w:rsidP="007060E7">
      <w:pPr>
        <w:spacing w:line="276" w:lineRule="auto"/>
        <w:jc w:val="both"/>
        <w:rPr>
          <w:rFonts w:ascii="Arial Narrow" w:hAnsi="Arial Narrow"/>
        </w:rPr>
      </w:pPr>
    </w:p>
    <w:p w14:paraId="5DA8334A" w14:textId="3787F843" w:rsidR="00774537" w:rsidRDefault="00774537" w:rsidP="00E1651D">
      <w:pPr>
        <w:spacing w:after="120" w:line="276" w:lineRule="auto"/>
        <w:jc w:val="both"/>
        <w:rPr>
          <w:rFonts w:ascii="Arial Narrow" w:hAnsi="Arial Narrow"/>
        </w:rPr>
      </w:pPr>
      <w:bookmarkStart w:id="571" w:name="_Toc94443792"/>
      <w:bookmarkStart w:id="572" w:name="_Hlk94277437"/>
      <w:r w:rsidRPr="00CE357F">
        <w:rPr>
          <w:rFonts w:ascii="Arial Narrow" w:hAnsi="Arial Narrow"/>
        </w:rPr>
        <w:t xml:space="preserve">V populaci osob s jinou než českou státní příslušností v ORP Blansko dlouhodobě </w:t>
      </w:r>
      <w:r>
        <w:rPr>
          <w:rFonts w:ascii="Arial Narrow" w:hAnsi="Arial Narrow"/>
        </w:rPr>
        <w:t>převažoval</w:t>
      </w:r>
      <w:r w:rsidRPr="00CE357F">
        <w:rPr>
          <w:rFonts w:ascii="Arial Narrow" w:hAnsi="Arial Narrow"/>
        </w:rPr>
        <w:t xml:space="preserve"> počet mužů nad </w:t>
      </w:r>
      <w:r w:rsidRPr="00774537">
        <w:rPr>
          <w:rFonts w:ascii="Arial Narrow" w:hAnsi="Arial Narrow"/>
        </w:rPr>
        <w:t xml:space="preserve">počtem žen. Výjimkou byl pouze rok 2019, kdy byl podíl žen mírně vyšší než podíl mužů (50,2 % žen a 49,8 % mužů). Za rok 2022 došlo k posunu oproti předchozím rokům a k 1. 1. 2023 </w:t>
      </w:r>
      <w:r w:rsidR="00450C7D">
        <w:rPr>
          <w:rFonts w:ascii="Arial Narrow" w:hAnsi="Arial Narrow"/>
        </w:rPr>
        <w:t>byl</w:t>
      </w:r>
      <w:r w:rsidRPr="00774537">
        <w:rPr>
          <w:rFonts w:ascii="Arial Narrow" w:hAnsi="Arial Narrow"/>
        </w:rPr>
        <w:t xml:space="preserve"> v ORP Blansko podíl žen 5</w:t>
      </w:r>
      <w:r w:rsidR="00EB29DA">
        <w:rPr>
          <w:rFonts w:ascii="Arial Narrow" w:hAnsi="Arial Narrow"/>
        </w:rPr>
        <w:t>1,0</w:t>
      </w:r>
      <w:r w:rsidRPr="00774537">
        <w:rPr>
          <w:rFonts w:ascii="Arial Narrow" w:hAnsi="Arial Narrow"/>
        </w:rPr>
        <w:t xml:space="preserve"> %.</w:t>
      </w:r>
      <w:r w:rsidR="009E089C">
        <w:rPr>
          <w:rFonts w:ascii="Arial Narrow" w:hAnsi="Arial Narrow"/>
        </w:rPr>
        <w:t xml:space="preserve"> </w:t>
      </w:r>
      <w:r w:rsidRPr="00774537">
        <w:rPr>
          <w:rFonts w:ascii="Arial Narrow" w:hAnsi="Arial Narrow"/>
        </w:rPr>
        <w:t>Vývoj podílu mužů</w:t>
      </w:r>
      <w:r w:rsidRPr="00CE357F">
        <w:rPr>
          <w:rFonts w:ascii="Arial Narrow" w:hAnsi="Arial Narrow"/>
        </w:rPr>
        <w:t xml:space="preserve"> a žen na celkovém počtu osob s jinou než českou státní příslušností v ORP Blansko podrobně znázorňuje graf</w:t>
      </w:r>
      <w:r w:rsidR="009E089C">
        <w:rPr>
          <w:rFonts w:ascii="Arial Narrow" w:hAnsi="Arial Narrow"/>
        </w:rPr>
        <w:t xml:space="preserve"> č. 95</w:t>
      </w:r>
      <w:r w:rsidRPr="00CE357F">
        <w:rPr>
          <w:rFonts w:ascii="Arial Narrow" w:hAnsi="Arial Narrow"/>
        </w:rPr>
        <w:t>.</w:t>
      </w:r>
    </w:p>
    <w:p w14:paraId="5BF6A3CE" w14:textId="77777777" w:rsidR="009E089C" w:rsidRDefault="009E089C" w:rsidP="00E1651D">
      <w:pPr>
        <w:spacing w:after="120" w:line="276" w:lineRule="auto"/>
        <w:jc w:val="both"/>
        <w:rPr>
          <w:rFonts w:ascii="Arial Narrow" w:hAnsi="Arial Narrow"/>
        </w:rPr>
      </w:pPr>
    </w:p>
    <w:p w14:paraId="2B11A3D3" w14:textId="77777777" w:rsidR="009E089C" w:rsidRDefault="009E089C" w:rsidP="00E1651D">
      <w:pPr>
        <w:spacing w:after="120" w:line="276" w:lineRule="auto"/>
        <w:jc w:val="both"/>
        <w:rPr>
          <w:rFonts w:ascii="Arial Narrow" w:hAnsi="Arial Narrow"/>
        </w:rPr>
      </w:pPr>
    </w:p>
    <w:p w14:paraId="060BAAD6" w14:textId="77777777" w:rsidR="009E089C" w:rsidRDefault="009E089C" w:rsidP="00E1651D">
      <w:pPr>
        <w:spacing w:after="120" w:line="276" w:lineRule="auto"/>
        <w:jc w:val="both"/>
        <w:rPr>
          <w:rFonts w:ascii="Arial Narrow" w:hAnsi="Arial Narrow"/>
        </w:rPr>
      </w:pPr>
    </w:p>
    <w:p w14:paraId="036E7247" w14:textId="77777777" w:rsidR="009E089C" w:rsidRDefault="009E089C" w:rsidP="00E1651D">
      <w:pPr>
        <w:spacing w:after="120" w:line="276" w:lineRule="auto"/>
        <w:jc w:val="both"/>
        <w:rPr>
          <w:rFonts w:ascii="Arial Narrow" w:hAnsi="Arial Narrow"/>
        </w:rPr>
      </w:pPr>
    </w:p>
    <w:p w14:paraId="0A873E3A" w14:textId="77777777" w:rsidR="009E089C" w:rsidRDefault="009E089C" w:rsidP="00E1651D">
      <w:pPr>
        <w:spacing w:after="120" w:line="276" w:lineRule="auto"/>
        <w:jc w:val="both"/>
        <w:rPr>
          <w:rFonts w:ascii="Arial Narrow" w:hAnsi="Arial Narrow"/>
        </w:rPr>
      </w:pPr>
    </w:p>
    <w:p w14:paraId="430DEAE0" w14:textId="77777777" w:rsidR="009E089C" w:rsidRDefault="009E089C" w:rsidP="00E1651D">
      <w:pPr>
        <w:spacing w:after="120" w:line="276" w:lineRule="auto"/>
        <w:jc w:val="both"/>
        <w:rPr>
          <w:rFonts w:ascii="Arial Narrow" w:hAnsi="Arial Narrow"/>
        </w:rPr>
      </w:pPr>
    </w:p>
    <w:p w14:paraId="58E63B21" w14:textId="1BCFD064" w:rsidR="00774537" w:rsidRPr="00774537" w:rsidRDefault="007060E7" w:rsidP="007060E7">
      <w:pPr>
        <w:spacing w:before="240" w:line="276" w:lineRule="auto"/>
        <w:jc w:val="both"/>
        <w:rPr>
          <w:rFonts w:ascii="Arial Narrow" w:hAnsi="Arial Narrow"/>
          <w:b/>
          <w:bCs/>
          <w:sz w:val="20"/>
          <w:szCs w:val="20"/>
        </w:rPr>
      </w:pPr>
      <w:bookmarkStart w:id="573" w:name="_Toc136428939"/>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95</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Osoby s jinou než českou státní příslušností v ORP Blansko podle pohlaví</w:t>
      </w:r>
      <w:bookmarkEnd w:id="571"/>
      <w:r w:rsidR="00493A7B">
        <w:rPr>
          <w:rFonts w:ascii="Arial Narrow" w:hAnsi="Arial Narrow"/>
          <w:b/>
          <w:bCs/>
          <w:sz w:val="20"/>
          <w:szCs w:val="20"/>
        </w:rPr>
        <w:t xml:space="preserve"> (k 1. 1. daného roku)</w:t>
      </w:r>
      <w:bookmarkEnd w:id="573"/>
    </w:p>
    <w:bookmarkEnd w:id="572"/>
    <w:p w14:paraId="0AA059BA" w14:textId="3736169C" w:rsidR="007060E7" w:rsidRPr="00CE357F" w:rsidRDefault="00774537" w:rsidP="007060E7">
      <w:pPr>
        <w:spacing w:line="276" w:lineRule="auto"/>
        <w:jc w:val="both"/>
        <w:rPr>
          <w:rFonts w:ascii="Arial Narrow" w:hAnsi="Arial Narrow"/>
        </w:rPr>
      </w:pPr>
      <w:r w:rsidRPr="00CE357F">
        <w:rPr>
          <w:rFonts w:ascii="Arial Narrow" w:hAnsi="Arial Narrow"/>
          <w:bCs/>
          <w:noProof/>
          <w:lang w:eastAsia="cs-CZ"/>
        </w:rPr>
        <w:drawing>
          <wp:inline distT="0" distB="0" distL="0" distR="0" wp14:anchorId="310E2B2D" wp14:editId="2A87BDE5">
            <wp:extent cx="5757333" cy="3412067"/>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449EDB9C" w14:textId="77777777" w:rsidR="007060E7" w:rsidRPr="00CE357F" w:rsidRDefault="007060E7" w:rsidP="007060E7">
      <w:pPr>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7C2774BA" w14:textId="77777777" w:rsidR="00774537" w:rsidRDefault="00774537" w:rsidP="00BF2AB3">
      <w:pPr>
        <w:spacing w:after="120" w:line="276" w:lineRule="auto"/>
        <w:jc w:val="both"/>
        <w:rPr>
          <w:rFonts w:ascii="Arial Narrow" w:hAnsi="Arial Narrow"/>
        </w:rPr>
      </w:pPr>
    </w:p>
    <w:p w14:paraId="1BBE273B" w14:textId="3B53AE1D" w:rsidR="00774537" w:rsidRPr="00CE357F" w:rsidRDefault="00774537" w:rsidP="00774537">
      <w:pPr>
        <w:spacing w:after="120" w:line="276" w:lineRule="auto"/>
        <w:jc w:val="both"/>
        <w:rPr>
          <w:rFonts w:ascii="Arial Narrow" w:hAnsi="Arial Narrow"/>
        </w:rPr>
      </w:pPr>
      <w:bookmarkStart w:id="574" w:name="_Hlk94277531"/>
      <w:r w:rsidRPr="7CC7BF57">
        <w:rPr>
          <w:rFonts w:ascii="Arial Narrow" w:hAnsi="Arial Narrow"/>
        </w:rPr>
        <w:t xml:space="preserve">V minulosti se celkový počet dětí do věku 15 let s jinou než českou státní příslušností v ORP Blansko meziročně zvyšoval do roku 2014. V roce 2008 byl </w:t>
      </w:r>
      <w:r w:rsidRPr="7CC7BF57">
        <w:rPr>
          <w:rFonts w:ascii="Arial Narrow" w:eastAsia="Times New Roman" w:hAnsi="Arial Narrow" w:cs="Arial"/>
          <w:lang w:eastAsia="cs-CZ"/>
        </w:rPr>
        <w:t>dětí ve věku do 15 let na celkovém počtu osob s jinou než českou státní příslušností</w:t>
      </w:r>
      <w:r w:rsidRPr="7CC7BF57">
        <w:rPr>
          <w:rFonts w:ascii="Arial Narrow" w:hAnsi="Arial Narrow"/>
          <w:sz w:val="24"/>
          <w:szCs w:val="24"/>
        </w:rPr>
        <w:t xml:space="preserve"> </w:t>
      </w:r>
      <w:r w:rsidRPr="7CC7BF57">
        <w:rPr>
          <w:rFonts w:ascii="Arial Narrow" w:hAnsi="Arial Narrow"/>
        </w:rPr>
        <w:t>celkem 7,7 %, k 31. 12. 2014 to bylo již 17,2 %. Od té doby se držel stabilně v této rovině (+/- 1 %). Skoková změna nastala v roce 2022 kdy podíl osob do 15 let věku dosáhl historického maxima a k 1. 1 2023 dosáhl 1/5 (20,2 %) všech osob s jinou než českou státní příslušností v ORP Blansko. Změna se dá vysvětlit rozdílnou strukturou příchozích osob do ORP Blansko v důsledku konfliktu na Ukrajině.</w:t>
      </w:r>
      <w:r w:rsidR="00250FAB" w:rsidRPr="00250FAB">
        <w:t xml:space="preserve"> </w:t>
      </w:r>
      <w:r w:rsidR="00250FAB" w:rsidRPr="007B59C4">
        <w:rPr>
          <w:rFonts w:ascii="Arial Narrow" w:hAnsi="Arial Narrow"/>
        </w:rPr>
        <w:t xml:space="preserve">Celkový počet chlapců do 15 let se meziročně zvýšil o 205 osob (ze 120 osob na 325 osob). U dívek do 15 let došlo k obdobnému zvýšení, kdy k 1. 1. 2023 je evidován nárůst o 196 dívek (ze 125 osob na 321 osob). </w:t>
      </w:r>
      <w:r w:rsidR="00250FAB" w:rsidRPr="007B59C4">
        <w:rPr>
          <w:rFonts w:ascii="Arial Narrow" w:hAnsi="Arial Narrow"/>
          <w:b/>
          <w:bCs/>
        </w:rPr>
        <w:t>V průměru tedy evidujeme více než dvou a půl násobný nárůst počtu dětí oproti předchozím rokům.</w:t>
      </w:r>
      <w:r w:rsidR="00250FAB" w:rsidRPr="007B59C4">
        <w:rPr>
          <w:rFonts w:ascii="Arial Narrow" w:hAnsi="Arial Narrow"/>
        </w:rPr>
        <w:t xml:space="preserve">  </w:t>
      </w:r>
      <w:r w:rsidRPr="007B59C4">
        <w:rPr>
          <w:rFonts w:ascii="Arial Narrow" w:hAnsi="Arial Narrow"/>
        </w:rPr>
        <w:t>Vývoj počtu dětí dle pohlaví a jejich podílu</w:t>
      </w:r>
      <w:r w:rsidRPr="00774537">
        <w:rPr>
          <w:rFonts w:ascii="Arial Narrow" w:hAnsi="Arial Narrow"/>
        </w:rPr>
        <w:t xml:space="preserve"> na celkovém počtu těchto osob v ORP Blansko podrobně znázorňuje tabulka</w:t>
      </w:r>
      <w:r w:rsidR="009E089C">
        <w:rPr>
          <w:rFonts w:ascii="Arial Narrow" w:hAnsi="Arial Narrow"/>
        </w:rPr>
        <w:t xml:space="preserve"> č. 25</w:t>
      </w:r>
      <w:r w:rsidRPr="00774537">
        <w:rPr>
          <w:rFonts w:ascii="Arial Narrow" w:hAnsi="Arial Narrow"/>
        </w:rPr>
        <w:t>.</w:t>
      </w:r>
    </w:p>
    <w:p w14:paraId="00F9222E" w14:textId="7B03602F" w:rsidR="007060E7" w:rsidRPr="00CE357F" w:rsidRDefault="007060E7" w:rsidP="007060E7">
      <w:pPr>
        <w:jc w:val="both"/>
        <w:rPr>
          <w:rFonts w:ascii="Arial Narrow" w:hAnsi="Arial Narrow"/>
          <w:b/>
          <w:sz w:val="24"/>
          <w:szCs w:val="24"/>
        </w:rPr>
      </w:pPr>
      <w:bookmarkStart w:id="575" w:name="_Toc136429236"/>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25</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dětí ve věku do 15 let na celkovém počtu osob s jinou než českou státní příslušností v ORP Blansko v letech 2006-202</w:t>
      </w:r>
      <w:r w:rsidR="00774537">
        <w:rPr>
          <w:rFonts w:ascii="Arial Narrow" w:eastAsia="Times New Roman" w:hAnsi="Arial Narrow" w:cs="Arial"/>
          <w:b/>
          <w:bCs/>
          <w:sz w:val="20"/>
          <w:szCs w:val="20"/>
          <w:lang w:eastAsia="cs-CZ"/>
        </w:rPr>
        <w:t>3</w:t>
      </w:r>
      <w:bookmarkEnd w:id="575"/>
    </w:p>
    <w:tbl>
      <w:tblPr>
        <w:tblpPr w:leftFromText="141" w:rightFromText="141" w:vertAnchor="text" w:tblpX="98" w:tblpY="1"/>
        <w:tblW w:w="4866"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041"/>
        <w:gridCol w:w="1731"/>
        <w:gridCol w:w="708"/>
        <w:gridCol w:w="679"/>
        <w:gridCol w:w="717"/>
        <w:gridCol w:w="729"/>
        <w:gridCol w:w="568"/>
        <w:gridCol w:w="732"/>
        <w:gridCol w:w="1914"/>
      </w:tblGrid>
      <w:tr w:rsidR="007060E7" w:rsidRPr="00CE357F" w14:paraId="44A9B390" w14:textId="77777777" w:rsidTr="00774537">
        <w:trPr>
          <w:trHeight w:val="340"/>
        </w:trPr>
        <w:tc>
          <w:tcPr>
            <w:tcW w:w="1063" w:type="dxa"/>
            <w:vMerge w:val="restart"/>
            <w:shd w:val="clear" w:color="auto" w:fill="D9E2F3" w:themeFill="accent1" w:themeFillTint="33"/>
            <w:vAlign w:val="center"/>
            <w:hideMark/>
          </w:tcPr>
          <w:bookmarkEnd w:id="574"/>
          <w:p w14:paraId="70A0ED3D" w14:textId="77777777" w:rsidR="007060E7" w:rsidRPr="00CE357F" w:rsidRDefault="007060E7" w:rsidP="007060E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Rok</w:t>
            </w:r>
          </w:p>
          <w:p w14:paraId="68BA35A5" w14:textId="0C9EF724" w:rsidR="007060E7" w:rsidRPr="00CE357F" w:rsidRDefault="007060E7" w:rsidP="007060E7">
            <w:pPr>
              <w:jc w:val="center"/>
              <w:rPr>
                <w:rFonts w:ascii="Arial Narrow" w:hAnsi="Arial Narrow" w:cstheme="minorBidi"/>
                <w:sz w:val="18"/>
                <w:szCs w:val="18"/>
              </w:rPr>
            </w:pPr>
            <w:r w:rsidRPr="00CE357F">
              <w:rPr>
                <w:rFonts w:ascii="Arial Narrow" w:eastAsia="Times New Roman" w:hAnsi="Arial Narrow" w:cs="Arial"/>
                <w:sz w:val="18"/>
                <w:szCs w:val="18"/>
                <w:lang w:eastAsia="cs-CZ"/>
              </w:rPr>
              <w:t>(vždy k </w:t>
            </w:r>
            <w:r w:rsidR="00493A7B">
              <w:rPr>
                <w:rFonts w:ascii="Arial Narrow" w:eastAsia="Times New Roman" w:hAnsi="Arial Narrow" w:cs="Arial"/>
                <w:sz w:val="18"/>
                <w:szCs w:val="18"/>
                <w:lang w:eastAsia="cs-CZ"/>
              </w:rPr>
              <w:br/>
            </w:r>
            <w:r w:rsidRPr="00CE357F">
              <w:rPr>
                <w:rFonts w:ascii="Arial Narrow" w:eastAsia="Times New Roman" w:hAnsi="Arial Narrow" w:cs="Arial"/>
                <w:sz w:val="18"/>
                <w:szCs w:val="18"/>
                <w:lang w:eastAsia="cs-CZ"/>
              </w:rPr>
              <w:t>1. 1.)</w:t>
            </w:r>
          </w:p>
        </w:tc>
        <w:tc>
          <w:tcPr>
            <w:tcW w:w="1767" w:type="dxa"/>
            <w:vMerge w:val="restart"/>
            <w:shd w:val="clear" w:color="auto" w:fill="D9E2F3" w:themeFill="accent1" w:themeFillTint="33"/>
            <w:vAlign w:val="center"/>
            <w:hideMark/>
          </w:tcPr>
          <w:p w14:paraId="4AA8E351"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Osoby s jinou než českou státní příslušností – celkem</w:t>
            </w:r>
          </w:p>
        </w:tc>
        <w:tc>
          <w:tcPr>
            <w:tcW w:w="1985" w:type="dxa"/>
            <w:gridSpan w:val="3"/>
            <w:shd w:val="clear" w:color="auto" w:fill="D9E2F3" w:themeFill="accent1" w:themeFillTint="33"/>
            <w:vAlign w:val="center"/>
            <w:hideMark/>
          </w:tcPr>
          <w:p w14:paraId="4C25753D" w14:textId="77777777" w:rsidR="007060E7" w:rsidRPr="00CE357F" w:rsidRDefault="007060E7" w:rsidP="007060E7">
            <w:pPr>
              <w:jc w:val="center"/>
              <w:rPr>
                <w:rFonts w:ascii="Arial Narrow" w:hAnsi="Arial Narrow"/>
                <w:b/>
                <w:bCs/>
                <w:sz w:val="18"/>
                <w:szCs w:val="18"/>
              </w:rPr>
            </w:pPr>
            <w:r w:rsidRPr="00CE357F">
              <w:rPr>
                <w:rFonts w:ascii="Arial Narrow" w:eastAsia="Times New Roman" w:hAnsi="Arial Narrow" w:cs="Arial"/>
                <w:b/>
                <w:bCs/>
                <w:sz w:val="18"/>
                <w:szCs w:val="18"/>
                <w:lang w:eastAsia="cs-CZ"/>
              </w:rPr>
              <w:t>Muži</w:t>
            </w:r>
          </w:p>
        </w:tc>
        <w:tc>
          <w:tcPr>
            <w:tcW w:w="2046" w:type="dxa"/>
            <w:gridSpan w:val="3"/>
            <w:shd w:val="clear" w:color="auto" w:fill="D9E2F3" w:themeFill="accent1" w:themeFillTint="33"/>
            <w:vAlign w:val="center"/>
            <w:hideMark/>
          </w:tcPr>
          <w:p w14:paraId="540F84B1" w14:textId="77777777" w:rsidR="007060E7" w:rsidRPr="00CE357F" w:rsidRDefault="007060E7" w:rsidP="007060E7">
            <w:pPr>
              <w:jc w:val="center"/>
              <w:rPr>
                <w:rFonts w:ascii="Arial Narrow" w:hAnsi="Arial Narrow"/>
                <w:b/>
                <w:bCs/>
                <w:sz w:val="18"/>
                <w:szCs w:val="18"/>
              </w:rPr>
            </w:pPr>
            <w:r w:rsidRPr="00CE357F">
              <w:rPr>
                <w:rFonts w:ascii="Arial Narrow" w:eastAsia="Times New Roman" w:hAnsi="Arial Narrow" w:cs="Arial"/>
                <w:b/>
                <w:bCs/>
                <w:sz w:val="18"/>
                <w:szCs w:val="18"/>
                <w:lang w:eastAsia="cs-CZ"/>
              </w:rPr>
              <w:t>Ženy</w:t>
            </w:r>
          </w:p>
        </w:tc>
        <w:tc>
          <w:tcPr>
            <w:tcW w:w="1958" w:type="dxa"/>
            <w:vMerge w:val="restart"/>
            <w:shd w:val="clear" w:color="auto" w:fill="D9E2F3" w:themeFill="accent1" w:themeFillTint="33"/>
            <w:vAlign w:val="center"/>
          </w:tcPr>
          <w:p w14:paraId="72626AD7" w14:textId="77777777" w:rsidR="007060E7" w:rsidRPr="00CE357F" w:rsidRDefault="007060E7" w:rsidP="007060E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dětí ve věku do 15 let na celkovém počtu osob s jinou než českou státní příslušností</w:t>
            </w:r>
          </w:p>
        </w:tc>
      </w:tr>
      <w:tr w:rsidR="007060E7" w:rsidRPr="00CE357F" w14:paraId="0E6C2330" w14:textId="77777777" w:rsidTr="00774537">
        <w:trPr>
          <w:trHeight w:val="204"/>
        </w:trPr>
        <w:tc>
          <w:tcPr>
            <w:tcW w:w="1063" w:type="dxa"/>
            <w:vMerge/>
            <w:shd w:val="clear" w:color="auto" w:fill="D9E2F3" w:themeFill="accent1" w:themeFillTint="33"/>
            <w:vAlign w:val="center"/>
            <w:hideMark/>
          </w:tcPr>
          <w:p w14:paraId="3D5A8616" w14:textId="77777777" w:rsidR="007060E7" w:rsidRPr="00CE357F" w:rsidRDefault="007060E7" w:rsidP="007060E7">
            <w:pPr>
              <w:jc w:val="center"/>
              <w:rPr>
                <w:rFonts w:ascii="Arial Narrow" w:hAnsi="Arial Narrow"/>
                <w:sz w:val="18"/>
                <w:szCs w:val="18"/>
              </w:rPr>
            </w:pPr>
          </w:p>
        </w:tc>
        <w:tc>
          <w:tcPr>
            <w:tcW w:w="1767" w:type="dxa"/>
            <w:vMerge/>
            <w:shd w:val="clear" w:color="auto" w:fill="D9E2F3" w:themeFill="accent1" w:themeFillTint="33"/>
            <w:vAlign w:val="center"/>
            <w:hideMark/>
          </w:tcPr>
          <w:p w14:paraId="54D6CD9C" w14:textId="77777777" w:rsidR="007060E7" w:rsidRPr="00CE357F" w:rsidRDefault="007060E7" w:rsidP="007060E7">
            <w:pPr>
              <w:jc w:val="center"/>
              <w:rPr>
                <w:rFonts w:ascii="Arial Narrow" w:hAnsi="Arial Narrow"/>
                <w:sz w:val="18"/>
                <w:szCs w:val="18"/>
              </w:rPr>
            </w:pPr>
          </w:p>
        </w:tc>
        <w:tc>
          <w:tcPr>
            <w:tcW w:w="718" w:type="dxa"/>
            <w:shd w:val="clear" w:color="auto" w:fill="D9E2F3" w:themeFill="accent1" w:themeFillTint="33"/>
            <w:vAlign w:val="center"/>
            <w:hideMark/>
          </w:tcPr>
          <w:p w14:paraId="4F9ACEC9"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689" w:type="dxa"/>
            <w:shd w:val="clear" w:color="auto" w:fill="D9E2F3" w:themeFill="accent1" w:themeFillTint="33"/>
            <w:vAlign w:val="center"/>
            <w:hideMark/>
          </w:tcPr>
          <w:p w14:paraId="00FBCB31"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578" w:type="dxa"/>
            <w:shd w:val="clear" w:color="auto" w:fill="D9E2F3" w:themeFill="accent1" w:themeFillTint="33"/>
            <w:vAlign w:val="center"/>
            <w:hideMark/>
          </w:tcPr>
          <w:p w14:paraId="56AEC5EE"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740" w:type="dxa"/>
            <w:shd w:val="clear" w:color="auto" w:fill="D9E2F3" w:themeFill="accent1" w:themeFillTint="33"/>
            <w:vAlign w:val="center"/>
            <w:hideMark/>
          </w:tcPr>
          <w:p w14:paraId="09EC1EF8"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73" w:type="dxa"/>
            <w:shd w:val="clear" w:color="auto" w:fill="D9E2F3" w:themeFill="accent1" w:themeFillTint="33"/>
            <w:vAlign w:val="center"/>
            <w:hideMark/>
          </w:tcPr>
          <w:p w14:paraId="426CD76D"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33" w:type="dxa"/>
            <w:shd w:val="clear" w:color="auto" w:fill="D9E2F3" w:themeFill="accent1" w:themeFillTint="33"/>
            <w:vAlign w:val="center"/>
            <w:hideMark/>
          </w:tcPr>
          <w:p w14:paraId="64914770"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1958" w:type="dxa"/>
            <w:vMerge/>
            <w:shd w:val="clear" w:color="auto" w:fill="D9E2F3" w:themeFill="accent1" w:themeFillTint="33"/>
            <w:vAlign w:val="center"/>
          </w:tcPr>
          <w:p w14:paraId="346E8189" w14:textId="77777777" w:rsidR="007060E7" w:rsidRPr="00CE357F" w:rsidRDefault="007060E7" w:rsidP="007060E7">
            <w:pPr>
              <w:jc w:val="center"/>
              <w:rPr>
                <w:rFonts w:ascii="Arial Narrow" w:eastAsia="Times New Roman" w:hAnsi="Arial Narrow" w:cs="Arial"/>
                <w:sz w:val="18"/>
                <w:szCs w:val="18"/>
                <w:lang w:eastAsia="cs-CZ"/>
              </w:rPr>
            </w:pPr>
          </w:p>
        </w:tc>
      </w:tr>
      <w:tr w:rsidR="00774537" w:rsidRPr="00CE357F" w14:paraId="4891EE95" w14:textId="77777777" w:rsidTr="00774537">
        <w:trPr>
          <w:trHeight w:val="227"/>
        </w:trPr>
        <w:tc>
          <w:tcPr>
            <w:tcW w:w="1063" w:type="dxa"/>
            <w:shd w:val="clear" w:color="auto" w:fill="D9E2F3" w:themeFill="accent1" w:themeFillTint="33"/>
            <w:vAlign w:val="center"/>
          </w:tcPr>
          <w:p w14:paraId="7F850F0E" w14:textId="0538972B" w:rsidR="00774537" w:rsidRPr="00CE357F" w:rsidRDefault="00774537" w:rsidP="00774537">
            <w:pPr>
              <w:jc w:val="center"/>
              <w:rPr>
                <w:rFonts w:ascii="Arial Narrow" w:hAnsi="Arial Narrow"/>
                <w:sz w:val="18"/>
                <w:szCs w:val="18"/>
              </w:rPr>
            </w:pPr>
            <w:r>
              <w:rPr>
                <w:rFonts w:ascii="Arial Narrow" w:hAnsi="Arial Narrow"/>
                <w:sz w:val="18"/>
                <w:szCs w:val="18"/>
              </w:rPr>
              <w:t>2023</w:t>
            </w:r>
          </w:p>
        </w:tc>
        <w:tc>
          <w:tcPr>
            <w:tcW w:w="1767" w:type="dxa"/>
            <w:vAlign w:val="center"/>
          </w:tcPr>
          <w:p w14:paraId="2E9F9774" w14:textId="4F414E77" w:rsidR="00774537" w:rsidRPr="00CE357F" w:rsidRDefault="00774537" w:rsidP="00774537">
            <w:pPr>
              <w:jc w:val="center"/>
              <w:rPr>
                <w:rFonts w:ascii="Arial Narrow" w:hAnsi="Arial Narrow" w:cs="Times New Roman"/>
                <w:sz w:val="18"/>
                <w:szCs w:val="18"/>
              </w:rPr>
            </w:pPr>
            <w:r w:rsidRPr="00A646FC">
              <w:rPr>
                <w:rFonts w:ascii="Arial Narrow" w:hAnsi="Arial Narrow"/>
                <w:sz w:val="18"/>
                <w:szCs w:val="18"/>
              </w:rPr>
              <w:t>3</w:t>
            </w:r>
            <w:r>
              <w:rPr>
                <w:rFonts w:ascii="Arial Narrow" w:hAnsi="Arial Narrow"/>
                <w:sz w:val="18"/>
                <w:szCs w:val="18"/>
              </w:rPr>
              <w:t xml:space="preserve"> </w:t>
            </w:r>
            <w:r w:rsidRPr="00A646FC">
              <w:rPr>
                <w:rFonts w:ascii="Arial Narrow" w:hAnsi="Arial Narrow"/>
                <w:sz w:val="18"/>
                <w:szCs w:val="18"/>
              </w:rPr>
              <w:t>186</w:t>
            </w:r>
          </w:p>
        </w:tc>
        <w:tc>
          <w:tcPr>
            <w:tcW w:w="718" w:type="dxa"/>
            <w:vAlign w:val="center"/>
          </w:tcPr>
          <w:p w14:paraId="3B821149" w14:textId="549FF768" w:rsidR="00774537" w:rsidRPr="00CE357F" w:rsidRDefault="00774537" w:rsidP="00774537">
            <w:pPr>
              <w:spacing w:after="46"/>
              <w:jc w:val="center"/>
              <w:rPr>
                <w:rFonts w:ascii="Arial Narrow" w:hAnsi="Arial Narrow" w:cs="Times New Roman"/>
                <w:sz w:val="18"/>
                <w:szCs w:val="18"/>
              </w:rPr>
            </w:pPr>
            <w:r w:rsidRPr="00A646FC">
              <w:rPr>
                <w:rFonts w:ascii="Arial Narrow" w:hAnsi="Arial Narrow"/>
                <w:sz w:val="18"/>
                <w:szCs w:val="18"/>
              </w:rPr>
              <w:t>1</w:t>
            </w:r>
            <w:r>
              <w:rPr>
                <w:rFonts w:ascii="Arial Narrow" w:hAnsi="Arial Narrow"/>
                <w:sz w:val="18"/>
                <w:szCs w:val="18"/>
              </w:rPr>
              <w:t xml:space="preserve"> </w:t>
            </w:r>
            <w:r w:rsidRPr="00A646FC">
              <w:rPr>
                <w:rFonts w:ascii="Arial Narrow" w:hAnsi="Arial Narrow"/>
                <w:sz w:val="18"/>
                <w:szCs w:val="18"/>
              </w:rPr>
              <w:t>143</w:t>
            </w:r>
          </w:p>
        </w:tc>
        <w:tc>
          <w:tcPr>
            <w:tcW w:w="689" w:type="dxa"/>
            <w:vAlign w:val="center"/>
          </w:tcPr>
          <w:p w14:paraId="07DDF6B0" w14:textId="17E32813" w:rsidR="00774537" w:rsidRPr="00CE357F" w:rsidRDefault="00774537" w:rsidP="00774537">
            <w:pPr>
              <w:spacing w:after="46"/>
              <w:jc w:val="center"/>
              <w:rPr>
                <w:rFonts w:ascii="Arial Narrow" w:hAnsi="Arial Narrow" w:cs="Times New Roman"/>
                <w:sz w:val="18"/>
                <w:szCs w:val="18"/>
              </w:rPr>
            </w:pPr>
            <w:r w:rsidRPr="00A646FC">
              <w:rPr>
                <w:rFonts w:ascii="Arial Narrow" w:hAnsi="Arial Narrow"/>
                <w:sz w:val="18"/>
                <w:szCs w:val="18"/>
              </w:rPr>
              <w:t>325</w:t>
            </w:r>
          </w:p>
        </w:tc>
        <w:tc>
          <w:tcPr>
            <w:tcW w:w="578" w:type="dxa"/>
            <w:vAlign w:val="center"/>
          </w:tcPr>
          <w:p w14:paraId="694D7741" w14:textId="00852BD6" w:rsidR="00774537" w:rsidRPr="00CE357F" w:rsidRDefault="00774537" w:rsidP="00774537">
            <w:pPr>
              <w:spacing w:after="46"/>
              <w:jc w:val="center"/>
              <w:rPr>
                <w:rFonts w:ascii="Arial Narrow" w:hAnsi="Arial Narrow" w:cs="Times New Roman"/>
                <w:sz w:val="18"/>
                <w:szCs w:val="18"/>
              </w:rPr>
            </w:pPr>
            <w:r w:rsidRPr="00A646FC">
              <w:rPr>
                <w:rFonts w:ascii="Arial Narrow" w:hAnsi="Arial Narrow"/>
                <w:sz w:val="18"/>
                <w:szCs w:val="18"/>
              </w:rPr>
              <w:t>1</w:t>
            </w:r>
            <w:r>
              <w:rPr>
                <w:rFonts w:ascii="Arial Narrow" w:hAnsi="Arial Narrow"/>
                <w:sz w:val="18"/>
                <w:szCs w:val="18"/>
              </w:rPr>
              <w:t xml:space="preserve"> </w:t>
            </w:r>
            <w:r w:rsidRPr="00A646FC">
              <w:rPr>
                <w:rFonts w:ascii="Arial Narrow" w:hAnsi="Arial Narrow"/>
                <w:sz w:val="18"/>
                <w:szCs w:val="18"/>
              </w:rPr>
              <w:t>468</w:t>
            </w:r>
          </w:p>
        </w:tc>
        <w:tc>
          <w:tcPr>
            <w:tcW w:w="740" w:type="dxa"/>
            <w:vAlign w:val="center"/>
          </w:tcPr>
          <w:p w14:paraId="5BE4F717" w14:textId="0FEF566F" w:rsidR="00774537" w:rsidRPr="00CE357F" w:rsidRDefault="00774537" w:rsidP="00774537">
            <w:pPr>
              <w:spacing w:after="46"/>
              <w:jc w:val="center"/>
              <w:rPr>
                <w:rFonts w:ascii="Arial Narrow" w:hAnsi="Arial Narrow" w:cs="Times New Roman"/>
                <w:sz w:val="18"/>
                <w:szCs w:val="18"/>
              </w:rPr>
            </w:pPr>
            <w:r w:rsidRPr="00A646FC">
              <w:rPr>
                <w:rFonts w:ascii="Arial Narrow" w:hAnsi="Arial Narrow"/>
                <w:sz w:val="18"/>
                <w:szCs w:val="18"/>
              </w:rPr>
              <w:t>1</w:t>
            </w:r>
            <w:r>
              <w:rPr>
                <w:rFonts w:ascii="Arial Narrow" w:hAnsi="Arial Narrow"/>
                <w:sz w:val="18"/>
                <w:szCs w:val="18"/>
              </w:rPr>
              <w:t xml:space="preserve"> </w:t>
            </w:r>
            <w:r w:rsidRPr="00A646FC">
              <w:rPr>
                <w:rFonts w:ascii="Arial Narrow" w:hAnsi="Arial Narrow"/>
                <w:sz w:val="18"/>
                <w:szCs w:val="18"/>
              </w:rPr>
              <w:t>397</w:t>
            </w:r>
          </w:p>
        </w:tc>
        <w:tc>
          <w:tcPr>
            <w:tcW w:w="573" w:type="dxa"/>
            <w:vAlign w:val="center"/>
          </w:tcPr>
          <w:p w14:paraId="79E81E92" w14:textId="6BD3A1CF" w:rsidR="00774537" w:rsidRPr="00CE357F" w:rsidRDefault="00774537" w:rsidP="00774537">
            <w:pPr>
              <w:spacing w:after="46"/>
              <w:jc w:val="center"/>
              <w:rPr>
                <w:rFonts w:ascii="Arial Narrow" w:hAnsi="Arial Narrow" w:cs="Times New Roman"/>
                <w:sz w:val="18"/>
                <w:szCs w:val="18"/>
              </w:rPr>
            </w:pPr>
            <w:r w:rsidRPr="00A646FC">
              <w:rPr>
                <w:rFonts w:ascii="Arial Narrow" w:hAnsi="Arial Narrow"/>
                <w:sz w:val="18"/>
                <w:szCs w:val="18"/>
              </w:rPr>
              <w:t>321</w:t>
            </w:r>
          </w:p>
        </w:tc>
        <w:tc>
          <w:tcPr>
            <w:tcW w:w="733" w:type="dxa"/>
            <w:vAlign w:val="center"/>
          </w:tcPr>
          <w:p w14:paraId="58E9B27C" w14:textId="30F38477" w:rsidR="00774537" w:rsidRPr="00CE357F" w:rsidRDefault="00774537" w:rsidP="00774537">
            <w:pPr>
              <w:spacing w:after="46"/>
              <w:jc w:val="center"/>
              <w:rPr>
                <w:rFonts w:ascii="Arial Narrow" w:hAnsi="Arial Narrow" w:cs="Times New Roman"/>
                <w:sz w:val="18"/>
                <w:szCs w:val="18"/>
              </w:rPr>
            </w:pPr>
            <w:r>
              <w:rPr>
                <w:rFonts w:ascii="Arial Narrow" w:hAnsi="Arial Narrow"/>
                <w:sz w:val="18"/>
                <w:szCs w:val="18"/>
              </w:rPr>
              <w:t>1 718</w:t>
            </w:r>
          </w:p>
        </w:tc>
        <w:tc>
          <w:tcPr>
            <w:tcW w:w="1958" w:type="dxa"/>
            <w:vAlign w:val="center"/>
          </w:tcPr>
          <w:p w14:paraId="18712B2C" w14:textId="092D87A6" w:rsidR="00774537" w:rsidRPr="00CE357F" w:rsidRDefault="00774537" w:rsidP="00774537">
            <w:pPr>
              <w:jc w:val="center"/>
              <w:rPr>
                <w:rFonts w:ascii="Arial Narrow" w:hAnsi="Arial Narrow"/>
                <w:b/>
                <w:bCs/>
                <w:color w:val="C00000"/>
                <w:sz w:val="18"/>
                <w:szCs w:val="18"/>
              </w:rPr>
            </w:pPr>
            <w:r>
              <w:rPr>
                <w:rFonts w:ascii="Arial Narrow" w:hAnsi="Arial Narrow"/>
                <w:b/>
                <w:bCs/>
                <w:color w:val="C00000"/>
                <w:sz w:val="18"/>
                <w:szCs w:val="18"/>
              </w:rPr>
              <w:t>20,2 %</w:t>
            </w:r>
          </w:p>
        </w:tc>
      </w:tr>
      <w:tr w:rsidR="00774537" w:rsidRPr="00CE357F" w14:paraId="2BADCC93" w14:textId="77777777" w:rsidTr="00774537">
        <w:trPr>
          <w:trHeight w:val="227"/>
        </w:trPr>
        <w:tc>
          <w:tcPr>
            <w:tcW w:w="1063" w:type="dxa"/>
            <w:shd w:val="clear" w:color="auto" w:fill="D9E2F3" w:themeFill="accent1" w:themeFillTint="33"/>
            <w:vAlign w:val="center"/>
          </w:tcPr>
          <w:p w14:paraId="658EA7AD"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2022</w:t>
            </w:r>
          </w:p>
        </w:tc>
        <w:tc>
          <w:tcPr>
            <w:tcW w:w="1767" w:type="dxa"/>
            <w:vAlign w:val="center"/>
          </w:tcPr>
          <w:p w14:paraId="2CC37D61" w14:textId="77777777" w:rsidR="00774537" w:rsidRPr="00CE357F" w:rsidRDefault="00774537" w:rsidP="00774537">
            <w:pPr>
              <w:jc w:val="center"/>
              <w:rPr>
                <w:rFonts w:ascii="Arial Narrow" w:hAnsi="Arial Narrow"/>
                <w:sz w:val="18"/>
                <w:szCs w:val="18"/>
              </w:rPr>
            </w:pPr>
            <w:r w:rsidRPr="00CE357F">
              <w:rPr>
                <w:rFonts w:ascii="Arial Narrow" w:hAnsi="Arial Narrow" w:cs="Times New Roman"/>
                <w:sz w:val="18"/>
                <w:szCs w:val="18"/>
              </w:rPr>
              <w:t>1 542</w:t>
            </w:r>
          </w:p>
        </w:tc>
        <w:tc>
          <w:tcPr>
            <w:tcW w:w="718" w:type="dxa"/>
            <w:vAlign w:val="center"/>
          </w:tcPr>
          <w:p w14:paraId="62ADAA6F"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cs="Times New Roman"/>
                <w:sz w:val="18"/>
                <w:szCs w:val="18"/>
              </w:rPr>
              <w:t>707</w:t>
            </w:r>
          </w:p>
        </w:tc>
        <w:tc>
          <w:tcPr>
            <w:tcW w:w="689" w:type="dxa"/>
            <w:vAlign w:val="center"/>
          </w:tcPr>
          <w:p w14:paraId="3B704701"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cs="Times New Roman"/>
                <w:sz w:val="18"/>
                <w:szCs w:val="18"/>
              </w:rPr>
              <w:t>120</w:t>
            </w:r>
          </w:p>
        </w:tc>
        <w:tc>
          <w:tcPr>
            <w:tcW w:w="578" w:type="dxa"/>
            <w:vAlign w:val="center"/>
          </w:tcPr>
          <w:p w14:paraId="5D60D3AB"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cs="Times New Roman"/>
                <w:sz w:val="18"/>
                <w:szCs w:val="18"/>
              </w:rPr>
              <w:t>827</w:t>
            </w:r>
          </w:p>
        </w:tc>
        <w:tc>
          <w:tcPr>
            <w:tcW w:w="740" w:type="dxa"/>
            <w:vAlign w:val="center"/>
          </w:tcPr>
          <w:p w14:paraId="66A52CF2"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cs="Times New Roman"/>
                <w:sz w:val="18"/>
                <w:szCs w:val="18"/>
              </w:rPr>
              <w:t>590</w:t>
            </w:r>
          </w:p>
        </w:tc>
        <w:tc>
          <w:tcPr>
            <w:tcW w:w="573" w:type="dxa"/>
            <w:vAlign w:val="center"/>
          </w:tcPr>
          <w:p w14:paraId="69BA3A58"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cs="Times New Roman"/>
                <w:sz w:val="18"/>
                <w:szCs w:val="18"/>
              </w:rPr>
              <w:t>125</w:t>
            </w:r>
          </w:p>
        </w:tc>
        <w:tc>
          <w:tcPr>
            <w:tcW w:w="733" w:type="dxa"/>
            <w:vAlign w:val="center"/>
          </w:tcPr>
          <w:p w14:paraId="285D3A88"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cs="Times New Roman"/>
                <w:sz w:val="18"/>
                <w:szCs w:val="18"/>
              </w:rPr>
              <w:t>715</w:t>
            </w:r>
          </w:p>
        </w:tc>
        <w:tc>
          <w:tcPr>
            <w:tcW w:w="1958" w:type="dxa"/>
            <w:vAlign w:val="center"/>
          </w:tcPr>
          <w:p w14:paraId="1B9B30DA"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15,9 %</w:t>
            </w:r>
          </w:p>
        </w:tc>
      </w:tr>
      <w:tr w:rsidR="00774537" w:rsidRPr="00CE357F" w14:paraId="229C9737" w14:textId="77777777" w:rsidTr="00774537">
        <w:trPr>
          <w:trHeight w:val="227"/>
        </w:trPr>
        <w:tc>
          <w:tcPr>
            <w:tcW w:w="1063" w:type="dxa"/>
            <w:shd w:val="clear" w:color="auto" w:fill="D9E2F3" w:themeFill="accent1" w:themeFillTint="33"/>
            <w:vAlign w:val="center"/>
          </w:tcPr>
          <w:p w14:paraId="458DF1C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2021</w:t>
            </w:r>
          </w:p>
        </w:tc>
        <w:tc>
          <w:tcPr>
            <w:tcW w:w="1767" w:type="dxa"/>
            <w:vAlign w:val="center"/>
          </w:tcPr>
          <w:p w14:paraId="718138FB"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1 517</w:t>
            </w:r>
          </w:p>
        </w:tc>
        <w:tc>
          <w:tcPr>
            <w:tcW w:w="718" w:type="dxa"/>
            <w:vAlign w:val="center"/>
          </w:tcPr>
          <w:p w14:paraId="0573DF49"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684</w:t>
            </w:r>
          </w:p>
        </w:tc>
        <w:tc>
          <w:tcPr>
            <w:tcW w:w="689" w:type="dxa"/>
            <w:vAlign w:val="center"/>
          </w:tcPr>
          <w:p w14:paraId="4949AECA"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123</w:t>
            </w:r>
          </w:p>
        </w:tc>
        <w:tc>
          <w:tcPr>
            <w:tcW w:w="578" w:type="dxa"/>
            <w:vAlign w:val="center"/>
          </w:tcPr>
          <w:p w14:paraId="2AC348DC"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807</w:t>
            </w:r>
          </w:p>
        </w:tc>
        <w:tc>
          <w:tcPr>
            <w:tcW w:w="740" w:type="dxa"/>
            <w:vAlign w:val="center"/>
          </w:tcPr>
          <w:p w14:paraId="20CEF2B8"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580</w:t>
            </w:r>
          </w:p>
        </w:tc>
        <w:tc>
          <w:tcPr>
            <w:tcW w:w="573" w:type="dxa"/>
            <w:vAlign w:val="center"/>
          </w:tcPr>
          <w:p w14:paraId="3E424BAB"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130</w:t>
            </w:r>
          </w:p>
        </w:tc>
        <w:tc>
          <w:tcPr>
            <w:tcW w:w="733" w:type="dxa"/>
            <w:vAlign w:val="center"/>
          </w:tcPr>
          <w:p w14:paraId="105DBC43"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710</w:t>
            </w:r>
          </w:p>
        </w:tc>
        <w:tc>
          <w:tcPr>
            <w:tcW w:w="1958" w:type="dxa"/>
            <w:vAlign w:val="center"/>
          </w:tcPr>
          <w:p w14:paraId="770C0158"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16,7 %</w:t>
            </w:r>
          </w:p>
        </w:tc>
      </w:tr>
      <w:tr w:rsidR="00774537" w:rsidRPr="00CE357F" w14:paraId="1617698B" w14:textId="77777777" w:rsidTr="00774537">
        <w:trPr>
          <w:trHeight w:val="227"/>
        </w:trPr>
        <w:tc>
          <w:tcPr>
            <w:tcW w:w="1063" w:type="dxa"/>
            <w:shd w:val="clear" w:color="auto" w:fill="D9E2F3" w:themeFill="accent1" w:themeFillTint="33"/>
            <w:vAlign w:val="center"/>
          </w:tcPr>
          <w:p w14:paraId="6C61D16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2020</w:t>
            </w:r>
          </w:p>
        </w:tc>
        <w:tc>
          <w:tcPr>
            <w:tcW w:w="1767" w:type="dxa"/>
            <w:vAlign w:val="center"/>
          </w:tcPr>
          <w:p w14:paraId="7FAB2DA3"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1 496</w:t>
            </w:r>
          </w:p>
        </w:tc>
        <w:tc>
          <w:tcPr>
            <w:tcW w:w="718" w:type="dxa"/>
            <w:vAlign w:val="center"/>
          </w:tcPr>
          <w:p w14:paraId="6502C285"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668</w:t>
            </w:r>
          </w:p>
        </w:tc>
        <w:tc>
          <w:tcPr>
            <w:tcW w:w="689" w:type="dxa"/>
            <w:vAlign w:val="center"/>
          </w:tcPr>
          <w:p w14:paraId="35ED4F58"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120</w:t>
            </w:r>
          </w:p>
        </w:tc>
        <w:tc>
          <w:tcPr>
            <w:tcW w:w="578" w:type="dxa"/>
            <w:vAlign w:val="center"/>
          </w:tcPr>
          <w:p w14:paraId="6C09B370"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788</w:t>
            </w:r>
          </w:p>
        </w:tc>
        <w:tc>
          <w:tcPr>
            <w:tcW w:w="740" w:type="dxa"/>
            <w:vAlign w:val="center"/>
          </w:tcPr>
          <w:p w14:paraId="4B35D309"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576</w:t>
            </w:r>
          </w:p>
        </w:tc>
        <w:tc>
          <w:tcPr>
            <w:tcW w:w="573" w:type="dxa"/>
            <w:vAlign w:val="center"/>
          </w:tcPr>
          <w:p w14:paraId="6AEDEA24"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132</w:t>
            </w:r>
          </w:p>
        </w:tc>
        <w:tc>
          <w:tcPr>
            <w:tcW w:w="733" w:type="dxa"/>
            <w:vAlign w:val="center"/>
          </w:tcPr>
          <w:p w14:paraId="443C5A2B"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708</w:t>
            </w:r>
          </w:p>
        </w:tc>
        <w:tc>
          <w:tcPr>
            <w:tcW w:w="1958" w:type="dxa"/>
            <w:vAlign w:val="center"/>
          </w:tcPr>
          <w:p w14:paraId="5A5BFD75"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16,8 %</w:t>
            </w:r>
          </w:p>
        </w:tc>
      </w:tr>
      <w:tr w:rsidR="00774537" w:rsidRPr="00CE357F" w14:paraId="62CAD767" w14:textId="77777777" w:rsidTr="00774537">
        <w:trPr>
          <w:trHeight w:val="227"/>
        </w:trPr>
        <w:tc>
          <w:tcPr>
            <w:tcW w:w="1063" w:type="dxa"/>
            <w:shd w:val="clear" w:color="auto" w:fill="D9E2F3" w:themeFill="accent1" w:themeFillTint="33"/>
            <w:vAlign w:val="center"/>
          </w:tcPr>
          <w:p w14:paraId="1B38AC8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2019</w:t>
            </w:r>
          </w:p>
        </w:tc>
        <w:tc>
          <w:tcPr>
            <w:tcW w:w="1767" w:type="dxa"/>
            <w:vAlign w:val="center"/>
          </w:tcPr>
          <w:p w14:paraId="683F5EE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1 483</w:t>
            </w:r>
          </w:p>
        </w:tc>
        <w:tc>
          <w:tcPr>
            <w:tcW w:w="718" w:type="dxa"/>
            <w:vAlign w:val="center"/>
          </w:tcPr>
          <w:p w14:paraId="6228B608"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676</w:t>
            </w:r>
          </w:p>
        </w:tc>
        <w:tc>
          <w:tcPr>
            <w:tcW w:w="689" w:type="dxa"/>
            <w:vAlign w:val="center"/>
          </w:tcPr>
          <w:p w14:paraId="4EDC433F"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117</w:t>
            </w:r>
          </w:p>
        </w:tc>
        <w:tc>
          <w:tcPr>
            <w:tcW w:w="578" w:type="dxa"/>
            <w:vAlign w:val="center"/>
          </w:tcPr>
          <w:p w14:paraId="730CA8C4"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793</w:t>
            </w:r>
          </w:p>
        </w:tc>
        <w:tc>
          <w:tcPr>
            <w:tcW w:w="740" w:type="dxa"/>
            <w:vAlign w:val="center"/>
          </w:tcPr>
          <w:p w14:paraId="47B36216"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567</w:t>
            </w:r>
          </w:p>
        </w:tc>
        <w:tc>
          <w:tcPr>
            <w:tcW w:w="573" w:type="dxa"/>
            <w:vAlign w:val="center"/>
          </w:tcPr>
          <w:p w14:paraId="47C6BBA3"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123</w:t>
            </w:r>
          </w:p>
        </w:tc>
        <w:tc>
          <w:tcPr>
            <w:tcW w:w="733" w:type="dxa"/>
            <w:vAlign w:val="center"/>
          </w:tcPr>
          <w:p w14:paraId="2E19274B"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690</w:t>
            </w:r>
          </w:p>
        </w:tc>
        <w:tc>
          <w:tcPr>
            <w:tcW w:w="1958" w:type="dxa"/>
            <w:vAlign w:val="center"/>
          </w:tcPr>
          <w:p w14:paraId="1605423D"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16,2 %</w:t>
            </w:r>
          </w:p>
        </w:tc>
      </w:tr>
      <w:tr w:rsidR="00774537" w:rsidRPr="00CE357F" w14:paraId="1D512F0F" w14:textId="77777777" w:rsidTr="00774537">
        <w:trPr>
          <w:trHeight w:val="227"/>
        </w:trPr>
        <w:tc>
          <w:tcPr>
            <w:tcW w:w="1063" w:type="dxa"/>
            <w:shd w:val="clear" w:color="auto" w:fill="D9E2F3" w:themeFill="accent1" w:themeFillTint="33"/>
            <w:vAlign w:val="center"/>
          </w:tcPr>
          <w:p w14:paraId="1AB681EE"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2018</w:t>
            </w:r>
          </w:p>
        </w:tc>
        <w:tc>
          <w:tcPr>
            <w:tcW w:w="1767" w:type="dxa"/>
            <w:vAlign w:val="center"/>
          </w:tcPr>
          <w:p w14:paraId="66A3566F"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1 411</w:t>
            </w:r>
          </w:p>
        </w:tc>
        <w:tc>
          <w:tcPr>
            <w:tcW w:w="718" w:type="dxa"/>
            <w:vAlign w:val="center"/>
          </w:tcPr>
          <w:p w14:paraId="2337CB66"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637</w:t>
            </w:r>
          </w:p>
        </w:tc>
        <w:tc>
          <w:tcPr>
            <w:tcW w:w="689" w:type="dxa"/>
            <w:vAlign w:val="center"/>
          </w:tcPr>
          <w:p w14:paraId="2E82D130"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117</w:t>
            </w:r>
          </w:p>
        </w:tc>
        <w:tc>
          <w:tcPr>
            <w:tcW w:w="578" w:type="dxa"/>
            <w:vAlign w:val="center"/>
          </w:tcPr>
          <w:p w14:paraId="6B9FDCB3"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754</w:t>
            </w:r>
          </w:p>
        </w:tc>
        <w:tc>
          <w:tcPr>
            <w:tcW w:w="740" w:type="dxa"/>
            <w:vAlign w:val="center"/>
          </w:tcPr>
          <w:p w14:paraId="6EE2BD0E"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530</w:t>
            </w:r>
          </w:p>
        </w:tc>
        <w:tc>
          <w:tcPr>
            <w:tcW w:w="573" w:type="dxa"/>
            <w:vAlign w:val="center"/>
          </w:tcPr>
          <w:p w14:paraId="0B7BAFDC"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127</w:t>
            </w:r>
          </w:p>
        </w:tc>
        <w:tc>
          <w:tcPr>
            <w:tcW w:w="733" w:type="dxa"/>
            <w:vAlign w:val="center"/>
          </w:tcPr>
          <w:p w14:paraId="23164272"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657</w:t>
            </w:r>
          </w:p>
        </w:tc>
        <w:tc>
          <w:tcPr>
            <w:tcW w:w="1958" w:type="dxa"/>
            <w:vAlign w:val="center"/>
          </w:tcPr>
          <w:p w14:paraId="27FFD9BF"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17,3 %</w:t>
            </w:r>
          </w:p>
        </w:tc>
      </w:tr>
      <w:tr w:rsidR="00774537" w:rsidRPr="00CE357F" w14:paraId="36CF862A" w14:textId="77777777" w:rsidTr="00774537">
        <w:trPr>
          <w:trHeight w:val="227"/>
        </w:trPr>
        <w:tc>
          <w:tcPr>
            <w:tcW w:w="1063" w:type="dxa"/>
            <w:shd w:val="clear" w:color="auto" w:fill="D9E2F3" w:themeFill="accent1" w:themeFillTint="33"/>
            <w:vAlign w:val="center"/>
          </w:tcPr>
          <w:p w14:paraId="4E870E8B"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2017</w:t>
            </w:r>
          </w:p>
        </w:tc>
        <w:tc>
          <w:tcPr>
            <w:tcW w:w="1767" w:type="dxa"/>
            <w:vAlign w:val="center"/>
          </w:tcPr>
          <w:p w14:paraId="2E45B7E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1 367</w:t>
            </w:r>
          </w:p>
        </w:tc>
        <w:tc>
          <w:tcPr>
            <w:tcW w:w="718" w:type="dxa"/>
            <w:vAlign w:val="center"/>
          </w:tcPr>
          <w:p w14:paraId="43ACBE62"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607</w:t>
            </w:r>
          </w:p>
        </w:tc>
        <w:tc>
          <w:tcPr>
            <w:tcW w:w="689" w:type="dxa"/>
            <w:vAlign w:val="center"/>
          </w:tcPr>
          <w:p w14:paraId="5510888C"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115</w:t>
            </w:r>
          </w:p>
        </w:tc>
        <w:tc>
          <w:tcPr>
            <w:tcW w:w="578" w:type="dxa"/>
            <w:vAlign w:val="center"/>
          </w:tcPr>
          <w:p w14:paraId="76533F9E"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722</w:t>
            </w:r>
          </w:p>
        </w:tc>
        <w:tc>
          <w:tcPr>
            <w:tcW w:w="740" w:type="dxa"/>
            <w:vAlign w:val="center"/>
          </w:tcPr>
          <w:p w14:paraId="72BC8BA7"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526</w:t>
            </w:r>
          </w:p>
        </w:tc>
        <w:tc>
          <w:tcPr>
            <w:tcW w:w="573" w:type="dxa"/>
            <w:vAlign w:val="center"/>
          </w:tcPr>
          <w:p w14:paraId="46467E3A"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119</w:t>
            </w:r>
          </w:p>
        </w:tc>
        <w:tc>
          <w:tcPr>
            <w:tcW w:w="733" w:type="dxa"/>
            <w:vAlign w:val="center"/>
          </w:tcPr>
          <w:p w14:paraId="19655AF4"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645</w:t>
            </w:r>
          </w:p>
        </w:tc>
        <w:tc>
          <w:tcPr>
            <w:tcW w:w="1958" w:type="dxa"/>
            <w:vAlign w:val="center"/>
          </w:tcPr>
          <w:p w14:paraId="605EFAFC"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17,1 %</w:t>
            </w:r>
          </w:p>
        </w:tc>
      </w:tr>
      <w:tr w:rsidR="00774537" w:rsidRPr="00CE357F" w14:paraId="669BEBC1" w14:textId="77777777" w:rsidTr="00774537">
        <w:trPr>
          <w:trHeight w:val="227"/>
        </w:trPr>
        <w:tc>
          <w:tcPr>
            <w:tcW w:w="1063" w:type="dxa"/>
            <w:shd w:val="clear" w:color="auto" w:fill="D9E2F3" w:themeFill="accent1" w:themeFillTint="33"/>
            <w:vAlign w:val="center"/>
          </w:tcPr>
          <w:p w14:paraId="525AD352"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2016</w:t>
            </w:r>
          </w:p>
        </w:tc>
        <w:tc>
          <w:tcPr>
            <w:tcW w:w="1767" w:type="dxa"/>
            <w:vAlign w:val="center"/>
          </w:tcPr>
          <w:p w14:paraId="0169D75F"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1 416</w:t>
            </w:r>
          </w:p>
        </w:tc>
        <w:tc>
          <w:tcPr>
            <w:tcW w:w="718" w:type="dxa"/>
            <w:vAlign w:val="center"/>
          </w:tcPr>
          <w:p w14:paraId="5477FE2C"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629</w:t>
            </w:r>
          </w:p>
        </w:tc>
        <w:tc>
          <w:tcPr>
            <w:tcW w:w="689" w:type="dxa"/>
            <w:vAlign w:val="center"/>
          </w:tcPr>
          <w:p w14:paraId="1A5ED3B3"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121</w:t>
            </w:r>
          </w:p>
        </w:tc>
        <w:tc>
          <w:tcPr>
            <w:tcW w:w="578" w:type="dxa"/>
            <w:vAlign w:val="center"/>
          </w:tcPr>
          <w:p w14:paraId="42EC46AE"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750</w:t>
            </w:r>
          </w:p>
        </w:tc>
        <w:tc>
          <w:tcPr>
            <w:tcW w:w="740" w:type="dxa"/>
            <w:vAlign w:val="center"/>
          </w:tcPr>
          <w:p w14:paraId="7D605414"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541</w:t>
            </w:r>
          </w:p>
        </w:tc>
        <w:tc>
          <w:tcPr>
            <w:tcW w:w="573" w:type="dxa"/>
            <w:vAlign w:val="center"/>
          </w:tcPr>
          <w:p w14:paraId="73867F6B"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125</w:t>
            </w:r>
          </w:p>
        </w:tc>
        <w:tc>
          <w:tcPr>
            <w:tcW w:w="733" w:type="dxa"/>
            <w:vAlign w:val="center"/>
          </w:tcPr>
          <w:p w14:paraId="09D32B54"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666</w:t>
            </w:r>
          </w:p>
        </w:tc>
        <w:tc>
          <w:tcPr>
            <w:tcW w:w="1958" w:type="dxa"/>
            <w:vAlign w:val="center"/>
          </w:tcPr>
          <w:p w14:paraId="0531E7F2"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17,4 %</w:t>
            </w:r>
          </w:p>
        </w:tc>
      </w:tr>
      <w:tr w:rsidR="00774537" w:rsidRPr="00CE357F" w14:paraId="75EA879E" w14:textId="77777777" w:rsidTr="00774537">
        <w:trPr>
          <w:trHeight w:val="227"/>
        </w:trPr>
        <w:tc>
          <w:tcPr>
            <w:tcW w:w="1063" w:type="dxa"/>
            <w:shd w:val="clear" w:color="auto" w:fill="D9E2F3" w:themeFill="accent1" w:themeFillTint="33"/>
            <w:vAlign w:val="center"/>
          </w:tcPr>
          <w:p w14:paraId="06B037D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2015</w:t>
            </w:r>
          </w:p>
        </w:tc>
        <w:tc>
          <w:tcPr>
            <w:tcW w:w="1767" w:type="dxa"/>
            <w:vAlign w:val="center"/>
          </w:tcPr>
          <w:p w14:paraId="315AD5B9"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1 443</w:t>
            </w:r>
          </w:p>
        </w:tc>
        <w:tc>
          <w:tcPr>
            <w:tcW w:w="718" w:type="dxa"/>
            <w:vAlign w:val="center"/>
          </w:tcPr>
          <w:p w14:paraId="04C5F0E7"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645</w:t>
            </w:r>
          </w:p>
        </w:tc>
        <w:tc>
          <w:tcPr>
            <w:tcW w:w="689" w:type="dxa"/>
            <w:vAlign w:val="center"/>
          </w:tcPr>
          <w:p w14:paraId="38B78777"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120</w:t>
            </w:r>
          </w:p>
        </w:tc>
        <w:tc>
          <w:tcPr>
            <w:tcW w:w="578" w:type="dxa"/>
            <w:vAlign w:val="center"/>
          </w:tcPr>
          <w:p w14:paraId="73D4A6E3"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765</w:t>
            </w:r>
          </w:p>
        </w:tc>
        <w:tc>
          <w:tcPr>
            <w:tcW w:w="740" w:type="dxa"/>
            <w:vAlign w:val="center"/>
          </w:tcPr>
          <w:p w14:paraId="40133752"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554</w:t>
            </w:r>
          </w:p>
        </w:tc>
        <w:tc>
          <w:tcPr>
            <w:tcW w:w="573" w:type="dxa"/>
            <w:vAlign w:val="center"/>
          </w:tcPr>
          <w:p w14:paraId="3C3E0AFF"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124</w:t>
            </w:r>
          </w:p>
        </w:tc>
        <w:tc>
          <w:tcPr>
            <w:tcW w:w="733" w:type="dxa"/>
            <w:vAlign w:val="center"/>
          </w:tcPr>
          <w:p w14:paraId="3338BA0B"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678</w:t>
            </w:r>
          </w:p>
        </w:tc>
        <w:tc>
          <w:tcPr>
            <w:tcW w:w="1958" w:type="dxa"/>
            <w:vAlign w:val="center"/>
          </w:tcPr>
          <w:p w14:paraId="224616EF"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16,9 %</w:t>
            </w:r>
          </w:p>
        </w:tc>
      </w:tr>
      <w:tr w:rsidR="00774537" w:rsidRPr="00CE357F" w14:paraId="256A029E" w14:textId="77777777" w:rsidTr="00774537">
        <w:trPr>
          <w:trHeight w:val="227"/>
        </w:trPr>
        <w:tc>
          <w:tcPr>
            <w:tcW w:w="1063" w:type="dxa"/>
            <w:shd w:val="clear" w:color="auto" w:fill="D9E2F3" w:themeFill="accent1" w:themeFillTint="33"/>
            <w:vAlign w:val="center"/>
          </w:tcPr>
          <w:p w14:paraId="4161AC76"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2014</w:t>
            </w:r>
          </w:p>
        </w:tc>
        <w:tc>
          <w:tcPr>
            <w:tcW w:w="1767" w:type="dxa"/>
            <w:vAlign w:val="center"/>
          </w:tcPr>
          <w:p w14:paraId="5B2212A4"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1 445</w:t>
            </w:r>
          </w:p>
        </w:tc>
        <w:tc>
          <w:tcPr>
            <w:tcW w:w="718" w:type="dxa"/>
            <w:vAlign w:val="center"/>
          </w:tcPr>
          <w:p w14:paraId="45320D5F"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635</w:t>
            </w:r>
          </w:p>
        </w:tc>
        <w:tc>
          <w:tcPr>
            <w:tcW w:w="689" w:type="dxa"/>
            <w:vAlign w:val="center"/>
          </w:tcPr>
          <w:p w14:paraId="2C37CFA7"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118</w:t>
            </w:r>
          </w:p>
        </w:tc>
        <w:tc>
          <w:tcPr>
            <w:tcW w:w="578" w:type="dxa"/>
            <w:vAlign w:val="center"/>
          </w:tcPr>
          <w:p w14:paraId="742600D9"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753</w:t>
            </w:r>
          </w:p>
        </w:tc>
        <w:tc>
          <w:tcPr>
            <w:tcW w:w="740" w:type="dxa"/>
            <w:vAlign w:val="center"/>
          </w:tcPr>
          <w:p w14:paraId="70FB7419"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562</w:t>
            </w:r>
          </w:p>
        </w:tc>
        <w:tc>
          <w:tcPr>
            <w:tcW w:w="573" w:type="dxa"/>
            <w:vAlign w:val="center"/>
          </w:tcPr>
          <w:p w14:paraId="79A1D93E"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130</w:t>
            </w:r>
          </w:p>
        </w:tc>
        <w:tc>
          <w:tcPr>
            <w:tcW w:w="733" w:type="dxa"/>
            <w:vAlign w:val="center"/>
          </w:tcPr>
          <w:p w14:paraId="51180A98"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692</w:t>
            </w:r>
          </w:p>
        </w:tc>
        <w:tc>
          <w:tcPr>
            <w:tcW w:w="1958" w:type="dxa"/>
            <w:vAlign w:val="center"/>
          </w:tcPr>
          <w:p w14:paraId="225B58CA"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17,2 %</w:t>
            </w:r>
          </w:p>
        </w:tc>
      </w:tr>
      <w:tr w:rsidR="00774537" w:rsidRPr="00CE357F" w14:paraId="55E14F87" w14:textId="77777777" w:rsidTr="00774537">
        <w:trPr>
          <w:trHeight w:val="227"/>
        </w:trPr>
        <w:tc>
          <w:tcPr>
            <w:tcW w:w="1063" w:type="dxa"/>
            <w:shd w:val="clear" w:color="auto" w:fill="D9E2F3" w:themeFill="accent1" w:themeFillTint="33"/>
            <w:vAlign w:val="center"/>
          </w:tcPr>
          <w:p w14:paraId="6EF33AF1"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lastRenderedPageBreak/>
              <w:t>2013</w:t>
            </w:r>
          </w:p>
        </w:tc>
        <w:tc>
          <w:tcPr>
            <w:tcW w:w="1767" w:type="dxa"/>
            <w:vAlign w:val="center"/>
          </w:tcPr>
          <w:p w14:paraId="04291DB3"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1 427</w:t>
            </w:r>
          </w:p>
        </w:tc>
        <w:tc>
          <w:tcPr>
            <w:tcW w:w="718" w:type="dxa"/>
            <w:vAlign w:val="center"/>
          </w:tcPr>
          <w:p w14:paraId="38650FF4"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657</w:t>
            </w:r>
          </w:p>
        </w:tc>
        <w:tc>
          <w:tcPr>
            <w:tcW w:w="689" w:type="dxa"/>
            <w:vAlign w:val="center"/>
          </w:tcPr>
          <w:p w14:paraId="1821D8C3"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97</w:t>
            </w:r>
          </w:p>
        </w:tc>
        <w:tc>
          <w:tcPr>
            <w:tcW w:w="578" w:type="dxa"/>
            <w:vAlign w:val="center"/>
          </w:tcPr>
          <w:p w14:paraId="65857180"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754</w:t>
            </w:r>
          </w:p>
        </w:tc>
        <w:tc>
          <w:tcPr>
            <w:tcW w:w="740" w:type="dxa"/>
            <w:vAlign w:val="center"/>
          </w:tcPr>
          <w:p w14:paraId="4B603256"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571</w:t>
            </w:r>
          </w:p>
        </w:tc>
        <w:tc>
          <w:tcPr>
            <w:tcW w:w="573" w:type="dxa"/>
            <w:vAlign w:val="center"/>
          </w:tcPr>
          <w:p w14:paraId="4477EA3A"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102</w:t>
            </w:r>
          </w:p>
        </w:tc>
        <w:tc>
          <w:tcPr>
            <w:tcW w:w="733" w:type="dxa"/>
            <w:vAlign w:val="center"/>
          </w:tcPr>
          <w:p w14:paraId="47619CDE" w14:textId="77777777" w:rsidR="00774537" w:rsidRPr="00CE357F" w:rsidRDefault="00774537" w:rsidP="0077453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673</w:t>
            </w:r>
          </w:p>
        </w:tc>
        <w:tc>
          <w:tcPr>
            <w:tcW w:w="1958" w:type="dxa"/>
            <w:vAlign w:val="center"/>
          </w:tcPr>
          <w:p w14:paraId="06CBDCC6"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13,9 %</w:t>
            </w:r>
          </w:p>
        </w:tc>
      </w:tr>
      <w:tr w:rsidR="00774537" w:rsidRPr="00CE357F" w14:paraId="7A670FD4" w14:textId="77777777" w:rsidTr="00774537">
        <w:trPr>
          <w:trHeight w:val="227"/>
        </w:trPr>
        <w:tc>
          <w:tcPr>
            <w:tcW w:w="1063" w:type="dxa"/>
            <w:shd w:val="clear" w:color="auto" w:fill="D9E2F3" w:themeFill="accent1" w:themeFillTint="33"/>
            <w:vAlign w:val="center"/>
          </w:tcPr>
          <w:p w14:paraId="3FB4BF5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2012</w:t>
            </w:r>
          </w:p>
        </w:tc>
        <w:tc>
          <w:tcPr>
            <w:tcW w:w="1767" w:type="dxa"/>
            <w:vAlign w:val="center"/>
          </w:tcPr>
          <w:p w14:paraId="141D498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1 516</w:t>
            </w:r>
          </w:p>
        </w:tc>
        <w:tc>
          <w:tcPr>
            <w:tcW w:w="718" w:type="dxa"/>
            <w:vAlign w:val="center"/>
          </w:tcPr>
          <w:p w14:paraId="429A2FC9"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720</w:t>
            </w:r>
          </w:p>
        </w:tc>
        <w:tc>
          <w:tcPr>
            <w:tcW w:w="689" w:type="dxa"/>
            <w:vAlign w:val="center"/>
          </w:tcPr>
          <w:p w14:paraId="3027FBE6"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98</w:t>
            </w:r>
          </w:p>
        </w:tc>
        <w:tc>
          <w:tcPr>
            <w:tcW w:w="578" w:type="dxa"/>
            <w:vAlign w:val="center"/>
          </w:tcPr>
          <w:p w14:paraId="08F78425"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818</w:t>
            </w:r>
          </w:p>
        </w:tc>
        <w:tc>
          <w:tcPr>
            <w:tcW w:w="740" w:type="dxa"/>
            <w:vAlign w:val="center"/>
          </w:tcPr>
          <w:p w14:paraId="1A952DE6"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599</w:t>
            </w:r>
          </w:p>
        </w:tc>
        <w:tc>
          <w:tcPr>
            <w:tcW w:w="573" w:type="dxa"/>
            <w:vAlign w:val="center"/>
          </w:tcPr>
          <w:p w14:paraId="680E9BB5"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99</w:t>
            </w:r>
          </w:p>
        </w:tc>
        <w:tc>
          <w:tcPr>
            <w:tcW w:w="733" w:type="dxa"/>
            <w:vAlign w:val="center"/>
          </w:tcPr>
          <w:p w14:paraId="13784FB7"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698</w:t>
            </w:r>
          </w:p>
        </w:tc>
        <w:tc>
          <w:tcPr>
            <w:tcW w:w="1958" w:type="dxa"/>
            <w:vAlign w:val="center"/>
          </w:tcPr>
          <w:p w14:paraId="0996D49C"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13,0 %</w:t>
            </w:r>
          </w:p>
        </w:tc>
      </w:tr>
      <w:tr w:rsidR="00774537" w:rsidRPr="00CE357F" w14:paraId="0681928B" w14:textId="77777777" w:rsidTr="00774537">
        <w:trPr>
          <w:trHeight w:val="227"/>
        </w:trPr>
        <w:tc>
          <w:tcPr>
            <w:tcW w:w="1063" w:type="dxa"/>
            <w:shd w:val="clear" w:color="auto" w:fill="D9E2F3" w:themeFill="accent1" w:themeFillTint="33"/>
            <w:vAlign w:val="center"/>
          </w:tcPr>
          <w:p w14:paraId="5ED729D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2011</w:t>
            </w:r>
          </w:p>
        </w:tc>
        <w:tc>
          <w:tcPr>
            <w:tcW w:w="1767" w:type="dxa"/>
            <w:vAlign w:val="center"/>
          </w:tcPr>
          <w:p w14:paraId="7F6CA6EB"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1405</w:t>
            </w:r>
          </w:p>
        </w:tc>
        <w:tc>
          <w:tcPr>
            <w:tcW w:w="718" w:type="dxa"/>
            <w:vAlign w:val="center"/>
          </w:tcPr>
          <w:p w14:paraId="064C7DB6"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651</w:t>
            </w:r>
          </w:p>
        </w:tc>
        <w:tc>
          <w:tcPr>
            <w:tcW w:w="689" w:type="dxa"/>
            <w:vAlign w:val="center"/>
          </w:tcPr>
          <w:p w14:paraId="3F7F57A7"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99</w:t>
            </w:r>
          </w:p>
        </w:tc>
        <w:tc>
          <w:tcPr>
            <w:tcW w:w="578" w:type="dxa"/>
            <w:vAlign w:val="center"/>
          </w:tcPr>
          <w:p w14:paraId="135285C6"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750</w:t>
            </w:r>
          </w:p>
        </w:tc>
        <w:tc>
          <w:tcPr>
            <w:tcW w:w="740" w:type="dxa"/>
            <w:vAlign w:val="center"/>
          </w:tcPr>
          <w:p w14:paraId="5FE2CA2E"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564</w:t>
            </w:r>
          </w:p>
        </w:tc>
        <w:tc>
          <w:tcPr>
            <w:tcW w:w="573" w:type="dxa"/>
            <w:vAlign w:val="center"/>
          </w:tcPr>
          <w:p w14:paraId="1A732AF8"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91</w:t>
            </w:r>
          </w:p>
        </w:tc>
        <w:tc>
          <w:tcPr>
            <w:tcW w:w="733" w:type="dxa"/>
            <w:vAlign w:val="center"/>
          </w:tcPr>
          <w:p w14:paraId="4F4420EB"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655</w:t>
            </w:r>
          </w:p>
        </w:tc>
        <w:tc>
          <w:tcPr>
            <w:tcW w:w="1958" w:type="dxa"/>
            <w:vAlign w:val="center"/>
          </w:tcPr>
          <w:p w14:paraId="03AFB363"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13,5 %</w:t>
            </w:r>
          </w:p>
        </w:tc>
      </w:tr>
      <w:tr w:rsidR="00774537" w:rsidRPr="00CE357F" w14:paraId="5798885B" w14:textId="77777777" w:rsidTr="00774537">
        <w:trPr>
          <w:trHeight w:val="227"/>
        </w:trPr>
        <w:tc>
          <w:tcPr>
            <w:tcW w:w="1063" w:type="dxa"/>
            <w:shd w:val="clear" w:color="auto" w:fill="D9E2F3" w:themeFill="accent1" w:themeFillTint="33"/>
            <w:vAlign w:val="center"/>
          </w:tcPr>
          <w:p w14:paraId="33DF8D1A"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2010</w:t>
            </w:r>
          </w:p>
        </w:tc>
        <w:tc>
          <w:tcPr>
            <w:tcW w:w="1767" w:type="dxa"/>
            <w:vAlign w:val="center"/>
          </w:tcPr>
          <w:p w14:paraId="2234F78A"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1402</w:t>
            </w:r>
          </w:p>
        </w:tc>
        <w:tc>
          <w:tcPr>
            <w:tcW w:w="718" w:type="dxa"/>
            <w:vAlign w:val="center"/>
          </w:tcPr>
          <w:p w14:paraId="65091B7C"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669</w:t>
            </w:r>
          </w:p>
        </w:tc>
        <w:tc>
          <w:tcPr>
            <w:tcW w:w="689" w:type="dxa"/>
            <w:vAlign w:val="center"/>
          </w:tcPr>
          <w:p w14:paraId="29704049"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76</w:t>
            </w:r>
          </w:p>
        </w:tc>
        <w:tc>
          <w:tcPr>
            <w:tcW w:w="578" w:type="dxa"/>
            <w:vAlign w:val="center"/>
          </w:tcPr>
          <w:p w14:paraId="525EFAFF"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745</w:t>
            </w:r>
          </w:p>
        </w:tc>
        <w:tc>
          <w:tcPr>
            <w:tcW w:w="740" w:type="dxa"/>
            <w:vAlign w:val="center"/>
          </w:tcPr>
          <w:p w14:paraId="20CFF79C"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583</w:t>
            </w:r>
          </w:p>
        </w:tc>
        <w:tc>
          <w:tcPr>
            <w:tcW w:w="573" w:type="dxa"/>
            <w:vAlign w:val="center"/>
          </w:tcPr>
          <w:p w14:paraId="655ACF85"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74</w:t>
            </w:r>
          </w:p>
        </w:tc>
        <w:tc>
          <w:tcPr>
            <w:tcW w:w="733" w:type="dxa"/>
            <w:vAlign w:val="center"/>
          </w:tcPr>
          <w:p w14:paraId="67D815D4"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657</w:t>
            </w:r>
          </w:p>
        </w:tc>
        <w:tc>
          <w:tcPr>
            <w:tcW w:w="1958" w:type="dxa"/>
            <w:vAlign w:val="center"/>
          </w:tcPr>
          <w:p w14:paraId="67CA5129"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10,7 %</w:t>
            </w:r>
          </w:p>
        </w:tc>
      </w:tr>
      <w:tr w:rsidR="00774537" w:rsidRPr="00CE357F" w14:paraId="561C3797" w14:textId="77777777" w:rsidTr="00774537">
        <w:trPr>
          <w:trHeight w:val="227"/>
        </w:trPr>
        <w:tc>
          <w:tcPr>
            <w:tcW w:w="1063" w:type="dxa"/>
            <w:shd w:val="clear" w:color="auto" w:fill="D9E2F3" w:themeFill="accent1" w:themeFillTint="33"/>
            <w:vAlign w:val="center"/>
          </w:tcPr>
          <w:p w14:paraId="11B3EB92"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2009</w:t>
            </w:r>
          </w:p>
        </w:tc>
        <w:tc>
          <w:tcPr>
            <w:tcW w:w="1767" w:type="dxa"/>
            <w:vAlign w:val="center"/>
          </w:tcPr>
          <w:p w14:paraId="3E60F1B8"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1462</w:t>
            </w:r>
          </w:p>
        </w:tc>
        <w:tc>
          <w:tcPr>
            <w:tcW w:w="718" w:type="dxa"/>
            <w:vAlign w:val="center"/>
          </w:tcPr>
          <w:p w14:paraId="2825E3BB"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723</w:t>
            </w:r>
          </w:p>
        </w:tc>
        <w:tc>
          <w:tcPr>
            <w:tcW w:w="689" w:type="dxa"/>
            <w:vAlign w:val="center"/>
          </w:tcPr>
          <w:p w14:paraId="509E4623"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68</w:t>
            </w:r>
          </w:p>
        </w:tc>
        <w:tc>
          <w:tcPr>
            <w:tcW w:w="578" w:type="dxa"/>
            <w:vAlign w:val="center"/>
          </w:tcPr>
          <w:p w14:paraId="62F5984F"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791</w:t>
            </w:r>
          </w:p>
        </w:tc>
        <w:tc>
          <w:tcPr>
            <w:tcW w:w="740" w:type="dxa"/>
            <w:vAlign w:val="center"/>
          </w:tcPr>
          <w:p w14:paraId="02E1089D"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604</w:t>
            </w:r>
          </w:p>
        </w:tc>
        <w:tc>
          <w:tcPr>
            <w:tcW w:w="573" w:type="dxa"/>
            <w:vAlign w:val="center"/>
          </w:tcPr>
          <w:p w14:paraId="0E141075"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67</w:t>
            </w:r>
          </w:p>
        </w:tc>
        <w:tc>
          <w:tcPr>
            <w:tcW w:w="733" w:type="dxa"/>
            <w:vAlign w:val="center"/>
          </w:tcPr>
          <w:p w14:paraId="32C80C6F"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671</w:t>
            </w:r>
          </w:p>
        </w:tc>
        <w:tc>
          <w:tcPr>
            <w:tcW w:w="1958" w:type="dxa"/>
            <w:vAlign w:val="center"/>
          </w:tcPr>
          <w:p w14:paraId="3F91C415"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9,2 %</w:t>
            </w:r>
          </w:p>
        </w:tc>
      </w:tr>
      <w:tr w:rsidR="00774537" w:rsidRPr="00CE357F" w14:paraId="36576E65" w14:textId="77777777" w:rsidTr="00774537">
        <w:trPr>
          <w:trHeight w:val="227"/>
        </w:trPr>
        <w:tc>
          <w:tcPr>
            <w:tcW w:w="1063" w:type="dxa"/>
            <w:shd w:val="clear" w:color="auto" w:fill="D9E2F3" w:themeFill="accent1" w:themeFillTint="33"/>
            <w:vAlign w:val="center"/>
          </w:tcPr>
          <w:p w14:paraId="138D6D28"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2008</w:t>
            </w:r>
          </w:p>
        </w:tc>
        <w:tc>
          <w:tcPr>
            <w:tcW w:w="1767" w:type="dxa"/>
            <w:vAlign w:val="center"/>
          </w:tcPr>
          <w:p w14:paraId="33A14E1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1312</w:t>
            </w:r>
          </w:p>
        </w:tc>
        <w:tc>
          <w:tcPr>
            <w:tcW w:w="718" w:type="dxa"/>
            <w:vAlign w:val="center"/>
          </w:tcPr>
          <w:p w14:paraId="4E3D3818"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690</w:t>
            </w:r>
          </w:p>
        </w:tc>
        <w:tc>
          <w:tcPr>
            <w:tcW w:w="689" w:type="dxa"/>
            <w:vAlign w:val="center"/>
          </w:tcPr>
          <w:p w14:paraId="1D9DE0F7"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58</w:t>
            </w:r>
          </w:p>
        </w:tc>
        <w:tc>
          <w:tcPr>
            <w:tcW w:w="578" w:type="dxa"/>
            <w:vAlign w:val="center"/>
          </w:tcPr>
          <w:p w14:paraId="4CCC1AF4"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748</w:t>
            </w:r>
          </w:p>
        </w:tc>
        <w:tc>
          <w:tcPr>
            <w:tcW w:w="740" w:type="dxa"/>
            <w:vAlign w:val="center"/>
          </w:tcPr>
          <w:p w14:paraId="4D32D775"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521</w:t>
            </w:r>
          </w:p>
        </w:tc>
        <w:tc>
          <w:tcPr>
            <w:tcW w:w="573" w:type="dxa"/>
            <w:vAlign w:val="center"/>
          </w:tcPr>
          <w:p w14:paraId="32809505"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43</w:t>
            </w:r>
          </w:p>
        </w:tc>
        <w:tc>
          <w:tcPr>
            <w:tcW w:w="733" w:type="dxa"/>
            <w:vAlign w:val="center"/>
          </w:tcPr>
          <w:p w14:paraId="09E1C1C7"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564</w:t>
            </w:r>
          </w:p>
        </w:tc>
        <w:tc>
          <w:tcPr>
            <w:tcW w:w="1958" w:type="dxa"/>
            <w:vAlign w:val="center"/>
          </w:tcPr>
          <w:p w14:paraId="34D3A46B"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7,7 %</w:t>
            </w:r>
          </w:p>
        </w:tc>
      </w:tr>
      <w:tr w:rsidR="00774537" w:rsidRPr="00CE357F" w14:paraId="42FE25CE" w14:textId="77777777" w:rsidTr="00774537">
        <w:trPr>
          <w:trHeight w:val="227"/>
        </w:trPr>
        <w:tc>
          <w:tcPr>
            <w:tcW w:w="1063" w:type="dxa"/>
            <w:shd w:val="clear" w:color="auto" w:fill="D9E2F3" w:themeFill="accent1" w:themeFillTint="33"/>
            <w:vAlign w:val="center"/>
          </w:tcPr>
          <w:p w14:paraId="5332E425"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2007</w:t>
            </w:r>
          </w:p>
        </w:tc>
        <w:tc>
          <w:tcPr>
            <w:tcW w:w="1767" w:type="dxa"/>
            <w:vAlign w:val="center"/>
          </w:tcPr>
          <w:p w14:paraId="626735E8"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1 068</w:t>
            </w:r>
          </w:p>
        </w:tc>
        <w:tc>
          <w:tcPr>
            <w:tcW w:w="718" w:type="dxa"/>
            <w:vAlign w:val="center"/>
          </w:tcPr>
          <w:p w14:paraId="2C8BF6A6"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w:t>
            </w:r>
          </w:p>
        </w:tc>
        <w:tc>
          <w:tcPr>
            <w:tcW w:w="689" w:type="dxa"/>
            <w:vAlign w:val="center"/>
          </w:tcPr>
          <w:p w14:paraId="10821154"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w:t>
            </w:r>
          </w:p>
        </w:tc>
        <w:tc>
          <w:tcPr>
            <w:tcW w:w="578" w:type="dxa"/>
            <w:vAlign w:val="center"/>
          </w:tcPr>
          <w:p w14:paraId="68DF80E1"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587</w:t>
            </w:r>
          </w:p>
        </w:tc>
        <w:tc>
          <w:tcPr>
            <w:tcW w:w="740" w:type="dxa"/>
            <w:vAlign w:val="center"/>
          </w:tcPr>
          <w:p w14:paraId="61602EDF"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w:t>
            </w:r>
          </w:p>
        </w:tc>
        <w:tc>
          <w:tcPr>
            <w:tcW w:w="573" w:type="dxa"/>
            <w:vAlign w:val="center"/>
          </w:tcPr>
          <w:p w14:paraId="41F319DF"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w:t>
            </w:r>
          </w:p>
        </w:tc>
        <w:tc>
          <w:tcPr>
            <w:tcW w:w="733" w:type="dxa"/>
            <w:vAlign w:val="center"/>
          </w:tcPr>
          <w:p w14:paraId="26345954"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481</w:t>
            </w:r>
          </w:p>
        </w:tc>
        <w:tc>
          <w:tcPr>
            <w:tcW w:w="1958" w:type="dxa"/>
            <w:vAlign w:val="center"/>
          </w:tcPr>
          <w:p w14:paraId="4153B2C6"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w:t>
            </w:r>
          </w:p>
        </w:tc>
      </w:tr>
      <w:tr w:rsidR="00774537" w:rsidRPr="00CE357F" w14:paraId="7A74CB64" w14:textId="77777777" w:rsidTr="00774537">
        <w:trPr>
          <w:trHeight w:val="204"/>
        </w:trPr>
        <w:tc>
          <w:tcPr>
            <w:tcW w:w="1063" w:type="dxa"/>
            <w:shd w:val="clear" w:color="auto" w:fill="D9E2F3" w:themeFill="accent1" w:themeFillTint="33"/>
            <w:vAlign w:val="center"/>
          </w:tcPr>
          <w:p w14:paraId="2AFD1B71"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2006</w:t>
            </w:r>
          </w:p>
        </w:tc>
        <w:tc>
          <w:tcPr>
            <w:tcW w:w="1767" w:type="dxa"/>
            <w:vAlign w:val="center"/>
          </w:tcPr>
          <w:p w14:paraId="4B127C17" w14:textId="77777777" w:rsidR="00774537" w:rsidRPr="00CE357F" w:rsidRDefault="00774537" w:rsidP="00774537">
            <w:pPr>
              <w:jc w:val="center"/>
              <w:rPr>
                <w:rFonts w:ascii="Arial Narrow" w:hAnsi="Arial Narrow"/>
                <w:sz w:val="18"/>
                <w:szCs w:val="18"/>
              </w:rPr>
            </w:pPr>
            <w:r w:rsidRPr="00CE357F">
              <w:rPr>
                <w:rFonts w:ascii="Arial Narrow" w:hAnsi="Arial Narrow"/>
                <w:sz w:val="18"/>
                <w:szCs w:val="18"/>
              </w:rPr>
              <w:t>892</w:t>
            </w:r>
          </w:p>
        </w:tc>
        <w:tc>
          <w:tcPr>
            <w:tcW w:w="718" w:type="dxa"/>
            <w:vAlign w:val="center"/>
          </w:tcPr>
          <w:p w14:paraId="1F2F677B"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w:t>
            </w:r>
          </w:p>
        </w:tc>
        <w:tc>
          <w:tcPr>
            <w:tcW w:w="689" w:type="dxa"/>
            <w:vAlign w:val="center"/>
          </w:tcPr>
          <w:p w14:paraId="78A1AD73"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w:t>
            </w:r>
          </w:p>
        </w:tc>
        <w:tc>
          <w:tcPr>
            <w:tcW w:w="578" w:type="dxa"/>
            <w:vAlign w:val="center"/>
          </w:tcPr>
          <w:p w14:paraId="6D8817D3"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482</w:t>
            </w:r>
          </w:p>
        </w:tc>
        <w:tc>
          <w:tcPr>
            <w:tcW w:w="740" w:type="dxa"/>
            <w:vAlign w:val="center"/>
          </w:tcPr>
          <w:p w14:paraId="1906EE05"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w:t>
            </w:r>
          </w:p>
        </w:tc>
        <w:tc>
          <w:tcPr>
            <w:tcW w:w="573" w:type="dxa"/>
            <w:vAlign w:val="center"/>
          </w:tcPr>
          <w:p w14:paraId="39E5ECBD"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w:t>
            </w:r>
          </w:p>
        </w:tc>
        <w:tc>
          <w:tcPr>
            <w:tcW w:w="733" w:type="dxa"/>
            <w:vAlign w:val="center"/>
          </w:tcPr>
          <w:p w14:paraId="44B7EDF8" w14:textId="77777777" w:rsidR="00774537" w:rsidRPr="00CE357F" w:rsidRDefault="00774537" w:rsidP="00774537">
            <w:pPr>
              <w:spacing w:after="46"/>
              <w:jc w:val="center"/>
              <w:rPr>
                <w:rFonts w:ascii="Arial Narrow" w:hAnsi="Arial Narrow"/>
                <w:sz w:val="18"/>
                <w:szCs w:val="18"/>
              </w:rPr>
            </w:pPr>
            <w:r w:rsidRPr="00CE357F">
              <w:rPr>
                <w:rFonts w:ascii="Arial Narrow" w:hAnsi="Arial Narrow"/>
                <w:sz w:val="18"/>
                <w:szCs w:val="18"/>
              </w:rPr>
              <w:t>410</w:t>
            </w:r>
          </w:p>
        </w:tc>
        <w:tc>
          <w:tcPr>
            <w:tcW w:w="1958" w:type="dxa"/>
            <w:vAlign w:val="center"/>
          </w:tcPr>
          <w:p w14:paraId="5F311EBB" w14:textId="77777777" w:rsidR="00774537" w:rsidRPr="00CE357F" w:rsidRDefault="00774537" w:rsidP="00774537">
            <w:pPr>
              <w:jc w:val="center"/>
              <w:rPr>
                <w:rFonts w:ascii="Arial Narrow" w:hAnsi="Arial Narrow"/>
                <w:b/>
                <w:bCs/>
                <w:color w:val="C00000"/>
                <w:sz w:val="18"/>
                <w:szCs w:val="18"/>
              </w:rPr>
            </w:pPr>
            <w:r w:rsidRPr="00CE357F">
              <w:rPr>
                <w:rFonts w:ascii="Arial Narrow" w:hAnsi="Arial Narrow"/>
                <w:b/>
                <w:bCs/>
                <w:color w:val="C00000"/>
                <w:sz w:val="18"/>
                <w:szCs w:val="18"/>
              </w:rPr>
              <w:t>-</w:t>
            </w:r>
          </w:p>
        </w:tc>
      </w:tr>
    </w:tbl>
    <w:p w14:paraId="6DABA4E6" w14:textId="77777777" w:rsidR="007060E7" w:rsidRPr="00CE357F" w:rsidRDefault="007060E7" w:rsidP="007060E7">
      <w:pPr>
        <w:rPr>
          <w:rFonts w:ascii="Arial Narrow" w:hAnsi="Arial Narrow"/>
          <w:b/>
          <w:bCs/>
          <w:sz w:val="32"/>
          <w:szCs w:val="32"/>
        </w:rPr>
      </w:pPr>
      <w:r w:rsidRPr="00CE357F">
        <w:rPr>
          <w:rFonts w:ascii="Arial Narrow" w:hAnsi="Arial Narrow"/>
          <w:color w:val="000000"/>
          <w:lang w:eastAsia="cs-CZ"/>
        </w:rPr>
        <w:t xml:space="preserve">Zdroj </w:t>
      </w:r>
      <w:r w:rsidRPr="00CE357F">
        <w:rPr>
          <w:rFonts w:ascii="Arial Narrow" w:hAnsi="Arial Narrow"/>
        </w:rPr>
        <w:t>Ministerstvo vnitra České republiky</w:t>
      </w:r>
      <w:r w:rsidRPr="00CE357F">
        <w:rPr>
          <w:rFonts w:ascii="Arial Narrow" w:hAnsi="Arial Narrow"/>
          <w:color w:val="000000"/>
          <w:lang w:eastAsia="cs-CZ"/>
        </w:rPr>
        <w:tab/>
      </w:r>
      <w:r w:rsidRPr="00CE357F">
        <w:rPr>
          <w:rFonts w:ascii="Arial Narrow" w:hAnsi="Arial Narrow"/>
          <w:color w:val="000000"/>
          <w:lang w:eastAsia="cs-CZ"/>
        </w:rPr>
        <w:tab/>
      </w:r>
      <w:r w:rsidRPr="00CE357F">
        <w:rPr>
          <w:rFonts w:ascii="Arial Narrow" w:hAnsi="Arial Narrow"/>
          <w:color w:val="000000"/>
          <w:lang w:eastAsia="cs-CZ"/>
        </w:rPr>
        <w:tab/>
      </w:r>
      <w:r w:rsidRPr="00CE357F">
        <w:rPr>
          <w:rFonts w:ascii="Arial Narrow" w:hAnsi="Arial Narrow"/>
          <w:color w:val="000000"/>
          <w:lang w:eastAsia="cs-CZ"/>
        </w:rPr>
        <w:tab/>
        <w:t xml:space="preserve">             </w:t>
      </w:r>
      <w:r w:rsidRPr="00CE357F">
        <w:rPr>
          <w:rFonts w:ascii="Arial Narrow" w:hAnsi="Arial Narrow"/>
        </w:rPr>
        <w:t xml:space="preserve">Tabulka: AUGUR </w:t>
      </w:r>
      <w:proofErr w:type="spellStart"/>
      <w:r w:rsidRPr="00CE357F">
        <w:rPr>
          <w:rFonts w:ascii="Arial Narrow" w:hAnsi="Arial Narrow"/>
        </w:rPr>
        <w:t>Consulting</w:t>
      </w:r>
      <w:proofErr w:type="spellEnd"/>
      <w:r w:rsidRPr="00CE357F">
        <w:rPr>
          <w:rFonts w:ascii="Arial Narrow" w:hAnsi="Arial Narrow"/>
        </w:rPr>
        <w:t xml:space="preserve"> s.r.o.</w:t>
      </w:r>
    </w:p>
    <w:p w14:paraId="3688279F" w14:textId="70FD1FB2" w:rsidR="007060E7" w:rsidRPr="00CE357F" w:rsidRDefault="00BF2AB3" w:rsidP="007060E7">
      <w:pPr>
        <w:spacing w:after="240" w:line="276" w:lineRule="auto"/>
        <w:rPr>
          <w:rFonts w:ascii="Arial Narrow" w:hAnsi="Arial Narrow"/>
          <w:b/>
          <w:bCs/>
          <w:color w:val="C00000"/>
        </w:rPr>
      </w:pPr>
      <w:bookmarkStart w:id="576" w:name="_Hlk94278911"/>
      <w:r w:rsidRPr="00CE357F">
        <w:rPr>
          <w:rFonts w:ascii="Arial Narrow" w:hAnsi="Arial Narrow"/>
          <w:b/>
          <w:bCs/>
          <w:color w:val="C00000"/>
        </w:rPr>
        <w:br/>
      </w:r>
      <w:r w:rsidR="007060E7" w:rsidRPr="00CE357F">
        <w:rPr>
          <w:rFonts w:ascii="Arial Narrow" w:hAnsi="Arial Narrow"/>
          <w:b/>
          <w:bCs/>
          <w:color w:val="C00000"/>
        </w:rPr>
        <w:t xml:space="preserve">Osoby s jinou než českou státní příslušností </w:t>
      </w:r>
      <w:r w:rsidR="00C50D20" w:rsidRPr="00CE357F">
        <w:rPr>
          <w:rFonts w:ascii="Arial Narrow" w:hAnsi="Arial Narrow"/>
          <w:b/>
          <w:bCs/>
          <w:color w:val="C00000"/>
        </w:rPr>
        <w:t>v ORP Blansko v letech 2021</w:t>
      </w:r>
      <w:r w:rsidR="00774537">
        <w:rPr>
          <w:rFonts w:ascii="Arial Narrow" w:hAnsi="Arial Narrow"/>
          <w:b/>
          <w:bCs/>
          <w:color w:val="C00000"/>
        </w:rPr>
        <w:t>, 2022</w:t>
      </w:r>
      <w:r w:rsidR="00C50D20" w:rsidRPr="00CE357F">
        <w:rPr>
          <w:rFonts w:ascii="Arial Narrow" w:hAnsi="Arial Narrow"/>
          <w:b/>
          <w:bCs/>
          <w:color w:val="C00000"/>
        </w:rPr>
        <w:t xml:space="preserve"> a </w:t>
      </w:r>
      <w:r w:rsidR="007060E7" w:rsidRPr="00CE357F">
        <w:rPr>
          <w:rFonts w:ascii="Arial Narrow" w:hAnsi="Arial Narrow"/>
          <w:b/>
          <w:bCs/>
          <w:color w:val="C00000"/>
        </w:rPr>
        <w:t>202</w:t>
      </w:r>
      <w:r w:rsidR="00774537">
        <w:rPr>
          <w:rFonts w:ascii="Arial Narrow" w:hAnsi="Arial Narrow"/>
          <w:b/>
          <w:bCs/>
          <w:color w:val="C00000"/>
        </w:rPr>
        <w:t>3</w:t>
      </w:r>
    </w:p>
    <w:p w14:paraId="2064D1DC" w14:textId="6A65D2D4" w:rsidR="007060E7" w:rsidRPr="00CE357F" w:rsidRDefault="007060E7" w:rsidP="007060E7">
      <w:pPr>
        <w:spacing w:after="240" w:line="276" w:lineRule="auto"/>
        <w:rPr>
          <w:rFonts w:ascii="Arial Narrow" w:hAnsi="Arial Narrow"/>
          <w:bCs/>
        </w:rPr>
      </w:pPr>
      <w:bookmarkStart w:id="577" w:name="_Hlk94278923"/>
      <w:bookmarkEnd w:id="576"/>
      <w:r w:rsidRPr="00CE357F">
        <w:rPr>
          <w:rFonts w:ascii="Arial Narrow" w:hAnsi="Arial Narrow"/>
          <w:bCs/>
        </w:rPr>
        <w:t>Tato kapitola podrobně mapuje počet osob s jinou než českou státní příslušností ve vybraných</w:t>
      </w:r>
      <w:r w:rsidR="00C50D20" w:rsidRPr="00CE357F">
        <w:rPr>
          <w:rFonts w:ascii="Arial Narrow" w:hAnsi="Arial Narrow"/>
          <w:bCs/>
        </w:rPr>
        <w:t xml:space="preserve"> obcí ORP Blansko v letech 2021</w:t>
      </w:r>
      <w:r w:rsidR="00774537">
        <w:rPr>
          <w:rFonts w:ascii="Arial Narrow" w:hAnsi="Arial Narrow"/>
          <w:bCs/>
        </w:rPr>
        <w:t>, 2022</w:t>
      </w:r>
      <w:r w:rsidR="00C50D20" w:rsidRPr="00CE357F">
        <w:rPr>
          <w:rFonts w:ascii="Arial Narrow" w:hAnsi="Arial Narrow"/>
          <w:bCs/>
        </w:rPr>
        <w:t xml:space="preserve"> a </w:t>
      </w:r>
      <w:r w:rsidRPr="00CE357F">
        <w:rPr>
          <w:rFonts w:ascii="Arial Narrow" w:hAnsi="Arial Narrow"/>
          <w:bCs/>
        </w:rPr>
        <w:t>202</w:t>
      </w:r>
      <w:r w:rsidR="00774537">
        <w:rPr>
          <w:rFonts w:ascii="Arial Narrow" w:hAnsi="Arial Narrow"/>
          <w:bCs/>
        </w:rPr>
        <w:t>3</w:t>
      </w:r>
      <w:r w:rsidRPr="00CE357F">
        <w:rPr>
          <w:rFonts w:ascii="Arial Narrow" w:hAnsi="Arial Narrow"/>
          <w:bCs/>
        </w:rPr>
        <w:t xml:space="preserve"> dle věku, pohlaví a podílu těchto osob na celkovém počtu obyvatel daných obcí. </w:t>
      </w:r>
    </w:p>
    <w:bookmarkEnd w:id="577"/>
    <w:p w14:paraId="66E81889" w14:textId="77777777" w:rsidR="007060E7" w:rsidRPr="00CE357F" w:rsidRDefault="007060E7" w:rsidP="007060E7">
      <w:pPr>
        <w:spacing w:line="276" w:lineRule="auto"/>
        <w:rPr>
          <w:rFonts w:ascii="Arial Narrow" w:hAnsi="Arial Narrow"/>
          <w:b/>
          <w:bCs/>
          <w:color w:val="000000" w:themeColor="text1"/>
        </w:rPr>
      </w:pPr>
      <w:r w:rsidRPr="00CE357F">
        <w:rPr>
          <w:rFonts w:ascii="Arial Narrow" w:hAnsi="Arial Narrow"/>
          <w:b/>
          <w:bCs/>
          <w:color w:val="000000" w:themeColor="text1"/>
        </w:rPr>
        <w:t>Osoby s jinou než českou státní příslušností v ORP Blansko k datu 1. 1. 2021</w:t>
      </w:r>
    </w:p>
    <w:p w14:paraId="71022991" w14:textId="1F0F43C3" w:rsidR="007060E7" w:rsidRPr="00CE357F" w:rsidRDefault="007060E7" w:rsidP="007060E7">
      <w:pPr>
        <w:spacing w:after="120" w:line="276" w:lineRule="auto"/>
        <w:jc w:val="both"/>
        <w:rPr>
          <w:rFonts w:ascii="Arial Narrow" w:hAnsi="Arial Narrow"/>
          <w:color w:val="000000"/>
        </w:rPr>
      </w:pPr>
      <w:r w:rsidRPr="00CE357F">
        <w:rPr>
          <w:rFonts w:ascii="Arial Narrow" w:hAnsi="Arial Narrow"/>
          <w:color w:val="000000"/>
        </w:rPr>
        <w:br/>
        <w:t>V ORP Blansko žilo k datu 1. 1. 2021 celkem 1 517 osob s jinou než českou státní příslušností, což bylo zhruba 2,7 % všech obyvatel ORP Blansko. Téměř dvě třetiny (65,7 %) všech osob s jinou než českou státní příslušností na území OPR Blansko měl</w:t>
      </w:r>
      <w:r w:rsidR="00BF2AB3" w:rsidRPr="00CE357F">
        <w:rPr>
          <w:rFonts w:ascii="Arial Narrow" w:hAnsi="Arial Narrow"/>
          <w:color w:val="000000"/>
        </w:rPr>
        <w:t>y</w:t>
      </w:r>
      <w:r w:rsidRPr="00CE357F">
        <w:rPr>
          <w:rFonts w:ascii="Arial Narrow" w:hAnsi="Arial Narrow"/>
          <w:color w:val="000000"/>
        </w:rPr>
        <w:t xml:space="preserve"> trvalý pobyt, 34,3 % pak pobyt přechodný. Podíl dětí do 15 let na celkovém počtu těchto osob v ORP Blansko byl 16,7 %. Nejvyšší podíl osob s jinou než českou státní příslušností na celkovém počtu obyvatel v dané obci byl v obci Kuničky (5,3 %), druhý nejvyšší podíl byl evidován v Blansku (4,3 %) a třetí v obci Ráječko (4,2 %).</w:t>
      </w:r>
    </w:p>
    <w:p w14:paraId="055CEF26" w14:textId="46A706F1" w:rsidR="007060E7" w:rsidRPr="00CE357F" w:rsidRDefault="007060E7" w:rsidP="007060E7">
      <w:pPr>
        <w:shd w:val="clear" w:color="auto" w:fill="FFFFFF" w:themeFill="background1"/>
        <w:spacing w:after="120" w:line="276" w:lineRule="auto"/>
        <w:jc w:val="both"/>
        <w:rPr>
          <w:rFonts w:ascii="Arial Narrow" w:hAnsi="Arial Narrow"/>
          <w:color w:val="000000"/>
        </w:rPr>
      </w:pPr>
      <w:r w:rsidRPr="00CE357F">
        <w:rPr>
          <w:rFonts w:ascii="Arial Narrow" w:hAnsi="Arial Narrow"/>
          <w:color w:val="000000"/>
        </w:rPr>
        <w:t>V ORP B</w:t>
      </w:r>
      <w:r w:rsidR="00082549">
        <w:rPr>
          <w:rFonts w:ascii="Arial Narrow" w:hAnsi="Arial Narrow"/>
          <w:color w:val="000000"/>
        </w:rPr>
        <w:t>lansko</w:t>
      </w:r>
      <w:r w:rsidRPr="00CE357F">
        <w:rPr>
          <w:rFonts w:ascii="Arial Narrow" w:hAnsi="Arial Narrow"/>
          <w:color w:val="000000"/>
        </w:rPr>
        <w:t xml:space="preserve"> bylo k 1. 1. 2021 celkem 43 obcí, přičemž ve 41 z nich byla evidována alespoň jedna osoba s jinou než českou státní příslušností. Z důvodu velkého množství dat dále pracujeme jen s obcemi, na jejichž území v dané době pobývalo 10 a více těchto osob.</w:t>
      </w:r>
      <w:r w:rsidR="009E089C">
        <w:rPr>
          <w:rFonts w:ascii="Arial Narrow" w:hAnsi="Arial Narrow"/>
          <w:color w:val="000000"/>
        </w:rPr>
        <w:t xml:space="preserve"> </w:t>
      </w:r>
      <w:r w:rsidRPr="00CE357F">
        <w:rPr>
          <w:rFonts w:ascii="Arial Narrow" w:hAnsi="Arial Narrow"/>
          <w:color w:val="000000"/>
        </w:rPr>
        <w:t>Počty osob s jinou než českou státní příslušností v daných obcích včetně rozdělení těchto osob podle pohlaví a věku podrobně dokumentuj</w:t>
      </w:r>
      <w:r w:rsidR="009E089C">
        <w:rPr>
          <w:rFonts w:ascii="Arial Narrow" w:hAnsi="Arial Narrow"/>
          <w:color w:val="000000"/>
        </w:rPr>
        <w:t>í</w:t>
      </w:r>
      <w:r w:rsidRPr="00CE357F">
        <w:rPr>
          <w:rFonts w:ascii="Arial Narrow" w:hAnsi="Arial Narrow"/>
          <w:color w:val="000000"/>
        </w:rPr>
        <w:t xml:space="preserve"> tabulka</w:t>
      </w:r>
      <w:r w:rsidR="009E089C">
        <w:rPr>
          <w:rFonts w:ascii="Arial Narrow" w:hAnsi="Arial Narrow"/>
          <w:color w:val="000000"/>
        </w:rPr>
        <w:t xml:space="preserve"> č. 26 a graf č. 96</w:t>
      </w:r>
      <w:r w:rsidRPr="00CE357F">
        <w:rPr>
          <w:rFonts w:ascii="Arial Narrow" w:hAnsi="Arial Narrow"/>
          <w:color w:val="000000"/>
        </w:rPr>
        <w:t xml:space="preserve">. </w:t>
      </w:r>
    </w:p>
    <w:p w14:paraId="594F36C8" w14:textId="72F2E2F4" w:rsidR="007060E7" w:rsidRPr="00CE357F" w:rsidRDefault="007060E7" w:rsidP="007060E7">
      <w:pPr>
        <w:jc w:val="both"/>
        <w:rPr>
          <w:rFonts w:ascii="Arial Narrow" w:hAnsi="Arial Narrow"/>
          <w:b/>
          <w:bCs/>
          <w:sz w:val="24"/>
          <w:szCs w:val="24"/>
        </w:rPr>
      </w:pPr>
      <w:bookmarkStart w:id="578" w:name="_Toc136429237"/>
      <w:bookmarkStart w:id="579" w:name="_Hlk94277807"/>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26</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Blansko v roce 2021</w:t>
      </w:r>
      <w:bookmarkEnd w:id="578"/>
    </w:p>
    <w:tbl>
      <w:tblPr>
        <w:tblW w:w="4946"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374"/>
        <w:gridCol w:w="766"/>
        <w:gridCol w:w="1300"/>
        <w:gridCol w:w="1666"/>
        <w:gridCol w:w="572"/>
        <w:gridCol w:w="515"/>
        <w:gridCol w:w="791"/>
        <w:gridCol w:w="743"/>
        <w:gridCol w:w="7"/>
        <w:gridCol w:w="506"/>
        <w:gridCol w:w="7"/>
        <w:gridCol w:w="710"/>
        <w:gridCol w:w="7"/>
      </w:tblGrid>
      <w:tr w:rsidR="007060E7" w:rsidRPr="00CE357F" w14:paraId="5CDAEABD" w14:textId="77777777" w:rsidTr="007060E7">
        <w:trPr>
          <w:trHeight w:val="204"/>
        </w:trPr>
        <w:tc>
          <w:tcPr>
            <w:tcW w:w="1418" w:type="dxa"/>
            <w:vMerge w:val="restart"/>
            <w:shd w:val="clear" w:color="auto" w:fill="D9E2F3" w:themeFill="accent1" w:themeFillTint="33"/>
            <w:vAlign w:val="center"/>
          </w:tcPr>
          <w:bookmarkEnd w:id="579"/>
          <w:p w14:paraId="4EF5766A"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766" w:type="dxa"/>
            <w:vMerge w:val="restart"/>
            <w:shd w:val="clear" w:color="auto" w:fill="D9E2F3" w:themeFill="accent1" w:themeFillTint="33"/>
            <w:vAlign w:val="center"/>
          </w:tcPr>
          <w:p w14:paraId="39CC9F98" w14:textId="77777777" w:rsidR="007060E7" w:rsidRPr="00CE357F" w:rsidRDefault="007060E7" w:rsidP="007060E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336" w:type="dxa"/>
            <w:vMerge w:val="restart"/>
            <w:shd w:val="clear" w:color="auto" w:fill="D9E2F3" w:themeFill="accent1" w:themeFillTint="33"/>
            <w:vAlign w:val="center"/>
          </w:tcPr>
          <w:p w14:paraId="7A1350F3" w14:textId="77777777" w:rsidR="007060E7" w:rsidRPr="00CE357F" w:rsidRDefault="007060E7" w:rsidP="007060E7">
            <w:pPr>
              <w:jc w:val="center"/>
              <w:rPr>
                <w:rFonts w:ascii="Arial Narrow" w:hAnsi="Arial Narrow"/>
                <w:bCs/>
                <w:sz w:val="18"/>
                <w:szCs w:val="18"/>
              </w:rPr>
            </w:pPr>
            <w:bookmarkStart w:id="580" w:name="_Hlk94278363"/>
            <w:r w:rsidRPr="00CE357F">
              <w:rPr>
                <w:rFonts w:ascii="Arial Narrow" w:hAnsi="Arial Narrow"/>
                <w:bCs/>
                <w:color w:val="000000"/>
                <w:sz w:val="18"/>
                <w:szCs w:val="18"/>
              </w:rPr>
              <w:t>Osoby s jinou než českou státní příslušností</w:t>
            </w:r>
            <w:r w:rsidRPr="00CE357F">
              <w:rPr>
                <w:rFonts w:ascii="Arial Narrow" w:eastAsia="Times New Roman" w:hAnsi="Arial Narrow" w:cs="Arial"/>
                <w:bCs/>
                <w:sz w:val="18"/>
                <w:szCs w:val="18"/>
                <w:lang w:eastAsia="cs-CZ"/>
              </w:rPr>
              <w:t xml:space="preserve"> </w:t>
            </w:r>
            <w:bookmarkEnd w:id="580"/>
            <w:r w:rsidRPr="00CE357F">
              <w:rPr>
                <w:rFonts w:ascii="Arial Narrow" w:eastAsia="Times New Roman" w:hAnsi="Arial Narrow" w:cs="Arial"/>
                <w:bCs/>
                <w:sz w:val="18"/>
                <w:szCs w:val="18"/>
                <w:lang w:eastAsia="cs-CZ"/>
              </w:rPr>
              <w:t>celkem</w:t>
            </w:r>
          </w:p>
        </w:tc>
        <w:tc>
          <w:tcPr>
            <w:tcW w:w="1743" w:type="dxa"/>
            <w:vMerge w:val="restart"/>
            <w:shd w:val="clear" w:color="auto" w:fill="D9E2F3" w:themeFill="accent1" w:themeFillTint="33"/>
            <w:vAlign w:val="center"/>
          </w:tcPr>
          <w:p w14:paraId="52156619" w14:textId="77777777" w:rsidR="007060E7" w:rsidRPr="00CE357F" w:rsidRDefault="007060E7" w:rsidP="007060E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 xml:space="preserve">Podíl </w:t>
            </w:r>
            <w:r w:rsidRPr="00CE357F">
              <w:rPr>
                <w:rFonts w:ascii="Arial Narrow" w:hAnsi="Arial Narrow"/>
                <w:bCs/>
                <w:color w:val="000000"/>
                <w:sz w:val="18"/>
                <w:szCs w:val="18"/>
              </w:rPr>
              <w:t>osob s jinou než českou státní příslušností</w:t>
            </w:r>
            <w:r w:rsidRPr="00CE357F">
              <w:rPr>
                <w:rFonts w:ascii="Arial Narrow" w:eastAsia="Times New Roman" w:hAnsi="Arial Narrow" w:cs="Arial"/>
                <w:bCs/>
                <w:sz w:val="18"/>
                <w:szCs w:val="18"/>
                <w:lang w:eastAsia="cs-CZ"/>
              </w:rPr>
              <w:t xml:space="preserve"> na celkovém počtu obyvatel</w:t>
            </w:r>
          </w:p>
        </w:tc>
        <w:tc>
          <w:tcPr>
            <w:tcW w:w="1907" w:type="dxa"/>
            <w:gridSpan w:val="3"/>
            <w:shd w:val="clear" w:color="auto" w:fill="D9E2F3" w:themeFill="accent1" w:themeFillTint="33"/>
            <w:vAlign w:val="center"/>
          </w:tcPr>
          <w:p w14:paraId="19FAB59C" w14:textId="77777777" w:rsidR="007060E7" w:rsidRPr="00CE357F" w:rsidRDefault="007060E7" w:rsidP="007060E7">
            <w:pPr>
              <w:jc w:val="center"/>
              <w:rPr>
                <w:rFonts w:ascii="Arial Narrow" w:hAnsi="Arial Narrow"/>
                <w:bCs/>
                <w:sz w:val="18"/>
                <w:szCs w:val="18"/>
              </w:rPr>
            </w:pPr>
            <w:r w:rsidRPr="00CE357F">
              <w:rPr>
                <w:rFonts w:ascii="Arial Narrow" w:eastAsia="Times New Roman" w:hAnsi="Arial Narrow" w:cs="Arial"/>
                <w:bCs/>
                <w:sz w:val="18"/>
                <w:szCs w:val="18"/>
                <w:lang w:eastAsia="cs-CZ"/>
              </w:rPr>
              <w:t>Muži</w:t>
            </w:r>
          </w:p>
        </w:tc>
        <w:tc>
          <w:tcPr>
            <w:tcW w:w="2018" w:type="dxa"/>
            <w:gridSpan w:val="6"/>
            <w:shd w:val="clear" w:color="auto" w:fill="D9E2F3" w:themeFill="accent1" w:themeFillTint="33"/>
            <w:vAlign w:val="center"/>
          </w:tcPr>
          <w:p w14:paraId="4215E40F" w14:textId="77777777" w:rsidR="007060E7" w:rsidRPr="00CE357F" w:rsidRDefault="007060E7" w:rsidP="007060E7">
            <w:pPr>
              <w:jc w:val="center"/>
              <w:rPr>
                <w:rFonts w:ascii="Arial Narrow" w:hAnsi="Arial Narrow"/>
                <w:bCs/>
                <w:sz w:val="18"/>
                <w:szCs w:val="18"/>
              </w:rPr>
            </w:pPr>
            <w:r w:rsidRPr="00CE357F">
              <w:rPr>
                <w:rFonts w:ascii="Arial Narrow" w:eastAsia="Times New Roman" w:hAnsi="Arial Narrow" w:cs="Arial"/>
                <w:bCs/>
                <w:sz w:val="18"/>
                <w:szCs w:val="18"/>
                <w:lang w:eastAsia="cs-CZ"/>
              </w:rPr>
              <w:t>Ženy</w:t>
            </w:r>
          </w:p>
        </w:tc>
      </w:tr>
      <w:tr w:rsidR="007060E7" w:rsidRPr="00CE357F" w14:paraId="1FEDB043" w14:textId="77777777" w:rsidTr="007060E7">
        <w:trPr>
          <w:gridAfter w:val="1"/>
          <w:wAfter w:w="7" w:type="dxa"/>
          <w:trHeight w:val="204"/>
        </w:trPr>
        <w:tc>
          <w:tcPr>
            <w:tcW w:w="1418" w:type="dxa"/>
            <w:vMerge/>
            <w:shd w:val="clear" w:color="auto" w:fill="D9E2F3" w:themeFill="accent1" w:themeFillTint="33"/>
            <w:vAlign w:val="center"/>
          </w:tcPr>
          <w:p w14:paraId="556C45F3" w14:textId="77777777" w:rsidR="007060E7" w:rsidRPr="00CE357F" w:rsidRDefault="007060E7" w:rsidP="007060E7">
            <w:pPr>
              <w:jc w:val="center"/>
              <w:rPr>
                <w:rFonts w:ascii="Arial Narrow" w:eastAsia="Times New Roman" w:hAnsi="Arial Narrow" w:cs="Arial"/>
                <w:sz w:val="18"/>
                <w:szCs w:val="18"/>
                <w:lang w:eastAsia="cs-CZ"/>
              </w:rPr>
            </w:pPr>
          </w:p>
        </w:tc>
        <w:tc>
          <w:tcPr>
            <w:tcW w:w="766" w:type="dxa"/>
            <w:vMerge/>
            <w:shd w:val="clear" w:color="auto" w:fill="D9E2F3" w:themeFill="accent1" w:themeFillTint="33"/>
            <w:vAlign w:val="center"/>
          </w:tcPr>
          <w:p w14:paraId="35C46DB2" w14:textId="77777777" w:rsidR="007060E7" w:rsidRPr="00CE357F" w:rsidRDefault="007060E7" w:rsidP="007060E7">
            <w:pPr>
              <w:jc w:val="center"/>
              <w:rPr>
                <w:rFonts w:ascii="Arial Narrow" w:eastAsia="Times New Roman" w:hAnsi="Arial Narrow" w:cs="Arial"/>
                <w:sz w:val="18"/>
                <w:szCs w:val="18"/>
                <w:lang w:eastAsia="cs-CZ"/>
              </w:rPr>
            </w:pPr>
          </w:p>
        </w:tc>
        <w:tc>
          <w:tcPr>
            <w:tcW w:w="1336" w:type="dxa"/>
            <w:vMerge/>
            <w:shd w:val="clear" w:color="auto" w:fill="D9E2F3" w:themeFill="accent1" w:themeFillTint="33"/>
            <w:vAlign w:val="center"/>
          </w:tcPr>
          <w:p w14:paraId="4BB10727" w14:textId="77777777" w:rsidR="007060E7" w:rsidRPr="00CE357F" w:rsidRDefault="007060E7" w:rsidP="007060E7">
            <w:pPr>
              <w:jc w:val="center"/>
              <w:rPr>
                <w:rFonts w:ascii="Arial Narrow" w:eastAsia="Times New Roman" w:hAnsi="Arial Narrow" w:cs="Arial"/>
                <w:sz w:val="18"/>
                <w:szCs w:val="18"/>
                <w:lang w:eastAsia="cs-CZ"/>
              </w:rPr>
            </w:pPr>
          </w:p>
        </w:tc>
        <w:tc>
          <w:tcPr>
            <w:tcW w:w="1743" w:type="dxa"/>
            <w:vMerge/>
            <w:shd w:val="clear" w:color="auto" w:fill="D9E2F3" w:themeFill="accent1" w:themeFillTint="33"/>
            <w:vAlign w:val="center"/>
          </w:tcPr>
          <w:p w14:paraId="616C3390" w14:textId="77777777" w:rsidR="007060E7" w:rsidRPr="00CE357F" w:rsidRDefault="007060E7" w:rsidP="007060E7">
            <w:pPr>
              <w:jc w:val="center"/>
              <w:rPr>
                <w:rFonts w:ascii="Arial Narrow" w:eastAsia="Times New Roman" w:hAnsi="Arial Narrow" w:cs="Arial"/>
                <w:sz w:val="18"/>
                <w:szCs w:val="18"/>
                <w:lang w:eastAsia="cs-CZ"/>
              </w:rPr>
            </w:pPr>
          </w:p>
        </w:tc>
        <w:tc>
          <w:tcPr>
            <w:tcW w:w="581" w:type="dxa"/>
            <w:shd w:val="clear" w:color="auto" w:fill="D9E2F3" w:themeFill="accent1" w:themeFillTint="33"/>
            <w:vAlign w:val="center"/>
          </w:tcPr>
          <w:p w14:paraId="0F0317B2"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27" w:type="dxa"/>
            <w:shd w:val="clear" w:color="auto" w:fill="D9E2F3" w:themeFill="accent1" w:themeFillTint="33"/>
            <w:vAlign w:val="center"/>
          </w:tcPr>
          <w:p w14:paraId="04B0CF39"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99" w:type="dxa"/>
            <w:shd w:val="clear" w:color="auto" w:fill="D9E2F3" w:themeFill="accent1" w:themeFillTint="33"/>
            <w:vAlign w:val="center"/>
          </w:tcPr>
          <w:p w14:paraId="0E0A8318"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769" w:type="dxa"/>
            <w:shd w:val="clear" w:color="auto" w:fill="D9E2F3" w:themeFill="accent1" w:themeFillTint="33"/>
            <w:vAlign w:val="center"/>
          </w:tcPr>
          <w:p w14:paraId="4453EAD6"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25" w:type="dxa"/>
            <w:gridSpan w:val="2"/>
            <w:shd w:val="clear" w:color="auto" w:fill="D9E2F3" w:themeFill="accent1" w:themeFillTint="33"/>
            <w:vAlign w:val="center"/>
          </w:tcPr>
          <w:p w14:paraId="6264F9A5"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gridSpan w:val="2"/>
            <w:shd w:val="clear" w:color="auto" w:fill="D9E2F3" w:themeFill="accent1" w:themeFillTint="33"/>
            <w:vAlign w:val="center"/>
          </w:tcPr>
          <w:p w14:paraId="56CA09FA"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082549" w:rsidRPr="00CE357F" w14:paraId="0945A486" w14:textId="77777777" w:rsidTr="007060E7">
        <w:trPr>
          <w:trHeight w:val="170"/>
        </w:trPr>
        <w:tc>
          <w:tcPr>
            <w:tcW w:w="1418" w:type="dxa"/>
            <w:shd w:val="clear" w:color="auto" w:fill="D9E2F3" w:themeFill="accent1" w:themeFillTint="33"/>
            <w:vAlign w:val="center"/>
          </w:tcPr>
          <w:p w14:paraId="69C3B2B2"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Kuničky</w:t>
            </w:r>
          </w:p>
        </w:tc>
        <w:tc>
          <w:tcPr>
            <w:tcW w:w="766" w:type="dxa"/>
            <w:vAlign w:val="center"/>
          </w:tcPr>
          <w:p w14:paraId="13AB55F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284</w:t>
            </w:r>
          </w:p>
        </w:tc>
        <w:tc>
          <w:tcPr>
            <w:tcW w:w="1336" w:type="dxa"/>
            <w:vAlign w:val="center"/>
          </w:tcPr>
          <w:p w14:paraId="2F0DD5E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15</w:t>
            </w:r>
          </w:p>
        </w:tc>
        <w:tc>
          <w:tcPr>
            <w:tcW w:w="1743" w:type="dxa"/>
            <w:vAlign w:val="center"/>
          </w:tcPr>
          <w:p w14:paraId="40D2B07E" w14:textId="77777777" w:rsidR="00082549" w:rsidRPr="00CE357F" w:rsidRDefault="00082549" w:rsidP="007060E7">
            <w:pPr>
              <w:jc w:val="center"/>
              <w:rPr>
                <w:rFonts w:ascii="Arial Narrow" w:hAnsi="Arial Narrow"/>
                <w:b/>
                <w:bCs/>
                <w:color w:val="000000" w:themeColor="text1"/>
                <w:sz w:val="18"/>
                <w:szCs w:val="18"/>
              </w:rPr>
            </w:pPr>
            <w:r w:rsidRPr="00CE357F">
              <w:rPr>
                <w:rFonts w:ascii="Arial Narrow" w:hAnsi="Arial Narrow"/>
                <w:b/>
                <w:bCs/>
                <w:color w:val="C00000"/>
                <w:sz w:val="18"/>
                <w:szCs w:val="18"/>
              </w:rPr>
              <w:t>5,28 %</w:t>
            </w:r>
          </w:p>
        </w:tc>
        <w:tc>
          <w:tcPr>
            <w:tcW w:w="581" w:type="dxa"/>
            <w:vAlign w:val="center"/>
          </w:tcPr>
          <w:p w14:paraId="6DC99B8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w:t>
            </w:r>
          </w:p>
        </w:tc>
        <w:tc>
          <w:tcPr>
            <w:tcW w:w="527" w:type="dxa"/>
            <w:vAlign w:val="center"/>
          </w:tcPr>
          <w:p w14:paraId="6A5F7383"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w:t>
            </w:r>
          </w:p>
        </w:tc>
        <w:tc>
          <w:tcPr>
            <w:tcW w:w="799" w:type="dxa"/>
            <w:vAlign w:val="center"/>
          </w:tcPr>
          <w:p w14:paraId="6ADF45B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7</w:t>
            </w:r>
          </w:p>
        </w:tc>
        <w:tc>
          <w:tcPr>
            <w:tcW w:w="776" w:type="dxa"/>
            <w:gridSpan w:val="2"/>
            <w:vAlign w:val="center"/>
          </w:tcPr>
          <w:p w14:paraId="1282C1F2"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7</w:t>
            </w:r>
          </w:p>
        </w:tc>
        <w:tc>
          <w:tcPr>
            <w:tcW w:w="525" w:type="dxa"/>
            <w:gridSpan w:val="2"/>
            <w:vAlign w:val="center"/>
          </w:tcPr>
          <w:p w14:paraId="3D571E95"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w:t>
            </w:r>
          </w:p>
        </w:tc>
        <w:tc>
          <w:tcPr>
            <w:tcW w:w="717" w:type="dxa"/>
            <w:gridSpan w:val="2"/>
            <w:vAlign w:val="center"/>
          </w:tcPr>
          <w:p w14:paraId="523D006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w:t>
            </w:r>
          </w:p>
        </w:tc>
      </w:tr>
      <w:tr w:rsidR="00082549" w:rsidRPr="00CE357F" w14:paraId="386B9453" w14:textId="77777777" w:rsidTr="007060E7">
        <w:trPr>
          <w:trHeight w:val="170"/>
        </w:trPr>
        <w:tc>
          <w:tcPr>
            <w:tcW w:w="1418" w:type="dxa"/>
            <w:shd w:val="clear" w:color="auto" w:fill="D9E2F3" w:themeFill="accent1" w:themeFillTint="33"/>
            <w:vAlign w:val="center"/>
          </w:tcPr>
          <w:p w14:paraId="4FC55D21" w14:textId="77777777" w:rsidR="00082549" w:rsidRPr="00CE357F" w:rsidRDefault="00082549" w:rsidP="007060E7">
            <w:pPr>
              <w:jc w:val="center"/>
              <w:rPr>
                <w:rFonts w:ascii="Arial Narrow" w:hAnsi="Arial Narrow" w:cs="Arial"/>
                <w:b/>
                <w:sz w:val="18"/>
                <w:szCs w:val="18"/>
              </w:rPr>
            </w:pPr>
            <w:r w:rsidRPr="00CE357F">
              <w:rPr>
                <w:rFonts w:ascii="Arial Narrow" w:hAnsi="Arial Narrow"/>
                <w:sz w:val="18"/>
                <w:szCs w:val="18"/>
              </w:rPr>
              <w:t>Blansko</w:t>
            </w:r>
          </w:p>
        </w:tc>
        <w:tc>
          <w:tcPr>
            <w:tcW w:w="766" w:type="dxa"/>
            <w:vAlign w:val="center"/>
          </w:tcPr>
          <w:p w14:paraId="61929A85"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19623</w:t>
            </w:r>
          </w:p>
        </w:tc>
        <w:tc>
          <w:tcPr>
            <w:tcW w:w="1336" w:type="dxa"/>
            <w:vAlign w:val="center"/>
          </w:tcPr>
          <w:p w14:paraId="503ED0DC"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836</w:t>
            </w:r>
          </w:p>
        </w:tc>
        <w:tc>
          <w:tcPr>
            <w:tcW w:w="1743" w:type="dxa"/>
            <w:vAlign w:val="center"/>
          </w:tcPr>
          <w:p w14:paraId="14DF5B05" w14:textId="77777777" w:rsidR="00082549" w:rsidRPr="00CE357F" w:rsidRDefault="00082549" w:rsidP="007060E7">
            <w:pPr>
              <w:jc w:val="center"/>
              <w:rPr>
                <w:rFonts w:ascii="Arial Narrow" w:hAnsi="Arial Narrow"/>
                <w:b/>
                <w:bCs/>
                <w:color w:val="000000" w:themeColor="text1"/>
                <w:sz w:val="18"/>
                <w:szCs w:val="18"/>
              </w:rPr>
            </w:pPr>
            <w:r w:rsidRPr="00CE357F">
              <w:rPr>
                <w:rFonts w:ascii="Arial Narrow" w:hAnsi="Arial Narrow"/>
                <w:b/>
                <w:bCs/>
                <w:color w:val="C00000"/>
                <w:sz w:val="18"/>
                <w:szCs w:val="18"/>
              </w:rPr>
              <w:t>4,26 %</w:t>
            </w:r>
          </w:p>
        </w:tc>
        <w:tc>
          <w:tcPr>
            <w:tcW w:w="581" w:type="dxa"/>
            <w:vAlign w:val="center"/>
          </w:tcPr>
          <w:p w14:paraId="57B3932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355</w:t>
            </w:r>
          </w:p>
        </w:tc>
        <w:tc>
          <w:tcPr>
            <w:tcW w:w="527" w:type="dxa"/>
            <w:vAlign w:val="center"/>
          </w:tcPr>
          <w:p w14:paraId="1F210BD2"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81</w:t>
            </w:r>
          </w:p>
        </w:tc>
        <w:tc>
          <w:tcPr>
            <w:tcW w:w="799" w:type="dxa"/>
            <w:vAlign w:val="center"/>
          </w:tcPr>
          <w:p w14:paraId="51CF4A2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436</w:t>
            </w:r>
          </w:p>
        </w:tc>
        <w:tc>
          <w:tcPr>
            <w:tcW w:w="776" w:type="dxa"/>
            <w:gridSpan w:val="2"/>
            <w:vAlign w:val="center"/>
          </w:tcPr>
          <w:p w14:paraId="185CDCB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309</w:t>
            </w:r>
          </w:p>
        </w:tc>
        <w:tc>
          <w:tcPr>
            <w:tcW w:w="525" w:type="dxa"/>
            <w:gridSpan w:val="2"/>
            <w:vAlign w:val="center"/>
          </w:tcPr>
          <w:p w14:paraId="3D8B24F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91</w:t>
            </w:r>
          </w:p>
        </w:tc>
        <w:tc>
          <w:tcPr>
            <w:tcW w:w="717" w:type="dxa"/>
            <w:gridSpan w:val="2"/>
            <w:vAlign w:val="center"/>
          </w:tcPr>
          <w:p w14:paraId="1E15766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400</w:t>
            </w:r>
          </w:p>
        </w:tc>
      </w:tr>
      <w:tr w:rsidR="00082549" w:rsidRPr="00CE357F" w14:paraId="26381EBA" w14:textId="77777777" w:rsidTr="007060E7">
        <w:trPr>
          <w:trHeight w:val="170"/>
        </w:trPr>
        <w:tc>
          <w:tcPr>
            <w:tcW w:w="1418" w:type="dxa"/>
            <w:shd w:val="clear" w:color="auto" w:fill="D9E2F3" w:themeFill="accent1" w:themeFillTint="33"/>
            <w:vAlign w:val="center"/>
          </w:tcPr>
          <w:p w14:paraId="1225FE42"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Ráječko</w:t>
            </w:r>
          </w:p>
        </w:tc>
        <w:tc>
          <w:tcPr>
            <w:tcW w:w="766" w:type="dxa"/>
            <w:vAlign w:val="center"/>
          </w:tcPr>
          <w:p w14:paraId="5697F61A"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1318</w:t>
            </w:r>
          </w:p>
        </w:tc>
        <w:tc>
          <w:tcPr>
            <w:tcW w:w="1336" w:type="dxa"/>
            <w:vAlign w:val="center"/>
          </w:tcPr>
          <w:p w14:paraId="1EC9324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55</w:t>
            </w:r>
          </w:p>
        </w:tc>
        <w:tc>
          <w:tcPr>
            <w:tcW w:w="1743" w:type="dxa"/>
            <w:vAlign w:val="center"/>
          </w:tcPr>
          <w:p w14:paraId="279A26FB" w14:textId="77777777" w:rsidR="00082549" w:rsidRPr="00CE357F" w:rsidRDefault="00082549" w:rsidP="007060E7">
            <w:pPr>
              <w:jc w:val="center"/>
              <w:rPr>
                <w:rFonts w:ascii="Arial Narrow" w:hAnsi="Arial Narrow"/>
                <w:b/>
                <w:bCs/>
                <w:color w:val="000000" w:themeColor="text1"/>
                <w:sz w:val="18"/>
                <w:szCs w:val="18"/>
              </w:rPr>
            </w:pPr>
            <w:r w:rsidRPr="00CE357F">
              <w:rPr>
                <w:rFonts w:ascii="Arial Narrow" w:hAnsi="Arial Narrow"/>
                <w:b/>
                <w:bCs/>
                <w:color w:val="C00000"/>
                <w:sz w:val="18"/>
                <w:szCs w:val="18"/>
              </w:rPr>
              <w:t>4,17 %</w:t>
            </w:r>
          </w:p>
        </w:tc>
        <w:tc>
          <w:tcPr>
            <w:tcW w:w="581" w:type="dxa"/>
            <w:vAlign w:val="center"/>
          </w:tcPr>
          <w:p w14:paraId="5FD64193"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20</w:t>
            </w:r>
          </w:p>
        </w:tc>
        <w:tc>
          <w:tcPr>
            <w:tcW w:w="527" w:type="dxa"/>
            <w:vAlign w:val="center"/>
          </w:tcPr>
          <w:p w14:paraId="399E8EC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9</w:t>
            </w:r>
          </w:p>
        </w:tc>
        <w:tc>
          <w:tcPr>
            <w:tcW w:w="799" w:type="dxa"/>
            <w:vAlign w:val="center"/>
          </w:tcPr>
          <w:p w14:paraId="12D9259E"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29</w:t>
            </w:r>
          </w:p>
        </w:tc>
        <w:tc>
          <w:tcPr>
            <w:tcW w:w="776" w:type="dxa"/>
            <w:gridSpan w:val="2"/>
            <w:vAlign w:val="center"/>
          </w:tcPr>
          <w:p w14:paraId="2F84DB6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23</w:t>
            </w:r>
          </w:p>
        </w:tc>
        <w:tc>
          <w:tcPr>
            <w:tcW w:w="525" w:type="dxa"/>
            <w:gridSpan w:val="2"/>
            <w:vAlign w:val="center"/>
          </w:tcPr>
          <w:p w14:paraId="16E15FA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w:t>
            </w:r>
          </w:p>
        </w:tc>
        <w:tc>
          <w:tcPr>
            <w:tcW w:w="717" w:type="dxa"/>
            <w:gridSpan w:val="2"/>
            <w:vAlign w:val="center"/>
          </w:tcPr>
          <w:p w14:paraId="5F1E3DD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26</w:t>
            </w:r>
          </w:p>
        </w:tc>
      </w:tr>
      <w:tr w:rsidR="00082549" w:rsidRPr="00CE357F" w14:paraId="5A88D2D2" w14:textId="77777777" w:rsidTr="007060E7">
        <w:trPr>
          <w:trHeight w:val="170"/>
        </w:trPr>
        <w:tc>
          <w:tcPr>
            <w:tcW w:w="1418" w:type="dxa"/>
            <w:shd w:val="clear" w:color="auto" w:fill="D9E2F3" w:themeFill="accent1" w:themeFillTint="33"/>
            <w:vAlign w:val="center"/>
          </w:tcPr>
          <w:p w14:paraId="51FF9E6F" w14:textId="77777777" w:rsidR="00082549" w:rsidRPr="00CE357F" w:rsidRDefault="00082549" w:rsidP="007060E7">
            <w:pPr>
              <w:jc w:val="center"/>
              <w:rPr>
                <w:rFonts w:ascii="Arial Narrow" w:hAnsi="Arial Narrow"/>
                <w:sz w:val="18"/>
                <w:szCs w:val="18"/>
              </w:rPr>
            </w:pPr>
            <w:r w:rsidRPr="00CE357F">
              <w:rPr>
                <w:rFonts w:ascii="Arial Narrow" w:eastAsia="Times New Roman" w:hAnsi="Arial Narrow"/>
                <w:color w:val="000000"/>
                <w:sz w:val="18"/>
                <w:szCs w:val="18"/>
                <w:lang w:eastAsia="cs-CZ"/>
              </w:rPr>
              <w:t>Adamov</w:t>
            </w:r>
          </w:p>
        </w:tc>
        <w:tc>
          <w:tcPr>
            <w:tcW w:w="766" w:type="dxa"/>
            <w:vAlign w:val="center"/>
          </w:tcPr>
          <w:p w14:paraId="566DF27F"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4419</w:t>
            </w:r>
          </w:p>
        </w:tc>
        <w:tc>
          <w:tcPr>
            <w:tcW w:w="1336" w:type="dxa"/>
            <w:vAlign w:val="center"/>
          </w:tcPr>
          <w:p w14:paraId="52FCDABC"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169</w:t>
            </w:r>
          </w:p>
        </w:tc>
        <w:tc>
          <w:tcPr>
            <w:tcW w:w="1743" w:type="dxa"/>
            <w:vAlign w:val="center"/>
          </w:tcPr>
          <w:p w14:paraId="49604E04"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3,82 %</w:t>
            </w:r>
          </w:p>
        </w:tc>
        <w:tc>
          <w:tcPr>
            <w:tcW w:w="581" w:type="dxa"/>
            <w:vAlign w:val="center"/>
          </w:tcPr>
          <w:p w14:paraId="0E9DC2A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77</w:t>
            </w:r>
          </w:p>
        </w:tc>
        <w:tc>
          <w:tcPr>
            <w:tcW w:w="527" w:type="dxa"/>
            <w:vAlign w:val="center"/>
          </w:tcPr>
          <w:p w14:paraId="55403F6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w:t>
            </w:r>
          </w:p>
        </w:tc>
        <w:tc>
          <w:tcPr>
            <w:tcW w:w="799" w:type="dxa"/>
            <w:vAlign w:val="center"/>
          </w:tcPr>
          <w:p w14:paraId="1CCE277E"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85</w:t>
            </w:r>
          </w:p>
        </w:tc>
        <w:tc>
          <w:tcPr>
            <w:tcW w:w="776" w:type="dxa"/>
            <w:gridSpan w:val="2"/>
            <w:vAlign w:val="center"/>
          </w:tcPr>
          <w:p w14:paraId="2BCDE005"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72</w:t>
            </w:r>
          </w:p>
        </w:tc>
        <w:tc>
          <w:tcPr>
            <w:tcW w:w="525" w:type="dxa"/>
            <w:gridSpan w:val="2"/>
            <w:vAlign w:val="center"/>
          </w:tcPr>
          <w:p w14:paraId="1417F217"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12</w:t>
            </w:r>
          </w:p>
        </w:tc>
        <w:tc>
          <w:tcPr>
            <w:tcW w:w="717" w:type="dxa"/>
            <w:gridSpan w:val="2"/>
            <w:vAlign w:val="center"/>
          </w:tcPr>
          <w:p w14:paraId="75AF20C3"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84</w:t>
            </w:r>
          </w:p>
        </w:tc>
      </w:tr>
      <w:tr w:rsidR="00082549" w:rsidRPr="00CE357F" w14:paraId="5F9D359B" w14:textId="77777777" w:rsidTr="007060E7">
        <w:trPr>
          <w:trHeight w:val="170"/>
        </w:trPr>
        <w:tc>
          <w:tcPr>
            <w:tcW w:w="1418" w:type="dxa"/>
            <w:shd w:val="clear" w:color="auto" w:fill="D9E2F3" w:themeFill="accent1" w:themeFillTint="33"/>
            <w:vAlign w:val="center"/>
          </w:tcPr>
          <w:p w14:paraId="4E0CB767" w14:textId="77777777" w:rsidR="00082549" w:rsidRPr="00CE357F" w:rsidRDefault="00082549" w:rsidP="007060E7">
            <w:pPr>
              <w:jc w:val="center"/>
              <w:rPr>
                <w:rFonts w:ascii="Arial Narrow" w:hAnsi="Arial Narrow" w:cs="Arial"/>
                <w:b/>
                <w:sz w:val="18"/>
                <w:szCs w:val="18"/>
              </w:rPr>
            </w:pPr>
            <w:r w:rsidRPr="00CE357F">
              <w:rPr>
                <w:rFonts w:ascii="Arial Narrow" w:hAnsi="Arial Narrow"/>
                <w:sz w:val="18"/>
                <w:szCs w:val="18"/>
              </w:rPr>
              <w:t>Černá Hora</w:t>
            </w:r>
          </w:p>
        </w:tc>
        <w:tc>
          <w:tcPr>
            <w:tcW w:w="766" w:type="dxa"/>
            <w:vAlign w:val="center"/>
          </w:tcPr>
          <w:p w14:paraId="58E4C09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2139</w:t>
            </w:r>
          </w:p>
        </w:tc>
        <w:tc>
          <w:tcPr>
            <w:tcW w:w="1336" w:type="dxa"/>
            <w:vAlign w:val="center"/>
          </w:tcPr>
          <w:p w14:paraId="5ABD0FFC"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62</w:t>
            </w:r>
          </w:p>
        </w:tc>
        <w:tc>
          <w:tcPr>
            <w:tcW w:w="1743" w:type="dxa"/>
            <w:vAlign w:val="center"/>
          </w:tcPr>
          <w:p w14:paraId="221B1A0E"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2,90 %</w:t>
            </w:r>
          </w:p>
        </w:tc>
        <w:tc>
          <w:tcPr>
            <w:tcW w:w="581" w:type="dxa"/>
            <w:vAlign w:val="center"/>
          </w:tcPr>
          <w:p w14:paraId="04C346F5"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30</w:t>
            </w:r>
          </w:p>
        </w:tc>
        <w:tc>
          <w:tcPr>
            <w:tcW w:w="527" w:type="dxa"/>
            <w:vAlign w:val="center"/>
          </w:tcPr>
          <w:p w14:paraId="5285DD8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5</w:t>
            </w:r>
          </w:p>
        </w:tc>
        <w:tc>
          <w:tcPr>
            <w:tcW w:w="799" w:type="dxa"/>
            <w:vAlign w:val="center"/>
          </w:tcPr>
          <w:p w14:paraId="748F4FB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35</w:t>
            </w:r>
          </w:p>
        </w:tc>
        <w:tc>
          <w:tcPr>
            <w:tcW w:w="776" w:type="dxa"/>
            <w:gridSpan w:val="2"/>
            <w:vAlign w:val="center"/>
          </w:tcPr>
          <w:p w14:paraId="38F10B2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21</w:t>
            </w:r>
          </w:p>
        </w:tc>
        <w:tc>
          <w:tcPr>
            <w:tcW w:w="525" w:type="dxa"/>
            <w:gridSpan w:val="2"/>
            <w:vAlign w:val="center"/>
          </w:tcPr>
          <w:p w14:paraId="12448B97"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w:t>
            </w:r>
          </w:p>
        </w:tc>
        <w:tc>
          <w:tcPr>
            <w:tcW w:w="717" w:type="dxa"/>
            <w:gridSpan w:val="2"/>
            <w:vAlign w:val="center"/>
          </w:tcPr>
          <w:p w14:paraId="6AABE5D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27</w:t>
            </w:r>
          </w:p>
        </w:tc>
      </w:tr>
      <w:tr w:rsidR="00082549" w:rsidRPr="00CE357F" w14:paraId="39C9E24F" w14:textId="77777777" w:rsidTr="007060E7">
        <w:trPr>
          <w:trHeight w:val="170"/>
        </w:trPr>
        <w:tc>
          <w:tcPr>
            <w:tcW w:w="1418" w:type="dxa"/>
            <w:shd w:val="clear" w:color="auto" w:fill="D9E2F3" w:themeFill="accent1" w:themeFillTint="33"/>
            <w:vAlign w:val="center"/>
          </w:tcPr>
          <w:p w14:paraId="2D1E669B"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Rájec-Jestřebí</w:t>
            </w:r>
          </w:p>
        </w:tc>
        <w:tc>
          <w:tcPr>
            <w:tcW w:w="766" w:type="dxa"/>
            <w:vAlign w:val="center"/>
          </w:tcPr>
          <w:p w14:paraId="0253265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3683</w:t>
            </w:r>
          </w:p>
        </w:tc>
        <w:tc>
          <w:tcPr>
            <w:tcW w:w="1336" w:type="dxa"/>
            <w:vAlign w:val="center"/>
          </w:tcPr>
          <w:p w14:paraId="4AF2D63C"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82</w:t>
            </w:r>
          </w:p>
        </w:tc>
        <w:tc>
          <w:tcPr>
            <w:tcW w:w="1743" w:type="dxa"/>
            <w:vAlign w:val="center"/>
          </w:tcPr>
          <w:p w14:paraId="61119496"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2,23 %</w:t>
            </w:r>
          </w:p>
        </w:tc>
        <w:tc>
          <w:tcPr>
            <w:tcW w:w="581" w:type="dxa"/>
            <w:vAlign w:val="center"/>
          </w:tcPr>
          <w:p w14:paraId="7A7E38B2"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45</w:t>
            </w:r>
          </w:p>
        </w:tc>
        <w:tc>
          <w:tcPr>
            <w:tcW w:w="527" w:type="dxa"/>
            <w:vAlign w:val="center"/>
          </w:tcPr>
          <w:p w14:paraId="57520EAE"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7</w:t>
            </w:r>
          </w:p>
        </w:tc>
        <w:tc>
          <w:tcPr>
            <w:tcW w:w="799" w:type="dxa"/>
            <w:vAlign w:val="center"/>
          </w:tcPr>
          <w:p w14:paraId="020A198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52</w:t>
            </w:r>
          </w:p>
        </w:tc>
        <w:tc>
          <w:tcPr>
            <w:tcW w:w="776" w:type="dxa"/>
            <w:gridSpan w:val="2"/>
            <w:vAlign w:val="center"/>
          </w:tcPr>
          <w:p w14:paraId="5882349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26</w:t>
            </w:r>
          </w:p>
        </w:tc>
        <w:tc>
          <w:tcPr>
            <w:tcW w:w="525" w:type="dxa"/>
            <w:gridSpan w:val="2"/>
            <w:vAlign w:val="center"/>
          </w:tcPr>
          <w:p w14:paraId="1628A24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w:t>
            </w:r>
          </w:p>
        </w:tc>
        <w:tc>
          <w:tcPr>
            <w:tcW w:w="717" w:type="dxa"/>
            <w:gridSpan w:val="2"/>
            <w:vAlign w:val="center"/>
          </w:tcPr>
          <w:p w14:paraId="2FE686B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30</w:t>
            </w:r>
          </w:p>
        </w:tc>
      </w:tr>
      <w:tr w:rsidR="00082549" w:rsidRPr="00CE357F" w14:paraId="2E9037F4" w14:textId="77777777" w:rsidTr="007060E7">
        <w:trPr>
          <w:trHeight w:val="170"/>
        </w:trPr>
        <w:tc>
          <w:tcPr>
            <w:tcW w:w="1418" w:type="dxa"/>
            <w:shd w:val="clear" w:color="auto" w:fill="D9E2F3" w:themeFill="accent1" w:themeFillTint="33"/>
            <w:vAlign w:val="center"/>
          </w:tcPr>
          <w:p w14:paraId="10FBB869" w14:textId="77777777" w:rsidR="00082549" w:rsidRPr="00CE357F" w:rsidRDefault="00082549" w:rsidP="007060E7">
            <w:pPr>
              <w:jc w:val="center"/>
              <w:rPr>
                <w:rFonts w:ascii="Arial Narrow" w:hAnsi="Arial Narrow" w:cs="Arial"/>
                <w:b/>
                <w:sz w:val="18"/>
                <w:szCs w:val="18"/>
              </w:rPr>
            </w:pPr>
            <w:r w:rsidRPr="00CE357F">
              <w:rPr>
                <w:rFonts w:ascii="Arial Narrow" w:hAnsi="Arial Narrow"/>
                <w:sz w:val="18"/>
                <w:szCs w:val="18"/>
              </w:rPr>
              <w:t>Doubravice nad Svitavou</w:t>
            </w:r>
          </w:p>
        </w:tc>
        <w:tc>
          <w:tcPr>
            <w:tcW w:w="766" w:type="dxa"/>
            <w:vAlign w:val="center"/>
          </w:tcPr>
          <w:p w14:paraId="23DE411B"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1369</w:t>
            </w:r>
          </w:p>
        </w:tc>
        <w:tc>
          <w:tcPr>
            <w:tcW w:w="1336" w:type="dxa"/>
            <w:vAlign w:val="center"/>
          </w:tcPr>
          <w:p w14:paraId="20745BB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29</w:t>
            </w:r>
          </w:p>
        </w:tc>
        <w:tc>
          <w:tcPr>
            <w:tcW w:w="1743" w:type="dxa"/>
            <w:vAlign w:val="center"/>
          </w:tcPr>
          <w:p w14:paraId="2AEE2F3A"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2,12 %</w:t>
            </w:r>
          </w:p>
        </w:tc>
        <w:tc>
          <w:tcPr>
            <w:tcW w:w="581" w:type="dxa"/>
            <w:vAlign w:val="center"/>
          </w:tcPr>
          <w:p w14:paraId="0E96981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15</w:t>
            </w:r>
          </w:p>
        </w:tc>
        <w:tc>
          <w:tcPr>
            <w:tcW w:w="527" w:type="dxa"/>
            <w:vAlign w:val="center"/>
          </w:tcPr>
          <w:p w14:paraId="42548F67"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w:t>
            </w:r>
          </w:p>
        </w:tc>
        <w:tc>
          <w:tcPr>
            <w:tcW w:w="799" w:type="dxa"/>
            <w:vAlign w:val="center"/>
          </w:tcPr>
          <w:p w14:paraId="410E4A5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17</w:t>
            </w:r>
          </w:p>
        </w:tc>
        <w:tc>
          <w:tcPr>
            <w:tcW w:w="776" w:type="dxa"/>
            <w:gridSpan w:val="2"/>
            <w:vAlign w:val="center"/>
          </w:tcPr>
          <w:p w14:paraId="5C46E955"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w:t>
            </w:r>
          </w:p>
        </w:tc>
        <w:tc>
          <w:tcPr>
            <w:tcW w:w="525" w:type="dxa"/>
            <w:gridSpan w:val="2"/>
            <w:vAlign w:val="center"/>
          </w:tcPr>
          <w:p w14:paraId="27725A2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w:t>
            </w:r>
          </w:p>
        </w:tc>
        <w:tc>
          <w:tcPr>
            <w:tcW w:w="717" w:type="dxa"/>
            <w:gridSpan w:val="2"/>
            <w:vAlign w:val="center"/>
          </w:tcPr>
          <w:p w14:paraId="68F8DF02"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12</w:t>
            </w:r>
          </w:p>
        </w:tc>
      </w:tr>
      <w:tr w:rsidR="00082549" w:rsidRPr="00CE357F" w14:paraId="56296B05" w14:textId="77777777" w:rsidTr="007060E7">
        <w:trPr>
          <w:trHeight w:val="170"/>
        </w:trPr>
        <w:tc>
          <w:tcPr>
            <w:tcW w:w="1418" w:type="dxa"/>
            <w:shd w:val="clear" w:color="auto" w:fill="D9E2F3" w:themeFill="accent1" w:themeFillTint="33"/>
            <w:vAlign w:val="center"/>
          </w:tcPr>
          <w:p w14:paraId="6DBF588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Olomučany</w:t>
            </w:r>
          </w:p>
        </w:tc>
        <w:tc>
          <w:tcPr>
            <w:tcW w:w="766" w:type="dxa"/>
            <w:vAlign w:val="center"/>
          </w:tcPr>
          <w:p w14:paraId="60B3A7BA"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1069</w:t>
            </w:r>
          </w:p>
        </w:tc>
        <w:tc>
          <w:tcPr>
            <w:tcW w:w="1336" w:type="dxa"/>
            <w:vAlign w:val="center"/>
          </w:tcPr>
          <w:p w14:paraId="67367A7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20</w:t>
            </w:r>
          </w:p>
        </w:tc>
        <w:tc>
          <w:tcPr>
            <w:tcW w:w="1743" w:type="dxa"/>
            <w:vAlign w:val="center"/>
          </w:tcPr>
          <w:p w14:paraId="3003FBCC"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1,87 %</w:t>
            </w:r>
          </w:p>
        </w:tc>
        <w:tc>
          <w:tcPr>
            <w:tcW w:w="581" w:type="dxa"/>
            <w:vAlign w:val="center"/>
          </w:tcPr>
          <w:p w14:paraId="23DF842C"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14</w:t>
            </w:r>
          </w:p>
        </w:tc>
        <w:tc>
          <w:tcPr>
            <w:tcW w:w="527" w:type="dxa"/>
            <w:vAlign w:val="center"/>
          </w:tcPr>
          <w:p w14:paraId="50DE5543"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w:t>
            </w:r>
          </w:p>
        </w:tc>
        <w:tc>
          <w:tcPr>
            <w:tcW w:w="799" w:type="dxa"/>
            <w:vAlign w:val="center"/>
          </w:tcPr>
          <w:p w14:paraId="7C79DDE7"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15</w:t>
            </w:r>
          </w:p>
        </w:tc>
        <w:tc>
          <w:tcPr>
            <w:tcW w:w="776" w:type="dxa"/>
            <w:gridSpan w:val="2"/>
            <w:vAlign w:val="center"/>
          </w:tcPr>
          <w:p w14:paraId="6A42DCB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w:t>
            </w:r>
          </w:p>
        </w:tc>
        <w:tc>
          <w:tcPr>
            <w:tcW w:w="525" w:type="dxa"/>
            <w:gridSpan w:val="2"/>
            <w:vAlign w:val="center"/>
          </w:tcPr>
          <w:p w14:paraId="2219D3E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w:t>
            </w:r>
          </w:p>
        </w:tc>
        <w:tc>
          <w:tcPr>
            <w:tcW w:w="717" w:type="dxa"/>
            <w:gridSpan w:val="2"/>
            <w:vAlign w:val="center"/>
          </w:tcPr>
          <w:p w14:paraId="53E3686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5</w:t>
            </w:r>
          </w:p>
        </w:tc>
      </w:tr>
      <w:tr w:rsidR="00082549" w:rsidRPr="00CE357F" w14:paraId="55F8C262" w14:textId="77777777" w:rsidTr="007060E7">
        <w:trPr>
          <w:trHeight w:val="170"/>
        </w:trPr>
        <w:tc>
          <w:tcPr>
            <w:tcW w:w="1418" w:type="dxa"/>
            <w:shd w:val="clear" w:color="auto" w:fill="D9E2F3" w:themeFill="accent1" w:themeFillTint="33"/>
            <w:vAlign w:val="center"/>
          </w:tcPr>
          <w:p w14:paraId="0DFB87B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Spešov</w:t>
            </w:r>
          </w:p>
        </w:tc>
        <w:tc>
          <w:tcPr>
            <w:tcW w:w="766" w:type="dxa"/>
            <w:vAlign w:val="center"/>
          </w:tcPr>
          <w:p w14:paraId="05925CB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635</w:t>
            </w:r>
          </w:p>
        </w:tc>
        <w:tc>
          <w:tcPr>
            <w:tcW w:w="1336" w:type="dxa"/>
            <w:vAlign w:val="center"/>
          </w:tcPr>
          <w:p w14:paraId="5AFB74C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11</w:t>
            </w:r>
          </w:p>
        </w:tc>
        <w:tc>
          <w:tcPr>
            <w:tcW w:w="1743" w:type="dxa"/>
            <w:vAlign w:val="center"/>
          </w:tcPr>
          <w:p w14:paraId="7BBCCFA2"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1,73 %</w:t>
            </w:r>
          </w:p>
        </w:tc>
        <w:tc>
          <w:tcPr>
            <w:tcW w:w="581" w:type="dxa"/>
            <w:vAlign w:val="center"/>
          </w:tcPr>
          <w:p w14:paraId="1576810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w:t>
            </w:r>
          </w:p>
        </w:tc>
        <w:tc>
          <w:tcPr>
            <w:tcW w:w="527" w:type="dxa"/>
            <w:vAlign w:val="center"/>
          </w:tcPr>
          <w:p w14:paraId="7E4090BA"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99" w:type="dxa"/>
            <w:vAlign w:val="center"/>
          </w:tcPr>
          <w:p w14:paraId="0DFD2FB3"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w:t>
            </w:r>
          </w:p>
        </w:tc>
        <w:tc>
          <w:tcPr>
            <w:tcW w:w="776" w:type="dxa"/>
            <w:gridSpan w:val="2"/>
            <w:vAlign w:val="center"/>
          </w:tcPr>
          <w:p w14:paraId="451BB0E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5</w:t>
            </w:r>
          </w:p>
        </w:tc>
        <w:tc>
          <w:tcPr>
            <w:tcW w:w="525" w:type="dxa"/>
            <w:gridSpan w:val="2"/>
            <w:vAlign w:val="center"/>
          </w:tcPr>
          <w:p w14:paraId="525D932F"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17" w:type="dxa"/>
            <w:gridSpan w:val="2"/>
            <w:vAlign w:val="center"/>
          </w:tcPr>
          <w:p w14:paraId="6AE45E0B"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5</w:t>
            </w:r>
          </w:p>
        </w:tc>
      </w:tr>
      <w:tr w:rsidR="00082549" w:rsidRPr="00CE357F" w14:paraId="69F94015" w14:textId="77777777" w:rsidTr="007060E7">
        <w:trPr>
          <w:trHeight w:val="170"/>
        </w:trPr>
        <w:tc>
          <w:tcPr>
            <w:tcW w:w="1418" w:type="dxa"/>
            <w:shd w:val="clear" w:color="auto" w:fill="D9E2F3" w:themeFill="accent1" w:themeFillTint="33"/>
            <w:vAlign w:val="center"/>
          </w:tcPr>
          <w:p w14:paraId="43460324" w14:textId="77777777" w:rsidR="00082549" w:rsidRPr="00CE357F" w:rsidRDefault="00082549" w:rsidP="007060E7">
            <w:pPr>
              <w:jc w:val="center"/>
              <w:rPr>
                <w:rFonts w:ascii="Arial Narrow" w:hAnsi="Arial Narrow" w:cs="Arial"/>
                <w:b/>
                <w:sz w:val="18"/>
                <w:szCs w:val="18"/>
              </w:rPr>
            </w:pPr>
            <w:r w:rsidRPr="00CE357F">
              <w:rPr>
                <w:rFonts w:ascii="Arial Narrow" w:hAnsi="Arial Narrow"/>
                <w:sz w:val="18"/>
                <w:szCs w:val="18"/>
              </w:rPr>
              <w:t>Bořitov</w:t>
            </w:r>
          </w:p>
        </w:tc>
        <w:tc>
          <w:tcPr>
            <w:tcW w:w="766" w:type="dxa"/>
            <w:vAlign w:val="center"/>
          </w:tcPr>
          <w:p w14:paraId="6FF3583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1277</w:t>
            </w:r>
          </w:p>
        </w:tc>
        <w:tc>
          <w:tcPr>
            <w:tcW w:w="1336" w:type="dxa"/>
            <w:vAlign w:val="center"/>
          </w:tcPr>
          <w:p w14:paraId="658D060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21</w:t>
            </w:r>
          </w:p>
        </w:tc>
        <w:tc>
          <w:tcPr>
            <w:tcW w:w="1743" w:type="dxa"/>
            <w:vAlign w:val="center"/>
          </w:tcPr>
          <w:p w14:paraId="6E2D5412"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1,64 %</w:t>
            </w:r>
          </w:p>
        </w:tc>
        <w:tc>
          <w:tcPr>
            <w:tcW w:w="581" w:type="dxa"/>
            <w:vAlign w:val="center"/>
          </w:tcPr>
          <w:p w14:paraId="5BFF175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9</w:t>
            </w:r>
          </w:p>
        </w:tc>
        <w:tc>
          <w:tcPr>
            <w:tcW w:w="527" w:type="dxa"/>
            <w:vAlign w:val="center"/>
          </w:tcPr>
          <w:p w14:paraId="642F7EE2"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w:t>
            </w:r>
          </w:p>
        </w:tc>
        <w:tc>
          <w:tcPr>
            <w:tcW w:w="799" w:type="dxa"/>
            <w:vAlign w:val="center"/>
          </w:tcPr>
          <w:p w14:paraId="0D237DDE"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10</w:t>
            </w:r>
          </w:p>
        </w:tc>
        <w:tc>
          <w:tcPr>
            <w:tcW w:w="776" w:type="dxa"/>
            <w:gridSpan w:val="2"/>
            <w:vAlign w:val="center"/>
          </w:tcPr>
          <w:p w14:paraId="25A0785B"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w:t>
            </w:r>
          </w:p>
        </w:tc>
        <w:tc>
          <w:tcPr>
            <w:tcW w:w="525" w:type="dxa"/>
            <w:gridSpan w:val="2"/>
            <w:vAlign w:val="center"/>
          </w:tcPr>
          <w:p w14:paraId="1835F235"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w:t>
            </w:r>
          </w:p>
        </w:tc>
        <w:tc>
          <w:tcPr>
            <w:tcW w:w="717" w:type="dxa"/>
            <w:gridSpan w:val="2"/>
            <w:vAlign w:val="center"/>
          </w:tcPr>
          <w:p w14:paraId="6899A91A"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11</w:t>
            </w:r>
          </w:p>
        </w:tc>
      </w:tr>
      <w:tr w:rsidR="00082549" w:rsidRPr="00CE357F" w14:paraId="14A7CBE5" w14:textId="77777777" w:rsidTr="007060E7">
        <w:trPr>
          <w:trHeight w:val="170"/>
        </w:trPr>
        <w:tc>
          <w:tcPr>
            <w:tcW w:w="1418" w:type="dxa"/>
            <w:shd w:val="clear" w:color="auto" w:fill="D9E2F3" w:themeFill="accent1" w:themeFillTint="33"/>
            <w:vAlign w:val="center"/>
          </w:tcPr>
          <w:p w14:paraId="1A1C4637" w14:textId="77777777" w:rsidR="00082549" w:rsidRPr="00CE357F" w:rsidRDefault="00082549" w:rsidP="007060E7">
            <w:pPr>
              <w:jc w:val="center"/>
              <w:rPr>
                <w:rFonts w:ascii="Arial Narrow" w:hAnsi="Arial Narrow"/>
                <w:sz w:val="18"/>
                <w:szCs w:val="18"/>
              </w:rPr>
            </w:pPr>
            <w:proofErr w:type="spellStart"/>
            <w:r w:rsidRPr="00CE357F">
              <w:rPr>
                <w:rFonts w:ascii="Arial Narrow" w:hAnsi="Arial Narrow"/>
                <w:sz w:val="18"/>
                <w:szCs w:val="18"/>
              </w:rPr>
              <w:t>Šebrov</w:t>
            </w:r>
            <w:proofErr w:type="spellEnd"/>
            <w:r w:rsidRPr="00CE357F">
              <w:rPr>
                <w:rFonts w:ascii="Arial Narrow" w:hAnsi="Arial Narrow"/>
                <w:sz w:val="18"/>
                <w:szCs w:val="18"/>
              </w:rPr>
              <w:t>-Kateřina</w:t>
            </w:r>
          </w:p>
        </w:tc>
        <w:tc>
          <w:tcPr>
            <w:tcW w:w="766" w:type="dxa"/>
            <w:vAlign w:val="center"/>
          </w:tcPr>
          <w:p w14:paraId="49BE64A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818</w:t>
            </w:r>
          </w:p>
        </w:tc>
        <w:tc>
          <w:tcPr>
            <w:tcW w:w="1336" w:type="dxa"/>
            <w:vAlign w:val="center"/>
          </w:tcPr>
          <w:p w14:paraId="2827344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12</w:t>
            </w:r>
          </w:p>
        </w:tc>
        <w:tc>
          <w:tcPr>
            <w:tcW w:w="1743" w:type="dxa"/>
            <w:vAlign w:val="center"/>
          </w:tcPr>
          <w:p w14:paraId="030C6B32"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1,47 %</w:t>
            </w:r>
          </w:p>
        </w:tc>
        <w:tc>
          <w:tcPr>
            <w:tcW w:w="581" w:type="dxa"/>
            <w:vAlign w:val="center"/>
          </w:tcPr>
          <w:p w14:paraId="0E791EE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w:t>
            </w:r>
          </w:p>
        </w:tc>
        <w:tc>
          <w:tcPr>
            <w:tcW w:w="527" w:type="dxa"/>
            <w:vAlign w:val="center"/>
          </w:tcPr>
          <w:p w14:paraId="57A25CAE"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99" w:type="dxa"/>
            <w:vAlign w:val="center"/>
          </w:tcPr>
          <w:p w14:paraId="0ACA5FDF"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w:t>
            </w:r>
          </w:p>
        </w:tc>
        <w:tc>
          <w:tcPr>
            <w:tcW w:w="776" w:type="dxa"/>
            <w:gridSpan w:val="2"/>
            <w:vAlign w:val="center"/>
          </w:tcPr>
          <w:p w14:paraId="10CCADA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9</w:t>
            </w:r>
          </w:p>
        </w:tc>
        <w:tc>
          <w:tcPr>
            <w:tcW w:w="525" w:type="dxa"/>
            <w:gridSpan w:val="2"/>
            <w:vAlign w:val="center"/>
          </w:tcPr>
          <w:p w14:paraId="172DB522"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17" w:type="dxa"/>
            <w:gridSpan w:val="2"/>
            <w:vAlign w:val="center"/>
          </w:tcPr>
          <w:p w14:paraId="4F8AA34E"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9</w:t>
            </w:r>
          </w:p>
        </w:tc>
      </w:tr>
      <w:tr w:rsidR="00082549" w:rsidRPr="00CE357F" w14:paraId="2A4EF200" w14:textId="77777777" w:rsidTr="007060E7">
        <w:trPr>
          <w:trHeight w:val="170"/>
        </w:trPr>
        <w:tc>
          <w:tcPr>
            <w:tcW w:w="1418" w:type="dxa"/>
            <w:shd w:val="clear" w:color="auto" w:fill="D9E2F3" w:themeFill="accent1" w:themeFillTint="33"/>
            <w:vAlign w:val="center"/>
          </w:tcPr>
          <w:p w14:paraId="0445BA8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Lipůvka</w:t>
            </w:r>
          </w:p>
        </w:tc>
        <w:tc>
          <w:tcPr>
            <w:tcW w:w="766" w:type="dxa"/>
            <w:vAlign w:val="center"/>
          </w:tcPr>
          <w:p w14:paraId="02119893"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1389</w:t>
            </w:r>
          </w:p>
        </w:tc>
        <w:tc>
          <w:tcPr>
            <w:tcW w:w="1336" w:type="dxa"/>
            <w:vAlign w:val="center"/>
          </w:tcPr>
          <w:p w14:paraId="7816F67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19</w:t>
            </w:r>
          </w:p>
        </w:tc>
        <w:tc>
          <w:tcPr>
            <w:tcW w:w="1743" w:type="dxa"/>
            <w:vAlign w:val="center"/>
          </w:tcPr>
          <w:p w14:paraId="23FA6D35"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1,37 %</w:t>
            </w:r>
          </w:p>
        </w:tc>
        <w:tc>
          <w:tcPr>
            <w:tcW w:w="581" w:type="dxa"/>
            <w:vAlign w:val="center"/>
          </w:tcPr>
          <w:p w14:paraId="593C4E5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9</w:t>
            </w:r>
          </w:p>
        </w:tc>
        <w:tc>
          <w:tcPr>
            <w:tcW w:w="527" w:type="dxa"/>
            <w:vAlign w:val="center"/>
          </w:tcPr>
          <w:p w14:paraId="799723E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99" w:type="dxa"/>
            <w:vAlign w:val="center"/>
          </w:tcPr>
          <w:p w14:paraId="3648E76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9</w:t>
            </w:r>
          </w:p>
        </w:tc>
        <w:tc>
          <w:tcPr>
            <w:tcW w:w="776" w:type="dxa"/>
            <w:gridSpan w:val="2"/>
            <w:vAlign w:val="center"/>
          </w:tcPr>
          <w:p w14:paraId="25E3155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10</w:t>
            </w:r>
          </w:p>
        </w:tc>
        <w:tc>
          <w:tcPr>
            <w:tcW w:w="525" w:type="dxa"/>
            <w:gridSpan w:val="2"/>
            <w:vAlign w:val="center"/>
          </w:tcPr>
          <w:p w14:paraId="13B6952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17" w:type="dxa"/>
            <w:gridSpan w:val="2"/>
            <w:vAlign w:val="center"/>
          </w:tcPr>
          <w:p w14:paraId="5E84DE3F"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10</w:t>
            </w:r>
          </w:p>
        </w:tc>
      </w:tr>
      <w:tr w:rsidR="00082549" w:rsidRPr="00CE357F" w14:paraId="31C35280" w14:textId="77777777" w:rsidTr="007060E7">
        <w:trPr>
          <w:trHeight w:val="170"/>
        </w:trPr>
        <w:tc>
          <w:tcPr>
            <w:tcW w:w="1418" w:type="dxa"/>
            <w:shd w:val="clear" w:color="auto" w:fill="D9E2F3" w:themeFill="accent1" w:themeFillTint="33"/>
            <w:vAlign w:val="center"/>
          </w:tcPr>
          <w:p w14:paraId="31A6BF0B"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Křtiny</w:t>
            </w:r>
          </w:p>
        </w:tc>
        <w:tc>
          <w:tcPr>
            <w:tcW w:w="766" w:type="dxa"/>
            <w:vAlign w:val="center"/>
          </w:tcPr>
          <w:p w14:paraId="64FBE90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835</w:t>
            </w:r>
          </w:p>
        </w:tc>
        <w:tc>
          <w:tcPr>
            <w:tcW w:w="1336" w:type="dxa"/>
            <w:vAlign w:val="center"/>
          </w:tcPr>
          <w:p w14:paraId="2F2892AE"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11</w:t>
            </w:r>
          </w:p>
        </w:tc>
        <w:tc>
          <w:tcPr>
            <w:tcW w:w="1743" w:type="dxa"/>
            <w:vAlign w:val="center"/>
          </w:tcPr>
          <w:p w14:paraId="428FF9D3"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1,32 %</w:t>
            </w:r>
          </w:p>
        </w:tc>
        <w:tc>
          <w:tcPr>
            <w:tcW w:w="581" w:type="dxa"/>
            <w:vAlign w:val="center"/>
          </w:tcPr>
          <w:p w14:paraId="286FDA9C"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w:t>
            </w:r>
          </w:p>
        </w:tc>
        <w:tc>
          <w:tcPr>
            <w:tcW w:w="527" w:type="dxa"/>
            <w:vAlign w:val="center"/>
          </w:tcPr>
          <w:p w14:paraId="66226D0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w:t>
            </w:r>
          </w:p>
        </w:tc>
        <w:tc>
          <w:tcPr>
            <w:tcW w:w="799" w:type="dxa"/>
            <w:vAlign w:val="center"/>
          </w:tcPr>
          <w:p w14:paraId="51BDCE5B"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7</w:t>
            </w:r>
          </w:p>
        </w:tc>
        <w:tc>
          <w:tcPr>
            <w:tcW w:w="776" w:type="dxa"/>
            <w:gridSpan w:val="2"/>
            <w:vAlign w:val="center"/>
          </w:tcPr>
          <w:p w14:paraId="79A25BF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w:t>
            </w:r>
          </w:p>
        </w:tc>
        <w:tc>
          <w:tcPr>
            <w:tcW w:w="525" w:type="dxa"/>
            <w:gridSpan w:val="2"/>
            <w:vAlign w:val="center"/>
          </w:tcPr>
          <w:p w14:paraId="64AEE39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17" w:type="dxa"/>
            <w:gridSpan w:val="2"/>
            <w:vAlign w:val="center"/>
          </w:tcPr>
          <w:p w14:paraId="245D7E4F"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w:t>
            </w:r>
          </w:p>
        </w:tc>
      </w:tr>
      <w:tr w:rsidR="00082549" w:rsidRPr="00CE357F" w14:paraId="139AB6CD" w14:textId="77777777" w:rsidTr="007060E7">
        <w:trPr>
          <w:trHeight w:val="170"/>
        </w:trPr>
        <w:tc>
          <w:tcPr>
            <w:tcW w:w="1418" w:type="dxa"/>
            <w:shd w:val="clear" w:color="auto" w:fill="D9E2F3" w:themeFill="accent1" w:themeFillTint="33"/>
            <w:vAlign w:val="center"/>
          </w:tcPr>
          <w:p w14:paraId="2D40BC03" w14:textId="77777777" w:rsidR="00082549" w:rsidRPr="00CE357F" w:rsidRDefault="00082549" w:rsidP="007060E7">
            <w:pPr>
              <w:jc w:val="center"/>
              <w:rPr>
                <w:rFonts w:ascii="Arial Narrow" w:hAnsi="Arial Narrow" w:cs="Arial"/>
                <w:b/>
                <w:sz w:val="18"/>
                <w:szCs w:val="18"/>
              </w:rPr>
            </w:pPr>
            <w:r w:rsidRPr="00CE357F">
              <w:rPr>
                <w:rFonts w:ascii="Arial Narrow" w:hAnsi="Arial Narrow"/>
                <w:sz w:val="18"/>
                <w:szCs w:val="18"/>
              </w:rPr>
              <w:t>Kotvrdovice</w:t>
            </w:r>
          </w:p>
        </w:tc>
        <w:tc>
          <w:tcPr>
            <w:tcW w:w="766" w:type="dxa"/>
            <w:vAlign w:val="center"/>
          </w:tcPr>
          <w:p w14:paraId="27798BD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918</w:t>
            </w:r>
          </w:p>
        </w:tc>
        <w:tc>
          <w:tcPr>
            <w:tcW w:w="1336" w:type="dxa"/>
            <w:vAlign w:val="center"/>
          </w:tcPr>
          <w:p w14:paraId="7CF5AAC3"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12</w:t>
            </w:r>
          </w:p>
        </w:tc>
        <w:tc>
          <w:tcPr>
            <w:tcW w:w="1743" w:type="dxa"/>
            <w:vAlign w:val="center"/>
          </w:tcPr>
          <w:p w14:paraId="77A4F2DF"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1,31 %</w:t>
            </w:r>
          </w:p>
        </w:tc>
        <w:tc>
          <w:tcPr>
            <w:tcW w:w="581" w:type="dxa"/>
            <w:vAlign w:val="center"/>
          </w:tcPr>
          <w:p w14:paraId="0E0654EB"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w:t>
            </w:r>
          </w:p>
        </w:tc>
        <w:tc>
          <w:tcPr>
            <w:tcW w:w="527" w:type="dxa"/>
            <w:vAlign w:val="center"/>
          </w:tcPr>
          <w:p w14:paraId="23F4713F"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w:t>
            </w:r>
          </w:p>
        </w:tc>
        <w:tc>
          <w:tcPr>
            <w:tcW w:w="799" w:type="dxa"/>
            <w:vAlign w:val="center"/>
          </w:tcPr>
          <w:p w14:paraId="73A9485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5</w:t>
            </w:r>
          </w:p>
        </w:tc>
        <w:tc>
          <w:tcPr>
            <w:tcW w:w="776" w:type="dxa"/>
            <w:gridSpan w:val="2"/>
            <w:vAlign w:val="center"/>
          </w:tcPr>
          <w:p w14:paraId="404A06C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w:t>
            </w:r>
          </w:p>
        </w:tc>
        <w:tc>
          <w:tcPr>
            <w:tcW w:w="525" w:type="dxa"/>
            <w:gridSpan w:val="2"/>
            <w:vAlign w:val="center"/>
          </w:tcPr>
          <w:p w14:paraId="72F1F46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w:t>
            </w:r>
          </w:p>
        </w:tc>
        <w:tc>
          <w:tcPr>
            <w:tcW w:w="717" w:type="dxa"/>
            <w:gridSpan w:val="2"/>
            <w:vAlign w:val="center"/>
          </w:tcPr>
          <w:p w14:paraId="4739E88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7</w:t>
            </w:r>
          </w:p>
        </w:tc>
      </w:tr>
      <w:tr w:rsidR="00082549" w:rsidRPr="00CE357F" w14:paraId="12254B44" w14:textId="77777777" w:rsidTr="007060E7">
        <w:trPr>
          <w:trHeight w:val="170"/>
        </w:trPr>
        <w:tc>
          <w:tcPr>
            <w:tcW w:w="1418" w:type="dxa"/>
            <w:shd w:val="clear" w:color="auto" w:fill="D9E2F3" w:themeFill="accent1" w:themeFillTint="33"/>
            <w:vAlign w:val="center"/>
          </w:tcPr>
          <w:p w14:paraId="31638095" w14:textId="77777777" w:rsidR="00082549" w:rsidRPr="00CE357F" w:rsidRDefault="00082549" w:rsidP="007060E7">
            <w:pPr>
              <w:jc w:val="center"/>
              <w:rPr>
                <w:rFonts w:ascii="Arial Narrow" w:hAnsi="Arial Narrow" w:cs="Arial"/>
                <w:b/>
                <w:sz w:val="18"/>
                <w:szCs w:val="18"/>
              </w:rPr>
            </w:pPr>
            <w:r w:rsidRPr="00CE357F">
              <w:rPr>
                <w:rFonts w:ascii="Arial Narrow" w:hAnsi="Arial Narrow"/>
                <w:sz w:val="18"/>
                <w:szCs w:val="18"/>
              </w:rPr>
              <w:t>Jedovnice</w:t>
            </w:r>
          </w:p>
        </w:tc>
        <w:tc>
          <w:tcPr>
            <w:tcW w:w="766" w:type="dxa"/>
            <w:vAlign w:val="center"/>
          </w:tcPr>
          <w:p w14:paraId="5148B11D"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2794</w:t>
            </w:r>
          </w:p>
        </w:tc>
        <w:tc>
          <w:tcPr>
            <w:tcW w:w="1336" w:type="dxa"/>
            <w:vAlign w:val="center"/>
          </w:tcPr>
          <w:p w14:paraId="6CBF8F55"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36</w:t>
            </w:r>
          </w:p>
        </w:tc>
        <w:tc>
          <w:tcPr>
            <w:tcW w:w="1743" w:type="dxa"/>
            <w:vAlign w:val="center"/>
          </w:tcPr>
          <w:p w14:paraId="0BEA9C01"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1,29 %</w:t>
            </w:r>
          </w:p>
        </w:tc>
        <w:tc>
          <w:tcPr>
            <w:tcW w:w="581" w:type="dxa"/>
            <w:vAlign w:val="center"/>
          </w:tcPr>
          <w:p w14:paraId="426F8A0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15</w:t>
            </w:r>
          </w:p>
        </w:tc>
        <w:tc>
          <w:tcPr>
            <w:tcW w:w="527" w:type="dxa"/>
            <w:vAlign w:val="center"/>
          </w:tcPr>
          <w:p w14:paraId="4C0F5389"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w:t>
            </w:r>
          </w:p>
        </w:tc>
        <w:tc>
          <w:tcPr>
            <w:tcW w:w="799" w:type="dxa"/>
            <w:vAlign w:val="center"/>
          </w:tcPr>
          <w:p w14:paraId="0304879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17</w:t>
            </w:r>
          </w:p>
        </w:tc>
        <w:tc>
          <w:tcPr>
            <w:tcW w:w="776" w:type="dxa"/>
            <w:gridSpan w:val="2"/>
            <w:vAlign w:val="center"/>
          </w:tcPr>
          <w:p w14:paraId="5FD15C27"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17</w:t>
            </w:r>
          </w:p>
        </w:tc>
        <w:tc>
          <w:tcPr>
            <w:tcW w:w="525" w:type="dxa"/>
            <w:gridSpan w:val="2"/>
            <w:vAlign w:val="center"/>
          </w:tcPr>
          <w:p w14:paraId="7DC930E3"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2</w:t>
            </w:r>
          </w:p>
        </w:tc>
        <w:tc>
          <w:tcPr>
            <w:tcW w:w="717" w:type="dxa"/>
            <w:gridSpan w:val="2"/>
            <w:vAlign w:val="center"/>
          </w:tcPr>
          <w:p w14:paraId="2A657AD0"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19</w:t>
            </w:r>
          </w:p>
        </w:tc>
      </w:tr>
      <w:tr w:rsidR="00082549" w:rsidRPr="00CE357F" w14:paraId="1A4EB4D8" w14:textId="77777777" w:rsidTr="007060E7">
        <w:trPr>
          <w:trHeight w:val="170"/>
        </w:trPr>
        <w:tc>
          <w:tcPr>
            <w:tcW w:w="1418" w:type="dxa"/>
            <w:shd w:val="clear" w:color="auto" w:fill="D9E2F3" w:themeFill="accent1" w:themeFillTint="33"/>
            <w:vAlign w:val="center"/>
          </w:tcPr>
          <w:p w14:paraId="3BC5310B"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Lipovec</w:t>
            </w:r>
          </w:p>
        </w:tc>
        <w:tc>
          <w:tcPr>
            <w:tcW w:w="766" w:type="dxa"/>
            <w:vAlign w:val="center"/>
          </w:tcPr>
          <w:p w14:paraId="16F7357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1194</w:t>
            </w:r>
          </w:p>
        </w:tc>
        <w:tc>
          <w:tcPr>
            <w:tcW w:w="1336" w:type="dxa"/>
            <w:vAlign w:val="center"/>
          </w:tcPr>
          <w:p w14:paraId="24CAA7C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10</w:t>
            </w:r>
          </w:p>
        </w:tc>
        <w:tc>
          <w:tcPr>
            <w:tcW w:w="1743" w:type="dxa"/>
            <w:vAlign w:val="center"/>
          </w:tcPr>
          <w:p w14:paraId="0D92D104" w14:textId="77777777" w:rsidR="00082549" w:rsidRPr="00CE357F" w:rsidRDefault="00082549" w:rsidP="007060E7">
            <w:pPr>
              <w:jc w:val="center"/>
              <w:rPr>
                <w:rFonts w:ascii="Arial Narrow" w:hAnsi="Arial Narrow"/>
                <w:color w:val="000000" w:themeColor="text1"/>
                <w:sz w:val="18"/>
                <w:szCs w:val="18"/>
              </w:rPr>
            </w:pPr>
            <w:r w:rsidRPr="00CE357F">
              <w:rPr>
                <w:rFonts w:ascii="Arial Narrow" w:hAnsi="Arial Narrow"/>
                <w:color w:val="000000" w:themeColor="text1"/>
                <w:sz w:val="18"/>
                <w:szCs w:val="18"/>
              </w:rPr>
              <w:t>0,84 %</w:t>
            </w:r>
          </w:p>
        </w:tc>
        <w:tc>
          <w:tcPr>
            <w:tcW w:w="581" w:type="dxa"/>
            <w:vAlign w:val="center"/>
          </w:tcPr>
          <w:p w14:paraId="54692C8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w:t>
            </w:r>
          </w:p>
        </w:tc>
        <w:tc>
          <w:tcPr>
            <w:tcW w:w="527" w:type="dxa"/>
            <w:vAlign w:val="center"/>
          </w:tcPr>
          <w:p w14:paraId="61DDA848"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99" w:type="dxa"/>
            <w:vAlign w:val="center"/>
          </w:tcPr>
          <w:p w14:paraId="0F8DB451"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6</w:t>
            </w:r>
          </w:p>
        </w:tc>
        <w:tc>
          <w:tcPr>
            <w:tcW w:w="776" w:type="dxa"/>
            <w:gridSpan w:val="2"/>
            <w:vAlign w:val="center"/>
          </w:tcPr>
          <w:p w14:paraId="4A4B38F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w:t>
            </w:r>
          </w:p>
        </w:tc>
        <w:tc>
          <w:tcPr>
            <w:tcW w:w="525" w:type="dxa"/>
            <w:gridSpan w:val="2"/>
            <w:vAlign w:val="center"/>
          </w:tcPr>
          <w:p w14:paraId="42D4C4F4"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0</w:t>
            </w:r>
          </w:p>
        </w:tc>
        <w:tc>
          <w:tcPr>
            <w:tcW w:w="717" w:type="dxa"/>
            <w:gridSpan w:val="2"/>
            <w:vAlign w:val="center"/>
          </w:tcPr>
          <w:p w14:paraId="77949616" w14:textId="77777777" w:rsidR="00082549" w:rsidRPr="00CE357F" w:rsidRDefault="00082549" w:rsidP="007060E7">
            <w:pPr>
              <w:jc w:val="center"/>
              <w:rPr>
                <w:rFonts w:ascii="Arial Narrow" w:hAnsi="Arial Narrow"/>
                <w:sz w:val="18"/>
                <w:szCs w:val="18"/>
              </w:rPr>
            </w:pPr>
            <w:r w:rsidRPr="00CE357F">
              <w:rPr>
                <w:rFonts w:ascii="Arial Narrow" w:hAnsi="Arial Narrow"/>
                <w:sz w:val="18"/>
                <w:szCs w:val="18"/>
              </w:rPr>
              <w:t>4</w:t>
            </w:r>
          </w:p>
        </w:tc>
      </w:tr>
    </w:tbl>
    <w:p w14:paraId="3FCED004" w14:textId="10C221F2" w:rsidR="007060E7" w:rsidRPr="009E089C" w:rsidRDefault="007060E7" w:rsidP="009E089C">
      <w:pPr>
        <w:spacing w:after="240" w:line="276" w:lineRule="auto"/>
        <w:rPr>
          <w:rFonts w:ascii="Arial Narrow" w:hAnsi="Arial Narrow"/>
          <w:color w:val="000000"/>
          <w:sz w:val="20"/>
          <w:szCs w:val="20"/>
          <w:lang w:eastAsia="cs-CZ"/>
        </w:rPr>
      </w:pPr>
      <w:bookmarkStart w:id="581" w:name="_Hlk94278558"/>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bookmarkEnd w:id="581"/>
    </w:p>
    <w:p w14:paraId="39BF6BA9" w14:textId="46973A89" w:rsidR="007060E7" w:rsidRPr="00CE357F" w:rsidRDefault="007060E7" w:rsidP="007060E7">
      <w:pPr>
        <w:spacing w:line="276" w:lineRule="auto"/>
        <w:jc w:val="both"/>
        <w:rPr>
          <w:rFonts w:ascii="Arial Narrow" w:hAnsi="Arial Narrow"/>
          <w:b/>
          <w:bCs/>
          <w:sz w:val="20"/>
          <w:szCs w:val="20"/>
        </w:rPr>
      </w:pPr>
      <w:bookmarkStart w:id="582" w:name="_Toc94443793"/>
      <w:bookmarkStart w:id="583" w:name="_Toc136428940"/>
      <w:bookmarkStart w:id="584" w:name="_Hlk94277832"/>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96</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 k 1. 1. 2021</w:t>
      </w:r>
      <w:bookmarkEnd w:id="582"/>
      <w:bookmarkEnd w:id="583"/>
    </w:p>
    <w:bookmarkEnd w:id="584"/>
    <w:p w14:paraId="7F9203FD" w14:textId="77777777" w:rsidR="007060E7" w:rsidRPr="00CE357F" w:rsidRDefault="007060E7" w:rsidP="007060E7">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1B53E194" wp14:editId="21EEDE0A">
            <wp:extent cx="5760720" cy="3295650"/>
            <wp:effectExtent l="0" t="0" r="11430" b="19050"/>
            <wp:docPr id="2055" name="Graf 2055">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1FAFF9B2" w14:textId="77777777" w:rsidR="007060E7" w:rsidRPr="00CE357F" w:rsidRDefault="007060E7" w:rsidP="007060E7">
      <w:pPr>
        <w:spacing w:after="240" w:line="276" w:lineRule="auto"/>
        <w:rPr>
          <w:rFonts w:ascii="Arial Narrow" w:hAnsi="Arial Narrow"/>
          <w:color w:val="000000"/>
          <w:sz w:val="20"/>
          <w:szCs w:val="20"/>
          <w:lang w:eastAsia="cs-CZ"/>
        </w:rPr>
      </w:pPr>
      <w:bookmarkStart w:id="585" w:name="_Hlk94277857"/>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3D0AF403" w14:textId="77777777" w:rsidR="007060E7" w:rsidRPr="00CE357F" w:rsidRDefault="007060E7" w:rsidP="007060E7">
      <w:pPr>
        <w:spacing w:after="240" w:line="276" w:lineRule="auto"/>
        <w:rPr>
          <w:rFonts w:ascii="Arial Narrow" w:hAnsi="Arial Narrow"/>
          <w:b/>
          <w:bCs/>
          <w:color w:val="000000" w:themeColor="text1"/>
        </w:rPr>
      </w:pPr>
      <w:bookmarkStart w:id="586" w:name="_Hlk94278164"/>
      <w:bookmarkEnd w:id="585"/>
      <w:r w:rsidRPr="00CE357F">
        <w:rPr>
          <w:rFonts w:ascii="Arial Narrow" w:hAnsi="Arial Narrow"/>
          <w:b/>
          <w:bCs/>
          <w:color w:val="000000" w:themeColor="text1"/>
        </w:rPr>
        <w:t xml:space="preserve">Osoby s jinou než českou státní příslušností </w:t>
      </w:r>
      <w:bookmarkEnd w:id="586"/>
      <w:r w:rsidRPr="00CE357F">
        <w:rPr>
          <w:rFonts w:ascii="Arial Narrow" w:hAnsi="Arial Narrow"/>
          <w:b/>
          <w:bCs/>
          <w:color w:val="000000" w:themeColor="text1"/>
        </w:rPr>
        <w:t>v ORP Blansko k datu 1. 1. 2022</w:t>
      </w:r>
    </w:p>
    <w:p w14:paraId="683FE277" w14:textId="49B21AF3" w:rsidR="007060E7" w:rsidRPr="00CE357F" w:rsidRDefault="007060E7" w:rsidP="00BF2AB3">
      <w:pPr>
        <w:spacing w:after="120" w:line="276" w:lineRule="auto"/>
        <w:jc w:val="both"/>
        <w:rPr>
          <w:rFonts w:ascii="Arial Narrow" w:hAnsi="Arial Narrow"/>
          <w:color w:val="000000"/>
        </w:rPr>
      </w:pPr>
      <w:r w:rsidRPr="00CE357F">
        <w:rPr>
          <w:rFonts w:ascii="Arial Narrow" w:hAnsi="Arial Narrow"/>
          <w:color w:val="000000"/>
        </w:rPr>
        <w:t xml:space="preserve">V ORP Blansko žilo k datu 1. 1. 2022 celkem 1 542 osob s jinou než českou státní příslušností, což bylo zhruba 2,8 % všech obyvatel ORP </w:t>
      </w:r>
      <w:r w:rsidR="003B1120" w:rsidRPr="00CE357F">
        <w:rPr>
          <w:rFonts w:ascii="Arial Narrow" w:hAnsi="Arial Narrow"/>
          <w:color w:val="000000"/>
        </w:rPr>
        <w:t>Blansko</w:t>
      </w:r>
      <w:r w:rsidRPr="00CE357F">
        <w:rPr>
          <w:rFonts w:ascii="Arial Narrow" w:hAnsi="Arial Narrow"/>
          <w:color w:val="000000"/>
        </w:rPr>
        <w:t xml:space="preserve">. Téměř dvě třetiny (65,5 %) všech osob s jinou než českou státní příslušností na území OPR </w:t>
      </w:r>
      <w:r w:rsidR="003B1120" w:rsidRPr="00CE357F">
        <w:rPr>
          <w:rFonts w:ascii="Arial Narrow" w:hAnsi="Arial Narrow"/>
          <w:color w:val="000000"/>
        </w:rPr>
        <w:t>Blansko</w:t>
      </w:r>
      <w:r w:rsidRPr="00CE357F">
        <w:rPr>
          <w:rFonts w:ascii="Arial Narrow" w:hAnsi="Arial Narrow"/>
          <w:color w:val="000000"/>
        </w:rPr>
        <w:t xml:space="preserve"> měl</w:t>
      </w:r>
      <w:r w:rsidR="00486D0D" w:rsidRPr="00CE357F">
        <w:rPr>
          <w:rFonts w:ascii="Arial Narrow" w:hAnsi="Arial Narrow"/>
          <w:color w:val="000000"/>
        </w:rPr>
        <w:t>y</w:t>
      </w:r>
      <w:r w:rsidRPr="00CE357F">
        <w:rPr>
          <w:rFonts w:ascii="Arial Narrow" w:hAnsi="Arial Narrow"/>
          <w:color w:val="000000"/>
        </w:rPr>
        <w:t xml:space="preserve"> trvalý pobyt, 34,5 % pak pobyt přechodný. Podíl dětí do 15 let z celkového počtu těchto osob v ORP </w:t>
      </w:r>
      <w:r w:rsidR="003B1120" w:rsidRPr="00CE357F">
        <w:rPr>
          <w:rFonts w:ascii="Arial Narrow" w:hAnsi="Arial Narrow"/>
          <w:color w:val="000000"/>
        </w:rPr>
        <w:t>Blansko</w:t>
      </w:r>
      <w:r w:rsidRPr="00CE357F">
        <w:rPr>
          <w:rFonts w:ascii="Arial Narrow" w:hAnsi="Arial Narrow"/>
          <w:color w:val="000000"/>
        </w:rPr>
        <w:t xml:space="preserve"> byl 15,9 %. Nejvyšší podíl osob s jinou než českou státní příslušností na celkovém počtu obyvatel v dané obci byl v Blansku (4,3 %), druhý nejvyšší podíl byl evidován v obci Ráječko (4,2 %) a třetí v Adamově (4 %).</w:t>
      </w:r>
    </w:p>
    <w:p w14:paraId="2EDABFFE" w14:textId="0398EB5E" w:rsidR="00C97514" w:rsidRPr="00CE357F" w:rsidRDefault="007060E7" w:rsidP="00BF2AB3">
      <w:pPr>
        <w:shd w:val="clear" w:color="auto" w:fill="FFFFFF" w:themeFill="background1"/>
        <w:spacing w:after="120" w:line="276" w:lineRule="auto"/>
        <w:jc w:val="both"/>
        <w:rPr>
          <w:rFonts w:ascii="Arial Narrow" w:hAnsi="Arial Narrow"/>
          <w:color w:val="000000"/>
        </w:rPr>
      </w:pPr>
      <w:r w:rsidRPr="00CE357F">
        <w:rPr>
          <w:rFonts w:ascii="Arial Narrow" w:hAnsi="Arial Narrow"/>
          <w:color w:val="000000"/>
        </w:rPr>
        <w:t>V ORP Blansko bylo k 1. 1. 2022 43 obcí, přičemž ve 42 z nich byla evidována alespoň jedna osoba s jinou než českou státní příslušností. Z důvodu velkého množství dat dále pracujeme jen s obcemi, na jejichž území v dané době pobývalo 10 a více těchto osob.</w:t>
      </w:r>
      <w:r w:rsidR="009E089C">
        <w:rPr>
          <w:rFonts w:ascii="Arial Narrow" w:hAnsi="Arial Narrow"/>
          <w:color w:val="000000"/>
        </w:rPr>
        <w:t xml:space="preserve"> </w:t>
      </w:r>
      <w:r w:rsidRPr="00CE357F">
        <w:rPr>
          <w:rFonts w:ascii="Arial Narrow" w:hAnsi="Arial Narrow"/>
          <w:color w:val="000000"/>
        </w:rPr>
        <w:t>Počty osob s jinou než českou státní příslušností v daných obcích včetně rozdělení těchto osob podle pohlaví a věku</w:t>
      </w:r>
      <w:r w:rsidR="009E089C">
        <w:rPr>
          <w:rFonts w:ascii="Arial Narrow" w:hAnsi="Arial Narrow"/>
          <w:color w:val="000000"/>
        </w:rPr>
        <w:t xml:space="preserve"> a jejich podíl na celkovém počtu obyvatel</w:t>
      </w:r>
      <w:r w:rsidRPr="00CE357F">
        <w:rPr>
          <w:rFonts w:ascii="Arial Narrow" w:hAnsi="Arial Narrow"/>
          <w:color w:val="000000"/>
        </w:rPr>
        <w:t xml:space="preserve"> podrobně dokumentuj</w:t>
      </w:r>
      <w:r w:rsidR="009E089C">
        <w:rPr>
          <w:rFonts w:ascii="Arial Narrow" w:hAnsi="Arial Narrow"/>
          <w:color w:val="000000"/>
        </w:rPr>
        <w:t xml:space="preserve">í </w:t>
      </w:r>
      <w:r w:rsidRPr="00CE357F">
        <w:rPr>
          <w:rFonts w:ascii="Arial Narrow" w:hAnsi="Arial Narrow"/>
          <w:color w:val="000000"/>
        </w:rPr>
        <w:t>tabulka</w:t>
      </w:r>
      <w:r w:rsidR="009E089C">
        <w:rPr>
          <w:rFonts w:ascii="Arial Narrow" w:hAnsi="Arial Narrow"/>
          <w:color w:val="000000"/>
        </w:rPr>
        <w:t xml:space="preserve"> č. 27 a graf č. 97</w:t>
      </w:r>
      <w:r w:rsidRPr="00CE357F">
        <w:rPr>
          <w:rFonts w:ascii="Arial Narrow" w:hAnsi="Arial Narrow"/>
          <w:color w:val="000000"/>
        </w:rPr>
        <w:t xml:space="preserve">. </w:t>
      </w:r>
    </w:p>
    <w:p w14:paraId="5BF564C9" w14:textId="04537B68" w:rsidR="007060E7" w:rsidRPr="00CE357F" w:rsidRDefault="007060E7" w:rsidP="00EA186A">
      <w:pPr>
        <w:jc w:val="both"/>
        <w:rPr>
          <w:rFonts w:ascii="Arial Narrow" w:hAnsi="Arial Narrow"/>
          <w:b/>
          <w:bCs/>
          <w:sz w:val="24"/>
          <w:szCs w:val="24"/>
        </w:rPr>
      </w:pPr>
      <w:bookmarkStart w:id="587" w:name="_Hlk94278010"/>
      <w:bookmarkStart w:id="588" w:name="_Toc136429238"/>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27</w:t>
      </w:r>
      <w:r w:rsidRPr="00CE357F">
        <w:rPr>
          <w:rFonts w:ascii="Arial Narrow" w:hAnsi="Arial Narrow"/>
          <w:b/>
          <w:bCs/>
          <w:sz w:val="20"/>
          <w:szCs w:val="20"/>
        </w:rPr>
        <w:fldChar w:fldCharType="end"/>
      </w:r>
      <w:r w:rsidRPr="00CE357F">
        <w:rPr>
          <w:rFonts w:ascii="Arial Narrow" w:hAnsi="Arial Narrow"/>
          <w:b/>
          <w:bCs/>
          <w:sz w:val="20"/>
          <w:szCs w:val="20"/>
        </w:rPr>
        <w:t xml:space="preserve">:  </w:t>
      </w:r>
      <w:bookmarkEnd w:id="587"/>
      <w:r w:rsidRPr="00CE357F">
        <w:rPr>
          <w:rFonts w:ascii="Arial Narrow" w:eastAsia="Times New Roman" w:hAnsi="Arial Narrow" w:cs="Arial"/>
          <w:b/>
          <w:bCs/>
          <w:sz w:val="20"/>
          <w:szCs w:val="20"/>
          <w:lang w:eastAsia="cs-CZ"/>
        </w:rPr>
        <w:t>Podíl osob s jinou než českou státní příslušností na celkovém počtu obyvatel vybraných obcí v ORP Blansko k 1. 1. 2022</w:t>
      </w:r>
      <w:bookmarkEnd w:id="588"/>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106"/>
        <w:gridCol w:w="829"/>
        <w:gridCol w:w="1516"/>
        <w:gridCol w:w="1790"/>
        <w:gridCol w:w="591"/>
        <w:gridCol w:w="513"/>
        <w:gridCol w:w="768"/>
        <w:gridCol w:w="573"/>
        <w:gridCol w:w="474"/>
        <w:gridCol w:w="797"/>
      </w:tblGrid>
      <w:tr w:rsidR="007060E7" w:rsidRPr="00CE357F" w14:paraId="26FCE185" w14:textId="77777777" w:rsidTr="007060E7">
        <w:trPr>
          <w:trHeight w:val="204"/>
        </w:trPr>
        <w:tc>
          <w:tcPr>
            <w:tcW w:w="1136" w:type="dxa"/>
            <w:vMerge w:val="restart"/>
            <w:shd w:val="clear" w:color="auto" w:fill="D9E2F3" w:themeFill="accent1" w:themeFillTint="33"/>
            <w:vAlign w:val="center"/>
          </w:tcPr>
          <w:p w14:paraId="70285865"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849" w:type="dxa"/>
            <w:vMerge w:val="restart"/>
            <w:shd w:val="clear" w:color="auto" w:fill="D9E2F3" w:themeFill="accent1" w:themeFillTint="33"/>
            <w:vAlign w:val="center"/>
          </w:tcPr>
          <w:p w14:paraId="56D411AD" w14:textId="77777777" w:rsidR="007060E7" w:rsidRPr="00CE357F" w:rsidRDefault="007060E7" w:rsidP="007060E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559" w:type="dxa"/>
            <w:vMerge w:val="restart"/>
            <w:shd w:val="clear" w:color="auto" w:fill="D9E2F3" w:themeFill="accent1" w:themeFillTint="33"/>
            <w:vAlign w:val="center"/>
          </w:tcPr>
          <w:p w14:paraId="20B704C6" w14:textId="77777777" w:rsidR="007060E7" w:rsidRPr="00CE357F" w:rsidRDefault="007060E7" w:rsidP="007060E7">
            <w:pPr>
              <w:jc w:val="center"/>
              <w:rPr>
                <w:rFonts w:ascii="Arial Narrow" w:hAnsi="Arial Narrow"/>
                <w:sz w:val="18"/>
                <w:szCs w:val="18"/>
              </w:rPr>
            </w:pPr>
            <w:r w:rsidRPr="00CE357F">
              <w:rPr>
                <w:rFonts w:ascii="Arial Narrow" w:hAnsi="Arial Narrow"/>
                <w:color w:val="000000"/>
                <w:sz w:val="18"/>
                <w:szCs w:val="18"/>
              </w:rPr>
              <w:t>Osoby s jinou než českou státní příslušností</w:t>
            </w:r>
            <w:r w:rsidRPr="00CE357F">
              <w:rPr>
                <w:rFonts w:ascii="Arial Narrow" w:eastAsia="Times New Roman" w:hAnsi="Arial Narrow" w:cs="Arial"/>
                <w:sz w:val="18"/>
                <w:szCs w:val="18"/>
                <w:lang w:eastAsia="cs-CZ"/>
              </w:rPr>
              <w:t xml:space="preserve"> celkem</w:t>
            </w:r>
          </w:p>
        </w:tc>
        <w:tc>
          <w:tcPr>
            <w:tcW w:w="1843" w:type="dxa"/>
            <w:vMerge w:val="restart"/>
            <w:shd w:val="clear" w:color="auto" w:fill="D9E2F3" w:themeFill="accent1" w:themeFillTint="33"/>
            <w:vAlign w:val="center"/>
          </w:tcPr>
          <w:p w14:paraId="283EDB20" w14:textId="77777777" w:rsidR="007060E7" w:rsidRPr="00CE357F" w:rsidRDefault="007060E7" w:rsidP="007060E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Podíl </w:t>
            </w:r>
            <w:r w:rsidRPr="00CE357F">
              <w:rPr>
                <w:rFonts w:ascii="Arial Narrow" w:hAnsi="Arial Narrow"/>
                <w:color w:val="000000"/>
                <w:sz w:val="18"/>
                <w:szCs w:val="18"/>
              </w:rPr>
              <w:t>osob s jinou než českou státní příslušností</w:t>
            </w:r>
            <w:r w:rsidRPr="00CE357F">
              <w:rPr>
                <w:rFonts w:ascii="Arial Narrow" w:eastAsia="Times New Roman" w:hAnsi="Arial Narrow" w:cs="Arial"/>
                <w:sz w:val="18"/>
                <w:szCs w:val="18"/>
                <w:lang w:eastAsia="cs-CZ"/>
              </w:rPr>
              <w:t xml:space="preserve"> na celkovém počtu obyvatel</w:t>
            </w:r>
          </w:p>
        </w:tc>
        <w:tc>
          <w:tcPr>
            <w:tcW w:w="1911" w:type="dxa"/>
            <w:gridSpan w:val="3"/>
            <w:shd w:val="clear" w:color="auto" w:fill="D9E2F3" w:themeFill="accent1" w:themeFillTint="33"/>
            <w:vAlign w:val="center"/>
          </w:tcPr>
          <w:p w14:paraId="0E692123"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1882" w:type="dxa"/>
            <w:gridSpan w:val="3"/>
            <w:shd w:val="clear" w:color="auto" w:fill="D9E2F3" w:themeFill="accent1" w:themeFillTint="33"/>
            <w:vAlign w:val="center"/>
          </w:tcPr>
          <w:p w14:paraId="7228EC44"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7060E7" w:rsidRPr="00CE357F" w14:paraId="10D486AA" w14:textId="77777777" w:rsidTr="007060E7">
        <w:trPr>
          <w:trHeight w:val="204"/>
        </w:trPr>
        <w:tc>
          <w:tcPr>
            <w:tcW w:w="1136" w:type="dxa"/>
            <w:vMerge/>
            <w:shd w:val="clear" w:color="auto" w:fill="D9E2F3" w:themeFill="accent1" w:themeFillTint="33"/>
            <w:vAlign w:val="center"/>
          </w:tcPr>
          <w:p w14:paraId="4E6465AF" w14:textId="77777777" w:rsidR="007060E7" w:rsidRPr="00CE357F" w:rsidRDefault="007060E7" w:rsidP="007060E7">
            <w:pPr>
              <w:jc w:val="center"/>
              <w:rPr>
                <w:rFonts w:ascii="Arial Narrow" w:eastAsia="Times New Roman" w:hAnsi="Arial Narrow" w:cs="Arial"/>
                <w:sz w:val="18"/>
                <w:szCs w:val="18"/>
                <w:lang w:eastAsia="cs-CZ"/>
              </w:rPr>
            </w:pPr>
          </w:p>
        </w:tc>
        <w:tc>
          <w:tcPr>
            <w:tcW w:w="849" w:type="dxa"/>
            <w:vMerge/>
            <w:shd w:val="clear" w:color="auto" w:fill="D9E2F3" w:themeFill="accent1" w:themeFillTint="33"/>
            <w:vAlign w:val="center"/>
          </w:tcPr>
          <w:p w14:paraId="7C9DD784" w14:textId="77777777" w:rsidR="007060E7" w:rsidRPr="00CE357F" w:rsidRDefault="007060E7" w:rsidP="007060E7">
            <w:pPr>
              <w:jc w:val="center"/>
              <w:rPr>
                <w:rFonts w:ascii="Arial Narrow" w:eastAsia="Times New Roman" w:hAnsi="Arial Narrow" w:cs="Arial"/>
                <w:sz w:val="18"/>
                <w:szCs w:val="18"/>
                <w:lang w:eastAsia="cs-CZ"/>
              </w:rPr>
            </w:pPr>
          </w:p>
        </w:tc>
        <w:tc>
          <w:tcPr>
            <w:tcW w:w="1559" w:type="dxa"/>
            <w:vMerge/>
            <w:shd w:val="clear" w:color="auto" w:fill="D9E2F3" w:themeFill="accent1" w:themeFillTint="33"/>
            <w:vAlign w:val="center"/>
          </w:tcPr>
          <w:p w14:paraId="4E61E733" w14:textId="77777777" w:rsidR="007060E7" w:rsidRPr="00CE357F" w:rsidRDefault="007060E7" w:rsidP="007060E7">
            <w:pPr>
              <w:jc w:val="center"/>
              <w:rPr>
                <w:rFonts w:ascii="Arial Narrow" w:eastAsia="Times New Roman" w:hAnsi="Arial Narrow" w:cs="Arial"/>
                <w:sz w:val="18"/>
                <w:szCs w:val="18"/>
                <w:lang w:eastAsia="cs-CZ"/>
              </w:rPr>
            </w:pPr>
          </w:p>
        </w:tc>
        <w:tc>
          <w:tcPr>
            <w:tcW w:w="1843" w:type="dxa"/>
            <w:vMerge/>
            <w:shd w:val="clear" w:color="auto" w:fill="D9E2F3" w:themeFill="accent1" w:themeFillTint="33"/>
            <w:vAlign w:val="center"/>
          </w:tcPr>
          <w:p w14:paraId="1CEF804C" w14:textId="77777777" w:rsidR="007060E7" w:rsidRPr="00CE357F" w:rsidRDefault="007060E7" w:rsidP="007060E7">
            <w:pPr>
              <w:jc w:val="center"/>
              <w:rPr>
                <w:rFonts w:ascii="Arial Narrow" w:eastAsia="Times New Roman" w:hAnsi="Arial Narrow" w:cs="Arial"/>
                <w:sz w:val="18"/>
                <w:szCs w:val="18"/>
                <w:lang w:eastAsia="cs-CZ"/>
              </w:rPr>
            </w:pPr>
          </w:p>
        </w:tc>
        <w:tc>
          <w:tcPr>
            <w:tcW w:w="603" w:type="dxa"/>
            <w:shd w:val="clear" w:color="auto" w:fill="D9E2F3" w:themeFill="accent1" w:themeFillTint="33"/>
            <w:vAlign w:val="center"/>
          </w:tcPr>
          <w:p w14:paraId="2B19A540"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22" w:type="dxa"/>
            <w:shd w:val="clear" w:color="auto" w:fill="D9E2F3" w:themeFill="accent1" w:themeFillTint="33"/>
            <w:vAlign w:val="center"/>
          </w:tcPr>
          <w:p w14:paraId="11E54039"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86" w:type="dxa"/>
            <w:shd w:val="clear" w:color="auto" w:fill="D9E2F3" w:themeFill="accent1" w:themeFillTint="33"/>
            <w:vAlign w:val="center"/>
          </w:tcPr>
          <w:p w14:paraId="22DD987C"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84" w:type="dxa"/>
            <w:shd w:val="clear" w:color="auto" w:fill="D9E2F3" w:themeFill="accent1" w:themeFillTint="33"/>
            <w:vAlign w:val="center"/>
          </w:tcPr>
          <w:p w14:paraId="2A2F955B"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482" w:type="dxa"/>
            <w:shd w:val="clear" w:color="auto" w:fill="D9E2F3" w:themeFill="accent1" w:themeFillTint="33"/>
            <w:vAlign w:val="center"/>
          </w:tcPr>
          <w:p w14:paraId="7E818265"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16" w:type="dxa"/>
            <w:shd w:val="clear" w:color="auto" w:fill="D9E2F3" w:themeFill="accent1" w:themeFillTint="33"/>
            <w:vAlign w:val="center"/>
          </w:tcPr>
          <w:p w14:paraId="497461B0" w14:textId="77777777" w:rsidR="007060E7" w:rsidRPr="00CE357F" w:rsidRDefault="007060E7" w:rsidP="007060E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7B2C0D" w:rsidRPr="00CE357F" w14:paraId="4E503CD2" w14:textId="77777777" w:rsidTr="007060E7">
        <w:trPr>
          <w:trHeight w:val="20"/>
        </w:trPr>
        <w:tc>
          <w:tcPr>
            <w:tcW w:w="1136" w:type="dxa"/>
            <w:shd w:val="clear" w:color="auto" w:fill="D9E2F3" w:themeFill="accent1" w:themeFillTint="33"/>
            <w:vAlign w:val="center"/>
          </w:tcPr>
          <w:p w14:paraId="131C73AD"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Blansko</w:t>
            </w:r>
          </w:p>
        </w:tc>
        <w:tc>
          <w:tcPr>
            <w:tcW w:w="849" w:type="dxa"/>
            <w:vAlign w:val="center"/>
          </w:tcPr>
          <w:p w14:paraId="458E7915"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19 483</w:t>
            </w:r>
          </w:p>
        </w:tc>
        <w:tc>
          <w:tcPr>
            <w:tcW w:w="1559" w:type="dxa"/>
            <w:vAlign w:val="center"/>
          </w:tcPr>
          <w:p w14:paraId="05C7EE2E"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839</w:t>
            </w:r>
          </w:p>
        </w:tc>
        <w:tc>
          <w:tcPr>
            <w:tcW w:w="1843" w:type="dxa"/>
            <w:vAlign w:val="center"/>
          </w:tcPr>
          <w:p w14:paraId="6208FC21" w14:textId="77777777" w:rsidR="007B2C0D" w:rsidRPr="00CE357F" w:rsidRDefault="007B2C0D" w:rsidP="007060E7">
            <w:pPr>
              <w:jc w:val="center"/>
              <w:rPr>
                <w:rFonts w:ascii="Arial Narrow" w:hAnsi="Arial Narrow"/>
                <w:b/>
                <w:bCs/>
                <w:sz w:val="18"/>
                <w:szCs w:val="18"/>
              </w:rPr>
            </w:pPr>
            <w:r w:rsidRPr="00CE357F">
              <w:rPr>
                <w:rFonts w:ascii="Arial Narrow" w:hAnsi="Arial Narrow"/>
                <w:b/>
                <w:bCs/>
                <w:color w:val="C00000"/>
                <w:sz w:val="18"/>
                <w:szCs w:val="18"/>
              </w:rPr>
              <w:t>4,3 %</w:t>
            </w:r>
          </w:p>
        </w:tc>
        <w:tc>
          <w:tcPr>
            <w:tcW w:w="603" w:type="dxa"/>
            <w:vAlign w:val="center"/>
          </w:tcPr>
          <w:p w14:paraId="0DBD584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361</w:t>
            </w:r>
          </w:p>
        </w:tc>
        <w:tc>
          <w:tcPr>
            <w:tcW w:w="522" w:type="dxa"/>
            <w:vAlign w:val="center"/>
          </w:tcPr>
          <w:p w14:paraId="33F070EA"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78</w:t>
            </w:r>
          </w:p>
        </w:tc>
        <w:tc>
          <w:tcPr>
            <w:tcW w:w="786" w:type="dxa"/>
            <w:vAlign w:val="center"/>
          </w:tcPr>
          <w:p w14:paraId="2A2881AC"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439</w:t>
            </w:r>
          </w:p>
        </w:tc>
        <w:tc>
          <w:tcPr>
            <w:tcW w:w="584" w:type="dxa"/>
            <w:vAlign w:val="center"/>
          </w:tcPr>
          <w:p w14:paraId="6F0373F4"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315</w:t>
            </w:r>
          </w:p>
        </w:tc>
        <w:tc>
          <w:tcPr>
            <w:tcW w:w="482" w:type="dxa"/>
            <w:vAlign w:val="center"/>
          </w:tcPr>
          <w:p w14:paraId="72845AFD"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85</w:t>
            </w:r>
          </w:p>
        </w:tc>
        <w:tc>
          <w:tcPr>
            <w:tcW w:w="816" w:type="dxa"/>
            <w:vAlign w:val="center"/>
          </w:tcPr>
          <w:p w14:paraId="5AA385C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400</w:t>
            </w:r>
          </w:p>
        </w:tc>
      </w:tr>
      <w:tr w:rsidR="007B2C0D" w:rsidRPr="00CE357F" w14:paraId="3EB2149D" w14:textId="77777777" w:rsidTr="007060E7">
        <w:trPr>
          <w:trHeight w:val="20"/>
        </w:trPr>
        <w:tc>
          <w:tcPr>
            <w:tcW w:w="1136" w:type="dxa"/>
            <w:shd w:val="clear" w:color="auto" w:fill="D9E2F3" w:themeFill="accent1" w:themeFillTint="33"/>
            <w:vAlign w:val="center"/>
          </w:tcPr>
          <w:p w14:paraId="773A2518"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Ráječko</w:t>
            </w:r>
          </w:p>
        </w:tc>
        <w:tc>
          <w:tcPr>
            <w:tcW w:w="849" w:type="dxa"/>
            <w:vAlign w:val="center"/>
          </w:tcPr>
          <w:p w14:paraId="0CADFDA3"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olor w:val="000000"/>
                <w:sz w:val="18"/>
                <w:szCs w:val="18"/>
              </w:rPr>
              <w:t>1 335</w:t>
            </w:r>
          </w:p>
        </w:tc>
        <w:tc>
          <w:tcPr>
            <w:tcW w:w="1559" w:type="dxa"/>
            <w:vAlign w:val="center"/>
          </w:tcPr>
          <w:p w14:paraId="09E809B2"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56</w:t>
            </w:r>
          </w:p>
        </w:tc>
        <w:tc>
          <w:tcPr>
            <w:tcW w:w="1843" w:type="dxa"/>
            <w:vAlign w:val="center"/>
          </w:tcPr>
          <w:p w14:paraId="25C89CF9" w14:textId="77777777" w:rsidR="007B2C0D" w:rsidRPr="00CE357F" w:rsidRDefault="007B2C0D" w:rsidP="007060E7">
            <w:pPr>
              <w:jc w:val="center"/>
              <w:rPr>
                <w:rFonts w:ascii="Arial Narrow" w:hAnsi="Arial Narrow"/>
                <w:b/>
                <w:bCs/>
                <w:sz w:val="18"/>
                <w:szCs w:val="18"/>
              </w:rPr>
            </w:pPr>
            <w:r w:rsidRPr="00CE357F">
              <w:rPr>
                <w:rFonts w:ascii="Arial Narrow" w:hAnsi="Arial Narrow"/>
                <w:b/>
                <w:bCs/>
                <w:color w:val="C00000"/>
                <w:sz w:val="18"/>
                <w:szCs w:val="18"/>
              </w:rPr>
              <w:t>4,2 %</w:t>
            </w:r>
          </w:p>
        </w:tc>
        <w:tc>
          <w:tcPr>
            <w:tcW w:w="603" w:type="dxa"/>
            <w:vAlign w:val="center"/>
          </w:tcPr>
          <w:p w14:paraId="1C3AD5D9"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23</w:t>
            </w:r>
          </w:p>
        </w:tc>
        <w:tc>
          <w:tcPr>
            <w:tcW w:w="522" w:type="dxa"/>
            <w:vAlign w:val="center"/>
          </w:tcPr>
          <w:p w14:paraId="182AB40F"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7</w:t>
            </w:r>
          </w:p>
        </w:tc>
        <w:tc>
          <w:tcPr>
            <w:tcW w:w="786" w:type="dxa"/>
            <w:vAlign w:val="center"/>
          </w:tcPr>
          <w:p w14:paraId="394A6F34"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30</w:t>
            </w:r>
          </w:p>
        </w:tc>
        <w:tc>
          <w:tcPr>
            <w:tcW w:w="584" w:type="dxa"/>
            <w:vAlign w:val="center"/>
          </w:tcPr>
          <w:p w14:paraId="7798E9DD"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23</w:t>
            </w:r>
          </w:p>
        </w:tc>
        <w:tc>
          <w:tcPr>
            <w:tcW w:w="482" w:type="dxa"/>
            <w:vAlign w:val="center"/>
          </w:tcPr>
          <w:p w14:paraId="4050CA88"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3</w:t>
            </w:r>
          </w:p>
        </w:tc>
        <w:tc>
          <w:tcPr>
            <w:tcW w:w="816" w:type="dxa"/>
            <w:vAlign w:val="center"/>
          </w:tcPr>
          <w:p w14:paraId="767697FF"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26</w:t>
            </w:r>
          </w:p>
        </w:tc>
      </w:tr>
      <w:tr w:rsidR="007B2C0D" w:rsidRPr="00CE357F" w14:paraId="69155A3D" w14:textId="77777777" w:rsidTr="007060E7">
        <w:trPr>
          <w:trHeight w:val="20"/>
        </w:trPr>
        <w:tc>
          <w:tcPr>
            <w:tcW w:w="1136" w:type="dxa"/>
            <w:shd w:val="clear" w:color="auto" w:fill="D9E2F3" w:themeFill="accent1" w:themeFillTint="33"/>
            <w:vAlign w:val="center"/>
          </w:tcPr>
          <w:p w14:paraId="50CD91FE" w14:textId="77777777" w:rsidR="007B2C0D" w:rsidRPr="00CE357F" w:rsidRDefault="007B2C0D" w:rsidP="007060E7">
            <w:pPr>
              <w:jc w:val="center"/>
              <w:rPr>
                <w:rFonts w:ascii="Arial Narrow" w:hAnsi="Arial Narrow" w:cs="Arial"/>
                <w:sz w:val="18"/>
                <w:szCs w:val="18"/>
              </w:rPr>
            </w:pPr>
            <w:r w:rsidRPr="00CE357F">
              <w:rPr>
                <w:rFonts w:ascii="Arial Narrow" w:eastAsia="Times New Roman" w:hAnsi="Arial Narrow" w:cs="Times New Roman"/>
                <w:color w:val="000000"/>
                <w:sz w:val="18"/>
                <w:szCs w:val="18"/>
                <w:lang w:eastAsia="cs-CZ"/>
              </w:rPr>
              <w:t>Adamov</w:t>
            </w:r>
          </w:p>
        </w:tc>
        <w:tc>
          <w:tcPr>
            <w:tcW w:w="849" w:type="dxa"/>
            <w:vAlign w:val="center"/>
          </w:tcPr>
          <w:p w14:paraId="796697A2"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s="Times New Roman"/>
                <w:sz w:val="18"/>
                <w:szCs w:val="18"/>
              </w:rPr>
              <w:t>4 385</w:t>
            </w:r>
          </w:p>
        </w:tc>
        <w:tc>
          <w:tcPr>
            <w:tcW w:w="1559" w:type="dxa"/>
            <w:vAlign w:val="center"/>
          </w:tcPr>
          <w:p w14:paraId="6FD4244D"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175</w:t>
            </w:r>
          </w:p>
        </w:tc>
        <w:tc>
          <w:tcPr>
            <w:tcW w:w="1843" w:type="dxa"/>
            <w:vAlign w:val="center"/>
          </w:tcPr>
          <w:p w14:paraId="388180F4" w14:textId="77777777" w:rsidR="007B2C0D" w:rsidRPr="00CE357F" w:rsidRDefault="007B2C0D" w:rsidP="007060E7">
            <w:pPr>
              <w:jc w:val="center"/>
              <w:rPr>
                <w:rFonts w:ascii="Arial Narrow" w:hAnsi="Arial Narrow"/>
                <w:b/>
                <w:bCs/>
                <w:sz w:val="18"/>
                <w:szCs w:val="18"/>
              </w:rPr>
            </w:pPr>
            <w:r w:rsidRPr="00CE357F">
              <w:rPr>
                <w:rFonts w:ascii="Arial Narrow" w:hAnsi="Arial Narrow"/>
                <w:b/>
                <w:bCs/>
                <w:color w:val="C00000"/>
                <w:sz w:val="18"/>
                <w:szCs w:val="18"/>
              </w:rPr>
              <w:t>4,0 %</w:t>
            </w:r>
          </w:p>
        </w:tc>
        <w:tc>
          <w:tcPr>
            <w:tcW w:w="603" w:type="dxa"/>
            <w:vAlign w:val="center"/>
          </w:tcPr>
          <w:p w14:paraId="5B3CE88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75</w:t>
            </w:r>
          </w:p>
        </w:tc>
        <w:tc>
          <w:tcPr>
            <w:tcW w:w="522" w:type="dxa"/>
            <w:vAlign w:val="center"/>
          </w:tcPr>
          <w:p w14:paraId="4AB185B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10</w:t>
            </w:r>
          </w:p>
        </w:tc>
        <w:tc>
          <w:tcPr>
            <w:tcW w:w="786" w:type="dxa"/>
            <w:vAlign w:val="center"/>
          </w:tcPr>
          <w:p w14:paraId="1763B54B"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85</w:t>
            </w:r>
          </w:p>
        </w:tc>
        <w:tc>
          <w:tcPr>
            <w:tcW w:w="584" w:type="dxa"/>
            <w:vAlign w:val="center"/>
          </w:tcPr>
          <w:p w14:paraId="672EC2BA"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78</w:t>
            </w:r>
          </w:p>
        </w:tc>
        <w:tc>
          <w:tcPr>
            <w:tcW w:w="482" w:type="dxa"/>
            <w:vAlign w:val="center"/>
          </w:tcPr>
          <w:p w14:paraId="07F15A87"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12</w:t>
            </w:r>
          </w:p>
        </w:tc>
        <w:tc>
          <w:tcPr>
            <w:tcW w:w="816" w:type="dxa"/>
            <w:vAlign w:val="center"/>
          </w:tcPr>
          <w:p w14:paraId="512A914F"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90</w:t>
            </w:r>
          </w:p>
        </w:tc>
      </w:tr>
      <w:tr w:rsidR="007B2C0D" w:rsidRPr="00CE357F" w14:paraId="252790E0" w14:textId="77777777" w:rsidTr="007060E7">
        <w:trPr>
          <w:trHeight w:val="20"/>
        </w:trPr>
        <w:tc>
          <w:tcPr>
            <w:tcW w:w="1136" w:type="dxa"/>
            <w:shd w:val="clear" w:color="auto" w:fill="D9E2F3" w:themeFill="accent1" w:themeFillTint="33"/>
            <w:vAlign w:val="center"/>
          </w:tcPr>
          <w:p w14:paraId="7333CE7E"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Kuničky</w:t>
            </w:r>
          </w:p>
        </w:tc>
        <w:tc>
          <w:tcPr>
            <w:tcW w:w="849" w:type="dxa"/>
            <w:vAlign w:val="center"/>
          </w:tcPr>
          <w:p w14:paraId="2585AD0A"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olor w:val="000000"/>
                <w:sz w:val="18"/>
                <w:szCs w:val="18"/>
              </w:rPr>
              <w:t>277</w:t>
            </w:r>
          </w:p>
        </w:tc>
        <w:tc>
          <w:tcPr>
            <w:tcW w:w="1559" w:type="dxa"/>
            <w:vAlign w:val="center"/>
          </w:tcPr>
          <w:p w14:paraId="144C1674"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10</w:t>
            </w:r>
          </w:p>
        </w:tc>
        <w:tc>
          <w:tcPr>
            <w:tcW w:w="1843" w:type="dxa"/>
            <w:vAlign w:val="center"/>
          </w:tcPr>
          <w:p w14:paraId="46060DFF"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3,6 %</w:t>
            </w:r>
          </w:p>
        </w:tc>
        <w:tc>
          <w:tcPr>
            <w:tcW w:w="603" w:type="dxa"/>
            <w:vAlign w:val="center"/>
          </w:tcPr>
          <w:p w14:paraId="7153CFC4"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4</w:t>
            </w:r>
          </w:p>
        </w:tc>
        <w:tc>
          <w:tcPr>
            <w:tcW w:w="522" w:type="dxa"/>
            <w:vAlign w:val="center"/>
          </w:tcPr>
          <w:p w14:paraId="37569421"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1</w:t>
            </w:r>
          </w:p>
        </w:tc>
        <w:tc>
          <w:tcPr>
            <w:tcW w:w="786" w:type="dxa"/>
            <w:vAlign w:val="center"/>
          </w:tcPr>
          <w:p w14:paraId="0F7D8EA2"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5</w:t>
            </w:r>
          </w:p>
        </w:tc>
        <w:tc>
          <w:tcPr>
            <w:tcW w:w="584" w:type="dxa"/>
            <w:vAlign w:val="center"/>
          </w:tcPr>
          <w:p w14:paraId="5ED58BC1"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4</w:t>
            </w:r>
          </w:p>
        </w:tc>
        <w:tc>
          <w:tcPr>
            <w:tcW w:w="482" w:type="dxa"/>
            <w:vAlign w:val="center"/>
          </w:tcPr>
          <w:p w14:paraId="415F6014"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1</w:t>
            </w:r>
          </w:p>
        </w:tc>
        <w:tc>
          <w:tcPr>
            <w:tcW w:w="816" w:type="dxa"/>
            <w:vAlign w:val="center"/>
          </w:tcPr>
          <w:p w14:paraId="02F5A780"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5</w:t>
            </w:r>
          </w:p>
        </w:tc>
      </w:tr>
      <w:tr w:rsidR="007B2C0D" w:rsidRPr="00CE357F" w14:paraId="47272237" w14:textId="77777777" w:rsidTr="007060E7">
        <w:trPr>
          <w:trHeight w:val="20"/>
        </w:trPr>
        <w:tc>
          <w:tcPr>
            <w:tcW w:w="1136" w:type="dxa"/>
            <w:shd w:val="clear" w:color="auto" w:fill="D9E2F3" w:themeFill="accent1" w:themeFillTint="33"/>
            <w:vAlign w:val="center"/>
          </w:tcPr>
          <w:p w14:paraId="79ED9DC4"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Černá Hora</w:t>
            </w:r>
          </w:p>
        </w:tc>
        <w:tc>
          <w:tcPr>
            <w:tcW w:w="849" w:type="dxa"/>
            <w:vAlign w:val="center"/>
          </w:tcPr>
          <w:p w14:paraId="2BCA687B"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2 113</w:t>
            </w:r>
          </w:p>
        </w:tc>
        <w:tc>
          <w:tcPr>
            <w:tcW w:w="1559" w:type="dxa"/>
            <w:vAlign w:val="center"/>
          </w:tcPr>
          <w:p w14:paraId="0F170F54"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70</w:t>
            </w:r>
          </w:p>
        </w:tc>
        <w:tc>
          <w:tcPr>
            <w:tcW w:w="1843" w:type="dxa"/>
            <w:vAlign w:val="center"/>
          </w:tcPr>
          <w:p w14:paraId="02B3B86D"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3,3 %</w:t>
            </w:r>
          </w:p>
        </w:tc>
        <w:tc>
          <w:tcPr>
            <w:tcW w:w="603" w:type="dxa"/>
            <w:vAlign w:val="center"/>
          </w:tcPr>
          <w:p w14:paraId="43B6D5D6"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38</w:t>
            </w:r>
          </w:p>
        </w:tc>
        <w:tc>
          <w:tcPr>
            <w:tcW w:w="522" w:type="dxa"/>
            <w:vAlign w:val="center"/>
          </w:tcPr>
          <w:p w14:paraId="58363AF9"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5</w:t>
            </w:r>
          </w:p>
        </w:tc>
        <w:tc>
          <w:tcPr>
            <w:tcW w:w="786" w:type="dxa"/>
            <w:vAlign w:val="center"/>
          </w:tcPr>
          <w:p w14:paraId="33815732"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43</w:t>
            </w:r>
          </w:p>
        </w:tc>
        <w:tc>
          <w:tcPr>
            <w:tcW w:w="584" w:type="dxa"/>
            <w:vAlign w:val="center"/>
          </w:tcPr>
          <w:p w14:paraId="03FAF2DB"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22</w:t>
            </w:r>
          </w:p>
        </w:tc>
        <w:tc>
          <w:tcPr>
            <w:tcW w:w="482" w:type="dxa"/>
            <w:vAlign w:val="center"/>
          </w:tcPr>
          <w:p w14:paraId="4D437F4B"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5</w:t>
            </w:r>
          </w:p>
        </w:tc>
        <w:tc>
          <w:tcPr>
            <w:tcW w:w="816" w:type="dxa"/>
            <w:vAlign w:val="center"/>
          </w:tcPr>
          <w:p w14:paraId="317741E1"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27</w:t>
            </w:r>
          </w:p>
        </w:tc>
      </w:tr>
      <w:tr w:rsidR="007B2C0D" w:rsidRPr="00CE357F" w14:paraId="3DC9A164" w14:textId="77777777" w:rsidTr="007060E7">
        <w:trPr>
          <w:trHeight w:val="20"/>
        </w:trPr>
        <w:tc>
          <w:tcPr>
            <w:tcW w:w="1136" w:type="dxa"/>
            <w:shd w:val="clear" w:color="auto" w:fill="D9E2F3" w:themeFill="accent1" w:themeFillTint="33"/>
            <w:vAlign w:val="center"/>
          </w:tcPr>
          <w:p w14:paraId="43586AC7"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Olomučany</w:t>
            </w:r>
          </w:p>
        </w:tc>
        <w:tc>
          <w:tcPr>
            <w:tcW w:w="849" w:type="dxa"/>
            <w:vAlign w:val="center"/>
          </w:tcPr>
          <w:p w14:paraId="3205231E"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olor w:val="000000"/>
                <w:sz w:val="18"/>
                <w:szCs w:val="18"/>
              </w:rPr>
              <w:t>1 060</w:t>
            </w:r>
          </w:p>
        </w:tc>
        <w:tc>
          <w:tcPr>
            <w:tcW w:w="1559" w:type="dxa"/>
            <w:vAlign w:val="center"/>
          </w:tcPr>
          <w:p w14:paraId="0A21130A"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28</w:t>
            </w:r>
          </w:p>
        </w:tc>
        <w:tc>
          <w:tcPr>
            <w:tcW w:w="1843" w:type="dxa"/>
            <w:vAlign w:val="center"/>
          </w:tcPr>
          <w:p w14:paraId="31E411A5"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2,6 %</w:t>
            </w:r>
          </w:p>
        </w:tc>
        <w:tc>
          <w:tcPr>
            <w:tcW w:w="603" w:type="dxa"/>
            <w:vAlign w:val="center"/>
          </w:tcPr>
          <w:p w14:paraId="1585A476"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19</w:t>
            </w:r>
          </w:p>
        </w:tc>
        <w:tc>
          <w:tcPr>
            <w:tcW w:w="522" w:type="dxa"/>
            <w:vAlign w:val="center"/>
          </w:tcPr>
          <w:p w14:paraId="4302FB37"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1</w:t>
            </w:r>
          </w:p>
        </w:tc>
        <w:tc>
          <w:tcPr>
            <w:tcW w:w="786" w:type="dxa"/>
            <w:vAlign w:val="center"/>
          </w:tcPr>
          <w:p w14:paraId="646C373C"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20</w:t>
            </w:r>
          </w:p>
        </w:tc>
        <w:tc>
          <w:tcPr>
            <w:tcW w:w="584" w:type="dxa"/>
            <w:vAlign w:val="center"/>
          </w:tcPr>
          <w:p w14:paraId="268FD2DD"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7</w:t>
            </w:r>
          </w:p>
        </w:tc>
        <w:tc>
          <w:tcPr>
            <w:tcW w:w="482" w:type="dxa"/>
            <w:vAlign w:val="center"/>
          </w:tcPr>
          <w:p w14:paraId="7699287F"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1</w:t>
            </w:r>
          </w:p>
        </w:tc>
        <w:tc>
          <w:tcPr>
            <w:tcW w:w="816" w:type="dxa"/>
            <w:vAlign w:val="center"/>
          </w:tcPr>
          <w:p w14:paraId="6CB38386"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8</w:t>
            </w:r>
          </w:p>
        </w:tc>
      </w:tr>
      <w:tr w:rsidR="007B2C0D" w:rsidRPr="00CE357F" w14:paraId="61FFCDB5" w14:textId="77777777" w:rsidTr="007060E7">
        <w:trPr>
          <w:trHeight w:val="20"/>
        </w:trPr>
        <w:tc>
          <w:tcPr>
            <w:tcW w:w="1136" w:type="dxa"/>
            <w:shd w:val="clear" w:color="auto" w:fill="D9E2F3" w:themeFill="accent1" w:themeFillTint="33"/>
            <w:vAlign w:val="center"/>
          </w:tcPr>
          <w:p w14:paraId="7B4160F3"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Krasová</w:t>
            </w:r>
          </w:p>
        </w:tc>
        <w:tc>
          <w:tcPr>
            <w:tcW w:w="849" w:type="dxa"/>
            <w:vAlign w:val="center"/>
          </w:tcPr>
          <w:p w14:paraId="16315280" w14:textId="77777777" w:rsidR="007B2C0D" w:rsidRPr="00CE357F" w:rsidRDefault="007B2C0D" w:rsidP="007060E7">
            <w:pPr>
              <w:jc w:val="center"/>
              <w:rPr>
                <w:rFonts w:ascii="Arial Narrow" w:hAnsi="Arial Narrow"/>
                <w:sz w:val="18"/>
                <w:szCs w:val="18"/>
              </w:rPr>
            </w:pPr>
            <w:r w:rsidRPr="00CE357F">
              <w:rPr>
                <w:rFonts w:ascii="Arial Narrow" w:hAnsi="Arial Narrow"/>
                <w:color w:val="000000"/>
                <w:sz w:val="18"/>
                <w:szCs w:val="18"/>
              </w:rPr>
              <w:t>468</w:t>
            </w:r>
          </w:p>
        </w:tc>
        <w:tc>
          <w:tcPr>
            <w:tcW w:w="1559" w:type="dxa"/>
            <w:vAlign w:val="center"/>
          </w:tcPr>
          <w:p w14:paraId="7D36B4AA"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10</w:t>
            </w:r>
          </w:p>
        </w:tc>
        <w:tc>
          <w:tcPr>
            <w:tcW w:w="1843" w:type="dxa"/>
            <w:vAlign w:val="center"/>
          </w:tcPr>
          <w:p w14:paraId="36BDD87E"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2,1 %</w:t>
            </w:r>
          </w:p>
        </w:tc>
        <w:tc>
          <w:tcPr>
            <w:tcW w:w="603" w:type="dxa"/>
            <w:vAlign w:val="center"/>
          </w:tcPr>
          <w:p w14:paraId="2C2721A2"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w:t>
            </w:r>
          </w:p>
        </w:tc>
        <w:tc>
          <w:tcPr>
            <w:tcW w:w="522" w:type="dxa"/>
            <w:vAlign w:val="center"/>
          </w:tcPr>
          <w:p w14:paraId="7441FEBE"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0</w:t>
            </w:r>
          </w:p>
        </w:tc>
        <w:tc>
          <w:tcPr>
            <w:tcW w:w="786" w:type="dxa"/>
            <w:vAlign w:val="center"/>
          </w:tcPr>
          <w:p w14:paraId="22D6B663"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w:t>
            </w:r>
          </w:p>
        </w:tc>
        <w:tc>
          <w:tcPr>
            <w:tcW w:w="584" w:type="dxa"/>
            <w:vAlign w:val="center"/>
          </w:tcPr>
          <w:p w14:paraId="221FB514"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2</w:t>
            </w:r>
          </w:p>
        </w:tc>
        <w:tc>
          <w:tcPr>
            <w:tcW w:w="482" w:type="dxa"/>
            <w:vAlign w:val="center"/>
          </w:tcPr>
          <w:p w14:paraId="35729430"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w:t>
            </w:r>
          </w:p>
        </w:tc>
        <w:tc>
          <w:tcPr>
            <w:tcW w:w="816" w:type="dxa"/>
            <w:vAlign w:val="center"/>
          </w:tcPr>
          <w:p w14:paraId="07ABB9B3"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3</w:t>
            </w:r>
          </w:p>
        </w:tc>
      </w:tr>
      <w:tr w:rsidR="007B2C0D" w:rsidRPr="00CE357F" w14:paraId="713333DF" w14:textId="77777777" w:rsidTr="007060E7">
        <w:trPr>
          <w:trHeight w:val="20"/>
        </w:trPr>
        <w:tc>
          <w:tcPr>
            <w:tcW w:w="1136" w:type="dxa"/>
            <w:shd w:val="clear" w:color="auto" w:fill="D9E2F3" w:themeFill="accent1" w:themeFillTint="33"/>
            <w:vAlign w:val="center"/>
          </w:tcPr>
          <w:p w14:paraId="2D83961C" w14:textId="77777777" w:rsidR="007B2C0D" w:rsidRPr="00CE357F" w:rsidRDefault="007B2C0D" w:rsidP="007060E7">
            <w:pPr>
              <w:jc w:val="center"/>
              <w:rPr>
                <w:rFonts w:ascii="Arial Narrow" w:hAnsi="Arial Narrow" w:cs="Times New Roman"/>
                <w:sz w:val="18"/>
                <w:szCs w:val="18"/>
              </w:rPr>
            </w:pPr>
            <w:proofErr w:type="spellStart"/>
            <w:r w:rsidRPr="00CE357F">
              <w:rPr>
                <w:rFonts w:ascii="Arial Narrow" w:hAnsi="Arial Narrow" w:cs="Times New Roman"/>
                <w:sz w:val="18"/>
                <w:szCs w:val="18"/>
              </w:rPr>
              <w:lastRenderedPageBreak/>
              <w:t>Šebrov</w:t>
            </w:r>
            <w:proofErr w:type="spellEnd"/>
            <w:r w:rsidRPr="00CE357F">
              <w:rPr>
                <w:rFonts w:ascii="Arial Narrow" w:hAnsi="Arial Narrow" w:cs="Times New Roman"/>
                <w:sz w:val="18"/>
                <w:szCs w:val="18"/>
              </w:rPr>
              <w:t>-Kateřina</w:t>
            </w:r>
          </w:p>
        </w:tc>
        <w:tc>
          <w:tcPr>
            <w:tcW w:w="849" w:type="dxa"/>
            <w:vAlign w:val="center"/>
          </w:tcPr>
          <w:p w14:paraId="2C228597"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olor w:val="000000"/>
                <w:sz w:val="18"/>
                <w:szCs w:val="18"/>
              </w:rPr>
              <w:t>820</w:t>
            </w:r>
          </w:p>
        </w:tc>
        <w:tc>
          <w:tcPr>
            <w:tcW w:w="1559" w:type="dxa"/>
            <w:vAlign w:val="center"/>
          </w:tcPr>
          <w:p w14:paraId="436BCE64"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sz w:val="18"/>
                <w:szCs w:val="18"/>
              </w:rPr>
              <w:t>16</w:t>
            </w:r>
          </w:p>
        </w:tc>
        <w:tc>
          <w:tcPr>
            <w:tcW w:w="1843" w:type="dxa"/>
            <w:vAlign w:val="center"/>
          </w:tcPr>
          <w:p w14:paraId="19D9B8AF"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2,0 %</w:t>
            </w:r>
          </w:p>
        </w:tc>
        <w:tc>
          <w:tcPr>
            <w:tcW w:w="603" w:type="dxa"/>
            <w:vAlign w:val="center"/>
          </w:tcPr>
          <w:p w14:paraId="508EC9B2"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sz w:val="18"/>
                <w:szCs w:val="18"/>
              </w:rPr>
              <w:t>11</w:t>
            </w:r>
          </w:p>
        </w:tc>
        <w:tc>
          <w:tcPr>
            <w:tcW w:w="522" w:type="dxa"/>
            <w:vAlign w:val="center"/>
          </w:tcPr>
          <w:p w14:paraId="10DC8D61"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0</w:t>
            </w:r>
          </w:p>
        </w:tc>
        <w:tc>
          <w:tcPr>
            <w:tcW w:w="786" w:type="dxa"/>
            <w:vAlign w:val="center"/>
          </w:tcPr>
          <w:p w14:paraId="7828824D"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11</w:t>
            </w:r>
          </w:p>
        </w:tc>
        <w:tc>
          <w:tcPr>
            <w:tcW w:w="584" w:type="dxa"/>
            <w:vAlign w:val="center"/>
          </w:tcPr>
          <w:p w14:paraId="451BA96D"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5</w:t>
            </w:r>
          </w:p>
        </w:tc>
        <w:tc>
          <w:tcPr>
            <w:tcW w:w="482" w:type="dxa"/>
            <w:vAlign w:val="center"/>
          </w:tcPr>
          <w:p w14:paraId="513F9257"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0</w:t>
            </w:r>
          </w:p>
        </w:tc>
        <w:tc>
          <w:tcPr>
            <w:tcW w:w="816" w:type="dxa"/>
            <w:vAlign w:val="center"/>
          </w:tcPr>
          <w:p w14:paraId="0EDDE1FC"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5</w:t>
            </w:r>
          </w:p>
        </w:tc>
      </w:tr>
      <w:tr w:rsidR="007B2C0D" w:rsidRPr="00CE357F" w14:paraId="4BEE4795" w14:textId="77777777" w:rsidTr="007060E7">
        <w:trPr>
          <w:trHeight w:val="20"/>
        </w:trPr>
        <w:tc>
          <w:tcPr>
            <w:tcW w:w="1136" w:type="dxa"/>
            <w:shd w:val="clear" w:color="auto" w:fill="D9E2F3" w:themeFill="accent1" w:themeFillTint="33"/>
            <w:vAlign w:val="center"/>
          </w:tcPr>
          <w:p w14:paraId="5459DC1C"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Rájec-Jestřebí</w:t>
            </w:r>
          </w:p>
        </w:tc>
        <w:tc>
          <w:tcPr>
            <w:tcW w:w="849" w:type="dxa"/>
            <w:vAlign w:val="center"/>
          </w:tcPr>
          <w:p w14:paraId="165DFFCE"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olor w:val="000000"/>
                <w:sz w:val="18"/>
                <w:szCs w:val="18"/>
              </w:rPr>
              <w:t>3 667</w:t>
            </w:r>
          </w:p>
        </w:tc>
        <w:tc>
          <w:tcPr>
            <w:tcW w:w="1559" w:type="dxa"/>
            <w:vAlign w:val="center"/>
          </w:tcPr>
          <w:p w14:paraId="2F2B4F50"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sz w:val="18"/>
                <w:szCs w:val="18"/>
              </w:rPr>
              <w:t>70</w:t>
            </w:r>
          </w:p>
        </w:tc>
        <w:tc>
          <w:tcPr>
            <w:tcW w:w="1843" w:type="dxa"/>
            <w:vAlign w:val="center"/>
          </w:tcPr>
          <w:p w14:paraId="2B8E82DC"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1,9 %</w:t>
            </w:r>
          </w:p>
        </w:tc>
        <w:tc>
          <w:tcPr>
            <w:tcW w:w="603" w:type="dxa"/>
            <w:vAlign w:val="center"/>
          </w:tcPr>
          <w:p w14:paraId="153F00C0"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sz w:val="18"/>
                <w:szCs w:val="18"/>
              </w:rPr>
              <w:t>39</w:t>
            </w:r>
          </w:p>
        </w:tc>
        <w:tc>
          <w:tcPr>
            <w:tcW w:w="522" w:type="dxa"/>
            <w:vAlign w:val="center"/>
          </w:tcPr>
          <w:p w14:paraId="2D0C7C86"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7</w:t>
            </w:r>
          </w:p>
        </w:tc>
        <w:tc>
          <w:tcPr>
            <w:tcW w:w="786" w:type="dxa"/>
            <w:vAlign w:val="center"/>
          </w:tcPr>
          <w:p w14:paraId="5311F20D"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46</w:t>
            </w:r>
          </w:p>
        </w:tc>
        <w:tc>
          <w:tcPr>
            <w:tcW w:w="584" w:type="dxa"/>
            <w:vAlign w:val="center"/>
          </w:tcPr>
          <w:p w14:paraId="727FC099"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21</w:t>
            </w:r>
          </w:p>
        </w:tc>
        <w:tc>
          <w:tcPr>
            <w:tcW w:w="482" w:type="dxa"/>
            <w:vAlign w:val="center"/>
          </w:tcPr>
          <w:p w14:paraId="2A0CB2A8"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sz w:val="18"/>
                <w:szCs w:val="18"/>
              </w:rPr>
              <w:t>3</w:t>
            </w:r>
          </w:p>
        </w:tc>
        <w:tc>
          <w:tcPr>
            <w:tcW w:w="816" w:type="dxa"/>
            <w:vAlign w:val="center"/>
          </w:tcPr>
          <w:p w14:paraId="442EA149"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24</w:t>
            </w:r>
          </w:p>
        </w:tc>
      </w:tr>
      <w:tr w:rsidR="007B2C0D" w:rsidRPr="00CE357F" w14:paraId="2054CB79" w14:textId="77777777" w:rsidTr="007060E7">
        <w:trPr>
          <w:trHeight w:val="20"/>
        </w:trPr>
        <w:tc>
          <w:tcPr>
            <w:tcW w:w="1136" w:type="dxa"/>
            <w:shd w:val="clear" w:color="auto" w:fill="D9E2F3" w:themeFill="accent1" w:themeFillTint="33"/>
            <w:vAlign w:val="center"/>
          </w:tcPr>
          <w:p w14:paraId="0F3D05B6"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Bořitov</w:t>
            </w:r>
          </w:p>
        </w:tc>
        <w:tc>
          <w:tcPr>
            <w:tcW w:w="849" w:type="dxa"/>
            <w:vAlign w:val="center"/>
          </w:tcPr>
          <w:p w14:paraId="3310BDC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1 266</w:t>
            </w:r>
          </w:p>
        </w:tc>
        <w:tc>
          <w:tcPr>
            <w:tcW w:w="1559" w:type="dxa"/>
            <w:vAlign w:val="center"/>
          </w:tcPr>
          <w:p w14:paraId="244D7102"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23</w:t>
            </w:r>
          </w:p>
        </w:tc>
        <w:tc>
          <w:tcPr>
            <w:tcW w:w="1843" w:type="dxa"/>
            <w:vAlign w:val="center"/>
          </w:tcPr>
          <w:p w14:paraId="49F51AEA"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1,8 %</w:t>
            </w:r>
          </w:p>
        </w:tc>
        <w:tc>
          <w:tcPr>
            <w:tcW w:w="603" w:type="dxa"/>
            <w:vAlign w:val="center"/>
          </w:tcPr>
          <w:p w14:paraId="5B165DE5"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10</w:t>
            </w:r>
          </w:p>
        </w:tc>
        <w:tc>
          <w:tcPr>
            <w:tcW w:w="522" w:type="dxa"/>
            <w:vAlign w:val="center"/>
          </w:tcPr>
          <w:p w14:paraId="041D00B3"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w:t>
            </w:r>
          </w:p>
        </w:tc>
        <w:tc>
          <w:tcPr>
            <w:tcW w:w="786" w:type="dxa"/>
            <w:vAlign w:val="center"/>
          </w:tcPr>
          <w:p w14:paraId="67B072B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11</w:t>
            </w:r>
          </w:p>
        </w:tc>
        <w:tc>
          <w:tcPr>
            <w:tcW w:w="584" w:type="dxa"/>
            <w:vAlign w:val="center"/>
          </w:tcPr>
          <w:p w14:paraId="772DF6AD"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9</w:t>
            </w:r>
          </w:p>
        </w:tc>
        <w:tc>
          <w:tcPr>
            <w:tcW w:w="482" w:type="dxa"/>
            <w:vAlign w:val="center"/>
          </w:tcPr>
          <w:p w14:paraId="395D3206"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3</w:t>
            </w:r>
          </w:p>
        </w:tc>
        <w:tc>
          <w:tcPr>
            <w:tcW w:w="816" w:type="dxa"/>
            <w:vAlign w:val="center"/>
          </w:tcPr>
          <w:p w14:paraId="4754EEAA"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12</w:t>
            </w:r>
          </w:p>
        </w:tc>
      </w:tr>
      <w:tr w:rsidR="007B2C0D" w:rsidRPr="00CE357F" w14:paraId="59E76AFD" w14:textId="77777777" w:rsidTr="007060E7">
        <w:trPr>
          <w:trHeight w:val="20"/>
        </w:trPr>
        <w:tc>
          <w:tcPr>
            <w:tcW w:w="1136" w:type="dxa"/>
            <w:shd w:val="clear" w:color="auto" w:fill="D9E2F3" w:themeFill="accent1" w:themeFillTint="33"/>
            <w:vAlign w:val="center"/>
          </w:tcPr>
          <w:p w14:paraId="700EA105"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Bukovinka</w:t>
            </w:r>
          </w:p>
        </w:tc>
        <w:tc>
          <w:tcPr>
            <w:tcW w:w="849" w:type="dxa"/>
            <w:vAlign w:val="center"/>
          </w:tcPr>
          <w:p w14:paraId="7C442244"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608</w:t>
            </w:r>
          </w:p>
        </w:tc>
        <w:tc>
          <w:tcPr>
            <w:tcW w:w="1559" w:type="dxa"/>
            <w:vAlign w:val="center"/>
          </w:tcPr>
          <w:p w14:paraId="5CE388CE"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11</w:t>
            </w:r>
          </w:p>
        </w:tc>
        <w:tc>
          <w:tcPr>
            <w:tcW w:w="1843" w:type="dxa"/>
            <w:vAlign w:val="center"/>
          </w:tcPr>
          <w:p w14:paraId="20043BA7"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1,8 %</w:t>
            </w:r>
          </w:p>
        </w:tc>
        <w:tc>
          <w:tcPr>
            <w:tcW w:w="603" w:type="dxa"/>
            <w:vAlign w:val="center"/>
          </w:tcPr>
          <w:p w14:paraId="5D712FF6"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w:t>
            </w:r>
          </w:p>
        </w:tc>
        <w:tc>
          <w:tcPr>
            <w:tcW w:w="522" w:type="dxa"/>
            <w:vAlign w:val="center"/>
          </w:tcPr>
          <w:p w14:paraId="5A49D65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0</w:t>
            </w:r>
          </w:p>
        </w:tc>
        <w:tc>
          <w:tcPr>
            <w:tcW w:w="786" w:type="dxa"/>
            <w:vAlign w:val="center"/>
          </w:tcPr>
          <w:p w14:paraId="5DB0CFF9"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w:t>
            </w:r>
          </w:p>
        </w:tc>
        <w:tc>
          <w:tcPr>
            <w:tcW w:w="584" w:type="dxa"/>
            <w:vAlign w:val="center"/>
          </w:tcPr>
          <w:p w14:paraId="632773C6"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4</w:t>
            </w:r>
          </w:p>
        </w:tc>
        <w:tc>
          <w:tcPr>
            <w:tcW w:w="482" w:type="dxa"/>
            <w:vAlign w:val="center"/>
          </w:tcPr>
          <w:p w14:paraId="7B91577B"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0</w:t>
            </w:r>
          </w:p>
        </w:tc>
        <w:tc>
          <w:tcPr>
            <w:tcW w:w="816" w:type="dxa"/>
            <w:vAlign w:val="center"/>
          </w:tcPr>
          <w:p w14:paraId="11D600BF"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4</w:t>
            </w:r>
          </w:p>
        </w:tc>
      </w:tr>
      <w:tr w:rsidR="007B2C0D" w:rsidRPr="00CE357F" w14:paraId="34DE03D3" w14:textId="77777777" w:rsidTr="007060E7">
        <w:trPr>
          <w:trHeight w:val="20"/>
        </w:trPr>
        <w:tc>
          <w:tcPr>
            <w:tcW w:w="1136" w:type="dxa"/>
            <w:shd w:val="clear" w:color="auto" w:fill="D9E2F3" w:themeFill="accent1" w:themeFillTint="33"/>
            <w:vAlign w:val="center"/>
          </w:tcPr>
          <w:p w14:paraId="1E005051"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Doubravice nad Svitavou</w:t>
            </w:r>
          </w:p>
        </w:tc>
        <w:tc>
          <w:tcPr>
            <w:tcW w:w="849" w:type="dxa"/>
            <w:vAlign w:val="center"/>
          </w:tcPr>
          <w:p w14:paraId="0D15F631"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1 364</w:t>
            </w:r>
          </w:p>
        </w:tc>
        <w:tc>
          <w:tcPr>
            <w:tcW w:w="1559" w:type="dxa"/>
            <w:vAlign w:val="center"/>
          </w:tcPr>
          <w:p w14:paraId="1E926336"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24</w:t>
            </w:r>
          </w:p>
        </w:tc>
        <w:tc>
          <w:tcPr>
            <w:tcW w:w="1843" w:type="dxa"/>
            <w:vAlign w:val="center"/>
          </w:tcPr>
          <w:p w14:paraId="70F4C4F0"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1,8 %</w:t>
            </w:r>
          </w:p>
        </w:tc>
        <w:tc>
          <w:tcPr>
            <w:tcW w:w="603" w:type="dxa"/>
            <w:vAlign w:val="center"/>
          </w:tcPr>
          <w:p w14:paraId="79341F79"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13</w:t>
            </w:r>
          </w:p>
        </w:tc>
        <w:tc>
          <w:tcPr>
            <w:tcW w:w="522" w:type="dxa"/>
            <w:vAlign w:val="center"/>
          </w:tcPr>
          <w:p w14:paraId="5FA86190"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w:t>
            </w:r>
          </w:p>
        </w:tc>
        <w:tc>
          <w:tcPr>
            <w:tcW w:w="786" w:type="dxa"/>
            <w:vAlign w:val="center"/>
          </w:tcPr>
          <w:p w14:paraId="59B3ADD9"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14</w:t>
            </w:r>
          </w:p>
        </w:tc>
        <w:tc>
          <w:tcPr>
            <w:tcW w:w="584" w:type="dxa"/>
            <w:vAlign w:val="center"/>
          </w:tcPr>
          <w:p w14:paraId="5D21442F"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5</w:t>
            </w:r>
          </w:p>
        </w:tc>
        <w:tc>
          <w:tcPr>
            <w:tcW w:w="482" w:type="dxa"/>
            <w:vAlign w:val="center"/>
          </w:tcPr>
          <w:p w14:paraId="60419D8F"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5</w:t>
            </w:r>
          </w:p>
        </w:tc>
        <w:tc>
          <w:tcPr>
            <w:tcW w:w="816" w:type="dxa"/>
            <w:vAlign w:val="center"/>
          </w:tcPr>
          <w:p w14:paraId="504652A9"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10</w:t>
            </w:r>
          </w:p>
        </w:tc>
      </w:tr>
      <w:tr w:rsidR="007B2C0D" w:rsidRPr="00CE357F" w14:paraId="7E94A052" w14:textId="77777777" w:rsidTr="007060E7">
        <w:trPr>
          <w:trHeight w:val="20"/>
        </w:trPr>
        <w:tc>
          <w:tcPr>
            <w:tcW w:w="1136" w:type="dxa"/>
            <w:shd w:val="clear" w:color="auto" w:fill="D9E2F3" w:themeFill="accent1" w:themeFillTint="33"/>
            <w:vAlign w:val="center"/>
          </w:tcPr>
          <w:p w14:paraId="444574BE"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Lipůvka</w:t>
            </w:r>
          </w:p>
        </w:tc>
        <w:tc>
          <w:tcPr>
            <w:tcW w:w="849" w:type="dxa"/>
            <w:vAlign w:val="center"/>
          </w:tcPr>
          <w:p w14:paraId="379C749E"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olor w:val="000000"/>
                <w:sz w:val="18"/>
                <w:szCs w:val="18"/>
              </w:rPr>
              <w:t>1 401</w:t>
            </w:r>
          </w:p>
        </w:tc>
        <w:tc>
          <w:tcPr>
            <w:tcW w:w="1559" w:type="dxa"/>
            <w:vAlign w:val="center"/>
          </w:tcPr>
          <w:p w14:paraId="083291D7"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22</w:t>
            </w:r>
          </w:p>
        </w:tc>
        <w:tc>
          <w:tcPr>
            <w:tcW w:w="1843" w:type="dxa"/>
            <w:vAlign w:val="center"/>
          </w:tcPr>
          <w:p w14:paraId="1711A0AD"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1,6 %</w:t>
            </w:r>
          </w:p>
        </w:tc>
        <w:tc>
          <w:tcPr>
            <w:tcW w:w="603" w:type="dxa"/>
            <w:vAlign w:val="center"/>
          </w:tcPr>
          <w:p w14:paraId="1A4DCFD6"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9</w:t>
            </w:r>
          </w:p>
        </w:tc>
        <w:tc>
          <w:tcPr>
            <w:tcW w:w="522" w:type="dxa"/>
            <w:vAlign w:val="center"/>
          </w:tcPr>
          <w:p w14:paraId="362B070E"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1</w:t>
            </w:r>
          </w:p>
        </w:tc>
        <w:tc>
          <w:tcPr>
            <w:tcW w:w="786" w:type="dxa"/>
            <w:vAlign w:val="center"/>
          </w:tcPr>
          <w:p w14:paraId="2BBA7469"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10</w:t>
            </w:r>
          </w:p>
        </w:tc>
        <w:tc>
          <w:tcPr>
            <w:tcW w:w="584" w:type="dxa"/>
            <w:vAlign w:val="center"/>
          </w:tcPr>
          <w:p w14:paraId="2B10AF32"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12</w:t>
            </w:r>
          </w:p>
        </w:tc>
        <w:tc>
          <w:tcPr>
            <w:tcW w:w="482" w:type="dxa"/>
            <w:vAlign w:val="center"/>
          </w:tcPr>
          <w:p w14:paraId="3A1DDCD8"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0</w:t>
            </w:r>
          </w:p>
        </w:tc>
        <w:tc>
          <w:tcPr>
            <w:tcW w:w="816" w:type="dxa"/>
            <w:vAlign w:val="center"/>
          </w:tcPr>
          <w:p w14:paraId="26AE0F7B"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12</w:t>
            </w:r>
          </w:p>
        </w:tc>
      </w:tr>
      <w:tr w:rsidR="007B2C0D" w:rsidRPr="00CE357F" w14:paraId="46073E06" w14:textId="77777777" w:rsidTr="007060E7">
        <w:trPr>
          <w:trHeight w:val="20"/>
        </w:trPr>
        <w:tc>
          <w:tcPr>
            <w:tcW w:w="1136" w:type="dxa"/>
            <w:shd w:val="clear" w:color="auto" w:fill="D9E2F3" w:themeFill="accent1" w:themeFillTint="33"/>
            <w:vAlign w:val="center"/>
          </w:tcPr>
          <w:p w14:paraId="26D7644C"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Kotvrdovice</w:t>
            </w:r>
          </w:p>
        </w:tc>
        <w:tc>
          <w:tcPr>
            <w:tcW w:w="849" w:type="dxa"/>
            <w:vAlign w:val="center"/>
          </w:tcPr>
          <w:p w14:paraId="302F90DA" w14:textId="77777777" w:rsidR="007B2C0D" w:rsidRPr="00CE357F" w:rsidRDefault="007B2C0D" w:rsidP="007060E7">
            <w:pPr>
              <w:jc w:val="center"/>
              <w:rPr>
                <w:rFonts w:ascii="Arial Narrow" w:hAnsi="Arial Narrow"/>
                <w:sz w:val="18"/>
                <w:szCs w:val="18"/>
              </w:rPr>
            </w:pPr>
            <w:r w:rsidRPr="00CE357F">
              <w:rPr>
                <w:rFonts w:ascii="Arial Narrow" w:hAnsi="Arial Narrow"/>
                <w:color w:val="000000"/>
                <w:sz w:val="18"/>
                <w:szCs w:val="18"/>
              </w:rPr>
              <w:t>915</w:t>
            </w:r>
          </w:p>
        </w:tc>
        <w:tc>
          <w:tcPr>
            <w:tcW w:w="1559" w:type="dxa"/>
            <w:vAlign w:val="center"/>
          </w:tcPr>
          <w:p w14:paraId="2BD4BB7C"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12</w:t>
            </w:r>
          </w:p>
        </w:tc>
        <w:tc>
          <w:tcPr>
            <w:tcW w:w="1843" w:type="dxa"/>
            <w:vAlign w:val="center"/>
          </w:tcPr>
          <w:p w14:paraId="1B29580B"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1,3 %</w:t>
            </w:r>
          </w:p>
        </w:tc>
        <w:tc>
          <w:tcPr>
            <w:tcW w:w="603" w:type="dxa"/>
            <w:vAlign w:val="center"/>
          </w:tcPr>
          <w:p w14:paraId="1C23693A"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4</w:t>
            </w:r>
          </w:p>
        </w:tc>
        <w:tc>
          <w:tcPr>
            <w:tcW w:w="522" w:type="dxa"/>
            <w:vAlign w:val="center"/>
          </w:tcPr>
          <w:p w14:paraId="158897A3"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w:t>
            </w:r>
          </w:p>
        </w:tc>
        <w:tc>
          <w:tcPr>
            <w:tcW w:w="786" w:type="dxa"/>
            <w:vAlign w:val="center"/>
          </w:tcPr>
          <w:p w14:paraId="342DF93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5</w:t>
            </w:r>
          </w:p>
        </w:tc>
        <w:tc>
          <w:tcPr>
            <w:tcW w:w="584" w:type="dxa"/>
            <w:vAlign w:val="center"/>
          </w:tcPr>
          <w:p w14:paraId="62BEAB3D"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6</w:t>
            </w:r>
          </w:p>
        </w:tc>
        <w:tc>
          <w:tcPr>
            <w:tcW w:w="482" w:type="dxa"/>
            <w:vAlign w:val="center"/>
          </w:tcPr>
          <w:p w14:paraId="47BC3174"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w:t>
            </w:r>
          </w:p>
        </w:tc>
        <w:tc>
          <w:tcPr>
            <w:tcW w:w="816" w:type="dxa"/>
            <w:vAlign w:val="center"/>
          </w:tcPr>
          <w:p w14:paraId="19C2175E"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w:t>
            </w:r>
          </w:p>
        </w:tc>
      </w:tr>
      <w:tr w:rsidR="007B2C0D" w:rsidRPr="00CE357F" w14:paraId="64986D07" w14:textId="77777777" w:rsidTr="007060E7">
        <w:trPr>
          <w:trHeight w:val="20"/>
        </w:trPr>
        <w:tc>
          <w:tcPr>
            <w:tcW w:w="1136" w:type="dxa"/>
            <w:shd w:val="clear" w:color="auto" w:fill="D9E2F3" w:themeFill="accent1" w:themeFillTint="33"/>
            <w:vAlign w:val="center"/>
          </w:tcPr>
          <w:p w14:paraId="1EE353F5"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Křtiny</w:t>
            </w:r>
          </w:p>
        </w:tc>
        <w:tc>
          <w:tcPr>
            <w:tcW w:w="849" w:type="dxa"/>
            <w:vAlign w:val="center"/>
          </w:tcPr>
          <w:p w14:paraId="1218A770" w14:textId="77777777" w:rsidR="007B2C0D" w:rsidRPr="00CE357F" w:rsidRDefault="007B2C0D" w:rsidP="007060E7">
            <w:pPr>
              <w:jc w:val="center"/>
              <w:rPr>
                <w:rFonts w:ascii="Arial Narrow" w:hAnsi="Arial Narrow"/>
                <w:sz w:val="18"/>
                <w:szCs w:val="18"/>
              </w:rPr>
            </w:pPr>
            <w:r w:rsidRPr="00CE357F">
              <w:rPr>
                <w:rFonts w:ascii="Arial Narrow" w:hAnsi="Arial Narrow"/>
                <w:color w:val="000000"/>
                <w:sz w:val="18"/>
                <w:szCs w:val="18"/>
              </w:rPr>
              <w:t>831</w:t>
            </w:r>
          </w:p>
        </w:tc>
        <w:tc>
          <w:tcPr>
            <w:tcW w:w="1559" w:type="dxa"/>
            <w:vAlign w:val="center"/>
          </w:tcPr>
          <w:p w14:paraId="56DC2776"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11</w:t>
            </w:r>
          </w:p>
        </w:tc>
        <w:tc>
          <w:tcPr>
            <w:tcW w:w="1843" w:type="dxa"/>
            <w:vAlign w:val="center"/>
          </w:tcPr>
          <w:p w14:paraId="56E2C769"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1,3 %</w:t>
            </w:r>
          </w:p>
        </w:tc>
        <w:tc>
          <w:tcPr>
            <w:tcW w:w="603" w:type="dxa"/>
            <w:vAlign w:val="center"/>
          </w:tcPr>
          <w:p w14:paraId="5508F669"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6</w:t>
            </w:r>
          </w:p>
        </w:tc>
        <w:tc>
          <w:tcPr>
            <w:tcW w:w="522" w:type="dxa"/>
            <w:vAlign w:val="center"/>
          </w:tcPr>
          <w:p w14:paraId="53E2103B"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w:t>
            </w:r>
          </w:p>
        </w:tc>
        <w:tc>
          <w:tcPr>
            <w:tcW w:w="786" w:type="dxa"/>
            <w:vAlign w:val="center"/>
          </w:tcPr>
          <w:p w14:paraId="22958B77"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7</w:t>
            </w:r>
          </w:p>
        </w:tc>
        <w:tc>
          <w:tcPr>
            <w:tcW w:w="584" w:type="dxa"/>
            <w:vAlign w:val="center"/>
          </w:tcPr>
          <w:p w14:paraId="5E141A83"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4</w:t>
            </w:r>
          </w:p>
        </w:tc>
        <w:tc>
          <w:tcPr>
            <w:tcW w:w="482" w:type="dxa"/>
            <w:vAlign w:val="center"/>
          </w:tcPr>
          <w:p w14:paraId="4449FBF7"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0</w:t>
            </w:r>
          </w:p>
        </w:tc>
        <w:tc>
          <w:tcPr>
            <w:tcW w:w="816" w:type="dxa"/>
            <w:vAlign w:val="center"/>
          </w:tcPr>
          <w:p w14:paraId="65540D8B"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4</w:t>
            </w:r>
          </w:p>
        </w:tc>
      </w:tr>
      <w:tr w:rsidR="007B2C0D" w:rsidRPr="00CE357F" w14:paraId="08EBC06A" w14:textId="77777777" w:rsidTr="007060E7">
        <w:trPr>
          <w:trHeight w:val="20"/>
        </w:trPr>
        <w:tc>
          <w:tcPr>
            <w:tcW w:w="1136" w:type="dxa"/>
            <w:shd w:val="clear" w:color="auto" w:fill="D9E2F3" w:themeFill="accent1" w:themeFillTint="33"/>
            <w:vAlign w:val="center"/>
          </w:tcPr>
          <w:p w14:paraId="469B9616" w14:textId="77777777" w:rsidR="007B2C0D" w:rsidRPr="00CE357F" w:rsidRDefault="007B2C0D" w:rsidP="007060E7">
            <w:pPr>
              <w:jc w:val="center"/>
              <w:rPr>
                <w:rFonts w:ascii="Arial Narrow" w:hAnsi="Arial Narrow" w:cs="Arial"/>
                <w:sz w:val="18"/>
                <w:szCs w:val="18"/>
              </w:rPr>
            </w:pPr>
            <w:r w:rsidRPr="00CE357F">
              <w:rPr>
                <w:rFonts w:ascii="Arial Narrow" w:hAnsi="Arial Narrow" w:cs="Times New Roman"/>
                <w:sz w:val="18"/>
                <w:szCs w:val="18"/>
              </w:rPr>
              <w:t>Jedovnice</w:t>
            </w:r>
          </w:p>
        </w:tc>
        <w:tc>
          <w:tcPr>
            <w:tcW w:w="849" w:type="dxa"/>
            <w:vAlign w:val="center"/>
          </w:tcPr>
          <w:p w14:paraId="59D99D16" w14:textId="77777777" w:rsidR="007B2C0D" w:rsidRPr="00CE357F" w:rsidRDefault="007B2C0D" w:rsidP="007060E7">
            <w:pPr>
              <w:jc w:val="center"/>
              <w:rPr>
                <w:rFonts w:ascii="Arial Narrow" w:hAnsi="Arial Narrow"/>
                <w:sz w:val="18"/>
                <w:szCs w:val="18"/>
              </w:rPr>
            </w:pPr>
            <w:r w:rsidRPr="00CE357F">
              <w:rPr>
                <w:rFonts w:ascii="Arial Narrow" w:hAnsi="Arial Narrow"/>
                <w:color w:val="000000"/>
                <w:sz w:val="18"/>
                <w:szCs w:val="18"/>
              </w:rPr>
              <w:t>2 811</w:t>
            </w:r>
          </w:p>
        </w:tc>
        <w:tc>
          <w:tcPr>
            <w:tcW w:w="1559" w:type="dxa"/>
            <w:vAlign w:val="center"/>
          </w:tcPr>
          <w:p w14:paraId="0C6C3FB2"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34</w:t>
            </w:r>
          </w:p>
        </w:tc>
        <w:tc>
          <w:tcPr>
            <w:tcW w:w="1843" w:type="dxa"/>
            <w:vAlign w:val="center"/>
          </w:tcPr>
          <w:p w14:paraId="2FD435F4"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1,2 %</w:t>
            </w:r>
          </w:p>
        </w:tc>
        <w:tc>
          <w:tcPr>
            <w:tcW w:w="603" w:type="dxa"/>
            <w:vAlign w:val="center"/>
          </w:tcPr>
          <w:p w14:paraId="7B26A482"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13</w:t>
            </w:r>
          </w:p>
        </w:tc>
        <w:tc>
          <w:tcPr>
            <w:tcW w:w="522" w:type="dxa"/>
            <w:vAlign w:val="center"/>
          </w:tcPr>
          <w:p w14:paraId="14820B63"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w:t>
            </w:r>
          </w:p>
        </w:tc>
        <w:tc>
          <w:tcPr>
            <w:tcW w:w="786" w:type="dxa"/>
            <w:vAlign w:val="center"/>
          </w:tcPr>
          <w:p w14:paraId="5BFB87B1"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14</w:t>
            </w:r>
          </w:p>
        </w:tc>
        <w:tc>
          <w:tcPr>
            <w:tcW w:w="584" w:type="dxa"/>
            <w:vAlign w:val="center"/>
          </w:tcPr>
          <w:p w14:paraId="5B916A04"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17</w:t>
            </w:r>
          </w:p>
        </w:tc>
        <w:tc>
          <w:tcPr>
            <w:tcW w:w="482" w:type="dxa"/>
            <w:vAlign w:val="center"/>
          </w:tcPr>
          <w:p w14:paraId="749CF7B0"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sz w:val="18"/>
                <w:szCs w:val="18"/>
              </w:rPr>
              <w:t>3</w:t>
            </w:r>
          </w:p>
        </w:tc>
        <w:tc>
          <w:tcPr>
            <w:tcW w:w="816" w:type="dxa"/>
            <w:vAlign w:val="center"/>
          </w:tcPr>
          <w:p w14:paraId="44D70BC8" w14:textId="77777777" w:rsidR="007B2C0D" w:rsidRPr="00CE357F" w:rsidRDefault="007B2C0D" w:rsidP="007060E7">
            <w:pPr>
              <w:jc w:val="center"/>
              <w:rPr>
                <w:rFonts w:ascii="Arial Narrow" w:hAnsi="Arial Narrow"/>
                <w:sz w:val="18"/>
                <w:szCs w:val="18"/>
              </w:rPr>
            </w:pPr>
            <w:r w:rsidRPr="00CE357F">
              <w:rPr>
                <w:rFonts w:ascii="Arial Narrow" w:hAnsi="Arial Narrow" w:cs="Times New Roman"/>
                <w:color w:val="000000"/>
                <w:sz w:val="18"/>
                <w:szCs w:val="18"/>
              </w:rPr>
              <w:t>20</w:t>
            </w:r>
          </w:p>
        </w:tc>
      </w:tr>
      <w:tr w:rsidR="007B2C0D" w:rsidRPr="00CE357F" w14:paraId="35E27ABC" w14:textId="77777777" w:rsidTr="007060E7">
        <w:trPr>
          <w:trHeight w:val="20"/>
        </w:trPr>
        <w:tc>
          <w:tcPr>
            <w:tcW w:w="1136" w:type="dxa"/>
            <w:shd w:val="clear" w:color="auto" w:fill="D9E2F3" w:themeFill="accent1" w:themeFillTint="33"/>
            <w:vAlign w:val="center"/>
          </w:tcPr>
          <w:p w14:paraId="5741644B"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Ostrov u Macochy</w:t>
            </w:r>
          </w:p>
        </w:tc>
        <w:tc>
          <w:tcPr>
            <w:tcW w:w="849" w:type="dxa"/>
            <w:vAlign w:val="center"/>
          </w:tcPr>
          <w:p w14:paraId="02B17D86"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olor w:val="000000"/>
                <w:sz w:val="18"/>
                <w:szCs w:val="18"/>
              </w:rPr>
              <w:t>1 112</w:t>
            </w:r>
          </w:p>
        </w:tc>
        <w:tc>
          <w:tcPr>
            <w:tcW w:w="1559" w:type="dxa"/>
            <w:vAlign w:val="center"/>
          </w:tcPr>
          <w:p w14:paraId="6E291CD9"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10</w:t>
            </w:r>
          </w:p>
        </w:tc>
        <w:tc>
          <w:tcPr>
            <w:tcW w:w="1843" w:type="dxa"/>
            <w:vAlign w:val="center"/>
          </w:tcPr>
          <w:p w14:paraId="3A44A041"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0,9 %</w:t>
            </w:r>
          </w:p>
        </w:tc>
        <w:tc>
          <w:tcPr>
            <w:tcW w:w="603" w:type="dxa"/>
            <w:vAlign w:val="center"/>
          </w:tcPr>
          <w:p w14:paraId="75C4ABE9"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3</w:t>
            </w:r>
          </w:p>
        </w:tc>
        <w:tc>
          <w:tcPr>
            <w:tcW w:w="522" w:type="dxa"/>
            <w:vAlign w:val="center"/>
          </w:tcPr>
          <w:p w14:paraId="150402BB"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0</w:t>
            </w:r>
          </w:p>
        </w:tc>
        <w:tc>
          <w:tcPr>
            <w:tcW w:w="786" w:type="dxa"/>
            <w:vAlign w:val="center"/>
          </w:tcPr>
          <w:p w14:paraId="55E987CA"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3</w:t>
            </w:r>
          </w:p>
        </w:tc>
        <w:tc>
          <w:tcPr>
            <w:tcW w:w="584" w:type="dxa"/>
            <w:vAlign w:val="center"/>
          </w:tcPr>
          <w:p w14:paraId="7B0B31A3"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7</w:t>
            </w:r>
          </w:p>
        </w:tc>
        <w:tc>
          <w:tcPr>
            <w:tcW w:w="482" w:type="dxa"/>
            <w:vAlign w:val="center"/>
          </w:tcPr>
          <w:p w14:paraId="777C3193"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0</w:t>
            </w:r>
          </w:p>
        </w:tc>
        <w:tc>
          <w:tcPr>
            <w:tcW w:w="816" w:type="dxa"/>
            <w:vAlign w:val="center"/>
          </w:tcPr>
          <w:p w14:paraId="7286BBE0"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7</w:t>
            </w:r>
          </w:p>
        </w:tc>
      </w:tr>
      <w:tr w:rsidR="007B2C0D" w:rsidRPr="00CE357F" w14:paraId="73B879E7" w14:textId="77777777" w:rsidTr="007060E7">
        <w:trPr>
          <w:trHeight w:val="20"/>
        </w:trPr>
        <w:tc>
          <w:tcPr>
            <w:tcW w:w="1136" w:type="dxa"/>
            <w:shd w:val="clear" w:color="auto" w:fill="D9E2F3" w:themeFill="accent1" w:themeFillTint="33"/>
            <w:vAlign w:val="center"/>
          </w:tcPr>
          <w:p w14:paraId="4C8B4999"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Lipovec</w:t>
            </w:r>
          </w:p>
        </w:tc>
        <w:tc>
          <w:tcPr>
            <w:tcW w:w="849" w:type="dxa"/>
            <w:vAlign w:val="center"/>
          </w:tcPr>
          <w:p w14:paraId="1693617B" w14:textId="77777777" w:rsidR="007B2C0D" w:rsidRPr="00CE357F" w:rsidRDefault="007B2C0D" w:rsidP="007060E7">
            <w:pPr>
              <w:jc w:val="center"/>
              <w:rPr>
                <w:rFonts w:ascii="Arial Narrow" w:hAnsi="Arial Narrow"/>
                <w:color w:val="000000"/>
                <w:sz w:val="18"/>
                <w:szCs w:val="18"/>
              </w:rPr>
            </w:pPr>
            <w:r w:rsidRPr="00CE357F">
              <w:rPr>
                <w:rFonts w:ascii="Arial Narrow" w:hAnsi="Arial Narrow"/>
                <w:color w:val="000000"/>
                <w:sz w:val="18"/>
                <w:szCs w:val="18"/>
              </w:rPr>
              <w:t>1 188</w:t>
            </w:r>
          </w:p>
        </w:tc>
        <w:tc>
          <w:tcPr>
            <w:tcW w:w="1559" w:type="dxa"/>
            <w:vAlign w:val="center"/>
          </w:tcPr>
          <w:p w14:paraId="2F0F5891"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10</w:t>
            </w:r>
          </w:p>
        </w:tc>
        <w:tc>
          <w:tcPr>
            <w:tcW w:w="1843" w:type="dxa"/>
            <w:vAlign w:val="center"/>
          </w:tcPr>
          <w:p w14:paraId="7AC584F2" w14:textId="77777777" w:rsidR="007B2C0D" w:rsidRPr="00CE357F" w:rsidRDefault="007B2C0D" w:rsidP="007060E7">
            <w:pPr>
              <w:jc w:val="center"/>
              <w:rPr>
                <w:rFonts w:ascii="Arial Narrow" w:hAnsi="Arial Narrow"/>
                <w:sz w:val="18"/>
                <w:szCs w:val="18"/>
              </w:rPr>
            </w:pPr>
            <w:r w:rsidRPr="00CE357F">
              <w:rPr>
                <w:rFonts w:ascii="Arial Narrow" w:hAnsi="Arial Narrow"/>
                <w:sz w:val="18"/>
                <w:szCs w:val="18"/>
              </w:rPr>
              <w:t>0,8 %</w:t>
            </w:r>
          </w:p>
        </w:tc>
        <w:tc>
          <w:tcPr>
            <w:tcW w:w="603" w:type="dxa"/>
            <w:vAlign w:val="center"/>
          </w:tcPr>
          <w:p w14:paraId="068A22B1"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6</w:t>
            </w:r>
          </w:p>
        </w:tc>
        <w:tc>
          <w:tcPr>
            <w:tcW w:w="522" w:type="dxa"/>
            <w:vAlign w:val="center"/>
          </w:tcPr>
          <w:p w14:paraId="7C618DA1"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0</w:t>
            </w:r>
          </w:p>
        </w:tc>
        <w:tc>
          <w:tcPr>
            <w:tcW w:w="786" w:type="dxa"/>
            <w:vAlign w:val="center"/>
          </w:tcPr>
          <w:p w14:paraId="45835592"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6</w:t>
            </w:r>
          </w:p>
        </w:tc>
        <w:tc>
          <w:tcPr>
            <w:tcW w:w="584" w:type="dxa"/>
            <w:vAlign w:val="center"/>
          </w:tcPr>
          <w:p w14:paraId="5A769416" w14:textId="77777777" w:rsidR="007B2C0D" w:rsidRPr="00CE357F" w:rsidRDefault="007B2C0D" w:rsidP="007060E7">
            <w:pPr>
              <w:jc w:val="center"/>
              <w:rPr>
                <w:rFonts w:ascii="Arial Narrow" w:hAnsi="Arial Narrow" w:cs="Times New Roman"/>
                <w:sz w:val="18"/>
                <w:szCs w:val="18"/>
              </w:rPr>
            </w:pPr>
            <w:r w:rsidRPr="00CE357F">
              <w:rPr>
                <w:rFonts w:ascii="Arial Narrow" w:hAnsi="Arial Narrow" w:cs="Times New Roman"/>
                <w:sz w:val="18"/>
                <w:szCs w:val="18"/>
              </w:rPr>
              <w:t>4</w:t>
            </w:r>
          </w:p>
        </w:tc>
        <w:tc>
          <w:tcPr>
            <w:tcW w:w="482" w:type="dxa"/>
            <w:vAlign w:val="center"/>
          </w:tcPr>
          <w:p w14:paraId="121BE5DD"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0</w:t>
            </w:r>
          </w:p>
        </w:tc>
        <w:tc>
          <w:tcPr>
            <w:tcW w:w="816" w:type="dxa"/>
            <w:vAlign w:val="center"/>
          </w:tcPr>
          <w:p w14:paraId="534E08E7" w14:textId="77777777" w:rsidR="007B2C0D" w:rsidRPr="00CE357F" w:rsidRDefault="007B2C0D" w:rsidP="007060E7">
            <w:pPr>
              <w:jc w:val="center"/>
              <w:rPr>
                <w:rFonts w:ascii="Arial Narrow" w:hAnsi="Arial Narrow" w:cs="Times New Roman"/>
                <w:color w:val="000000"/>
                <w:sz w:val="18"/>
                <w:szCs w:val="18"/>
              </w:rPr>
            </w:pPr>
            <w:r w:rsidRPr="00CE357F">
              <w:rPr>
                <w:rFonts w:ascii="Arial Narrow" w:hAnsi="Arial Narrow" w:cs="Times New Roman"/>
                <w:color w:val="000000"/>
                <w:sz w:val="18"/>
                <w:szCs w:val="18"/>
              </w:rPr>
              <w:t>4</w:t>
            </w:r>
          </w:p>
        </w:tc>
      </w:tr>
    </w:tbl>
    <w:p w14:paraId="27336657" w14:textId="77777777" w:rsidR="007060E7" w:rsidRPr="00F44E6E" w:rsidRDefault="007060E7" w:rsidP="007060E7">
      <w:pPr>
        <w:spacing w:after="240" w:line="276" w:lineRule="auto"/>
        <w:rPr>
          <w:rFonts w:ascii="Arial Narrow" w:hAnsi="Arial Narrow"/>
          <w:color w:val="000000"/>
          <w:sz w:val="20"/>
          <w:lang w:eastAsia="cs-CZ"/>
        </w:rPr>
      </w:pPr>
      <w:r w:rsidRPr="00F44E6E">
        <w:rPr>
          <w:rFonts w:ascii="Arial Narrow" w:hAnsi="Arial Narrow"/>
          <w:color w:val="000000"/>
          <w:sz w:val="20"/>
          <w:lang w:eastAsia="cs-CZ"/>
        </w:rPr>
        <w:t>Zdroj: Ministerstvo Vnitra České republiky</w:t>
      </w:r>
      <w:r w:rsidRPr="00F44E6E">
        <w:rPr>
          <w:rFonts w:ascii="Arial Narrow" w:hAnsi="Arial Narrow"/>
          <w:sz w:val="20"/>
        </w:rPr>
        <w:tab/>
      </w:r>
      <w:r w:rsidRPr="00F44E6E">
        <w:rPr>
          <w:rFonts w:ascii="Arial Narrow" w:hAnsi="Arial Narrow"/>
          <w:sz w:val="20"/>
        </w:rPr>
        <w:tab/>
      </w:r>
      <w:r w:rsidRPr="00F44E6E">
        <w:rPr>
          <w:rFonts w:ascii="Arial Narrow" w:hAnsi="Arial Narrow"/>
          <w:sz w:val="20"/>
        </w:rPr>
        <w:tab/>
      </w:r>
      <w:r w:rsidRPr="00F44E6E">
        <w:rPr>
          <w:rFonts w:ascii="Arial Narrow" w:hAnsi="Arial Narrow"/>
          <w:sz w:val="20"/>
        </w:rPr>
        <w:tab/>
        <w:t xml:space="preserve">            Tabulka: AUGUR </w:t>
      </w:r>
      <w:proofErr w:type="spellStart"/>
      <w:r w:rsidRPr="00F44E6E">
        <w:rPr>
          <w:rFonts w:ascii="Arial Narrow" w:hAnsi="Arial Narrow"/>
          <w:sz w:val="20"/>
        </w:rPr>
        <w:t>Consulting</w:t>
      </w:r>
      <w:proofErr w:type="spellEnd"/>
      <w:r w:rsidRPr="00F44E6E">
        <w:rPr>
          <w:rFonts w:ascii="Arial Narrow" w:hAnsi="Arial Narrow"/>
          <w:sz w:val="20"/>
        </w:rPr>
        <w:t>, s.r.o.</w:t>
      </w:r>
    </w:p>
    <w:p w14:paraId="1B769B67" w14:textId="49105FB1" w:rsidR="007060E7" w:rsidRPr="00CE357F" w:rsidRDefault="007060E7" w:rsidP="007060E7">
      <w:pPr>
        <w:spacing w:line="276" w:lineRule="auto"/>
        <w:jc w:val="both"/>
        <w:rPr>
          <w:rFonts w:ascii="Arial Narrow" w:hAnsi="Arial Narrow"/>
          <w:b/>
          <w:bCs/>
          <w:sz w:val="20"/>
          <w:szCs w:val="20"/>
        </w:rPr>
      </w:pPr>
      <w:bookmarkStart w:id="589" w:name="_Toc94443794"/>
      <w:bookmarkStart w:id="590" w:name="_Toc136428941"/>
      <w:bookmarkStart w:id="591" w:name="_Hlk94278040"/>
      <w:r w:rsidRPr="00CE357F">
        <w:rPr>
          <w:rFonts w:ascii="Arial Narrow" w:hAnsi="Arial Narrow"/>
          <w:b/>
          <w:sz w:val="20"/>
          <w:szCs w:val="20"/>
        </w:rPr>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97</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 k 1. 1. 2022</w:t>
      </w:r>
      <w:bookmarkEnd w:id="589"/>
      <w:bookmarkEnd w:id="590"/>
    </w:p>
    <w:bookmarkEnd w:id="591"/>
    <w:p w14:paraId="30348A9F" w14:textId="77777777" w:rsidR="007060E7" w:rsidRPr="00CE357F" w:rsidRDefault="007060E7" w:rsidP="007060E7">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686ABC4D" wp14:editId="2172ABDB">
            <wp:extent cx="5765800" cy="3105150"/>
            <wp:effectExtent l="0" t="0" r="6350" b="0"/>
            <wp:docPr id="2078" name="Graf 2078">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6AB6C52F" w14:textId="77777777" w:rsidR="007060E7" w:rsidRPr="00C97514" w:rsidRDefault="007060E7" w:rsidP="007060E7">
      <w:pPr>
        <w:spacing w:after="240" w:line="276" w:lineRule="auto"/>
        <w:rPr>
          <w:rFonts w:ascii="Arial Narrow" w:hAnsi="Arial Narrow"/>
          <w:color w:val="000000"/>
          <w:sz w:val="20"/>
          <w:szCs w:val="20"/>
          <w:lang w:eastAsia="cs-CZ"/>
        </w:rPr>
      </w:pPr>
      <w:bookmarkStart w:id="592" w:name="_Hlk94278067"/>
      <w:r w:rsidRPr="00C97514">
        <w:rPr>
          <w:rFonts w:ascii="Arial Narrow" w:hAnsi="Arial Narrow"/>
          <w:color w:val="000000"/>
          <w:sz w:val="20"/>
          <w:szCs w:val="20"/>
          <w:lang w:eastAsia="cs-CZ"/>
        </w:rPr>
        <w:t>Zdroj: Ministerstvo Vnitra České republiky</w:t>
      </w:r>
      <w:r w:rsidRPr="00C97514">
        <w:rPr>
          <w:rFonts w:ascii="Arial Narrow" w:hAnsi="Arial Narrow"/>
          <w:sz w:val="20"/>
          <w:szCs w:val="20"/>
        </w:rPr>
        <w:tab/>
      </w:r>
      <w:r w:rsidRPr="00C97514">
        <w:rPr>
          <w:rFonts w:ascii="Arial Narrow" w:hAnsi="Arial Narrow"/>
          <w:sz w:val="20"/>
          <w:szCs w:val="20"/>
        </w:rPr>
        <w:tab/>
      </w:r>
      <w:r w:rsidRPr="00C97514">
        <w:rPr>
          <w:rFonts w:ascii="Arial Narrow" w:hAnsi="Arial Narrow"/>
          <w:sz w:val="20"/>
          <w:szCs w:val="20"/>
        </w:rPr>
        <w:tab/>
      </w:r>
      <w:r w:rsidRPr="00C97514">
        <w:rPr>
          <w:rFonts w:ascii="Arial Narrow" w:hAnsi="Arial Narrow"/>
          <w:sz w:val="20"/>
          <w:szCs w:val="20"/>
        </w:rPr>
        <w:tab/>
        <w:t xml:space="preserve">                 Graf: AUGUR </w:t>
      </w:r>
      <w:proofErr w:type="spellStart"/>
      <w:r w:rsidRPr="00C97514">
        <w:rPr>
          <w:rFonts w:ascii="Arial Narrow" w:hAnsi="Arial Narrow"/>
          <w:sz w:val="20"/>
          <w:szCs w:val="20"/>
        </w:rPr>
        <w:t>Consulting</w:t>
      </w:r>
      <w:proofErr w:type="spellEnd"/>
      <w:r w:rsidRPr="00C97514">
        <w:rPr>
          <w:rFonts w:ascii="Arial Narrow" w:hAnsi="Arial Narrow"/>
          <w:sz w:val="20"/>
          <w:szCs w:val="20"/>
        </w:rPr>
        <w:t>, s.r.o.</w:t>
      </w:r>
    </w:p>
    <w:bookmarkEnd w:id="592"/>
    <w:p w14:paraId="534F3E1C" w14:textId="77777777" w:rsidR="003C1DE9" w:rsidRPr="003C1DE9" w:rsidRDefault="003C1DE9" w:rsidP="003C1DE9">
      <w:pPr>
        <w:spacing w:line="276" w:lineRule="auto"/>
        <w:rPr>
          <w:rFonts w:ascii="Arial Narrow" w:hAnsi="Arial Narrow"/>
          <w:b/>
          <w:bCs/>
          <w:color w:val="000000" w:themeColor="text1"/>
        </w:rPr>
      </w:pPr>
      <w:r w:rsidRPr="003C1DE9">
        <w:rPr>
          <w:rFonts w:ascii="Arial Narrow" w:hAnsi="Arial Narrow"/>
          <w:b/>
          <w:bCs/>
          <w:color w:val="000000" w:themeColor="text1"/>
        </w:rPr>
        <w:t>Osoby s jinou než českou státní příslušností v ORP Blansko k datu 1. 1. 2023</w:t>
      </w:r>
    </w:p>
    <w:p w14:paraId="077BD237" w14:textId="5D3298A2" w:rsidR="003C1DE9" w:rsidRPr="003C1DE9" w:rsidRDefault="003C1DE9" w:rsidP="003C1DE9">
      <w:pPr>
        <w:spacing w:after="120" w:line="276" w:lineRule="auto"/>
        <w:jc w:val="both"/>
        <w:rPr>
          <w:rFonts w:ascii="Arial Narrow" w:hAnsi="Arial Narrow"/>
          <w:color w:val="000000"/>
        </w:rPr>
      </w:pPr>
      <w:r w:rsidRPr="003C1DE9">
        <w:rPr>
          <w:rFonts w:ascii="Arial Narrow" w:hAnsi="Arial Narrow"/>
          <w:color w:val="000000"/>
        </w:rPr>
        <w:br/>
        <w:t xml:space="preserve">V ORP Blansko žilo k datu 1. 1. 2023 celkem 3 186 osob s jinou než českou státní příslušností, což bylo 5,68 % všech obyvatel ORP Blansko. V ORP Blansko došlo v roce 2022 k zrcadlovému otočení poměru osob s přechodným pobytem. K 1. 1. 2023 mělo více než 2/3 (68,8 %) všech osob s jinou než českou státní příslušností na území OPR Blansko </w:t>
      </w:r>
      <w:r w:rsidR="00503FA4">
        <w:rPr>
          <w:rFonts w:ascii="Arial Narrow" w:hAnsi="Arial Narrow"/>
          <w:color w:val="000000"/>
        </w:rPr>
        <w:t>přechodný</w:t>
      </w:r>
      <w:r w:rsidRPr="003C1DE9">
        <w:rPr>
          <w:rFonts w:ascii="Arial Narrow" w:hAnsi="Arial Narrow"/>
          <w:color w:val="000000"/>
        </w:rPr>
        <w:t xml:space="preserve"> pobyt, 3</w:t>
      </w:r>
      <w:r w:rsidR="00503FA4">
        <w:rPr>
          <w:rFonts w:ascii="Arial Narrow" w:hAnsi="Arial Narrow"/>
          <w:color w:val="000000"/>
        </w:rPr>
        <w:t>1</w:t>
      </w:r>
      <w:r w:rsidRPr="003C1DE9">
        <w:rPr>
          <w:rFonts w:ascii="Arial Narrow" w:hAnsi="Arial Narrow"/>
          <w:color w:val="000000"/>
        </w:rPr>
        <w:t>,</w:t>
      </w:r>
      <w:r w:rsidR="00503FA4">
        <w:rPr>
          <w:rFonts w:ascii="Arial Narrow" w:hAnsi="Arial Narrow"/>
          <w:color w:val="000000"/>
        </w:rPr>
        <w:t>8</w:t>
      </w:r>
      <w:r w:rsidRPr="003C1DE9">
        <w:rPr>
          <w:rFonts w:ascii="Arial Narrow" w:hAnsi="Arial Narrow"/>
          <w:color w:val="000000"/>
        </w:rPr>
        <w:t xml:space="preserve"> % pak pobyt </w:t>
      </w:r>
      <w:r w:rsidR="00503FA4">
        <w:rPr>
          <w:rFonts w:ascii="Arial Narrow" w:hAnsi="Arial Narrow"/>
          <w:color w:val="000000"/>
        </w:rPr>
        <w:t>trval</w:t>
      </w:r>
      <w:r w:rsidRPr="003C1DE9">
        <w:rPr>
          <w:rFonts w:ascii="Arial Narrow" w:hAnsi="Arial Narrow"/>
          <w:color w:val="000000"/>
        </w:rPr>
        <w:t xml:space="preserve">ý. Podíl dětí do 15 let na celkovém počtu těchto osob v ORP Blansko byl 20,2 %. </w:t>
      </w:r>
    </w:p>
    <w:p w14:paraId="220EA51F" w14:textId="7503A23B" w:rsidR="003C1DE9" w:rsidRPr="003C1DE9" w:rsidRDefault="003C1DE9" w:rsidP="003C1DE9">
      <w:pPr>
        <w:spacing w:after="120" w:line="276" w:lineRule="auto"/>
        <w:jc w:val="both"/>
        <w:rPr>
          <w:rFonts w:ascii="Arial Narrow" w:hAnsi="Arial Narrow"/>
          <w:color w:val="000000"/>
        </w:rPr>
      </w:pPr>
      <w:r w:rsidRPr="003C1DE9">
        <w:rPr>
          <w:rFonts w:ascii="Arial Narrow" w:hAnsi="Arial Narrow"/>
          <w:color w:val="000000"/>
        </w:rPr>
        <w:t xml:space="preserve">Nejvyšší podíl osob s jinou než českou státní příslušností na celkovém počtu obyvatel v dané obci byl v obci </w:t>
      </w:r>
      <w:proofErr w:type="spellStart"/>
      <w:r w:rsidRPr="003C1DE9">
        <w:rPr>
          <w:rFonts w:ascii="Arial Narrow" w:hAnsi="Arial Narrow"/>
          <w:color w:val="000000"/>
        </w:rPr>
        <w:t>Šebrov</w:t>
      </w:r>
      <w:proofErr w:type="spellEnd"/>
      <w:r w:rsidRPr="003C1DE9">
        <w:rPr>
          <w:rFonts w:ascii="Arial Narrow" w:hAnsi="Arial Narrow"/>
          <w:color w:val="000000"/>
        </w:rPr>
        <w:t>-Kateřina (8,8 %), druhý nejvyšší podíl byl evidován v Blansku (8,4 %) a třetí v obci Jedovnice (7,7 %). Ve všech zmíněných obcích se podíl osob s jinou než českou státní příslušností za uplynulý rok zvýšil zhruba 100%. V Jedovnic</w:t>
      </w:r>
      <w:r w:rsidR="009E089C">
        <w:rPr>
          <w:rFonts w:ascii="Arial Narrow" w:hAnsi="Arial Narrow"/>
          <w:color w:val="000000"/>
        </w:rPr>
        <w:t>ích</w:t>
      </w:r>
      <w:r w:rsidRPr="003C1DE9">
        <w:rPr>
          <w:rFonts w:ascii="Arial Narrow" w:hAnsi="Arial Narrow"/>
          <w:color w:val="000000"/>
        </w:rPr>
        <w:t xml:space="preserve"> dokonce šestinásobně.</w:t>
      </w:r>
    </w:p>
    <w:p w14:paraId="2C71E25A" w14:textId="2501CA78" w:rsidR="003C1DE9" w:rsidRPr="003C1DE9" w:rsidRDefault="003C1DE9" w:rsidP="003C1DE9">
      <w:pPr>
        <w:shd w:val="clear" w:color="auto" w:fill="FFFFFF" w:themeFill="background1"/>
        <w:spacing w:after="120" w:line="276" w:lineRule="auto"/>
        <w:jc w:val="both"/>
        <w:rPr>
          <w:rFonts w:ascii="Arial Narrow" w:hAnsi="Arial Narrow"/>
          <w:color w:val="000000"/>
        </w:rPr>
      </w:pPr>
      <w:r w:rsidRPr="003C1DE9">
        <w:rPr>
          <w:rFonts w:ascii="Arial Narrow" w:hAnsi="Arial Narrow"/>
          <w:color w:val="000000"/>
        </w:rPr>
        <w:lastRenderedPageBreak/>
        <w:t>V ORP Blansko bylo k 1. 1. 2023 celkem 43 obcí, přičemž ve všech z nich byla evidována alespoň jedna osoba s jinou než českou státní příslušností. Z důvodu velkého množství dat dále pracujeme jen s obcemi, na jejichž území v dané době pobývalo 20 a více těchto osob.</w:t>
      </w:r>
      <w:r w:rsidR="001333A8">
        <w:rPr>
          <w:rFonts w:ascii="Arial Narrow" w:hAnsi="Arial Narrow"/>
          <w:color w:val="000000"/>
        </w:rPr>
        <w:t xml:space="preserve"> </w:t>
      </w:r>
      <w:r w:rsidRPr="003C1DE9">
        <w:rPr>
          <w:rFonts w:ascii="Arial Narrow" w:hAnsi="Arial Narrow"/>
          <w:color w:val="000000"/>
        </w:rPr>
        <w:t xml:space="preserve">Počty osob s jinou než českou státní příslušností v daných obcích včetně rozdělení těchto osob podle pohlaví a věku </w:t>
      </w:r>
      <w:r w:rsidR="001333A8">
        <w:rPr>
          <w:rFonts w:ascii="Arial Narrow" w:hAnsi="Arial Narrow"/>
          <w:color w:val="000000"/>
        </w:rPr>
        <w:t xml:space="preserve">a jejich podíl na celkovém počtu obyvatel </w:t>
      </w:r>
      <w:r w:rsidRPr="003C1DE9">
        <w:rPr>
          <w:rFonts w:ascii="Arial Narrow" w:hAnsi="Arial Narrow"/>
          <w:color w:val="000000"/>
        </w:rPr>
        <w:t>podrobně dokumentuj</w:t>
      </w:r>
      <w:r w:rsidR="001333A8">
        <w:rPr>
          <w:rFonts w:ascii="Arial Narrow" w:hAnsi="Arial Narrow"/>
          <w:color w:val="000000"/>
        </w:rPr>
        <w:t>í</w:t>
      </w:r>
      <w:r w:rsidRPr="003C1DE9">
        <w:rPr>
          <w:rFonts w:ascii="Arial Narrow" w:hAnsi="Arial Narrow"/>
          <w:color w:val="000000"/>
        </w:rPr>
        <w:t xml:space="preserve"> následující tabulka</w:t>
      </w:r>
      <w:r w:rsidR="001333A8">
        <w:rPr>
          <w:rFonts w:ascii="Arial Narrow" w:hAnsi="Arial Narrow"/>
          <w:color w:val="000000"/>
        </w:rPr>
        <w:t xml:space="preserve"> č. 28 a graf č. 98</w:t>
      </w:r>
      <w:r w:rsidRPr="003C1DE9">
        <w:rPr>
          <w:rFonts w:ascii="Arial Narrow" w:hAnsi="Arial Narrow"/>
          <w:color w:val="000000"/>
        </w:rPr>
        <w:t xml:space="preserve">. </w:t>
      </w:r>
    </w:p>
    <w:p w14:paraId="2805515E" w14:textId="683CCBE5" w:rsidR="003C1DE9" w:rsidRPr="00CE357F" w:rsidRDefault="003C1DE9" w:rsidP="003C1DE9">
      <w:pPr>
        <w:jc w:val="both"/>
        <w:rPr>
          <w:rFonts w:ascii="Arial Narrow" w:hAnsi="Arial Narrow"/>
          <w:b/>
          <w:bCs/>
          <w:sz w:val="24"/>
          <w:szCs w:val="24"/>
        </w:rPr>
      </w:pPr>
      <w:bookmarkStart w:id="593" w:name="_Toc136429239"/>
      <w:r w:rsidRPr="003C1DE9">
        <w:rPr>
          <w:rFonts w:ascii="Arial Narrow" w:hAnsi="Arial Narrow"/>
          <w:b/>
          <w:bCs/>
          <w:sz w:val="20"/>
          <w:szCs w:val="20"/>
        </w:rPr>
        <w:t xml:space="preserve">Tabulka </w:t>
      </w:r>
      <w:r w:rsidRPr="003C1DE9">
        <w:rPr>
          <w:rFonts w:ascii="Arial Narrow" w:hAnsi="Arial Narrow"/>
          <w:b/>
          <w:bCs/>
          <w:sz w:val="20"/>
          <w:szCs w:val="20"/>
        </w:rPr>
        <w:fldChar w:fldCharType="begin"/>
      </w:r>
      <w:r w:rsidRPr="003C1DE9">
        <w:rPr>
          <w:rFonts w:ascii="Arial Narrow" w:hAnsi="Arial Narrow"/>
          <w:b/>
          <w:bCs/>
          <w:sz w:val="20"/>
          <w:szCs w:val="20"/>
        </w:rPr>
        <w:instrText xml:space="preserve"> SEQ Tabulka \* ARABIC </w:instrText>
      </w:r>
      <w:r w:rsidRPr="003C1DE9">
        <w:rPr>
          <w:rFonts w:ascii="Arial Narrow" w:hAnsi="Arial Narrow"/>
          <w:b/>
          <w:bCs/>
          <w:sz w:val="20"/>
          <w:szCs w:val="20"/>
        </w:rPr>
        <w:fldChar w:fldCharType="separate"/>
      </w:r>
      <w:r w:rsidR="00256C97">
        <w:rPr>
          <w:rFonts w:ascii="Arial Narrow" w:hAnsi="Arial Narrow"/>
          <w:b/>
          <w:bCs/>
          <w:noProof/>
          <w:sz w:val="20"/>
          <w:szCs w:val="20"/>
        </w:rPr>
        <w:t>28</w:t>
      </w:r>
      <w:r w:rsidRPr="003C1DE9">
        <w:rPr>
          <w:rFonts w:ascii="Arial Narrow" w:hAnsi="Arial Narrow"/>
          <w:b/>
          <w:bCs/>
          <w:sz w:val="20"/>
          <w:szCs w:val="20"/>
        </w:rPr>
        <w:fldChar w:fldCharType="end"/>
      </w:r>
      <w:r w:rsidRPr="003C1DE9">
        <w:rPr>
          <w:rFonts w:ascii="Arial Narrow" w:hAnsi="Arial Narrow"/>
          <w:b/>
          <w:bCs/>
          <w:sz w:val="20"/>
          <w:szCs w:val="20"/>
        </w:rPr>
        <w:t xml:space="preserve">:  </w:t>
      </w:r>
      <w:r w:rsidRPr="003C1DE9">
        <w:rPr>
          <w:rFonts w:ascii="Arial Narrow" w:eastAsia="Times New Roman" w:hAnsi="Arial Narrow" w:cs="Arial"/>
          <w:b/>
          <w:bCs/>
          <w:sz w:val="20"/>
          <w:szCs w:val="20"/>
          <w:lang w:eastAsia="cs-CZ"/>
        </w:rPr>
        <w:t>Podíl osob s jinou než českou státní příslušností na celkovém počtu obyvatel vybraných obcí v ORP Blansko k 1. 1. 2023</w:t>
      </w:r>
      <w:bookmarkEnd w:id="593"/>
    </w:p>
    <w:tbl>
      <w:tblPr>
        <w:tblW w:w="4946"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348"/>
        <w:gridCol w:w="774"/>
        <w:gridCol w:w="1303"/>
        <w:gridCol w:w="1674"/>
        <w:gridCol w:w="573"/>
        <w:gridCol w:w="516"/>
        <w:gridCol w:w="792"/>
        <w:gridCol w:w="745"/>
        <w:gridCol w:w="7"/>
        <w:gridCol w:w="508"/>
        <w:gridCol w:w="7"/>
        <w:gridCol w:w="710"/>
        <w:gridCol w:w="7"/>
      </w:tblGrid>
      <w:tr w:rsidR="003C1DE9" w:rsidRPr="00CE357F" w14:paraId="12C48728" w14:textId="77777777" w:rsidTr="004A0C47">
        <w:trPr>
          <w:trHeight w:val="204"/>
        </w:trPr>
        <w:tc>
          <w:tcPr>
            <w:tcW w:w="1348" w:type="dxa"/>
            <w:vMerge w:val="restart"/>
            <w:shd w:val="clear" w:color="auto" w:fill="D9E2F3" w:themeFill="accent1" w:themeFillTint="33"/>
            <w:vAlign w:val="center"/>
          </w:tcPr>
          <w:p w14:paraId="6F0F3F3D" w14:textId="77777777" w:rsidR="003C1DE9" w:rsidRPr="00CE357F" w:rsidRDefault="003C1DE9" w:rsidP="004A0C47">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774" w:type="dxa"/>
            <w:vMerge w:val="restart"/>
            <w:shd w:val="clear" w:color="auto" w:fill="D9E2F3" w:themeFill="accent1" w:themeFillTint="33"/>
            <w:vAlign w:val="center"/>
          </w:tcPr>
          <w:p w14:paraId="36F9FAED" w14:textId="77777777" w:rsidR="003C1DE9" w:rsidRPr="00CE357F" w:rsidRDefault="003C1DE9"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303" w:type="dxa"/>
            <w:vMerge w:val="restart"/>
            <w:shd w:val="clear" w:color="auto" w:fill="D9E2F3" w:themeFill="accent1" w:themeFillTint="33"/>
            <w:vAlign w:val="center"/>
          </w:tcPr>
          <w:p w14:paraId="2F1C2200" w14:textId="77777777" w:rsidR="003C1DE9" w:rsidRPr="00CE357F" w:rsidRDefault="003C1DE9" w:rsidP="004A0C47">
            <w:pPr>
              <w:jc w:val="center"/>
              <w:rPr>
                <w:rFonts w:ascii="Arial Narrow" w:hAnsi="Arial Narrow"/>
                <w:bCs/>
                <w:sz w:val="18"/>
                <w:szCs w:val="18"/>
              </w:rPr>
            </w:pPr>
            <w:r w:rsidRPr="00CE357F">
              <w:rPr>
                <w:rFonts w:ascii="Arial Narrow" w:hAnsi="Arial Narrow"/>
                <w:bCs/>
                <w:color w:val="000000"/>
                <w:sz w:val="18"/>
                <w:szCs w:val="18"/>
              </w:rPr>
              <w:t>Osoby s jinou než českou státní příslušností</w:t>
            </w:r>
            <w:r w:rsidRPr="00CE357F">
              <w:rPr>
                <w:rFonts w:ascii="Arial Narrow" w:eastAsia="Times New Roman" w:hAnsi="Arial Narrow" w:cs="Arial"/>
                <w:bCs/>
                <w:sz w:val="18"/>
                <w:szCs w:val="18"/>
                <w:lang w:eastAsia="cs-CZ"/>
              </w:rPr>
              <w:t xml:space="preserve"> celkem</w:t>
            </w:r>
          </w:p>
        </w:tc>
        <w:tc>
          <w:tcPr>
            <w:tcW w:w="1674" w:type="dxa"/>
            <w:vMerge w:val="restart"/>
            <w:shd w:val="clear" w:color="auto" w:fill="D9E2F3" w:themeFill="accent1" w:themeFillTint="33"/>
            <w:vAlign w:val="center"/>
          </w:tcPr>
          <w:p w14:paraId="655133E9" w14:textId="77777777" w:rsidR="003C1DE9" w:rsidRPr="00CE357F" w:rsidRDefault="003C1DE9"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 xml:space="preserve">Podíl </w:t>
            </w:r>
            <w:r w:rsidRPr="00CE357F">
              <w:rPr>
                <w:rFonts w:ascii="Arial Narrow" w:hAnsi="Arial Narrow"/>
                <w:bCs/>
                <w:color w:val="000000"/>
                <w:sz w:val="18"/>
                <w:szCs w:val="18"/>
              </w:rPr>
              <w:t>osob s jinou než českou státní příslušností</w:t>
            </w:r>
            <w:r w:rsidRPr="00CE357F">
              <w:rPr>
                <w:rFonts w:ascii="Arial Narrow" w:eastAsia="Times New Roman" w:hAnsi="Arial Narrow" w:cs="Arial"/>
                <w:bCs/>
                <w:sz w:val="18"/>
                <w:szCs w:val="18"/>
                <w:lang w:eastAsia="cs-CZ"/>
              </w:rPr>
              <w:t xml:space="preserve"> na celkovém počtu obyvatel</w:t>
            </w:r>
          </w:p>
        </w:tc>
        <w:tc>
          <w:tcPr>
            <w:tcW w:w="1881" w:type="dxa"/>
            <w:gridSpan w:val="3"/>
            <w:shd w:val="clear" w:color="auto" w:fill="D9E2F3" w:themeFill="accent1" w:themeFillTint="33"/>
            <w:vAlign w:val="center"/>
          </w:tcPr>
          <w:p w14:paraId="774170A5" w14:textId="77777777" w:rsidR="003C1DE9" w:rsidRPr="00CE357F" w:rsidRDefault="003C1DE9" w:rsidP="004A0C47">
            <w:pPr>
              <w:jc w:val="center"/>
              <w:rPr>
                <w:rFonts w:ascii="Arial Narrow" w:hAnsi="Arial Narrow"/>
                <w:bCs/>
                <w:sz w:val="18"/>
                <w:szCs w:val="18"/>
              </w:rPr>
            </w:pPr>
            <w:r w:rsidRPr="00CE357F">
              <w:rPr>
                <w:rFonts w:ascii="Arial Narrow" w:eastAsia="Times New Roman" w:hAnsi="Arial Narrow" w:cs="Arial"/>
                <w:bCs/>
                <w:sz w:val="18"/>
                <w:szCs w:val="18"/>
                <w:lang w:eastAsia="cs-CZ"/>
              </w:rPr>
              <w:t>Muži</w:t>
            </w:r>
          </w:p>
        </w:tc>
        <w:tc>
          <w:tcPr>
            <w:tcW w:w="1984" w:type="dxa"/>
            <w:gridSpan w:val="6"/>
            <w:shd w:val="clear" w:color="auto" w:fill="D9E2F3" w:themeFill="accent1" w:themeFillTint="33"/>
            <w:vAlign w:val="center"/>
          </w:tcPr>
          <w:p w14:paraId="248B6593" w14:textId="77777777" w:rsidR="003C1DE9" w:rsidRPr="00CE357F" w:rsidRDefault="003C1DE9" w:rsidP="004A0C47">
            <w:pPr>
              <w:jc w:val="center"/>
              <w:rPr>
                <w:rFonts w:ascii="Arial Narrow" w:hAnsi="Arial Narrow"/>
                <w:bCs/>
                <w:sz w:val="18"/>
                <w:szCs w:val="18"/>
              </w:rPr>
            </w:pPr>
            <w:r w:rsidRPr="00CE357F">
              <w:rPr>
                <w:rFonts w:ascii="Arial Narrow" w:eastAsia="Times New Roman" w:hAnsi="Arial Narrow" w:cs="Arial"/>
                <w:bCs/>
                <w:sz w:val="18"/>
                <w:szCs w:val="18"/>
                <w:lang w:eastAsia="cs-CZ"/>
              </w:rPr>
              <w:t>Ženy</w:t>
            </w:r>
          </w:p>
        </w:tc>
      </w:tr>
      <w:tr w:rsidR="003C1DE9" w:rsidRPr="00CE357F" w14:paraId="4E03D393" w14:textId="77777777" w:rsidTr="004A0C47">
        <w:trPr>
          <w:gridAfter w:val="1"/>
          <w:wAfter w:w="7" w:type="dxa"/>
          <w:trHeight w:val="204"/>
        </w:trPr>
        <w:tc>
          <w:tcPr>
            <w:tcW w:w="1348" w:type="dxa"/>
            <w:vMerge/>
            <w:shd w:val="clear" w:color="auto" w:fill="D9E2F3" w:themeFill="accent1" w:themeFillTint="33"/>
            <w:vAlign w:val="center"/>
          </w:tcPr>
          <w:p w14:paraId="1881B957" w14:textId="77777777" w:rsidR="003C1DE9" w:rsidRPr="00CE357F" w:rsidRDefault="003C1DE9" w:rsidP="004A0C47">
            <w:pPr>
              <w:jc w:val="center"/>
              <w:rPr>
                <w:rFonts w:ascii="Arial Narrow" w:eastAsia="Times New Roman" w:hAnsi="Arial Narrow" w:cs="Arial"/>
                <w:sz w:val="18"/>
                <w:szCs w:val="18"/>
                <w:lang w:eastAsia="cs-CZ"/>
              </w:rPr>
            </w:pPr>
          </w:p>
        </w:tc>
        <w:tc>
          <w:tcPr>
            <w:tcW w:w="774" w:type="dxa"/>
            <w:vMerge/>
            <w:shd w:val="clear" w:color="auto" w:fill="D9E2F3" w:themeFill="accent1" w:themeFillTint="33"/>
            <w:vAlign w:val="center"/>
          </w:tcPr>
          <w:p w14:paraId="43AFEDBC" w14:textId="77777777" w:rsidR="003C1DE9" w:rsidRPr="00CE357F" w:rsidRDefault="003C1DE9" w:rsidP="004A0C47">
            <w:pPr>
              <w:jc w:val="center"/>
              <w:rPr>
                <w:rFonts w:ascii="Arial Narrow" w:eastAsia="Times New Roman" w:hAnsi="Arial Narrow" w:cs="Arial"/>
                <w:sz w:val="18"/>
                <w:szCs w:val="18"/>
                <w:lang w:eastAsia="cs-CZ"/>
              </w:rPr>
            </w:pPr>
          </w:p>
        </w:tc>
        <w:tc>
          <w:tcPr>
            <w:tcW w:w="1303" w:type="dxa"/>
            <w:vMerge/>
            <w:shd w:val="clear" w:color="auto" w:fill="D9E2F3" w:themeFill="accent1" w:themeFillTint="33"/>
            <w:vAlign w:val="center"/>
          </w:tcPr>
          <w:p w14:paraId="4F4028CD" w14:textId="77777777" w:rsidR="003C1DE9" w:rsidRPr="00CE357F" w:rsidRDefault="003C1DE9" w:rsidP="004A0C47">
            <w:pPr>
              <w:jc w:val="center"/>
              <w:rPr>
                <w:rFonts w:ascii="Arial Narrow" w:eastAsia="Times New Roman" w:hAnsi="Arial Narrow" w:cs="Arial"/>
                <w:sz w:val="18"/>
                <w:szCs w:val="18"/>
                <w:lang w:eastAsia="cs-CZ"/>
              </w:rPr>
            </w:pPr>
          </w:p>
        </w:tc>
        <w:tc>
          <w:tcPr>
            <w:tcW w:w="1674" w:type="dxa"/>
            <w:vMerge/>
            <w:shd w:val="clear" w:color="auto" w:fill="D9E2F3" w:themeFill="accent1" w:themeFillTint="33"/>
            <w:vAlign w:val="center"/>
          </w:tcPr>
          <w:p w14:paraId="6B6A22B4" w14:textId="77777777" w:rsidR="003C1DE9" w:rsidRPr="00CE357F" w:rsidRDefault="003C1DE9" w:rsidP="004A0C47">
            <w:pPr>
              <w:jc w:val="center"/>
              <w:rPr>
                <w:rFonts w:ascii="Arial Narrow" w:eastAsia="Times New Roman" w:hAnsi="Arial Narrow" w:cs="Arial"/>
                <w:sz w:val="18"/>
                <w:szCs w:val="18"/>
                <w:lang w:eastAsia="cs-CZ"/>
              </w:rPr>
            </w:pPr>
          </w:p>
        </w:tc>
        <w:tc>
          <w:tcPr>
            <w:tcW w:w="573" w:type="dxa"/>
            <w:shd w:val="clear" w:color="auto" w:fill="D9E2F3" w:themeFill="accent1" w:themeFillTint="33"/>
            <w:vAlign w:val="center"/>
          </w:tcPr>
          <w:p w14:paraId="61C23240" w14:textId="77777777" w:rsidR="003C1DE9" w:rsidRPr="00CE357F" w:rsidRDefault="003C1DE9"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16" w:type="dxa"/>
            <w:shd w:val="clear" w:color="auto" w:fill="D9E2F3" w:themeFill="accent1" w:themeFillTint="33"/>
            <w:vAlign w:val="center"/>
          </w:tcPr>
          <w:p w14:paraId="720E9996" w14:textId="77777777" w:rsidR="003C1DE9" w:rsidRPr="00CE357F" w:rsidRDefault="003C1DE9"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92" w:type="dxa"/>
            <w:shd w:val="clear" w:color="auto" w:fill="D9E2F3" w:themeFill="accent1" w:themeFillTint="33"/>
            <w:vAlign w:val="center"/>
          </w:tcPr>
          <w:p w14:paraId="3527159D" w14:textId="77777777" w:rsidR="003C1DE9" w:rsidRPr="00CE357F" w:rsidRDefault="003C1DE9"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745" w:type="dxa"/>
            <w:shd w:val="clear" w:color="auto" w:fill="D9E2F3" w:themeFill="accent1" w:themeFillTint="33"/>
            <w:vAlign w:val="center"/>
          </w:tcPr>
          <w:p w14:paraId="37750745" w14:textId="77777777" w:rsidR="003C1DE9" w:rsidRPr="00CE357F" w:rsidRDefault="003C1DE9"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15" w:type="dxa"/>
            <w:gridSpan w:val="2"/>
            <w:shd w:val="clear" w:color="auto" w:fill="D9E2F3" w:themeFill="accent1" w:themeFillTint="33"/>
            <w:vAlign w:val="center"/>
          </w:tcPr>
          <w:p w14:paraId="1FA4B6BD" w14:textId="77777777" w:rsidR="003C1DE9" w:rsidRPr="00CE357F" w:rsidRDefault="003C1DE9"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gridSpan w:val="2"/>
            <w:shd w:val="clear" w:color="auto" w:fill="D9E2F3" w:themeFill="accent1" w:themeFillTint="33"/>
            <w:vAlign w:val="center"/>
          </w:tcPr>
          <w:p w14:paraId="0D032DE1" w14:textId="77777777" w:rsidR="003C1DE9" w:rsidRPr="00CE357F" w:rsidRDefault="003C1DE9"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3C1DE9" w:rsidRPr="00CE357F" w14:paraId="3DADBF02" w14:textId="77777777" w:rsidTr="004A0C47">
        <w:trPr>
          <w:trHeight w:val="170"/>
        </w:trPr>
        <w:tc>
          <w:tcPr>
            <w:tcW w:w="1348" w:type="dxa"/>
            <w:shd w:val="clear" w:color="auto" w:fill="D9E2F3" w:themeFill="accent1" w:themeFillTint="33"/>
            <w:vAlign w:val="bottom"/>
          </w:tcPr>
          <w:p w14:paraId="03D88925"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Blansko</w:t>
            </w:r>
          </w:p>
        </w:tc>
        <w:tc>
          <w:tcPr>
            <w:tcW w:w="774" w:type="dxa"/>
            <w:vAlign w:val="bottom"/>
          </w:tcPr>
          <w:p w14:paraId="251202A5"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19715</w:t>
            </w:r>
          </w:p>
        </w:tc>
        <w:tc>
          <w:tcPr>
            <w:tcW w:w="1303" w:type="dxa"/>
            <w:vAlign w:val="bottom"/>
          </w:tcPr>
          <w:p w14:paraId="3EFC423E"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1649</w:t>
            </w:r>
          </w:p>
        </w:tc>
        <w:tc>
          <w:tcPr>
            <w:tcW w:w="1674" w:type="dxa"/>
            <w:vAlign w:val="bottom"/>
          </w:tcPr>
          <w:p w14:paraId="6E86173E" w14:textId="77777777" w:rsidR="003C1DE9" w:rsidRPr="003C1DE9" w:rsidRDefault="003C1DE9" w:rsidP="004A0C47">
            <w:pPr>
              <w:jc w:val="center"/>
              <w:rPr>
                <w:rFonts w:ascii="Arial Narrow" w:hAnsi="Arial Narrow"/>
                <w:b/>
                <w:bCs/>
                <w:color w:val="C00000"/>
                <w:sz w:val="18"/>
                <w:szCs w:val="18"/>
              </w:rPr>
            </w:pPr>
            <w:r w:rsidRPr="003C1DE9">
              <w:rPr>
                <w:rFonts w:ascii="Arial Narrow" w:hAnsi="Arial Narrow"/>
                <w:b/>
                <w:bCs/>
                <w:color w:val="C00000"/>
                <w:sz w:val="18"/>
                <w:szCs w:val="18"/>
              </w:rPr>
              <w:t>8,36 %</w:t>
            </w:r>
          </w:p>
        </w:tc>
        <w:tc>
          <w:tcPr>
            <w:tcW w:w="573" w:type="dxa"/>
          </w:tcPr>
          <w:p w14:paraId="293693BF"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564</w:t>
            </w:r>
          </w:p>
        </w:tc>
        <w:tc>
          <w:tcPr>
            <w:tcW w:w="516" w:type="dxa"/>
          </w:tcPr>
          <w:p w14:paraId="2DCEC15B"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176</w:t>
            </w:r>
          </w:p>
        </w:tc>
        <w:tc>
          <w:tcPr>
            <w:tcW w:w="792" w:type="dxa"/>
          </w:tcPr>
          <w:p w14:paraId="6FDC9806"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740</w:t>
            </w:r>
          </w:p>
        </w:tc>
        <w:tc>
          <w:tcPr>
            <w:tcW w:w="752" w:type="dxa"/>
            <w:gridSpan w:val="2"/>
          </w:tcPr>
          <w:p w14:paraId="7CC10175"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734</w:t>
            </w:r>
          </w:p>
        </w:tc>
        <w:tc>
          <w:tcPr>
            <w:tcW w:w="515" w:type="dxa"/>
            <w:gridSpan w:val="2"/>
          </w:tcPr>
          <w:p w14:paraId="1361D945"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175</w:t>
            </w:r>
          </w:p>
        </w:tc>
        <w:tc>
          <w:tcPr>
            <w:tcW w:w="717" w:type="dxa"/>
            <w:gridSpan w:val="2"/>
          </w:tcPr>
          <w:p w14:paraId="2BD8F7F8"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909</w:t>
            </w:r>
          </w:p>
        </w:tc>
      </w:tr>
      <w:tr w:rsidR="003C1DE9" w:rsidRPr="00CE357F" w14:paraId="4F2C1A6A" w14:textId="77777777" w:rsidTr="004A0C47">
        <w:trPr>
          <w:trHeight w:val="170"/>
        </w:trPr>
        <w:tc>
          <w:tcPr>
            <w:tcW w:w="1348" w:type="dxa"/>
            <w:shd w:val="clear" w:color="auto" w:fill="D9E2F3" w:themeFill="accent1" w:themeFillTint="33"/>
            <w:vAlign w:val="bottom"/>
          </w:tcPr>
          <w:p w14:paraId="4D85885E"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Adamov</w:t>
            </w:r>
          </w:p>
        </w:tc>
        <w:tc>
          <w:tcPr>
            <w:tcW w:w="774" w:type="dxa"/>
            <w:vAlign w:val="bottom"/>
          </w:tcPr>
          <w:p w14:paraId="16CD536B"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4429</w:t>
            </w:r>
          </w:p>
        </w:tc>
        <w:tc>
          <w:tcPr>
            <w:tcW w:w="1303" w:type="dxa"/>
            <w:vAlign w:val="bottom"/>
          </w:tcPr>
          <w:p w14:paraId="5E05FE78"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336</w:t>
            </w:r>
          </w:p>
        </w:tc>
        <w:tc>
          <w:tcPr>
            <w:tcW w:w="1674" w:type="dxa"/>
            <w:vAlign w:val="bottom"/>
          </w:tcPr>
          <w:p w14:paraId="27003031" w14:textId="77777777" w:rsidR="003C1DE9" w:rsidRPr="003C1DE9" w:rsidRDefault="003C1DE9" w:rsidP="004A0C47">
            <w:pPr>
              <w:jc w:val="center"/>
              <w:rPr>
                <w:rFonts w:ascii="Arial Narrow" w:hAnsi="Arial Narrow"/>
                <w:b/>
                <w:bCs/>
                <w:color w:val="C00000"/>
                <w:sz w:val="18"/>
                <w:szCs w:val="18"/>
              </w:rPr>
            </w:pPr>
            <w:r w:rsidRPr="003C1DE9">
              <w:rPr>
                <w:rFonts w:ascii="Arial Narrow" w:hAnsi="Arial Narrow"/>
                <w:b/>
                <w:bCs/>
                <w:color w:val="C00000"/>
                <w:sz w:val="18"/>
                <w:szCs w:val="18"/>
              </w:rPr>
              <w:t>7,59 %</w:t>
            </w:r>
          </w:p>
        </w:tc>
        <w:tc>
          <w:tcPr>
            <w:tcW w:w="573" w:type="dxa"/>
          </w:tcPr>
          <w:p w14:paraId="4D457F2C"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113</w:t>
            </w:r>
          </w:p>
        </w:tc>
        <w:tc>
          <w:tcPr>
            <w:tcW w:w="516" w:type="dxa"/>
          </w:tcPr>
          <w:p w14:paraId="7E2C9DBD"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31</w:t>
            </w:r>
          </w:p>
        </w:tc>
        <w:tc>
          <w:tcPr>
            <w:tcW w:w="792" w:type="dxa"/>
          </w:tcPr>
          <w:p w14:paraId="10AC44F0"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144</w:t>
            </w:r>
          </w:p>
        </w:tc>
        <w:tc>
          <w:tcPr>
            <w:tcW w:w="752" w:type="dxa"/>
            <w:gridSpan w:val="2"/>
          </w:tcPr>
          <w:p w14:paraId="3BDD669B"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150</w:t>
            </w:r>
          </w:p>
        </w:tc>
        <w:tc>
          <w:tcPr>
            <w:tcW w:w="515" w:type="dxa"/>
            <w:gridSpan w:val="2"/>
          </w:tcPr>
          <w:p w14:paraId="37B623B9"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42</w:t>
            </w:r>
          </w:p>
        </w:tc>
        <w:tc>
          <w:tcPr>
            <w:tcW w:w="717" w:type="dxa"/>
            <w:gridSpan w:val="2"/>
          </w:tcPr>
          <w:p w14:paraId="61853AC2"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192</w:t>
            </w:r>
          </w:p>
        </w:tc>
      </w:tr>
      <w:tr w:rsidR="003C1DE9" w:rsidRPr="00CE357F" w14:paraId="1B1E9515" w14:textId="77777777" w:rsidTr="004A0C47">
        <w:trPr>
          <w:trHeight w:val="170"/>
        </w:trPr>
        <w:tc>
          <w:tcPr>
            <w:tcW w:w="1348" w:type="dxa"/>
            <w:shd w:val="clear" w:color="auto" w:fill="D9E2F3" w:themeFill="accent1" w:themeFillTint="33"/>
            <w:vAlign w:val="bottom"/>
          </w:tcPr>
          <w:p w14:paraId="69FE2A99"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Jedovnice</w:t>
            </w:r>
          </w:p>
        </w:tc>
        <w:tc>
          <w:tcPr>
            <w:tcW w:w="774" w:type="dxa"/>
            <w:vAlign w:val="bottom"/>
          </w:tcPr>
          <w:p w14:paraId="56B52478"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2805</w:t>
            </w:r>
          </w:p>
        </w:tc>
        <w:tc>
          <w:tcPr>
            <w:tcW w:w="1303" w:type="dxa"/>
            <w:vAlign w:val="bottom"/>
          </w:tcPr>
          <w:p w14:paraId="7E44F737"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217</w:t>
            </w:r>
          </w:p>
        </w:tc>
        <w:tc>
          <w:tcPr>
            <w:tcW w:w="1674" w:type="dxa"/>
            <w:vAlign w:val="bottom"/>
          </w:tcPr>
          <w:p w14:paraId="36CD0133" w14:textId="77777777" w:rsidR="003C1DE9" w:rsidRPr="003C1DE9" w:rsidRDefault="003C1DE9" w:rsidP="004A0C47">
            <w:pPr>
              <w:jc w:val="center"/>
              <w:rPr>
                <w:rFonts w:ascii="Arial Narrow" w:hAnsi="Arial Narrow"/>
                <w:b/>
                <w:bCs/>
                <w:color w:val="C00000"/>
                <w:sz w:val="18"/>
                <w:szCs w:val="18"/>
              </w:rPr>
            </w:pPr>
            <w:r w:rsidRPr="003C1DE9">
              <w:rPr>
                <w:rFonts w:ascii="Arial Narrow" w:hAnsi="Arial Narrow"/>
                <w:b/>
                <w:bCs/>
                <w:color w:val="C00000"/>
                <w:sz w:val="18"/>
                <w:szCs w:val="18"/>
              </w:rPr>
              <w:t>7,74 %</w:t>
            </w:r>
          </w:p>
        </w:tc>
        <w:tc>
          <w:tcPr>
            <w:tcW w:w="573" w:type="dxa"/>
          </w:tcPr>
          <w:p w14:paraId="71B3E40E"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66</w:t>
            </w:r>
          </w:p>
        </w:tc>
        <w:tc>
          <w:tcPr>
            <w:tcW w:w="516" w:type="dxa"/>
          </w:tcPr>
          <w:p w14:paraId="1D40E7D2"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27</w:t>
            </w:r>
          </w:p>
        </w:tc>
        <w:tc>
          <w:tcPr>
            <w:tcW w:w="792" w:type="dxa"/>
          </w:tcPr>
          <w:p w14:paraId="5E0A2B25"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93</w:t>
            </w:r>
          </w:p>
        </w:tc>
        <w:tc>
          <w:tcPr>
            <w:tcW w:w="752" w:type="dxa"/>
            <w:gridSpan w:val="2"/>
          </w:tcPr>
          <w:p w14:paraId="47260BB3"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101</w:t>
            </w:r>
          </w:p>
        </w:tc>
        <w:tc>
          <w:tcPr>
            <w:tcW w:w="515" w:type="dxa"/>
            <w:gridSpan w:val="2"/>
          </w:tcPr>
          <w:p w14:paraId="199BA307"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23</w:t>
            </w:r>
          </w:p>
        </w:tc>
        <w:tc>
          <w:tcPr>
            <w:tcW w:w="717" w:type="dxa"/>
            <w:gridSpan w:val="2"/>
          </w:tcPr>
          <w:p w14:paraId="02CA0496"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124</w:t>
            </w:r>
          </w:p>
        </w:tc>
      </w:tr>
      <w:tr w:rsidR="003C1DE9" w:rsidRPr="00CE357F" w14:paraId="50F6B793" w14:textId="77777777" w:rsidTr="004A0C47">
        <w:trPr>
          <w:trHeight w:val="170"/>
        </w:trPr>
        <w:tc>
          <w:tcPr>
            <w:tcW w:w="1348" w:type="dxa"/>
            <w:shd w:val="clear" w:color="auto" w:fill="D9E2F3" w:themeFill="accent1" w:themeFillTint="33"/>
            <w:vAlign w:val="bottom"/>
          </w:tcPr>
          <w:p w14:paraId="7F4A0F02"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Rájec-Jestřebí</w:t>
            </w:r>
          </w:p>
        </w:tc>
        <w:tc>
          <w:tcPr>
            <w:tcW w:w="774" w:type="dxa"/>
            <w:vAlign w:val="bottom"/>
          </w:tcPr>
          <w:p w14:paraId="572EC267"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3672</w:t>
            </w:r>
          </w:p>
        </w:tc>
        <w:tc>
          <w:tcPr>
            <w:tcW w:w="1303" w:type="dxa"/>
            <w:vAlign w:val="bottom"/>
          </w:tcPr>
          <w:p w14:paraId="37E4BADE"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114</w:t>
            </w:r>
          </w:p>
        </w:tc>
        <w:tc>
          <w:tcPr>
            <w:tcW w:w="1674" w:type="dxa"/>
            <w:vAlign w:val="bottom"/>
          </w:tcPr>
          <w:p w14:paraId="5CE19B22" w14:textId="77777777" w:rsidR="003C1DE9" w:rsidRPr="00DD206D" w:rsidRDefault="003C1DE9" w:rsidP="004A0C47">
            <w:pPr>
              <w:jc w:val="center"/>
              <w:rPr>
                <w:rFonts w:ascii="Arial Narrow" w:hAnsi="Arial Narrow"/>
                <w:sz w:val="18"/>
                <w:szCs w:val="18"/>
              </w:rPr>
            </w:pPr>
            <w:r w:rsidRPr="00B16E40">
              <w:rPr>
                <w:rFonts w:ascii="Arial Narrow" w:hAnsi="Arial Narrow"/>
                <w:sz w:val="18"/>
                <w:szCs w:val="18"/>
              </w:rPr>
              <w:t>3,10</w:t>
            </w:r>
            <w:r>
              <w:rPr>
                <w:rFonts w:ascii="Arial Narrow" w:hAnsi="Arial Narrow"/>
                <w:sz w:val="18"/>
                <w:szCs w:val="18"/>
              </w:rPr>
              <w:t xml:space="preserve"> </w:t>
            </w:r>
            <w:r w:rsidRPr="00B16E40">
              <w:rPr>
                <w:rFonts w:ascii="Arial Narrow" w:hAnsi="Arial Narrow"/>
                <w:sz w:val="18"/>
                <w:szCs w:val="18"/>
              </w:rPr>
              <w:t>%</w:t>
            </w:r>
          </w:p>
        </w:tc>
        <w:tc>
          <w:tcPr>
            <w:tcW w:w="573" w:type="dxa"/>
          </w:tcPr>
          <w:p w14:paraId="560941F0"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47</w:t>
            </w:r>
          </w:p>
        </w:tc>
        <w:tc>
          <w:tcPr>
            <w:tcW w:w="516" w:type="dxa"/>
          </w:tcPr>
          <w:p w14:paraId="3C33852E"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12</w:t>
            </w:r>
          </w:p>
        </w:tc>
        <w:tc>
          <w:tcPr>
            <w:tcW w:w="792" w:type="dxa"/>
          </w:tcPr>
          <w:p w14:paraId="1F890C41"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59</w:t>
            </w:r>
          </w:p>
        </w:tc>
        <w:tc>
          <w:tcPr>
            <w:tcW w:w="752" w:type="dxa"/>
            <w:gridSpan w:val="2"/>
          </w:tcPr>
          <w:p w14:paraId="67A7EB95"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47</w:t>
            </w:r>
          </w:p>
        </w:tc>
        <w:tc>
          <w:tcPr>
            <w:tcW w:w="515" w:type="dxa"/>
            <w:gridSpan w:val="2"/>
          </w:tcPr>
          <w:p w14:paraId="3005A865"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8</w:t>
            </w:r>
          </w:p>
        </w:tc>
        <w:tc>
          <w:tcPr>
            <w:tcW w:w="717" w:type="dxa"/>
            <w:gridSpan w:val="2"/>
          </w:tcPr>
          <w:p w14:paraId="6419E86E"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55</w:t>
            </w:r>
          </w:p>
        </w:tc>
      </w:tr>
      <w:tr w:rsidR="003C1DE9" w:rsidRPr="00CE357F" w14:paraId="473E4E1F" w14:textId="77777777" w:rsidTr="004A0C47">
        <w:trPr>
          <w:trHeight w:val="170"/>
        </w:trPr>
        <w:tc>
          <w:tcPr>
            <w:tcW w:w="1348" w:type="dxa"/>
            <w:shd w:val="clear" w:color="auto" w:fill="D9E2F3" w:themeFill="accent1" w:themeFillTint="33"/>
            <w:vAlign w:val="bottom"/>
          </w:tcPr>
          <w:p w14:paraId="23ED66A9"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Černá Hora</w:t>
            </w:r>
          </w:p>
        </w:tc>
        <w:tc>
          <w:tcPr>
            <w:tcW w:w="774" w:type="dxa"/>
            <w:vAlign w:val="bottom"/>
          </w:tcPr>
          <w:p w14:paraId="65881638"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2139</w:t>
            </w:r>
          </w:p>
        </w:tc>
        <w:tc>
          <w:tcPr>
            <w:tcW w:w="1303" w:type="dxa"/>
            <w:vAlign w:val="bottom"/>
          </w:tcPr>
          <w:p w14:paraId="30C93E5B"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104</w:t>
            </w:r>
          </w:p>
        </w:tc>
        <w:tc>
          <w:tcPr>
            <w:tcW w:w="1674" w:type="dxa"/>
            <w:vAlign w:val="bottom"/>
          </w:tcPr>
          <w:p w14:paraId="336A04FF" w14:textId="77777777" w:rsidR="003C1DE9" w:rsidRPr="00DD206D" w:rsidRDefault="003C1DE9" w:rsidP="004A0C47">
            <w:pPr>
              <w:jc w:val="center"/>
              <w:rPr>
                <w:rFonts w:ascii="Arial Narrow" w:hAnsi="Arial Narrow"/>
                <w:sz w:val="18"/>
                <w:szCs w:val="18"/>
              </w:rPr>
            </w:pPr>
            <w:r w:rsidRPr="00B16E40">
              <w:rPr>
                <w:rFonts w:ascii="Arial Narrow" w:hAnsi="Arial Narrow"/>
                <w:sz w:val="18"/>
                <w:szCs w:val="18"/>
              </w:rPr>
              <w:t>4,86</w:t>
            </w:r>
            <w:r>
              <w:rPr>
                <w:rFonts w:ascii="Arial Narrow" w:hAnsi="Arial Narrow"/>
                <w:sz w:val="18"/>
                <w:szCs w:val="18"/>
              </w:rPr>
              <w:t xml:space="preserve"> </w:t>
            </w:r>
            <w:r w:rsidRPr="00B16E40">
              <w:rPr>
                <w:rFonts w:ascii="Arial Narrow" w:hAnsi="Arial Narrow"/>
                <w:sz w:val="18"/>
                <w:szCs w:val="18"/>
              </w:rPr>
              <w:t>%</w:t>
            </w:r>
          </w:p>
        </w:tc>
        <w:tc>
          <w:tcPr>
            <w:tcW w:w="573" w:type="dxa"/>
          </w:tcPr>
          <w:p w14:paraId="054E7F9C"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47</w:t>
            </w:r>
          </w:p>
        </w:tc>
        <w:tc>
          <w:tcPr>
            <w:tcW w:w="516" w:type="dxa"/>
          </w:tcPr>
          <w:p w14:paraId="2F823666"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9</w:t>
            </w:r>
          </w:p>
        </w:tc>
        <w:tc>
          <w:tcPr>
            <w:tcW w:w="792" w:type="dxa"/>
          </w:tcPr>
          <w:p w14:paraId="316DBFC5"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56</w:t>
            </w:r>
          </w:p>
        </w:tc>
        <w:tc>
          <w:tcPr>
            <w:tcW w:w="752" w:type="dxa"/>
            <w:gridSpan w:val="2"/>
          </w:tcPr>
          <w:p w14:paraId="5A62C4CD"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42</w:t>
            </w:r>
          </w:p>
        </w:tc>
        <w:tc>
          <w:tcPr>
            <w:tcW w:w="515" w:type="dxa"/>
            <w:gridSpan w:val="2"/>
          </w:tcPr>
          <w:p w14:paraId="1A24DD51"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6</w:t>
            </w:r>
          </w:p>
        </w:tc>
        <w:tc>
          <w:tcPr>
            <w:tcW w:w="717" w:type="dxa"/>
            <w:gridSpan w:val="2"/>
          </w:tcPr>
          <w:p w14:paraId="134B3509"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48</w:t>
            </w:r>
          </w:p>
        </w:tc>
      </w:tr>
      <w:tr w:rsidR="003C1DE9" w:rsidRPr="00CE357F" w14:paraId="40A0F76C" w14:textId="77777777" w:rsidTr="004A0C47">
        <w:trPr>
          <w:trHeight w:val="170"/>
        </w:trPr>
        <w:tc>
          <w:tcPr>
            <w:tcW w:w="1348" w:type="dxa"/>
            <w:shd w:val="clear" w:color="auto" w:fill="D9E2F3" w:themeFill="accent1" w:themeFillTint="33"/>
            <w:vAlign w:val="bottom"/>
          </w:tcPr>
          <w:p w14:paraId="3C47C96A"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Ráječko</w:t>
            </w:r>
          </w:p>
        </w:tc>
        <w:tc>
          <w:tcPr>
            <w:tcW w:w="774" w:type="dxa"/>
            <w:vAlign w:val="bottom"/>
          </w:tcPr>
          <w:p w14:paraId="2906AC4B"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1373</w:t>
            </w:r>
          </w:p>
        </w:tc>
        <w:tc>
          <w:tcPr>
            <w:tcW w:w="1303" w:type="dxa"/>
            <w:vAlign w:val="bottom"/>
          </w:tcPr>
          <w:p w14:paraId="000C8959"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79</w:t>
            </w:r>
          </w:p>
        </w:tc>
        <w:tc>
          <w:tcPr>
            <w:tcW w:w="1674" w:type="dxa"/>
            <w:vAlign w:val="bottom"/>
          </w:tcPr>
          <w:p w14:paraId="7BFDD579" w14:textId="77777777" w:rsidR="003C1DE9" w:rsidRPr="00DD206D" w:rsidRDefault="003C1DE9" w:rsidP="004A0C47">
            <w:pPr>
              <w:jc w:val="center"/>
              <w:rPr>
                <w:rFonts w:ascii="Arial Narrow" w:hAnsi="Arial Narrow"/>
                <w:sz w:val="18"/>
                <w:szCs w:val="18"/>
              </w:rPr>
            </w:pPr>
            <w:r w:rsidRPr="00B16E40">
              <w:rPr>
                <w:rFonts w:ascii="Arial Narrow" w:hAnsi="Arial Narrow"/>
                <w:sz w:val="18"/>
                <w:szCs w:val="18"/>
              </w:rPr>
              <w:t>5,75</w:t>
            </w:r>
            <w:r>
              <w:rPr>
                <w:rFonts w:ascii="Arial Narrow" w:hAnsi="Arial Narrow"/>
                <w:sz w:val="18"/>
                <w:szCs w:val="18"/>
              </w:rPr>
              <w:t xml:space="preserve"> </w:t>
            </w:r>
            <w:r w:rsidRPr="00B16E40">
              <w:rPr>
                <w:rFonts w:ascii="Arial Narrow" w:hAnsi="Arial Narrow"/>
                <w:sz w:val="18"/>
                <w:szCs w:val="18"/>
              </w:rPr>
              <w:t>%</w:t>
            </w:r>
          </w:p>
        </w:tc>
        <w:tc>
          <w:tcPr>
            <w:tcW w:w="573" w:type="dxa"/>
          </w:tcPr>
          <w:p w14:paraId="53F3815D"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27</w:t>
            </w:r>
          </w:p>
        </w:tc>
        <w:tc>
          <w:tcPr>
            <w:tcW w:w="516" w:type="dxa"/>
          </w:tcPr>
          <w:p w14:paraId="3FB69E62"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9</w:t>
            </w:r>
          </w:p>
        </w:tc>
        <w:tc>
          <w:tcPr>
            <w:tcW w:w="792" w:type="dxa"/>
          </w:tcPr>
          <w:p w14:paraId="5BE6E805"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36</w:t>
            </w:r>
          </w:p>
        </w:tc>
        <w:tc>
          <w:tcPr>
            <w:tcW w:w="752" w:type="dxa"/>
            <w:gridSpan w:val="2"/>
          </w:tcPr>
          <w:p w14:paraId="44600087"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38</w:t>
            </w:r>
          </w:p>
        </w:tc>
        <w:tc>
          <w:tcPr>
            <w:tcW w:w="515" w:type="dxa"/>
            <w:gridSpan w:val="2"/>
          </w:tcPr>
          <w:p w14:paraId="3201066C"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5</w:t>
            </w:r>
          </w:p>
        </w:tc>
        <w:tc>
          <w:tcPr>
            <w:tcW w:w="717" w:type="dxa"/>
            <w:gridSpan w:val="2"/>
          </w:tcPr>
          <w:p w14:paraId="6C602CBB" w14:textId="77777777" w:rsidR="003C1DE9" w:rsidRPr="00CE357F" w:rsidRDefault="003C1DE9" w:rsidP="004A0C47">
            <w:pPr>
              <w:jc w:val="center"/>
              <w:rPr>
                <w:rFonts w:ascii="Arial Narrow" w:hAnsi="Arial Narrow"/>
                <w:sz w:val="18"/>
                <w:szCs w:val="18"/>
              </w:rPr>
            </w:pPr>
            <w:r w:rsidRPr="00B16E40">
              <w:rPr>
                <w:rFonts w:ascii="Arial Narrow" w:hAnsi="Arial Narrow"/>
                <w:sz w:val="18"/>
                <w:szCs w:val="18"/>
              </w:rPr>
              <w:t>43</w:t>
            </w:r>
          </w:p>
        </w:tc>
      </w:tr>
      <w:tr w:rsidR="003C1DE9" w:rsidRPr="00CE357F" w14:paraId="6F3BAAF1" w14:textId="77777777" w:rsidTr="001333A8">
        <w:trPr>
          <w:trHeight w:val="170"/>
        </w:trPr>
        <w:tc>
          <w:tcPr>
            <w:tcW w:w="1348" w:type="dxa"/>
            <w:shd w:val="clear" w:color="auto" w:fill="D9E2F3" w:themeFill="accent1" w:themeFillTint="33"/>
            <w:vAlign w:val="bottom"/>
          </w:tcPr>
          <w:p w14:paraId="7A40BCE1" w14:textId="77777777" w:rsidR="003C1DE9" w:rsidRPr="00B16E40" w:rsidRDefault="003C1DE9" w:rsidP="004A0C47">
            <w:pPr>
              <w:jc w:val="center"/>
              <w:rPr>
                <w:rFonts w:ascii="Arial Narrow" w:hAnsi="Arial Narrow"/>
                <w:b/>
                <w:bCs/>
                <w:sz w:val="18"/>
                <w:szCs w:val="18"/>
              </w:rPr>
            </w:pPr>
            <w:proofErr w:type="spellStart"/>
            <w:r w:rsidRPr="00B16E40">
              <w:rPr>
                <w:rFonts w:ascii="Arial Narrow" w:hAnsi="Arial Narrow"/>
                <w:b/>
                <w:bCs/>
                <w:sz w:val="18"/>
                <w:szCs w:val="18"/>
              </w:rPr>
              <w:t>Šebrov</w:t>
            </w:r>
            <w:proofErr w:type="spellEnd"/>
            <w:r w:rsidRPr="00B16E40">
              <w:rPr>
                <w:rFonts w:ascii="Arial Narrow" w:hAnsi="Arial Narrow"/>
                <w:b/>
                <w:bCs/>
                <w:sz w:val="18"/>
                <w:szCs w:val="18"/>
              </w:rPr>
              <w:t>-Kateřina</w:t>
            </w:r>
          </w:p>
        </w:tc>
        <w:tc>
          <w:tcPr>
            <w:tcW w:w="774" w:type="dxa"/>
            <w:vAlign w:val="center"/>
          </w:tcPr>
          <w:p w14:paraId="209AEAFE"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828</w:t>
            </w:r>
          </w:p>
        </w:tc>
        <w:tc>
          <w:tcPr>
            <w:tcW w:w="1303" w:type="dxa"/>
            <w:vAlign w:val="center"/>
          </w:tcPr>
          <w:p w14:paraId="7235D16F"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73</w:t>
            </w:r>
          </w:p>
        </w:tc>
        <w:tc>
          <w:tcPr>
            <w:tcW w:w="1674" w:type="dxa"/>
            <w:vAlign w:val="center"/>
          </w:tcPr>
          <w:p w14:paraId="15B09440"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8,82</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323417B8"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46</w:t>
            </w:r>
          </w:p>
        </w:tc>
        <w:tc>
          <w:tcPr>
            <w:tcW w:w="516" w:type="dxa"/>
            <w:vAlign w:val="center"/>
          </w:tcPr>
          <w:p w14:paraId="137EB7BA"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4</w:t>
            </w:r>
          </w:p>
        </w:tc>
        <w:tc>
          <w:tcPr>
            <w:tcW w:w="792" w:type="dxa"/>
            <w:vAlign w:val="center"/>
          </w:tcPr>
          <w:p w14:paraId="7F5B11CA"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50</w:t>
            </w:r>
          </w:p>
        </w:tc>
        <w:tc>
          <w:tcPr>
            <w:tcW w:w="752" w:type="dxa"/>
            <w:gridSpan w:val="2"/>
            <w:vAlign w:val="center"/>
          </w:tcPr>
          <w:p w14:paraId="63C66D90"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16</w:t>
            </w:r>
          </w:p>
        </w:tc>
        <w:tc>
          <w:tcPr>
            <w:tcW w:w="515" w:type="dxa"/>
            <w:gridSpan w:val="2"/>
            <w:vAlign w:val="center"/>
          </w:tcPr>
          <w:p w14:paraId="4E661ED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7</w:t>
            </w:r>
          </w:p>
        </w:tc>
        <w:tc>
          <w:tcPr>
            <w:tcW w:w="717" w:type="dxa"/>
            <w:gridSpan w:val="2"/>
            <w:vAlign w:val="center"/>
          </w:tcPr>
          <w:p w14:paraId="3EB98BF9"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23</w:t>
            </w:r>
          </w:p>
        </w:tc>
      </w:tr>
      <w:tr w:rsidR="003C1DE9" w:rsidRPr="00CE357F" w14:paraId="6A34E628" w14:textId="77777777" w:rsidTr="001333A8">
        <w:trPr>
          <w:trHeight w:val="170"/>
        </w:trPr>
        <w:tc>
          <w:tcPr>
            <w:tcW w:w="1348" w:type="dxa"/>
            <w:shd w:val="clear" w:color="auto" w:fill="D9E2F3" w:themeFill="accent1" w:themeFillTint="33"/>
            <w:vAlign w:val="bottom"/>
          </w:tcPr>
          <w:p w14:paraId="5F19D76F"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Lipůvka</w:t>
            </w:r>
          </w:p>
        </w:tc>
        <w:tc>
          <w:tcPr>
            <w:tcW w:w="774" w:type="dxa"/>
            <w:vAlign w:val="center"/>
          </w:tcPr>
          <w:p w14:paraId="7D6AAF23"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1394</w:t>
            </w:r>
          </w:p>
        </w:tc>
        <w:tc>
          <w:tcPr>
            <w:tcW w:w="1303" w:type="dxa"/>
            <w:vAlign w:val="center"/>
          </w:tcPr>
          <w:p w14:paraId="00CDCE8D"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57</w:t>
            </w:r>
          </w:p>
        </w:tc>
        <w:tc>
          <w:tcPr>
            <w:tcW w:w="1674" w:type="dxa"/>
            <w:vAlign w:val="center"/>
          </w:tcPr>
          <w:p w14:paraId="72799C02"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4,09</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3E63000C"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15</w:t>
            </w:r>
          </w:p>
        </w:tc>
        <w:tc>
          <w:tcPr>
            <w:tcW w:w="516" w:type="dxa"/>
            <w:vAlign w:val="center"/>
          </w:tcPr>
          <w:p w14:paraId="7705B362"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w:t>
            </w:r>
          </w:p>
        </w:tc>
        <w:tc>
          <w:tcPr>
            <w:tcW w:w="792" w:type="dxa"/>
            <w:vAlign w:val="center"/>
          </w:tcPr>
          <w:p w14:paraId="30BFAD70"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18</w:t>
            </w:r>
          </w:p>
        </w:tc>
        <w:tc>
          <w:tcPr>
            <w:tcW w:w="752" w:type="dxa"/>
            <w:gridSpan w:val="2"/>
            <w:vAlign w:val="center"/>
          </w:tcPr>
          <w:p w14:paraId="446D7ED3"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37</w:t>
            </w:r>
          </w:p>
        </w:tc>
        <w:tc>
          <w:tcPr>
            <w:tcW w:w="515" w:type="dxa"/>
            <w:gridSpan w:val="2"/>
            <w:vAlign w:val="center"/>
          </w:tcPr>
          <w:p w14:paraId="37A73606"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w:t>
            </w:r>
          </w:p>
        </w:tc>
        <w:tc>
          <w:tcPr>
            <w:tcW w:w="717" w:type="dxa"/>
            <w:gridSpan w:val="2"/>
            <w:vAlign w:val="center"/>
          </w:tcPr>
          <w:p w14:paraId="24D06810"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39</w:t>
            </w:r>
          </w:p>
        </w:tc>
      </w:tr>
      <w:tr w:rsidR="003C1DE9" w:rsidRPr="00CE357F" w14:paraId="2D7926AB" w14:textId="77777777" w:rsidTr="001333A8">
        <w:trPr>
          <w:trHeight w:val="170"/>
        </w:trPr>
        <w:tc>
          <w:tcPr>
            <w:tcW w:w="1348" w:type="dxa"/>
            <w:shd w:val="clear" w:color="auto" w:fill="D9E2F3" w:themeFill="accent1" w:themeFillTint="33"/>
            <w:vAlign w:val="bottom"/>
          </w:tcPr>
          <w:p w14:paraId="0A6E7D27"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Sloup</w:t>
            </w:r>
          </w:p>
        </w:tc>
        <w:tc>
          <w:tcPr>
            <w:tcW w:w="774" w:type="dxa"/>
            <w:vAlign w:val="center"/>
          </w:tcPr>
          <w:p w14:paraId="4BC3F4DE"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946</w:t>
            </w:r>
          </w:p>
        </w:tc>
        <w:tc>
          <w:tcPr>
            <w:tcW w:w="1303" w:type="dxa"/>
            <w:vAlign w:val="center"/>
          </w:tcPr>
          <w:p w14:paraId="3795CF3A"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52</w:t>
            </w:r>
          </w:p>
        </w:tc>
        <w:tc>
          <w:tcPr>
            <w:tcW w:w="1674" w:type="dxa"/>
            <w:vAlign w:val="center"/>
          </w:tcPr>
          <w:p w14:paraId="093BB11A"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5,50</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5205DB6E"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14</w:t>
            </w:r>
          </w:p>
        </w:tc>
        <w:tc>
          <w:tcPr>
            <w:tcW w:w="516" w:type="dxa"/>
            <w:vAlign w:val="center"/>
          </w:tcPr>
          <w:p w14:paraId="45BFF283"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7</w:t>
            </w:r>
          </w:p>
        </w:tc>
        <w:tc>
          <w:tcPr>
            <w:tcW w:w="792" w:type="dxa"/>
            <w:vAlign w:val="center"/>
          </w:tcPr>
          <w:p w14:paraId="6FC7667A"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21</w:t>
            </w:r>
          </w:p>
        </w:tc>
        <w:tc>
          <w:tcPr>
            <w:tcW w:w="752" w:type="dxa"/>
            <w:gridSpan w:val="2"/>
            <w:vAlign w:val="center"/>
          </w:tcPr>
          <w:p w14:paraId="4FB33CD2"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25</w:t>
            </w:r>
          </w:p>
        </w:tc>
        <w:tc>
          <w:tcPr>
            <w:tcW w:w="515" w:type="dxa"/>
            <w:gridSpan w:val="2"/>
            <w:vAlign w:val="center"/>
          </w:tcPr>
          <w:p w14:paraId="2A3130B6"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6</w:t>
            </w:r>
          </w:p>
        </w:tc>
        <w:tc>
          <w:tcPr>
            <w:tcW w:w="717" w:type="dxa"/>
            <w:gridSpan w:val="2"/>
            <w:vAlign w:val="center"/>
          </w:tcPr>
          <w:p w14:paraId="3C268996"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31</w:t>
            </w:r>
          </w:p>
        </w:tc>
      </w:tr>
      <w:tr w:rsidR="003C1DE9" w:rsidRPr="00CE357F" w14:paraId="08D19678" w14:textId="77777777" w:rsidTr="001333A8">
        <w:trPr>
          <w:trHeight w:val="170"/>
        </w:trPr>
        <w:tc>
          <w:tcPr>
            <w:tcW w:w="1348" w:type="dxa"/>
            <w:shd w:val="clear" w:color="auto" w:fill="D9E2F3" w:themeFill="accent1" w:themeFillTint="33"/>
            <w:vAlign w:val="bottom"/>
          </w:tcPr>
          <w:p w14:paraId="1BCD4C89"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Olomučany</w:t>
            </w:r>
          </w:p>
        </w:tc>
        <w:tc>
          <w:tcPr>
            <w:tcW w:w="774" w:type="dxa"/>
            <w:vAlign w:val="center"/>
          </w:tcPr>
          <w:p w14:paraId="2DFDD227"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1063</w:t>
            </w:r>
          </w:p>
        </w:tc>
        <w:tc>
          <w:tcPr>
            <w:tcW w:w="1303" w:type="dxa"/>
            <w:vAlign w:val="center"/>
          </w:tcPr>
          <w:p w14:paraId="7D73E659"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48</w:t>
            </w:r>
          </w:p>
        </w:tc>
        <w:tc>
          <w:tcPr>
            <w:tcW w:w="1674" w:type="dxa"/>
            <w:vAlign w:val="center"/>
          </w:tcPr>
          <w:p w14:paraId="6258EFC6"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4,52</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08F35A1F"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23</w:t>
            </w:r>
          </w:p>
        </w:tc>
        <w:tc>
          <w:tcPr>
            <w:tcW w:w="516" w:type="dxa"/>
            <w:vAlign w:val="center"/>
          </w:tcPr>
          <w:p w14:paraId="7AD50CE8"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7</w:t>
            </w:r>
          </w:p>
        </w:tc>
        <w:tc>
          <w:tcPr>
            <w:tcW w:w="792" w:type="dxa"/>
            <w:vAlign w:val="center"/>
          </w:tcPr>
          <w:p w14:paraId="5A5D2295"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30</w:t>
            </w:r>
          </w:p>
        </w:tc>
        <w:tc>
          <w:tcPr>
            <w:tcW w:w="752" w:type="dxa"/>
            <w:gridSpan w:val="2"/>
            <w:vAlign w:val="center"/>
          </w:tcPr>
          <w:p w14:paraId="4204832C"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13</w:t>
            </w:r>
          </w:p>
        </w:tc>
        <w:tc>
          <w:tcPr>
            <w:tcW w:w="515" w:type="dxa"/>
            <w:gridSpan w:val="2"/>
            <w:vAlign w:val="center"/>
          </w:tcPr>
          <w:p w14:paraId="42290F0B"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5</w:t>
            </w:r>
          </w:p>
        </w:tc>
        <w:tc>
          <w:tcPr>
            <w:tcW w:w="717" w:type="dxa"/>
            <w:gridSpan w:val="2"/>
            <w:vAlign w:val="center"/>
          </w:tcPr>
          <w:p w14:paraId="3C32ED97"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18</w:t>
            </w:r>
          </w:p>
        </w:tc>
      </w:tr>
      <w:tr w:rsidR="003C1DE9" w:rsidRPr="00CE357F" w14:paraId="76BBDA9F" w14:textId="77777777" w:rsidTr="001333A8">
        <w:trPr>
          <w:trHeight w:val="170"/>
        </w:trPr>
        <w:tc>
          <w:tcPr>
            <w:tcW w:w="1348" w:type="dxa"/>
            <w:shd w:val="clear" w:color="auto" w:fill="D9E2F3" w:themeFill="accent1" w:themeFillTint="33"/>
            <w:vAlign w:val="bottom"/>
          </w:tcPr>
          <w:p w14:paraId="6B86408C"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Doubravice nad Svitavou</w:t>
            </w:r>
          </w:p>
        </w:tc>
        <w:tc>
          <w:tcPr>
            <w:tcW w:w="774" w:type="dxa"/>
            <w:vAlign w:val="center"/>
          </w:tcPr>
          <w:p w14:paraId="18673B97"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1372</w:t>
            </w:r>
          </w:p>
        </w:tc>
        <w:tc>
          <w:tcPr>
            <w:tcW w:w="1303" w:type="dxa"/>
            <w:vAlign w:val="center"/>
          </w:tcPr>
          <w:p w14:paraId="4B65C5BB"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47</w:t>
            </w:r>
          </w:p>
        </w:tc>
        <w:tc>
          <w:tcPr>
            <w:tcW w:w="1674" w:type="dxa"/>
            <w:vAlign w:val="center"/>
          </w:tcPr>
          <w:p w14:paraId="1A5F616A"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3,43</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5828E81D"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20</w:t>
            </w:r>
          </w:p>
        </w:tc>
        <w:tc>
          <w:tcPr>
            <w:tcW w:w="516" w:type="dxa"/>
            <w:vAlign w:val="center"/>
          </w:tcPr>
          <w:p w14:paraId="345D7AC0"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5</w:t>
            </w:r>
          </w:p>
        </w:tc>
        <w:tc>
          <w:tcPr>
            <w:tcW w:w="792" w:type="dxa"/>
            <w:vAlign w:val="center"/>
          </w:tcPr>
          <w:p w14:paraId="013AE5E8"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25</w:t>
            </w:r>
          </w:p>
        </w:tc>
        <w:tc>
          <w:tcPr>
            <w:tcW w:w="752" w:type="dxa"/>
            <w:gridSpan w:val="2"/>
            <w:vAlign w:val="center"/>
          </w:tcPr>
          <w:p w14:paraId="4B9293B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15</w:t>
            </w:r>
          </w:p>
        </w:tc>
        <w:tc>
          <w:tcPr>
            <w:tcW w:w="515" w:type="dxa"/>
            <w:gridSpan w:val="2"/>
            <w:vAlign w:val="center"/>
          </w:tcPr>
          <w:p w14:paraId="5139307D"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7</w:t>
            </w:r>
          </w:p>
        </w:tc>
        <w:tc>
          <w:tcPr>
            <w:tcW w:w="717" w:type="dxa"/>
            <w:gridSpan w:val="2"/>
            <w:vAlign w:val="center"/>
          </w:tcPr>
          <w:p w14:paraId="1A061762"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22</w:t>
            </w:r>
          </w:p>
        </w:tc>
      </w:tr>
      <w:tr w:rsidR="003C1DE9" w:rsidRPr="00CE357F" w14:paraId="6D7BF471" w14:textId="77777777" w:rsidTr="001333A8">
        <w:trPr>
          <w:trHeight w:val="170"/>
        </w:trPr>
        <w:tc>
          <w:tcPr>
            <w:tcW w:w="1348" w:type="dxa"/>
            <w:shd w:val="clear" w:color="auto" w:fill="D9E2F3" w:themeFill="accent1" w:themeFillTint="33"/>
            <w:vAlign w:val="bottom"/>
          </w:tcPr>
          <w:p w14:paraId="1FBF05AB"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Lipovec</w:t>
            </w:r>
          </w:p>
        </w:tc>
        <w:tc>
          <w:tcPr>
            <w:tcW w:w="774" w:type="dxa"/>
            <w:vAlign w:val="center"/>
          </w:tcPr>
          <w:p w14:paraId="7E4926FE"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1190</w:t>
            </w:r>
          </w:p>
        </w:tc>
        <w:tc>
          <w:tcPr>
            <w:tcW w:w="1303" w:type="dxa"/>
            <w:vAlign w:val="center"/>
          </w:tcPr>
          <w:p w14:paraId="5769CF1D"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34</w:t>
            </w:r>
          </w:p>
        </w:tc>
        <w:tc>
          <w:tcPr>
            <w:tcW w:w="1674" w:type="dxa"/>
            <w:vAlign w:val="center"/>
          </w:tcPr>
          <w:p w14:paraId="113B7AA8"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2,86</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31DD40D2"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11</w:t>
            </w:r>
          </w:p>
        </w:tc>
        <w:tc>
          <w:tcPr>
            <w:tcW w:w="516" w:type="dxa"/>
            <w:vAlign w:val="center"/>
          </w:tcPr>
          <w:p w14:paraId="100C7E33"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w:t>
            </w:r>
          </w:p>
        </w:tc>
        <w:tc>
          <w:tcPr>
            <w:tcW w:w="792" w:type="dxa"/>
            <w:vAlign w:val="center"/>
          </w:tcPr>
          <w:p w14:paraId="4A52300F"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14</w:t>
            </w:r>
          </w:p>
        </w:tc>
        <w:tc>
          <w:tcPr>
            <w:tcW w:w="752" w:type="dxa"/>
            <w:gridSpan w:val="2"/>
            <w:vAlign w:val="center"/>
          </w:tcPr>
          <w:p w14:paraId="4E0A9EDE"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18</w:t>
            </w:r>
          </w:p>
        </w:tc>
        <w:tc>
          <w:tcPr>
            <w:tcW w:w="515" w:type="dxa"/>
            <w:gridSpan w:val="2"/>
            <w:vAlign w:val="center"/>
          </w:tcPr>
          <w:p w14:paraId="087D8850"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w:t>
            </w:r>
          </w:p>
        </w:tc>
        <w:tc>
          <w:tcPr>
            <w:tcW w:w="717" w:type="dxa"/>
            <w:gridSpan w:val="2"/>
            <w:vAlign w:val="center"/>
          </w:tcPr>
          <w:p w14:paraId="52E31A7C"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20</w:t>
            </w:r>
          </w:p>
        </w:tc>
      </w:tr>
      <w:tr w:rsidR="003C1DE9" w:rsidRPr="00CE357F" w14:paraId="5C201FD7" w14:textId="77777777" w:rsidTr="001333A8">
        <w:trPr>
          <w:trHeight w:val="170"/>
        </w:trPr>
        <w:tc>
          <w:tcPr>
            <w:tcW w:w="1348" w:type="dxa"/>
            <w:shd w:val="clear" w:color="auto" w:fill="D9E2F3" w:themeFill="accent1" w:themeFillTint="33"/>
            <w:vAlign w:val="bottom"/>
          </w:tcPr>
          <w:p w14:paraId="475D7462"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Křtiny</w:t>
            </w:r>
          </w:p>
        </w:tc>
        <w:tc>
          <w:tcPr>
            <w:tcW w:w="774" w:type="dxa"/>
            <w:vAlign w:val="center"/>
          </w:tcPr>
          <w:p w14:paraId="6746ABA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818</w:t>
            </w:r>
          </w:p>
        </w:tc>
        <w:tc>
          <w:tcPr>
            <w:tcW w:w="1303" w:type="dxa"/>
            <w:vAlign w:val="center"/>
          </w:tcPr>
          <w:p w14:paraId="1D339CD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29</w:t>
            </w:r>
          </w:p>
        </w:tc>
        <w:tc>
          <w:tcPr>
            <w:tcW w:w="1674" w:type="dxa"/>
            <w:vAlign w:val="center"/>
          </w:tcPr>
          <w:p w14:paraId="60143A38"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3,55</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030A61F2"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12</w:t>
            </w:r>
          </w:p>
        </w:tc>
        <w:tc>
          <w:tcPr>
            <w:tcW w:w="516" w:type="dxa"/>
            <w:vAlign w:val="center"/>
          </w:tcPr>
          <w:p w14:paraId="405C2E19"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w:t>
            </w:r>
          </w:p>
        </w:tc>
        <w:tc>
          <w:tcPr>
            <w:tcW w:w="792" w:type="dxa"/>
            <w:vAlign w:val="center"/>
          </w:tcPr>
          <w:p w14:paraId="2B613CDE"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14</w:t>
            </w:r>
          </w:p>
        </w:tc>
        <w:tc>
          <w:tcPr>
            <w:tcW w:w="752" w:type="dxa"/>
            <w:gridSpan w:val="2"/>
            <w:vAlign w:val="center"/>
          </w:tcPr>
          <w:p w14:paraId="4C68DB9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12</w:t>
            </w:r>
          </w:p>
        </w:tc>
        <w:tc>
          <w:tcPr>
            <w:tcW w:w="515" w:type="dxa"/>
            <w:gridSpan w:val="2"/>
            <w:vAlign w:val="center"/>
          </w:tcPr>
          <w:p w14:paraId="6DBC88D1"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w:t>
            </w:r>
          </w:p>
        </w:tc>
        <w:tc>
          <w:tcPr>
            <w:tcW w:w="717" w:type="dxa"/>
            <w:gridSpan w:val="2"/>
            <w:vAlign w:val="center"/>
          </w:tcPr>
          <w:p w14:paraId="74D9A1C6"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15</w:t>
            </w:r>
          </w:p>
        </w:tc>
      </w:tr>
      <w:tr w:rsidR="003C1DE9" w:rsidRPr="00CE357F" w14:paraId="3F666E22" w14:textId="77777777" w:rsidTr="001333A8">
        <w:trPr>
          <w:trHeight w:val="170"/>
        </w:trPr>
        <w:tc>
          <w:tcPr>
            <w:tcW w:w="1348" w:type="dxa"/>
            <w:shd w:val="clear" w:color="auto" w:fill="D9E2F3" w:themeFill="accent1" w:themeFillTint="33"/>
            <w:vAlign w:val="bottom"/>
          </w:tcPr>
          <w:p w14:paraId="57725F22"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Lažany</w:t>
            </w:r>
          </w:p>
        </w:tc>
        <w:tc>
          <w:tcPr>
            <w:tcW w:w="774" w:type="dxa"/>
            <w:vAlign w:val="center"/>
          </w:tcPr>
          <w:p w14:paraId="59B887FF"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417</w:t>
            </w:r>
          </w:p>
        </w:tc>
        <w:tc>
          <w:tcPr>
            <w:tcW w:w="1303" w:type="dxa"/>
            <w:vAlign w:val="center"/>
          </w:tcPr>
          <w:p w14:paraId="17462A0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28</w:t>
            </w:r>
          </w:p>
        </w:tc>
        <w:tc>
          <w:tcPr>
            <w:tcW w:w="1674" w:type="dxa"/>
            <w:vAlign w:val="center"/>
          </w:tcPr>
          <w:p w14:paraId="79C68FE6"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6,71</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518B7073"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6</w:t>
            </w:r>
          </w:p>
        </w:tc>
        <w:tc>
          <w:tcPr>
            <w:tcW w:w="516" w:type="dxa"/>
            <w:vAlign w:val="center"/>
          </w:tcPr>
          <w:p w14:paraId="6D65DC6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4</w:t>
            </w:r>
          </w:p>
        </w:tc>
        <w:tc>
          <w:tcPr>
            <w:tcW w:w="792" w:type="dxa"/>
            <w:vAlign w:val="center"/>
          </w:tcPr>
          <w:p w14:paraId="77C4E8C1"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10</w:t>
            </w:r>
          </w:p>
        </w:tc>
        <w:tc>
          <w:tcPr>
            <w:tcW w:w="752" w:type="dxa"/>
            <w:gridSpan w:val="2"/>
            <w:vAlign w:val="center"/>
          </w:tcPr>
          <w:p w14:paraId="58221AD7"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11</w:t>
            </w:r>
          </w:p>
        </w:tc>
        <w:tc>
          <w:tcPr>
            <w:tcW w:w="515" w:type="dxa"/>
            <w:gridSpan w:val="2"/>
            <w:vAlign w:val="center"/>
          </w:tcPr>
          <w:p w14:paraId="2F6C8525"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7</w:t>
            </w:r>
          </w:p>
        </w:tc>
        <w:tc>
          <w:tcPr>
            <w:tcW w:w="717" w:type="dxa"/>
            <w:gridSpan w:val="2"/>
            <w:vAlign w:val="center"/>
          </w:tcPr>
          <w:p w14:paraId="713CAA8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18</w:t>
            </w:r>
          </w:p>
        </w:tc>
      </w:tr>
      <w:tr w:rsidR="003C1DE9" w:rsidRPr="00CE357F" w14:paraId="5A6436A6" w14:textId="77777777" w:rsidTr="001333A8">
        <w:trPr>
          <w:trHeight w:val="170"/>
        </w:trPr>
        <w:tc>
          <w:tcPr>
            <w:tcW w:w="1348" w:type="dxa"/>
            <w:shd w:val="clear" w:color="auto" w:fill="D9E2F3" w:themeFill="accent1" w:themeFillTint="33"/>
            <w:vAlign w:val="bottom"/>
          </w:tcPr>
          <w:p w14:paraId="579BE2A5"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Bukovinka</w:t>
            </w:r>
          </w:p>
        </w:tc>
        <w:tc>
          <w:tcPr>
            <w:tcW w:w="774" w:type="dxa"/>
            <w:vAlign w:val="center"/>
          </w:tcPr>
          <w:p w14:paraId="1252BB0C"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614</w:t>
            </w:r>
          </w:p>
        </w:tc>
        <w:tc>
          <w:tcPr>
            <w:tcW w:w="1303" w:type="dxa"/>
            <w:vAlign w:val="center"/>
          </w:tcPr>
          <w:p w14:paraId="0ADE6C71"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27</w:t>
            </w:r>
          </w:p>
        </w:tc>
        <w:tc>
          <w:tcPr>
            <w:tcW w:w="1674" w:type="dxa"/>
            <w:vAlign w:val="center"/>
          </w:tcPr>
          <w:p w14:paraId="11F2DD8E"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4,40</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2D2A5466"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12</w:t>
            </w:r>
          </w:p>
        </w:tc>
        <w:tc>
          <w:tcPr>
            <w:tcW w:w="516" w:type="dxa"/>
            <w:vAlign w:val="center"/>
          </w:tcPr>
          <w:p w14:paraId="4BF48F4A"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w:t>
            </w:r>
          </w:p>
        </w:tc>
        <w:tc>
          <w:tcPr>
            <w:tcW w:w="792" w:type="dxa"/>
            <w:vAlign w:val="center"/>
          </w:tcPr>
          <w:p w14:paraId="0029F99B"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15</w:t>
            </w:r>
          </w:p>
        </w:tc>
        <w:tc>
          <w:tcPr>
            <w:tcW w:w="752" w:type="dxa"/>
            <w:gridSpan w:val="2"/>
            <w:vAlign w:val="center"/>
          </w:tcPr>
          <w:p w14:paraId="65595C1D"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10</w:t>
            </w:r>
          </w:p>
        </w:tc>
        <w:tc>
          <w:tcPr>
            <w:tcW w:w="515" w:type="dxa"/>
            <w:gridSpan w:val="2"/>
            <w:vAlign w:val="center"/>
          </w:tcPr>
          <w:p w14:paraId="302FB634"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w:t>
            </w:r>
          </w:p>
        </w:tc>
        <w:tc>
          <w:tcPr>
            <w:tcW w:w="717" w:type="dxa"/>
            <w:gridSpan w:val="2"/>
            <w:vAlign w:val="center"/>
          </w:tcPr>
          <w:p w14:paraId="316DBFCF"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12</w:t>
            </w:r>
          </w:p>
        </w:tc>
      </w:tr>
      <w:tr w:rsidR="003C1DE9" w:rsidRPr="00CE357F" w14:paraId="00243493" w14:textId="77777777" w:rsidTr="001333A8">
        <w:trPr>
          <w:trHeight w:val="170"/>
        </w:trPr>
        <w:tc>
          <w:tcPr>
            <w:tcW w:w="1348" w:type="dxa"/>
            <w:shd w:val="clear" w:color="auto" w:fill="D9E2F3" w:themeFill="accent1" w:themeFillTint="33"/>
            <w:vAlign w:val="bottom"/>
          </w:tcPr>
          <w:p w14:paraId="51915EF6" w14:textId="77777777" w:rsidR="003C1DE9" w:rsidRPr="00B16E40" w:rsidRDefault="003C1DE9" w:rsidP="004A0C47">
            <w:pPr>
              <w:jc w:val="center"/>
              <w:rPr>
                <w:rFonts w:ascii="Arial Narrow" w:hAnsi="Arial Narrow"/>
                <w:b/>
                <w:bCs/>
                <w:sz w:val="18"/>
                <w:szCs w:val="18"/>
              </w:rPr>
            </w:pPr>
            <w:r w:rsidRPr="00B16E40">
              <w:rPr>
                <w:rFonts w:ascii="Arial Narrow" w:hAnsi="Arial Narrow"/>
                <w:b/>
                <w:bCs/>
                <w:sz w:val="18"/>
                <w:szCs w:val="18"/>
              </w:rPr>
              <w:t>Bořitov</w:t>
            </w:r>
          </w:p>
        </w:tc>
        <w:tc>
          <w:tcPr>
            <w:tcW w:w="774" w:type="dxa"/>
            <w:vAlign w:val="center"/>
          </w:tcPr>
          <w:p w14:paraId="50F4E958"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1281</w:t>
            </w:r>
          </w:p>
        </w:tc>
        <w:tc>
          <w:tcPr>
            <w:tcW w:w="1303" w:type="dxa"/>
            <w:vAlign w:val="center"/>
          </w:tcPr>
          <w:p w14:paraId="5EA8B6F9"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25</w:t>
            </w:r>
          </w:p>
        </w:tc>
        <w:tc>
          <w:tcPr>
            <w:tcW w:w="1674" w:type="dxa"/>
            <w:vAlign w:val="center"/>
          </w:tcPr>
          <w:p w14:paraId="09805EC7" w14:textId="77777777" w:rsidR="003C1DE9" w:rsidRPr="00DD206D" w:rsidRDefault="003C1DE9" w:rsidP="001333A8">
            <w:pPr>
              <w:jc w:val="center"/>
              <w:rPr>
                <w:rFonts w:ascii="Arial Narrow" w:hAnsi="Arial Narrow"/>
                <w:sz w:val="18"/>
                <w:szCs w:val="18"/>
              </w:rPr>
            </w:pPr>
            <w:r w:rsidRPr="00B16E40">
              <w:rPr>
                <w:rFonts w:ascii="Arial Narrow" w:hAnsi="Arial Narrow"/>
                <w:sz w:val="18"/>
                <w:szCs w:val="18"/>
              </w:rPr>
              <w:t>1,95</w:t>
            </w:r>
            <w:r>
              <w:rPr>
                <w:rFonts w:ascii="Arial Narrow" w:hAnsi="Arial Narrow"/>
                <w:sz w:val="18"/>
                <w:szCs w:val="18"/>
              </w:rPr>
              <w:t xml:space="preserve"> </w:t>
            </w:r>
            <w:r w:rsidRPr="00B16E40">
              <w:rPr>
                <w:rFonts w:ascii="Arial Narrow" w:hAnsi="Arial Narrow"/>
                <w:sz w:val="18"/>
                <w:szCs w:val="18"/>
              </w:rPr>
              <w:t>%</w:t>
            </w:r>
          </w:p>
        </w:tc>
        <w:tc>
          <w:tcPr>
            <w:tcW w:w="573" w:type="dxa"/>
            <w:vAlign w:val="center"/>
          </w:tcPr>
          <w:p w14:paraId="1CC0B67C"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10</w:t>
            </w:r>
          </w:p>
        </w:tc>
        <w:tc>
          <w:tcPr>
            <w:tcW w:w="516" w:type="dxa"/>
            <w:vAlign w:val="center"/>
          </w:tcPr>
          <w:p w14:paraId="282583BF"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w:t>
            </w:r>
          </w:p>
        </w:tc>
        <w:tc>
          <w:tcPr>
            <w:tcW w:w="792" w:type="dxa"/>
            <w:vAlign w:val="center"/>
          </w:tcPr>
          <w:p w14:paraId="423C01EA"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11</w:t>
            </w:r>
          </w:p>
        </w:tc>
        <w:tc>
          <w:tcPr>
            <w:tcW w:w="752" w:type="dxa"/>
            <w:gridSpan w:val="2"/>
            <w:vAlign w:val="center"/>
          </w:tcPr>
          <w:p w14:paraId="13224B72"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11</w:t>
            </w:r>
          </w:p>
        </w:tc>
        <w:tc>
          <w:tcPr>
            <w:tcW w:w="515" w:type="dxa"/>
            <w:gridSpan w:val="2"/>
            <w:vAlign w:val="center"/>
          </w:tcPr>
          <w:p w14:paraId="25B51B4C"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3</w:t>
            </w:r>
          </w:p>
        </w:tc>
        <w:tc>
          <w:tcPr>
            <w:tcW w:w="717" w:type="dxa"/>
            <w:gridSpan w:val="2"/>
            <w:vAlign w:val="center"/>
          </w:tcPr>
          <w:p w14:paraId="2FE50602" w14:textId="77777777" w:rsidR="003C1DE9" w:rsidRPr="00CE357F" w:rsidRDefault="003C1DE9" w:rsidP="001333A8">
            <w:pPr>
              <w:jc w:val="center"/>
              <w:rPr>
                <w:rFonts w:ascii="Arial Narrow" w:hAnsi="Arial Narrow"/>
                <w:sz w:val="18"/>
                <w:szCs w:val="18"/>
              </w:rPr>
            </w:pPr>
            <w:r w:rsidRPr="00B16E40">
              <w:rPr>
                <w:rFonts w:ascii="Arial Narrow" w:hAnsi="Arial Narrow"/>
                <w:sz w:val="18"/>
                <w:szCs w:val="18"/>
              </w:rPr>
              <w:t>14</w:t>
            </w:r>
          </w:p>
        </w:tc>
      </w:tr>
      <w:tr w:rsidR="003C1DE9" w:rsidRPr="00CE357F" w14:paraId="55771851" w14:textId="77777777" w:rsidTr="001333A8">
        <w:trPr>
          <w:trHeight w:val="170"/>
        </w:trPr>
        <w:tc>
          <w:tcPr>
            <w:tcW w:w="1348" w:type="dxa"/>
            <w:shd w:val="clear" w:color="auto" w:fill="D9E2F3" w:themeFill="accent1" w:themeFillTint="33"/>
            <w:vAlign w:val="bottom"/>
          </w:tcPr>
          <w:p w14:paraId="0801A793" w14:textId="77777777" w:rsidR="003C1DE9" w:rsidRPr="00C77CE3" w:rsidRDefault="003C1DE9" w:rsidP="004A0C47">
            <w:pPr>
              <w:jc w:val="center"/>
              <w:rPr>
                <w:rFonts w:ascii="Arial Narrow" w:hAnsi="Arial Narrow"/>
                <w:b/>
                <w:bCs/>
                <w:sz w:val="18"/>
                <w:szCs w:val="18"/>
              </w:rPr>
            </w:pPr>
            <w:r w:rsidRPr="00C77CE3">
              <w:rPr>
                <w:rFonts w:ascii="Arial Narrow" w:hAnsi="Arial Narrow"/>
                <w:b/>
                <w:bCs/>
                <w:sz w:val="18"/>
                <w:szCs w:val="18"/>
              </w:rPr>
              <w:t>Žernovník</w:t>
            </w:r>
          </w:p>
        </w:tc>
        <w:tc>
          <w:tcPr>
            <w:tcW w:w="774" w:type="dxa"/>
            <w:vAlign w:val="center"/>
          </w:tcPr>
          <w:p w14:paraId="42866069"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263</w:t>
            </w:r>
          </w:p>
        </w:tc>
        <w:tc>
          <w:tcPr>
            <w:tcW w:w="1303" w:type="dxa"/>
            <w:vAlign w:val="center"/>
          </w:tcPr>
          <w:p w14:paraId="382D723B"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23</w:t>
            </w:r>
          </w:p>
        </w:tc>
        <w:tc>
          <w:tcPr>
            <w:tcW w:w="1674" w:type="dxa"/>
            <w:vAlign w:val="center"/>
          </w:tcPr>
          <w:p w14:paraId="428400AC"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8,75</w:t>
            </w:r>
            <w:r>
              <w:rPr>
                <w:rFonts w:ascii="Arial Narrow" w:hAnsi="Arial Narrow"/>
                <w:sz w:val="18"/>
                <w:szCs w:val="18"/>
              </w:rPr>
              <w:t xml:space="preserve"> </w:t>
            </w:r>
            <w:r w:rsidRPr="00C77CE3">
              <w:rPr>
                <w:rFonts w:ascii="Arial Narrow" w:hAnsi="Arial Narrow"/>
                <w:sz w:val="18"/>
                <w:szCs w:val="18"/>
              </w:rPr>
              <w:t>%</w:t>
            </w:r>
          </w:p>
        </w:tc>
        <w:tc>
          <w:tcPr>
            <w:tcW w:w="573" w:type="dxa"/>
            <w:vAlign w:val="center"/>
          </w:tcPr>
          <w:p w14:paraId="5D1AAC03"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10</w:t>
            </w:r>
          </w:p>
        </w:tc>
        <w:tc>
          <w:tcPr>
            <w:tcW w:w="516" w:type="dxa"/>
            <w:vAlign w:val="center"/>
          </w:tcPr>
          <w:p w14:paraId="6345CDA6"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3</w:t>
            </w:r>
          </w:p>
        </w:tc>
        <w:tc>
          <w:tcPr>
            <w:tcW w:w="792" w:type="dxa"/>
            <w:vAlign w:val="center"/>
          </w:tcPr>
          <w:p w14:paraId="07EF3BFD"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13</w:t>
            </w:r>
          </w:p>
        </w:tc>
        <w:tc>
          <w:tcPr>
            <w:tcW w:w="752" w:type="dxa"/>
            <w:gridSpan w:val="2"/>
            <w:vAlign w:val="center"/>
          </w:tcPr>
          <w:p w14:paraId="7FDD14D9"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8</w:t>
            </w:r>
          </w:p>
        </w:tc>
        <w:tc>
          <w:tcPr>
            <w:tcW w:w="515" w:type="dxa"/>
            <w:gridSpan w:val="2"/>
            <w:vAlign w:val="center"/>
          </w:tcPr>
          <w:p w14:paraId="5F75D505"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2</w:t>
            </w:r>
          </w:p>
        </w:tc>
        <w:tc>
          <w:tcPr>
            <w:tcW w:w="717" w:type="dxa"/>
            <w:gridSpan w:val="2"/>
            <w:vAlign w:val="center"/>
          </w:tcPr>
          <w:p w14:paraId="467A1B53"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10</w:t>
            </w:r>
          </w:p>
        </w:tc>
      </w:tr>
      <w:tr w:rsidR="003C1DE9" w:rsidRPr="00CE357F" w14:paraId="05F7CE85" w14:textId="77777777" w:rsidTr="001333A8">
        <w:trPr>
          <w:trHeight w:val="170"/>
        </w:trPr>
        <w:tc>
          <w:tcPr>
            <w:tcW w:w="1348" w:type="dxa"/>
            <w:shd w:val="clear" w:color="auto" w:fill="D9E2F3" w:themeFill="accent1" w:themeFillTint="33"/>
            <w:vAlign w:val="bottom"/>
          </w:tcPr>
          <w:p w14:paraId="54ECBB1C" w14:textId="77777777" w:rsidR="003C1DE9" w:rsidRPr="00C77CE3" w:rsidRDefault="003C1DE9" w:rsidP="004A0C47">
            <w:pPr>
              <w:jc w:val="center"/>
              <w:rPr>
                <w:rFonts w:ascii="Arial Narrow" w:hAnsi="Arial Narrow"/>
                <w:b/>
                <w:bCs/>
                <w:sz w:val="18"/>
                <w:szCs w:val="18"/>
              </w:rPr>
            </w:pPr>
            <w:r w:rsidRPr="00C77CE3">
              <w:rPr>
                <w:rFonts w:ascii="Arial Narrow" w:hAnsi="Arial Narrow"/>
                <w:b/>
                <w:bCs/>
                <w:sz w:val="18"/>
                <w:szCs w:val="18"/>
              </w:rPr>
              <w:t>Ostrov u Macochy</w:t>
            </w:r>
          </w:p>
        </w:tc>
        <w:tc>
          <w:tcPr>
            <w:tcW w:w="774" w:type="dxa"/>
            <w:vAlign w:val="center"/>
          </w:tcPr>
          <w:p w14:paraId="18D2F94A"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1104</w:t>
            </w:r>
          </w:p>
        </w:tc>
        <w:tc>
          <w:tcPr>
            <w:tcW w:w="1303" w:type="dxa"/>
            <w:vAlign w:val="center"/>
          </w:tcPr>
          <w:p w14:paraId="70B256BC"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21</w:t>
            </w:r>
          </w:p>
        </w:tc>
        <w:tc>
          <w:tcPr>
            <w:tcW w:w="1674" w:type="dxa"/>
            <w:vAlign w:val="center"/>
          </w:tcPr>
          <w:p w14:paraId="04B655BF"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1,90</w:t>
            </w:r>
            <w:r>
              <w:rPr>
                <w:rFonts w:ascii="Arial Narrow" w:hAnsi="Arial Narrow"/>
                <w:sz w:val="18"/>
                <w:szCs w:val="18"/>
              </w:rPr>
              <w:t xml:space="preserve"> </w:t>
            </w:r>
            <w:r w:rsidRPr="00C77CE3">
              <w:rPr>
                <w:rFonts w:ascii="Arial Narrow" w:hAnsi="Arial Narrow"/>
                <w:sz w:val="18"/>
                <w:szCs w:val="18"/>
              </w:rPr>
              <w:t>%</w:t>
            </w:r>
          </w:p>
        </w:tc>
        <w:tc>
          <w:tcPr>
            <w:tcW w:w="573" w:type="dxa"/>
            <w:vAlign w:val="center"/>
          </w:tcPr>
          <w:p w14:paraId="62044625"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9</w:t>
            </w:r>
          </w:p>
        </w:tc>
        <w:tc>
          <w:tcPr>
            <w:tcW w:w="516" w:type="dxa"/>
            <w:vAlign w:val="center"/>
          </w:tcPr>
          <w:p w14:paraId="5903D766"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2</w:t>
            </w:r>
          </w:p>
        </w:tc>
        <w:tc>
          <w:tcPr>
            <w:tcW w:w="792" w:type="dxa"/>
            <w:vAlign w:val="center"/>
          </w:tcPr>
          <w:p w14:paraId="036B5BB8"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11</w:t>
            </w:r>
          </w:p>
        </w:tc>
        <w:tc>
          <w:tcPr>
            <w:tcW w:w="752" w:type="dxa"/>
            <w:gridSpan w:val="2"/>
            <w:vAlign w:val="center"/>
          </w:tcPr>
          <w:p w14:paraId="48AA5864"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9</w:t>
            </w:r>
          </w:p>
        </w:tc>
        <w:tc>
          <w:tcPr>
            <w:tcW w:w="515" w:type="dxa"/>
            <w:gridSpan w:val="2"/>
            <w:vAlign w:val="center"/>
          </w:tcPr>
          <w:p w14:paraId="4A0DD729"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1</w:t>
            </w:r>
          </w:p>
        </w:tc>
        <w:tc>
          <w:tcPr>
            <w:tcW w:w="717" w:type="dxa"/>
            <w:gridSpan w:val="2"/>
            <w:vAlign w:val="center"/>
          </w:tcPr>
          <w:p w14:paraId="100409C7" w14:textId="77777777" w:rsidR="003C1DE9" w:rsidRPr="00B16E40" w:rsidRDefault="003C1DE9" w:rsidP="001333A8">
            <w:pPr>
              <w:jc w:val="center"/>
              <w:rPr>
                <w:rFonts w:ascii="Arial Narrow" w:hAnsi="Arial Narrow"/>
                <w:sz w:val="18"/>
                <w:szCs w:val="18"/>
              </w:rPr>
            </w:pPr>
            <w:r w:rsidRPr="00C77CE3">
              <w:rPr>
                <w:rFonts w:ascii="Arial Narrow" w:hAnsi="Arial Narrow"/>
                <w:sz w:val="18"/>
                <w:szCs w:val="18"/>
              </w:rPr>
              <w:t>10</w:t>
            </w:r>
          </w:p>
        </w:tc>
      </w:tr>
      <w:tr w:rsidR="003C1DE9" w:rsidRPr="00CE357F" w14:paraId="68847317" w14:textId="77777777" w:rsidTr="004A0C47">
        <w:trPr>
          <w:trHeight w:val="170"/>
        </w:trPr>
        <w:tc>
          <w:tcPr>
            <w:tcW w:w="1348" w:type="dxa"/>
            <w:shd w:val="clear" w:color="auto" w:fill="D9E2F3" w:themeFill="accent1" w:themeFillTint="33"/>
            <w:vAlign w:val="bottom"/>
          </w:tcPr>
          <w:p w14:paraId="0EBA72C6" w14:textId="77777777" w:rsidR="003C1DE9" w:rsidRPr="00C77CE3" w:rsidRDefault="003C1DE9" w:rsidP="004A0C47">
            <w:pPr>
              <w:jc w:val="center"/>
              <w:rPr>
                <w:rFonts w:ascii="Arial Narrow" w:hAnsi="Arial Narrow"/>
                <w:b/>
                <w:bCs/>
                <w:sz w:val="18"/>
                <w:szCs w:val="18"/>
              </w:rPr>
            </w:pPr>
            <w:r w:rsidRPr="00C77CE3">
              <w:rPr>
                <w:rFonts w:ascii="Arial Narrow" w:hAnsi="Arial Narrow"/>
                <w:b/>
                <w:bCs/>
                <w:sz w:val="18"/>
                <w:szCs w:val="18"/>
              </w:rPr>
              <w:t>Rudice</w:t>
            </w:r>
          </w:p>
        </w:tc>
        <w:tc>
          <w:tcPr>
            <w:tcW w:w="774" w:type="dxa"/>
            <w:vAlign w:val="bottom"/>
          </w:tcPr>
          <w:p w14:paraId="21D1E116"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979</w:t>
            </w:r>
          </w:p>
        </w:tc>
        <w:tc>
          <w:tcPr>
            <w:tcW w:w="1303" w:type="dxa"/>
            <w:vAlign w:val="bottom"/>
          </w:tcPr>
          <w:p w14:paraId="0BB4C397"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21</w:t>
            </w:r>
          </w:p>
        </w:tc>
        <w:tc>
          <w:tcPr>
            <w:tcW w:w="1674" w:type="dxa"/>
            <w:vAlign w:val="bottom"/>
          </w:tcPr>
          <w:p w14:paraId="30C02CFB"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2,15</w:t>
            </w:r>
            <w:r>
              <w:rPr>
                <w:rFonts w:ascii="Arial Narrow" w:hAnsi="Arial Narrow"/>
                <w:sz w:val="18"/>
                <w:szCs w:val="18"/>
              </w:rPr>
              <w:t xml:space="preserve"> </w:t>
            </w:r>
            <w:r w:rsidRPr="00C77CE3">
              <w:rPr>
                <w:rFonts w:ascii="Arial Narrow" w:hAnsi="Arial Narrow"/>
                <w:sz w:val="18"/>
                <w:szCs w:val="18"/>
              </w:rPr>
              <w:t>%</w:t>
            </w:r>
          </w:p>
        </w:tc>
        <w:tc>
          <w:tcPr>
            <w:tcW w:w="573" w:type="dxa"/>
            <w:vAlign w:val="bottom"/>
          </w:tcPr>
          <w:p w14:paraId="578A6AB4"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4</w:t>
            </w:r>
          </w:p>
        </w:tc>
        <w:tc>
          <w:tcPr>
            <w:tcW w:w="516" w:type="dxa"/>
            <w:vAlign w:val="bottom"/>
          </w:tcPr>
          <w:p w14:paraId="742C6D34"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3</w:t>
            </w:r>
          </w:p>
        </w:tc>
        <w:tc>
          <w:tcPr>
            <w:tcW w:w="792" w:type="dxa"/>
            <w:vAlign w:val="bottom"/>
          </w:tcPr>
          <w:p w14:paraId="676660B8"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7</w:t>
            </w:r>
          </w:p>
        </w:tc>
        <w:tc>
          <w:tcPr>
            <w:tcW w:w="752" w:type="dxa"/>
            <w:gridSpan w:val="2"/>
            <w:vAlign w:val="bottom"/>
          </w:tcPr>
          <w:p w14:paraId="5D99645C"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13</w:t>
            </w:r>
          </w:p>
        </w:tc>
        <w:tc>
          <w:tcPr>
            <w:tcW w:w="515" w:type="dxa"/>
            <w:gridSpan w:val="2"/>
            <w:vAlign w:val="bottom"/>
          </w:tcPr>
          <w:p w14:paraId="60ABFE61"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1</w:t>
            </w:r>
          </w:p>
        </w:tc>
        <w:tc>
          <w:tcPr>
            <w:tcW w:w="717" w:type="dxa"/>
            <w:gridSpan w:val="2"/>
            <w:vAlign w:val="bottom"/>
          </w:tcPr>
          <w:p w14:paraId="414AAABA"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14</w:t>
            </w:r>
          </w:p>
        </w:tc>
      </w:tr>
      <w:tr w:rsidR="003C1DE9" w:rsidRPr="00CE357F" w14:paraId="0C4F3284" w14:textId="77777777" w:rsidTr="004A0C47">
        <w:trPr>
          <w:trHeight w:val="170"/>
        </w:trPr>
        <w:tc>
          <w:tcPr>
            <w:tcW w:w="1348" w:type="dxa"/>
            <w:shd w:val="clear" w:color="auto" w:fill="D9E2F3" w:themeFill="accent1" w:themeFillTint="33"/>
            <w:vAlign w:val="bottom"/>
          </w:tcPr>
          <w:p w14:paraId="3C402B2C" w14:textId="77777777" w:rsidR="003C1DE9" w:rsidRPr="00C77CE3" w:rsidRDefault="003C1DE9" w:rsidP="004A0C47">
            <w:pPr>
              <w:jc w:val="center"/>
              <w:rPr>
                <w:rFonts w:ascii="Arial Narrow" w:hAnsi="Arial Narrow"/>
                <w:b/>
                <w:bCs/>
                <w:sz w:val="18"/>
                <w:szCs w:val="18"/>
              </w:rPr>
            </w:pPr>
            <w:r w:rsidRPr="00C77CE3">
              <w:rPr>
                <w:rFonts w:ascii="Arial Narrow" w:hAnsi="Arial Narrow"/>
                <w:b/>
                <w:bCs/>
                <w:sz w:val="18"/>
                <w:szCs w:val="18"/>
              </w:rPr>
              <w:t>Petrovice</w:t>
            </w:r>
          </w:p>
        </w:tc>
        <w:tc>
          <w:tcPr>
            <w:tcW w:w="774" w:type="dxa"/>
            <w:vAlign w:val="bottom"/>
          </w:tcPr>
          <w:p w14:paraId="04C50D75"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644</w:t>
            </w:r>
          </w:p>
        </w:tc>
        <w:tc>
          <w:tcPr>
            <w:tcW w:w="1303" w:type="dxa"/>
            <w:vAlign w:val="bottom"/>
          </w:tcPr>
          <w:p w14:paraId="16A1E626"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20</w:t>
            </w:r>
          </w:p>
        </w:tc>
        <w:tc>
          <w:tcPr>
            <w:tcW w:w="1674" w:type="dxa"/>
            <w:vAlign w:val="bottom"/>
          </w:tcPr>
          <w:p w14:paraId="5C06EC76"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3,11</w:t>
            </w:r>
            <w:r>
              <w:rPr>
                <w:rFonts w:ascii="Arial Narrow" w:hAnsi="Arial Narrow"/>
                <w:sz w:val="18"/>
                <w:szCs w:val="18"/>
              </w:rPr>
              <w:t xml:space="preserve"> </w:t>
            </w:r>
            <w:r w:rsidRPr="00C77CE3">
              <w:rPr>
                <w:rFonts w:ascii="Arial Narrow" w:hAnsi="Arial Narrow"/>
                <w:sz w:val="18"/>
                <w:szCs w:val="18"/>
              </w:rPr>
              <w:t>%</w:t>
            </w:r>
          </w:p>
        </w:tc>
        <w:tc>
          <w:tcPr>
            <w:tcW w:w="573" w:type="dxa"/>
            <w:vAlign w:val="bottom"/>
          </w:tcPr>
          <w:p w14:paraId="10AA4E9A"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10</w:t>
            </w:r>
          </w:p>
        </w:tc>
        <w:tc>
          <w:tcPr>
            <w:tcW w:w="516" w:type="dxa"/>
            <w:vAlign w:val="bottom"/>
          </w:tcPr>
          <w:p w14:paraId="7096145A"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0</w:t>
            </w:r>
          </w:p>
        </w:tc>
        <w:tc>
          <w:tcPr>
            <w:tcW w:w="792" w:type="dxa"/>
            <w:vAlign w:val="bottom"/>
          </w:tcPr>
          <w:p w14:paraId="4897B98E"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10</w:t>
            </w:r>
          </w:p>
        </w:tc>
        <w:tc>
          <w:tcPr>
            <w:tcW w:w="752" w:type="dxa"/>
            <w:gridSpan w:val="2"/>
            <w:vAlign w:val="bottom"/>
          </w:tcPr>
          <w:p w14:paraId="7FB655F9"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9</w:t>
            </w:r>
          </w:p>
        </w:tc>
        <w:tc>
          <w:tcPr>
            <w:tcW w:w="515" w:type="dxa"/>
            <w:gridSpan w:val="2"/>
            <w:vAlign w:val="bottom"/>
          </w:tcPr>
          <w:p w14:paraId="110D260C"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1</w:t>
            </w:r>
          </w:p>
        </w:tc>
        <w:tc>
          <w:tcPr>
            <w:tcW w:w="717" w:type="dxa"/>
            <w:gridSpan w:val="2"/>
            <w:vAlign w:val="bottom"/>
          </w:tcPr>
          <w:p w14:paraId="4079661D" w14:textId="77777777" w:rsidR="003C1DE9" w:rsidRPr="00B16E40" w:rsidRDefault="003C1DE9" w:rsidP="004A0C47">
            <w:pPr>
              <w:jc w:val="center"/>
              <w:rPr>
                <w:rFonts w:ascii="Arial Narrow" w:hAnsi="Arial Narrow"/>
                <w:sz w:val="18"/>
                <w:szCs w:val="18"/>
              </w:rPr>
            </w:pPr>
            <w:r w:rsidRPr="00C77CE3">
              <w:rPr>
                <w:rFonts w:ascii="Arial Narrow" w:hAnsi="Arial Narrow"/>
                <w:sz w:val="18"/>
                <w:szCs w:val="18"/>
              </w:rPr>
              <w:t>10</w:t>
            </w:r>
          </w:p>
        </w:tc>
      </w:tr>
    </w:tbl>
    <w:p w14:paraId="5551AC79" w14:textId="77777777" w:rsidR="003C1DE9" w:rsidRPr="00CE357F" w:rsidRDefault="003C1DE9" w:rsidP="003C1DE9">
      <w:pPr>
        <w:spacing w:after="240" w:line="276" w:lineRule="auto"/>
        <w:rPr>
          <w:rFonts w:ascii="Arial Narrow" w:hAnsi="Arial Narrow"/>
          <w:color w:val="000000"/>
          <w:sz w:val="20"/>
          <w:szCs w:val="20"/>
          <w:lang w:eastAsia="cs-CZ"/>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2AFE87F7" w14:textId="77777777" w:rsidR="003C1DE9" w:rsidRDefault="003C1DE9" w:rsidP="003C1DE9">
      <w:pPr>
        <w:spacing w:line="276" w:lineRule="auto"/>
        <w:jc w:val="both"/>
        <w:rPr>
          <w:rFonts w:ascii="Arial Narrow" w:hAnsi="Arial Narrow"/>
          <w:color w:val="000000"/>
        </w:rPr>
      </w:pPr>
    </w:p>
    <w:p w14:paraId="1B95DBBF" w14:textId="77777777" w:rsidR="001333A8" w:rsidRDefault="001333A8" w:rsidP="003C1DE9">
      <w:pPr>
        <w:spacing w:line="276" w:lineRule="auto"/>
        <w:jc w:val="both"/>
        <w:rPr>
          <w:rFonts w:ascii="Arial Narrow" w:hAnsi="Arial Narrow"/>
          <w:color w:val="000000"/>
        </w:rPr>
      </w:pPr>
    </w:p>
    <w:p w14:paraId="4C9AA29C" w14:textId="77777777" w:rsidR="001333A8" w:rsidRDefault="001333A8" w:rsidP="003C1DE9">
      <w:pPr>
        <w:spacing w:line="276" w:lineRule="auto"/>
        <w:jc w:val="both"/>
        <w:rPr>
          <w:rFonts w:ascii="Arial Narrow" w:hAnsi="Arial Narrow"/>
          <w:color w:val="000000"/>
        </w:rPr>
      </w:pPr>
    </w:p>
    <w:p w14:paraId="2535431F" w14:textId="77777777" w:rsidR="001333A8" w:rsidRDefault="001333A8" w:rsidP="003C1DE9">
      <w:pPr>
        <w:spacing w:line="276" w:lineRule="auto"/>
        <w:jc w:val="both"/>
        <w:rPr>
          <w:rFonts w:ascii="Arial Narrow" w:hAnsi="Arial Narrow"/>
          <w:color w:val="000000"/>
        </w:rPr>
      </w:pPr>
    </w:p>
    <w:p w14:paraId="375E5C06" w14:textId="77777777" w:rsidR="001333A8" w:rsidRDefault="001333A8" w:rsidP="003C1DE9">
      <w:pPr>
        <w:spacing w:line="276" w:lineRule="auto"/>
        <w:jc w:val="both"/>
        <w:rPr>
          <w:rFonts w:ascii="Arial Narrow" w:hAnsi="Arial Narrow"/>
          <w:color w:val="000000"/>
        </w:rPr>
      </w:pPr>
    </w:p>
    <w:p w14:paraId="45365738" w14:textId="77777777" w:rsidR="001333A8" w:rsidRDefault="001333A8" w:rsidP="003C1DE9">
      <w:pPr>
        <w:spacing w:line="276" w:lineRule="auto"/>
        <w:jc w:val="both"/>
        <w:rPr>
          <w:rFonts w:ascii="Arial Narrow" w:hAnsi="Arial Narrow"/>
          <w:color w:val="000000"/>
        </w:rPr>
      </w:pPr>
    </w:p>
    <w:p w14:paraId="0EE4AFF9" w14:textId="77777777" w:rsidR="001333A8" w:rsidRDefault="001333A8" w:rsidP="003C1DE9">
      <w:pPr>
        <w:spacing w:line="276" w:lineRule="auto"/>
        <w:jc w:val="both"/>
        <w:rPr>
          <w:rFonts w:ascii="Arial Narrow" w:hAnsi="Arial Narrow"/>
          <w:color w:val="000000"/>
        </w:rPr>
      </w:pPr>
    </w:p>
    <w:p w14:paraId="0D19CF1F" w14:textId="77777777" w:rsidR="001333A8" w:rsidRDefault="001333A8" w:rsidP="003C1DE9">
      <w:pPr>
        <w:spacing w:line="276" w:lineRule="auto"/>
        <w:jc w:val="both"/>
        <w:rPr>
          <w:rFonts w:ascii="Arial Narrow" w:hAnsi="Arial Narrow"/>
          <w:color w:val="000000"/>
        </w:rPr>
      </w:pPr>
    </w:p>
    <w:p w14:paraId="1E6F02B8" w14:textId="77777777" w:rsidR="001333A8" w:rsidRDefault="001333A8" w:rsidP="003C1DE9">
      <w:pPr>
        <w:spacing w:line="276" w:lineRule="auto"/>
        <w:jc w:val="both"/>
        <w:rPr>
          <w:rFonts w:ascii="Arial Narrow" w:hAnsi="Arial Narrow"/>
          <w:color w:val="000000"/>
        </w:rPr>
      </w:pPr>
    </w:p>
    <w:p w14:paraId="2ACE195F" w14:textId="77777777" w:rsidR="001333A8" w:rsidRDefault="001333A8" w:rsidP="003C1DE9">
      <w:pPr>
        <w:spacing w:line="276" w:lineRule="auto"/>
        <w:jc w:val="both"/>
        <w:rPr>
          <w:rFonts w:ascii="Arial Narrow" w:hAnsi="Arial Narrow"/>
          <w:color w:val="000000"/>
        </w:rPr>
      </w:pPr>
    </w:p>
    <w:p w14:paraId="641E0984" w14:textId="77777777" w:rsidR="001333A8" w:rsidRDefault="001333A8" w:rsidP="003C1DE9">
      <w:pPr>
        <w:spacing w:line="276" w:lineRule="auto"/>
        <w:jc w:val="both"/>
        <w:rPr>
          <w:rFonts w:ascii="Arial Narrow" w:hAnsi="Arial Narrow"/>
          <w:color w:val="000000"/>
        </w:rPr>
      </w:pPr>
    </w:p>
    <w:p w14:paraId="2C5BA3FB" w14:textId="77777777" w:rsidR="001333A8" w:rsidRDefault="001333A8" w:rsidP="003C1DE9">
      <w:pPr>
        <w:spacing w:line="276" w:lineRule="auto"/>
        <w:jc w:val="both"/>
        <w:rPr>
          <w:rFonts w:ascii="Arial Narrow" w:hAnsi="Arial Narrow"/>
          <w:color w:val="000000"/>
        </w:rPr>
      </w:pPr>
    </w:p>
    <w:p w14:paraId="52155D09" w14:textId="77777777" w:rsidR="001333A8" w:rsidRDefault="001333A8" w:rsidP="003C1DE9">
      <w:pPr>
        <w:spacing w:line="276" w:lineRule="auto"/>
        <w:jc w:val="both"/>
        <w:rPr>
          <w:rFonts w:ascii="Arial Narrow" w:hAnsi="Arial Narrow"/>
          <w:color w:val="000000"/>
        </w:rPr>
      </w:pPr>
    </w:p>
    <w:p w14:paraId="1AB967BE" w14:textId="77777777" w:rsidR="001333A8" w:rsidRDefault="001333A8" w:rsidP="003C1DE9">
      <w:pPr>
        <w:spacing w:line="276" w:lineRule="auto"/>
        <w:jc w:val="both"/>
        <w:rPr>
          <w:rFonts w:ascii="Arial Narrow" w:hAnsi="Arial Narrow"/>
          <w:color w:val="000000"/>
        </w:rPr>
      </w:pPr>
    </w:p>
    <w:p w14:paraId="62A825DB" w14:textId="77777777" w:rsidR="001333A8" w:rsidRDefault="001333A8" w:rsidP="003C1DE9">
      <w:pPr>
        <w:spacing w:line="276" w:lineRule="auto"/>
        <w:jc w:val="both"/>
        <w:rPr>
          <w:rFonts w:ascii="Arial Narrow" w:hAnsi="Arial Narrow"/>
          <w:color w:val="000000"/>
        </w:rPr>
      </w:pPr>
    </w:p>
    <w:p w14:paraId="252674D7" w14:textId="77777777" w:rsidR="001333A8" w:rsidRPr="00CE357F" w:rsidRDefault="001333A8" w:rsidP="003C1DE9">
      <w:pPr>
        <w:spacing w:line="276" w:lineRule="auto"/>
        <w:jc w:val="both"/>
        <w:rPr>
          <w:rFonts w:ascii="Arial Narrow" w:hAnsi="Arial Narrow"/>
          <w:color w:val="000000"/>
        </w:rPr>
      </w:pPr>
    </w:p>
    <w:p w14:paraId="01B2D9D0" w14:textId="1635E3AE" w:rsidR="003C1DE9" w:rsidRPr="00CE357F" w:rsidRDefault="003C1DE9" w:rsidP="003C1DE9">
      <w:pPr>
        <w:spacing w:line="276" w:lineRule="auto"/>
        <w:jc w:val="both"/>
        <w:rPr>
          <w:rFonts w:ascii="Arial Narrow" w:hAnsi="Arial Narrow"/>
          <w:b/>
          <w:bCs/>
          <w:sz w:val="20"/>
          <w:szCs w:val="20"/>
        </w:rPr>
      </w:pPr>
      <w:bookmarkStart w:id="594" w:name="_Toc136428942"/>
      <w:r w:rsidRPr="003C1DE9">
        <w:rPr>
          <w:rFonts w:ascii="Arial Narrow" w:hAnsi="Arial Narrow"/>
          <w:b/>
          <w:sz w:val="20"/>
          <w:szCs w:val="20"/>
        </w:rPr>
        <w:lastRenderedPageBreak/>
        <w:t xml:space="preserve">Graf </w:t>
      </w:r>
      <w:r w:rsidRPr="003C1DE9">
        <w:rPr>
          <w:rFonts w:ascii="Arial Narrow" w:hAnsi="Arial Narrow"/>
          <w:b/>
          <w:sz w:val="20"/>
          <w:szCs w:val="20"/>
        </w:rPr>
        <w:fldChar w:fldCharType="begin"/>
      </w:r>
      <w:r w:rsidRPr="003C1DE9">
        <w:rPr>
          <w:rFonts w:ascii="Arial Narrow" w:hAnsi="Arial Narrow"/>
          <w:b/>
          <w:sz w:val="20"/>
          <w:szCs w:val="20"/>
        </w:rPr>
        <w:instrText xml:space="preserve"> SEQ Graf \* ARABIC </w:instrText>
      </w:r>
      <w:r w:rsidRPr="003C1DE9">
        <w:rPr>
          <w:rFonts w:ascii="Arial Narrow" w:hAnsi="Arial Narrow"/>
          <w:b/>
          <w:sz w:val="20"/>
          <w:szCs w:val="20"/>
        </w:rPr>
        <w:fldChar w:fldCharType="separate"/>
      </w:r>
      <w:r w:rsidR="009F49C8">
        <w:rPr>
          <w:rFonts w:ascii="Arial Narrow" w:hAnsi="Arial Narrow"/>
          <w:b/>
          <w:noProof/>
          <w:sz w:val="20"/>
          <w:szCs w:val="20"/>
        </w:rPr>
        <w:t>98</w:t>
      </w:r>
      <w:r w:rsidRPr="003C1DE9">
        <w:rPr>
          <w:rFonts w:ascii="Arial Narrow" w:hAnsi="Arial Narrow"/>
          <w:b/>
          <w:sz w:val="20"/>
          <w:szCs w:val="20"/>
        </w:rPr>
        <w:fldChar w:fldCharType="end"/>
      </w:r>
      <w:r w:rsidRPr="003C1DE9">
        <w:rPr>
          <w:rFonts w:ascii="Arial Narrow" w:hAnsi="Arial Narrow"/>
          <w:b/>
          <w:sz w:val="20"/>
          <w:szCs w:val="20"/>
        </w:rPr>
        <w:t>:</w:t>
      </w:r>
      <w:r w:rsidRPr="003C1DE9">
        <w:rPr>
          <w:rFonts w:ascii="Arial Narrow" w:eastAsiaTheme="minorEastAsia" w:hAnsi="Arial Narrow" w:cstheme="minorBidi"/>
          <w:b/>
          <w:bCs/>
          <w:color w:val="000000" w:themeColor="text1"/>
          <w:kern w:val="24"/>
          <w:sz w:val="20"/>
          <w:szCs w:val="20"/>
          <w:lang w:eastAsia="cs-CZ"/>
        </w:rPr>
        <w:t xml:space="preserve"> </w:t>
      </w:r>
      <w:r w:rsidRPr="003C1DE9">
        <w:rPr>
          <w:rFonts w:ascii="Arial Narrow" w:hAnsi="Arial Narrow"/>
          <w:b/>
          <w:bCs/>
          <w:sz w:val="20"/>
          <w:szCs w:val="20"/>
        </w:rPr>
        <w:t>Podíl osob s jinou než českou státní příslušností na celkovém počtu obyvatel k 1. 1. 2023</w:t>
      </w:r>
      <w:bookmarkEnd w:id="594"/>
    </w:p>
    <w:p w14:paraId="455AB430" w14:textId="77777777" w:rsidR="003C1DE9" w:rsidRPr="00CE357F" w:rsidRDefault="003C1DE9" w:rsidP="003C1DE9">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1CA8AE54" wp14:editId="0E3483E4">
            <wp:extent cx="5760720" cy="3295650"/>
            <wp:effectExtent l="0" t="0" r="11430" b="0"/>
            <wp:docPr id="24" name="Graf 24">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43BF750C" w14:textId="77777777" w:rsidR="003C1DE9" w:rsidRPr="00CE357F" w:rsidRDefault="003C1DE9" w:rsidP="003C1DE9">
      <w:pPr>
        <w:spacing w:after="240" w:line="276" w:lineRule="auto"/>
        <w:rPr>
          <w:rFonts w:ascii="Arial Narrow" w:hAnsi="Arial Narrow"/>
          <w:color w:val="000000"/>
          <w:sz w:val="20"/>
          <w:szCs w:val="20"/>
          <w:lang w:eastAsia="cs-CZ"/>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22FA3583" w14:textId="77777777" w:rsidR="003C1DE9" w:rsidRPr="00CE357F" w:rsidRDefault="003C1DE9" w:rsidP="003C1DE9">
      <w:pPr>
        <w:spacing w:line="276" w:lineRule="auto"/>
        <w:rPr>
          <w:rFonts w:ascii="Arial Narrow" w:hAnsi="Arial Narrow"/>
        </w:rPr>
      </w:pPr>
    </w:p>
    <w:p w14:paraId="7FC3FC08" w14:textId="77777777" w:rsidR="003C1DE9" w:rsidRPr="00CE357F" w:rsidRDefault="003C1DE9" w:rsidP="003C1DE9">
      <w:pPr>
        <w:spacing w:line="276" w:lineRule="auto"/>
        <w:jc w:val="both"/>
        <w:rPr>
          <w:rFonts w:ascii="Arial Narrow" w:hAnsi="Arial Narrow"/>
          <w:b/>
          <w:bCs/>
          <w:color w:val="C00000"/>
        </w:rPr>
      </w:pPr>
      <w:bookmarkStart w:id="595" w:name="_Hlk94279428"/>
      <w:r w:rsidRPr="00CE357F">
        <w:rPr>
          <w:rFonts w:ascii="Arial Narrow" w:hAnsi="Arial Narrow"/>
          <w:b/>
          <w:bCs/>
          <w:color w:val="C00000"/>
        </w:rPr>
        <w:t>Vývoj podílu osob s jinou než českou státní příslušností ve vybraných obcích ORP Blansko mezi lety 2006–202</w:t>
      </w:r>
      <w:r>
        <w:rPr>
          <w:rFonts w:ascii="Arial Narrow" w:hAnsi="Arial Narrow"/>
          <w:b/>
          <w:bCs/>
          <w:color w:val="C00000"/>
        </w:rPr>
        <w:t>3</w:t>
      </w:r>
    </w:p>
    <w:bookmarkEnd w:id="595"/>
    <w:p w14:paraId="476E0D6D" w14:textId="77777777" w:rsidR="007060E7" w:rsidRPr="00CE357F" w:rsidRDefault="007060E7" w:rsidP="007060E7">
      <w:pPr>
        <w:spacing w:line="276" w:lineRule="auto"/>
        <w:rPr>
          <w:rFonts w:ascii="Arial Narrow" w:hAnsi="Arial Narrow"/>
          <w:b/>
          <w:bCs/>
          <w:color w:val="C00000"/>
        </w:rPr>
      </w:pPr>
    </w:p>
    <w:p w14:paraId="04C2C590" w14:textId="69E182D1" w:rsidR="00065AA9" w:rsidRPr="00065AA9" w:rsidRDefault="00065AA9" w:rsidP="001333A8">
      <w:pPr>
        <w:spacing w:after="240" w:line="276" w:lineRule="auto"/>
        <w:jc w:val="both"/>
        <w:rPr>
          <w:rFonts w:ascii="Arial Narrow" w:hAnsi="Arial Narrow"/>
          <w:color w:val="000000"/>
        </w:rPr>
      </w:pPr>
      <w:r w:rsidRPr="00065AA9">
        <w:rPr>
          <w:rFonts w:ascii="Arial Narrow" w:hAnsi="Arial Narrow"/>
          <w:color w:val="000000"/>
        </w:rPr>
        <w:t xml:space="preserve">Podíváme-li se na obce s nejvyšším podílem osob s jinou než českou státní příslušností na celkovém počtu obyvatel obce k 1. 1. 2023, tedy na obce </w:t>
      </w:r>
      <w:proofErr w:type="spellStart"/>
      <w:r w:rsidRPr="00065AA9">
        <w:rPr>
          <w:rFonts w:ascii="Arial Narrow" w:hAnsi="Arial Narrow"/>
          <w:color w:val="000000"/>
        </w:rPr>
        <w:t>Šebrov</w:t>
      </w:r>
      <w:proofErr w:type="spellEnd"/>
      <w:r w:rsidRPr="00065AA9">
        <w:rPr>
          <w:rFonts w:ascii="Arial Narrow" w:hAnsi="Arial Narrow"/>
          <w:color w:val="000000"/>
        </w:rPr>
        <w:t xml:space="preserve">-Kateřina, Žernovník a Blansko, z hlediska vývoje podílu osob s jinou než českou státní příslušností v letech 2006–2023, ve všech těchto obcích lze zaznamenat významný nárůst podílu osob s jinou než českou státní příslušností na celkovém počtu obyvatel mezi lety 2022 a 2023. Vývoj od roku 2006 do roku 2022 se u každé z obcí liší. </w:t>
      </w:r>
      <w:proofErr w:type="spellStart"/>
      <w:r w:rsidRPr="00065AA9">
        <w:rPr>
          <w:rFonts w:ascii="Arial Narrow" w:hAnsi="Arial Narrow"/>
          <w:color w:val="000000"/>
        </w:rPr>
        <w:t>Šebrov</w:t>
      </w:r>
      <w:proofErr w:type="spellEnd"/>
      <w:r w:rsidRPr="00065AA9">
        <w:rPr>
          <w:rFonts w:ascii="Arial Narrow" w:hAnsi="Arial Narrow"/>
          <w:color w:val="000000"/>
        </w:rPr>
        <w:t xml:space="preserve">-Kateřina prošel dvěma výraznými obdobími růstu počtu cizinců mezi lety 2006-2010 a zvláště v průběhu roku 2022, kdy podíl cizinců stoupl z jednotek osob na sedm desítek. Vývoj v obci Žernovník byl od roku 2006 velmi turbulentní a o i proto, že v obcí s méně jak 300 obyvateli mají změny v jednotkách osob s jinou než českou státní příslušností výraznější dopad na zobrazovaný podíl. V roce 2022 se počet cizinců v obci zdvojnásobil a dosahuje úrovně 8,7 %. V obci Blansko byl od roku 2010 do roku 2022 podíl osob s jinou než českou státní příslušností na celkovém počtu obyvatel stabilní a pohyboval se v průměru na 4,4 %. Změna nastala v roce 2022, kdy obec zažila bezprecedentní nárůst počtu osob s jinou než českou státní příslušností. Vývoj podílu osob s jinou než českou státní příslušností na celkovém počtu obyvatel obcí </w:t>
      </w:r>
      <w:proofErr w:type="spellStart"/>
      <w:r w:rsidRPr="00065AA9">
        <w:rPr>
          <w:rFonts w:ascii="Arial Narrow" w:hAnsi="Arial Narrow"/>
          <w:color w:val="000000"/>
        </w:rPr>
        <w:t>Šebrov</w:t>
      </w:r>
      <w:proofErr w:type="spellEnd"/>
      <w:r w:rsidRPr="00065AA9">
        <w:rPr>
          <w:rFonts w:ascii="Arial Narrow" w:hAnsi="Arial Narrow"/>
          <w:color w:val="000000"/>
        </w:rPr>
        <w:t>-Kateřina, Žernovník a Blansko v letech 2006–2023 dokumentují grafy</w:t>
      </w:r>
      <w:r w:rsidR="001333A8">
        <w:rPr>
          <w:rFonts w:ascii="Arial Narrow" w:hAnsi="Arial Narrow"/>
          <w:color w:val="000000"/>
        </w:rPr>
        <w:t xml:space="preserve"> č. 99–101</w:t>
      </w:r>
      <w:r w:rsidRPr="00065AA9">
        <w:rPr>
          <w:rFonts w:ascii="Arial Narrow" w:hAnsi="Arial Narrow"/>
          <w:color w:val="000000"/>
        </w:rPr>
        <w:t xml:space="preserve">. </w:t>
      </w:r>
    </w:p>
    <w:p w14:paraId="3F21C5D5" w14:textId="77777777" w:rsidR="00065AA9" w:rsidRPr="00CE357F" w:rsidRDefault="00065AA9" w:rsidP="00065AA9">
      <w:pPr>
        <w:spacing w:line="276" w:lineRule="auto"/>
        <w:jc w:val="both"/>
        <w:rPr>
          <w:rFonts w:ascii="Arial Narrow" w:hAnsi="Arial Narrow"/>
          <w:color w:val="000000"/>
          <w:highlight w:val="yellow"/>
        </w:rPr>
      </w:pPr>
    </w:p>
    <w:p w14:paraId="0DAF4FC7" w14:textId="77777777" w:rsidR="00065AA9" w:rsidRPr="00CE357F" w:rsidRDefault="00065AA9" w:rsidP="00065AA9">
      <w:pPr>
        <w:spacing w:line="276" w:lineRule="auto"/>
        <w:jc w:val="both"/>
        <w:rPr>
          <w:rFonts w:ascii="Arial Narrow" w:hAnsi="Arial Narrow"/>
          <w:color w:val="000000"/>
          <w:highlight w:val="yellow"/>
        </w:rPr>
      </w:pPr>
    </w:p>
    <w:p w14:paraId="19943F24" w14:textId="77777777" w:rsidR="00065AA9" w:rsidRPr="00CE357F" w:rsidRDefault="00065AA9" w:rsidP="00065AA9">
      <w:pPr>
        <w:spacing w:line="276" w:lineRule="auto"/>
        <w:jc w:val="both"/>
        <w:rPr>
          <w:rFonts w:ascii="Arial Narrow" w:hAnsi="Arial Narrow"/>
          <w:color w:val="000000"/>
          <w:highlight w:val="yellow"/>
        </w:rPr>
      </w:pPr>
    </w:p>
    <w:p w14:paraId="6747043E" w14:textId="77777777" w:rsidR="00065AA9" w:rsidRPr="00CE357F" w:rsidRDefault="00065AA9" w:rsidP="00065AA9">
      <w:pPr>
        <w:spacing w:line="276" w:lineRule="auto"/>
        <w:jc w:val="both"/>
        <w:rPr>
          <w:rFonts w:ascii="Arial Narrow" w:hAnsi="Arial Narrow"/>
          <w:color w:val="000000"/>
          <w:highlight w:val="yellow"/>
        </w:rPr>
      </w:pPr>
    </w:p>
    <w:p w14:paraId="2A7AB942" w14:textId="77777777" w:rsidR="00065AA9" w:rsidRPr="00CE357F" w:rsidRDefault="00065AA9" w:rsidP="00065AA9">
      <w:pPr>
        <w:spacing w:line="276" w:lineRule="auto"/>
        <w:jc w:val="both"/>
        <w:rPr>
          <w:rFonts w:ascii="Arial Narrow" w:hAnsi="Arial Narrow"/>
          <w:b/>
          <w:bCs/>
          <w:color w:val="C00000"/>
          <w:highlight w:val="yellow"/>
        </w:rPr>
      </w:pPr>
    </w:p>
    <w:p w14:paraId="4121E0AF" w14:textId="77777777" w:rsidR="00065AA9" w:rsidRPr="00CE357F" w:rsidRDefault="00065AA9" w:rsidP="00065AA9">
      <w:pPr>
        <w:spacing w:line="276" w:lineRule="auto"/>
        <w:jc w:val="both"/>
        <w:rPr>
          <w:rFonts w:ascii="Arial Narrow" w:hAnsi="Arial Narrow"/>
          <w:b/>
          <w:sz w:val="20"/>
          <w:szCs w:val="20"/>
        </w:rPr>
      </w:pPr>
    </w:p>
    <w:p w14:paraId="4BB56CE5" w14:textId="3F0D0468" w:rsidR="00065AA9" w:rsidRPr="00065AA9" w:rsidRDefault="00065AA9" w:rsidP="00065AA9">
      <w:pPr>
        <w:spacing w:line="276" w:lineRule="auto"/>
        <w:jc w:val="both"/>
        <w:rPr>
          <w:rFonts w:ascii="Arial Narrow" w:hAnsi="Arial Narrow"/>
          <w:b/>
          <w:sz w:val="20"/>
          <w:szCs w:val="20"/>
        </w:rPr>
      </w:pPr>
      <w:bookmarkStart w:id="596" w:name="_Toc94443795"/>
      <w:bookmarkStart w:id="597" w:name="_Toc136428943"/>
      <w:r w:rsidRPr="00065AA9">
        <w:rPr>
          <w:rFonts w:ascii="Arial Narrow" w:hAnsi="Arial Narrow"/>
          <w:b/>
          <w:sz w:val="20"/>
          <w:szCs w:val="20"/>
        </w:rPr>
        <w:lastRenderedPageBreak/>
        <w:t xml:space="preserve">Graf </w:t>
      </w:r>
      <w:r w:rsidRPr="00065AA9">
        <w:rPr>
          <w:rFonts w:ascii="Arial Narrow" w:hAnsi="Arial Narrow"/>
          <w:b/>
          <w:sz w:val="20"/>
          <w:szCs w:val="20"/>
        </w:rPr>
        <w:fldChar w:fldCharType="begin"/>
      </w:r>
      <w:r w:rsidRPr="00065AA9">
        <w:rPr>
          <w:rFonts w:ascii="Arial Narrow" w:hAnsi="Arial Narrow"/>
          <w:b/>
          <w:sz w:val="20"/>
          <w:szCs w:val="20"/>
        </w:rPr>
        <w:instrText xml:space="preserve"> SEQ Graf \* ARABIC </w:instrText>
      </w:r>
      <w:r w:rsidRPr="00065AA9">
        <w:rPr>
          <w:rFonts w:ascii="Arial Narrow" w:hAnsi="Arial Narrow"/>
          <w:b/>
          <w:sz w:val="20"/>
          <w:szCs w:val="20"/>
        </w:rPr>
        <w:fldChar w:fldCharType="separate"/>
      </w:r>
      <w:r w:rsidR="009F49C8">
        <w:rPr>
          <w:rFonts w:ascii="Arial Narrow" w:hAnsi="Arial Narrow"/>
          <w:b/>
          <w:noProof/>
          <w:sz w:val="20"/>
          <w:szCs w:val="20"/>
        </w:rPr>
        <w:t>99</w:t>
      </w:r>
      <w:r w:rsidRPr="00065AA9">
        <w:rPr>
          <w:rFonts w:ascii="Arial Narrow" w:hAnsi="Arial Narrow"/>
          <w:b/>
          <w:sz w:val="20"/>
          <w:szCs w:val="20"/>
        </w:rPr>
        <w:fldChar w:fldCharType="end"/>
      </w:r>
      <w:r w:rsidRPr="00065AA9">
        <w:rPr>
          <w:rFonts w:ascii="Arial Narrow" w:hAnsi="Arial Narrow"/>
          <w:b/>
          <w:sz w:val="20"/>
          <w:szCs w:val="20"/>
        </w:rPr>
        <w:t>:</w:t>
      </w:r>
      <w:r w:rsidRPr="00065AA9">
        <w:rPr>
          <w:rFonts w:ascii="Arial Narrow" w:eastAsiaTheme="minorEastAsia" w:hAnsi="Arial Narrow" w:cstheme="minorBidi"/>
          <w:b/>
          <w:color w:val="000000" w:themeColor="text1"/>
          <w:kern w:val="24"/>
          <w:sz w:val="20"/>
          <w:szCs w:val="20"/>
          <w:lang w:eastAsia="cs-CZ"/>
        </w:rPr>
        <w:t xml:space="preserve"> </w:t>
      </w:r>
      <w:r w:rsidRPr="00065AA9">
        <w:rPr>
          <w:rFonts w:ascii="Arial Narrow" w:hAnsi="Arial Narrow"/>
          <w:b/>
          <w:sz w:val="20"/>
          <w:szCs w:val="20"/>
        </w:rPr>
        <w:t xml:space="preserve">Vývoj podílu osob s jinou než českou státní příslušností na celkovém počtu obyvatel obce </w:t>
      </w:r>
      <w:proofErr w:type="spellStart"/>
      <w:r w:rsidRPr="00065AA9">
        <w:rPr>
          <w:rFonts w:ascii="Arial Narrow" w:hAnsi="Arial Narrow"/>
          <w:b/>
          <w:color w:val="000000"/>
          <w:sz w:val="20"/>
          <w:szCs w:val="20"/>
        </w:rPr>
        <w:t>Šebrov</w:t>
      </w:r>
      <w:proofErr w:type="spellEnd"/>
      <w:r w:rsidRPr="00065AA9">
        <w:rPr>
          <w:rFonts w:ascii="Arial Narrow" w:hAnsi="Arial Narrow"/>
          <w:b/>
          <w:color w:val="000000"/>
          <w:sz w:val="20"/>
          <w:szCs w:val="20"/>
        </w:rPr>
        <w:t>-Kateřina</w:t>
      </w:r>
      <w:r w:rsidRPr="00065AA9">
        <w:rPr>
          <w:rFonts w:ascii="Arial Narrow" w:hAnsi="Arial Narrow"/>
          <w:b/>
          <w:sz w:val="20"/>
          <w:szCs w:val="20"/>
        </w:rPr>
        <w:t xml:space="preserve"> v letech 2006-202</w:t>
      </w:r>
      <w:bookmarkEnd w:id="596"/>
      <w:r w:rsidRPr="00065AA9">
        <w:rPr>
          <w:rFonts w:ascii="Arial Narrow" w:hAnsi="Arial Narrow"/>
          <w:b/>
          <w:sz w:val="20"/>
          <w:szCs w:val="20"/>
        </w:rPr>
        <w:t>3</w:t>
      </w:r>
      <w:bookmarkEnd w:id="597"/>
    </w:p>
    <w:p w14:paraId="0A1F666F" w14:textId="77777777" w:rsidR="00065AA9" w:rsidRPr="00CE357F" w:rsidRDefault="00065AA9" w:rsidP="00065AA9">
      <w:pPr>
        <w:spacing w:line="276" w:lineRule="auto"/>
        <w:jc w:val="both"/>
        <w:rPr>
          <w:rFonts w:ascii="Arial Narrow" w:hAnsi="Arial Narrow"/>
          <w:b/>
          <w:bCs/>
          <w:sz w:val="20"/>
          <w:szCs w:val="20"/>
        </w:rPr>
      </w:pPr>
      <w:r w:rsidRPr="00CE357F">
        <w:rPr>
          <w:rFonts w:ascii="Arial Narrow" w:hAnsi="Arial Narrow"/>
          <w:b/>
          <w:noProof/>
          <w:color w:val="2F5496" w:themeColor="accent1" w:themeShade="BF"/>
          <w:lang w:eastAsia="cs-CZ"/>
        </w:rPr>
        <w:drawing>
          <wp:inline distT="0" distB="0" distL="0" distR="0" wp14:anchorId="1F7B1023" wp14:editId="4F26E15C">
            <wp:extent cx="5760720" cy="1742536"/>
            <wp:effectExtent l="0" t="0" r="11430" b="10160"/>
            <wp:docPr id="2048" name="Graf 2048">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71A9709C" w14:textId="77777777" w:rsidR="00065AA9" w:rsidRPr="00CE357F" w:rsidRDefault="00065AA9" w:rsidP="00065AA9">
      <w:pPr>
        <w:spacing w:after="240" w:line="276" w:lineRule="auto"/>
        <w:rPr>
          <w:rFonts w:ascii="Arial Narrow" w:hAnsi="Arial Narrow"/>
          <w:color w:val="000000"/>
          <w:lang w:eastAsia="cs-CZ"/>
        </w:rPr>
      </w:pPr>
      <w:r w:rsidRPr="00CE357F">
        <w:rPr>
          <w:rFonts w:ascii="Arial Narrow" w:hAnsi="Arial Narrow"/>
          <w:color w:val="000000"/>
          <w:lang w:eastAsia="cs-CZ"/>
        </w:rPr>
        <w:t>Zdroj: Ministerstvo Vnitra České republiky</w:t>
      </w:r>
      <w:r w:rsidRPr="00CE357F">
        <w:rPr>
          <w:rFonts w:ascii="Arial Narrow" w:hAnsi="Arial Narrow"/>
        </w:rPr>
        <w:tab/>
      </w:r>
      <w:r w:rsidRPr="00CE357F">
        <w:rPr>
          <w:rFonts w:ascii="Arial Narrow" w:hAnsi="Arial Narrow"/>
        </w:rPr>
        <w:tab/>
      </w:r>
      <w:r w:rsidRPr="00CE357F">
        <w:rPr>
          <w:rFonts w:ascii="Arial Narrow" w:hAnsi="Arial Narrow"/>
        </w:rPr>
        <w:tab/>
      </w:r>
      <w:r w:rsidRPr="00CE357F">
        <w:rPr>
          <w:rFonts w:ascii="Arial Narrow" w:hAnsi="Arial Narrow"/>
        </w:rPr>
        <w:tab/>
        <w:t xml:space="preserve">                 Graf: AUGUR </w:t>
      </w:r>
      <w:proofErr w:type="spellStart"/>
      <w:r w:rsidRPr="00CE357F">
        <w:rPr>
          <w:rFonts w:ascii="Arial Narrow" w:hAnsi="Arial Narrow"/>
        </w:rPr>
        <w:t>Consulting</w:t>
      </w:r>
      <w:proofErr w:type="spellEnd"/>
      <w:r w:rsidRPr="00CE357F">
        <w:rPr>
          <w:rFonts w:ascii="Arial Narrow" w:hAnsi="Arial Narrow"/>
        </w:rPr>
        <w:t>, s.r.o.</w:t>
      </w:r>
    </w:p>
    <w:p w14:paraId="0C520B09" w14:textId="530E6185" w:rsidR="00065AA9" w:rsidRPr="00065AA9" w:rsidRDefault="00065AA9" w:rsidP="00065AA9">
      <w:pPr>
        <w:spacing w:line="276" w:lineRule="auto"/>
        <w:jc w:val="both"/>
        <w:rPr>
          <w:rFonts w:ascii="Arial Narrow" w:hAnsi="Arial Narrow"/>
          <w:b/>
          <w:sz w:val="20"/>
          <w:szCs w:val="20"/>
        </w:rPr>
      </w:pPr>
      <w:bookmarkStart w:id="598" w:name="_Toc94443796"/>
      <w:bookmarkStart w:id="599" w:name="_Toc136428944"/>
      <w:r w:rsidRPr="00065AA9">
        <w:rPr>
          <w:rFonts w:ascii="Arial Narrow" w:hAnsi="Arial Narrow"/>
          <w:b/>
          <w:sz w:val="20"/>
          <w:szCs w:val="20"/>
        </w:rPr>
        <w:t xml:space="preserve">Graf </w:t>
      </w:r>
      <w:r w:rsidRPr="00065AA9">
        <w:rPr>
          <w:rFonts w:ascii="Arial Narrow" w:hAnsi="Arial Narrow"/>
          <w:b/>
          <w:sz w:val="20"/>
          <w:szCs w:val="20"/>
        </w:rPr>
        <w:fldChar w:fldCharType="begin"/>
      </w:r>
      <w:r w:rsidRPr="00065AA9">
        <w:rPr>
          <w:rFonts w:ascii="Arial Narrow" w:hAnsi="Arial Narrow"/>
          <w:b/>
          <w:sz w:val="20"/>
          <w:szCs w:val="20"/>
        </w:rPr>
        <w:instrText xml:space="preserve"> SEQ Graf \* ARABIC </w:instrText>
      </w:r>
      <w:r w:rsidRPr="00065AA9">
        <w:rPr>
          <w:rFonts w:ascii="Arial Narrow" w:hAnsi="Arial Narrow"/>
          <w:b/>
          <w:sz w:val="20"/>
          <w:szCs w:val="20"/>
        </w:rPr>
        <w:fldChar w:fldCharType="separate"/>
      </w:r>
      <w:r w:rsidR="009F49C8">
        <w:rPr>
          <w:rFonts w:ascii="Arial Narrow" w:hAnsi="Arial Narrow"/>
          <w:b/>
          <w:noProof/>
          <w:sz w:val="20"/>
          <w:szCs w:val="20"/>
        </w:rPr>
        <w:t>100</w:t>
      </w:r>
      <w:r w:rsidRPr="00065AA9">
        <w:rPr>
          <w:rFonts w:ascii="Arial Narrow" w:hAnsi="Arial Narrow"/>
          <w:b/>
          <w:sz w:val="20"/>
          <w:szCs w:val="20"/>
        </w:rPr>
        <w:fldChar w:fldCharType="end"/>
      </w:r>
      <w:r w:rsidRPr="00065AA9">
        <w:rPr>
          <w:rFonts w:ascii="Arial Narrow" w:hAnsi="Arial Narrow"/>
          <w:b/>
          <w:sz w:val="20"/>
          <w:szCs w:val="20"/>
        </w:rPr>
        <w:t>:</w:t>
      </w:r>
      <w:r w:rsidRPr="00065AA9">
        <w:rPr>
          <w:rFonts w:ascii="Arial Narrow" w:eastAsiaTheme="minorEastAsia" w:hAnsi="Arial Narrow" w:cstheme="minorBidi"/>
          <w:b/>
          <w:color w:val="000000" w:themeColor="text1"/>
          <w:kern w:val="24"/>
          <w:sz w:val="20"/>
          <w:szCs w:val="20"/>
          <w:lang w:eastAsia="cs-CZ"/>
        </w:rPr>
        <w:t xml:space="preserve"> </w:t>
      </w:r>
      <w:bookmarkStart w:id="600" w:name="_Hlk128992922"/>
      <w:r w:rsidRPr="00065AA9">
        <w:rPr>
          <w:rFonts w:ascii="Arial Narrow" w:hAnsi="Arial Narrow"/>
          <w:b/>
          <w:sz w:val="20"/>
          <w:szCs w:val="20"/>
        </w:rPr>
        <w:t xml:space="preserve">Vývoj podílu osob s jinou než českou státní příslušností na celkovém počtu obyvatel obce </w:t>
      </w:r>
      <w:r w:rsidRPr="00065AA9">
        <w:rPr>
          <w:rFonts w:ascii="Arial Narrow" w:hAnsi="Arial Narrow"/>
          <w:b/>
          <w:color w:val="000000"/>
          <w:sz w:val="20"/>
          <w:szCs w:val="20"/>
        </w:rPr>
        <w:t xml:space="preserve">Žernovník </w:t>
      </w:r>
      <w:r w:rsidRPr="00065AA9">
        <w:rPr>
          <w:rFonts w:ascii="Arial Narrow" w:hAnsi="Arial Narrow"/>
          <w:b/>
          <w:sz w:val="20"/>
          <w:szCs w:val="20"/>
        </w:rPr>
        <w:t>v letech 2006-</w:t>
      </w:r>
      <w:bookmarkEnd w:id="598"/>
      <w:r w:rsidRPr="00065AA9">
        <w:rPr>
          <w:rFonts w:ascii="Arial Narrow" w:hAnsi="Arial Narrow"/>
          <w:b/>
          <w:sz w:val="20"/>
          <w:szCs w:val="20"/>
        </w:rPr>
        <w:t>2023</w:t>
      </w:r>
      <w:bookmarkEnd w:id="599"/>
    </w:p>
    <w:bookmarkEnd w:id="600"/>
    <w:p w14:paraId="427DFD36" w14:textId="77777777" w:rsidR="00065AA9" w:rsidRPr="00CE357F" w:rsidRDefault="00065AA9" w:rsidP="00065AA9">
      <w:pPr>
        <w:rPr>
          <w:rFonts w:ascii="Arial Narrow" w:hAnsi="Arial Narrow"/>
          <w:b/>
          <w:bCs/>
          <w:color w:val="C00000"/>
          <w:highlight w:val="yellow"/>
        </w:rPr>
      </w:pPr>
      <w:r w:rsidRPr="00CE357F">
        <w:rPr>
          <w:rFonts w:ascii="Arial Narrow" w:hAnsi="Arial Narrow"/>
          <w:b/>
          <w:noProof/>
          <w:color w:val="2F5496" w:themeColor="accent1" w:themeShade="BF"/>
          <w:lang w:eastAsia="cs-CZ"/>
        </w:rPr>
        <w:drawing>
          <wp:inline distT="0" distB="0" distL="0" distR="0" wp14:anchorId="21A06DAD" wp14:editId="229C44DD">
            <wp:extent cx="5765800" cy="1660692"/>
            <wp:effectExtent l="0" t="0" r="6350" b="15875"/>
            <wp:docPr id="25" name="Graf 25">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7667C925" w14:textId="77777777" w:rsidR="00065AA9" w:rsidRPr="00CE357F" w:rsidRDefault="00065AA9" w:rsidP="00065AA9">
      <w:pPr>
        <w:spacing w:after="240" w:line="276" w:lineRule="auto"/>
        <w:rPr>
          <w:rFonts w:ascii="Arial Narrow" w:hAnsi="Arial Narrow"/>
        </w:rPr>
      </w:pPr>
      <w:r w:rsidRPr="00CE357F">
        <w:rPr>
          <w:rFonts w:ascii="Arial Narrow" w:hAnsi="Arial Narrow"/>
          <w:color w:val="000000"/>
          <w:lang w:eastAsia="cs-CZ"/>
        </w:rPr>
        <w:t>Zdroj: Ministerstvo Vnitra České republiky</w:t>
      </w:r>
      <w:r w:rsidRPr="00CE357F">
        <w:rPr>
          <w:rFonts w:ascii="Arial Narrow" w:hAnsi="Arial Narrow"/>
        </w:rPr>
        <w:tab/>
      </w:r>
      <w:r w:rsidRPr="00CE357F">
        <w:rPr>
          <w:rFonts w:ascii="Arial Narrow" w:hAnsi="Arial Narrow"/>
        </w:rPr>
        <w:tab/>
      </w:r>
      <w:r w:rsidRPr="00CE357F">
        <w:rPr>
          <w:rFonts w:ascii="Arial Narrow" w:hAnsi="Arial Narrow"/>
        </w:rPr>
        <w:tab/>
      </w:r>
      <w:r w:rsidRPr="00CE357F">
        <w:rPr>
          <w:rFonts w:ascii="Arial Narrow" w:hAnsi="Arial Narrow"/>
        </w:rPr>
        <w:tab/>
        <w:t xml:space="preserve">                 Graf: AUGUR </w:t>
      </w:r>
      <w:proofErr w:type="spellStart"/>
      <w:r w:rsidRPr="00CE357F">
        <w:rPr>
          <w:rFonts w:ascii="Arial Narrow" w:hAnsi="Arial Narrow"/>
        </w:rPr>
        <w:t>Consulting</w:t>
      </w:r>
      <w:proofErr w:type="spellEnd"/>
      <w:r w:rsidRPr="00CE357F">
        <w:rPr>
          <w:rFonts w:ascii="Arial Narrow" w:hAnsi="Arial Narrow"/>
        </w:rPr>
        <w:t>, s.r.o.</w:t>
      </w:r>
    </w:p>
    <w:p w14:paraId="069C8A0E" w14:textId="391FE769" w:rsidR="00065AA9" w:rsidRPr="00CE357F" w:rsidRDefault="00065AA9" w:rsidP="00065AA9">
      <w:pPr>
        <w:spacing w:line="276" w:lineRule="auto"/>
        <w:jc w:val="both"/>
        <w:rPr>
          <w:rFonts w:ascii="Arial Narrow" w:hAnsi="Arial Narrow"/>
          <w:b/>
          <w:bCs/>
          <w:sz w:val="20"/>
          <w:szCs w:val="20"/>
        </w:rPr>
      </w:pPr>
      <w:bookmarkStart w:id="601" w:name="_Toc94443797"/>
      <w:bookmarkStart w:id="602" w:name="_Toc136428945"/>
      <w:r w:rsidRPr="00065AA9">
        <w:rPr>
          <w:rFonts w:ascii="Arial Narrow" w:hAnsi="Arial Narrow"/>
          <w:b/>
          <w:sz w:val="20"/>
          <w:szCs w:val="20"/>
        </w:rPr>
        <w:t xml:space="preserve">Graf </w:t>
      </w:r>
      <w:r w:rsidRPr="00065AA9">
        <w:rPr>
          <w:rFonts w:ascii="Arial Narrow" w:hAnsi="Arial Narrow"/>
          <w:b/>
          <w:sz w:val="20"/>
          <w:szCs w:val="20"/>
        </w:rPr>
        <w:fldChar w:fldCharType="begin"/>
      </w:r>
      <w:r w:rsidRPr="00065AA9">
        <w:rPr>
          <w:rFonts w:ascii="Arial Narrow" w:hAnsi="Arial Narrow"/>
          <w:b/>
          <w:sz w:val="20"/>
          <w:szCs w:val="20"/>
        </w:rPr>
        <w:instrText xml:space="preserve"> SEQ Graf \* ARABIC </w:instrText>
      </w:r>
      <w:r w:rsidRPr="00065AA9">
        <w:rPr>
          <w:rFonts w:ascii="Arial Narrow" w:hAnsi="Arial Narrow"/>
          <w:b/>
          <w:sz w:val="20"/>
          <w:szCs w:val="20"/>
        </w:rPr>
        <w:fldChar w:fldCharType="separate"/>
      </w:r>
      <w:r w:rsidR="009F49C8">
        <w:rPr>
          <w:rFonts w:ascii="Arial Narrow" w:hAnsi="Arial Narrow"/>
          <w:b/>
          <w:noProof/>
          <w:sz w:val="20"/>
          <w:szCs w:val="20"/>
        </w:rPr>
        <w:t>101</w:t>
      </w:r>
      <w:r w:rsidRPr="00065AA9">
        <w:rPr>
          <w:rFonts w:ascii="Arial Narrow" w:hAnsi="Arial Narrow"/>
          <w:b/>
          <w:sz w:val="20"/>
          <w:szCs w:val="20"/>
        </w:rPr>
        <w:fldChar w:fldCharType="end"/>
      </w:r>
      <w:r w:rsidRPr="00065AA9">
        <w:rPr>
          <w:rFonts w:ascii="Arial Narrow" w:hAnsi="Arial Narrow"/>
          <w:b/>
          <w:sz w:val="20"/>
          <w:szCs w:val="20"/>
        </w:rPr>
        <w:t>:</w:t>
      </w:r>
      <w:r w:rsidRPr="00065AA9">
        <w:rPr>
          <w:rFonts w:ascii="Arial Narrow" w:eastAsiaTheme="minorEastAsia" w:hAnsi="Arial Narrow" w:cstheme="minorBidi"/>
          <w:b/>
          <w:bCs/>
          <w:color w:val="000000" w:themeColor="text1"/>
          <w:kern w:val="24"/>
          <w:sz w:val="20"/>
          <w:szCs w:val="20"/>
          <w:lang w:eastAsia="cs-CZ"/>
        </w:rPr>
        <w:t xml:space="preserve"> </w:t>
      </w:r>
      <w:r w:rsidRPr="00065AA9">
        <w:rPr>
          <w:rFonts w:ascii="Arial Narrow" w:hAnsi="Arial Narrow"/>
          <w:b/>
          <w:bCs/>
          <w:sz w:val="20"/>
          <w:szCs w:val="20"/>
        </w:rPr>
        <w:t>Vývoj podílu osob s jinou než českou státní příslušností na celkovém počtu obyvatel obce Blansko v letech 2006-202</w:t>
      </w:r>
      <w:bookmarkEnd w:id="601"/>
      <w:r w:rsidRPr="00065AA9">
        <w:rPr>
          <w:rFonts w:ascii="Arial Narrow" w:hAnsi="Arial Narrow"/>
          <w:b/>
          <w:bCs/>
          <w:sz w:val="20"/>
          <w:szCs w:val="20"/>
        </w:rPr>
        <w:t>3</w:t>
      </w:r>
      <w:bookmarkEnd w:id="602"/>
    </w:p>
    <w:p w14:paraId="3E68E712" w14:textId="77777777" w:rsidR="00065AA9" w:rsidRPr="00CE357F" w:rsidRDefault="00065AA9" w:rsidP="00065AA9">
      <w:pPr>
        <w:rPr>
          <w:rFonts w:ascii="Arial Narrow" w:hAnsi="Arial Narrow"/>
          <w:b/>
          <w:bCs/>
          <w:color w:val="C00000"/>
          <w:highlight w:val="yellow"/>
        </w:rPr>
      </w:pPr>
      <w:r w:rsidRPr="00CE357F">
        <w:rPr>
          <w:rFonts w:ascii="Arial Narrow" w:hAnsi="Arial Narrow"/>
          <w:b/>
          <w:noProof/>
          <w:color w:val="2F5496" w:themeColor="accent1" w:themeShade="BF"/>
          <w:lang w:eastAsia="cs-CZ"/>
        </w:rPr>
        <w:drawing>
          <wp:inline distT="0" distB="0" distL="0" distR="0" wp14:anchorId="600AA2E8" wp14:editId="13188935">
            <wp:extent cx="5760720" cy="1683171"/>
            <wp:effectExtent l="0" t="0" r="11430" b="12700"/>
            <wp:docPr id="2050" name="Graf 2050">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597568EA" w14:textId="77777777" w:rsidR="00065AA9" w:rsidRPr="00CE357F" w:rsidRDefault="00065AA9" w:rsidP="00065AA9">
      <w:pPr>
        <w:spacing w:after="240" w:line="276" w:lineRule="auto"/>
        <w:rPr>
          <w:rFonts w:ascii="Arial Narrow" w:hAnsi="Arial Narrow"/>
        </w:rPr>
      </w:pPr>
      <w:r w:rsidRPr="00CE357F">
        <w:rPr>
          <w:rFonts w:ascii="Arial Narrow" w:hAnsi="Arial Narrow"/>
          <w:color w:val="000000"/>
          <w:lang w:eastAsia="cs-CZ"/>
        </w:rPr>
        <w:t>Zdroj: Ministerstvo Vnitra České republiky</w:t>
      </w:r>
      <w:r w:rsidRPr="00CE357F">
        <w:rPr>
          <w:rFonts w:ascii="Arial Narrow" w:hAnsi="Arial Narrow"/>
        </w:rPr>
        <w:tab/>
      </w:r>
      <w:r w:rsidRPr="00CE357F">
        <w:rPr>
          <w:rFonts w:ascii="Arial Narrow" w:hAnsi="Arial Narrow"/>
        </w:rPr>
        <w:tab/>
      </w:r>
      <w:r w:rsidRPr="00CE357F">
        <w:rPr>
          <w:rFonts w:ascii="Arial Narrow" w:hAnsi="Arial Narrow"/>
        </w:rPr>
        <w:tab/>
      </w:r>
      <w:r w:rsidRPr="00CE357F">
        <w:rPr>
          <w:rFonts w:ascii="Arial Narrow" w:hAnsi="Arial Narrow"/>
        </w:rPr>
        <w:tab/>
        <w:t xml:space="preserve">                 Graf: AUGUR </w:t>
      </w:r>
      <w:proofErr w:type="spellStart"/>
      <w:r w:rsidRPr="00CE357F">
        <w:rPr>
          <w:rFonts w:ascii="Arial Narrow" w:hAnsi="Arial Narrow"/>
        </w:rPr>
        <w:t>Consulting</w:t>
      </w:r>
      <w:proofErr w:type="spellEnd"/>
      <w:r w:rsidRPr="00CE357F">
        <w:rPr>
          <w:rFonts w:ascii="Arial Narrow" w:hAnsi="Arial Narrow"/>
        </w:rPr>
        <w:t>, s.r.o.</w:t>
      </w:r>
    </w:p>
    <w:p w14:paraId="0846CEE0" w14:textId="77777777" w:rsidR="00065AA9" w:rsidRPr="00CE357F" w:rsidRDefault="00065AA9" w:rsidP="00065AA9">
      <w:pPr>
        <w:spacing w:after="240" w:line="276" w:lineRule="auto"/>
        <w:rPr>
          <w:rFonts w:ascii="Arial Narrow" w:hAnsi="Arial Narrow"/>
          <w:color w:val="000000"/>
          <w:lang w:eastAsia="cs-CZ"/>
        </w:rPr>
      </w:pPr>
    </w:p>
    <w:p w14:paraId="4CD053CF" w14:textId="6682B005" w:rsidR="00F70015" w:rsidRDefault="00F70015" w:rsidP="00EA186A">
      <w:pPr>
        <w:spacing w:after="240" w:line="276" w:lineRule="auto"/>
        <w:rPr>
          <w:rFonts w:ascii="Arial Narrow" w:hAnsi="Arial Narrow"/>
          <w:color w:val="000000"/>
          <w:lang w:eastAsia="cs-CZ"/>
        </w:rPr>
      </w:pPr>
    </w:p>
    <w:p w14:paraId="3EA7ABC0" w14:textId="77777777" w:rsidR="00065AA9" w:rsidRPr="00CE357F" w:rsidRDefault="00065AA9" w:rsidP="00EA186A">
      <w:pPr>
        <w:spacing w:after="240" w:line="276" w:lineRule="auto"/>
        <w:rPr>
          <w:rFonts w:ascii="Arial Narrow" w:hAnsi="Arial Narrow"/>
          <w:color w:val="000000"/>
          <w:lang w:eastAsia="cs-CZ"/>
        </w:rPr>
      </w:pPr>
    </w:p>
    <w:p w14:paraId="021177BE" w14:textId="77777777" w:rsidR="007060E7" w:rsidRPr="00CE357F" w:rsidRDefault="007060E7" w:rsidP="007060E7">
      <w:pPr>
        <w:pStyle w:val="Nadpis3"/>
      </w:pPr>
      <w:bookmarkStart w:id="603" w:name="_Toc94215410"/>
      <w:bookmarkStart w:id="604" w:name="_Toc136876105"/>
      <w:r w:rsidRPr="00CE357F">
        <w:lastRenderedPageBreak/>
        <w:t>Zaměstnanost v ORP Blansko</w:t>
      </w:r>
      <w:bookmarkEnd w:id="603"/>
      <w:bookmarkEnd w:id="604"/>
    </w:p>
    <w:p w14:paraId="732B670C" w14:textId="77777777" w:rsidR="007060E7" w:rsidRPr="00CE357F" w:rsidRDefault="007060E7" w:rsidP="007060E7">
      <w:pPr>
        <w:rPr>
          <w:rFonts w:ascii="Arial Narrow" w:hAnsi="Arial Narrow"/>
          <w:b/>
          <w:bCs/>
          <w:color w:val="C00000"/>
          <w:sz w:val="24"/>
          <w:szCs w:val="24"/>
        </w:rPr>
      </w:pPr>
    </w:p>
    <w:p w14:paraId="5605A833" w14:textId="77777777" w:rsidR="00065AA9" w:rsidRPr="00065AA9" w:rsidRDefault="00065AA9" w:rsidP="004A0C47">
      <w:pPr>
        <w:spacing w:after="120" w:line="276" w:lineRule="auto"/>
        <w:jc w:val="both"/>
        <w:rPr>
          <w:rFonts w:ascii="Arial Narrow" w:hAnsi="Arial Narrow"/>
        </w:rPr>
      </w:pPr>
      <w:bookmarkStart w:id="605" w:name="_Hlk94280988"/>
      <w:r w:rsidRPr="00065AA9">
        <w:rPr>
          <w:rFonts w:ascii="Arial Narrow" w:hAnsi="Arial Narrow"/>
        </w:rPr>
        <w:t>Za měsíc prosinec 2022 bylo v ORP Blansko evidováno celkem 1 035 uchazečů o zaměstnání. Podíl nezaměstnanosti v ORP Blansko od roku 2014 klesal, mírný nárůst lze zaznamenat v letech 2020 a 2021, což může souviset s dopady celosvětové pandemie viru SARS-CoV-2. Nárůst proti předchozímu období můžeme pozorovat i v průběhu roku 2022.</w:t>
      </w:r>
    </w:p>
    <w:p w14:paraId="32128518" w14:textId="77777777" w:rsidR="00065AA9" w:rsidRPr="00065AA9" w:rsidRDefault="00065AA9" w:rsidP="004A0C47">
      <w:pPr>
        <w:spacing w:after="120" w:line="276" w:lineRule="auto"/>
        <w:jc w:val="both"/>
        <w:rPr>
          <w:rFonts w:ascii="Arial Narrow" w:hAnsi="Arial Narrow"/>
        </w:rPr>
      </w:pPr>
      <w:r w:rsidRPr="00065AA9">
        <w:rPr>
          <w:rFonts w:ascii="Arial Narrow" w:hAnsi="Arial Narrow"/>
        </w:rPr>
        <w:t xml:space="preserve">Podíváme-li se na vývoj počtu uchazečů o zaměstnání v ORP Blansko v letech 2005–2023, mezi lety 2009 až 2011 je patrný výrazný nárůst počtu uchazečů o zaměstnání, který může v tomto období souviset s dopady celosvětové ekonomické krize. Nejnižší počet uchazečů o zaměstnání v ORP Blansko byl zaznamenán v roce 2013 (491 uchazečů), následoval jejich prudký nárůst, a to na 2 249 uchazečů v prosinci roku 2014. Do roku 2019 počet uchazečů o zaměstnání v ORP mírně klesal a nárůst počtu uchazečů je patrný opět až v roce 2020, což může souviset s dopady zmíněné pandemie. </w:t>
      </w:r>
    </w:p>
    <w:p w14:paraId="17086A8A" w14:textId="491B5BAA" w:rsidR="00065AA9" w:rsidRPr="00065AA9" w:rsidRDefault="00065AA9" w:rsidP="004A0C47">
      <w:pPr>
        <w:spacing w:after="120" w:line="276" w:lineRule="auto"/>
        <w:jc w:val="both"/>
        <w:rPr>
          <w:rFonts w:ascii="Arial Narrow" w:hAnsi="Arial Narrow"/>
        </w:rPr>
      </w:pPr>
      <w:r w:rsidRPr="00065AA9">
        <w:rPr>
          <w:rFonts w:ascii="Arial Narrow" w:hAnsi="Arial Narrow"/>
        </w:rPr>
        <w:t>Nejvyšší počet evidovaných uchazečů o zaměstnání připadajících na 1 volné pracovní místo v ORP Blansko byl zaznamenán v prosinci roku 2009 (30,3 uchazečů na 1 volné místo). Vysoký počet uchazečů o zaměstnání připadajících na 1 volné pracovní místo byl zaznamenán také v letech 2010 a 2011 (19,2 v roce 2010 a 19,1 v roce 2011). V období pandemie viru SARS-CoV-2 se počet uchazečů o zaměstnání připadajících na 1 volné pracovní místo v ORP Blansko oproti předchozím letům mírně zvýšil. Stejně tak i na přelomu roku 2022/2023 dosahovala úroveň nezaměstnanosti hodnota zvýšení je však nesrovnatelně nižší než v době ekonomické krize po roce 2008.</w:t>
      </w:r>
      <w:r w:rsidR="001333A8">
        <w:rPr>
          <w:rFonts w:ascii="Arial Narrow" w:hAnsi="Arial Narrow"/>
        </w:rPr>
        <w:t xml:space="preserve"> </w:t>
      </w:r>
      <w:r w:rsidRPr="00065AA9">
        <w:rPr>
          <w:rFonts w:ascii="Arial Narrow" w:hAnsi="Arial Narrow"/>
        </w:rPr>
        <w:t>Vývoj počtu uchazečů o zaměstnání a volných pracovních míst v ORP Blansko v letech 2005–202</w:t>
      </w:r>
      <w:r>
        <w:rPr>
          <w:rFonts w:ascii="Arial Narrow" w:hAnsi="Arial Narrow"/>
        </w:rPr>
        <w:t>2</w:t>
      </w:r>
      <w:r w:rsidRPr="00065AA9">
        <w:rPr>
          <w:rFonts w:ascii="Arial Narrow" w:hAnsi="Arial Narrow"/>
        </w:rPr>
        <w:t xml:space="preserve"> podrobně dokumentuje tabulka</w:t>
      </w:r>
      <w:r w:rsidR="001333A8">
        <w:rPr>
          <w:rFonts w:ascii="Arial Narrow" w:hAnsi="Arial Narrow"/>
        </w:rPr>
        <w:t xml:space="preserve"> č. 29</w:t>
      </w:r>
      <w:r w:rsidRPr="00065AA9">
        <w:rPr>
          <w:rFonts w:ascii="Arial Narrow" w:hAnsi="Arial Narrow"/>
        </w:rPr>
        <w:t xml:space="preserve">. </w:t>
      </w:r>
    </w:p>
    <w:p w14:paraId="38EBF7FD" w14:textId="3E8B514C" w:rsidR="00065AA9" w:rsidRPr="00CE357F" w:rsidRDefault="00065AA9" w:rsidP="00065AA9">
      <w:pPr>
        <w:jc w:val="both"/>
        <w:rPr>
          <w:rFonts w:ascii="Arial Narrow" w:hAnsi="Arial Narrow"/>
          <w:b/>
          <w:bCs/>
          <w:sz w:val="24"/>
          <w:szCs w:val="24"/>
        </w:rPr>
      </w:pPr>
      <w:bookmarkStart w:id="606" w:name="_Toc136429240"/>
      <w:r w:rsidRPr="00065AA9">
        <w:rPr>
          <w:rFonts w:ascii="Arial Narrow" w:hAnsi="Arial Narrow"/>
          <w:b/>
          <w:bCs/>
          <w:sz w:val="20"/>
          <w:szCs w:val="20"/>
        </w:rPr>
        <w:t xml:space="preserve">Tabulka </w:t>
      </w:r>
      <w:r w:rsidRPr="00065AA9">
        <w:rPr>
          <w:rFonts w:ascii="Arial Narrow" w:hAnsi="Arial Narrow"/>
          <w:b/>
          <w:bCs/>
          <w:sz w:val="20"/>
          <w:szCs w:val="20"/>
        </w:rPr>
        <w:fldChar w:fldCharType="begin"/>
      </w:r>
      <w:r w:rsidRPr="00065AA9">
        <w:rPr>
          <w:rFonts w:ascii="Arial Narrow" w:hAnsi="Arial Narrow"/>
          <w:b/>
          <w:bCs/>
          <w:sz w:val="20"/>
          <w:szCs w:val="20"/>
        </w:rPr>
        <w:instrText xml:space="preserve"> SEQ Tabulka \* ARABIC </w:instrText>
      </w:r>
      <w:r w:rsidRPr="00065AA9">
        <w:rPr>
          <w:rFonts w:ascii="Arial Narrow" w:hAnsi="Arial Narrow"/>
          <w:b/>
          <w:bCs/>
          <w:sz w:val="20"/>
          <w:szCs w:val="20"/>
        </w:rPr>
        <w:fldChar w:fldCharType="separate"/>
      </w:r>
      <w:r w:rsidR="00256C97">
        <w:rPr>
          <w:rFonts w:ascii="Arial Narrow" w:hAnsi="Arial Narrow"/>
          <w:b/>
          <w:bCs/>
          <w:noProof/>
          <w:sz w:val="20"/>
          <w:szCs w:val="20"/>
        </w:rPr>
        <w:t>29</w:t>
      </w:r>
      <w:r w:rsidRPr="00065AA9">
        <w:rPr>
          <w:rFonts w:ascii="Arial Narrow" w:hAnsi="Arial Narrow"/>
          <w:b/>
          <w:bCs/>
          <w:sz w:val="20"/>
          <w:szCs w:val="20"/>
        </w:rPr>
        <w:fldChar w:fldCharType="end"/>
      </w:r>
      <w:r w:rsidRPr="00065AA9">
        <w:rPr>
          <w:rFonts w:ascii="Arial Narrow" w:hAnsi="Arial Narrow"/>
          <w:b/>
          <w:bCs/>
          <w:sz w:val="20"/>
          <w:szCs w:val="20"/>
        </w:rPr>
        <w:t xml:space="preserve">:  </w:t>
      </w:r>
      <w:r w:rsidRPr="00065AA9">
        <w:rPr>
          <w:rFonts w:ascii="Arial Narrow" w:eastAsia="Times New Roman" w:hAnsi="Arial Narrow" w:cs="Arial"/>
          <w:b/>
          <w:bCs/>
          <w:sz w:val="20"/>
          <w:szCs w:val="20"/>
          <w:lang w:eastAsia="cs-CZ"/>
        </w:rPr>
        <w:t>Vývoj počtu uchazečů o zaměstnání a volných pracovních míst v ORP Blansko v letech 2005-202</w:t>
      </w:r>
      <w:r>
        <w:rPr>
          <w:rFonts w:ascii="Arial Narrow" w:eastAsia="Times New Roman" w:hAnsi="Arial Narrow" w:cs="Arial"/>
          <w:b/>
          <w:bCs/>
          <w:sz w:val="20"/>
          <w:szCs w:val="20"/>
          <w:lang w:eastAsia="cs-CZ"/>
        </w:rPr>
        <w:t>2</w:t>
      </w:r>
      <w:bookmarkEnd w:id="606"/>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055"/>
        <w:gridCol w:w="1197"/>
        <w:gridCol w:w="1090"/>
        <w:gridCol w:w="1254"/>
        <w:gridCol w:w="1409"/>
        <w:gridCol w:w="1477"/>
        <w:gridCol w:w="1475"/>
      </w:tblGrid>
      <w:tr w:rsidR="007060E7" w:rsidRPr="00CE357F" w14:paraId="4EF3FF2F" w14:textId="77777777" w:rsidTr="00065AA9">
        <w:trPr>
          <w:trHeight w:val="170"/>
        </w:trPr>
        <w:tc>
          <w:tcPr>
            <w:tcW w:w="1055" w:type="dxa"/>
            <w:shd w:val="clear" w:color="auto" w:fill="D9E2F3" w:themeFill="accent1" w:themeFillTint="33"/>
            <w:vAlign w:val="center"/>
          </w:tcPr>
          <w:bookmarkEnd w:id="605"/>
          <w:p w14:paraId="7E6D11BA" w14:textId="77777777" w:rsidR="007060E7" w:rsidRPr="00CE357F" w:rsidRDefault="007060E7" w:rsidP="007060E7">
            <w:pPr>
              <w:jc w:val="center"/>
              <w:rPr>
                <w:rFonts w:ascii="Arial Narrow" w:hAnsi="Arial Narrow"/>
                <w:sz w:val="18"/>
                <w:szCs w:val="18"/>
              </w:rPr>
            </w:pPr>
            <w:r w:rsidRPr="00CE357F">
              <w:rPr>
                <w:rFonts w:ascii="Arial Narrow" w:hAnsi="Arial Narrow"/>
                <w:sz w:val="18"/>
                <w:szCs w:val="18"/>
              </w:rPr>
              <w:t>ORP BLANSKO</w:t>
            </w:r>
          </w:p>
        </w:tc>
        <w:tc>
          <w:tcPr>
            <w:tcW w:w="1197" w:type="dxa"/>
            <w:shd w:val="clear" w:color="auto" w:fill="D9E2F3" w:themeFill="accent1" w:themeFillTint="33"/>
            <w:vAlign w:val="center"/>
          </w:tcPr>
          <w:p w14:paraId="394E16D0" w14:textId="77777777" w:rsidR="007060E7" w:rsidRPr="00CE357F" w:rsidRDefault="007060E7" w:rsidP="007060E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Uchazeči o zaměstnání</w:t>
            </w:r>
          </w:p>
        </w:tc>
        <w:tc>
          <w:tcPr>
            <w:tcW w:w="1090" w:type="dxa"/>
            <w:shd w:val="clear" w:color="auto" w:fill="D9E2F3" w:themeFill="accent1" w:themeFillTint="33"/>
            <w:vAlign w:val="center"/>
          </w:tcPr>
          <w:p w14:paraId="03CE085A" w14:textId="77777777" w:rsidR="007060E7" w:rsidRPr="00CE357F" w:rsidRDefault="007060E7" w:rsidP="007060E7">
            <w:pPr>
              <w:jc w:val="center"/>
              <w:rPr>
                <w:rFonts w:ascii="Arial Narrow" w:hAnsi="Arial Narrow"/>
                <w:sz w:val="18"/>
                <w:szCs w:val="18"/>
              </w:rPr>
            </w:pPr>
            <w:r w:rsidRPr="00CE357F">
              <w:rPr>
                <w:rFonts w:ascii="Arial Narrow" w:hAnsi="Arial Narrow"/>
                <w:sz w:val="18"/>
                <w:szCs w:val="18"/>
              </w:rPr>
              <w:t>Dosažitelní uchazeči 15–64 let</w:t>
            </w:r>
          </w:p>
        </w:tc>
        <w:tc>
          <w:tcPr>
            <w:tcW w:w="1254" w:type="dxa"/>
            <w:shd w:val="clear" w:color="auto" w:fill="D9E2F3" w:themeFill="accent1" w:themeFillTint="33"/>
            <w:vAlign w:val="center"/>
          </w:tcPr>
          <w:p w14:paraId="12230F8F" w14:textId="77777777" w:rsidR="007060E7" w:rsidRPr="00CE357F" w:rsidRDefault="007060E7" w:rsidP="007060E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Obyvatelstvo 15–64 let</w:t>
            </w:r>
          </w:p>
        </w:tc>
        <w:tc>
          <w:tcPr>
            <w:tcW w:w="1409" w:type="dxa"/>
            <w:shd w:val="clear" w:color="auto" w:fill="D9E2F3" w:themeFill="accent1" w:themeFillTint="33"/>
            <w:vAlign w:val="center"/>
          </w:tcPr>
          <w:p w14:paraId="66189087" w14:textId="77777777" w:rsidR="007060E7" w:rsidRPr="00CE357F" w:rsidRDefault="007060E7" w:rsidP="007060E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Podíl nezaměstnanosti osob (v %)</w:t>
            </w:r>
          </w:p>
        </w:tc>
        <w:tc>
          <w:tcPr>
            <w:tcW w:w="1477" w:type="dxa"/>
            <w:shd w:val="clear" w:color="auto" w:fill="D9E2F3" w:themeFill="accent1" w:themeFillTint="33"/>
            <w:vAlign w:val="center"/>
          </w:tcPr>
          <w:p w14:paraId="576D71FE" w14:textId="77777777" w:rsidR="007060E7" w:rsidRPr="00CE357F" w:rsidRDefault="007060E7" w:rsidP="007060E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Volná pracovní místa</w:t>
            </w:r>
          </w:p>
        </w:tc>
        <w:tc>
          <w:tcPr>
            <w:tcW w:w="1475" w:type="dxa"/>
            <w:shd w:val="clear" w:color="auto" w:fill="D9E2F3" w:themeFill="accent1" w:themeFillTint="33"/>
          </w:tcPr>
          <w:p w14:paraId="1CBB0D25" w14:textId="77777777" w:rsidR="007060E7" w:rsidRPr="00CE357F" w:rsidRDefault="007060E7" w:rsidP="007060E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Počet uchazečů připadajících na 1 volné pracovní místo</w:t>
            </w:r>
          </w:p>
        </w:tc>
      </w:tr>
      <w:tr w:rsidR="00065AA9" w:rsidRPr="00CE357F" w14:paraId="72CC3E59" w14:textId="77777777" w:rsidTr="00065AA9">
        <w:trPr>
          <w:trHeight w:val="186"/>
        </w:trPr>
        <w:tc>
          <w:tcPr>
            <w:tcW w:w="1055" w:type="dxa"/>
            <w:shd w:val="clear" w:color="auto" w:fill="D9E2F3" w:themeFill="accent1" w:themeFillTint="33"/>
            <w:vAlign w:val="center"/>
          </w:tcPr>
          <w:p w14:paraId="77AEE91A" w14:textId="1EA99846" w:rsidR="00065AA9" w:rsidRPr="00CE357F" w:rsidRDefault="00065AA9" w:rsidP="00065AA9">
            <w:pPr>
              <w:jc w:val="center"/>
              <w:rPr>
                <w:rFonts w:ascii="Arial Narrow" w:hAnsi="Arial Narrow" w:cs="Arial"/>
                <w:b/>
                <w:sz w:val="18"/>
                <w:szCs w:val="18"/>
              </w:rPr>
            </w:pPr>
            <w:r>
              <w:rPr>
                <w:rFonts w:ascii="Arial Narrow" w:hAnsi="Arial Narrow" w:cs="Arial"/>
                <w:b/>
                <w:sz w:val="18"/>
                <w:szCs w:val="18"/>
              </w:rPr>
              <w:t>2022</w:t>
            </w:r>
          </w:p>
        </w:tc>
        <w:tc>
          <w:tcPr>
            <w:tcW w:w="1197" w:type="dxa"/>
            <w:vAlign w:val="center"/>
          </w:tcPr>
          <w:p w14:paraId="0C31906C" w14:textId="6B436C5A" w:rsidR="00065AA9" w:rsidRPr="00CE357F" w:rsidRDefault="00065AA9" w:rsidP="00065AA9">
            <w:pPr>
              <w:jc w:val="center"/>
              <w:rPr>
                <w:rFonts w:ascii="Arial Narrow" w:hAnsi="Arial Narrow"/>
                <w:bCs/>
                <w:sz w:val="18"/>
                <w:szCs w:val="18"/>
              </w:rPr>
            </w:pPr>
            <w:r>
              <w:rPr>
                <w:rFonts w:ascii="Arial Narrow" w:hAnsi="Arial Narrow"/>
                <w:bCs/>
                <w:sz w:val="18"/>
                <w:szCs w:val="18"/>
              </w:rPr>
              <w:t>1 035</w:t>
            </w:r>
          </w:p>
        </w:tc>
        <w:tc>
          <w:tcPr>
            <w:tcW w:w="1090" w:type="dxa"/>
            <w:vAlign w:val="center"/>
          </w:tcPr>
          <w:p w14:paraId="647E2A04" w14:textId="14A09802" w:rsidR="00065AA9" w:rsidRPr="00CE357F" w:rsidRDefault="00065AA9" w:rsidP="00065AA9">
            <w:pPr>
              <w:jc w:val="center"/>
              <w:rPr>
                <w:rFonts w:ascii="Arial Narrow" w:hAnsi="Arial Narrow"/>
                <w:sz w:val="18"/>
                <w:szCs w:val="18"/>
              </w:rPr>
            </w:pPr>
            <w:r>
              <w:rPr>
                <w:rFonts w:ascii="Arial Narrow" w:hAnsi="Arial Narrow"/>
                <w:sz w:val="18"/>
                <w:szCs w:val="18"/>
              </w:rPr>
              <w:t>905</w:t>
            </w:r>
          </w:p>
        </w:tc>
        <w:tc>
          <w:tcPr>
            <w:tcW w:w="1254" w:type="dxa"/>
            <w:vAlign w:val="center"/>
          </w:tcPr>
          <w:p w14:paraId="571ED0CA" w14:textId="6FF439FF" w:rsidR="00065AA9" w:rsidRPr="00CE357F" w:rsidRDefault="00065AA9" w:rsidP="00065AA9">
            <w:pPr>
              <w:jc w:val="center"/>
              <w:rPr>
                <w:rFonts w:ascii="Arial Narrow" w:hAnsi="Arial Narrow"/>
                <w:sz w:val="18"/>
                <w:szCs w:val="18"/>
              </w:rPr>
            </w:pPr>
            <w:r>
              <w:rPr>
                <w:rFonts w:ascii="Arial Narrow" w:hAnsi="Arial Narrow"/>
                <w:sz w:val="18"/>
                <w:szCs w:val="18"/>
              </w:rPr>
              <w:t>34 430</w:t>
            </w:r>
          </w:p>
        </w:tc>
        <w:tc>
          <w:tcPr>
            <w:tcW w:w="1409" w:type="dxa"/>
            <w:vAlign w:val="center"/>
          </w:tcPr>
          <w:p w14:paraId="543CC074" w14:textId="0761F176" w:rsidR="00065AA9" w:rsidRPr="00CE357F" w:rsidRDefault="00065AA9" w:rsidP="00065AA9">
            <w:pPr>
              <w:jc w:val="center"/>
              <w:rPr>
                <w:rFonts w:ascii="Arial Narrow" w:hAnsi="Arial Narrow"/>
                <w:sz w:val="18"/>
                <w:szCs w:val="18"/>
              </w:rPr>
            </w:pPr>
            <w:r>
              <w:rPr>
                <w:rFonts w:ascii="Arial Narrow" w:hAnsi="Arial Narrow"/>
                <w:sz w:val="18"/>
                <w:szCs w:val="18"/>
              </w:rPr>
              <w:t>2,6</w:t>
            </w:r>
          </w:p>
        </w:tc>
        <w:tc>
          <w:tcPr>
            <w:tcW w:w="1477" w:type="dxa"/>
            <w:vAlign w:val="center"/>
          </w:tcPr>
          <w:p w14:paraId="39B011A2" w14:textId="5378FF3A" w:rsidR="00065AA9" w:rsidRPr="00CE357F" w:rsidRDefault="00065AA9" w:rsidP="00065AA9">
            <w:pPr>
              <w:jc w:val="center"/>
              <w:rPr>
                <w:rFonts w:ascii="Arial Narrow" w:hAnsi="Arial Narrow"/>
                <w:sz w:val="18"/>
                <w:szCs w:val="18"/>
              </w:rPr>
            </w:pPr>
            <w:r>
              <w:rPr>
                <w:rFonts w:ascii="Arial Narrow" w:hAnsi="Arial Narrow"/>
                <w:sz w:val="18"/>
                <w:szCs w:val="18"/>
              </w:rPr>
              <w:t>316</w:t>
            </w:r>
          </w:p>
        </w:tc>
        <w:tc>
          <w:tcPr>
            <w:tcW w:w="1475" w:type="dxa"/>
          </w:tcPr>
          <w:p w14:paraId="32A1587B" w14:textId="63E43939" w:rsidR="00065AA9" w:rsidRPr="00CE357F" w:rsidRDefault="00065AA9" w:rsidP="00065AA9">
            <w:pPr>
              <w:jc w:val="center"/>
              <w:rPr>
                <w:rFonts w:ascii="Arial Narrow" w:hAnsi="Arial Narrow"/>
                <w:sz w:val="18"/>
                <w:szCs w:val="18"/>
              </w:rPr>
            </w:pPr>
            <w:r>
              <w:rPr>
                <w:rFonts w:ascii="Arial Narrow" w:hAnsi="Arial Narrow"/>
                <w:sz w:val="18"/>
                <w:szCs w:val="18"/>
              </w:rPr>
              <w:t>3,3</w:t>
            </w:r>
          </w:p>
        </w:tc>
      </w:tr>
      <w:tr w:rsidR="00065AA9" w:rsidRPr="00CE357F" w14:paraId="45AEC110" w14:textId="77777777" w:rsidTr="00065AA9">
        <w:trPr>
          <w:trHeight w:val="186"/>
        </w:trPr>
        <w:tc>
          <w:tcPr>
            <w:tcW w:w="1055" w:type="dxa"/>
            <w:shd w:val="clear" w:color="auto" w:fill="D9E2F3" w:themeFill="accent1" w:themeFillTint="33"/>
            <w:vAlign w:val="center"/>
          </w:tcPr>
          <w:p w14:paraId="01919781"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2021</w:t>
            </w:r>
          </w:p>
        </w:tc>
        <w:tc>
          <w:tcPr>
            <w:tcW w:w="1197" w:type="dxa"/>
            <w:vAlign w:val="center"/>
          </w:tcPr>
          <w:p w14:paraId="496DD2C8"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841</w:t>
            </w:r>
          </w:p>
        </w:tc>
        <w:tc>
          <w:tcPr>
            <w:tcW w:w="1090" w:type="dxa"/>
            <w:vAlign w:val="center"/>
          </w:tcPr>
          <w:p w14:paraId="153C0EDD"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718</w:t>
            </w:r>
          </w:p>
        </w:tc>
        <w:tc>
          <w:tcPr>
            <w:tcW w:w="1254" w:type="dxa"/>
            <w:vAlign w:val="center"/>
          </w:tcPr>
          <w:p w14:paraId="3C12E8CF"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35 372</w:t>
            </w:r>
          </w:p>
        </w:tc>
        <w:tc>
          <w:tcPr>
            <w:tcW w:w="1409" w:type="dxa"/>
            <w:vAlign w:val="center"/>
          </w:tcPr>
          <w:p w14:paraId="3C7A33B4"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w:t>
            </w:r>
          </w:p>
        </w:tc>
        <w:tc>
          <w:tcPr>
            <w:tcW w:w="1477" w:type="dxa"/>
            <w:vAlign w:val="center"/>
          </w:tcPr>
          <w:p w14:paraId="371E467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369</w:t>
            </w:r>
          </w:p>
        </w:tc>
        <w:tc>
          <w:tcPr>
            <w:tcW w:w="1475" w:type="dxa"/>
          </w:tcPr>
          <w:p w14:paraId="1F817D40"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2,8</w:t>
            </w:r>
          </w:p>
        </w:tc>
      </w:tr>
      <w:tr w:rsidR="00065AA9" w:rsidRPr="00CE357F" w14:paraId="1AD0846B" w14:textId="77777777" w:rsidTr="00065AA9">
        <w:trPr>
          <w:trHeight w:val="186"/>
        </w:trPr>
        <w:tc>
          <w:tcPr>
            <w:tcW w:w="1055" w:type="dxa"/>
            <w:shd w:val="clear" w:color="auto" w:fill="D9E2F3" w:themeFill="accent1" w:themeFillTint="33"/>
            <w:vAlign w:val="center"/>
          </w:tcPr>
          <w:p w14:paraId="5C316139"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2020</w:t>
            </w:r>
          </w:p>
        </w:tc>
        <w:tc>
          <w:tcPr>
            <w:tcW w:w="1197" w:type="dxa"/>
            <w:vAlign w:val="center"/>
          </w:tcPr>
          <w:p w14:paraId="6D6B9C73"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1 010</w:t>
            </w:r>
          </w:p>
        </w:tc>
        <w:tc>
          <w:tcPr>
            <w:tcW w:w="1090" w:type="dxa"/>
            <w:vAlign w:val="center"/>
          </w:tcPr>
          <w:p w14:paraId="545DD25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915</w:t>
            </w:r>
          </w:p>
        </w:tc>
        <w:tc>
          <w:tcPr>
            <w:tcW w:w="1254" w:type="dxa"/>
            <w:vAlign w:val="center"/>
          </w:tcPr>
          <w:p w14:paraId="2E5A9F3B"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35 699</w:t>
            </w:r>
          </w:p>
        </w:tc>
        <w:tc>
          <w:tcPr>
            <w:tcW w:w="1409" w:type="dxa"/>
            <w:vAlign w:val="center"/>
          </w:tcPr>
          <w:p w14:paraId="659B758B"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2,6</w:t>
            </w:r>
          </w:p>
        </w:tc>
        <w:tc>
          <w:tcPr>
            <w:tcW w:w="1477" w:type="dxa"/>
            <w:vAlign w:val="center"/>
          </w:tcPr>
          <w:p w14:paraId="17F950E8"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307</w:t>
            </w:r>
          </w:p>
        </w:tc>
        <w:tc>
          <w:tcPr>
            <w:tcW w:w="1475" w:type="dxa"/>
          </w:tcPr>
          <w:p w14:paraId="52A18DFA"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3,3</w:t>
            </w:r>
          </w:p>
        </w:tc>
      </w:tr>
      <w:tr w:rsidR="00065AA9" w:rsidRPr="00CE357F" w14:paraId="68B219DC" w14:textId="77777777" w:rsidTr="00065AA9">
        <w:trPr>
          <w:trHeight w:val="186"/>
        </w:trPr>
        <w:tc>
          <w:tcPr>
            <w:tcW w:w="1055" w:type="dxa"/>
            <w:shd w:val="clear" w:color="auto" w:fill="D9E2F3" w:themeFill="accent1" w:themeFillTint="33"/>
            <w:vAlign w:val="center"/>
          </w:tcPr>
          <w:p w14:paraId="4C74B31E"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2019</w:t>
            </w:r>
          </w:p>
        </w:tc>
        <w:tc>
          <w:tcPr>
            <w:tcW w:w="1197" w:type="dxa"/>
            <w:vAlign w:val="center"/>
          </w:tcPr>
          <w:p w14:paraId="34087338"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688</w:t>
            </w:r>
          </w:p>
        </w:tc>
        <w:tc>
          <w:tcPr>
            <w:tcW w:w="1090" w:type="dxa"/>
            <w:vAlign w:val="center"/>
          </w:tcPr>
          <w:p w14:paraId="433905B5"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612</w:t>
            </w:r>
          </w:p>
        </w:tc>
        <w:tc>
          <w:tcPr>
            <w:tcW w:w="1254" w:type="dxa"/>
            <w:vAlign w:val="center"/>
          </w:tcPr>
          <w:p w14:paraId="7D9CCCD6"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35 890</w:t>
            </w:r>
          </w:p>
        </w:tc>
        <w:tc>
          <w:tcPr>
            <w:tcW w:w="1409" w:type="dxa"/>
            <w:vAlign w:val="center"/>
          </w:tcPr>
          <w:p w14:paraId="036B3704"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1,7</w:t>
            </w:r>
          </w:p>
        </w:tc>
        <w:tc>
          <w:tcPr>
            <w:tcW w:w="1477" w:type="dxa"/>
            <w:vAlign w:val="center"/>
          </w:tcPr>
          <w:p w14:paraId="432A3EF0"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337</w:t>
            </w:r>
          </w:p>
        </w:tc>
        <w:tc>
          <w:tcPr>
            <w:tcW w:w="1475" w:type="dxa"/>
          </w:tcPr>
          <w:p w14:paraId="46BD56A7"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2,0</w:t>
            </w:r>
          </w:p>
        </w:tc>
      </w:tr>
      <w:tr w:rsidR="00065AA9" w:rsidRPr="00CE357F" w14:paraId="05CC4CEC" w14:textId="77777777" w:rsidTr="00065AA9">
        <w:trPr>
          <w:trHeight w:val="186"/>
        </w:trPr>
        <w:tc>
          <w:tcPr>
            <w:tcW w:w="1055" w:type="dxa"/>
            <w:shd w:val="clear" w:color="auto" w:fill="D9E2F3" w:themeFill="accent1" w:themeFillTint="33"/>
            <w:vAlign w:val="center"/>
          </w:tcPr>
          <w:p w14:paraId="1396FAEB"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2018</w:t>
            </w:r>
          </w:p>
        </w:tc>
        <w:tc>
          <w:tcPr>
            <w:tcW w:w="1197" w:type="dxa"/>
            <w:vAlign w:val="center"/>
          </w:tcPr>
          <w:p w14:paraId="2224D5BA"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712</w:t>
            </w:r>
          </w:p>
        </w:tc>
        <w:tc>
          <w:tcPr>
            <w:tcW w:w="1090" w:type="dxa"/>
            <w:vAlign w:val="center"/>
          </w:tcPr>
          <w:p w14:paraId="7A27F791"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640</w:t>
            </w:r>
          </w:p>
        </w:tc>
        <w:tc>
          <w:tcPr>
            <w:tcW w:w="1254" w:type="dxa"/>
            <w:vAlign w:val="center"/>
          </w:tcPr>
          <w:p w14:paraId="6A515BF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36 168</w:t>
            </w:r>
          </w:p>
        </w:tc>
        <w:tc>
          <w:tcPr>
            <w:tcW w:w="1409" w:type="dxa"/>
            <w:vAlign w:val="center"/>
          </w:tcPr>
          <w:p w14:paraId="4E41773B"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1,8</w:t>
            </w:r>
          </w:p>
        </w:tc>
        <w:tc>
          <w:tcPr>
            <w:tcW w:w="1477" w:type="dxa"/>
            <w:vAlign w:val="center"/>
          </w:tcPr>
          <w:p w14:paraId="4087F93C"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411</w:t>
            </w:r>
          </w:p>
        </w:tc>
        <w:tc>
          <w:tcPr>
            <w:tcW w:w="1475" w:type="dxa"/>
          </w:tcPr>
          <w:p w14:paraId="3B7154BB"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1,7</w:t>
            </w:r>
          </w:p>
        </w:tc>
      </w:tr>
      <w:tr w:rsidR="00065AA9" w:rsidRPr="00CE357F" w14:paraId="2AECCB9D" w14:textId="77777777" w:rsidTr="00065AA9">
        <w:trPr>
          <w:trHeight w:val="186"/>
        </w:trPr>
        <w:tc>
          <w:tcPr>
            <w:tcW w:w="1055" w:type="dxa"/>
            <w:shd w:val="clear" w:color="auto" w:fill="D9E2F3" w:themeFill="accent1" w:themeFillTint="33"/>
            <w:vAlign w:val="center"/>
          </w:tcPr>
          <w:p w14:paraId="09AFBC0D"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2017</w:t>
            </w:r>
          </w:p>
        </w:tc>
        <w:tc>
          <w:tcPr>
            <w:tcW w:w="1197" w:type="dxa"/>
            <w:vAlign w:val="center"/>
          </w:tcPr>
          <w:p w14:paraId="35CDE8AF"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1 121</w:t>
            </w:r>
          </w:p>
        </w:tc>
        <w:tc>
          <w:tcPr>
            <w:tcW w:w="1090" w:type="dxa"/>
            <w:vAlign w:val="center"/>
          </w:tcPr>
          <w:p w14:paraId="376450A0"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990</w:t>
            </w:r>
          </w:p>
        </w:tc>
        <w:tc>
          <w:tcPr>
            <w:tcW w:w="1254" w:type="dxa"/>
            <w:vAlign w:val="center"/>
          </w:tcPr>
          <w:p w14:paraId="1E75D5CE"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36 446</w:t>
            </w:r>
          </w:p>
        </w:tc>
        <w:tc>
          <w:tcPr>
            <w:tcW w:w="1409" w:type="dxa"/>
            <w:vAlign w:val="center"/>
          </w:tcPr>
          <w:p w14:paraId="299804D9"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2,7</w:t>
            </w:r>
          </w:p>
        </w:tc>
        <w:tc>
          <w:tcPr>
            <w:tcW w:w="1477" w:type="dxa"/>
            <w:vAlign w:val="center"/>
          </w:tcPr>
          <w:p w14:paraId="47FEB779"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476</w:t>
            </w:r>
          </w:p>
        </w:tc>
        <w:tc>
          <w:tcPr>
            <w:tcW w:w="1475" w:type="dxa"/>
          </w:tcPr>
          <w:p w14:paraId="11D1711B"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2,4</w:t>
            </w:r>
          </w:p>
        </w:tc>
      </w:tr>
      <w:tr w:rsidR="00065AA9" w:rsidRPr="00CE357F" w14:paraId="3A71C228" w14:textId="77777777" w:rsidTr="00065AA9">
        <w:trPr>
          <w:trHeight w:val="186"/>
        </w:trPr>
        <w:tc>
          <w:tcPr>
            <w:tcW w:w="1055" w:type="dxa"/>
            <w:shd w:val="clear" w:color="auto" w:fill="D9E2F3" w:themeFill="accent1" w:themeFillTint="33"/>
            <w:vAlign w:val="center"/>
          </w:tcPr>
          <w:p w14:paraId="594BFF5B"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2016</w:t>
            </w:r>
          </w:p>
        </w:tc>
        <w:tc>
          <w:tcPr>
            <w:tcW w:w="1197" w:type="dxa"/>
            <w:vAlign w:val="center"/>
          </w:tcPr>
          <w:p w14:paraId="53901E2C"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1 522</w:t>
            </w:r>
          </w:p>
        </w:tc>
        <w:tc>
          <w:tcPr>
            <w:tcW w:w="1090" w:type="dxa"/>
            <w:vAlign w:val="center"/>
          </w:tcPr>
          <w:p w14:paraId="5AE26F3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1 383</w:t>
            </w:r>
          </w:p>
        </w:tc>
        <w:tc>
          <w:tcPr>
            <w:tcW w:w="1254" w:type="dxa"/>
            <w:vAlign w:val="center"/>
          </w:tcPr>
          <w:p w14:paraId="3BD0E2FA"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36 809</w:t>
            </w:r>
          </w:p>
        </w:tc>
        <w:tc>
          <w:tcPr>
            <w:tcW w:w="1409" w:type="dxa"/>
            <w:vAlign w:val="center"/>
          </w:tcPr>
          <w:p w14:paraId="57A0566D"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3,8</w:t>
            </w:r>
          </w:p>
        </w:tc>
        <w:tc>
          <w:tcPr>
            <w:tcW w:w="1477" w:type="dxa"/>
            <w:vAlign w:val="center"/>
          </w:tcPr>
          <w:p w14:paraId="3D2089FC"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287</w:t>
            </w:r>
          </w:p>
        </w:tc>
        <w:tc>
          <w:tcPr>
            <w:tcW w:w="1475" w:type="dxa"/>
          </w:tcPr>
          <w:p w14:paraId="245A6217"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5,3</w:t>
            </w:r>
          </w:p>
        </w:tc>
      </w:tr>
      <w:tr w:rsidR="00065AA9" w:rsidRPr="00CE357F" w14:paraId="18BCF51E" w14:textId="77777777" w:rsidTr="00065AA9">
        <w:trPr>
          <w:trHeight w:val="186"/>
        </w:trPr>
        <w:tc>
          <w:tcPr>
            <w:tcW w:w="1055" w:type="dxa"/>
            <w:shd w:val="clear" w:color="auto" w:fill="D9E2F3" w:themeFill="accent1" w:themeFillTint="33"/>
            <w:vAlign w:val="center"/>
          </w:tcPr>
          <w:p w14:paraId="39323C0B"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2015</w:t>
            </w:r>
          </w:p>
        </w:tc>
        <w:tc>
          <w:tcPr>
            <w:tcW w:w="1197" w:type="dxa"/>
            <w:vAlign w:val="center"/>
          </w:tcPr>
          <w:p w14:paraId="57363EB9"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1 877</w:t>
            </w:r>
          </w:p>
        </w:tc>
        <w:tc>
          <w:tcPr>
            <w:tcW w:w="1090" w:type="dxa"/>
            <w:vAlign w:val="center"/>
          </w:tcPr>
          <w:p w14:paraId="5711190C"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1 758</w:t>
            </w:r>
          </w:p>
        </w:tc>
        <w:tc>
          <w:tcPr>
            <w:tcW w:w="1254" w:type="dxa"/>
            <w:vAlign w:val="center"/>
          </w:tcPr>
          <w:p w14:paraId="45FAB308"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37 166</w:t>
            </w:r>
          </w:p>
        </w:tc>
        <w:tc>
          <w:tcPr>
            <w:tcW w:w="1409" w:type="dxa"/>
            <w:vAlign w:val="center"/>
          </w:tcPr>
          <w:p w14:paraId="3DB3134C"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4,7</w:t>
            </w:r>
          </w:p>
        </w:tc>
        <w:tc>
          <w:tcPr>
            <w:tcW w:w="1477" w:type="dxa"/>
            <w:vAlign w:val="center"/>
          </w:tcPr>
          <w:p w14:paraId="19F818D6"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318</w:t>
            </w:r>
          </w:p>
        </w:tc>
        <w:tc>
          <w:tcPr>
            <w:tcW w:w="1475" w:type="dxa"/>
          </w:tcPr>
          <w:p w14:paraId="5DDD957E"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5,9</w:t>
            </w:r>
          </w:p>
        </w:tc>
      </w:tr>
      <w:tr w:rsidR="00065AA9" w:rsidRPr="00CE357F" w14:paraId="2B348321" w14:textId="77777777" w:rsidTr="00065AA9">
        <w:trPr>
          <w:trHeight w:val="186"/>
        </w:trPr>
        <w:tc>
          <w:tcPr>
            <w:tcW w:w="1055" w:type="dxa"/>
            <w:shd w:val="clear" w:color="auto" w:fill="D9E2F3" w:themeFill="accent1" w:themeFillTint="33"/>
            <w:vAlign w:val="center"/>
          </w:tcPr>
          <w:p w14:paraId="24143A6B"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2014</w:t>
            </w:r>
          </w:p>
        </w:tc>
        <w:tc>
          <w:tcPr>
            <w:tcW w:w="1197" w:type="dxa"/>
            <w:vAlign w:val="center"/>
          </w:tcPr>
          <w:p w14:paraId="3711EF64"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2 249</w:t>
            </w:r>
          </w:p>
        </w:tc>
        <w:tc>
          <w:tcPr>
            <w:tcW w:w="1090" w:type="dxa"/>
            <w:vAlign w:val="center"/>
          </w:tcPr>
          <w:p w14:paraId="4619A4F9"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2 120</w:t>
            </w:r>
          </w:p>
        </w:tc>
        <w:tc>
          <w:tcPr>
            <w:tcW w:w="1254" w:type="dxa"/>
            <w:vAlign w:val="center"/>
          </w:tcPr>
          <w:p w14:paraId="60DAAF89"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37 565</w:t>
            </w:r>
          </w:p>
        </w:tc>
        <w:tc>
          <w:tcPr>
            <w:tcW w:w="1409" w:type="dxa"/>
            <w:vAlign w:val="center"/>
          </w:tcPr>
          <w:p w14:paraId="408CF4C2"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5,6</w:t>
            </w:r>
          </w:p>
        </w:tc>
        <w:tc>
          <w:tcPr>
            <w:tcW w:w="1477" w:type="dxa"/>
            <w:vAlign w:val="center"/>
          </w:tcPr>
          <w:p w14:paraId="7A969615"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274</w:t>
            </w:r>
          </w:p>
        </w:tc>
        <w:tc>
          <w:tcPr>
            <w:tcW w:w="1475" w:type="dxa"/>
          </w:tcPr>
          <w:p w14:paraId="7E089B2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8,2</w:t>
            </w:r>
          </w:p>
        </w:tc>
      </w:tr>
      <w:tr w:rsidR="00065AA9" w:rsidRPr="00CE357F" w14:paraId="4CF3A647" w14:textId="77777777" w:rsidTr="00065AA9">
        <w:trPr>
          <w:trHeight w:val="186"/>
        </w:trPr>
        <w:tc>
          <w:tcPr>
            <w:tcW w:w="1055" w:type="dxa"/>
            <w:shd w:val="clear" w:color="auto" w:fill="D9E2F3" w:themeFill="accent1" w:themeFillTint="33"/>
            <w:vAlign w:val="center"/>
          </w:tcPr>
          <w:p w14:paraId="189754BE"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2013</w:t>
            </w:r>
          </w:p>
        </w:tc>
        <w:tc>
          <w:tcPr>
            <w:tcW w:w="1197" w:type="dxa"/>
            <w:vAlign w:val="center"/>
          </w:tcPr>
          <w:p w14:paraId="009AC901"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491</w:t>
            </w:r>
          </w:p>
        </w:tc>
        <w:tc>
          <w:tcPr>
            <w:tcW w:w="1090" w:type="dxa"/>
            <w:vAlign w:val="center"/>
          </w:tcPr>
          <w:p w14:paraId="4D1DE5E2"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0F08E3A0"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63112BDE"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24CCCD1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105</w:t>
            </w:r>
          </w:p>
        </w:tc>
        <w:tc>
          <w:tcPr>
            <w:tcW w:w="1475" w:type="dxa"/>
          </w:tcPr>
          <w:p w14:paraId="5FE41B2E"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4,7</w:t>
            </w:r>
          </w:p>
        </w:tc>
      </w:tr>
      <w:tr w:rsidR="00065AA9" w:rsidRPr="00CE357F" w14:paraId="036AFB63" w14:textId="77777777" w:rsidTr="00065AA9">
        <w:trPr>
          <w:trHeight w:val="186"/>
        </w:trPr>
        <w:tc>
          <w:tcPr>
            <w:tcW w:w="1055" w:type="dxa"/>
            <w:shd w:val="clear" w:color="auto" w:fill="D9E2F3" w:themeFill="accent1" w:themeFillTint="33"/>
            <w:vAlign w:val="center"/>
          </w:tcPr>
          <w:p w14:paraId="3A3EC138"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2012</w:t>
            </w:r>
          </w:p>
        </w:tc>
        <w:tc>
          <w:tcPr>
            <w:tcW w:w="1197" w:type="dxa"/>
            <w:vAlign w:val="center"/>
          </w:tcPr>
          <w:p w14:paraId="14874981"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802</w:t>
            </w:r>
          </w:p>
        </w:tc>
        <w:tc>
          <w:tcPr>
            <w:tcW w:w="1090" w:type="dxa"/>
            <w:vAlign w:val="center"/>
          </w:tcPr>
          <w:p w14:paraId="251B8A45"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2C943995"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4D71CBAA"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219F1DFD"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105</w:t>
            </w:r>
          </w:p>
        </w:tc>
        <w:tc>
          <w:tcPr>
            <w:tcW w:w="1475" w:type="dxa"/>
          </w:tcPr>
          <w:p w14:paraId="704E3598"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7,6</w:t>
            </w:r>
          </w:p>
        </w:tc>
      </w:tr>
      <w:tr w:rsidR="00065AA9" w:rsidRPr="00CE357F" w14:paraId="278E83D1" w14:textId="77777777" w:rsidTr="00065AA9">
        <w:trPr>
          <w:trHeight w:val="186"/>
        </w:trPr>
        <w:tc>
          <w:tcPr>
            <w:tcW w:w="1055" w:type="dxa"/>
            <w:shd w:val="clear" w:color="auto" w:fill="D9E2F3" w:themeFill="accent1" w:themeFillTint="33"/>
            <w:vAlign w:val="center"/>
          </w:tcPr>
          <w:p w14:paraId="3A3ABF7C"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2011</w:t>
            </w:r>
          </w:p>
        </w:tc>
        <w:tc>
          <w:tcPr>
            <w:tcW w:w="1197" w:type="dxa"/>
            <w:vAlign w:val="center"/>
          </w:tcPr>
          <w:p w14:paraId="7AD0CC90" w14:textId="77777777" w:rsidR="00065AA9" w:rsidRPr="00CE357F" w:rsidRDefault="00065AA9" w:rsidP="00065AA9">
            <w:pPr>
              <w:jc w:val="center"/>
              <w:rPr>
                <w:rFonts w:ascii="Arial Narrow" w:hAnsi="Arial Narrow"/>
                <w:b/>
                <w:color w:val="C00000"/>
                <w:sz w:val="18"/>
                <w:szCs w:val="18"/>
              </w:rPr>
            </w:pPr>
            <w:r w:rsidRPr="00CE357F">
              <w:rPr>
                <w:rFonts w:ascii="Arial Narrow" w:hAnsi="Arial Narrow"/>
                <w:b/>
                <w:color w:val="C00000"/>
                <w:sz w:val="18"/>
                <w:szCs w:val="18"/>
              </w:rPr>
              <w:t>2 312</w:t>
            </w:r>
          </w:p>
        </w:tc>
        <w:tc>
          <w:tcPr>
            <w:tcW w:w="1090" w:type="dxa"/>
            <w:vAlign w:val="center"/>
          </w:tcPr>
          <w:p w14:paraId="3744AC52"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609390F1"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182C4E8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76CCACB6"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121</w:t>
            </w:r>
          </w:p>
        </w:tc>
        <w:tc>
          <w:tcPr>
            <w:tcW w:w="1475" w:type="dxa"/>
          </w:tcPr>
          <w:p w14:paraId="250ABA01" w14:textId="77777777" w:rsidR="00065AA9" w:rsidRPr="00CE357F" w:rsidRDefault="00065AA9" w:rsidP="00065AA9">
            <w:pPr>
              <w:jc w:val="center"/>
              <w:rPr>
                <w:rFonts w:ascii="Arial Narrow" w:hAnsi="Arial Narrow"/>
                <w:b/>
                <w:bCs/>
                <w:color w:val="C00000"/>
                <w:sz w:val="18"/>
                <w:szCs w:val="18"/>
              </w:rPr>
            </w:pPr>
            <w:r w:rsidRPr="00CE357F">
              <w:rPr>
                <w:rFonts w:ascii="Arial Narrow" w:hAnsi="Arial Narrow"/>
                <w:b/>
                <w:bCs/>
                <w:color w:val="C00000"/>
                <w:sz w:val="18"/>
                <w:szCs w:val="18"/>
              </w:rPr>
              <w:t>19,1</w:t>
            </w:r>
          </w:p>
        </w:tc>
      </w:tr>
      <w:tr w:rsidR="00065AA9" w:rsidRPr="00CE357F" w14:paraId="77C48E38" w14:textId="77777777" w:rsidTr="00065AA9">
        <w:trPr>
          <w:trHeight w:val="186"/>
        </w:trPr>
        <w:tc>
          <w:tcPr>
            <w:tcW w:w="1055" w:type="dxa"/>
            <w:shd w:val="clear" w:color="auto" w:fill="D9E2F3" w:themeFill="accent1" w:themeFillTint="33"/>
            <w:vAlign w:val="center"/>
          </w:tcPr>
          <w:p w14:paraId="2163BF65"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2010</w:t>
            </w:r>
          </w:p>
        </w:tc>
        <w:tc>
          <w:tcPr>
            <w:tcW w:w="1197" w:type="dxa"/>
            <w:vAlign w:val="center"/>
          </w:tcPr>
          <w:p w14:paraId="0AB250B3" w14:textId="77777777" w:rsidR="00065AA9" w:rsidRPr="00CE357F" w:rsidRDefault="00065AA9" w:rsidP="00065AA9">
            <w:pPr>
              <w:jc w:val="center"/>
              <w:rPr>
                <w:rFonts w:ascii="Arial Narrow" w:hAnsi="Arial Narrow"/>
                <w:b/>
                <w:color w:val="C00000"/>
                <w:sz w:val="18"/>
                <w:szCs w:val="18"/>
              </w:rPr>
            </w:pPr>
            <w:r w:rsidRPr="00CE357F">
              <w:rPr>
                <w:rFonts w:ascii="Arial Narrow" w:hAnsi="Arial Narrow"/>
                <w:b/>
                <w:color w:val="C00000"/>
                <w:sz w:val="18"/>
                <w:szCs w:val="18"/>
              </w:rPr>
              <w:t>2 720</w:t>
            </w:r>
          </w:p>
        </w:tc>
        <w:tc>
          <w:tcPr>
            <w:tcW w:w="1090" w:type="dxa"/>
            <w:vAlign w:val="center"/>
          </w:tcPr>
          <w:p w14:paraId="75CE8FAF"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106B104F"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765D512E"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75005189"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142</w:t>
            </w:r>
          </w:p>
        </w:tc>
        <w:tc>
          <w:tcPr>
            <w:tcW w:w="1475" w:type="dxa"/>
          </w:tcPr>
          <w:p w14:paraId="2844F054" w14:textId="77777777" w:rsidR="00065AA9" w:rsidRPr="00CE357F" w:rsidRDefault="00065AA9" w:rsidP="00065AA9">
            <w:pPr>
              <w:jc w:val="center"/>
              <w:rPr>
                <w:rFonts w:ascii="Arial Narrow" w:hAnsi="Arial Narrow"/>
                <w:b/>
                <w:bCs/>
                <w:color w:val="C00000"/>
                <w:sz w:val="18"/>
                <w:szCs w:val="18"/>
              </w:rPr>
            </w:pPr>
            <w:r w:rsidRPr="00CE357F">
              <w:rPr>
                <w:rFonts w:ascii="Arial Narrow" w:hAnsi="Arial Narrow"/>
                <w:b/>
                <w:bCs/>
                <w:color w:val="C00000"/>
                <w:sz w:val="18"/>
                <w:szCs w:val="18"/>
              </w:rPr>
              <w:t>19,2</w:t>
            </w:r>
          </w:p>
        </w:tc>
      </w:tr>
      <w:tr w:rsidR="00065AA9" w:rsidRPr="00CE357F" w14:paraId="6689F6CB" w14:textId="77777777" w:rsidTr="00065AA9">
        <w:trPr>
          <w:trHeight w:val="186"/>
        </w:trPr>
        <w:tc>
          <w:tcPr>
            <w:tcW w:w="1055" w:type="dxa"/>
            <w:shd w:val="clear" w:color="auto" w:fill="D9E2F3" w:themeFill="accent1" w:themeFillTint="33"/>
            <w:vAlign w:val="center"/>
          </w:tcPr>
          <w:p w14:paraId="4A90F407"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2009</w:t>
            </w:r>
          </w:p>
        </w:tc>
        <w:tc>
          <w:tcPr>
            <w:tcW w:w="1197" w:type="dxa"/>
            <w:vAlign w:val="center"/>
          </w:tcPr>
          <w:p w14:paraId="35EE89C9" w14:textId="77777777" w:rsidR="00065AA9" w:rsidRPr="00CE357F" w:rsidRDefault="00065AA9" w:rsidP="00065AA9">
            <w:pPr>
              <w:jc w:val="center"/>
              <w:rPr>
                <w:rFonts w:ascii="Arial Narrow" w:hAnsi="Arial Narrow"/>
                <w:b/>
                <w:color w:val="C00000"/>
                <w:sz w:val="18"/>
                <w:szCs w:val="18"/>
              </w:rPr>
            </w:pPr>
            <w:r w:rsidRPr="00CE357F">
              <w:rPr>
                <w:rFonts w:ascii="Arial Narrow" w:hAnsi="Arial Narrow"/>
                <w:b/>
                <w:color w:val="C00000"/>
                <w:sz w:val="18"/>
                <w:szCs w:val="18"/>
              </w:rPr>
              <w:t>2 905</w:t>
            </w:r>
          </w:p>
        </w:tc>
        <w:tc>
          <w:tcPr>
            <w:tcW w:w="1090" w:type="dxa"/>
            <w:vAlign w:val="center"/>
          </w:tcPr>
          <w:p w14:paraId="1B28A450"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01343EB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4C55FDE4"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19F9FBC2"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96</w:t>
            </w:r>
          </w:p>
        </w:tc>
        <w:tc>
          <w:tcPr>
            <w:tcW w:w="1475" w:type="dxa"/>
          </w:tcPr>
          <w:p w14:paraId="263BFDF2" w14:textId="77777777" w:rsidR="00065AA9" w:rsidRPr="00CE357F" w:rsidRDefault="00065AA9" w:rsidP="00065AA9">
            <w:pPr>
              <w:jc w:val="center"/>
              <w:rPr>
                <w:rFonts w:ascii="Arial Narrow" w:hAnsi="Arial Narrow"/>
                <w:b/>
                <w:bCs/>
                <w:color w:val="C00000"/>
                <w:sz w:val="18"/>
                <w:szCs w:val="18"/>
              </w:rPr>
            </w:pPr>
            <w:r w:rsidRPr="00CE357F">
              <w:rPr>
                <w:rFonts w:ascii="Arial Narrow" w:hAnsi="Arial Narrow"/>
                <w:b/>
                <w:bCs/>
                <w:color w:val="C00000"/>
                <w:sz w:val="18"/>
                <w:szCs w:val="18"/>
              </w:rPr>
              <w:t>30,3</w:t>
            </w:r>
          </w:p>
        </w:tc>
      </w:tr>
      <w:tr w:rsidR="00065AA9" w:rsidRPr="00CE357F" w14:paraId="5359BFDE" w14:textId="77777777" w:rsidTr="00065AA9">
        <w:trPr>
          <w:trHeight w:val="186"/>
        </w:trPr>
        <w:tc>
          <w:tcPr>
            <w:tcW w:w="1055" w:type="dxa"/>
            <w:shd w:val="clear" w:color="auto" w:fill="D9E2F3" w:themeFill="accent1" w:themeFillTint="33"/>
            <w:vAlign w:val="center"/>
          </w:tcPr>
          <w:p w14:paraId="55CDA755"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2008</w:t>
            </w:r>
          </w:p>
        </w:tc>
        <w:tc>
          <w:tcPr>
            <w:tcW w:w="1197" w:type="dxa"/>
            <w:vAlign w:val="center"/>
          </w:tcPr>
          <w:p w14:paraId="4D993CB2"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1 661</w:t>
            </w:r>
          </w:p>
        </w:tc>
        <w:tc>
          <w:tcPr>
            <w:tcW w:w="1090" w:type="dxa"/>
            <w:vAlign w:val="center"/>
          </w:tcPr>
          <w:p w14:paraId="0ABA6A2F"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2C8847AB"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0332469D"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3ACBA032"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260</w:t>
            </w:r>
          </w:p>
        </w:tc>
        <w:tc>
          <w:tcPr>
            <w:tcW w:w="1475" w:type="dxa"/>
          </w:tcPr>
          <w:p w14:paraId="30CD699F"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6,4</w:t>
            </w:r>
          </w:p>
        </w:tc>
      </w:tr>
      <w:tr w:rsidR="00065AA9" w:rsidRPr="00CE357F" w14:paraId="360BBDD2" w14:textId="77777777" w:rsidTr="00065AA9">
        <w:trPr>
          <w:trHeight w:val="186"/>
        </w:trPr>
        <w:tc>
          <w:tcPr>
            <w:tcW w:w="1055" w:type="dxa"/>
            <w:shd w:val="clear" w:color="auto" w:fill="D9E2F3" w:themeFill="accent1" w:themeFillTint="33"/>
            <w:vAlign w:val="center"/>
          </w:tcPr>
          <w:p w14:paraId="35228FF3"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2007</w:t>
            </w:r>
          </w:p>
        </w:tc>
        <w:tc>
          <w:tcPr>
            <w:tcW w:w="1197" w:type="dxa"/>
            <w:vAlign w:val="center"/>
          </w:tcPr>
          <w:p w14:paraId="09F93120"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1 551</w:t>
            </w:r>
          </w:p>
        </w:tc>
        <w:tc>
          <w:tcPr>
            <w:tcW w:w="1090" w:type="dxa"/>
            <w:vAlign w:val="center"/>
          </w:tcPr>
          <w:p w14:paraId="37DE55EB"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6792E22C"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08FBAEF8"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3A7412AC"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626</w:t>
            </w:r>
          </w:p>
        </w:tc>
        <w:tc>
          <w:tcPr>
            <w:tcW w:w="1475" w:type="dxa"/>
          </w:tcPr>
          <w:p w14:paraId="11FD1B44"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2,5</w:t>
            </w:r>
          </w:p>
        </w:tc>
      </w:tr>
      <w:tr w:rsidR="00065AA9" w:rsidRPr="00CE357F" w14:paraId="61C76871" w14:textId="77777777" w:rsidTr="00065AA9">
        <w:trPr>
          <w:trHeight w:val="186"/>
        </w:trPr>
        <w:tc>
          <w:tcPr>
            <w:tcW w:w="1055" w:type="dxa"/>
            <w:shd w:val="clear" w:color="auto" w:fill="D9E2F3" w:themeFill="accent1" w:themeFillTint="33"/>
            <w:vAlign w:val="center"/>
          </w:tcPr>
          <w:p w14:paraId="7B7DEB04"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2006</w:t>
            </w:r>
          </w:p>
        </w:tc>
        <w:tc>
          <w:tcPr>
            <w:tcW w:w="1197" w:type="dxa"/>
            <w:vAlign w:val="center"/>
          </w:tcPr>
          <w:p w14:paraId="28ADEE78"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1 707</w:t>
            </w:r>
          </w:p>
        </w:tc>
        <w:tc>
          <w:tcPr>
            <w:tcW w:w="1090" w:type="dxa"/>
            <w:vAlign w:val="center"/>
          </w:tcPr>
          <w:p w14:paraId="33A2285E"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6EF36F85"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0C0A2533"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7C41CDF2"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645</w:t>
            </w:r>
          </w:p>
        </w:tc>
        <w:tc>
          <w:tcPr>
            <w:tcW w:w="1475" w:type="dxa"/>
          </w:tcPr>
          <w:p w14:paraId="0386B481"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2,6</w:t>
            </w:r>
          </w:p>
        </w:tc>
      </w:tr>
      <w:tr w:rsidR="00065AA9" w:rsidRPr="00CE357F" w14:paraId="703FA1A6" w14:textId="77777777" w:rsidTr="00065AA9">
        <w:trPr>
          <w:trHeight w:val="186"/>
        </w:trPr>
        <w:tc>
          <w:tcPr>
            <w:tcW w:w="1055" w:type="dxa"/>
            <w:shd w:val="clear" w:color="auto" w:fill="D9E2F3" w:themeFill="accent1" w:themeFillTint="33"/>
            <w:vAlign w:val="center"/>
          </w:tcPr>
          <w:p w14:paraId="39FE9E01" w14:textId="77777777" w:rsidR="00065AA9" w:rsidRPr="00CE357F" w:rsidRDefault="00065AA9" w:rsidP="00065AA9">
            <w:pPr>
              <w:jc w:val="center"/>
              <w:rPr>
                <w:rFonts w:ascii="Arial Narrow" w:hAnsi="Arial Narrow" w:cs="Arial"/>
                <w:b/>
                <w:sz w:val="18"/>
                <w:szCs w:val="18"/>
              </w:rPr>
            </w:pPr>
            <w:r w:rsidRPr="00CE357F">
              <w:rPr>
                <w:rFonts w:ascii="Arial Narrow" w:hAnsi="Arial Narrow" w:cs="Arial"/>
                <w:b/>
                <w:sz w:val="18"/>
                <w:szCs w:val="18"/>
              </w:rPr>
              <w:t>2005</w:t>
            </w:r>
          </w:p>
        </w:tc>
        <w:tc>
          <w:tcPr>
            <w:tcW w:w="1197" w:type="dxa"/>
            <w:vAlign w:val="center"/>
          </w:tcPr>
          <w:p w14:paraId="780055DD" w14:textId="77777777" w:rsidR="00065AA9" w:rsidRPr="00CE357F" w:rsidRDefault="00065AA9" w:rsidP="00065AA9">
            <w:pPr>
              <w:jc w:val="center"/>
              <w:rPr>
                <w:rFonts w:ascii="Arial Narrow" w:hAnsi="Arial Narrow"/>
                <w:bCs/>
                <w:sz w:val="18"/>
                <w:szCs w:val="18"/>
              </w:rPr>
            </w:pPr>
            <w:r w:rsidRPr="00CE357F">
              <w:rPr>
                <w:rFonts w:ascii="Arial Narrow" w:hAnsi="Arial Narrow"/>
                <w:bCs/>
                <w:sz w:val="18"/>
                <w:szCs w:val="18"/>
              </w:rPr>
              <w:t>2 086</w:t>
            </w:r>
          </w:p>
        </w:tc>
        <w:tc>
          <w:tcPr>
            <w:tcW w:w="1090" w:type="dxa"/>
            <w:vAlign w:val="center"/>
          </w:tcPr>
          <w:p w14:paraId="3FEB06C1"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254" w:type="dxa"/>
            <w:vAlign w:val="center"/>
          </w:tcPr>
          <w:p w14:paraId="366F038A"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09" w:type="dxa"/>
            <w:vAlign w:val="center"/>
          </w:tcPr>
          <w:p w14:paraId="5BE78E69"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w:t>
            </w:r>
          </w:p>
        </w:tc>
        <w:tc>
          <w:tcPr>
            <w:tcW w:w="1477" w:type="dxa"/>
            <w:vAlign w:val="center"/>
          </w:tcPr>
          <w:p w14:paraId="5D4F44B5"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283</w:t>
            </w:r>
          </w:p>
        </w:tc>
        <w:tc>
          <w:tcPr>
            <w:tcW w:w="1475" w:type="dxa"/>
          </w:tcPr>
          <w:p w14:paraId="450BC98B" w14:textId="77777777" w:rsidR="00065AA9" w:rsidRPr="00CE357F" w:rsidRDefault="00065AA9" w:rsidP="00065AA9">
            <w:pPr>
              <w:jc w:val="center"/>
              <w:rPr>
                <w:rFonts w:ascii="Arial Narrow" w:hAnsi="Arial Narrow"/>
                <w:sz w:val="18"/>
                <w:szCs w:val="18"/>
              </w:rPr>
            </w:pPr>
            <w:r w:rsidRPr="00CE357F">
              <w:rPr>
                <w:rFonts w:ascii="Arial Narrow" w:hAnsi="Arial Narrow"/>
                <w:sz w:val="18"/>
                <w:szCs w:val="18"/>
              </w:rPr>
              <w:t>7,4</w:t>
            </w:r>
          </w:p>
        </w:tc>
      </w:tr>
    </w:tbl>
    <w:p w14:paraId="2D5C37F7" w14:textId="6BC580CD" w:rsidR="00C50D20" w:rsidRPr="00CE357F" w:rsidRDefault="007060E7" w:rsidP="00EA186A">
      <w:pPr>
        <w:spacing w:after="240" w:line="276" w:lineRule="auto"/>
        <w:rPr>
          <w:rFonts w:ascii="Arial Narrow" w:hAnsi="Arial Narrow"/>
          <w:sz w:val="20"/>
        </w:rPr>
      </w:pPr>
      <w:bookmarkStart w:id="607" w:name="_Hlk94281404"/>
      <w:r w:rsidRPr="00CE357F">
        <w:rPr>
          <w:rFonts w:ascii="Arial Narrow" w:hAnsi="Arial Narrow"/>
          <w:color w:val="000000"/>
          <w:sz w:val="20"/>
          <w:lang w:eastAsia="cs-CZ"/>
        </w:rPr>
        <w:t xml:space="preserve">Zdroj: Ministerstvo </w:t>
      </w:r>
      <w:r w:rsidR="00C475C3" w:rsidRPr="00CE357F">
        <w:rPr>
          <w:rFonts w:ascii="Arial Narrow" w:hAnsi="Arial Narrow"/>
          <w:color w:val="000000"/>
          <w:sz w:val="20"/>
          <w:lang w:eastAsia="cs-CZ"/>
        </w:rPr>
        <w:t>práce a sociálních věcí</w:t>
      </w:r>
      <w:r w:rsidRPr="00CE357F">
        <w:rPr>
          <w:rFonts w:ascii="Arial Narrow" w:hAnsi="Arial Narrow"/>
          <w:color w:val="000000"/>
          <w:sz w:val="20"/>
          <w:lang w:eastAsia="cs-CZ"/>
        </w:rPr>
        <w:t xml:space="preserve"> (data </w:t>
      </w:r>
      <w:r w:rsidR="00EA7129" w:rsidRPr="00CE357F">
        <w:rPr>
          <w:rFonts w:ascii="Arial Narrow" w:hAnsi="Arial Narrow"/>
          <w:color w:val="000000"/>
          <w:sz w:val="20"/>
          <w:lang w:eastAsia="cs-CZ"/>
        </w:rPr>
        <w:t>za měsíc prosinec</w:t>
      </w:r>
      <w:r w:rsidRPr="00CE357F">
        <w:rPr>
          <w:rFonts w:ascii="Arial Narrow" w:hAnsi="Arial Narrow"/>
          <w:color w:val="000000"/>
          <w:sz w:val="20"/>
          <w:lang w:eastAsia="cs-CZ"/>
        </w:rPr>
        <w:t xml:space="preserve"> daného roku)      </w:t>
      </w:r>
      <w:r w:rsidR="00C475C3" w:rsidRPr="00CE357F">
        <w:rPr>
          <w:rFonts w:ascii="Arial Narrow" w:hAnsi="Arial Narrow"/>
          <w:sz w:val="20"/>
        </w:rPr>
        <w:t xml:space="preserve">       </w:t>
      </w:r>
      <w:r w:rsidRPr="00CE357F">
        <w:rPr>
          <w:rFonts w:ascii="Arial Narrow" w:hAnsi="Arial Narrow"/>
          <w:sz w:val="20"/>
        </w:rPr>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xml:space="preserve"> s.r.o.</w:t>
      </w:r>
      <w:bookmarkEnd w:id="607"/>
    </w:p>
    <w:p w14:paraId="714F5EE7" w14:textId="428E77C5" w:rsidR="00760E26" w:rsidRDefault="00760E26" w:rsidP="00EA186A">
      <w:pPr>
        <w:spacing w:after="240" w:line="276" w:lineRule="auto"/>
        <w:rPr>
          <w:rFonts w:ascii="Arial Narrow" w:hAnsi="Arial Narrow"/>
          <w:sz w:val="20"/>
        </w:rPr>
      </w:pPr>
    </w:p>
    <w:p w14:paraId="6E9591A3" w14:textId="77777777" w:rsidR="00065AA9" w:rsidRPr="00CE357F" w:rsidRDefault="00065AA9" w:rsidP="00EA186A">
      <w:pPr>
        <w:spacing w:after="240" w:line="276" w:lineRule="auto"/>
        <w:rPr>
          <w:rFonts w:ascii="Arial Narrow" w:hAnsi="Arial Narrow"/>
          <w:sz w:val="20"/>
        </w:rPr>
      </w:pPr>
    </w:p>
    <w:p w14:paraId="12AD453A" w14:textId="5DDFEC74" w:rsidR="007060E7" w:rsidRPr="00CE357F" w:rsidRDefault="007060E7" w:rsidP="00EA186A">
      <w:pPr>
        <w:pStyle w:val="Nadpis3"/>
        <w:ind w:left="709"/>
      </w:pPr>
      <w:bookmarkStart w:id="608" w:name="_Toc94215411"/>
      <w:bookmarkStart w:id="609" w:name="_Toc136876106"/>
      <w:bookmarkStart w:id="610" w:name="_Hlk94280086"/>
      <w:r w:rsidRPr="00CE357F">
        <w:lastRenderedPageBreak/>
        <w:t>Osoby s jinou než českou státní příslušností zaměstnan</w:t>
      </w:r>
      <w:r w:rsidR="000600CC" w:rsidRPr="00CE357F">
        <w:t>é</w:t>
      </w:r>
      <w:r w:rsidRPr="00CE357F">
        <w:t xml:space="preserve"> v roce 2020 ve firmách na území ORP</w:t>
      </w:r>
      <w:bookmarkEnd w:id="608"/>
      <w:r w:rsidRPr="00CE357F">
        <w:t xml:space="preserve"> Blansko</w:t>
      </w:r>
      <w:bookmarkEnd w:id="609"/>
    </w:p>
    <w:bookmarkEnd w:id="610"/>
    <w:p w14:paraId="1C45758C" w14:textId="77777777" w:rsidR="007060E7" w:rsidRPr="00CE357F" w:rsidRDefault="007060E7" w:rsidP="007060E7">
      <w:pPr>
        <w:spacing w:line="276" w:lineRule="auto"/>
        <w:rPr>
          <w:rFonts w:ascii="Arial Narrow" w:hAnsi="Arial Narrow"/>
          <w:b/>
          <w:color w:val="2F5496" w:themeColor="accent1" w:themeShade="BF"/>
        </w:rPr>
      </w:pPr>
    </w:p>
    <w:p w14:paraId="2FBB4D88" w14:textId="5AF7E1D0" w:rsidR="007060E7" w:rsidRPr="00CE357F" w:rsidRDefault="007060E7" w:rsidP="007060E7">
      <w:pPr>
        <w:spacing w:after="240" w:line="276" w:lineRule="auto"/>
        <w:rPr>
          <w:rFonts w:ascii="Arial Narrow" w:hAnsi="Arial Narrow"/>
          <w:b/>
          <w:bCs/>
          <w:color w:val="C00000"/>
        </w:rPr>
      </w:pPr>
      <w:r w:rsidRPr="00CE357F">
        <w:rPr>
          <w:rFonts w:ascii="Arial Narrow" w:hAnsi="Arial Narrow"/>
          <w:b/>
          <w:bCs/>
          <w:color w:val="C00000"/>
        </w:rPr>
        <w:t xml:space="preserve">Soupis </w:t>
      </w:r>
      <w:r w:rsidR="00DA5F46">
        <w:rPr>
          <w:rFonts w:ascii="Arial Narrow" w:hAnsi="Arial Narrow"/>
          <w:b/>
          <w:bCs/>
          <w:color w:val="C00000"/>
        </w:rPr>
        <w:t>významných</w:t>
      </w:r>
      <w:r w:rsidRPr="00CE357F">
        <w:rPr>
          <w:rFonts w:ascii="Arial Narrow" w:hAnsi="Arial Narrow"/>
          <w:b/>
          <w:bCs/>
          <w:color w:val="C00000"/>
        </w:rPr>
        <w:t xml:space="preserve"> zaměstnavatelů </w:t>
      </w:r>
      <w:r w:rsidR="000600CC" w:rsidRPr="00CE357F">
        <w:rPr>
          <w:rFonts w:ascii="Arial Narrow" w:hAnsi="Arial Narrow"/>
          <w:b/>
          <w:bCs/>
          <w:color w:val="C00000"/>
        </w:rPr>
        <w:t>osob s jinou než českou státní příslušností</w:t>
      </w:r>
      <w:r w:rsidRPr="00CE357F">
        <w:rPr>
          <w:rFonts w:ascii="Arial Narrow" w:hAnsi="Arial Narrow"/>
          <w:b/>
          <w:bCs/>
          <w:color w:val="C00000"/>
        </w:rPr>
        <w:t xml:space="preserve"> v ORP Blansko </w:t>
      </w:r>
    </w:p>
    <w:p w14:paraId="3F9A33CC" w14:textId="77777777" w:rsidR="007060E7" w:rsidRPr="00CE357F" w:rsidRDefault="007060E7" w:rsidP="007060E7">
      <w:pPr>
        <w:spacing w:line="276" w:lineRule="auto"/>
        <w:jc w:val="both"/>
        <w:rPr>
          <w:rFonts w:ascii="Arial Narrow" w:hAnsi="Arial Narrow"/>
        </w:rPr>
      </w:pPr>
      <w:r w:rsidRPr="00CE357F">
        <w:rPr>
          <w:rFonts w:ascii="Arial Narrow" w:hAnsi="Arial Narrow"/>
        </w:rPr>
        <w:t xml:space="preserve">Níže uvedená tabulka dokumentuje přehled zaměstnavatelů, u nichž bylo v rámci Průzkumu zaměstnanosti v Jihomoravském kraji prokazatelně identifikované, že v roce 2020 zaměstnávali alespoň 10 osob s jinou než českou státní příslušností. </w:t>
      </w:r>
      <w:bookmarkStart w:id="611" w:name="_Hlk94280187"/>
      <w:r w:rsidRPr="00CE357F">
        <w:rPr>
          <w:rFonts w:ascii="Arial Narrow" w:hAnsi="Arial Narrow"/>
        </w:rPr>
        <w:t>Přehled všech zaměstnavatelů, u nichž bylo prokazatelně identifikované, že v roce 2020 zaměstnávali alespoň 1 osobu s jinou než českou státní příslušností je z důvodu rozsahu součástí přílohy této zprávy.</w:t>
      </w:r>
      <w:bookmarkEnd w:id="611"/>
    </w:p>
    <w:p w14:paraId="77555749" w14:textId="46EBA0AA" w:rsidR="00D63247" w:rsidRPr="00CE357F" w:rsidRDefault="007060E7" w:rsidP="00DC5203">
      <w:pPr>
        <w:spacing w:after="120" w:line="276" w:lineRule="auto"/>
        <w:jc w:val="both"/>
        <w:rPr>
          <w:rFonts w:ascii="Arial Narrow" w:hAnsi="Arial Narrow"/>
        </w:rPr>
      </w:pPr>
      <w:r w:rsidRPr="00CE357F">
        <w:rPr>
          <w:rFonts w:ascii="Arial Narrow" w:hAnsi="Arial Narrow"/>
        </w:rPr>
        <w:t xml:space="preserve">Dle těchto údajů byl v ORP Blansko v roce 2020 </w:t>
      </w:r>
      <w:r w:rsidR="00DA5F46">
        <w:rPr>
          <w:rFonts w:ascii="Arial Narrow" w:hAnsi="Arial Narrow"/>
        </w:rPr>
        <w:t>významný</w:t>
      </w:r>
      <w:r w:rsidRPr="00CE357F">
        <w:rPr>
          <w:rFonts w:ascii="Arial Narrow" w:hAnsi="Arial Narrow"/>
        </w:rPr>
        <w:t xml:space="preserve"> zaměstnavatel osob s jinou než českou státní příslušností firma </w:t>
      </w:r>
      <w:proofErr w:type="spellStart"/>
      <w:r w:rsidRPr="00CE357F">
        <w:rPr>
          <w:rFonts w:ascii="Arial Narrow" w:hAnsi="Arial Narrow"/>
          <w:b/>
          <w:bCs/>
          <w:color w:val="000000"/>
        </w:rPr>
        <w:t>Tyco</w:t>
      </w:r>
      <w:proofErr w:type="spellEnd"/>
      <w:r w:rsidRPr="00CE357F">
        <w:rPr>
          <w:rFonts w:ascii="Arial Narrow" w:hAnsi="Arial Narrow"/>
          <w:b/>
          <w:bCs/>
          <w:color w:val="000000"/>
        </w:rPr>
        <w:t xml:space="preserve"> </w:t>
      </w:r>
      <w:proofErr w:type="spellStart"/>
      <w:r w:rsidRPr="00CE357F">
        <w:rPr>
          <w:rFonts w:ascii="Arial Narrow" w:hAnsi="Arial Narrow"/>
          <w:b/>
          <w:bCs/>
          <w:color w:val="000000"/>
        </w:rPr>
        <w:t>Fire</w:t>
      </w:r>
      <w:proofErr w:type="spellEnd"/>
      <w:r w:rsidRPr="00CE357F">
        <w:rPr>
          <w:rFonts w:ascii="Arial Narrow" w:hAnsi="Arial Narrow"/>
          <w:b/>
          <w:bCs/>
          <w:color w:val="000000"/>
        </w:rPr>
        <w:t xml:space="preserve"> &amp; </w:t>
      </w:r>
      <w:proofErr w:type="spellStart"/>
      <w:r w:rsidRPr="00CE357F">
        <w:rPr>
          <w:rFonts w:ascii="Arial Narrow" w:hAnsi="Arial Narrow"/>
          <w:b/>
          <w:bCs/>
          <w:color w:val="000000"/>
        </w:rPr>
        <w:t>Security</w:t>
      </w:r>
      <w:proofErr w:type="spellEnd"/>
      <w:r w:rsidRPr="00CE357F">
        <w:rPr>
          <w:rFonts w:ascii="Arial Narrow" w:hAnsi="Arial Narrow"/>
          <w:b/>
          <w:bCs/>
          <w:color w:val="000000"/>
        </w:rPr>
        <w:t xml:space="preserve"> Czech Republic s.r.o.</w:t>
      </w:r>
      <w:r w:rsidRPr="00CE357F">
        <w:rPr>
          <w:rFonts w:ascii="Arial Narrow" w:hAnsi="Arial Narrow"/>
        </w:rPr>
        <w:t>, která v roce 2020 zaměstnávala celkem 23</w:t>
      </w:r>
      <w:r w:rsidR="00D63247" w:rsidRPr="00CE357F">
        <w:rPr>
          <w:rFonts w:ascii="Arial Narrow" w:hAnsi="Arial Narrow"/>
        </w:rPr>
        <w:t xml:space="preserve"> těchto osob</w:t>
      </w:r>
      <w:r w:rsidRPr="00CE357F">
        <w:rPr>
          <w:rFonts w:ascii="Arial Narrow" w:hAnsi="Arial Narrow"/>
        </w:rPr>
        <w:t xml:space="preserve">, z nichž bylo 5 občanů SK a 18 občanů třetích zemí. Druhým </w:t>
      </w:r>
      <w:r w:rsidR="00DA5F46">
        <w:rPr>
          <w:rFonts w:ascii="Arial Narrow" w:hAnsi="Arial Narrow"/>
        </w:rPr>
        <w:t>významným</w:t>
      </w:r>
      <w:r w:rsidRPr="00CE357F">
        <w:rPr>
          <w:rFonts w:ascii="Arial Narrow" w:hAnsi="Arial Narrow"/>
        </w:rPr>
        <w:t xml:space="preserve"> zaměstnavatelem byla podle těchto údajů </w:t>
      </w:r>
      <w:r w:rsidRPr="00CE357F">
        <w:rPr>
          <w:rFonts w:ascii="Arial Narrow" w:hAnsi="Arial Narrow"/>
          <w:b/>
          <w:bCs/>
          <w:color w:val="000000"/>
        </w:rPr>
        <w:t>Nemocnice Blansko</w:t>
      </w:r>
      <w:r w:rsidRPr="00CE357F">
        <w:rPr>
          <w:rFonts w:ascii="Arial Narrow" w:hAnsi="Arial Narrow"/>
        </w:rPr>
        <w:t xml:space="preserve">, která v roce 2020 zaměstnávala 14 osob s jinou než českou státní příslušností, přičemž 11 z nich bylo občany SK, 2 občany některého státu EU/EHP nebo Švýcarska a 1 byl občanem třetí země. </w:t>
      </w:r>
    </w:p>
    <w:p w14:paraId="4ACC7A5D" w14:textId="73ED18A2" w:rsidR="00C3758C" w:rsidRPr="00CE357F" w:rsidRDefault="007060E7" w:rsidP="00DC5203">
      <w:pPr>
        <w:spacing w:after="120" w:line="276" w:lineRule="auto"/>
        <w:jc w:val="both"/>
        <w:rPr>
          <w:rFonts w:ascii="Arial Narrow" w:hAnsi="Arial Narrow"/>
          <w:b/>
          <w:bCs/>
          <w:sz w:val="20"/>
          <w:szCs w:val="20"/>
        </w:rPr>
      </w:pPr>
      <w:r w:rsidRPr="00CE357F">
        <w:rPr>
          <w:rFonts w:ascii="Arial Narrow" w:hAnsi="Arial Narrow"/>
        </w:rPr>
        <w:t xml:space="preserve">Mezi další významné zaměstnavatele osob s jinou než českou státní příslušností v ORP Blansko patřili v roce 2020 firma </w:t>
      </w:r>
      <w:proofErr w:type="spellStart"/>
      <w:r w:rsidRPr="00CE357F">
        <w:rPr>
          <w:rFonts w:ascii="Arial Narrow" w:hAnsi="Arial Narrow"/>
          <w:color w:val="000000"/>
        </w:rPr>
        <w:t>Synthon</w:t>
      </w:r>
      <w:proofErr w:type="spellEnd"/>
      <w:r w:rsidRPr="00CE357F">
        <w:rPr>
          <w:rFonts w:ascii="Arial Narrow" w:hAnsi="Arial Narrow"/>
          <w:color w:val="000000"/>
        </w:rPr>
        <w:t>, s. r. o.,</w:t>
      </w:r>
      <w:r w:rsidRPr="00CE357F">
        <w:rPr>
          <w:rFonts w:ascii="Arial Narrow" w:hAnsi="Arial Narrow"/>
        </w:rPr>
        <w:t xml:space="preserve"> která zaměstnávala 10 občanů SK a 2 občany třetích zemí; nebo </w:t>
      </w:r>
      <w:r w:rsidRPr="00CE357F">
        <w:rPr>
          <w:rFonts w:ascii="Arial Narrow" w:hAnsi="Arial Narrow"/>
          <w:color w:val="000000"/>
        </w:rPr>
        <w:t>ČKD Blansko Holding, a.s.</w:t>
      </w:r>
      <w:r w:rsidRPr="00CE357F">
        <w:rPr>
          <w:rFonts w:ascii="Arial Narrow" w:hAnsi="Arial Narrow"/>
        </w:rPr>
        <w:t xml:space="preserve"> (11 zaměstnanců z řad osob s jinou než českou státní příslušností) či firma </w:t>
      </w:r>
      <w:r w:rsidRPr="00CE357F">
        <w:rPr>
          <w:rFonts w:ascii="Arial Narrow" w:hAnsi="Arial Narrow"/>
          <w:color w:val="000000"/>
        </w:rPr>
        <w:t xml:space="preserve">SEEIF </w:t>
      </w:r>
      <w:proofErr w:type="spellStart"/>
      <w:r w:rsidRPr="00CE357F">
        <w:rPr>
          <w:rFonts w:ascii="Arial Narrow" w:hAnsi="Arial Narrow"/>
          <w:color w:val="000000"/>
        </w:rPr>
        <w:t>Ceramic</w:t>
      </w:r>
      <w:proofErr w:type="spellEnd"/>
      <w:r w:rsidRPr="00CE357F">
        <w:rPr>
          <w:rFonts w:ascii="Arial Narrow" w:hAnsi="Arial Narrow"/>
          <w:color w:val="000000"/>
        </w:rPr>
        <w:t>, a.s.</w:t>
      </w:r>
      <w:r w:rsidRPr="00CE357F">
        <w:rPr>
          <w:rFonts w:ascii="Arial Narrow" w:hAnsi="Arial Narrow"/>
        </w:rPr>
        <w:t xml:space="preserve"> (také 11 zaměstnanců). Z celkových 164 zaměstnanců-</w:t>
      </w:r>
      <w:r w:rsidR="00A533A2">
        <w:rPr>
          <w:rFonts w:ascii="Arial Narrow" w:hAnsi="Arial Narrow"/>
        </w:rPr>
        <w:t>osob</w:t>
      </w:r>
      <w:r w:rsidRPr="00CE357F">
        <w:rPr>
          <w:rFonts w:ascii="Arial Narrow" w:hAnsi="Arial Narrow"/>
        </w:rPr>
        <w:t xml:space="preserve"> s jinou než českou příslušností jich bylo 63,4 % zaměstnaných v obci Blansko a 14 % v obci Ráječko.</w:t>
      </w:r>
      <w:r w:rsidR="00C3758C" w:rsidRPr="00CE357F">
        <w:rPr>
          <w:rFonts w:ascii="Arial Narrow" w:hAnsi="Arial Narrow"/>
          <w:b/>
          <w:bCs/>
          <w:sz w:val="20"/>
          <w:szCs w:val="20"/>
        </w:rPr>
        <w:t xml:space="preserve"> </w:t>
      </w:r>
    </w:p>
    <w:p w14:paraId="255EEEC6" w14:textId="77777777" w:rsidR="00C3758C" w:rsidRPr="00CE357F" w:rsidRDefault="00C3758C" w:rsidP="00C3758C">
      <w:pPr>
        <w:jc w:val="both"/>
        <w:rPr>
          <w:rFonts w:ascii="Arial Narrow" w:hAnsi="Arial Narrow"/>
          <w:b/>
          <w:bCs/>
          <w:sz w:val="20"/>
          <w:szCs w:val="20"/>
        </w:rPr>
      </w:pPr>
    </w:p>
    <w:p w14:paraId="7D24979C" w14:textId="14F0B784" w:rsidR="007060E7" w:rsidRPr="00CE357F" w:rsidRDefault="00C3758C" w:rsidP="00C3758C">
      <w:pPr>
        <w:jc w:val="both"/>
        <w:rPr>
          <w:rFonts w:ascii="Arial Narrow" w:hAnsi="Arial Narrow"/>
          <w:b/>
          <w:bCs/>
          <w:sz w:val="24"/>
          <w:szCs w:val="24"/>
        </w:rPr>
      </w:pPr>
      <w:bookmarkStart w:id="612" w:name="_Toc136429241"/>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30</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 xml:space="preserve">Soupis </w:t>
      </w:r>
      <w:r w:rsidR="00DA5F46">
        <w:rPr>
          <w:rFonts w:ascii="Arial Narrow" w:eastAsia="Times New Roman" w:hAnsi="Arial Narrow" w:cs="Arial"/>
          <w:b/>
          <w:bCs/>
          <w:sz w:val="20"/>
          <w:szCs w:val="20"/>
          <w:lang w:eastAsia="cs-CZ"/>
        </w:rPr>
        <w:t>významných</w:t>
      </w:r>
      <w:r w:rsidRPr="00CE357F">
        <w:rPr>
          <w:rFonts w:ascii="Arial Narrow" w:eastAsia="Times New Roman" w:hAnsi="Arial Narrow" w:cs="Arial"/>
          <w:b/>
          <w:bCs/>
          <w:sz w:val="20"/>
          <w:szCs w:val="20"/>
          <w:lang w:eastAsia="cs-CZ"/>
        </w:rPr>
        <w:t xml:space="preserve"> zaměstnavatelů osob s jinou než českou státní příslušností v ORP Blansko v roce 2020</w:t>
      </w:r>
      <w:bookmarkEnd w:id="612"/>
    </w:p>
    <w:tbl>
      <w:tblPr>
        <w:tblW w:w="9072" w:type="dxa"/>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922"/>
        <w:gridCol w:w="2055"/>
        <w:gridCol w:w="851"/>
        <w:gridCol w:w="2268"/>
        <w:gridCol w:w="1134"/>
        <w:gridCol w:w="1842"/>
      </w:tblGrid>
      <w:tr w:rsidR="00C3758C" w:rsidRPr="00CE357F" w14:paraId="3F5BA588" w14:textId="77777777" w:rsidTr="0020443C">
        <w:trPr>
          <w:trHeight w:val="274"/>
        </w:trPr>
        <w:tc>
          <w:tcPr>
            <w:tcW w:w="922" w:type="dxa"/>
            <w:vMerge w:val="restart"/>
            <w:shd w:val="clear" w:color="auto" w:fill="D9E2F3" w:themeFill="accent1" w:themeFillTint="33"/>
            <w:vAlign w:val="center"/>
            <w:hideMark/>
          </w:tcPr>
          <w:p w14:paraId="1F0E4F0E" w14:textId="77777777" w:rsidR="00C3758C" w:rsidRPr="00CE357F" w:rsidRDefault="00C3758C" w:rsidP="00C3758C">
            <w:pPr>
              <w:jc w:val="center"/>
              <w:rPr>
                <w:rFonts w:ascii="Arial Narrow" w:eastAsia="Times New Roman" w:hAnsi="Arial Narrow" w:cs="Arial"/>
                <w:b/>
                <w:bCs/>
                <w:sz w:val="18"/>
                <w:szCs w:val="18"/>
                <w:lang w:eastAsia="cs-CZ"/>
              </w:rPr>
            </w:pPr>
            <w:bookmarkStart w:id="613" w:name="_Hlk94280309"/>
            <w:r w:rsidRPr="00CE357F">
              <w:rPr>
                <w:rFonts w:ascii="Arial Narrow" w:eastAsia="Times New Roman" w:hAnsi="Arial Narrow" w:cs="Arial"/>
                <w:sz w:val="18"/>
                <w:szCs w:val="18"/>
                <w:lang w:eastAsia="cs-CZ"/>
              </w:rPr>
              <w:t>Obec</w:t>
            </w:r>
          </w:p>
        </w:tc>
        <w:tc>
          <w:tcPr>
            <w:tcW w:w="2055" w:type="dxa"/>
            <w:vMerge w:val="restart"/>
            <w:shd w:val="clear" w:color="auto" w:fill="D9E2F3" w:themeFill="accent1" w:themeFillTint="33"/>
            <w:vAlign w:val="center"/>
            <w:hideMark/>
          </w:tcPr>
          <w:p w14:paraId="02FB7C6B" w14:textId="77777777" w:rsidR="00C3758C" w:rsidRPr="00CE357F" w:rsidRDefault="00C3758C" w:rsidP="00C3758C">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Název zaměstnavatele</w:t>
            </w:r>
          </w:p>
        </w:tc>
        <w:tc>
          <w:tcPr>
            <w:tcW w:w="6095" w:type="dxa"/>
            <w:gridSpan w:val="4"/>
            <w:shd w:val="clear" w:color="auto" w:fill="D9E2F3" w:themeFill="accent1" w:themeFillTint="33"/>
            <w:vAlign w:val="center"/>
          </w:tcPr>
          <w:p w14:paraId="04E0CE6C" w14:textId="6C38566D" w:rsidR="00C3758C" w:rsidRPr="00CE357F" w:rsidRDefault="00C3758C" w:rsidP="00C3758C">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Zaměstnané osoby s jinou než českou státní příslušností</w:t>
            </w:r>
          </w:p>
        </w:tc>
      </w:tr>
      <w:tr w:rsidR="00C3758C" w:rsidRPr="00CE357F" w14:paraId="1B231055" w14:textId="77777777" w:rsidTr="0020443C">
        <w:trPr>
          <w:trHeight w:val="464"/>
        </w:trPr>
        <w:tc>
          <w:tcPr>
            <w:tcW w:w="922" w:type="dxa"/>
            <w:vMerge/>
            <w:shd w:val="clear" w:color="auto" w:fill="D9E2F3" w:themeFill="accent1" w:themeFillTint="33"/>
            <w:vAlign w:val="center"/>
            <w:hideMark/>
          </w:tcPr>
          <w:p w14:paraId="39EA27E4" w14:textId="77777777" w:rsidR="00C3758C" w:rsidRPr="00CE357F" w:rsidRDefault="00C3758C" w:rsidP="00C3758C">
            <w:pPr>
              <w:jc w:val="center"/>
              <w:rPr>
                <w:rFonts w:ascii="Arial Narrow" w:eastAsia="Times New Roman" w:hAnsi="Arial Narrow" w:cs="Arial"/>
                <w:b/>
                <w:bCs/>
                <w:sz w:val="18"/>
                <w:szCs w:val="18"/>
                <w:lang w:eastAsia="cs-CZ"/>
              </w:rPr>
            </w:pPr>
          </w:p>
        </w:tc>
        <w:tc>
          <w:tcPr>
            <w:tcW w:w="2055" w:type="dxa"/>
            <w:vMerge/>
            <w:shd w:val="clear" w:color="auto" w:fill="D9E2F3" w:themeFill="accent1" w:themeFillTint="33"/>
            <w:vAlign w:val="center"/>
            <w:hideMark/>
          </w:tcPr>
          <w:p w14:paraId="67092A0C" w14:textId="77777777" w:rsidR="00C3758C" w:rsidRPr="00CE357F" w:rsidRDefault="00C3758C" w:rsidP="00C3758C">
            <w:pPr>
              <w:jc w:val="center"/>
              <w:rPr>
                <w:rFonts w:ascii="Arial Narrow" w:eastAsia="Times New Roman" w:hAnsi="Arial Narrow" w:cs="Arial"/>
                <w:b/>
                <w:bCs/>
                <w:sz w:val="18"/>
                <w:szCs w:val="18"/>
                <w:lang w:eastAsia="cs-CZ"/>
              </w:rPr>
            </w:pPr>
          </w:p>
        </w:tc>
        <w:tc>
          <w:tcPr>
            <w:tcW w:w="851" w:type="dxa"/>
            <w:shd w:val="clear" w:color="auto" w:fill="D9E2F3" w:themeFill="accent1" w:themeFillTint="33"/>
            <w:vAlign w:val="center"/>
          </w:tcPr>
          <w:p w14:paraId="659EEE7E" w14:textId="77777777" w:rsidR="00C3758C" w:rsidRPr="00CE357F" w:rsidRDefault="00C3758C" w:rsidP="00C3758C">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SK</w:t>
            </w:r>
          </w:p>
        </w:tc>
        <w:tc>
          <w:tcPr>
            <w:tcW w:w="2268" w:type="dxa"/>
            <w:shd w:val="clear" w:color="auto" w:fill="D9E2F3" w:themeFill="accent1" w:themeFillTint="33"/>
            <w:vAlign w:val="center"/>
          </w:tcPr>
          <w:p w14:paraId="1D303357" w14:textId="77777777" w:rsidR="00C3758C" w:rsidRPr="00CE357F" w:rsidRDefault="00C3758C" w:rsidP="00C3758C">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ze zemí EU/EHP a Švýcarska (mimo občanů SK)</w:t>
            </w:r>
          </w:p>
        </w:tc>
        <w:tc>
          <w:tcPr>
            <w:tcW w:w="1134" w:type="dxa"/>
            <w:shd w:val="clear" w:color="auto" w:fill="D9E2F3" w:themeFill="accent1" w:themeFillTint="33"/>
            <w:vAlign w:val="center"/>
          </w:tcPr>
          <w:p w14:paraId="5D2E42BB" w14:textId="77777777" w:rsidR="00C3758C" w:rsidRPr="00CE357F" w:rsidRDefault="00C3758C" w:rsidP="00C3758C">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ostatních zemí (celkem)</w:t>
            </w:r>
          </w:p>
        </w:tc>
        <w:tc>
          <w:tcPr>
            <w:tcW w:w="1842" w:type="dxa"/>
            <w:shd w:val="clear" w:color="auto" w:fill="D9E2F3" w:themeFill="accent1" w:themeFillTint="33"/>
            <w:vAlign w:val="center"/>
          </w:tcPr>
          <w:p w14:paraId="52C2EDA1" w14:textId="77777777" w:rsidR="00C3758C" w:rsidRPr="00CE357F" w:rsidRDefault="00C3758C" w:rsidP="00C3758C">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Osoby s jinou než českou státní příslušností CELKEM</w:t>
            </w:r>
          </w:p>
        </w:tc>
      </w:tr>
      <w:tr w:rsidR="00C3758C" w:rsidRPr="00CE357F" w14:paraId="4A54AA5F" w14:textId="77777777" w:rsidTr="0020443C">
        <w:trPr>
          <w:trHeight w:val="227"/>
        </w:trPr>
        <w:tc>
          <w:tcPr>
            <w:tcW w:w="922" w:type="dxa"/>
            <w:shd w:val="clear" w:color="auto" w:fill="D9E2F3" w:themeFill="accent1" w:themeFillTint="33"/>
            <w:vAlign w:val="center"/>
          </w:tcPr>
          <w:p w14:paraId="2B36545D" w14:textId="77777777" w:rsidR="00C3758C" w:rsidRPr="00CE357F" w:rsidRDefault="00C3758C" w:rsidP="00C3758C">
            <w:pPr>
              <w:jc w:val="center"/>
              <w:rPr>
                <w:rFonts w:ascii="Arial Narrow" w:hAnsi="Arial Narrow"/>
                <w:b/>
                <w:bCs/>
                <w:color w:val="000000"/>
                <w:sz w:val="18"/>
                <w:szCs w:val="18"/>
              </w:rPr>
            </w:pPr>
            <w:r w:rsidRPr="00CE357F">
              <w:rPr>
                <w:rFonts w:ascii="Arial Narrow" w:hAnsi="Arial Narrow"/>
                <w:color w:val="000000"/>
                <w:sz w:val="18"/>
                <w:szCs w:val="18"/>
              </w:rPr>
              <w:t>Ráječko</w:t>
            </w:r>
          </w:p>
        </w:tc>
        <w:tc>
          <w:tcPr>
            <w:tcW w:w="2055" w:type="dxa"/>
            <w:vAlign w:val="center"/>
          </w:tcPr>
          <w:p w14:paraId="5E4F3233" w14:textId="77777777" w:rsidR="00C3758C" w:rsidRPr="00CE357F" w:rsidRDefault="00C3758C" w:rsidP="00C3758C">
            <w:pPr>
              <w:jc w:val="center"/>
              <w:rPr>
                <w:rFonts w:ascii="Arial Narrow" w:hAnsi="Arial Narrow"/>
                <w:b/>
                <w:bCs/>
                <w:color w:val="C00000"/>
                <w:sz w:val="18"/>
                <w:szCs w:val="18"/>
              </w:rPr>
            </w:pPr>
            <w:proofErr w:type="spellStart"/>
            <w:r w:rsidRPr="00CE357F">
              <w:rPr>
                <w:rFonts w:ascii="Arial Narrow" w:hAnsi="Arial Narrow"/>
                <w:color w:val="000000"/>
                <w:sz w:val="18"/>
                <w:szCs w:val="18"/>
              </w:rPr>
              <w:t>Tyco</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Fire</w:t>
            </w:r>
            <w:proofErr w:type="spellEnd"/>
            <w:r w:rsidRPr="00CE357F">
              <w:rPr>
                <w:rFonts w:ascii="Arial Narrow" w:hAnsi="Arial Narrow"/>
                <w:color w:val="000000"/>
                <w:sz w:val="18"/>
                <w:szCs w:val="18"/>
              </w:rPr>
              <w:t xml:space="preserve"> &amp; </w:t>
            </w:r>
            <w:proofErr w:type="spellStart"/>
            <w:r w:rsidRPr="00CE357F">
              <w:rPr>
                <w:rFonts w:ascii="Arial Narrow" w:hAnsi="Arial Narrow"/>
                <w:color w:val="000000"/>
                <w:sz w:val="18"/>
                <w:szCs w:val="18"/>
              </w:rPr>
              <w:t>Security</w:t>
            </w:r>
            <w:proofErr w:type="spellEnd"/>
            <w:r w:rsidRPr="00CE357F">
              <w:rPr>
                <w:rFonts w:ascii="Arial Narrow" w:hAnsi="Arial Narrow"/>
                <w:color w:val="000000"/>
                <w:sz w:val="18"/>
                <w:szCs w:val="18"/>
              </w:rPr>
              <w:t xml:space="preserve"> Czech Republic s.r.o.</w:t>
            </w:r>
          </w:p>
        </w:tc>
        <w:tc>
          <w:tcPr>
            <w:tcW w:w="851" w:type="dxa"/>
            <w:vAlign w:val="center"/>
          </w:tcPr>
          <w:p w14:paraId="1F45B422"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5</w:t>
            </w:r>
          </w:p>
        </w:tc>
        <w:tc>
          <w:tcPr>
            <w:tcW w:w="2268" w:type="dxa"/>
            <w:vAlign w:val="center"/>
          </w:tcPr>
          <w:p w14:paraId="501C3B84"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0</w:t>
            </w:r>
          </w:p>
        </w:tc>
        <w:tc>
          <w:tcPr>
            <w:tcW w:w="1134" w:type="dxa"/>
            <w:vAlign w:val="center"/>
          </w:tcPr>
          <w:p w14:paraId="66241583"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18</w:t>
            </w:r>
          </w:p>
        </w:tc>
        <w:tc>
          <w:tcPr>
            <w:tcW w:w="1842" w:type="dxa"/>
            <w:vAlign w:val="center"/>
          </w:tcPr>
          <w:p w14:paraId="115A2546"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b/>
                <w:bCs/>
                <w:color w:val="C00000"/>
                <w:sz w:val="18"/>
                <w:szCs w:val="18"/>
              </w:rPr>
              <w:t>23</w:t>
            </w:r>
          </w:p>
        </w:tc>
      </w:tr>
      <w:tr w:rsidR="00C3758C" w:rsidRPr="00CE357F" w14:paraId="4EC361BF" w14:textId="77777777" w:rsidTr="0020443C">
        <w:trPr>
          <w:trHeight w:val="227"/>
        </w:trPr>
        <w:tc>
          <w:tcPr>
            <w:tcW w:w="922" w:type="dxa"/>
            <w:shd w:val="clear" w:color="auto" w:fill="D9E2F3" w:themeFill="accent1" w:themeFillTint="33"/>
            <w:vAlign w:val="center"/>
          </w:tcPr>
          <w:p w14:paraId="2D18E457" w14:textId="77777777" w:rsidR="00C3758C" w:rsidRPr="00CE357F" w:rsidRDefault="00C3758C" w:rsidP="00C3758C">
            <w:pPr>
              <w:jc w:val="center"/>
              <w:rPr>
                <w:rFonts w:ascii="Arial Narrow" w:hAnsi="Arial Narrow"/>
                <w:b/>
                <w:bCs/>
                <w:color w:val="000000"/>
                <w:sz w:val="18"/>
                <w:szCs w:val="18"/>
              </w:rPr>
            </w:pPr>
            <w:r w:rsidRPr="00CE357F">
              <w:rPr>
                <w:rFonts w:ascii="Arial Narrow" w:hAnsi="Arial Narrow"/>
                <w:color w:val="000000"/>
                <w:sz w:val="18"/>
                <w:szCs w:val="18"/>
              </w:rPr>
              <w:t>Blansko</w:t>
            </w:r>
          </w:p>
        </w:tc>
        <w:tc>
          <w:tcPr>
            <w:tcW w:w="2055" w:type="dxa"/>
            <w:vAlign w:val="center"/>
          </w:tcPr>
          <w:p w14:paraId="2EFCB1AD"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color w:val="000000"/>
                <w:sz w:val="18"/>
                <w:szCs w:val="18"/>
              </w:rPr>
              <w:t>Nemocnice Blansko</w:t>
            </w:r>
          </w:p>
        </w:tc>
        <w:tc>
          <w:tcPr>
            <w:tcW w:w="851" w:type="dxa"/>
            <w:vAlign w:val="center"/>
          </w:tcPr>
          <w:p w14:paraId="2F390C0C"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11</w:t>
            </w:r>
          </w:p>
        </w:tc>
        <w:tc>
          <w:tcPr>
            <w:tcW w:w="2268" w:type="dxa"/>
            <w:vAlign w:val="center"/>
          </w:tcPr>
          <w:p w14:paraId="3A8FE5CD"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2</w:t>
            </w:r>
          </w:p>
        </w:tc>
        <w:tc>
          <w:tcPr>
            <w:tcW w:w="1134" w:type="dxa"/>
            <w:vAlign w:val="center"/>
          </w:tcPr>
          <w:p w14:paraId="3D6FC137"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1</w:t>
            </w:r>
          </w:p>
        </w:tc>
        <w:tc>
          <w:tcPr>
            <w:tcW w:w="1842" w:type="dxa"/>
            <w:vAlign w:val="center"/>
          </w:tcPr>
          <w:p w14:paraId="0354295C"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b/>
                <w:bCs/>
                <w:color w:val="C00000"/>
                <w:sz w:val="18"/>
                <w:szCs w:val="18"/>
              </w:rPr>
              <w:t>14</w:t>
            </w:r>
          </w:p>
        </w:tc>
      </w:tr>
      <w:tr w:rsidR="00C3758C" w:rsidRPr="00CE357F" w14:paraId="20B2F194" w14:textId="77777777" w:rsidTr="0020443C">
        <w:trPr>
          <w:trHeight w:val="227"/>
        </w:trPr>
        <w:tc>
          <w:tcPr>
            <w:tcW w:w="922" w:type="dxa"/>
            <w:shd w:val="clear" w:color="auto" w:fill="D9E2F3" w:themeFill="accent1" w:themeFillTint="33"/>
            <w:vAlign w:val="center"/>
          </w:tcPr>
          <w:p w14:paraId="3889C67D" w14:textId="77777777" w:rsidR="00C3758C" w:rsidRPr="00CE357F" w:rsidRDefault="00C3758C" w:rsidP="00C3758C">
            <w:pPr>
              <w:jc w:val="center"/>
              <w:rPr>
                <w:rFonts w:ascii="Arial Narrow" w:hAnsi="Arial Narrow"/>
                <w:b/>
                <w:bCs/>
                <w:color w:val="000000"/>
                <w:sz w:val="18"/>
                <w:szCs w:val="18"/>
              </w:rPr>
            </w:pPr>
            <w:r w:rsidRPr="00CE357F">
              <w:rPr>
                <w:rFonts w:ascii="Arial Narrow" w:hAnsi="Arial Narrow"/>
                <w:color w:val="000000"/>
                <w:sz w:val="18"/>
                <w:szCs w:val="18"/>
              </w:rPr>
              <w:t>Blansko</w:t>
            </w:r>
          </w:p>
        </w:tc>
        <w:tc>
          <w:tcPr>
            <w:tcW w:w="2055" w:type="dxa"/>
            <w:vAlign w:val="center"/>
          </w:tcPr>
          <w:p w14:paraId="18907BAF" w14:textId="77777777" w:rsidR="00C3758C" w:rsidRPr="00CE357F" w:rsidRDefault="00C3758C" w:rsidP="00C3758C">
            <w:pPr>
              <w:jc w:val="center"/>
              <w:rPr>
                <w:rFonts w:ascii="Arial Narrow" w:hAnsi="Arial Narrow"/>
                <w:b/>
                <w:bCs/>
                <w:color w:val="C00000"/>
                <w:sz w:val="18"/>
                <w:szCs w:val="18"/>
              </w:rPr>
            </w:pPr>
            <w:proofErr w:type="spellStart"/>
            <w:r w:rsidRPr="00CE357F">
              <w:rPr>
                <w:rFonts w:ascii="Arial Narrow" w:hAnsi="Arial Narrow"/>
                <w:color w:val="000000"/>
                <w:sz w:val="18"/>
                <w:szCs w:val="18"/>
              </w:rPr>
              <w:t>Synthon</w:t>
            </w:r>
            <w:proofErr w:type="spellEnd"/>
            <w:r w:rsidRPr="00CE357F">
              <w:rPr>
                <w:rFonts w:ascii="Arial Narrow" w:hAnsi="Arial Narrow"/>
                <w:color w:val="000000"/>
                <w:sz w:val="18"/>
                <w:szCs w:val="18"/>
              </w:rPr>
              <w:t>, s. r. o.</w:t>
            </w:r>
          </w:p>
        </w:tc>
        <w:tc>
          <w:tcPr>
            <w:tcW w:w="851" w:type="dxa"/>
            <w:vAlign w:val="center"/>
          </w:tcPr>
          <w:p w14:paraId="79E5ACFB"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10</w:t>
            </w:r>
          </w:p>
        </w:tc>
        <w:tc>
          <w:tcPr>
            <w:tcW w:w="2268" w:type="dxa"/>
            <w:vAlign w:val="center"/>
          </w:tcPr>
          <w:p w14:paraId="7B2A132A"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0</w:t>
            </w:r>
          </w:p>
        </w:tc>
        <w:tc>
          <w:tcPr>
            <w:tcW w:w="1134" w:type="dxa"/>
            <w:vAlign w:val="center"/>
          </w:tcPr>
          <w:p w14:paraId="182E2760"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2</w:t>
            </w:r>
          </w:p>
        </w:tc>
        <w:tc>
          <w:tcPr>
            <w:tcW w:w="1842" w:type="dxa"/>
            <w:vAlign w:val="center"/>
          </w:tcPr>
          <w:p w14:paraId="3DA93DC1"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b/>
                <w:bCs/>
                <w:color w:val="C00000"/>
                <w:sz w:val="18"/>
                <w:szCs w:val="18"/>
              </w:rPr>
              <w:t>12</w:t>
            </w:r>
          </w:p>
        </w:tc>
      </w:tr>
      <w:tr w:rsidR="00C3758C" w:rsidRPr="00CE357F" w14:paraId="1182979B" w14:textId="77777777" w:rsidTr="0020443C">
        <w:trPr>
          <w:trHeight w:val="227"/>
        </w:trPr>
        <w:tc>
          <w:tcPr>
            <w:tcW w:w="922" w:type="dxa"/>
            <w:shd w:val="clear" w:color="auto" w:fill="D9E2F3" w:themeFill="accent1" w:themeFillTint="33"/>
            <w:vAlign w:val="center"/>
          </w:tcPr>
          <w:p w14:paraId="0BEA73CA" w14:textId="77777777" w:rsidR="00C3758C" w:rsidRPr="00CE357F" w:rsidRDefault="00C3758C" w:rsidP="00C3758C">
            <w:pPr>
              <w:jc w:val="center"/>
              <w:rPr>
                <w:rFonts w:ascii="Arial Narrow" w:hAnsi="Arial Narrow"/>
                <w:b/>
                <w:bCs/>
                <w:color w:val="000000"/>
                <w:sz w:val="18"/>
                <w:szCs w:val="18"/>
              </w:rPr>
            </w:pPr>
            <w:r w:rsidRPr="00CE357F">
              <w:rPr>
                <w:rFonts w:ascii="Arial Narrow" w:hAnsi="Arial Narrow"/>
                <w:color w:val="000000"/>
                <w:sz w:val="18"/>
                <w:szCs w:val="18"/>
              </w:rPr>
              <w:t>Blansko</w:t>
            </w:r>
          </w:p>
        </w:tc>
        <w:tc>
          <w:tcPr>
            <w:tcW w:w="2055" w:type="dxa"/>
            <w:vAlign w:val="center"/>
          </w:tcPr>
          <w:p w14:paraId="3C68C8A0"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color w:val="000000"/>
                <w:sz w:val="18"/>
                <w:szCs w:val="18"/>
              </w:rPr>
              <w:t>ČKD Blansko Holding, a.s.</w:t>
            </w:r>
          </w:p>
        </w:tc>
        <w:tc>
          <w:tcPr>
            <w:tcW w:w="851" w:type="dxa"/>
            <w:vAlign w:val="center"/>
          </w:tcPr>
          <w:p w14:paraId="1AE57D77"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1</w:t>
            </w:r>
          </w:p>
        </w:tc>
        <w:tc>
          <w:tcPr>
            <w:tcW w:w="2268" w:type="dxa"/>
            <w:vAlign w:val="center"/>
          </w:tcPr>
          <w:p w14:paraId="710B01D0"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0</w:t>
            </w:r>
          </w:p>
        </w:tc>
        <w:tc>
          <w:tcPr>
            <w:tcW w:w="1134" w:type="dxa"/>
            <w:vAlign w:val="center"/>
          </w:tcPr>
          <w:p w14:paraId="4E51829F"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10</w:t>
            </w:r>
          </w:p>
        </w:tc>
        <w:tc>
          <w:tcPr>
            <w:tcW w:w="1842" w:type="dxa"/>
            <w:vAlign w:val="center"/>
          </w:tcPr>
          <w:p w14:paraId="280CE38E"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b/>
                <w:bCs/>
                <w:color w:val="C00000"/>
                <w:sz w:val="18"/>
                <w:szCs w:val="18"/>
              </w:rPr>
              <w:t>11</w:t>
            </w:r>
          </w:p>
        </w:tc>
      </w:tr>
      <w:tr w:rsidR="00C3758C" w:rsidRPr="00CE357F" w14:paraId="0883E332" w14:textId="77777777" w:rsidTr="0020443C">
        <w:trPr>
          <w:trHeight w:val="227"/>
        </w:trPr>
        <w:tc>
          <w:tcPr>
            <w:tcW w:w="922" w:type="dxa"/>
            <w:shd w:val="clear" w:color="auto" w:fill="D9E2F3" w:themeFill="accent1" w:themeFillTint="33"/>
            <w:vAlign w:val="center"/>
          </w:tcPr>
          <w:p w14:paraId="59FEC0B1" w14:textId="77777777" w:rsidR="00C3758C" w:rsidRPr="00CE357F" w:rsidRDefault="00C3758C" w:rsidP="00C3758C">
            <w:pPr>
              <w:jc w:val="center"/>
              <w:rPr>
                <w:rFonts w:ascii="Arial Narrow" w:hAnsi="Arial Narrow"/>
                <w:b/>
                <w:bCs/>
                <w:color w:val="000000"/>
                <w:sz w:val="18"/>
                <w:szCs w:val="18"/>
              </w:rPr>
            </w:pPr>
            <w:r w:rsidRPr="00CE357F">
              <w:rPr>
                <w:rFonts w:ascii="Arial Narrow" w:hAnsi="Arial Narrow"/>
                <w:color w:val="000000"/>
                <w:sz w:val="18"/>
                <w:szCs w:val="18"/>
              </w:rPr>
              <w:t>Rájec-Jestřebí</w:t>
            </w:r>
          </w:p>
        </w:tc>
        <w:tc>
          <w:tcPr>
            <w:tcW w:w="2055" w:type="dxa"/>
            <w:vAlign w:val="center"/>
          </w:tcPr>
          <w:p w14:paraId="1D3326A9"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color w:val="000000"/>
                <w:sz w:val="18"/>
                <w:szCs w:val="18"/>
              </w:rPr>
              <w:t xml:space="preserve">SEEIF </w:t>
            </w:r>
            <w:proofErr w:type="spellStart"/>
            <w:r w:rsidRPr="00CE357F">
              <w:rPr>
                <w:rFonts w:ascii="Arial Narrow" w:hAnsi="Arial Narrow"/>
                <w:color w:val="000000"/>
                <w:sz w:val="18"/>
                <w:szCs w:val="18"/>
              </w:rPr>
              <w:t>Ceramic</w:t>
            </w:r>
            <w:proofErr w:type="spellEnd"/>
            <w:r w:rsidRPr="00CE357F">
              <w:rPr>
                <w:rFonts w:ascii="Arial Narrow" w:hAnsi="Arial Narrow"/>
                <w:color w:val="000000"/>
                <w:sz w:val="18"/>
                <w:szCs w:val="18"/>
              </w:rPr>
              <w:t>, a.s.</w:t>
            </w:r>
          </w:p>
        </w:tc>
        <w:tc>
          <w:tcPr>
            <w:tcW w:w="851" w:type="dxa"/>
            <w:vAlign w:val="center"/>
          </w:tcPr>
          <w:p w14:paraId="4E5EEB80"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3</w:t>
            </w:r>
          </w:p>
        </w:tc>
        <w:tc>
          <w:tcPr>
            <w:tcW w:w="2268" w:type="dxa"/>
            <w:vAlign w:val="center"/>
          </w:tcPr>
          <w:p w14:paraId="2A7D59A1"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0</w:t>
            </w:r>
          </w:p>
        </w:tc>
        <w:tc>
          <w:tcPr>
            <w:tcW w:w="1134" w:type="dxa"/>
            <w:vAlign w:val="center"/>
          </w:tcPr>
          <w:p w14:paraId="25E43DF2"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8</w:t>
            </w:r>
          </w:p>
        </w:tc>
        <w:tc>
          <w:tcPr>
            <w:tcW w:w="1842" w:type="dxa"/>
            <w:vAlign w:val="center"/>
          </w:tcPr>
          <w:p w14:paraId="40293931"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b/>
                <w:bCs/>
                <w:color w:val="C00000"/>
                <w:sz w:val="18"/>
                <w:szCs w:val="18"/>
              </w:rPr>
              <w:t>11</w:t>
            </w:r>
          </w:p>
        </w:tc>
      </w:tr>
      <w:tr w:rsidR="00C3758C" w:rsidRPr="00CE357F" w14:paraId="5A1DA266" w14:textId="77777777" w:rsidTr="0020443C">
        <w:trPr>
          <w:trHeight w:val="227"/>
        </w:trPr>
        <w:tc>
          <w:tcPr>
            <w:tcW w:w="922" w:type="dxa"/>
            <w:shd w:val="clear" w:color="auto" w:fill="D9E2F3" w:themeFill="accent1" w:themeFillTint="33"/>
            <w:vAlign w:val="center"/>
          </w:tcPr>
          <w:p w14:paraId="46AFB933" w14:textId="77777777" w:rsidR="00C3758C" w:rsidRPr="00CE357F" w:rsidRDefault="00C3758C" w:rsidP="00C3758C">
            <w:pPr>
              <w:jc w:val="center"/>
              <w:rPr>
                <w:rFonts w:ascii="Arial Narrow" w:hAnsi="Arial Narrow"/>
                <w:b/>
                <w:bCs/>
                <w:color w:val="000000"/>
                <w:sz w:val="18"/>
                <w:szCs w:val="18"/>
              </w:rPr>
            </w:pPr>
            <w:r w:rsidRPr="00CE357F">
              <w:rPr>
                <w:rFonts w:ascii="Arial Narrow" w:hAnsi="Arial Narrow"/>
                <w:color w:val="000000"/>
                <w:sz w:val="18"/>
                <w:szCs w:val="18"/>
              </w:rPr>
              <w:t>Blansko</w:t>
            </w:r>
          </w:p>
        </w:tc>
        <w:tc>
          <w:tcPr>
            <w:tcW w:w="2055" w:type="dxa"/>
            <w:vAlign w:val="center"/>
          </w:tcPr>
          <w:p w14:paraId="5E60B0AB"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color w:val="000000"/>
                <w:sz w:val="18"/>
                <w:szCs w:val="18"/>
              </w:rPr>
              <w:t>ISAN Radiátory s.r.o.</w:t>
            </w:r>
          </w:p>
        </w:tc>
        <w:tc>
          <w:tcPr>
            <w:tcW w:w="851" w:type="dxa"/>
            <w:vAlign w:val="center"/>
          </w:tcPr>
          <w:p w14:paraId="3E66737A"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6</w:t>
            </w:r>
          </w:p>
        </w:tc>
        <w:tc>
          <w:tcPr>
            <w:tcW w:w="2268" w:type="dxa"/>
            <w:vAlign w:val="center"/>
          </w:tcPr>
          <w:p w14:paraId="7B68E39D"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0</w:t>
            </w:r>
          </w:p>
        </w:tc>
        <w:tc>
          <w:tcPr>
            <w:tcW w:w="1134" w:type="dxa"/>
            <w:vAlign w:val="center"/>
          </w:tcPr>
          <w:p w14:paraId="01F0E524"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4</w:t>
            </w:r>
          </w:p>
        </w:tc>
        <w:tc>
          <w:tcPr>
            <w:tcW w:w="1842" w:type="dxa"/>
            <w:vAlign w:val="center"/>
          </w:tcPr>
          <w:p w14:paraId="11934729"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b/>
                <w:bCs/>
                <w:color w:val="C00000"/>
                <w:sz w:val="18"/>
                <w:szCs w:val="18"/>
              </w:rPr>
              <w:t>10</w:t>
            </w:r>
          </w:p>
        </w:tc>
      </w:tr>
      <w:tr w:rsidR="00C3758C" w:rsidRPr="00CE357F" w14:paraId="02A5F683" w14:textId="77777777" w:rsidTr="0020443C">
        <w:trPr>
          <w:trHeight w:val="227"/>
        </w:trPr>
        <w:tc>
          <w:tcPr>
            <w:tcW w:w="922" w:type="dxa"/>
            <w:shd w:val="clear" w:color="auto" w:fill="D9E2F3" w:themeFill="accent1" w:themeFillTint="33"/>
            <w:vAlign w:val="center"/>
          </w:tcPr>
          <w:p w14:paraId="3DEBFDDE" w14:textId="77777777" w:rsidR="00C3758C" w:rsidRPr="00CE357F" w:rsidRDefault="00C3758C" w:rsidP="00C3758C">
            <w:pPr>
              <w:jc w:val="center"/>
              <w:rPr>
                <w:rFonts w:ascii="Arial Narrow" w:hAnsi="Arial Narrow"/>
                <w:b/>
                <w:bCs/>
                <w:color w:val="000000"/>
                <w:sz w:val="18"/>
                <w:szCs w:val="18"/>
              </w:rPr>
            </w:pPr>
            <w:r w:rsidRPr="00CE357F">
              <w:rPr>
                <w:rFonts w:ascii="Arial Narrow" w:hAnsi="Arial Narrow"/>
                <w:color w:val="000000"/>
                <w:sz w:val="18"/>
                <w:szCs w:val="18"/>
              </w:rPr>
              <w:t>Blansko</w:t>
            </w:r>
          </w:p>
        </w:tc>
        <w:tc>
          <w:tcPr>
            <w:tcW w:w="2055" w:type="dxa"/>
            <w:vAlign w:val="center"/>
          </w:tcPr>
          <w:p w14:paraId="21770D2F" w14:textId="77777777" w:rsidR="00C3758C" w:rsidRPr="00CE357F" w:rsidRDefault="00C3758C" w:rsidP="00C3758C">
            <w:pPr>
              <w:jc w:val="center"/>
              <w:rPr>
                <w:rFonts w:ascii="Arial Narrow" w:hAnsi="Arial Narrow"/>
                <w:b/>
                <w:bCs/>
                <w:color w:val="C00000"/>
                <w:sz w:val="18"/>
                <w:szCs w:val="18"/>
              </w:rPr>
            </w:pPr>
            <w:proofErr w:type="spellStart"/>
            <w:r w:rsidRPr="00CE357F">
              <w:rPr>
                <w:rFonts w:ascii="Arial Narrow" w:hAnsi="Arial Narrow"/>
                <w:color w:val="000000"/>
                <w:sz w:val="18"/>
                <w:szCs w:val="18"/>
              </w:rPr>
              <w:t>Donoci</w:t>
            </w:r>
            <w:proofErr w:type="spellEnd"/>
            <w:r w:rsidRPr="00CE357F">
              <w:rPr>
                <w:rFonts w:ascii="Arial Narrow" w:hAnsi="Arial Narrow"/>
                <w:color w:val="000000"/>
                <w:sz w:val="18"/>
                <w:szCs w:val="18"/>
              </w:rPr>
              <w:t xml:space="preserve"> s.r.o.</w:t>
            </w:r>
          </w:p>
        </w:tc>
        <w:tc>
          <w:tcPr>
            <w:tcW w:w="851" w:type="dxa"/>
            <w:vAlign w:val="center"/>
          </w:tcPr>
          <w:p w14:paraId="6F418E40"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8</w:t>
            </w:r>
          </w:p>
        </w:tc>
        <w:tc>
          <w:tcPr>
            <w:tcW w:w="2268" w:type="dxa"/>
            <w:vAlign w:val="center"/>
          </w:tcPr>
          <w:p w14:paraId="40FB26B6"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2</w:t>
            </w:r>
          </w:p>
        </w:tc>
        <w:tc>
          <w:tcPr>
            <w:tcW w:w="1134" w:type="dxa"/>
            <w:vAlign w:val="center"/>
          </w:tcPr>
          <w:p w14:paraId="7E08D886"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0</w:t>
            </w:r>
          </w:p>
        </w:tc>
        <w:tc>
          <w:tcPr>
            <w:tcW w:w="1842" w:type="dxa"/>
            <w:vAlign w:val="center"/>
          </w:tcPr>
          <w:p w14:paraId="346786AA"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b/>
                <w:bCs/>
                <w:color w:val="C00000"/>
                <w:sz w:val="18"/>
                <w:szCs w:val="18"/>
              </w:rPr>
              <w:t>10</w:t>
            </w:r>
          </w:p>
        </w:tc>
      </w:tr>
      <w:tr w:rsidR="00C3758C" w:rsidRPr="00CE357F" w14:paraId="275ED39F" w14:textId="77777777" w:rsidTr="0020443C">
        <w:trPr>
          <w:trHeight w:val="227"/>
        </w:trPr>
        <w:tc>
          <w:tcPr>
            <w:tcW w:w="922" w:type="dxa"/>
            <w:shd w:val="clear" w:color="auto" w:fill="D9E2F3" w:themeFill="accent1" w:themeFillTint="33"/>
            <w:vAlign w:val="center"/>
          </w:tcPr>
          <w:p w14:paraId="33EEAF65" w14:textId="77777777" w:rsidR="00C3758C" w:rsidRPr="00CE357F" w:rsidRDefault="00C3758C" w:rsidP="00C3758C">
            <w:pPr>
              <w:jc w:val="center"/>
              <w:rPr>
                <w:rFonts w:ascii="Arial Narrow" w:hAnsi="Arial Narrow"/>
                <w:color w:val="000000"/>
                <w:sz w:val="18"/>
                <w:szCs w:val="18"/>
              </w:rPr>
            </w:pPr>
          </w:p>
        </w:tc>
        <w:tc>
          <w:tcPr>
            <w:tcW w:w="2055" w:type="dxa"/>
            <w:vAlign w:val="center"/>
          </w:tcPr>
          <w:p w14:paraId="66CB8B2F"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Ostatní zaměstnavatelé s méně než 10 zaměstnanci s jinou než českou státní příslušností</w:t>
            </w:r>
          </w:p>
        </w:tc>
        <w:tc>
          <w:tcPr>
            <w:tcW w:w="851" w:type="dxa"/>
            <w:vAlign w:val="center"/>
          </w:tcPr>
          <w:p w14:paraId="29A78495"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5</w:t>
            </w:r>
          </w:p>
        </w:tc>
        <w:tc>
          <w:tcPr>
            <w:tcW w:w="2268" w:type="dxa"/>
            <w:vAlign w:val="center"/>
          </w:tcPr>
          <w:p w14:paraId="1A96214C"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5</w:t>
            </w:r>
          </w:p>
        </w:tc>
        <w:tc>
          <w:tcPr>
            <w:tcW w:w="1134" w:type="dxa"/>
            <w:vAlign w:val="center"/>
          </w:tcPr>
          <w:p w14:paraId="0C8819EF"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color w:val="000000"/>
                <w:sz w:val="18"/>
                <w:szCs w:val="18"/>
              </w:rPr>
              <w:t>33</w:t>
            </w:r>
          </w:p>
        </w:tc>
        <w:tc>
          <w:tcPr>
            <w:tcW w:w="1842" w:type="dxa"/>
            <w:vAlign w:val="center"/>
          </w:tcPr>
          <w:p w14:paraId="5C579793" w14:textId="77777777" w:rsidR="00C3758C" w:rsidRPr="00CE357F" w:rsidRDefault="00C3758C" w:rsidP="00C3758C">
            <w:pPr>
              <w:jc w:val="center"/>
              <w:rPr>
                <w:rFonts w:ascii="Arial Narrow" w:hAnsi="Arial Narrow"/>
                <w:b/>
                <w:bCs/>
                <w:color w:val="C00000"/>
                <w:sz w:val="18"/>
                <w:szCs w:val="18"/>
              </w:rPr>
            </w:pPr>
            <w:r w:rsidRPr="00CE357F">
              <w:rPr>
                <w:rFonts w:ascii="Arial Narrow" w:hAnsi="Arial Narrow"/>
                <w:b/>
                <w:bCs/>
                <w:color w:val="C00000"/>
                <w:sz w:val="18"/>
                <w:szCs w:val="18"/>
              </w:rPr>
              <w:t>73</w:t>
            </w:r>
          </w:p>
        </w:tc>
      </w:tr>
      <w:tr w:rsidR="00C3758C" w:rsidRPr="00CE357F" w14:paraId="5F8B37BD" w14:textId="77777777" w:rsidTr="0020443C">
        <w:trPr>
          <w:trHeight w:val="272"/>
        </w:trPr>
        <w:tc>
          <w:tcPr>
            <w:tcW w:w="922" w:type="dxa"/>
            <w:shd w:val="clear" w:color="auto" w:fill="D9E2F3" w:themeFill="accent1" w:themeFillTint="33"/>
            <w:vAlign w:val="center"/>
          </w:tcPr>
          <w:p w14:paraId="7BE93FD8"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sz w:val="18"/>
                <w:szCs w:val="18"/>
              </w:rPr>
              <w:t>ORP CELKEM</w:t>
            </w:r>
          </w:p>
        </w:tc>
        <w:tc>
          <w:tcPr>
            <w:tcW w:w="2055" w:type="dxa"/>
            <w:shd w:val="clear" w:color="auto" w:fill="D9E2F3" w:themeFill="accent1" w:themeFillTint="33"/>
            <w:vAlign w:val="center"/>
          </w:tcPr>
          <w:p w14:paraId="3E432D71" w14:textId="77777777" w:rsidR="00C3758C" w:rsidRPr="00CE357F" w:rsidRDefault="00C3758C" w:rsidP="00C3758C">
            <w:pPr>
              <w:jc w:val="center"/>
              <w:rPr>
                <w:rFonts w:ascii="Arial Narrow" w:hAnsi="Arial Narrow"/>
                <w:color w:val="000000"/>
                <w:sz w:val="18"/>
                <w:szCs w:val="18"/>
              </w:rPr>
            </w:pPr>
          </w:p>
        </w:tc>
        <w:tc>
          <w:tcPr>
            <w:tcW w:w="851" w:type="dxa"/>
            <w:shd w:val="clear" w:color="auto" w:fill="D9E2F3" w:themeFill="accent1" w:themeFillTint="33"/>
            <w:vAlign w:val="center"/>
          </w:tcPr>
          <w:p w14:paraId="32331826"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b/>
                <w:bCs/>
                <w:color w:val="000000"/>
                <w:sz w:val="18"/>
                <w:szCs w:val="18"/>
              </w:rPr>
              <w:t>79</w:t>
            </w:r>
          </w:p>
        </w:tc>
        <w:tc>
          <w:tcPr>
            <w:tcW w:w="2268" w:type="dxa"/>
            <w:shd w:val="clear" w:color="auto" w:fill="D9E2F3" w:themeFill="accent1" w:themeFillTint="33"/>
            <w:vAlign w:val="center"/>
          </w:tcPr>
          <w:p w14:paraId="6D324A4F"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b/>
                <w:bCs/>
                <w:color w:val="000000"/>
                <w:sz w:val="18"/>
                <w:szCs w:val="18"/>
              </w:rPr>
              <w:t>9</w:t>
            </w:r>
          </w:p>
        </w:tc>
        <w:tc>
          <w:tcPr>
            <w:tcW w:w="1134" w:type="dxa"/>
            <w:shd w:val="clear" w:color="auto" w:fill="D9E2F3" w:themeFill="accent1" w:themeFillTint="33"/>
            <w:vAlign w:val="center"/>
          </w:tcPr>
          <w:p w14:paraId="3D59B71B"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b/>
                <w:bCs/>
                <w:color w:val="000000"/>
                <w:sz w:val="18"/>
                <w:szCs w:val="18"/>
              </w:rPr>
              <w:t>76</w:t>
            </w:r>
          </w:p>
        </w:tc>
        <w:tc>
          <w:tcPr>
            <w:tcW w:w="1842" w:type="dxa"/>
            <w:shd w:val="clear" w:color="auto" w:fill="D9E2F3" w:themeFill="accent1" w:themeFillTint="33"/>
            <w:vAlign w:val="center"/>
          </w:tcPr>
          <w:p w14:paraId="35D24AC5" w14:textId="77777777" w:rsidR="00C3758C" w:rsidRPr="00CE357F" w:rsidRDefault="00C3758C" w:rsidP="00C3758C">
            <w:pPr>
              <w:jc w:val="center"/>
              <w:rPr>
                <w:rFonts w:ascii="Arial Narrow" w:hAnsi="Arial Narrow"/>
                <w:color w:val="000000"/>
                <w:sz w:val="18"/>
                <w:szCs w:val="18"/>
              </w:rPr>
            </w:pPr>
            <w:r w:rsidRPr="00CE357F">
              <w:rPr>
                <w:rFonts w:ascii="Arial Narrow" w:hAnsi="Arial Narrow"/>
                <w:b/>
                <w:bCs/>
                <w:color w:val="000000"/>
                <w:sz w:val="18"/>
                <w:szCs w:val="18"/>
              </w:rPr>
              <w:t>164</w:t>
            </w:r>
          </w:p>
        </w:tc>
      </w:tr>
    </w:tbl>
    <w:p w14:paraId="72BBF281" w14:textId="45DBD8A5" w:rsidR="007060E7" w:rsidRPr="00CE357F" w:rsidRDefault="007060E7" w:rsidP="00D63247">
      <w:pPr>
        <w:rPr>
          <w:rFonts w:ascii="Arial Narrow" w:hAnsi="Arial Narrow"/>
          <w:sz w:val="20"/>
        </w:rPr>
      </w:pPr>
      <w:bookmarkStart w:id="614" w:name="_Hlk94280050"/>
      <w:bookmarkEnd w:id="613"/>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bookmarkEnd w:id="614"/>
    </w:p>
    <w:p w14:paraId="0CF8C6F9" w14:textId="77777777" w:rsidR="00760E26" w:rsidRPr="00CE357F" w:rsidRDefault="00760E26" w:rsidP="007060E7">
      <w:pPr>
        <w:spacing w:before="240" w:after="240" w:line="276" w:lineRule="auto"/>
        <w:jc w:val="both"/>
        <w:rPr>
          <w:rFonts w:ascii="Arial Narrow" w:hAnsi="Arial Narrow"/>
          <w:b/>
          <w:bCs/>
          <w:color w:val="C00000"/>
          <w:szCs w:val="18"/>
        </w:rPr>
      </w:pPr>
      <w:bookmarkStart w:id="615" w:name="_Hlk94279770"/>
    </w:p>
    <w:p w14:paraId="1DA679CF" w14:textId="77777777" w:rsidR="00022980" w:rsidRDefault="00022980" w:rsidP="007060E7">
      <w:pPr>
        <w:spacing w:before="240" w:after="240" w:line="276" w:lineRule="auto"/>
        <w:jc w:val="both"/>
        <w:rPr>
          <w:rFonts w:ascii="Arial Narrow" w:hAnsi="Arial Narrow"/>
          <w:b/>
          <w:bCs/>
          <w:color w:val="C00000"/>
          <w:szCs w:val="18"/>
        </w:rPr>
      </w:pPr>
    </w:p>
    <w:p w14:paraId="6EFDA506" w14:textId="77777777" w:rsidR="00022980" w:rsidRDefault="00022980" w:rsidP="007060E7">
      <w:pPr>
        <w:spacing w:before="240" w:after="240" w:line="276" w:lineRule="auto"/>
        <w:jc w:val="both"/>
        <w:rPr>
          <w:rFonts w:ascii="Arial Narrow" w:hAnsi="Arial Narrow"/>
          <w:b/>
          <w:bCs/>
          <w:color w:val="C00000"/>
          <w:szCs w:val="18"/>
        </w:rPr>
      </w:pPr>
    </w:p>
    <w:p w14:paraId="2F532A89" w14:textId="169BB864" w:rsidR="007060E7" w:rsidRPr="00CE357F" w:rsidRDefault="007060E7" w:rsidP="007060E7">
      <w:pPr>
        <w:spacing w:before="240" w:after="240" w:line="276" w:lineRule="auto"/>
        <w:jc w:val="both"/>
        <w:rPr>
          <w:rFonts w:ascii="Arial Narrow" w:hAnsi="Arial Narrow"/>
          <w:b/>
          <w:bCs/>
          <w:color w:val="C00000"/>
          <w:sz w:val="28"/>
        </w:rPr>
      </w:pPr>
      <w:r w:rsidRPr="00CE357F">
        <w:rPr>
          <w:rFonts w:ascii="Arial Narrow" w:hAnsi="Arial Narrow"/>
          <w:b/>
          <w:bCs/>
          <w:color w:val="C00000"/>
          <w:szCs w:val="18"/>
        </w:rPr>
        <w:lastRenderedPageBreak/>
        <w:t xml:space="preserve">Zaměstnané </w:t>
      </w:r>
      <w:r w:rsidRPr="00CE357F">
        <w:rPr>
          <w:rFonts w:ascii="Arial Narrow" w:eastAsia="Times New Roman" w:hAnsi="Arial Narrow" w:cs="Arial"/>
          <w:b/>
          <w:bCs/>
          <w:color w:val="C00000"/>
          <w:szCs w:val="18"/>
          <w:lang w:eastAsia="cs-CZ"/>
        </w:rPr>
        <w:t>osoby s jinou než českou státní příslušností v ORP Blansko podle klasifikace ekonomické činnosti</w:t>
      </w:r>
    </w:p>
    <w:p w14:paraId="4F15280D" w14:textId="14E4FFA0" w:rsidR="007060E7" w:rsidRPr="00CE357F" w:rsidRDefault="007060E7" w:rsidP="001333A8">
      <w:pPr>
        <w:spacing w:line="276" w:lineRule="auto"/>
        <w:jc w:val="both"/>
        <w:rPr>
          <w:rFonts w:ascii="Arial Narrow" w:hAnsi="Arial Narrow"/>
        </w:rPr>
      </w:pPr>
      <w:r w:rsidRPr="00CE357F">
        <w:rPr>
          <w:rFonts w:ascii="Arial Narrow" w:hAnsi="Arial Narrow"/>
        </w:rPr>
        <w:t>Dle klasifikace ekonomických činností CZ-NACE</w:t>
      </w:r>
      <w:r w:rsidRPr="00CE357F">
        <w:rPr>
          <w:rStyle w:val="Znakapoznpodarou"/>
          <w:rFonts w:ascii="Arial Narrow" w:hAnsi="Arial Narrow"/>
        </w:rPr>
        <w:footnoteReference w:id="76"/>
      </w:r>
      <w:r w:rsidRPr="00CE357F">
        <w:rPr>
          <w:rFonts w:ascii="Arial Narrow" w:hAnsi="Arial Narrow"/>
        </w:rPr>
        <w:t xml:space="preserve">  bylo nejvíce zaměstnaných osob s jinou než českou státní příslušností v ORP Blansko k datu 31. 12. 2020 zaměstnáno ve zpracovatelském průmyslu (57,3 %). Druhou oblastí, ve které bylo zaměstnáno nejvíce osob s jinou než českou státní příslušností, byla zdravotní a sociální péče (8,5 %). Významnější počet osob s jinou než českou státní příslušností byl zaměstnán také v oblasti vědy, výzkumu a techniky (7,3 %) a v oblasti obchodu, opravy spotřebičů a motorových vozidel (6,7 %)</w:t>
      </w:r>
      <w:r w:rsidR="001333A8">
        <w:rPr>
          <w:rFonts w:ascii="Arial Narrow" w:hAnsi="Arial Narrow"/>
        </w:rPr>
        <w:t xml:space="preserve"> </w:t>
      </w:r>
      <w:r w:rsidRPr="00CE357F">
        <w:rPr>
          <w:rFonts w:ascii="Arial Narrow" w:hAnsi="Arial Narrow"/>
        </w:rPr>
        <w:t>Zaměstnané osoby s jinou než českou státní příslušností v ORP Blansko k 31. 12. 2020 podle klasifikace ekonomických činností CZ-NACE podrobně dokumentuje tabulka</w:t>
      </w:r>
      <w:r w:rsidR="001333A8">
        <w:rPr>
          <w:rFonts w:ascii="Arial Narrow" w:hAnsi="Arial Narrow"/>
        </w:rPr>
        <w:t xml:space="preserve"> č. 31</w:t>
      </w:r>
      <w:r w:rsidRPr="00CE357F">
        <w:rPr>
          <w:rFonts w:ascii="Arial Narrow" w:hAnsi="Arial Narrow"/>
        </w:rPr>
        <w:t xml:space="preserve">. </w:t>
      </w:r>
    </w:p>
    <w:p w14:paraId="2F706FAD" w14:textId="4E5DC0FC" w:rsidR="007060E7" w:rsidRPr="00CE357F" w:rsidRDefault="00DC5203" w:rsidP="007060E7">
      <w:pPr>
        <w:spacing w:line="276" w:lineRule="auto"/>
        <w:jc w:val="both"/>
        <w:rPr>
          <w:rFonts w:ascii="Arial Narrow" w:hAnsi="Arial Narrow"/>
          <w:b/>
          <w:bCs/>
          <w:sz w:val="24"/>
          <w:szCs w:val="24"/>
        </w:rPr>
      </w:pPr>
      <w:bookmarkStart w:id="616" w:name="_Hlk94279590"/>
      <w:bookmarkEnd w:id="615"/>
      <w:r w:rsidRPr="00CE357F">
        <w:rPr>
          <w:rFonts w:ascii="Arial Narrow" w:hAnsi="Arial Narrow"/>
          <w:b/>
          <w:bCs/>
          <w:sz w:val="20"/>
          <w:szCs w:val="20"/>
        </w:rPr>
        <w:br/>
      </w:r>
      <w:bookmarkStart w:id="617" w:name="_Toc136429242"/>
      <w:r w:rsidR="007060E7" w:rsidRPr="00CE357F">
        <w:rPr>
          <w:rFonts w:ascii="Arial Narrow" w:hAnsi="Arial Narrow"/>
          <w:b/>
          <w:bCs/>
          <w:sz w:val="20"/>
          <w:szCs w:val="20"/>
        </w:rPr>
        <w:t xml:space="preserve">Tabulka </w:t>
      </w:r>
      <w:r w:rsidR="007060E7" w:rsidRPr="00CE357F">
        <w:rPr>
          <w:rFonts w:ascii="Arial Narrow" w:hAnsi="Arial Narrow"/>
          <w:b/>
          <w:bCs/>
          <w:sz w:val="20"/>
          <w:szCs w:val="20"/>
        </w:rPr>
        <w:fldChar w:fldCharType="begin"/>
      </w:r>
      <w:r w:rsidR="007060E7" w:rsidRPr="00CE357F">
        <w:rPr>
          <w:rFonts w:ascii="Arial Narrow" w:hAnsi="Arial Narrow"/>
          <w:b/>
          <w:bCs/>
          <w:sz w:val="20"/>
          <w:szCs w:val="20"/>
        </w:rPr>
        <w:instrText xml:space="preserve"> SEQ Tabulka \* ARABIC </w:instrText>
      </w:r>
      <w:r w:rsidR="007060E7" w:rsidRPr="00CE357F">
        <w:rPr>
          <w:rFonts w:ascii="Arial Narrow" w:hAnsi="Arial Narrow"/>
          <w:b/>
          <w:bCs/>
          <w:sz w:val="20"/>
          <w:szCs w:val="20"/>
        </w:rPr>
        <w:fldChar w:fldCharType="separate"/>
      </w:r>
      <w:r w:rsidR="00256C97">
        <w:rPr>
          <w:rFonts w:ascii="Arial Narrow" w:hAnsi="Arial Narrow"/>
          <w:b/>
          <w:bCs/>
          <w:noProof/>
          <w:sz w:val="20"/>
          <w:szCs w:val="20"/>
        </w:rPr>
        <w:t>31</w:t>
      </w:r>
      <w:r w:rsidR="007060E7" w:rsidRPr="00CE357F">
        <w:rPr>
          <w:rFonts w:ascii="Arial Narrow" w:hAnsi="Arial Narrow"/>
          <w:b/>
          <w:bCs/>
          <w:sz w:val="20"/>
          <w:szCs w:val="20"/>
        </w:rPr>
        <w:fldChar w:fldCharType="end"/>
      </w:r>
      <w:r w:rsidR="007060E7" w:rsidRPr="00CE357F">
        <w:rPr>
          <w:rFonts w:ascii="Arial Narrow" w:hAnsi="Arial Narrow"/>
          <w:b/>
          <w:bCs/>
          <w:sz w:val="20"/>
          <w:szCs w:val="20"/>
        </w:rPr>
        <w:t xml:space="preserve">:  Zaměstnané </w:t>
      </w:r>
      <w:r w:rsidR="007060E7" w:rsidRPr="00CE357F">
        <w:rPr>
          <w:rFonts w:ascii="Arial Narrow" w:eastAsia="Times New Roman" w:hAnsi="Arial Narrow" w:cs="Arial"/>
          <w:b/>
          <w:bCs/>
          <w:sz w:val="20"/>
          <w:szCs w:val="20"/>
          <w:lang w:eastAsia="cs-CZ"/>
        </w:rPr>
        <w:t>osoby s jinou než českou státní příslušností v ORP Blansko podle klasifikace ekonomické činnosti</w:t>
      </w:r>
      <w:bookmarkEnd w:id="617"/>
    </w:p>
    <w:tbl>
      <w:tblPr>
        <w:tblW w:w="9008"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5969"/>
        <w:gridCol w:w="3039"/>
      </w:tblGrid>
      <w:tr w:rsidR="007060E7" w:rsidRPr="00CE357F" w14:paraId="52084406" w14:textId="77777777" w:rsidTr="008E3F72">
        <w:trPr>
          <w:trHeight w:val="509"/>
          <w:jc w:val="center"/>
        </w:trPr>
        <w:tc>
          <w:tcPr>
            <w:tcW w:w="5969" w:type="dxa"/>
            <w:vMerge w:val="restart"/>
            <w:shd w:val="clear" w:color="auto" w:fill="D9E2F3" w:themeFill="accent1" w:themeFillTint="33"/>
            <w:vAlign w:val="center"/>
            <w:hideMark/>
          </w:tcPr>
          <w:bookmarkEnd w:id="616"/>
          <w:p w14:paraId="07790EC0" w14:textId="77777777" w:rsidR="007060E7" w:rsidRPr="00CE357F" w:rsidRDefault="007060E7" w:rsidP="00C3758C">
            <w:pPr>
              <w:jc w:val="center"/>
              <w:rPr>
                <w:rFonts w:ascii="Arial Narrow" w:eastAsia="Times New Roman" w:hAnsi="Arial Narrow" w:cs="Arial"/>
                <w:b/>
                <w:sz w:val="18"/>
                <w:szCs w:val="18"/>
                <w:lang w:eastAsia="cs-CZ"/>
              </w:rPr>
            </w:pPr>
            <w:r w:rsidRPr="00CE357F">
              <w:rPr>
                <w:rFonts w:ascii="Arial Narrow" w:eastAsia="Times New Roman" w:hAnsi="Arial Narrow" w:cs="Arial"/>
                <w:b/>
                <w:sz w:val="18"/>
                <w:szCs w:val="18"/>
                <w:lang w:eastAsia="cs-CZ"/>
              </w:rPr>
              <w:t>Klasifikace ekonomické činnosti</w:t>
            </w:r>
          </w:p>
        </w:tc>
        <w:tc>
          <w:tcPr>
            <w:tcW w:w="3039" w:type="dxa"/>
            <w:vMerge w:val="restart"/>
            <w:shd w:val="clear" w:color="auto" w:fill="D9E2F3" w:themeFill="accent1" w:themeFillTint="33"/>
            <w:vAlign w:val="center"/>
            <w:hideMark/>
          </w:tcPr>
          <w:p w14:paraId="4A37997E"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
                <w:bCs/>
                <w:sz w:val="18"/>
                <w:szCs w:val="18"/>
                <w:lang w:eastAsia="cs-CZ"/>
              </w:rPr>
              <w:t>Počet osob s jinou než českou státní příslušností pracujících v daném oboru</w:t>
            </w:r>
          </w:p>
        </w:tc>
      </w:tr>
      <w:tr w:rsidR="007060E7" w:rsidRPr="00CE357F" w14:paraId="12A3D49B" w14:textId="77777777" w:rsidTr="007504A4">
        <w:trPr>
          <w:trHeight w:val="450"/>
          <w:jc w:val="center"/>
        </w:trPr>
        <w:tc>
          <w:tcPr>
            <w:tcW w:w="5969" w:type="dxa"/>
            <w:vMerge/>
            <w:shd w:val="clear" w:color="auto" w:fill="D9E2F3" w:themeFill="accent1" w:themeFillTint="33"/>
            <w:hideMark/>
          </w:tcPr>
          <w:p w14:paraId="22267E70" w14:textId="77777777" w:rsidR="007060E7" w:rsidRPr="00CE357F" w:rsidRDefault="007060E7" w:rsidP="00C3758C">
            <w:pPr>
              <w:jc w:val="center"/>
              <w:rPr>
                <w:rFonts w:ascii="Arial Narrow" w:eastAsia="Times New Roman" w:hAnsi="Arial Narrow" w:cs="Arial"/>
                <w:b/>
                <w:bCs/>
                <w:sz w:val="18"/>
                <w:szCs w:val="18"/>
                <w:lang w:eastAsia="cs-CZ"/>
              </w:rPr>
            </w:pPr>
          </w:p>
        </w:tc>
        <w:tc>
          <w:tcPr>
            <w:tcW w:w="3039" w:type="dxa"/>
            <w:vMerge/>
            <w:shd w:val="clear" w:color="auto" w:fill="D9E2F3" w:themeFill="accent1" w:themeFillTint="33"/>
            <w:hideMark/>
          </w:tcPr>
          <w:p w14:paraId="39CD4383" w14:textId="77777777" w:rsidR="007060E7" w:rsidRPr="00CE357F" w:rsidRDefault="007060E7" w:rsidP="00C3758C">
            <w:pPr>
              <w:jc w:val="center"/>
              <w:rPr>
                <w:rFonts w:ascii="Arial Narrow" w:eastAsia="Times New Roman" w:hAnsi="Arial Narrow" w:cs="Arial"/>
                <w:b/>
                <w:bCs/>
                <w:sz w:val="18"/>
                <w:szCs w:val="18"/>
                <w:lang w:eastAsia="cs-CZ"/>
              </w:rPr>
            </w:pPr>
          </w:p>
        </w:tc>
      </w:tr>
      <w:tr w:rsidR="007060E7" w:rsidRPr="00CE357F" w14:paraId="28155DA1" w14:textId="77777777" w:rsidTr="008E3F72">
        <w:trPr>
          <w:trHeight w:val="227"/>
          <w:jc w:val="center"/>
        </w:trPr>
        <w:tc>
          <w:tcPr>
            <w:tcW w:w="5969" w:type="dxa"/>
            <w:shd w:val="clear" w:color="auto" w:fill="D9E2F3" w:themeFill="accent1" w:themeFillTint="33"/>
          </w:tcPr>
          <w:p w14:paraId="321FF3E2" w14:textId="45AA438A"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A</w:t>
            </w:r>
            <w:r w:rsidR="00C3758C" w:rsidRPr="00CE357F">
              <w:rPr>
                <w:rFonts w:ascii="Arial Narrow" w:eastAsia="Times New Roman" w:hAnsi="Arial Narrow" w:cs="Arial"/>
                <w:sz w:val="18"/>
                <w:szCs w:val="18"/>
                <w:lang w:eastAsia="cs-CZ"/>
              </w:rPr>
              <w:t xml:space="preserve"> – Zemědělství, lesnictví, rybářství</w:t>
            </w:r>
          </w:p>
        </w:tc>
        <w:tc>
          <w:tcPr>
            <w:tcW w:w="3039" w:type="dxa"/>
          </w:tcPr>
          <w:p w14:paraId="0EDBFA13"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6</w:t>
            </w:r>
          </w:p>
        </w:tc>
      </w:tr>
      <w:tr w:rsidR="007060E7" w:rsidRPr="00CE357F" w14:paraId="054BB979" w14:textId="77777777" w:rsidTr="008E3F72">
        <w:trPr>
          <w:trHeight w:val="227"/>
          <w:jc w:val="center"/>
        </w:trPr>
        <w:tc>
          <w:tcPr>
            <w:tcW w:w="5969" w:type="dxa"/>
            <w:shd w:val="clear" w:color="auto" w:fill="D9E2F3" w:themeFill="accent1" w:themeFillTint="33"/>
          </w:tcPr>
          <w:p w14:paraId="56B5C234" w14:textId="6DD672FA"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B</w:t>
            </w:r>
            <w:r w:rsidR="00C3758C" w:rsidRPr="00CE357F">
              <w:rPr>
                <w:rFonts w:ascii="Arial Narrow" w:eastAsia="Times New Roman" w:hAnsi="Arial Narrow" w:cs="Arial"/>
                <w:sz w:val="18"/>
                <w:szCs w:val="18"/>
                <w:lang w:eastAsia="cs-CZ"/>
              </w:rPr>
              <w:t xml:space="preserve"> – Těžba a dobývání</w:t>
            </w:r>
          </w:p>
        </w:tc>
        <w:tc>
          <w:tcPr>
            <w:tcW w:w="3039" w:type="dxa"/>
          </w:tcPr>
          <w:p w14:paraId="15E82121"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782D8E2C" w14:textId="77777777" w:rsidTr="008E3F72">
        <w:trPr>
          <w:trHeight w:val="227"/>
          <w:jc w:val="center"/>
        </w:trPr>
        <w:tc>
          <w:tcPr>
            <w:tcW w:w="5969" w:type="dxa"/>
            <w:shd w:val="clear" w:color="auto" w:fill="D9E2F3" w:themeFill="accent1" w:themeFillTint="33"/>
          </w:tcPr>
          <w:p w14:paraId="4516F933" w14:textId="56AFF3A8" w:rsidR="007060E7" w:rsidRPr="00CE357F" w:rsidRDefault="007060E7" w:rsidP="00C3758C">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C</w:t>
            </w:r>
            <w:r w:rsidR="00C3758C" w:rsidRPr="00CE357F">
              <w:rPr>
                <w:rFonts w:ascii="Arial Narrow" w:eastAsia="Times New Roman" w:hAnsi="Arial Narrow" w:cs="Arial"/>
                <w:b/>
                <w:bCs/>
                <w:color w:val="C00000"/>
                <w:sz w:val="18"/>
                <w:szCs w:val="18"/>
                <w:lang w:eastAsia="cs-CZ"/>
              </w:rPr>
              <w:t xml:space="preserve"> – Zpracovatelský průmysl</w:t>
            </w:r>
          </w:p>
        </w:tc>
        <w:tc>
          <w:tcPr>
            <w:tcW w:w="3039" w:type="dxa"/>
          </w:tcPr>
          <w:p w14:paraId="1D62F3BE" w14:textId="77777777" w:rsidR="007060E7" w:rsidRPr="00CE357F" w:rsidRDefault="007060E7" w:rsidP="00C3758C">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94</w:t>
            </w:r>
          </w:p>
        </w:tc>
      </w:tr>
      <w:tr w:rsidR="007060E7" w:rsidRPr="00CE357F" w14:paraId="79EC0548" w14:textId="77777777" w:rsidTr="008E3F72">
        <w:trPr>
          <w:trHeight w:val="227"/>
          <w:jc w:val="center"/>
        </w:trPr>
        <w:tc>
          <w:tcPr>
            <w:tcW w:w="5969" w:type="dxa"/>
            <w:shd w:val="clear" w:color="auto" w:fill="D9E2F3" w:themeFill="accent1" w:themeFillTint="33"/>
          </w:tcPr>
          <w:p w14:paraId="06B41923" w14:textId="0DC9F8E9"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D</w:t>
            </w:r>
            <w:r w:rsidR="00C3758C" w:rsidRPr="00CE357F">
              <w:rPr>
                <w:rFonts w:ascii="Arial Narrow" w:eastAsia="Times New Roman" w:hAnsi="Arial Narrow" w:cs="Arial"/>
                <w:sz w:val="18"/>
                <w:szCs w:val="18"/>
                <w:lang w:eastAsia="cs-CZ"/>
              </w:rPr>
              <w:t xml:space="preserve"> – Výroba a rozvod elektřiny, plynu, tepla a klimatizovaného vzduchu</w:t>
            </w:r>
          </w:p>
        </w:tc>
        <w:tc>
          <w:tcPr>
            <w:tcW w:w="3039" w:type="dxa"/>
          </w:tcPr>
          <w:p w14:paraId="4634FD73"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007966AF" w14:textId="77777777" w:rsidTr="008E3F72">
        <w:trPr>
          <w:trHeight w:val="227"/>
          <w:jc w:val="center"/>
        </w:trPr>
        <w:tc>
          <w:tcPr>
            <w:tcW w:w="5969" w:type="dxa"/>
            <w:shd w:val="clear" w:color="auto" w:fill="D9E2F3" w:themeFill="accent1" w:themeFillTint="33"/>
          </w:tcPr>
          <w:p w14:paraId="6E93998F" w14:textId="61366EBE"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E</w:t>
            </w:r>
            <w:r w:rsidR="00C3758C" w:rsidRPr="00CE357F">
              <w:rPr>
                <w:rFonts w:ascii="Arial Narrow" w:eastAsia="Times New Roman" w:hAnsi="Arial Narrow" w:cs="Arial"/>
                <w:sz w:val="18"/>
                <w:szCs w:val="18"/>
                <w:lang w:eastAsia="cs-CZ"/>
              </w:rPr>
              <w:t xml:space="preserve"> – Zásobování vodou; činnosti související s odpadními vodami, odpady a sanacemi</w:t>
            </w:r>
          </w:p>
        </w:tc>
        <w:tc>
          <w:tcPr>
            <w:tcW w:w="3039" w:type="dxa"/>
          </w:tcPr>
          <w:p w14:paraId="2F76ED46"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56F94675" w14:textId="77777777" w:rsidTr="008E3F72">
        <w:trPr>
          <w:trHeight w:val="227"/>
          <w:jc w:val="center"/>
        </w:trPr>
        <w:tc>
          <w:tcPr>
            <w:tcW w:w="5969" w:type="dxa"/>
            <w:shd w:val="clear" w:color="auto" w:fill="D9E2F3" w:themeFill="accent1" w:themeFillTint="33"/>
          </w:tcPr>
          <w:p w14:paraId="4C64E94B" w14:textId="150CA83B"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F</w:t>
            </w:r>
            <w:r w:rsidR="00C3758C" w:rsidRPr="00CE357F">
              <w:rPr>
                <w:rFonts w:ascii="Arial Narrow" w:eastAsia="Times New Roman" w:hAnsi="Arial Narrow" w:cs="Arial"/>
                <w:sz w:val="18"/>
                <w:szCs w:val="18"/>
                <w:lang w:eastAsia="cs-CZ"/>
              </w:rPr>
              <w:t xml:space="preserve"> – Stavebnictví</w:t>
            </w:r>
          </w:p>
        </w:tc>
        <w:tc>
          <w:tcPr>
            <w:tcW w:w="3039" w:type="dxa"/>
          </w:tcPr>
          <w:p w14:paraId="5656B20B"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4</w:t>
            </w:r>
          </w:p>
        </w:tc>
      </w:tr>
      <w:tr w:rsidR="007060E7" w:rsidRPr="00CE357F" w14:paraId="20FBEA3D" w14:textId="77777777" w:rsidTr="008E3F72">
        <w:trPr>
          <w:trHeight w:val="227"/>
          <w:jc w:val="center"/>
        </w:trPr>
        <w:tc>
          <w:tcPr>
            <w:tcW w:w="5969" w:type="dxa"/>
            <w:shd w:val="clear" w:color="auto" w:fill="D9E2F3" w:themeFill="accent1" w:themeFillTint="33"/>
          </w:tcPr>
          <w:p w14:paraId="3410D703" w14:textId="6980C700" w:rsidR="007060E7" w:rsidRPr="00CE357F" w:rsidRDefault="007060E7" w:rsidP="00C3758C">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G</w:t>
            </w:r>
            <w:r w:rsidR="00C3758C" w:rsidRPr="00CE357F">
              <w:rPr>
                <w:rFonts w:ascii="Arial Narrow" w:eastAsia="Times New Roman" w:hAnsi="Arial Narrow" w:cs="Arial"/>
                <w:b/>
                <w:bCs/>
                <w:color w:val="C00000"/>
                <w:sz w:val="18"/>
                <w:szCs w:val="18"/>
                <w:lang w:eastAsia="cs-CZ"/>
              </w:rPr>
              <w:t xml:space="preserve"> – Velkoobchod a maloobchod; opravy a údržba motorových vozidel</w:t>
            </w:r>
          </w:p>
        </w:tc>
        <w:tc>
          <w:tcPr>
            <w:tcW w:w="3039" w:type="dxa"/>
          </w:tcPr>
          <w:p w14:paraId="05156622" w14:textId="77777777" w:rsidR="007060E7" w:rsidRPr="00CE357F" w:rsidRDefault="007060E7" w:rsidP="00C3758C">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11</w:t>
            </w:r>
          </w:p>
        </w:tc>
      </w:tr>
      <w:tr w:rsidR="007060E7" w:rsidRPr="00CE357F" w14:paraId="094AB926" w14:textId="77777777" w:rsidTr="008E3F72">
        <w:trPr>
          <w:trHeight w:val="227"/>
          <w:jc w:val="center"/>
        </w:trPr>
        <w:tc>
          <w:tcPr>
            <w:tcW w:w="5969" w:type="dxa"/>
            <w:shd w:val="clear" w:color="auto" w:fill="D9E2F3" w:themeFill="accent1" w:themeFillTint="33"/>
          </w:tcPr>
          <w:p w14:paraId="7B55EF5D" w14:textId="3F6E956C"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H</w:t>
            </w:r>
            <w:r w:rsidR="00C3758C" w:rsidRPr="00CE357F">
              <w:rPr>
                <w:rFonts w:ascii="Arial Narrow" w:eastAsia="Times New Roman" w:hAnsi="Arial Narrow" w:cs="Arial"/>
                <w:sz w:val="18"/>
                <w:szCs w:val="18"/>
                <w:lang w:eastAsia="cs-CZ"/>
              </w:rPr>
              <w:t xml:space="preserve"> – Doprava a skladování</w:t>
            </w:r>
          </w:p>
        </w:tc>
        <w:tc>
          <w:tcPr>
            <w:tcW w:w="3039" w:type="dxa"/>
          </w:tcPr>
          <w:p w14:paraId="2ACCAE62"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2</w:t>
            </w:r>
          </w:p>
        </w:tc>
      </w:tr>
      <w:tr w:rsidR="007060E7" w:rsidRPr="00CE357F" w14:paraId="6B4BEFC6" w14:textId="77777777" w:rsidTr="008E3F72">
        <w:trPr>
          <w:trHeight w:val="227"/>
          <w:jc w:val="center"/>
        </w:trPr>
        <w:tc>
          <w:tcPr>
            <w:tcW w:w="5969" w:type="dxa"/>
            <w:shd w:val="clear" w:color="auto" w:fill="D9E2F3" w:themeFill="accent1" w:themeFillTint="33"/>
          </w:tcPr>
          <w:p w14:paraId="12ADAE97" w14:textId="4D58B95C"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I</w:t>
            </w:r>
            <w:r w:rsidR="00C3758C" w:rsidRPr="00CE357F">
              <w:rPr>
                <w:rFonts w:ascii="Arial Narrow" w:eastAsia="Times New Roman" w:hAnsi="Arial Narrow" w:cs="Arial"/>
                <w:sz w:val="18"/>
                <w:szCs w:val="18"/>
                <w:lang w:eastAsia="cs-CZ"/>
              </w:rPr>
              <w:t xml:space="preserve"> – Ubytování, stravování a pohostinství</w:t>
            </w:r>
          </w:p>
        </w:tc>
        <w:tc>
          <w:tcPr>
            <w:tcW w:w="3039" w:type="dxa"/>
          </w:tcPr>
          <w:p w14:paraId="2C0F8AC8"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6E945D2D" w14:textId="77777777" w:rsidTr="008E3F72">
        <w:trPr>
          <w:trHeight w:val="227"/>
          <w:jc w:val="center"/>
        </w:trPr>
        <w:tc>
          <w:tcPr>
            <w:tcW w:w="5969" w:type="dxa"/>
            <w:shd w:val="clear" w:color="auto" w:fill="D9E2F3" w:themeFill="accent1" w:themeFillTint="33"/>
          </w:tcPr>
          <w:p w14:paraId="5B3A65F4" w14:textId="1CBE5A8B"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J</w:t>
            </w:r>
            <w:r w:rsidR="00C3758C" w:rsidRPr="00CE357F">
              <w:rPr>
                <w:rFonts w:ascii="Arial Narrow" w:eastAsia="Times New Roman" w:hAnsi="Arial Narrow" w:cs="Arial"/>
                <w:sz w:val="18"/>
                <w:szCs w:val="18"/>
                <w:lang w:eastAsia="cs-CZ"/>
              </w:rPr>
              <w:t xml:space="preserve"> – Informační a komunikační činnosti</w:t>
            </w:r>
          </w:p>
        </w:tc>
        <w:tc>
          <w:tcPr>
            <w:tcW w:w="3039" w:type="dxa"/>
          </w:tcPr>
          <w:p w14:paraId="6A66388D"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53688628" w14:textId="77777777" w:rsidTr="008E3F72">
        <w:trPr>
          <w:trHeight w:val="227"/>
          <w:jc w:val="center"/>
        </w:trPr>
        <w:tc>
          <w:tcPr>
            <w:tcW w:w="5969" w:type="dxa"/>
            <w:shd w:val="clear" w:color="auto" w:fill="D9E2F3" w:themeFill="accent1" w:themeFillTint="33"/>
          </w:tcPr>
          <w:p w14:paraId="4CC76D06" w14:textId="421AFC91"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K</w:t>
            </w:r>
            <w:r w:rsidR="00C3758C" w:rsidRPr="00CE357F">
              <w:rPr>
                <w:rFonts w:ascii="Arial Narrow" w:eastAsia="Times New Roman" w:hAnsi="Arial Narrow" w:cs="Arial"/>
                <w:sz w:val="18"/>
                <w:szCs w:val="18"/>
                <w:lang w:eastAsia="cs-CZ"/>
              </w:rPr>
              <w:t xml:space="preserve"> – Peněžnictví a pojišťovnictví</w:t>
            </w:r>
          </w:p>
        </w:tc>
        <w:tc>
          <w:tcPr>
            <w:tcW w:w="3039" w:type="dxa"/>
          </w:tcPr>
          <w:p w14:paraId="19AE6BC1"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51AE5107" w14:textId="77777777" w:rsidTr="008E3F72">
        <w:trPr>
          <w:trHeight w:val="227"/>
          <w:jc w:val="center"/>
        </w:trPr>
        <w:tc>
          <w:tcPr>
            <w:tcW w:w="5969" w:type="dxa"/>
            <w:shd w:val="clear" w:color="auto" w:fill="D9E2F3" w:themeFill="accent1" w:themeFillTint="33"/>
          </w:tcPr>
          <w:p w14:paraId="6BEF8B77" w14:textId="7417FC4E"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L</w:t>
            </w:r>
            <w:r w:rsidR="00C3758C" w:rsidRPr="00CE357F">
              <w:rPr>
                <w:rFonts w:ascii="Arial Narrow" w:eastAsia="Times New Roman" w:hAnsi="Arial Narrow" w:cs="Arial"/>
                <w:sz w:val="18"/>
                <w:szCs w:val="18"/>
                <w:lang w:eastAsia="cs-CZ"/>
              </w:rPr>
              <w:t xml:space="preserve"> – Činnosti v oblasti nemovitostí</w:t>
            </w:r>
          </w:p>
        </w:tc>
        <w:tc>
          <w:tcPr>
            <w:tcW w:w="3039" w:type="dxa"/>
          </w:tcPr>
          <w:p w14:paraId="5FC63363"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5F84E497" w14:textId="77777777" w:rsidTr="008E3F72">
        <w:trPr>
          <w:trHeight w:val="227"/>
          <w:jc w:val="center"/>
        </w:trPr>
        <w:tc>
          <w:tcPr>
            <w:tcW w:w="5969" w:type="dxa"/>
            <w:shd w:val="clear" w:color="auto" w:fill="D9E2F3" w:themeFill="accent1" w:themeFillTint="33"/>
          </w:tcPr>
          <w:p w14:paraId="2767613F" w14:textId="74FA80C0" w:rsidR="007060E7" w:rsidRPr="00CE357F" w:rsidRDefault="007060E7" w:rsidP="00C3758C">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M</w:t>
            </w:r>
            <w:r w:rsidR="00C3758C" w:rsidRPr="00CE357F">
              <w:rPr>
                <w:rFonts w:ascii="Arial Narrow" w:eastAsia="Times New Roman" w:hAnsi="Arial Narrow" w:cs="Arial"/>
                <w:b/>
                <w:bCs/>
                <w:color w:val="C00000"/>
                <w:sz w:val="18"/>
                <w:szCs w:val="18"/>
                <w:lang w:eastAsia="cs-CZ"/>
              </w:rPr>
              <w:t xml:space="preserve"> </w:t>
            </w:r>
            <w:r w:rsidR="008E3F72" w:rsidRPr="00CE357F">
              <w:rPr>
                <w:rFonts w:ascii="Arial Narrow" w:eastAsia="Times New Roman" w:hAnsi="Arial Narrow" w:cs="Arial"/>
                <w:b/>
                <w:bCs/>
                <w:color w:val="C00000"/>
                <w:sz w:val="18"/>
                <w:szCs w:val="18"/>
                <w:lang w:eastAsia="cs-CZ"/>
              </w:rPr>
              <w:t>–</w:t>
            </w:r>
            <w:r w:rsidR="00C3758C" w:rsidRPr="00CE357F">
              <w:rPr>
                <w:rFonts w:ascii="Arial Narrow" w:eastAsia="Times New Roman" w:hAnsi="Arial Narrow" w:cs="Arial"/>
                <w:b/>
                <w:bCs/>
                <w:color w:val="C00000"/>
                <w:sz w:val="18"/>
                <w:szCs w:val="18"/>
                <w:lang w:eastAsia="cs-CZ"/>
              </w:rPr>
              <w:t xml:space="preserve"> </w:t>
            </w:r>
            <w:r w:rsidR="008E3F72" w:rsidRPr="00CE357F">
              <w:rPr>
                <w:rFonts w:ascii="Arial Narrow" w:eastAsia="Times New Roman" w:hAnsi="Arial Narrow" w:cs="Arial"/>
                <w:b/>
                <w:bCs/>
                <w:color w:val="C00000"/>
                <w:sz w:val="18"/>
                <w:szCs w:val="18"/>
                <w:lang w:eastAsia="cs-CZ"/>
              </w:rPr>
              <w:t>Profesní, vědecké a technické činnosti</w:t>
            </w:r>
          </w:p>
        </w:tc>
        <w:tc>
          <w:tcPr>
            <w:tcW w:w="3039" w:type="dxa"/>
          </w:tcPr>
          <w:p w14:paraId="440A7059" w14:textId="77777777" w:rsidR="007060E7" w:rsidRPr="00CE357F" w:rsidRDefault="007060E7" w:rsidP="00C3758C">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12</w:t>
            </w:r>
          </w:p>
        </w:tc>
      </w:tr>
      <w:tr w:rsidR="007060E7" w:rsidRPr="00CE357F" w14:paraId="19C2786D" w14:textId="77777777" w:rsidTr="008E3F72">
        <w:trPr>
          <w:trHeight w:val="227"/>
          <w:jc w:val="center"/>
        </w:trPr>
        <w:tc>
          <w:tcPr>
            <w:tcW w:w="5969" w:type="dxa"/>
            <w:shd w:val="clear" w:color="auto" w:fill="D9E2F3" w:themeFill="accent1" w:themeFillTint="33"/>
          </w:tcPr>
          <w:p w14:paraId="08426208" w14:textId="6261630A"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N</w:t>
            </w:r>
            <w:r w:rsidR="008E3F72" w:rsidRPr="00CE357F">
              <w:rPr>
                <w:rFonts w:ascii="Arial Narrow" w:eastAsia="Times New Roman" w:hAnsi="Arial Narrow" w:cs="Arial"/>
                <w:sz w:val="18"/>
                <w:szCs w:val="18"/>
                <w:lang w:eastAsia="cs-CZ"/>
              </w:rPr>
              <w:t xml:space="preserve"> – Administrativní a podpůrné činnosti</w:t>
            </w:r>
          </w:p>
        </w:tc>
        <w:tc>
          <w:tcPr>
            <w:tcW w:w="3039" w:type="dxa"/>
          </w:tcPr>
          <w:p w14:paraId="75B772F8"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3</w:t>
            </w:r>
          </w:p>
        </w:tc>
      </w:tr>
      <w:tr w:rsidR="007060E7" w:rsidRPr="00CE357F" w14:paraId="48DB5F8C" w14:textId="77777777" w:rsidTr="008E3F72">
        <w:trPr>
          <w:trHeight w:val="227"/>
          <w:jc w:val="center"/>
        </w:trPr>
        <w:tc>
          <w:tcPr>
            <w:tcW w:w="5969" w:type="dxa"/>
            <w:shd w:val="clear" w:color="auto" w:fill="D9E2F3" w:themeFill="accent1" w:themeFillTint="33"/>
          </w:tcPr>
          <w:p w14:paraId="5492A977" w14:textId="5E635375"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O</w:t>
            </w:r>
            <w:r w:rsidR="008E3F72" w:rsidRPr="00CE357F">
              <w:rPr>
                <w:rFonts w:ascii="Arial Narrow" w:eastAsia="Times New Roman" w:hAnsi="Arial Narrow" w:cs="Arial"/>
                <w:sz w:val="18"/>
                <w:szCs w:val="18"/>
                <w:lang w:eastAsia="cs-CZ"/>
              </w:rPr>
              <w:t xml:space="preserve"> – Veřejná správa a obrana; povinné sociální zabezpečení</w:t>
            </w:r>
          </w:p>
        </w:tc>
        <w:tc>
          <w:tcPr>
            <w:tcW w:w="3039" w:type="dxa"/>
          </w:tcPr>
          <w:p w14:paraId="197C1918"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6</w:t>
            </w:r>
          </w:p>
        </w:tc>
      </w:tr>
      <w:tr w:rsidR="007060E7" w:rsidRPr="00CE357F" w14:paraId="520C4D1D" w14:textId="77777777" w:rsidTr="008E3F72">
        <w:trPr>
          <w:trHeight w:val="227"/>
          <w:jc w:val="center"/>
        </w:trPr>
        <w:tc>
          <w:tcPr>
            <w:tcW w:w="5969" w:type="dxa"/>
            <w:shd w:val="clear" w:color="auto" w:fill="D9E2F3" w:themeFill="accent1" w:themeFillTint="33"/>
          </w:tcPr>
          <w:p w14:paraId="22ED4FAF" w14:textId="5F78762D"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P</w:t>
            </w:r>
            <w:r w:rsidR="008E3F72" w:rsidRPr="00CE357F">
              <w:rPr>
                <w:rFonts w:ascii="Arial Narrow" w:eastAsia="Times New Roman" w:hAnsi="Arial Narrow" w:cs="Arial"/>
                <w:sz w:val="18"/>
                <w:szCs w:val="18"/>
                <w:lang w:eastAsia="cs-CZ"/>
              </w:rPr>
              <w:t xml:space="preserve"> – Vzdělávání</w:t>
            </w:r>
          </w:p>
        </w:tc>
        <w:tc>
          <w:tcPr>
            <w:tcW w:w="3039" w:type="dxa"/>
          </w:tcPr>
          <w:p w14:paraId="0516AD8A"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9</w:t>
            </w:r>
          </w:p>
        </w:tc>
      </w:tr>
      <w:tr w:rsidR="007060E7" w:rsidRPr="00CE357F" w14:paraId="4B69A2BB" w14:textId="77777777" w:rsidTr="008E3F72">
        <w:trPr>
          <w:trHeight w:val="227"/>
          <w:jc w:val="center"/>
        </w:trPr>
        <w:tc>
          <w:tcPr>
            <w:tcW w:w="5969" w:type="dxa"/>
            <w:shd w:val="clear" w:color="auto" w:fill="D9E2F3" w:themeFill="accent1" w:themeFillTint="33"/>
          </w:tcPr>
          <w:p w14:paraId="3CF74467" w14:textId="4B851F40" w:rsidR="007060E7" w:rsidRPr="00CE357F" w:rsidRDefault="007060E7" w:rsidP="00C3758C">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Q</w:t>
            </w:r>
            <w:r w:rsidR="008E3F72" w:rsidRPr="00CE357F">
              <w:rPr>
                <w:rFonts w:ascii="Arial Narrow" w:eastAsia="Times New Roman" w:hAnsi="Arial Narrow" w:cs="Arial"/>
                <w:b/>
                <w:bCs/>
                <w:color w:val="C00000"/>
                <w:sz w:val="18"/>
                <w:szCs w:val="18"/>
                <w:lang w:eastAsia="cs-CZ"/>
              </w:rPr>
              <w:t xml:space="preserve"> – Zdravotní a sociální péče</w:t>
            </w:r>
          </w:p>
        </w:tc>
        <w:tc>
          <w:tcPr>
            <w:tcW w:w="3039" w:type="dxa"/>
          </w:tcPr>
          <w:p w14:paraId="7507E859" w14:textId="77777777" w:rsidR="007060E7" w:rsidRPr="00CE357F" w:rsidRDefault="007060E7" w:rsidP="00C3758C">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14</w:t>
            </w:r>
          </w:p>
        </w:tc>
      </w:tr>
      <w:tr w:rsidR="007060E7" w:rsidRPr="00CE357F" w14:paraId="10FB5186" w14:textId="77777777" w:rsidTr="008E3F72">
        <w:trPr>
          <w:trHeight w:val="227"/>
          <w:jc w:val="center"/>
        </w:trPr>
        <w:tc>
          <w:tcPr>
            <w:tcW w:w="5969" w:type="dxa"/>
            <w:shd w:val="clear" w:color="auto" w:fill="D9E2F3" w:themeFill="accent1" w:themeFillTint="33"/>
          </w:tcPr>
          <w:p w14:paraId="2E94B847" w14:textId="12B7114A"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R</w:t>
            </w:r>
            <w:r w:rsidR="008E3F72" w:rsidRPr="00CE357F">
              <w:rPr>
                <w:rFonts w:ascii="Arial Narrow" w:eastAsia="Times New Roman" w:hAnsi="Arial Narrow" w:cs="Arial"/>
                <w:sz w:val="18"/>
                <w:szCs w:val="18"/>
                <w:lang w:eastAsia="cs-CZ"/>
              </w:rPr>
              <w:t xml:space="preserve"> – Kulturní, zábavní a rekreační činnosti</w:t>
            </w:r>
          </w:p>
        </w:tc>
        <w:tc>
          <w:tcPr>
            <w:tcW w:w="3039" w:type="dxa"/>
          </w:tcPr>
          <w:p w14:paraId="1A6E3531"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2</w:t>
            </w:r>
          </w:p>
        </w:tc>
      </w:tr>
      <w:tr w:rsidR="007060E7" w:rsidRPr="00CE357F" w14:paraId="18101F2F" w14:textId="77777777" w:rsidTr="008E3F72">
        <w:trPr>
          <w:trHeight w:val="227"/>
          <w:jc w:val="center"/>
        </w:trPr>
        <w:tc>
          <w:tcPr>
            <w:tcW w:w="5969" w:type="dxa"/>
            <w:shd w:val="clear" w:color="auto" w:fill="D9E2F3" w:themeFill="accent1" w:themeFillTint="33"/>
          </w:tcPr>
          <w:p w14:paraId="1473486A" w14:textId="6C6867A1"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S</w:t>
            </w:r>
            <w:r w:rsidR="008E3F72" w:rsidRPr="00CE357F">
              <w:rPr>
                <w:rFonts w:ascii="Arial Narrow" w:eastAsia="Times New Roman" w:hAnsi="Arial Narrow" w:cs="Arial"/>
                <w:sz w:val="18"/>
                <w:szCs w:val="18"/>
                <w:lang w:eastAsia="cs-CZ"/>
              </w:rPr>
              <w:t xml:space="preserve"> – Ostatní činnosti</w:t>
            </w:r>
          </w:p>
        </w:tc>
        <w:tc>
          <w:tcPr>
            <w:tcW w:w="3039" w:type="dxa"/>
          </w:tcPr>
          <w:p w14:paraId="25ADCFF8"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1</w:t>
            </w:r>
          </w:p>
        </w:tc>
      </w:tr>
      <w:tr w:rsidR="007060E7" w:rsidRPr="00CE357F" w14:paraId="5EE6B5FD" w14:textId="77777777" w:rsidTr="008E3F72">
        <w:trPr>
          <w:trHeight w:val="227"/>
          <w:jc w:val="center"/>
        </w:trPr>
        <w:tc>
          <w:tcPr>
            <w:tcW w:w="5969" w:type="dxa"/>
            <w:shd w:val="clear" w:color="auto" w:fill="D9E2F3" w:themeFill="accent1" w:themeFillTint="33"/>
          </w:tcPr>
          <w:p w14:paraId="3D89097E" w14:textId="59DA24DA"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T</w:t>
            </w:r>
            <w:r w:rsidR="008E3F72" w:rsidRPr="00CE357F">
              <w:rPr>
                <w:rFonts w:ascii="Arial Narrow" w:eastAsia="Times New Roman" w:hAnsi="Arial Narrow" w:cs="Arial"/>
                <w:sz w:val="18"/>
                <w:szCs w:val="18"/>
                <w:lang w:eastAsia="cs-CZ"/>
              </w:rPr>
              <w:t xml:space="preserve"> – Činnosti domácností</w:t>
            </w:r>
          </w:p>
        </w:tc>
        <w:tc>
          <w:tcPr>
            <w:tcW w:w="3039" w:type="dxa"/>
          </w:tcPr>
          <w:p w14:paraId="4D3E022F"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4783A49F" w14:textId="77777777" w:rsidTr="008E3F72">
        <w:trPr>
          <w:trHeight w:val="227"/>
          <w:jc w:val="center"/>
        </w:trPr>
        <w:tc>
          <w:tcPr>
            <w:tcW w:w="5969" w:type="dxa"/>
            <w:shd w:val="clear" w:color="auto" w:fill="D9E2F3" w:themeFill="accent1" w:themeFillTint="33"/>
          </w:tcPr>
          <w:p w14:paraId="53E0A0D9" w14:textId="37F2A873"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U</w:t>
            </w:r>
            <w:r w:rsidR="008E3F72" w:rsidRPr="00CE357F">
              <w:rPr>
                <w:rFonts w:ascii="Arial Narrow" w:eastAsia="Times New Roman" w:hAnsi="Arial Narrow" w:cs="Arial"/>
                <w:sz w:val="18"/>
                <w:szCs w:val="18"/>
                <w:lang w:eastAsia="cs-CZ"/>
              </w:rPr>
              <w:t xml:space="preserve"> – Činnosti exteritoriálních organizací a orgánů</w:t>
            </w:r>
          </w:p>
        </w:tc>
        <w:tc>
          <w:tcPr>
            <w:tcW w:w="3039" w:type="dxa"/>
          </w:tcPr>
          <w:p w14:paraId="6B877AEC"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6DFFDCAB" w14:textId="77777777" w:rsidTr="008E3F72">
        <w:trPr>
          <w:trHeight w:val="227"/>
          <w:jc w:val="center"/>
        </w:trPr>
        <w:tc>
          <w:tcPr>
            <w:tcW w:w="5969" w:type="dxa"/>
            <w:shd w:val="clear" w:color="auto" w:fill="D9E2F3" w:themeFill="accent1" w:themeFillTint="33"/>
          </w:tcPr>
          <w:p w14:paraId="204F4F64"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neuvedeno</w:t>
            </w:r>
          </w:p>
        </w:tc>
        <w:tc>
          <w:tcPr>
            <w:tcW w:w="3039" w:type="dxa"/>
          </w:tcPr>
          <w:p w14:paraId="1DA56AD3" w14:textId="77777777" w:rsidR="007060E7" w:rsidRPr="00CE357F" w:rsidRDefault="007060E7" w:rsidP="00C3758C">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7060E7" w:rsidRPr="00CE357F" w14:paraId="3514DF5C" w14:textId="77777777" w:rsidTr="008E3F72">
        <w:trPr>
          <w:trHeight w:val="272"/>
          <w:jc w:val="center"/>
        </w:trPr>
        <w:tc>
          <w:tcPr>
            <w:tcW w:w="5969" w:type="dxa"/>
            <w:shd w:val="clear" w:color="auto" w:fill="D9E2F3" w:themeFill="accent1" w:themeFillTint="33"/>
            <w:vAlign w:val="center"/>
          </w:tcPr>
          <w:p w14:paraId="0BC178EC" w14:textId="77777777" w:rsidR="007060E7" w:rsidRPr="00CE357F" w:rsidRDefault="007060E7" w:rsidP="00C3758C">
            <w:pPr>
              <w:jc w:val="center"/>
              <w:rPr>
                <w:rFonts w:ascii="Arial Narrow" w:hAnsi="Arial Narrow"/>
                <w:b/>
                <w:bCs/>
                <w:sz w:val="18"/>
                <w:szCs w:val="18"/>
              </w:rPr>
            </w:pPr>
            <w:r w:rsidRPr="00CE357F">
              <w:rPr>
                <w:rFonts w:ascii="Arial Narrow" w:hAnsi="Arial Narrow"/>
                <w:b/>
                <w:bCs/>
                <w:sz w:val="18"/>
                <w:szCs w:val="18"/>
              </w:rPr>
              <w:t>Počet pracujících osob s jinou než českou státní příslušností v ORP celkem</w:t>
            </w:r>
          </w:p>
        </w:tc>
        <w:tc>
          <w:tcPr>
            <w:tcW w:w="3039" w:type="dxa"/>
            <w:vAlign w:val="center"/>
          </w:tcPr>
          <w:p w14:paraId="18489F53" w14:textId="77777777" w:rsidR="007060E7" w:rsidRPr="00CE357F" w:rsidRDefault="007060E7" w:rsidP="00C3758C">
            <w:pPr>
              <w:jc w:val="center"/>
              <w:rPr>
                <w:rFonts w:ascii="Arial Narrow" w:hAnsi="Arial Narrow"/>
                <w:b/>
                <w:bCs/>
                <w:sz w:val="18"/>
                <w:szCs w:val="18"/>
              </w:rPr>
            </w:pPr>
            <w:r w:rsidRPr="00CE357F">
              <w:rPr>
                <w:rFonts w:ascii="Arial Narrow" w:hAnsi="Arial Narrow"/>
                <w:b/>
                <w:bCs/>
                <w:sz w:val="18"/>
                <w:szCs w:val="18"/>
              </w:rPr>
              <w:t>164</w:t>
            </w:r>
          </w:p>
        </w:tc>
      </w:tr>
    </w:tbl>
    <w:p w14:paraId="33B20C01" w14:textId="212853A7" w:rsidR="007060E7" w:rsidRPr="00CE357F" w:rsidRDefault="007060E7" w:rsidP="007060E7">
      <w:pPr>
        <w:spacing w:after="240"/>
        <w:rPr>
          <w:rFonts w:ascii="Arial Narrow" w:hAnsi="Arial Narrow"/>
          <w:sz w:val="20"/>
        </w:rPr>
      </w:pPr>
      <w:bookmarkStart w:id="618" w:name="_Hlk94279669"/>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00D62C17" w:rsidRPr="00CE357F">
        <w:rPr>
          <w:rFonts w:ascii="Arial Narrow" w:hAnsi="Arial Narrow"/>
          <w:color w:val="000000"/>
          <w:sz w:val="20"/>
          <w:lang w:eastAsia="cs-CZ"/>
        </w:rPr>
        <w:tab/>
      </w:r>
      <w:r w:rsidR="00D62C17" w:rsidRPr="00CE357F">
        <w:rPr>
          <w:rFonts w:ascii="Arial Narrow" w:hAnsi="Arial Narrow"/>
          <w:color w:val="000000"/>
          <w:sz w:val="20"/>
          <w:lang w:eastAsia="cs-CZ"/>
        </w:rPr>
        <w:tab/>
      </w:r>
      <w:r w:rsidR="00D62C17" w:rsidRPr="00CE357F">
        <w:rPr>
          <w:rFonts w:ascii="Arial Narrow" w:hAnsi="Arial Narrow"/>
          <w:color w:val="000000"/>
          <w:sz w:val="20"/>
          <w:lang w:eastAsia="cs-CZ"/>
        </w:rPr>
        <w:tab/>
      </w:r>
      <w:r w:rsidR="00D62C17" w:rsidRPr="00CE357F">
        <w:rPr>
          <w:rFonts w:ascii="Arial Narrow" w:hAnsi="Arial Narrow"/>
          <w:color w:val="000000"/>
          <w:sz w:val="20"/>
          <w:lang w:eastAsia="cs-CZ"/>
        </w:rPr>
        <w:tab/>
      </w:r>
      <w:r w:rsidR="00C475C3" w:rsidRPr="00CE357F">
        <w:rPr>
          <w:rFonts w:ascii="Arial Narrow" w:hAnsi="Arial Narrow"/>
          <w:color w:val="000000"/>
          <w:sz w:val="20"/>
          <w:lang w:eastAsia="cs-CZ"/>
        </w:rPr>
        <w:tab/>
      </w:r>
      <w:r w:rsidRPr="00CE357F">
        <w:rPr>
          <w:rFonts w:ascii="Arial Narrow" w:hAnsi="Arial Narrow"/>
          <w:sz w:val="20"/>
        </w:rPr>
        <w:t xml:space="preserve">Tabulka: AUGUR </w:t>
      </w:r>
      <w:proofErr w:type="spellStart"/>
      <w:r w:rsidRPr="00CE357F">
        <w:rPr>
          <w:rFonts w:ascii="Arial Narrow" w:hAnsi="Arial Narrow"/>
          <w:sz w:val="20"/>
        </w:rPr>
        <w:t>Consulting</w:t>
      </w:r>
      <w:proofErr w:type="spellEnd"/>
      <w:r w:rsidRPr="00CE357F">
        <w:rPr>
          <w:rFonts w:ascii="Arial Narrow" w:hAnsi="Arial Narrow"/>
          <w:sz w:val="20"/>
        </w:rPr>
        <w:t>, s.r.o.</w:t>
      </w:r>
      <w:bookmarkEnd w:id="618"/>
    </w:p>
    <w:p w14:paraId="5716AF5C" w14:textId="3FE921ED" w:rsidR="007060E7" w:rsidRDefault="007060E7" w:rsidP="007060E7">
      <w:pPr>
        <w:spacing w:line="276" w:lineRule="auto"/>
        <w:rPr>
          <w:rFonts w:ascii="Arial Narrow" w:hAnsi="Arial Narrow"/>
          <w:b/>
          <w:color w:val="2F5496" w:themeColor="accent1" w:themeShade="BF"/>
        </w:rPr>
      </w:pPr>
    </w:p>
    <w:p w14:paraId="6DC74F9F" w14:textId="7BED138A" w:rsidR="00022980" w:rsidRDefault="00022980" w:rsidP="007060E7">
      <w:pPr>
        <w:spacing w:line="276" w:lineRule="auto"/>
        <w:rPr>
          <w:rFonts w:ascii="Arial Narrow" w:hAnsi="Arial Narrow"/>
          <w:b/>
          <w:color w:val="2F5496" w:themeColor="accent1" w:themeShade="BF"/>
        </w:rPr>
      </w:pPr>
    </w:p>
    <w:p w14:paraId="7A2AFA3E" w14:textId="5DCF245E" w:rsidR="00022980" w:rsidRDefault="00022980" w:rsidP="007060E7">
      <w:pPr>
        <w:spacing w:line="276" w:lineRule="auto"/>
        <w:rPr>
          <w:rFonts w:ascii="Arial Narrow" w:hAnsi="Arial Narrow"/>
          <w:b/>
          <w:color w:val="2F5496" w:themeColor="accent1" w:themeShade="BF"/>
        </w:rPr>
      </w:pPr>
    </w:p>
    <w:p w14:paraId="2627C819" w14:textId="77777777" w:rsidR="001333A8" w:rsidRDefault="001333A8" w:rsidP="007060E7">
      <w:pPr>
        <w:spacing w:line="276" w:lineRule="auto"/>
        <w:rPr>
          <w:rFonts w:ascii="Arial Narrow" w:hAnsi="Arial Narrow"/>
          <w:b/>
          <w:color w:val="2F5496" w:themeColor="accent1" w:themeShade="BF"/>
        </w:rPr>
      </w:pPr>
    </w:p>
    <w:p w14:paraId="06FE762E" w14:textId="77777777" w:rsidR="00081398" w:rsidRPr="00081398" w:rsidRDefault="00081398" w:rsidP="008B3D36">
      <w:pPr>
        <w:pStyle w:val="Odstavecseseznamem"/>
        <w:keepNext/>
        <w:keepLines/>
        <w:numPr>
          <w:ilvl w:val="2"/>
          <w:numId w:val="26"/>
        </w:numPr>
        <w:spacing w:before="200"/>
        <w:contextualSpacing w:val="0"/>
        <w:jc w:val="both"/>
        <w:outlineLvl w:val="2"/>
        <w:rPr>
          <w:rFonts w:ascii="Arial Narrow" w:eastAsiaTheme="majorEastAsia" w:hAnsi="Arial Narrow" w:cs="Arial"/>
          <w:b/>
          <w:bCs/>
          <w:vanish/>
          <w:color w:val="002060"/>
          <w:sz w:val="26"/>
          <w:szCs w:val="26"/>
          <w:u w:val="single"/>
        </w:rPr>
      </w:pPr>
      <w:bookmarkStart w:id="619" w:name="_Toc132629160"/>
      <w:bookmarkStart w:id="620" w:name="_Toc136876107"/>
      <w:bookmarkEnd w:id="619"/>
      <w:bookmarkEnd w:id="620"/>
    </w:p>
    <w:p w14:paraId="4076CC6B" w14:textId="77777777" w:rsidR="00081398" w:rsidRPr="00081398" w:rsidRDefault="00081398" w:rsidP="008B3D36">
      <w:pPr>
        <w:pStyle w:val="Odstavecseseznamem"/>
        <w:keepNext/>
        <w:keepLines/>
        <w:numPr>
          <w:ilvl w:val="2"/>
          <w:numId w:val="26"/>
        </w:numPr>
        <w:spacing w:before="200"/>
        <w:contextualSpacing w:val="0"/>
        <w:jc w:val="both"/>
        <w:outlineLvl w:val="2"/>
        <w:rPr>
          <w:rFonts w:ascii="Arial Narrow" w:eastAsiaTheme="majorEastAsia" w:hAnsi="Arial Narrow" w:cs="Arial"/>
          <w:b/>
          <w:bCs/>
          <w:vanish/>
          <w:color w:val="002060"/>
          <w:sz w:val="26"/>
          <w:szCs w:val="26"/>
          <w:u w:val="single"/>
        </w:rPr>
      </w:pPr>
      <w:bookmarkStart w:id="621" w:name="_Toc95986727"/>
      <w:bookmarkStart w:id="622" w:name="_Toc125635454"/>
      <w:bookmarkStart w:id="623" w:name="_Toc132629161"/>
      <w:bookmarkStart w:id="624" w:name="_Toc136876108"/>
      <w:bookmarkEnd w:id="621"/>
      <w:bookmarkEnd w:id="622"/>
      <w:bookmarkEnd w:id="623"/>
      <w:bookmarkEnd w:id="624"/>
    </w:p>
    <w:p w14:paraId="42F4EAB9" w14:textId="77777777" w:rsidR="00081398" w:rsidRPr="00081398" w:rsidRDefault="00081398" w:rsidP="008B3D36">
      <w:pPr>
        <w:pStyle w:val="Odstavecseseznamem"/>
        <w:keepNext/>
        <w:keepLines/>
        <w:numPr>
          <w:ilvl w:val="2"/>
          <w:numId w:val="26"/>
        </w:numPr>
        <w:spacing w:before="200"/>
        <w:contextualSpacing w:val="0"/>
        <w:jc w:val="both"/>
        <w:outlineLvl w:val="2"/>
        <w:rPr>
          <w:rFonts w:ascii="Arial Narrow" w:eastAsiaTheme="majorEastAsia" w:hAnsi="Arial Narrow" w:cs="Arial"/>
          <w:b/>
          <w:bCs/>
          <w:vanish/>
          <w:color w:val="002060"/>
          <w:sz w:val="26"/>
          <w:szCs w:val="26"/>
          <w:u w:val="single"/>
        </w:rPr>
      </w:pPr>
      <w:bookmarkStart w:id="625" w:name="_Toc95986728"/>
      <w:bookmarkStart w:id="626" w:name="_Toc125635455"/>
      <w:bookmarkStart w:id="627" w:name="_Toc132629162"/>
      <w:bookmarkStart w:id="628" w:name="_Toc136876109"/>
      <w:bookmarkEnd w:id="625"/>
      <w:bookmarkEnd w:id="626"/>
      <w:bookmarkEnd w:id="627"/>
      <w:bookmarkEnd w:id="628"/>
    </w:p>
    <w:p w14:paraId="761F10E0" w14:textId="77777777" w:rsidR="00081398" w:rsidRPr="00081398" w:rsidRDefault="00081398" w:rsidP="008B3D36">
      <w:pPr>
        <w:pStyle w:val="Odstavecseseznamem"/>
        <w:keepNext/>
        <w:keepLines/>
        <w:numPr>
          <w:ilvl w:val="2"/>
          <w:numId w:val="26"/>
        </w:numPr>
        <w:spacing w:before="200"/>
        <w:contextualSpacing w:val="0"/>
        <w:jc w:val="both"/>
        <w:outlineLvl w:val="2"/>
        <w:rPr>
          <w:rFonts w:ascii="Arial Narrow" w:eastAsiaTheme="majorEastAsia" w:hAnsi="Arial Narrow" w:cs="Arial"/>
          <w:b/>
          <w:bCs/>
          <w:vanish/>
          <w:color w:val="002060"/>
          <w:sz w:val="26"/>
          <w:szCs w:val="26"/>
          <w:u w:val="single"/>
        </w:rPr>
      </w:pPr>
      <w:bookmarkStart w:id="629" w:name="_Toc95986729"/>
      <w:bookmarkStart w:id="630" w:name="_Toc125635456"/>
      <w:bookmarkStart w:id="631" w:name="_Toc132629163"/>
      <w:bookmarkStart w:id="632" w:name="_Toc136876110"/>
      <w:bookmarkEnd w:id="629"/>
      <w:bookmarkEnd w:id="630"/>
      <w:bookmarkEnd w:id="631"/>
      <w:bookmarkEnd w:id="632"/>
    </w:p>
    <w:p w14:paraId="1676451E" w14:textId="5F889280" w:rsidR="00081398" w:rsidRPr="008A4868" w:rsidRDefault="00081398" w:rsidP="008B3D36">
      <w:pPr>
        <w:pStyle w:val="Nadpis3"/>
        <w:numPr>
          <w:ilvl w:val="2"/>
          <w:numId w:val="26"/>
        </w:numPr>
        <w:ind w:left="851" w:hanging="321"/>
      </w:pPr>
      <w:bookmarkStart w:id="633" w:name="_Toc136876111"/>
      <w:r w:rsidRPr="008A4868">
        <w:t>Shrnutí poznatků ORP Blansko</w:t>
      </w:r>
      <w:bookmarkEnd w:id="633"/>
    </w:p>
    <w:p w14:paraId="1C523E81" w14:textId="77777777" w:rsidR="007060E7" w:rsidRPr="00CE357F" w:rsidRDefault="007060E7" w:rsidP="007060E7">
      <w:pPr>
        <w:spacing w:line="276" w:lineRule="auto"/>
        <w:rPr>
          <w:rFonts w:ascii="Arial Narrow" w:hAnsi="Arial Narrow"/>
          <w:b/>
          <w:color w:val="2F5496" w:themeColor="accent1" w:themeShade="BF"/>
        </w:rPr>
      </w:pPr>
    </w:p>
    <w:p w14:paraId="1A34ABCA" w14:textId="77777777" w:rsidR="007060E7" w:rsidRPr="00CE357F" w:rsidRDefault="007060E7" w:rsidP="007060E7">
      <w:pPr>
        <w:spacing w:line="276" w:lineRule="auto"/>
        <w:rPr>
          <w:rFonts w:ascii="Arial Narrow" w:hAnsi="Arial Narrow"/>
          <w:b/>
          <w:color w:val="2F5496" w:themeColor="accent1" w:themeShade="BF"/>
        </w:rPr>
      </w:pPr>
    </w:p>
    <w:p w14:paraId="569C3CB2" w14:textId="77777777" w:rsidR="00450C7D" w:rsidRPr="00081398" w:rsidRDefault="00450C7D" w:rsidP="00450C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Arial Narrow" w:hAnsi="Arial Narrow" w:cs="Arial Narrow"/>
          <w:color w:val="000000"/>
          <w:u w:color="000000"/>
          <w:shd w:val="clear" w:color="auto" w:fill="FFFFFF"/>
        </w:rPr>
      </w:pPr>
      <w:r w:rsidRPr="00081398">
        <w:rPr>
          <w:rFonts w:ascii="Arial Narrow" w:eastAsia="Calibri" w:hAnsi="Arial Narrow"/>
          <w:color w:val="000000"/>
          <w:u w:color="000000"/>
        </w:rPr>
        <w:t xml:space="preserve">Závěrem této kapitoly si dovolujeme </w:t>
      </w:r>
      <w:r>
        <w:rPr>
          <w:rFonts w:ascii="Arial Narrow" w:eastAsia="Calibri" w:hAnsi="Arial Narrow"/>
          <w:color w:val="000000"/>
          <w:u w:color="000000"/>
        </w:rPr>
        <w:t xml:space="preserve">předložit </w:t>
      </w:r>
      <w:r w:rsidRPr="00081398">
        <w:rPr>
          <w:rFonts w:ascii="Arial Narrow" w:eastAsia="Calibri" w:hAnsi="Arial Narrow"/>
          <w:color w:val="000000"/>
          <w:u w:color="000000"/>
        </w:rPr>
        <w:t>stručné shrnutí základních poznatků, které vyplývají ze sekundární analýzy dat k osobám s jinou než českou státní příslušností v</w:t>
      </w:r>
      <w:r>
        <w:rPr>
          <w:rFonts w:ascii="Arial Narrow" w:eastAsia="Calibri" w:hAnsi="Arial Narrow"/>
          <w:color w:val="000000"/>
          <w:u w:color="000000"/>
        </w:rPr>
        <w:t> ORP Blansko</w:t>
      </w:r>
      <w:r w:rsidRPr="00081398">
        <w:rPr>
          <w:rFonts w:ascii="Arial Narrow" w:eastAsia="Calibri" w:hAnsi="Arial Narrow"/>
          <w:color w:val="000000"/>
          <w:u w:color="000000"/>
        </w:rPr>
        <w:t xml:space="preserve">. Tyto údaje jsou součástí projektu </w:t>
      </w:r>
      <w:r w:rsidRPr="00081398">
        <w:rPr>
          <w:rFonts w:ascii="Arial Narrow" w:eastAsia="Calibri" w:hAnsi="Arial Narrow"/>
          <w:color w:val="000000"/>
          <w:u w:color="000000"/>
          <w:shd w:val="clear" w:color="auto" w:fill="FFFFFF"/>
        </w:rPr>
        <w:t>„Analýza potřeb klíčových aktérů v</w:t>
      </w:r>
      <w:r w:rsidRPr="00081398">
        <w:rPr>
          <w:rFonts w:ascii="Arial" w:eastAsia="Calibri" w:hAnsi="Arial"/>
          <w:color w:val="000000"/>
          <w:u w:color="000000"/>
          <w:shd w:val="clear" w:color="auto" w:fill="FFFFFF"/>
        </w:rPr>
        <w:t> </w:t>
      </w:r>
      <w:r w:rsidRPr="00081398">
        <w:rPr>
          <w:rFonts w:ascii="Arial Narrow" w:eastAsia="Calibri" w:hAnsi="Arial Narrow"/>
          <w:color w:val="000000"/>
          <w:u w:color="000000"/>
          <w:shd w:val="clear" w:color="auto" w:fill="FFFFFF"/>
        </w:rPr>
        <w:t>oblasti zaměstnávání cizinců v JMK“.</w:t>
      </w:r>
    </w:p>
    <w:p w14:paraId="42D14D2F" w14:textId="32814D26" w:rsidR="00450C7D" w:rsidRPr="001237F2" w:rsidRDefault="00450C7D" w:rsidP="00450C7D">
      <w:pPr>
        <w:spacing w:line="276" w:lineRule="auto"/>
        <w:jc w:val="both"/>
        <w:rPr>
          <w:rFonts w:ascii="Arial Narrow" w:hAnsi="Arial Narrow"/>
        </w:rPr>
      </w:pPr>
      <w:r w:rsidRPr="00CE357F">
        <w:rPr>
          <w:rFonts w:ascii="Arial Narrow" w:hAnsi="Arial Narrow"/>
        </w:rPr>
        <w:t>K 31. 12. 202</w:t>
      </w:r>
      <w:r>
        <w:rPr>
          <w:rFonts w:ascii="Arial Narrow" w:hAnsi="Arial Narrow"/>
        </w:rPr>
        <w:t>1</w:t>
      </w:r>
      <w:r w:rsidRPr="00CE357F">
        <w:rPr>
          <w:rFonts w:ascii="Arial Narrow" w:hAnsi="Arial Narrow"/>
        </w:rPr>
        <w:t xml:space="preserve"> žilo na </w:t>
      </w:r>
      <w:r w:rsidRPr="003C1DE9">
        <w:rPr>
          <w:rFonts w:ascii="Arial Narrow" w:hAnsi="Arial Narrow"/>
        </w:rPr>
        <w:t xml:space="preserve">území ORP Blansko celkem 56 155 obyvatel, což představovalo zhruba 4,74 % všech obyvatel Jihomoravského kraje. Mezi obyvateli ORP Blansko byli k tomuto datu muži a ženy téměř rovnoměrně zastoupeni (49,3 % mužů a 50,7 % žen).  Zastoupení mužů a žen mezi obyvateli ORP Blansko </w:t>
      </w:r>
      <w:r w:rsidR="0056780C">
        <w:rPr>
          <w:rFonts w:ascii="Arial Narrow" w:hAnsi="Arial Narrow"/>
        </w:rPr>
        <w:t xml:space="preserve">koncem roku 2021 </w:t>
      </w:r>
      <w:r w:rsidRPr="003C1DE9">
        <w:rPr>
          <w:rFonts w:ascii="Arial Narrow" w:hAnsi="Arial Narrow"/>
        </w:rPr>
        <w:t>zůstáv</w:t>
      </w:r>
      <w:r w:rsidR="0056780C">
        <w:rPr>
          <w:rFonts w:ascii="Arial Narrow" w:hAnsi="Arial Narrow"/>
        </w:rPr>
        <w:t>al</w:t>
      </w:r>
      <w:r w:rsidRPr="003C1DE9">
        <w:rPr>
          <w:rFonts w:ascii="Arial Narrow" w:hAnsi="Arial Narrow"/>
        </w:rPr>
        <w:t>, stejně jako podíl obyvatel na celkovém počtu obyvatel JMK, dlouhodobě stabilní. Meziročně vzrůstá pouze průměrný věk obyvatel. Zatímco v roce 2005 byl průměrný</w:t>
      </w:r>
      <w:r w:rsidRPr="00CE357F">
        <w:rPr>
          <w:rFonts w:ascii="Arial Narrow" w:hAnsi="Arial Narrow"/>
        </w:rPr>
        <w:t xml:space="preserve"> věk obyvatel ORP </w:t>
      </w:r>
      <w:r>
        <w:rPr>
          <w:rFonts w:ascii="Arial Narrow" w:hAnsi="Arial Narrow"/>
        </w:rPr>
        <w:t>Blansko</w:t>
      </w:r>
      <w:r w:rsidRPr="00CE357F">
        <w:rPr>
          <w:rFonts w:ascii="Arial Narrow" w:hAnsi="Arial Narrow"/>
        </w:rPr>
        <w:t xml:space="preserve"> 40,</w:t>
      </w:r>
      <w:r>
        <w:rPr>
          <w:rFonts w:ascii="Arial Narrow" w:hAnsi="Arial Narrow"/>
        </w:rPr>
        <w:t>3</w:t>
      </w:r>
      <w:r w:rsidRPr="00CE357F">
        <w:rPr>
          <w:rFonts w:ascii="Arial Narrow" w:hAnsi="Arial Narrow"/>
        </w:rPr>
        <w:t xml:space="preserve"> let, v roce 202</w:t>
      </w:r>
      <w:r>
        <w:rPr>
          <w:rFonts w:ascii="Arial Narrow" w:hAnsi="Arial Narrow"/>
        </w:rPr>
        <w:t>1</w:t>
      </w:r>
      <w:r w:rsidRPr="00CE357F">
        <w:rPr>
          <w:rFonts w:ascii="Arial Narrow" w:hAnsi="Arial Narrow"/>
        </w:rPr>
        <w:t xml:space="preserve"> to bylo 4</w:t>
      </w:r>
      <w:r>
        <w:rPr>
          <w:rFonts w:ascii="Arial Narrow" w:hAnsi="Arial Narrow"/>
        </w:rPr>
        <w:t>3,1</w:t>
      </w:r>
      <w:r w:rsidRPr="00CE357F">
        <w:rPr>
          <w:rFonts w:ascii="Arial Narrow" w:hAnsi="Arial Narrow"/>
        </w:rPr>
        <w:t xml:space="preserve"> let. Jedná se </w:t>
      </w:r>
      <w:r w:rsidRPr="001237F2">
        <w:rPr>
          <w:rFonts w:ascii="Arial Narrow" w:hAnsi="Arial Narrow"/>
        </w:rPr>
        <w:t>ale o trend, který je charakteristický pro území celé České republiky</w:t>
      </w:r>
      <w:r w:rsidRPr="001237F2">
        <w:rPr>
          <w:rStyle w:val="Znakapoznpodarou"/>
          <w:rFonts w:ascii="Arial Narrow" w:eastAsia="Times New Roman" w:hAnsi="Arial Narrow" w:cs="Arial"/>
          <w:sz w:val="18"/>
          <w:szCs w:val="18"/>
          <w:lang w:eastAsia="cs-CZ"/>
        </w:rPr>
        <w:footnoteReference w:id="77"/>
      </w:r>
      <w:r w:rsidRPr="001237F2">
        <w:rPr>
          <w:rFonts w:ascii="Arial Narrow" w:hAnsi="Arial Narrow"/>
        </w:rPr>
        <w:t xml:space="preserve">. </w:t>
      </w:r>
    </w:p>
    <w:p w14:paraId="728AD9B7" w14:textId="6DDBBE05" w:rsidR="00450C7D" w:rsidRPr="001237F2" w:rsidRDefault="00450C7D" w:rsidP="00450C7D">
      <w:pPr>
        <w:spacing w:line="276" w:lineRule="auto"/>
        <w:jc w:val="both"/>
        <w:rPr>
          <w:rFonts w:ascii="Arial Narrow" w:hAnsi="Arial Narrow"/>
        </w:rPr>
      </w:pPr>
      <w:r w:rsidRPr="001237F2">
        <w:rPr>
          <w:rFonts w:ascii="Arial Narrow" w:hAnsi="Arial Narrow"/>
        </w:rPr>
        <w:br/>
      </w:r>
      <w:r w:rsidRPr="001237F2">
        <w:rPr>
          <w:rFonts w:ascii="Arial Narrow" w:eastAsia="Calibri" w:hAnsi="Arial Narrow"/>
          <w:color w:val="000000"/>
          <w:u w:color="000000"/>
        </w:rPr>
        <w:t xml:space="preserve">Od roku 2009 do počátku roku 2022 zůstával podíl cizinců v ORP Blansko poměrně stabilní a pohyboval se v rozmezí 2,5 %–2,8 %. </w:t>
      </w:r>
      <w:r w:rsidRPr="001237F2">
        <w:rPr>
          <w:rFonts w:ascii="Arial Narrow" w:eastAsia="Calibri" w:hAnsi="Arial Narrow"/>
          <w:b/>
          <w:bCs/>
          <w:color w:val="000000"/>
          <w:u w:color="000000"/>
        </w:rPr>
        <w:t xml:space="preserve">V posledním roce se však podíl osob s jinou než českou státní příslušností </w:t>
      </w:r>
      <w:r w:rsidRPr="001237F2">
        <w:rPr>
          <w:rFonts w:ascii="Arial Narrow" w:hAnsi="Arial Narrow"/>
          <w:b/>
          <w:bCs/>
        </w:rPr>
        <w:t>zvýšil téměř dvojnásobně, což bylo pravděpodobně způsobeno především válečným konfliktem na Ukrajině.</w:t>
      </w:r>
      <w:r w:rsidRPr="001237F2">
        <w:rPr>
          <w:rFonts w:ascii="Arial Narrow" w:eastAsia="Calibri" w:hAnsi="Arial Narrow"/>
          <w:b/>
          <w:bCs/>
          <w:color w:val="000000"/>
          <w:u w:color="000000"/>
        </w:rPr>
        <w:t xml:space="preserve"> </w:t>
      </w:r>
      <w:r w:rsidRPr="001237F2">
        <w:rPr>
          <w:rFonts w:ascii="Arial Narrow" w:eastAsia="Calibri" w:hAnsi="Arial Narrow"/>
          <w:color w:val="000000"/>
          <w:u w:color="000000"/>
        </w:rPr>
        <w:t xml:space="preserve">Zatímco k datu 1. 1. 2022 žilo v ORP Blansko celkem 1 542 osob s jinou než českou státní příslušností, což bylo zhruba 2,8 % všech obyvatel ORP Blansko, k 1. 1. 2023 v ORP Blansko žilo </w:t>
      </w:r>
      <w:r w:rsidRPr="001237F2">
        <w:rPr>
          <w:rFonts w:ascii="Arial Narrow" w:hAnsi="Arial Narrow"/>
          <w:color w:val="000000"/>
        </w:rPr>
        <w:t xml:space="preserve">celkem 3 186 osob s jinou než českou státní příslušností, což bylo zhruba 5,7 % všech obyvatel ORP Blansko. Více než </w:t>
      </w:r>
      <w:r w:rsidR="0049265B">
        <w:rPr>
          <w:rFonts w:ascii="Arial Narrow" w:hAnsi="Arial Narrow"/>
          <w:color w:val="000000"/>
        </w:rPr>
        <w:t>dvě třetiny</w:t>
      </w:r>
      <w:r w:rsidRPr="001237F2">
        <w:rPr>
          <w:rFonts w:ascii="Arial Narrow" w:hAnsi="Arial Narrow"/>
          <w:color w:val="000000"/>
        </w:rPr>
        <w:t xml:space="preserve"> (</w:t>
      </w:r>
      <w:r w:rsidR="0049265B">
        <w:rPr>
          <w:rFonts w:ascii="Arial Narrow" w:hAnsi="Arial Narrow"/>
          <w:color w:val="000000"/>
        </w:rPr>
        <w:t>68,8</w:t>
      </w:r>
      <w:r w:rsidRPr="001237F2">
        <w:rPr>
          <w:rFonts w:ascii="Arial Narrow" w:hAnsi="Arial Narrow"/>
          <w:color w:val="000000"/>
        </w:rPr>
        <w:t xml:space="preserve"> %) všech osob s jinou než českou státní příslušností na území OPR Blansko mělo přechodný pobyt. </w:t>
      </w:r>
    </w:p>
    <w:p w14:paraId="53CF32EC" w14:textId="77777777" w:rsidR="00450C7D" w:rsidRPr="001237F2" w:rsidRDefault="00450C7D" w:rsidP="00450C7D">
      <w:pPr>
        <w:spacing w:after="120" w:line="276" w:lineRule="auto"/>
        <w:jc w:val="both"/>
        <w:rPr>
          <w:rFonts w:ascii="Arial Narrow" w:hAnsi="Arial Narrow"/>
          <w:color w:val="000000"/>
        </w:rPr>
      </w:pPr>
      <w:r w:rsidRPr="001237F2">
        <w:rPr>
          <w:rFonts w:ascii="Arial Narrow" w:eastAsia="Calibri" w:hAnsi="Arial Narrow"/>
          <w:color w:val="000000"/>
          <w:u w:color="000000"/>
        </w:rPr>
        <w:br/>
        <w:t>V ORP Blansko bylo k 1. 1. 2023 celkem 43 obcí, přičemž ve všech z nich byla evidována alespoň jedna osoba s jinou než českou státní příslušností</w:t>
      </w:r>
      <w:r w:rsidRPr="001237F2">
        <w:rPr>
          <w:rFonts w:ascii="Arial Narrow" w:hAnsi="Arial Narrow"/>
          <w:color w:val="000000"/>
        </w:rPr>
        <w:t>. Nejvyšší podíl osob s jinou než českou státní příslušností na celkovém počtu obyvatel v dané obci byl v </w:t>
      </w:r>
      <w:proofErr w:type="spellStart"/>
      <w:r w:rsidRPr="001237F2">
        <w:rPr>
          <w:rFonts w:ascii="Arial Narrow" w:hAnsi="Arial Narrow"/>
          <w:b/>
          <w:bCs/>
          <w:color w:val="000000"/>
        </w:rPr>
        <w:t>Šebrov</w:t>
      </w:r>
      <w:proofErr w:type="spellEnd"/>
      <w:r w:rsidRPr="001237F2">
        <w:rPr>
          <w:rFonts w:ascii="Arial Narrow" w:hAnsi="Arial Narrow"/>
          <w:b/>
          <w:bCs/>
          <w:color w:val="000000"/>
        </w:rPr>
        <w:t>-Kateřina, kde tyto osoby tvořily až 8,8 % všech obyvatel</w:t>
      </w:r>
      <w:r w:rsidRPr="001237F2">
        <w:rPr>
          <w:rFonts w:ascii="Arial Narrow" w:hAnsi="Arial Narrow"/>
          <w:color w:val="000000"/>
        </w:rPr>
        <w:t xml:space="preserve">. Druhý nejvyšší podíl osob s jinou než českou státní příslušností byl evidován v obci </w:t>
      </w:r>
      <w:r w:rsidRPr="001237F2">
        <w:rPr>
          <w:rFonts w:ascii="Arial Narrow" w:eastAsia="Calibri" w:hAnsi="Arial Narrow"/>
          <w:color w:val="000000"/>
          <w:u w:color="000000"/>
        </w:rPr>
        <w:t>Žernovník</w:t>
      </w:r>
      <w:r w:rsidRPr="001237F2">
        <w:rPr>
          <w:rFonts w:ascii="Arial Narrow" w:hAnsi="Arial Narrow"/>
          <w:color w:val="000000"/>
        </w:rPr>
        <w:t>, kde tyto osoby tvořily 8,4 % všech obyvatel.</w:t>
      </w:r>
      <w:r w:rsidRPr="001237F2">
        <w:rPr>
          <w:rFonts w:ascii="Arial Narrow" w:eastAsia="Calibri" w:hAnsi="Arial Narrow"/>
          <w:color w:val="000000"/>
          <w:u w:color="000000"/>
        </w:rPr>
        <w:t xml:space="preserve"> </w:t>
      </w:r>
      <w:r w:rsidRPr="001237F2">
        <w:rPr>
          <w:rFonts w:ascii="Arial Narrow" w:hAnsi="Arial Narrow"/>
          <w:color w:val="000000"/>
        </w:rPr>
        <w:t>Třetí nejvyšší podíl osob s jinou než českou státní příslušností byl evidován v obci Blansko, kde tyto osoby tvořily 8,4 % všech obyvatel.</w:t>
      </w:r>
      <w:r w:rsidRPr="001237F2">
        <w:rPr>
          <w:rFonts w:ascii="Arial Narrow" w:eastAsia="Calibri" w:hAnsi="Arial Narrow"/>
          <w:color w:val="000000"/>
          <w:u w:color="000000"/>
        </w:rPr>
        <w:t xml:space="preserve"> Ve všech obcích došlo k nárůstu podílu osob s jinou než českou státní příslušností v posledním roce. V roce 2022 představoval podíl těchto osob v </w:t>
      </w:r>
      <w:proofErr w:type="spellStart"/>
      <w:r w:rsidRPr="001237F2">
        <w:rPr>
          <w:rFonts w:ascii="Arial Narrow" w:eastAsia="Calibri" w:hAnsi="Arial Narrow"/>
          <w:color w:val="000000"/>
          <w:u w:color="000000"/>
        </w:rPr>
        <w:t>Šebrov</w:t>
      </w:r>
      <w:proofErr w:type="spellEnd"/>
      <w:r w:rsidRPr="001237F2">
        <w:rPr>
          <w:rFonts w:ascii="Arial Narrow" w:eastAsia="Calibri" w:hAnsi="Arial Narrow"/>
          <w:color w:val="000000"/>
          <w:u w:color="000000"/>
        </w:rPr>
        <w:t>-Kateřina 2 %, v obci  Blansko 4,3 %.</w:t>
      </w:r>
    </w:p>
    <w:p w14:paraId="4EE161DF" w14:textId="77777777" w:rsidR="00450C7D" w:rsidRPr="001237F2" w:rsidRDefault="00450C7D" w:rsidP="00450C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color w:val="000000"/>
          <w:u w:color="000000"/>
        </w:rPr>
      </w:pPr>
      <w:r w:rsidRPr="001237F2">
        <w:rPr>
          <w:rFonts w:ascii="Arial Narrow" w:eastAsia="Calibri" w:hAnsi="Arial Narrow"/>
          <w:color w:val="000000"/>
          <w:u w:color="000000"/>
        </w:rPr>
        <w:t xml:space="preserve">V populaci osob s jinou než českou státní příslušností v ORP Blansko dlouhodobě mírně převažoval počet mužů nad počtem žen. </w:t>
      </w:r>
      <w:r w:rsidRPr="001237F2">
        <w:rPr>
          <w:rFonts w:ascii="Arial Narrow" w:hAnsi="Arial Narrow"/>
        </w:rPr>
        <w:t>V roce 2022 došlo nicméně k výraznému posunu oproti předchozím obdobím a k 1. 1. 2023 byl v ORP Blansko evidován podíl žen 53,9 %.</w:t>
      </w:r>
      <w:r w:rsidRPr="001237F2">
        <w:rPr>
          <w:rFonts w:ascii="Arial Narrow" w:eastAsia="Calibri" w:hAnsi="Arial Narrow"/>
          <w:color w:val="000000"/>
          <w:u w:color="000000"/>
        </w:rPr>
        <w:t xml:space="preserve"> </w:t>
      </w:r>
    </w:p>
    <w:p w14:paraId="3774958F" w14:textId="31BB4C8D" w:rsidR="00450C7D" w:rsidRPr="001237F2" w:rsidRDefault="00450C7D" w:rsidP="00450C7D">
      <w:pPr>
        <w:spacing w:after="120" w:line="276" w:lineRule="auto"/>
        <w:jc w:val="both"/>
        <w:rPr>
          <w:rFonts w:ascii="Arial Narrow" w:hAnsi="Arial Narrow"/>
        </w:rPr>
      </w:pPr>
      <w:r w:rsidRPr="001237F2">
        <w:rPr>
          <w:rFonts w:ascii="Arial Narrow" w:hAnsi="Arial Narrow"/>
        </w:rPr>
        <w:t xml:space="preserve">V populaci osob s jinou než českou státní příslušností v ORP Blansko dlouhodobě převažoval počet mužů nad počtem žen. Podíl mužů v celkové populaci těchto osob byl dlouhodobě vyšší než podíl žen, meziročně se nicméně tento podíl mírně snižoval a k 1. 1. 2023 počet žen převážil nad počtem mužů. V roce 2007 bylo procentuální zastoupení osob s jinou než českou státní příslušností 54 % mužů oproti 46 % žen. </w:t>
      </w:r>
      <w:r w:rsidRPr="001237F2">
        <w:rPr>
          <w:rFonts w:ascii="Arial Narrow" w:hAnsi="Arial Narrow"/>
          <w:b/>
          <w:bCs/>
        </w:rPr>
        <w:t xml:space="preserve">K 1. 1. 2023 byl podíl </w:t>
      </w:r>
      <w:r w:rsidRPr="001237F2">
        <w:rPr>
          <w:rFonts w:ascii="Arial Narrow" w:hAnsi="Arial Narrow"/>
          <w:b/>
          <w:bCs/>
        </w:rPr>
        <w:br/>
        <w:t xml:space="preserve">žen </w:t>
      </w:r>
      <w:r w:rsidR="00EB29DA">
        <w:rPr>
          <w:rFonts w:ascii="Arial Narrow" w:hAnsi="Arial Narrow"/>
          <w:b/>
          <w:bCs/>
        </w:rPr>
        <w:t>51,0</w:t>
      </w:r>
      <w:r w:rsidRPr="001237F2">
        <w:rPr>
          <w:rFonts w:ascii="Arial Narrow" w:hAnsi="Arial Narrow"/>
          <w:b/>
          <w:bCs/>
        </w:rPr>
        <w:t xml:space="preserve"> %.</w:t>
      </w:r>
      <w:r w:rsidRPr="001237F2">
        <w:rPr>
          <w:rFonts w:ascii="Arial Narrow" w:hAnsi="Arial Narrow"/>
        </w:rPr>
        <w:t xml:space="preserve">  </w:t>
      </w:r>
    </w:p>
    <w:p w14:paraId="0E9A57DC" w14:textId="77777777" w:rsidR="00450C7D" w:rsidRPr="001237F2" w:rsidRDefault="00450C7D" w:rsidP="00450C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u w:color="000000"/>
        </w:rPr>
      </w:pPr>
      <w:r w:rsidRPr="001237F2">
        <w:rPr>
          <w:rFonts w:ascii="Arial Narrow" w:eastAsia="Calibri" w:hAnsi="Arial Narrow"/>
          <w:color w:val="000000"/>
          <w:u w:color="000000"/>
        </w:rPr>
        <w:t xml:space="preserve">Ve srovnání s jinými vybranými ORP Jihomoravského kraje byl v předchozích letech </w:t>
      </w:r>
      <w:r w:rsidRPr="001237F2">
        <w:rPr>
          <w:rFonts w:ascii="Arial Narrow" w:eastAsia="Calibri" w:hAnsi="Arial Narrow"/>
          <w:b/>
          <w:bCs/>
          <w:color w:val="000000"/>
          <w:u w:color="000000"/>
        </w:rPr>
        <w:t xml:space="preserve">v ORP Blansko výrazně vyšší podíl dětí ve věku do 15 let </w:t>
      </w:r>
      <w:r w:rsidRPr="001237F2">
        <w:rPr>
          <w:rFonts w:ascii="Arial Narrow" w:eastAsia="Calibri" w:hAnsi="Arial Narrow"/>
          <w:color w:val="000000"/>
          <w:u w:color="000000"/>
        </w:rPr>
        <w:t>na celkovém počtu osob s jinou než českou státní příslušností.</w:t>
      </w:r>
      <w:r w:rsidRPr="001237F2">
        <w:rPr>
          <w:rFonts w:ascii="Arial Narrow" w:eastAsia="Calibri" w:hAnsi="Arial Narrow"/>
          <w:b/>
          <w:bCs/>
          <w:color w:val="000000"/>
          <w:u w:color="000000"/>
        </w:rPr>
        <w:t xml:space="preserve"> </w:t>
      </w:r>
      <w:r w:rsidRPr="001237F2">
        <w:rPr>
          <w:rFonts w:ascii="Arial Narrow" w:eastAsia="Calibri" w:hAnsi="Arial Narrow"/>
          <w:color w:val="000000"/>
          <w:u w:color="000000"/>
        </w:rPr>
        <w:t xml:space="preserve">Děti ve věku do 15 let tvořily k 1. 1. 2022 celkem 15,9 % všech osob s jinou než českou státní příslušností, které byly k tomuto datu v ORP Blansko evidovány, zatímco například v ORP Kuřim se jednalo pouze o 7,4 % a v ORP Vyškov o 9,3 %. </w:t>
      </w:r>
      <w:r w:rsidRPr="001237F2">
        <w:rPr>
          <w:rFonts w:ascii="Arial Narrow" w:eastAsia="Calibri" w:hAnsi="Arial Narrow"/>
          <w:color w:val="000000"/>
          <w:u w:color="000000"/>
        </w:rPr>
        <w:lastRenderedPageBreak/>
        <w:t xml:space="preserve">V roce k 1. 1. 2023 dosáhl podíl dětí do 15 let na celkovém počtu osob s jinou než českou státní příslušností v ORP Blansko úrovně 20,2 %. Skokové navýšení podílu této skupiny osob však bylo zaznamenáno ve všech ORP Jihomoravského kraje a nyní se pohybují na podobné úrovni. </w:t>
      </w:r>
    </w:p>
    <w:p w14:paraId="52293C48" w14:textId="77777777" w:rsidR="00450C7D" w:rsidRPr="001237F2" w:rsidRDefault="00450C7D" w:rsidP="00450C7D">
      <w:pPr>
        <w:spacing w:after="120" w:line="276" w:lineRule="auto"/>
        <w:jc w:val="both"/>
        <w:rPr>
          <w:rFonts w:ascii="Arial Narrow" w:hAnsi="Arial Narrow"/>
        </w:rPr>
      </w:pPr>
      <w:r w:rsidRPr="001237F2">
        <w:rPr>
          <w:rFonts w:ascii="Arial Narrow" w:hAnsi="Arial Narrow"/>
        </w:rPr>
        <w:t>V rámci průzkumu zaměstnanosti k 31. 12. 2020 byly v SO ORP Blansko získány údaje od 177 subjektů a bylo sečteno 7 164 zaměstnaných. Z nich v primárním sektoru bylo zaměstnáno pouze 3,8 % osob. V sekundárním sektoru bylo k tomuto datu zaměstnáno 44,7 % všech zaměstnanců. Nejčastěji byli pracovníci zaměstnaní v hutnickém a kovozpracujícím průmyslu (12,0 %), elektrotechnickém průmyslu (7,7 %) a strojírenském průmyslu (6,6 %). V terciéru je zaměstnána více než polovina zaměstnanců (51,5 %) v ORP Blansko. Nejčastěji zaměstnanci pracovali v odvětví vzdělávání (13,7 %), zdravotní a sociální péči (11,9 %) a v odvětví veřejné správy a obrany (11,0 %).</w:t>
      </w:r>
    </w:p>
    <w:p w14:paraId="12FA7A30" w14:textId="74387DD9" w:rsidR="00450C7D" w:rsidRPr="001237F2" w:rsidRDefault="00450C7D" w:rsidP="00450C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color w:val="000000"/>
          <w:u w:color="000000"/>
        </w:rPr>
      </w:pPr>
      <w:r w:rsidRPr="001237F2">
        <w:rPr>
          <w:rFonts w:ascii="Arial Narrow" w:eastAsia="Calibri" w:hAnsi="Arial Narrow"/>
          <w:color w:val="000000"/>
          <w:u w:color="000000"/>
        </w:rPr>
        <w:t>Podíváme-li se na vývoj počtu uchazečů o zaměstnání v ORP Blansko, po jejich prudkém nárůstu v letech 2014 a 2015  jejich počet do roku 2019 mírně klesal a jejich opětovný nárůst počtu uchazečů je patrný opět až v roce 2020, což může souviset s dopady celosvětové pandemie viru SARS-CoV-2. Navzdory mírnému nárůstu počtu uchazečů o zaměstnání (688 v prosinci 2019 a 1 035 v prosinci 2022) byl ve stejném období zaznamenán poměrně prudký nárůst počtu uchazečů připadajících na 1 volné pracovní místo (1,7 v prosinci 2019 a 3,3 v prosinci 2022).</w:t>
      </w:r>
    </w:p>
    <w:p w14:paraId="40CF0038" w14:textId="5F34214D" w:rsidR="00450C7D" w:rsidRPr="001333A8" w:rsidRDefault="00450C7D" w:rsidP="001333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Arial Narrow" w:hAnsi="Arial Narrow" w:cs="Arial Narrow"/>
          <w:color w:val="000000"/>
          <w:u w:color="000000"/>
        </w:rPr>
      </w:pPr>
      <w:r w:rsidRPr="001237F2">
        <w:rPr>
          <w:rFonts w:ascii="Arial Narrow" w:eastAsia="Calibri" w:hAnsi="Arial Narrow"/>
          <w:color w:val="000000"/>
          <w:u w:color="000000"/>
        </w:rPr>
        <w:t xml:space="preserve">V OPR Blansko byla evidována řada zaměstnavatelů, u nichž bylo prokazatelně identifikované, že v roce 2021 zaměstnávali osoby s jinou než českou státní příslušností. Mezi významné zaměstnavatele těchto osob v ORP Blansko patřila v roce 2021 například firma </w:t>
      </w:r>
      <w:proofErr w:type="spellStart"/>
      <w:r w:rsidRPr="001237F2">
        <w:rPr>
          <w:rFonts w:ascii="Arial Narrow" w:eastAsia="Calibri" w:hAnsi="Arial Narrow"/>
          <w:b/>
          <w:bCs/>
          <w:color w:val="000000"/>
          <w:u w:color="000000"/>
        </w:rPr>
        <w:t>Tyco</w:t>
      </w:r>
      <w:proofErr w:type="spellEnd"/>
      <w:r w:rsidRPr="001237F2">
        <w:rPr>
          <w:rFonts w:ascii="Arial Narrow" w:eastAsia="Calibri" w:hAnsi="Arial Narrow"/>
          <w:b/>
          <w:bCs/>
          <w:color w:val="000000"/>
          <w:u w:color="000000"/>
        </w:rPr>
        <w:t xml:space="preserve"> </w:t>
      </w:r>
      <w:proofErr w:type="spellStart"/>
      <w:r w:rsidRPr="001237F2">
        <w:rPr>
          <w:rFonts w:ascii="Arial Narrow" w:eastAsia="Calibri" w:hAnsi="Arial Narrow"/>
          <w:b/>
          <w:bCs/>
          <w:color w:val="000000"/>
          <w:u w:color="000000"/>
        </w:rPr>
        <w:t>Fire</w:t>
      </w:r>
      <w:proofErr w:type="spellEnd"/>
      <w:r w:rsidRPr="001237F2">
        <w:rPr>
          <w:rFonts w:ascii="Arial Narrow" w:eastAsia="Calibri" w:hAnsi="Arial Narrow"/>
          <w:b/>
          <w:bCs/>
          <w:color w:val="000000"/>
          <w:u w:color="000000"/>
        </w:rPr>
        <w:t xml:space="preserve"> &amp; </w:t>
      </w:r>
      <w:proofErr w:type="spellStart"/>
      <w:r w:rsidRPr="001237F2">
        <w:rPr>
          <w:rFonts w:ascii="Arial Narrow" w:eastAsia="Calibri" w:hAnsi="Arial Narrow"/>
          <w:b/>
          <w:bCs/>
          <w:color w:val="000000"/>
          <w:u w:color="000000"/>
        </w:rPr>
        <w:t>Security</w:t>
      </w:r>
      <w:proofErr w:type="spellEnd"/>
      <w:r w:rsidRPr="001237F2">
        <w:rPr>
          <w:rFonts w:ascii="Arial Narrow" w:eastAsia="Calibri" w:hAnsi="Arial Narrow"/>
          <w:b/>
          <w:bCs/>
          <w:color w:val="000000"/>
          <w:u w:color="000000"/>
        </w:rPr>
        <w:t xml:space="preserve"> Czech Republic </w:t>
      </w:r>
      <w:proofErr w:type="spellStart"/>
      <w:r w:rsidRPr="001237F2">
        <w:rPr>
          <w:rFonts w:ascii="Arial Narrow" w:eastAsia="Calibri" w:hAnsi="Arial Narrow"/>
          <w:b/>
          <w:bCs/>
          <w:color w:val="000000"/>
          <w:u w:color="000000"/>
        </w:rPr>
        <w:t>s.r.o</w:t>
      </w:r>
      <w:proofErr w:type="spellEnd"/>
      <w:r w:rsidRPr="001237F2">
        <w:rPr>
          <w:rFonts w:ascii="Arial Narrow" w:eastAsia="Calibri" w:hAnsi="Arial Narrow"/>
          <w:color w:val="000000"/>
          <w:u w:color="000000"/>
        </w:rPr>
        <w:t xml:space="preserve">, </w:t>
      </w:r>
      <w:r w:rsidRPr="001237F2">
        <w:rPr>
          <w:rFonts w:ascii="Arial Narrow" w:eastAsia="Calibri" w:hAnsi="Arial Narrow"/>
          <w:b/>
          <w:bCs/>
          <w:color w:val="000000"/>
          <w:u w:color="000000"/>
        </w:rPr>
        <w:t>Nemocnice Blansko</w:t>
      </w:r>
      <w:r w:rsidRPr="001237F2">
        <w:rPr>
          <w:rFonts w:ascii="Arial Narrow" w:eastAsia="Calibri" w:hAnsi="Arial Narrow"/>
          <w:color w:val="000000"/>
          <w:u w:color="000000"/>
        </w:rPr>
        <w:t xml:space="preserve">, </w:t>
      </w:r>
      <w:proofErr w:type="spellStart"/>
      <w:r w:rsidRPr="001237F2">
        <w:rPr>
          <w:rFonts w:ascii="Arial Narrow" w:eastAsia="Calibri" w:hAnsi="Arial Narrow"/>
          <w:b/>
          <w:bCs/>
          <w:color w:val="000000"/>
          <w:u w:color="000000"/>
        </w:rPr>
        <w:t>Synthon</w:t>
      </w:r>
      <w:proofErr w:type="spellEnd"/>
      <w:r w:rsidRPr="001237F2">
        <w:rPr>
          <w:rFonts w:ascii="Arial Narrow" w:eastAsia="Calibri" w:hAnsi="Arial Narrow"/>
          <w:b/>
          <w:bCs/>
          <w:color w:val="000000"/>
          <w:u w:color="000000"/>
        </w:rPr>
        <w:t xml:space="preserve">, s. r. o., </w:t>
      </w:r>
      <w:r w:rsidRPr="001237F2">
        <w:rPr>
          <w:rFonts w:ascii="Arial Narrow" w:eastAsia="Calibri" w:hAnsi="Arial Narrow"/>
          <w:color w:val="000000"/>
          <w:u w:color="000000"/>
        </w:rPr>
        <w:t xml:space="preserve">či </w:t>
      </w:r>
      <w:r w:rsidRPr="001237F2">
        <w:rPr>
          <w:rFonts w:ascii="Arial Narrow" w:eastAsia="Calibri" w:hAnsi="Arial Narrow"/>
          <w:b/>
          <w:bCs/>
          <w:color w:val="000000"/>
          <w:u w:color="000000"/>
        </w:rPr>
        <w:t xml:space="preserve">ČKD Blansko Holding, a.s. </w:t>
      </w:r>
      <w:r w:rsidRPr="001237F2">
        <w:rPr>
          <w:rFonts w:ascii="Arial Narrow" w:eastAsia="Calibri" w:hAnsi="Arial Narrow"/>
          <w:color w:val="000000"/>
          <w:u w:color="000000"/>
        </w:rPr>
        <w:t>Nejvíce osob s jinou než českou státní příslušností v ORP Blansko bylo v roce 2021 zaměstnáno ve zpracovatelském průmyslu a v oblasti zdravotní a sociální péče.</w:t>
      </w:r>
    </w:p>
    <w:p w14:paraId="60483F28" w14:textId="77777777" w:rsidR="00450C7D" w:rsidRPr="009931FE" w:rsidRDefault="00450C7D" w:rsidP="00450C7D">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sz w:val="20"/>
          <w:szCs w:val="20"/>
        </w:rPr>
      </w:pPr>
      <w:r w:rsidRPr="001237F2">
        <w:rPr>
          <w:rFonts w:ascii="Arial Narrow" w:hAnsi="Arial Narrow"/>
          <w:sz w:val="22"/>
          <w:szCs w:val="22"/>
        </w:rPr>
        <w:t>Je pravděpodobné, že z důvodu výraznějších změn v</w:t>
      </w:r>
      <w:r w:rsidRPr="001237F2">
        <w:rPr>
          <w:rFonts w:ascii="Arial Narrow" w:eastAsia="Calibri" w:hAnsi="Arial Narrow"/>
          <w:sz w:val="22"/>
          <w:szCs w:val="22"/>
        </w:rPr>
        <w:t> populaci osob s jinou než českou státní příslušností v ORP Blansko během roku 2022 a 2023, především v návaznosti na rusko-ukrajinský konflikt, se změní také struktura zaměstnanosti v ORP Blansko. Změny budou patrné také po ukončení konfliktu, kdy je očekáván návrat části osob s ukrajinskou státní příslušností zpět do země původu.</w:t>
      </w:r>
    </w:p>
    <w:p w14:paraId="4D78B7F9" w14:textId="77777777" w:rsidR="00C50D20" w:rsidRPr="00081398" w:rsidRDefault="00C50D20" w:rsidP="00081398">
      <w:pPr>
        <w:spacing w:after="120" w:line="276" w:lineRule="auto"/>
        <w:rPr>
          <w:rFonts w:ascii="Arial Narrow" w:hAnsi="Arial Narrow"/>
          <w:b/>
          <w:color w:val="2F5496" w:themeColor="accent1" w:themeShade="BF"/>
        </w:rPr>
      </w:pPr>
    </w:p>
    <w:p w14:paraId="2B36A18D" w14:textId="3640F095" w:rsidR="00C50D20" w:rsidRDefault="00C50D20" w:rsidP="00081398">
      <w:pPr>
        <w:spacing w:after="120" w:line="276" w:lineRule="auto"/>
        <w:rPr>
          <w:rFonts w:ascii="Arial Narrow" w:hAnsi="Arial Narrow"/>
          <w:b/>
          <w:color w:val="2F5496" w:themeColor="accent1" w:themeShade="BF"/>
        </w:rPr>
      </w:pPr>
    </w:p>
    <w:p w14:paraId="745A5C9E" w14:textId="49A00718" w:rsidR="000477F1" w:rsidRDefault="000477F1" w:rsidP="00081398">
      <w:pPr>
        <w:spacing w:after="120" w:line="276" w:lineRule="auto"/>
        <w:rPr>
          <w:rFonts w:ascii="Arial Narrow" w:hAnsi="Arial Narrow"/>
          <w:b/>
          <w:color w:val="2F5496" w:themeColor="accent1" w:themeShade="BF"/>
        </w:rPr>
      </w:pPr>
    </w:p>
    <w:p w14:paraId="1B3CFA90" w14:textId="77777777" w:rsidR="000477F1" w:rsidRPr="00081398" w:rsidRDefault="000477F1" w:rsidP="00081398">
      <w:pPr>
        <w:spacing w:after="120" w:line="276" w:lineRule="auto"/>
        <w:rPr>
          <w:rFonts w:ascii="Arial Narrow" w:hAnsi="Arial Narrow"/>
          <w:b/>
          <w:color w:val="2F5496" w:themeColor="accent1" w:themeShade="BF"/>
        </w:rPr>
      </w:pPr>
    </w:p>
    <w:p w14:paraId="69E06CBF" w14:textId="5F2D8AFE" w:rsidR="00C50D20" w:rsidRDefault="00C50D20" w:rsidP="00081398">
      <w:pPr>
        <w:spacing w:after="120" w:line="276" w:lineRule="auto"/>
        <w:rPr>
          <w:rFonts w:ascii="Arial Narrow" w:hAnsi="Arial Narrow"/>
          <w:b/>
          <w:color w:val="2F5496" w:themeColor="accent1" w:themeShade="BF"/>
        </w:rPr>
      </w:pPr>
    </w:p>
    <w:p w14:paraId="713A1374" w14:textId="5C093988" w:rsidR="00C23368" w:rsidRDefault="00C23368" w:rsidP="00081398">
      <w:pPr>
        <w:spacing w:after="120" w:line="276" w:lineRule="auto"/>
        <w:rPr>
          <w:rFonts w:ascii="Arial Narrow" w:hAnsi="Arial Narrow"/>
          <w:b/>
          <w:color w:val="2F5496" w:themeColor="accent1" w:themeShade="BF"/>
        </w:rPr>
      </w:pPr>
    </w:p>
    <w:p w14:paraId="68F101ED" w14:textId="00E3D40B" w:rsidR="00C23368" w:rsidRDefault="00C23368" w:rsidP="00081398">
      <w:pPr>
        <w:spacing w:after="120" w:line="276" w:lineRule="auto"/>
        <w:rPr>
          <w:rFonts w:ascii="Arial Narrow" w:hAnsi="Arial Narrow"/>
          <w:b/>
          <w:color w:val="2F5496" w:themeColor="accent1" w:themeShade="BF"/>
        </w:rPr>
      </w:pPr>
    </w:p>
    <w:p w14:paraId="3F4A4F89" w14:textId="20DA14B0" w:rsidR="00C23368" w:rsidRDefault="00C23368" w:rsidP="00081398">
      <w:pPr>
        <w:spacing w:after="120" w:line="276" w:lineRule="auto"/>
        <w:rPr>
          <w:rFonts w:ascii="Arial Narrow" w:hAnsi="Arial Narrow"/>
          <w:b/>
          <w:color w:val="2F5496" w:themeColor="accent1" w:themeShade="BF"/>
        </w:rPr>
      </w:pPr>
    </w:p>
    <w:p w14:paraId="695861AD" w14:textId="77777777" w:rsidR="00C23368" w:rsidRPr="00081398" w:rsidRDefault="00C23368" w:rsidP="00081398">
      <w:pPr>
        <w:spacing w:after="120" w:line="276" w:lineRule="auto"/>
        <w:rPr>
          <w:rFonts w:ascii="Arial Narrow" w:hAnsi="Arial Narrow"/>
          <w:b/>
          <w:color w:val="2F5496" w:themeColor="accent1" w:themeShade="BF"/>
        </w:rPr>
      </w:pPr>
    </w:p>
    <w:p w14:paraId="61B8C303" w14:textId="7E0ACB93" w:rsidR="00C50D20" w:rsidRDefault="00C50D20" w:rsidP="00081398">
      <w:pPr>
        <w:spacing w:after="120" w:line="276" w:lineRule="auto"/>
        <w:rPr>
          <w:rFonts w:ascii="Arial Narrow" w:hAnsi="Arial Narrow"/>
          <w:b/>
          <w:color w:val="2F5496" w:themeColor="accent1" w:themeShade="BF"/>
        </w:rPr>
      </w:pPr>
    </w:p>
    <w:p w14:paraId="6DCB344F" w14:textId="77777777" w:rsidR="001333A8" w:rsidRDefault="001333A8" w:rsidP="00081398">
      <w:pPr>
        <w:spacing w:after="120" w:line="276" w:lineRule="auto"/>
        <w:rPr>
          <w:rFonts w:ascii="Arial Narrow" w:hAnsi="Arial Narrow"/>
          <w:b/>
          <w:color w:val="2F5496" w:themeColor="accent1" w:themeShade="BF"/>
        </w:rPr>
      </w:pPr>
    </w:p>
    <w:p w14:paraId="7F30CE9E" w14:textId="77777777" w:rsidR="00B604D8" w:rsidRPr="00081398" w:rsidRDefault="00B604D8" w:rsidP="00081398">
      <w:pPr>
        <w:spacing w:after="120" w:line="276" w:lineRule="auto"/>
        <w:rPr>
          <w:rFonts w:ascii="Arial Narrow" w:hAnsi="Arial Narrow"/>
          <w:b/>
          <w:color w:val="2F5496" w:themeColor="accent1" w:themeShade="BF"/>
        </w:rPr>
      </w:pPr>
    </w:p>
    <w:p w14:paraId="3BBAB350" w14:textId="77777777" w:rsidR="00C50D20" w:rsidRPr="00CE357F" w:rsidRDefault="00C50D20" w:rsidP="00081398">
      <w:pPr>
        <w:spacing w:after="120" w:line="276" w:lineRule="auto"/>
        <w:rPr>
          <w:rFonts w:ascii="Arial Narrow" w:hAnsi="Arial Narrow"/>
          <w:b/>
          <w:color w:val="2F5496" w:themeColor="accent1" w:themeShade="BF"/>
        </w:rPr>
      </w:pPr>
    </w:p>
    <w:p w14:paraId="6B344E50" w14:textId="77777777" w:rsidR="00EA186A" w:rsidRPr="00CE357F" w:rsidRDefault="00EA186A" w:rsidP="00B835F6">
      <w:pPr>
        <w:pStyle w:val="Nadpis2"/>
        <w:ind w:left="284"/>
        <w:rPr>
          <w:rFonts w:ascii="Arial Narrow" w:hAnsi="Arial Narrow"/>
          <w:sz w:val="28"/>
          <w:szCs w:val="30"/>
        </w:rPr>
      </w:pPr>
      <w:bookmarkStart w:id="634" w:name="_Toc94215412"/>
      <w:bookmarkStart w:id="635" w:name="_Toc136876112"/>
      <w:r w:rsidRPr="00CE357F">
        <w:rPr>
          <w:rFonts w:ascii="Arial Narrow" w:hAnsi="Arial Narrow"/>
          <w:sz w:val="28"/>
          <w:szCs w:val="30"/>
        </w:rPr>
        <w:lastRenderedPageBreak/>
        <w:t>OSOBY S JINOU NEŽ ČESKOU STÁTNÍ PŘÍSLUŠNOSTÍ V ORP BRNO</w:t>
      </w:r>
      <w:bookmarkEnd w:id="634"/>
      <w:bookmarkEnd w:id="635"/>
    </w:p>
    <w:p w14:paraId="50AD3E36" w14:textId="77777777" w:rsidR="00EA186A" w:rsidRPr="00CE357F" w:rsidRDefault="00EA186A" w:rsidP="00EA186A">
      <w:pPr>
        <w:spacing w:line="276" w:lineRule="auto"/>
        <w:rPr>
          <w:rFonts w:ascii="Arial Narrow" w:hAnsi="Arial Narrow"/>
        </w:rPr>
      </w:pPr>
    </w:p>
    <w:p w14:paraId="21386DB8" w14:textId="77777777" w:rsidR="00EA186A" w:rsidRPr="00CE357F" w:rsidRDefault="00EA186A" w:rsidP="00EA186A">
      <w:pPr>
        <w:pStyle w:val="Nadpis3"/>
        <w:spacing w:after="240"/>
      </w:pPr>
      <w:bookmarkStart w:id="636" w:name="_Toc136876113"/>
      <w:r w:rsidRPr="00CE357F">
        <w:t>Základní demografické údaje o ORP Brno</w:t>
      </w:r>
      <w:bookmarkEnd w:id="636"/>
      <w:r w:rsidRPr="00CE357F">
        <w:t xml:space="preserve"> </w:t>
      </w:r>
    </w:p>
    <w:p w14:paraId="099BC7BE" w14:textId="77777777" w:rsidR="00FF2DD4" w:rsidRPr="00CE357F" w:rsidRDefault="00FF2DD4" w:rsidP="00FF2DD4">
      <w:pPr>
        <w:spacing w:line="276" w:lineRule="auto"/>
        <w:jc w:val="both"/>
        <w:rPr>
          <w:rFonts w:ascii="Arial Narrow" w:hAnsi="Arial Narrow"/>
        </w:rPr>
      </w:pPr>
      <w:r w:rsidRPr="00FF2DD4">
        <w:rPr>
          <w:rFonts w:ascii="Arial Narrow" w:hAnsi="Arial Narrow"/>
        </w:rPr>
        <w:t>K 31. 12. 2021</w:t>
      </w:r>
      <w:r w:rsidRPr="00FF2DD4">
        <w:rPr>
          <w:rStyle w:val="Znakapoznpodarou"/>
          <w:rFonts w:ascii="Arial Narrow" w:hAnsi="Arial Narrow"/>
        </w:rPr>
        <w:footnoteReference w:id="78"/>
      </w:r>
      <w:r w:rsidRPr="00FF2DD4">
        <w:rPr>
          <w:rFonts w:ascii="Arial Narrow" w:hAnsi="Arial Narrow"/>
        </w:rPr>
        <w:t xml:space="preserve"> žilo podle dat Ministerstva vnitra na území ORP Brno celkem 379 466 obyvatel, což představovalo zhruba 32 % všech obyvatel Jihomoravského kraje. Mezi obyvateli ORP Brno k tomuto datu mírně převažovaly ženy nad muži. Podíl mužů a žen mezi obyvateli ORP Brno zůstává, stejně jako podíl obyvatel na celkovém počtu obyvatel JMK, dlouhodobě stabilní. Meziročně vzrůstá pouze průměrný věk obyvatel. Zatímco v roce 2005 byl průměrný věk obyvatel ORP Brno 41,5 let, v roce 2020 to bylo 42,9 let. Jedná se ale o trend, který je charakteristický pro území celé České republiky.</w:t>
      </w:r>
      <w:r>
        <w:rPr>
          <w:rFonts w:ascii="Arial Narrow" w:hAnsi="Arial Narrow"/>
        </w:rPr>
        <w:t xml:space="preserve"> </w:t>
      </w:r>
    </w:p>
    <w:p w14:paraId="04E4F2F4" w14:textId="77777777" w:rsidR="00EA186A" w:rsidRPr="00CE357F" w:rsidRDefault="00EA186A" w:rsidP="00EA186A">
      <w:pPr>
        <w:spacing w:line="276" w:lineRule="auto"/>
        <w:jc w:val="both"/>
        <w:rPr>
          <w:rFonts w:ascii="Arial Narrow" w:hAnsi="Arial Narrow"/>
        </w:rPr>
      </w:pPr>
    </w:p>
    <w:p w14:paraId="5E493E86" w14:textId="6BF43D93" w:rsidR="00EA186A" w:rsidRPr="00CE357F" w:rsidRDefault="00EA186A" w:rsidP="00EA186A">
      <w:pPr>
        <w:spacing w:line="276" w:lineRule="auto"/>
        <w:rPr>
          <w:rFonts w:ascii="Arial Narrow" w:hAnsi="Arial Narrow"/>
          <w:b/>
        </w:rPr>
      </w:pPr>
      <w:bookmarkStart w:id="637" w:name="_Toc136429243"/>
      <w:r w:rsidRPr="00CE357F">
        <w:rPr>
          <w:rFonts w:ascii="Arial Narrow" w:hAnsi="Arial Narrow"/>
          <w:b/>
          <w:sz w:val="20"/>
          <w:szCs w:val="20"/>
        </w:rPr>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32</w:t>
      </w:r>
      <w:r w:rsidRPr="00CE357F">
        <w:rPr>
          <w:rFonts w:ascii="Arial Narrow" w:hAnsi="Arial Narrow"/>
          <w:b/>
          <w:sz w:val="20"/>
          <w:szCs w:val="20"/>
        </w:rPr>
        <w:fldChar w:fldCharType="end"/>
      </w:r>
      <w:r w:rsidRPr="00CE357F">
        <w:rPr>
          <w:rFonts w:ascii="Arial Narrow" w:hAnsi="Arial Narrow"/>
          <w:b/>
          <w:sz w:val="20"/>
          <w:szCs w:val="20"/>
        </w:rPr>
        <w:t xml:space="preserve">: Vývoj počtu obyvatel v ORP </w:t>
      </w:r>
      <w:r w:rsidR="00DC5203" w:rsidRPr="00CE357F">
        <w:rPr>
          <w:rFonts w:ascii="Arial Narrow" w:hAnsi="Arial Narrow"/>
          <w:b/>
          <w:sz w:val="20"/>
          <w:szCs w:val="20"/>
        </w:rPr>
        <w:t>Brno</w:t>
      </w:r>
      <w:r w:rsidRPr="00CE357F">
        <w:rPr>
          <w:rFonts w:ascii="Arial Narrow" w:hAnsi="Arial Narrow"/>
          <w:b/>
          <w:sz w:val="20"/>
          <w:szCs w:val="20"/>
        </w:rPr>
        <w:t xml:space="preserve"> v letech 2005-202</w:t>
      </w:r>
      <w:r w:rsidR="00FF2DD4">
        <w:rPr>
          <w:rFonts w:ascii="Arial Narrow" w:hAnsi="Arial Narrow"/>
          <w:b/>
          <w:sz w:val="20"/>
          <w:szCs w:val="20"/>
        </w:rPr>
        <w:t>2</w:t>
      </w:r>
      <w:bookmarkEnd w:id="637"/>
    </w:p>
    <w:tbl>
      <w:tblPr>
        <w:tblpPr w:leftFromText="141" w:rightFromText="141" w:vertAnchor="text" w:tblpX="108" w:tblpY="1"/>
        <w:tblW w:w="4945" w:type="pct"/>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1555"/>
        <w:gridCol w:w="1731"/>
        <w:gridCol w:w="2397"/>
        <w:gridCol w:w="1134"/>
        <w:gridCol w:w="858"/>
        <w:gridCol w:w="1287"/>
      </w:tblGrid>
      <w:tr w:rsidR="00EA186A" w:rsidRPr="00CE357F" w14:paraId="3E952607" w14:textId="77777777" w:rsidTr="00FF2DD4">
        <w:trPr>
          <w:trHeight w:val="271"/>
        </w:trPr>
        <w:tc>
          <w:tcPr>
            <w:tcW w:w="1555" w:type="dxa"/>
            <w:vMerge w:val="restart"/>
            <w:shd w:val="clear" w:color="auto" w:fill="D9E2F3" w:themeFill="accent1" w:themeFillTint="33"/>
            <w:vAlign w:val="center"/>
            <w:hideMark/>
          </w:tcPr>
          <w:p w14:paraId="3AF08A40" w14:textId="77777777" w:rsidR="00EA186A" w:rsidRPr="00FF2DD4" w:rsidRDefault="00EA186A" w:rsidP="00EA186A">
            <w:pPr>
              <w:jc w:val="center"/>
              <w:rPr>
                <w:rFonts w:ascii="Arial Narrow" w:eastAsia="Times New Roman" w:hAnsi="Arial Narrow" w:cs="Arial"/>
                <w:sz w:val="18"/>
                <w:szCs w:val="18"/>
                <w:lang w:eastAsia="cs-CZ"/>
              </w:rPr>
            </w:pPr>
            <w:r w:rsidRPr="00FF2DD4">
              <w:rPr>
                <w:rFonts w:ascii="Arial Narrow" w:eastAsia="Times New Roman" w:hAnsi="Arial Narrow" w:cs="Arial"/>
                <w:sz w:val="18"/>
                <w:szCs w:val="18"/>
                <w:lang w:eastAsia="cs-CZ"/>
              </w:rPr>
              <w:t>Rok</w:t>
            </w:r>
          </w:p>
          <w:p w14:paraId="38F47E7C" w14:textId="50812671" w:rsidR="00EA186A" w:rsidRPr="00CE357F" w:rsidRDefault="00EA186A" w:rsidP="00EA186A">
            <w:pPr>
              <w:jc w:val="center"/>
              <w:rPr>
                <w:rFonts w:ascii="Arial Narrow" w:hAnsi="Arial Narrow" w:cstheme="minorBidi"/>
                <w:b/>
                <w:bCs/>
                <w:sz w:val="18"/>
                <w:szCs w:val="18"/>
              </w:rPr>
            </w:pPr>
            <w:r w:rsidRPr="00FF2DD4">
              <w:rPr>
                <w:rFonts w:ascii="Arial Narrow" w:eastAsia="Times New Roman" w:hAnsi="Arial Narrow" w:cs="Arial"/>
                <w:sz w:val="18"/>
                <w:szCs w:val="18"/>
                <w:lang w:eastAsia="cs-CZ"/>
              </w:rPr>
              <w:t>(vždy k 31. 12.)</w:t>
            </w:r>
            <w:r w:rsidR="00FF2DD4" w:rsidRPr="00FF2DD4">
              <w:rPr>
                <w:rStyle w:val="Znakapoznpodarou"/>
                <w:rFonts w:ascii="Arial Narrow" w:eastAsia="Times New Roman" w:hAnsi="Arial Narrow" w:cs="Arial"/>
                <w:sz w:val="18"/>
                <w:szCs w:val="18"/>
                <w:lang w:eastAsia="cs-CZ"/>
              </w:rPr>
              <w:footnoteReference w:id="79"/>
            </w:r>
          </w:p>
        </w:tc>
        <w:tc>
          <w:tcPr>
            <w:tcW w:w="1731" w:type="dxa"/>
            <w:vMerge w:val="restart"/>
            <w:shd w:val="clear" w:color="auto" w:fill="D9E2F3" w:themeFill="accent1" w:themeFillTint="33"/>
            <w:vAlign w:val="center"/>
            <w:hideMark/>
          </w:tcPr>
          <w:p w14:paraId="16A52E98"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Počet obyvatel celkem</w:t>
            </w:r>
          </w:p>
        </w:tc>
        <w:tc>
          <w:tcPr>
            <w:tcW w:w="2397" w:type="dxa"/>
            <w:vMerge w:val="restart"/>
            <w:shd w:val="clear" w:color="auto" w:fill="D9E2F3" w:themeFill="accent1" w:themeFillTint="33"/>
            <w:vAlign w:val="center"/>
          </w:tcPr>
          <w:p w14:paraId="59F94500" w14:textId="77777777" w:rsidR="00EA186A" w:rsidRPr="00CE357F" w:rsidRDefault="00EA186A" w:rsidP="00EA18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obyvatel na celkovém počtu obyvatel v JMK</w:t>
            </w:r>
          </w:p>
        </w:tc>
        <w:tc>
          <w:tcPr>
            <w:tcW w:w="1992" w:type="dxa"/>
            <w:gridSpan w:val="2"/>
            <w:shd w:val="clear" w:color="auto" w:fill="D9E2F3" w:themeFill="accent1" w:themeFillTint="33"/>
            <w:vAlign w:val="center"/>
          </w:tcPr>
          <w:p w14:paraId="4AD8EB4A" w14:textId="77777777" w:rsidR="00EA186A" w:rsidRPr="00CE357F" w:rsidRDefault="00EA186A" w:rsidP="00EA18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toho</w:t>
            </w:r>
          </w:p>
        </w:tc>
        <w:tc>
          <w:tcPr>
            <w:tcW w:w="1287" w:type="dxa"/>
            <w:vMerge w:val="restart"/>
            <w:shd w:val="clear" w:color="auto" w:fill="D9E2F3" w:themeFill="accent1" w:themeFillTint="33"/>
            <w:vAlign w:val="center"/>
          </w:tcPr>
          <w:p w14:paraId="7EC74AFF" w14:textId="77777777" w:rsidR="00EA186A" w:rsidRPr="00CE357F" w:rsidRDefault="00EA186A" w:rsidP="00EA18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Průměrný věk</w:t>
            </w:r>
          </w:p>
        </w:tc>
      </w:tr>
      <w:tr w:rsidR="00EA186A" w:rsidRPr="00CE357F" w14:paraId="6F341288" w14:textId="77777777" w:rsidTr="00FF2DD4">
        <w:trPr>
          <w:trHeight w:val="138"/>
        </w:trPr>
        <w:tc>
          <w:tcPr>
            <w:tcW w:w="1555" w:type="dxa"/>
            <w:vMerge/>
            <w:hideMark/>
          </w:tcPr>
          <w:p w14:paraId="7AE0AB16" w14:textId="77777777" w:rsidR="00EA186A" w:rsidRPr="00CE357F" w:rsidRDefault="00EA186A" w:rsidP="00EA186A">
            <w:pPr>
              <w:rPr>
                <w:rFonts w:ascii="Arial Narrow" w:hAnsi="Arial Narrow"/>
                <w:sz w:val="18"/>
                <w:szCs w:val="18"/>
              </w:rPr>
            </w:pPr>
          </w:p>
        </w:tc>
        <w:tc>
          <w:tcPr>
            <w:tcW w:w="1731" w:type="dxa"/>
            <w:vMerge/>
            <w:hideMark/>
          </w:tcPr>
          <w:p w14:paraId="18107550" w14:textId="77777777" w:rsidR="00EA186A" w:rsidRPr="00CE357F" w:rsidRDefault="00EA186A" w:rsidP="00EA186A">
            <w:pPr>
              <w:rPr>
                <w:rFonts w:ascii="Arial Narrow" w:hAnsi="Arial Narrow"/>
                <w:sz w:val="18"/>
                <w:szCs w:val="18"/>
              </w:rPr>
            </w:pPr>
          </w:p>
        </w:tc>
        <w:tc>
          <w:tcPr>
            <w:tcW w:w="2397" w:type="dxa"/>
            <w:vMerge/>
          </w:tcPr>
          <w:p w14:paraId="4A713D60" w14:textId="77777777" w:rsidR="00EA186A" w:rsidRPr="00CE357F" w:rsidRDefault="00EA186A" w:rsidP="00EA186A">
            <w:pPr>
              <w:jc w:val="center"/>
              <w:rPr>
                <w:rFonts w:ascii="Arial Narrow" w:hAnsi="Arial Narrow"/>
                <w:sz w:val="18"/>
                <w:szCs w:val="18"/>
              </w:rPr>
            </w:pPr>
          </w:p>
        </w:tc>
        <w:tc>
          <w:tcPr>
            <w:tcW w:w="1134" w:type="dxa"/>
            <w:shd w:val="clear" w:color="auto" w:fill="D9E2F3" w:themeFill="accent1" w:themeFillTint="33"/>
            <w:vAlign w:val="center"/>
          </w:tcPr>
          <w:p w14:paraId="754C785E" w14:textId="77777777" w:rsidR="00EA186A" w:rsidRPr="00CE357F" w:rsidRDefault="00EA186A" w:rsidP="00EA186A">
            <w:pPr>
              <w:jc w:val="center"/>
              <w:rPr>
                <w:rFonts w:ascii="Arial Narrow" w:hAnsi="Arial Narrow"/>
                <w:b/>
                <w:bCs/>
                <w:sz w:val="18"/>
                <w:szCs w:val="18"/>
              </w:rPr>
            </w:pPr>
            <w:r w:rsidRPr="00CE357F">
              <w:rPr>
                <w:rFonts w:ascii="Arial Narrow" w:hAnsi="Arial Narrow"/>
                <w:b/>
                <w:bCs/>
                <w:sz w:val="18"/>
                <w:szCs w:val="18"/>
              </w:rPr>
              <w:t>Muži</w:t>
            </w:r>
          </w:p>
        </w:tc>
        <w:tc>
          <w:tcPr>
            <w:tcW w:w="858" w:type="dxa"/>
            <w:shd w:val="clear" w:color="auto" w:fill="D9E2F3" w:themeFill="accent1" w:themeFillTint="33"/>
            <w:vAlign w:val="center"/>
          </w:tcPr>
          <w:p w14:paraId="11B2AEF4" w14:textId="77777777" w:rsidR="00EA186A" w:rsidRPr="00CE357F" w:rsidRDefault="00EA186A" w:rsidP="00EA186A">
            <w:pPr>
              <w:jc w:val="center"/>
              <w:rPr>
                <w:rFonts w:ascii="Arial Narrow" w:hAnsi="Arial Narrow"/>
                <w:b/>
                <w:bCs/>
                <w:sz w:val="18"/>
                <w:szCs w:val="18"/>
              </w:rPr>
            </w:pPr>
            <w:r w:rsidRPr="00CE357F">
              <w:rPr>
                <w:rFonts w:ascii="Arial Narrow" w:hAnsi="Arial Narrow"/>
                <w:b/>
                <w:bCs/>
                <w:sz w:val="18"/>
                <w:szCs w:val="18"/>
              </w:rPr>
              <w:t>Ženy</w:t>
            </w:r>
          </w:p>
        </w:tc>
        <w:tc>
          <w:tcPr>
            <w:tcW w:w="1287" w:type="dxa"/>
            <w:vMerge/>
          </w:tcPr>
          <w:p w14:paraId="0EEE8369" w14:textId="77777777" w:rsidR="00EA186A" w:rsidRPr="00CE357F" w:rsidRDefault="00EA186A" w:rsidP="00EA186A">
            <w:pPr>
              <w:jc w:val="center"/>
              <w:rPr>
                <w:rFonts w:ascii="Arial Narrow" w:hAnsi="Arial Narrow"/>
                <w:color w:val="FFFFFF" w:themeColor="background1"/>
                <w:sz w:val="18"/>
                <w:szCs w:val="18"/>
              </w:rPr>
            </w:pPr>
          </w:p>
        </w:tc>
      </w:tr>
      <w:tr w:rsidR="00FF2DD4" w:rsidRPr="00CE357F" w14:paraId="6DF62135" w14:textId="77777777" w:rsidTr="004A0C47">
        <w:trPr>
          <w:trHeight w:val="204"/>
        </w:trPr>
        <w:tc>
          <w:tcPr>
            <w:tcW w:w="1555" w:type="dxa"/>
            <w:shd w:val="clear" w:color="auto" w:fill="D9E2F3" w:themeFill="accent1" w:themeFillTint="33"/>
            <w:vAlign w:val="center"/>
          </w:tcPr>
          <w:p w14:paraId="62DC1886" w14:textId="1EAC4CF6" w:rsidR="00FF2DD4" w:rsidRPr="00CE357F" w:rsidRDefault="00FF2DD4" w:rsidP="00FF2DD4">
            <w:pPr>
              <w:jc w:val="center"/>
              <w:rPr>
                <w:rFonts w:ascii="Arial Narrow" w:hAnsi="Arial Narrow"/>
                <w:sz w:val="18"/>
                <w:szCs w:val="18"/>
              </w:rPr>
            </w:pPr>
            <w:r>
              <w:rPr>
                <w:rFonts w:ascii="Arial Narrow" w:hAnsi="Arial Narrow"/>
                <w:sz w:val="18"/>
                <w:szCs w:val="18"/>
              </w:rPr>
              <w:t>2021</w:t>
            </w:r>
          </w:p>
        </w:tc>
        <w:tc>
          <w:tcPr>
            <w:tcW w:w="1731" w:type="dxa"/>
            <w:vAlign w:val="center"/>
          </w:tcPr>
          <w:p w14:paraId="30A5AC11" w14:textId="53113C0D" w:rsidR="00FF2DD4" w:rsidRPr="00CE357F" w:rsidRDefault="00FF2DD4" w:rsidP="00FF2DD4">
            <w:pPr>
              <w:jc w:val="center"/>
              <w:rPr>
                <w:rFonts w:ascii="Arial Narrow" w:hAnsi="Arial Narrow"/>
                <w:b/>
                <w:bCs/>
                <w:sz w:val="18"/>
                <w:szCs w:val="18"/>
              </w:rPr>
            </w:pPr>
            <w:r w:rsidRPr="00714720">
              <w:rPr>
                <w:rFonts w:ascii="Arial Narrow" w:hAnsi="Arial Narrow"/>
                <w:b/>
                <w:bCs/>
                <w:color w:val="000000"/>
                <w:sz w:val="18"/>
                <w:szCs w:val="18"/>
              </w:rPr>
              <w:t>379 466</w:t>
            </w:r>
          </w:p>
        </w:tc>
        <w:tc>
          <w:tcPr>
            <w:tcW w:w="2397" w:type="dxa"/>
            <w:vAlign w:val="center"/>
          </w:tcPr>
          <w:p w14:paraId="5EC6C46B" w14:textId="5739B1E3" w:rsidR="00FF2DD4" w:rsidRPr="00CE357F" w:rsidRDefault="00FF2DD4" w:rsidP="00FF2DD4">
            <w:pPr>
              <w:jc w:val="center"/>
              <w:rPr>
                <w:rFonts w:ascii="Arial Narrow" w:hAnsi="Arial Narrow"/>
                <w:color w:val="000000"/>
                <w:sz w:val="18"/>
                <w:szCs w:val="18"/>
              </w:rPr>
            </w:pPr>
            <w:r w:rsidRPr="00D20C84">
              <w:rPr>
                <w:rFonts w:ascii="Arial Narrow" w:hAnsi="Arial Narrow"/>
                <w:color w:val="000000"/>
                <w:sz w:val="18"/>
                <w:szCs w:val="18"/>
              </w:rPr>
              <w:t>32</w:t>
            </w:r>
            <w:r>
              <w:rPr>
                <w:rFonts w:ascii="Arial Narrow" w:hAnsi="Arial Narrow"/>
                <w:color w:val="000000"/>
                <w:sz w:val="18"/>
                <w:szCs w:val="18"/>
              </w:rPr>
              <w:t xml:space="preserve"> </w:t>
            </w:r>
            <w:r w:rsidRPr="00D20C84">
              <w:rPr>
                <w:rFonts w:ascii="Arial Narrow" w:hAnsi="Arial Narrow"/>
                <w:color w:val="000000"/>
                <w:sz w:val="18"/>
                <w:szCs w:val="18"/>
              </w:rPr>
              <w:t>%</w:t>
            </w:r>
          </w:p>
        </w:tc>
        <w:tc>
          <w:tcPr>
            <w:tcW w:w="1134" w:type="dxa"/>
            <w:vAlign w:val="center"/>
          </w:tcPr>
          <w:p w14:paraId="0A6A1836" w14:textId="5B6A3245" w:rsidR="00FF2DD4" w:rsidRPr="00CE357F" w:rsidRDefault="00FF2DD4" w:rsidP="00FF2DD4">
            <w:pPr>
              <w:jc w:val="center"/>
              <w:rPr>
                <w:rFonts w:ascii="Arial Narrow" w:hAnsi="Arial Narrow"/>
                <w:sz w:val="18"/>
                <w:szCs w:val="18"/>
              </w:rPr>
            </w:pPr>
            <w:r w:rsidRPr="00D20C84">
              <w:rPr>
                <w:rFonts w:ascii="Arial Narrow" w:hAnsi="Arial Narrow"/>
                <w:color w:val="000000"/>
                <w:sz w:val="18"/>
                <w:szCs w:val="18"/>
              </w:rPr>
              <w:t>184 748</w:t>
            </w:r>
          </w:p>
        </w:tc>
        <w:tc>
          <w:tcPr>
            <w:tcW w:w="858" w:type="dxa"/>
            <w:vAlign w:val="center"/>
          </w:tcPr>
          <w:p w14:paraId="232F9334" w14:textId="141774FC" w:rsidR="00FF2DD4" w:rsidRPr="00CE357F" w:rsidRDefault="00FF2DD4" w:rsidP="00FF2DD4">
            <w:pPr>
              <w:jc w:val="center"/>
              <w:rPr>
                <w:rFonts w:ascii="Arial Narrow" w:hAnsi="Arial Narrow"/>
                <w:sz w:val="18"/>
                <w:szCs w:val="18"/>
              </w:rPr>
            </w:pPr>
            <w:r w:rsidRPr="00D20C84">
              <w:rPr>
                <w:rFonts w:ascii="Arial Narrow" w:hAnsi="Arial Narrow"/>
                <w:color w:val="000000"/>
                <w:sz w:val="18"/>
                <w:szCs w:val="18"/>
              </w:rPr>
              <w:t>194 718</w:t>
            </w:r>
          </w:p>
        </w:tc>
        <w:tc>
          <w:tcPr>
            <w:tcW w:w="1287" w:type="dxa"/>
            <w:vAlign w:val="center"/>
          </w:tcPr>
          <w:p w14:paraId="732F0595" w14:textId="62EF9AF2" w:rsidR="00FF2DD4" w:rsidRPr="00CE357F" w:rsidRDefault="00FF2DD4" w:rsidP="00FF2DD4">
            <w:pPr>
              <w:jc w:val="center"/>
              <w:rPr>
                <w:rFonts w:ascii="Arial Narrow" w:hAnsi="Arial Narrow"/>
                <w:sz w:val="18"/>
                <w:szCs w:val="18"/>
              </w:rPr>
            </w:pPr>
            <w:r w:rsidRPr="00D20C84">
              <w:rPr>
                <w:rFonts w:ascii="Arial Narrow" w:hAnsi="Arial Narrow"/>
                <w:color w:val="000000"/>
                <w:sz w:val="18"/>
                <w:szCs w:val="18"/>
              </w:rPr>
              <w:t>42,9</w:t>
            </w:r>
          </w:p>
        </w:tc>
      </w:tr>
      <w:tr w:rsidR="00FF2DD4" w:rsidRPr="00CE357F" w14:paraId="34E27321" w14:textId="77777777" w:rsidTr="00FF2DD4">
        <w:trPr>
          <w:trHeight w:val="204"/>
        </w:trPr>
        <w:tc>
          <w:tcPr>
            <w:tcW w:w="1555" w:type="dxa"/>
            <w:shd w:val="clear" w:color="auto" w:fill="D9E2F3" w:themeFill="accent1" w:themeFillTint="33"/>
            <w:vAlign w:val="center"/>
          </w:tcPr>
          <w:p w14:paraId="3BB7DEDF"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2020</w:t>
            </w:r>
          </w:p>
        </w:tc>
        <w:tc>
          <w:tcPr>
            <w:tcW w:w="1731" w:type="dxa"/>
            <w:vAlign w:val="center"/>
          </w:tcPr>
          <w:p w14:paraId="17EDE768"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382 405</w:t>
            </w:r>
          </w:p>
        </w:tc>
        <w:tc>
          <w:tcPr>
            <w:tcW w:w="2397" w:type="dxa"/>
            <w:vAlign w:val="bottom"/>
          </w:tcPr>
          <w:p w14:paraId="1CD344D2"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32,0 %</w:t>
            </w:r>
          </w:p>
        </w:tc>
        <w:tc>
          <w:tcPr>
            <w:tcW w:w="1134" w:type="dxa"/>
            <w:vAlign w:val="center"/>
          </w:tcPr>
          <w:p w14:paraId="7003DD11"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185 967</w:t>
            </w:r>
          </w:p>
        </w:tc>
        <w:tc>
          <w:tcPr>
            <w:tcW w:w="858" w:type="dxa"/>
            <w:vAlign w:val="center"/>
          </w:tcPr>
          <w:p w14:paraId="5F44B887"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196 438</w:t>
            </w:r>
          </w:p>
        </w:tc>
        <w:tc>
          <w:tcPr>
            <w:tcW w:w="1287" w:type="dxa"/>
            <w:vAlign w:val="center"/>
          </w:tcPr>
          <w:p w14:paraId="6A680DB3"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42,9</w:t>
            </w:r>
          </w:p>
        </w:tc>
      </w:tr>
      <w:tr w:rsidR="00FF2DD4" w:rsidRPr="00CE357F" w14:paraId="70CB79E0" w14:textId="77777777" w:rsidTr="00FF2DD4">
        <w:trPr>
          <w:trHeight w:val="204"/>
        </w:trPr>
        <w:tc>
          <w:tcPr>
            <w:tcW w:w="1555" w:type="dxa"/>
            <w:shd w:val="clear" w:color="auto" w:fill="D9E2F3" w:themeFill="accent1" w:themeFillTint="33"/>
            <w:vAlign w:val="center"/>
          </w:tcPr>
          <w:p w14:paraId="6E67906D"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2019</w:t>
            </w:r>
          </w:p>
        </w:tc>
        <w:tc>
          <w:tcPr>
            <w:tcW w:w="1731" w:type="dxa"/>
            <w:vAlign w:val="center"/>
          </w:tcPr>
          <w:p w14:paraId="161CA4D4"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381 346</w:t>
            </w:r>
          </w:p>
        </w:tc>
        <w:tc>
          <w:tcPr>
            <w:tcW w:w="2397" w:type="dxa"/>
            <w:vAlign w:val="bottom"/>
          </w:tcPr>
          <w:p w14:paraId="63EC1CD3"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32,0 %</w:t>
            </w:r>
          </w:p>
        </w:tc>
        <w:tc>
          <w:tcPr>
            <w:tcW w:w="1134" w:type="dxa"/>
            <w:vAlign w:val="center"/>
          </w:tcPr>
          <w:p w14:paraId="741AB340"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184 925</w:t>
            </w:r>
          </w:p>
        </w:tc>
        <w:tc>
          <w:tcPr>
            <w:tcW w:w="858" w:type="dxa"/>
            <w:vAlign w:val="center"/>
          </w:tcPr>
          <w:p w14:paraId="3F5B8DF8"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196 421</w:t>
            </w:r>
          </w:p>
        </w:tc>
        <w:tc>
          <w:tcPr>
            <w:tcW w:w="1287" w:type="dxa"/>
            <w:vAlign w:val="center"/>
          </w:tcPr>
          <w:p w14:paraId="36623657"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42,9</w:t>
            </w:r>
          </w:p>
        </w:tc>
      </w:tr>
      <w:tr w:rsidR="00FF2DD4" w:rsidRPr="00CE357F" w14:paraId="0DCB036F" w14:textId="77777777" w:rsidTr="00FF2DD4">
        <w:trPr>
          <w:trHeight w:val="300"/>
        </w:trPr>
        <w:tc>
          <w:tcPr>
            <w:tcW w:w="1555" w:type="dxa"/>
            <w:shd w:val="clear" w:color="auto" w:fill="D9E2F3" w:themeFill="accent1" w:themeFillTint="33"/>
            <w:vAlign w:val="center"/>
          </w:tcPr>
          <w:p w14:paraId="490F7126"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2018</w:t>
            </w:r>
          </w:p>
        </w:tc>
        <w:tc>
          <w:tcPr>
            <w:tcW w:w="1731" w:type="dxa"/>
            <w:vAlign w:val="center"/>
          </w:tcPr>
          <w:p w14:paraId="7074927F"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380 681</w:t>
            </w:r>
          </w:p>
        </w:tc>
        <w:tc>
          <w:tcPr>
            <w:tcW w:w="2397" w:type="dxa"/>
            <w:vAlign w:val="bottom"/>
          </w:tcPr>
          <w:p w14:paraId="43250E38"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32,1 %</w:t>
            </w:r>
          </w:p>
        </w:tc>
        <w:tc>
          <w:tcPr>
            <w:tcW w:w="1134" w:type="dxa"/>
            <w:vAlign w:val="center"/>
          </w:tcPr>
          <w:p w14:paraId="7F9F4C63"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184 048</w:t>
            </w:r>
          </w:p>
        </w:tc>
        <w:tc>
          <w:tcPr>
            <w:tcW w:w="858" w:type="dxa"/>
            <w:vAlign w:val="center"/>
          </w:tcPr>
          <w:p w14:paraId="1D426E33"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196 633</w:t>
            </w:r>
          </w:p>
        </w:tc>
        <w:tc>
          <w:tcPr>
            <w:tcW w:w="1287" w:type="dxa"/>
            <w:vAlign w:val="center"/>
          </w:tcPr>
          <w:p w14:paraId="188A5426"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42,8</w:t>
            </w:r>
          </w:p>
        </w:tc>
      </w:tr>
      <w:tr w:rsidR="00FF2DD4" w:rsidRPr="00CE357F" w14:paraId="19F1467A" w14:textId="77777777" w:rsidTr="00FF2DD4">
        <w:trPr>
          <w:trHeight w:val="204"/>
        </w:trPr>
        <w:tc>
          <w:tcPr>
            <w:tcW w:w="1555" w:type="dxa"/>
            <w:shd w:val="clear" w:color="auto" w:fill="D9E2F3" w:themeFill="accent1" w:themeFillTint="33"/>
            <w:vAlign w:val="center"/>
          </w:tcPr>
          <w:p w14:paraId="404F73B2"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2017</w:t>
            </w:r>
          </w:p>
        </w:tc>
        <w:tc>
          <w:tcPr>
            <w:tcW w:w="1731" w:type="dxa"/>
            <w:vAlign w:val="center"/>
          </w:tcPr>
          <w:p w14:paraId="43163A3F"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379 527</w:t>
            </w:r>
          </w:p>
        </w:tc>
        <w:tc>
          <w:tcPr>
            <w:tcW w:w="2397" w:type="dxa"/>
            <w:vAlign w:val="bottom"/>
          </w:tcPr>
          <w:p w14:paraId="46C560C6"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32,1 %</w:t>
            </w:r>
          </w:p>
        </w:tc>
        <w:tc>
          <w:tcPr>
            <w:tcW w:w="1134" w:type="dxa"/>
            <w:vAlign w:val="center"/>
          </w:tcPr>
          <w:p w14:paraId="1D1E5643"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183 300</w:t>
            </w:r>
          </w:p>
        </w:tc>
        <w:tc>
          <w:tcPr>
            <w:tcW w:w="858" w:type="dxa"/>
            <w:vAlign w:val="center"/>
          </w:tcPr>
          <w:p w14:paraId="2FE00303"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196 227</w:t>
            </w:r>
          </w:p>
        </w:tc>
        <w:tc>
          <w:tcPr>
            <w:tcW w:w="1287" w:type="dxa"/>
            <w:vAlign w:val="center"/>
          </w:tcPr>
          <w:p w14:paraId="3FE0462F"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42,8</w:t>
            </w:r>
          </w:p>
        </w:tc>
      </w:tr>
      <w:tr w:rsidR="00FF2DD4" w:rsidRPr="00CE357F" w14:paraId="36280F71" w14:textId="77777777" w:rsidTr="00FF2DD4">
        <w:trPr>
          <w:trHeight w:val="204"/>
        </w:trPr>
        <w:tc>
          <w:tcPr>
            <w:tcW w:w="1555" w:type="dxa"/>
            <w:shd w:val="clear" w:color="auto" w:fill="D9E2F3" w:themeFill="accent1" w:themeFillTint="33"/>
            <w:vAlign w:val="center"/>
          </w:tcPr>
          <w:p w14:paraId="58298226"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2016</w:t>
            </w:r>
          </w:p>
        </w:tc>
        <w:tc>
          <w:tcPr>
            <w:tcW w:w="1731" w:type="dxa"/>
            <w:vAlign w:val="center"/>
          </w:tcPr>
          <w:p w14:paraId="4B72BEC0"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377 973</w:t>
            </w:r>
          </w:p>
        </w:tc>
        <w:tc>
          <w:tcPr>
            <w:tcW w:w="2397" w:type="dxa"/>
            <w:vAlign w:val="bottom"/>
          </w:tcPr>
          <w:p w14:paraId="0C0CA884"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32,1 %</w:t>
            </w:r>
          </w:p>
        </w:tc>
        <w:tc>
          <w:tcPr>
            <w:tcW w:w="1134" w:type="dxa"/>
            <w:vAlign w:val="center"/>
          </w:tcPr>
          <w:p w14:paraId="5CA97E7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182 549</w:t>
            </w:r>
          </w:p>
        </w:tc>
        <w:tc>
          <w:tcPr>
            <w:tcW w:w="858" w:type="dxa"/>
            <w:vAlign w:val="center"/>
          </w:tcPr>
          <w:p w14:paraId="6D662D2A"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195 424</w:t>
            </w:r>
          </w:p>
        </w:tc>
        <w:tc>
          <w:tcPr>
            <w:tcW w:w="1287" w:type="dxa"/>
            <w:vAlign w:val="center"/>
          </w:tcPr>
          <w:p w14:paraId="03DFA776"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42,8</w:t>
            </w:r>
          </w:p>
        </w:tc>
      </w:tr>
      <w:tr w:rsidR="00FF2DD4" w:rsidRPr="00CE357F" w14:paraId="210E5779" w14:textId="77777777" w:rsidTr="00FF2DD4">
        <w:trPr>
          <w:trHeight w:val="204"/>
        </w:trPr>
        <w:tc>
          <w:tcPr>
            <w:tcW w:w="1555" w:type="dxa"/>
            <w:shd w:val="clear" w:color="auto" w:fill="D9E2F3" w:themeFill="accent1" w:themeFillTint="33"/>
            <w:vAlign w:val="center"/>
          </w:tcPr>
          <w:p w14:paraId="39E53705"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2015</w:t>
            </w:r>
          </w:p>
        </w:tc>
        <w:tc>
          <w:tcPr>
            <w:tcW w:w="1731" w:type="dxa"/>
            <w:vAlign w:val="center"/>
          </w:tcPr>
          <w:p w14:paraId="297C93E8"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377 028</w:t>
            </w:r>
          </w:p>
        </w:tc>
        <w:tc>
          <w:tcPr>
            <w:tcW w:w="2397" w:type="dxa"/>
            <w:vAlign w:val="bottom"/>
          </w:tcPr>
          <w:p w14:paraId="2B4303FF"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32,1 %</w:t>
            </w:r>
          </w:p>
        </w:tc>
        <w:tc>
          <w:tcPr>
            <w:tcW w:w="1134" w:type="dxa"/>
            <w:vAlign w:val="center"/>
          </w:tcPr>
          <w:p w14:paraId="44FD29E0"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181 890</w:t>
            </w:r>
          </w:p>
        </w:tc>
        <w:tc>
          <w:tcPr>
            <w:tcW w:w="858" w:type="dxa"/>
            <w:vAlign w:val="center"/>
          </w:tcPr>
          <w:p w14:paraId="3F3C40D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195 138</w:t>
            </w:r>
          </w:p>
        </w:tc>
        <w:tc>
          <w:tcPr>
            <w:tcW w:w="1287" w:type="dxa"/>
            <w:vAlign w:val="center"/>
          </w:tcPr>
          <w:p w14:paraId="0590DA2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42,7</w:t>
            </w:r>
          </w:p>
        </w:tc>
      </w:tr>
      <w:tr w:rsidR="00FF2DD4" w:rsidRPr="00CE357F" w14:paraId="69E1B36B" w14:textId="77777777" w:rsidTr="00FF2DD4">
        <w:trPr>
          <w:trHeight w:val="204"/>
        </w:trPr>
        <w:tc>
          <w:tcPr>
            <w:tcW w:w="1555" w:type="dxa"/>
            <w:shd w:val="clear" w:color="auto" w:fill="D9E2F3" w:themeFill="accent1" w:themeFillTint="33"/>
            <w:vAlign w:val="center"/>
          </w:tcPr>
          <w:p w14:paraId="3E3E8B1C"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2014</w:t>
            </w:r>
          </w:p>
        </w:tc>
        <w:tc>
          <w:tcPr>
            <w:tcW w:w="1731" w:type="dxa"/>
            <w:vAlign w:val="center"/>
          </w:tcPr>
          <w:p w14:paraId="006B75F6"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377 440</w:t>
            </w:r>
          </w:p>
        </w:tc>
        <w:tc>
          <w:tcPr>
            <w:tcW w:w="2397" w:type="dxa"/>
            <w:vAlign w:val="bottom"/>
          </w:tcPr>
          <w:p w14:paraId="3599081A"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32,2 %</w:t>
            </w:r>
          </w:p>
        </w:tc>
        <w:tc>
          <w:tcPr>
            <w:tcW w:w="1134" w:type="dxa"/>
            <w:vAlign w:val="center"/>
          </w:tcPr>
          <w:p w14:paraId="4AD8ADF4"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181 885</w:t>
            </w:r>
          </w:p>
        </w:tc>
        <w:tc>
          <w:tcPr>
            <w:tcW w:w="858" w:type="dxa"/>
            <w:vAlign w:val="center"/>
          </w:tcPr>
          <w:p w14:paraId="75964D24"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195 555</w:t>
            </w:r>
          </w:p>
        </w:tc>
        <w:tc>
          <w:tcPr>
            <w:tcW w:w="1287" w:type="dxa"/>
            <w:vAlign w:val="center"/>
          </w:tcPr>
          <w:p w14:paraId="221A66AD"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42,6</w:t>
            </w:r>
          </w:p>
        </w:tc>
      </w:tr>
      <w:tr w:rsidR="00FF2DD4" w:rsidRPr="00CE357F" w14:paraId="12E905FD" w14:textId="77777777" w:rsidTr="00FF2DD4">
        <w:trPr>
          <w:trHeight w:val="204"/>
        </w:trPr>
        <w:tc>
          <w:tcPr>
            <w:tcW w:w="1555" w:type="dxa"/>
            <w:shd w:val="clear" w:color="auto" w:fill="D9E2F3" w:themeFill="accent1" w:themeFillTint="33"/>
            <w:vAlign w:val="center"/>
          </w:tcPr>
          <w:p w14:paraId="12ACEF08"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2013</w:t>
            </w:r>
          </w:p>
        </w:tc>
        <w:tc>
          <w:tcPr>
            <w:tcW w:w="1731" w:type="dxa"/>
            <w:vAlign w:val="center"/>
          </w:tcPr>
          <w:p w14:paraId="0F5AD39C"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377 508</w:t>
            </w:r>
          </w:p>
        </w:tc>
        <w:tc>
          <w:tcPr>
            <w:tcW w:w="2397" w:type="dxa"/>
            <w:vAlign w:val="bottom"/>
          </w:tcPr>
          <w:p w14:paraId="2A74C903"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32,3 %</w:t>
            </w:r>
          </w:p>
        </w:tc>
        <w:tc>
          <w:tcPr>
            <w:tcW w:w="1134" w:type="dxa"/>
            <w:vAlign w:val="center"/>
          </w:tcPr>
          <w:p w14:paraId="5D503A8D"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181 963</w:t>
            </w:r>
          </w:p>
        </w:tc>
        <w:tc>
          <w:tcPr>
            <w:tcW w:w="858" w:type="dxa"/>
            <w:vAlign w:val="center"/>
          </w:tcPr>
          <w:p w14:paraId="69E3117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195 545</w:t>
            </w:r>
          </w:p>
        </w:tc>
        <w:tc>
          <w:tcPr>
            <w:tcW w:w="1287" w:type="dxa"/>
            <w:vAlign w:val="center"/>
          </w:tcPr>
          <w:p w14:paraId="472288D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42,5</w:t>
            </w:r>
          </w:p>
        </w:tc>
      </w:tr>
      <w:tr w:rsidR="00FF2DD4" w:rsidRPr="00CE357F" w14:paraId="61155589" w14:textId="77777777" w:rsidTr="00FF2DD4">
        <w:trPr>
          <w:trHeight w:val="204"/>
        </w:trPr>
        <w:tc>
          <w:tcPr>
            <w:tcW w:w="1555" w:type="dxa"/>
            <w:shd w:val="clear" w:color="auto" w:fill="D9E2F3" w:themeFill="accent1" w:themeFillTint="33"/>
            <w:vAlign w:val="center"/>
          </w:tcPr>
          <w:p w14:paraId="109778E1"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2012</w:t>
            </w:r>
          </w:p>
        </w:tc>
        <w:tc>
          <w:tcPr>
            <w:tcW w:w="1731" w:type="dxa"/>
            <w:vAlign w:val="center"/>
          </w:tcPr>
          <w:p w14:paraId="1E050B89"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378 327</w:t>
            </w:r>
          </w:p>
        </w:tc>
        <w:tc>
          <w:tcPr>
            <w:tcW w:w="2397" w:type="dxa"/>
            <w:vAlign w:val="bottom"/>
          </w:tcPr>
          <w:p w14:paraId="4298384C"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32,4 %</w:t>
            </w:r>
          </w:p>
        </w:tc>
        <w:tc>
          <w:tcPr>
            <w:tcW w:w="1134" w:type="dxa"/>
            <w:vAlign w:val="center"/>
          </w:tcPr>
          <w:p w14:paraId="64B497E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182 418</w:t>
            </w:r>
          </w:p>
        </w:tc>
        <w:tc>
          <w:tcPr>
            <w:tcW w:w="858" w:type="dxa"/>
            <w:vAlign w:val="center"/>
          </w:tcPr>
          <w:p w14:paraId="7F350A2E"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195 909</w:t>
            </w:r>
          </w:p>
        </w:tc>
        <w:tc>
          <w:tcPr>
            <w:tcW w:w="1287" w:type="dxa"/>
            <w:vAlign w:val="center"/>
          </w:tcPr>
          <w:p w14:paraId="30D4718F"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42,3</w:t>
            </w:r>
          </w:p>
        </w:tc>
      </w:tr>
      <w:tr w:rsidR="00FF2DD4" w:rsidRPr="00CE357F" w14:paraId="13773936" w14:textId="77777777" w:rsidTr="00FF2DD4">
        <w:trPr>
          <w:trHeight w:val="204"/>
        </w:trPr>
        <w:tc>
          <w:tcPr>
            <w:tcW w:w="1555" w:type="dxa"/>
            <w:shd w:val="clear" w:color="auto" w:fill="D9E2F3" w:themeFill="accent1" w:themeFillTint="33"/>
            <w:vAlign w:val="center"/>
          </w:tcPr>
          <w:p w14:paraId="0A7F59C4"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2011</w:t>
            </w:r>
          </w:p>
        </w:tc>
        <w:tc>
          <w:tcPr>
            <w:tcW w:w="1731" w:type="dxa"/>
            <w:vAlign w:val="center"/>
          </w:tcPr>
          <w:p w14:paraId="52A36462"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378 965</w:t>
            </w:r>
          </w:p>
        </w:tc>
        <w:tc>
          <w:tcPr>
            <w:tcW w:w="2397" w:type="dxa"/>
            <w:vAlign w:val="bottom"/>
          </w:tcPr>
          <w:p w14:paraId="614ED592"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32,5 %</w:t>
            </w:r>
          </w:p>
        </w:tc>
        <w:tc>
          <w:tcPr>
            <w:tcW w:w="1134" w:type="dxa"/>
            <w:vAlign w:val="center"/>
          </w:tcPr>
          <w:p w14:paraId="2864374E"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182 733</w:t>
            </w:r>
          </w:p>
        </w:tc>
        <w:tc>
          <w:tcPr>
            <w:tcW w:w="858" w:type="dxa"/>
            <w:vAlign w:val="center"/>
          </w:tcPr>
          <w:p w14:paraId="27AA6914"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196 232</w:t>
            </w:r>
          </w:p>
        </w:tc>
        <w:tc>
          <w:tcPr>
            <w:tcW w:w="1287" w:type="dxa"/>
            <w:vAlign w:val="center"/>
          </w:tcPr>
          <w:p w14:paraId="4F8DF184"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42,2</w:t>
            </w:r>
          </w:p>
        </w:tc>
      </w:tr>
      <w:tr w:rsidR="00FF2DD4" w:rsidRPr="00CE357F" w14:paraId="642A8D5E" w14:textId="77777777" w:rsidTr="00FF2DD4">
        <w:trPr>
          <w:trHeight w:val="204"/>
        </w:trPr>
        <w:tc>
          <w:tcPr>
            <w:tcW w:w="1555" w:type="dxa"/>
            <w:shd w:val="clear" w:color="auto" w:fill="D9E2F3" w:themeFill="accent1" w:themeFillTint="33"/>
            <w:vAlign w:val="center"/>
          </w:tcPr>
          <w:p w14:paraId="5FDA8171"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2010</w:t>
            </w:r>
          </w:p>
        </w:tc>
        <w:tc>
          <w:tcPr>
            <w:tcW w:w="1731" w:type="dxa"/>
            <w:vAlign w:val="center"/>
          </w:tcPr>
          <w:p w14:paraId="5CA4A810"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371 371</w:t>
            </w:r>
          </w:p>
        </w:tc>
        <w:tc>
          <w:tcPr>
            <w:tcW w:w="2397" w:type="dxa"/>
            <w:vAlign w:val="bottom"/>
          </w:tcPr>
          <w:p w14:paraId="33D049C0"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32,2 %</w:t>
            </w:r>
          </w:p>
        </w:tc>
        <w:tc>
          <w:tcPr>
            <w:tcW w:w="1134" w:type="dxa"/>
            <w:vAlign w:val="center"/>
          </w:tcPr>
          <w:p w14:paraId="58AA1FB8"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178 567</w:t>
            </w:r>
          </w:p>
        </w:tc>
        <w:tc>
          <w:tcPr>
            <w:tcW w:w="858" w:type="dxa"/>
            <w:vAlign w:val="center"/>
          </w:tcPr>
          <w:p w14:paraId="118FAEF0"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192 804</w:t>
            </w:r>
          </w:p>
        </w:tc>
        <w:tc>
          <w:tcPr>
            <w:tcW w:w="1287" w:type="dxa"/>
            <w:vAlign w:val="center"/>
          </w:tcPr>
          <w:p w14:paraId="5036DF8A"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42,2</w:t>
            </w:r>
          </w:p>
        </w:tc>
      </w:tr>
      <w:tr w:rsidR="00FF2DD4" w:rsidRPr="00CE357F" w14:paraId="71C6085E" w14:textId="77777777" w:rsidTr="00FF2DD4">
        <w:trPr>
          <w:trHeight w:val="204"/>
        </w:trPr>
        <w:tc>
          <w:tcPr>
            <w:tcW w:w="1555" w:type="dxa"/>
            <w:shd w:val="clear" w:color="auto" w:fill="D9E2F3" w:themeFill="accent1" w:themeFillTint="33"/>
            <w:vAlign w:val="center"/>
          </w:tcPr>
          <w:p w14:paraId="4F7E3FFD"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2009</w:t>
            </w:r>
          </w:p>
        </w:tc>
        <w:tc>
          <w:tcPr>
            <w:tcW w:w="1731" w:type="dxa"/>
            <w:vAlign w:val="center"/>
          </w:tcPr>
          <w:p w14:paraId="3969BBE1"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371 399</w:t>
            </w:r>
          </w:p>
        </w:tc>
        <w:tc>
          <w:tcPr>
            <w:tcW w:w="2397" w:type="dxa"/>
            <w:vAlign w:val="bottom"/>
          </w:tcPr>
          <w:p w14:paraId="285980F4"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32,2 %</w:t>
            </w:r>
          </w:p>
        </w:tc>
        <w:tc>
          <w:tcPr>
            <w:tcW w:w="1134" w:type="dxa"/>
            <w:vAlign w:val="center"/>
          </w:tcPr>
          <w:p w14:paraId="0CB4DEC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178 429</w:t>
            </w:r>
          </w:p>
        </w:tc>
        <w:tc>
          <w:tcPr>
            <w:tcW w:w="858" w:type="dxa"/>
            <w:vAlign w:val="center"/>
          </w:tcPr>
          <w:p w14:paraId="11D3D689"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192 970</w:t>
            </w:r>
          </w:p>
        </w:tc>
        <w:tc>
          <w:tcPr>
            <w:tcW w:w="1287" w:type="dxa"/>
            <w:vAlign w:val="center"/>
          </w:tcPr>
          <w:p w14:paraId="06D9EF82"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42,0</w:t>
            </w:r>
          </w:p>
        </w:tc>
      </w:tr>
      <w:tr w:rsidR="00FF2DD4" w:rsidRPr="00CE357F" w14:paraId="588E3E3C" w14:textId="77777777" w:rsidTr="00FF2DD4">
        <w:trPr>
          <w:trHeight w:val="204"/>
        </w:trPr>
        <w:tc>
          <w:tcPr>
            <w:tcW w:w="1555" w:type="dxa"/>
            <w:shd w:val="clear" w:color="auto" w:fill="D9E2F3" w:themeFill="accent1" w:themeFillTint="33"/>
            <w:vAlign w:val="center"/>
          </w:tcPr>
          <w:p w14:paraId="553BFC8D"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2008</w:t>
            </w:r>
          </w:p>
        </w:tc>
        <w:tc>
          <w:tcPr>
            <w:tcW w:w="1731" w:type="dxa"/>
            <w:vAlign w:val="center"/>
          </w:tcPr>
          <w:p w14:paraId="7954978B"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370 592</w:t>
            </w:r>
          </w:p>
        </w:tc>
        <w:tc>
          <w:tcPr>
            <w:tcW w:w="2397" w:type="dxa"/>
            <w:vAlign w:val="bottom"/>
          </w:tcPr>
          <w:p w14:paraId="3D46A608"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32,3 %</w:t>
            </w:r>
          </w:p>
        </w:tc>
        <w:tc>
          <w:tcPr>
            <w:tcW w:w="1134" w:type="dxa"/>
            <w:vAlign w:val="center"/>
          </w:tcPr>
          <w:p w14:paraId="5A5C6862"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177 588</w:t>
            </w:r>
          </w:p>
        </w:tc>
        <w:tc>
          <w:tcPr>
            <w:tcW w:w="858" w:type="dxa"/>
            <w:vAlign w:val="center"/>
          </w:tcPr>
          <w:p w14:paraId="261D4B86"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193 004</w:t>
            </w:r>
          </w:p>
        </w:tc>
        <w:tc>
          <w:tcPr>
            <w:tcW w:w="1287" w:type="dxa"/>
            <w:vAlign w:val="center"/>
          </w:tcPr>
          <w:p w14:paraId="4CE717F0"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41,9</w:t>
            </w:r>
          </w:p>
        </w:tc>
      </w:tr>
      <w:tr w:rsidR="00FF2DD4" w:rsidRPr="00CE357F" w14:paraId="62DD677F" w14:textId="77777777" w:rsidTr="00FF2DD4">
        <w:trPr>
          <w:trHeight w:val="204"/>
        </w:trPr>
        <w:tc>
          <w:tcPr>
            <w:tcW w:w="1555" w:type="dxa"/>
            <w:shd w:val="clear" w:color="auto" w:fill="D9E2F3" w:themeFill="accent1" w:themeFillTint="33"/>
            <w:vAlign w:val="center"/>
          </w:tcPr>
          <w:p w14:paraId="63F65AC9"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2007</w:t>
            </w:r>
          </w:p>
        </w:tc>
        <w:tc>
          <w:tcPr>
            <w:tcW w:w="1731" w:type="dxa"/>
            <w:vAlign w:val="center"/>
          </w:tcPr>
          <w:p w14:paraId="7D05CCCC"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368 533</w:t>
            </w:r>
          </w:p>
        </w:tc>
        <w:tc>
          <w:tcPr>
            <w:tcW w:w="2397" w:type="dxa"/>
            <w:vAlign w:val="bottom"/>
          </w:tcPr>
          <w:p w14:paraId="628EB102"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32,3 %</w:t>
            </w:r>
          </w:p>
        </w:tc>
        <w:tc>
          <w:tcPr>
            <w:tcW w:w="1134" w:type="dxa"/>
            <w:vAlign w:val="center"/>
          </w:tcPr>
          <w:p w14:paraId="17298028"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176 035</w:t>
            </w:r>
          </w:p>
        </w:tc>
        <w:tc>
          <w:tcPr>
            <w:tcW w:w="858" w:type="dxa"/>
            <w:vAlign w:val="center"/>
          </w:tcPr>
          <w:p w14:paraId="2E263D9F"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192 498</w:t>
            </w:r>
          </w:p>
        </w:tc>
        <w:tc>
          <w:tcPr>
            <w:tcW w:w="1287" w:type="dxa"/>
            <w:vAlign w:val="center"/>
          </w:tcPr>
          <w:p w14:paraId="0C16D45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41,8</w:t>
            </w:r>
          </w:p>
        </w:tc>
      </w:tr>
      <w:tr w:rsidR="00FF2DD4" w:rsidRPr="00CE357F" w14:paraId="3420BD58" w14:textId="77777777" w:rsidTr="00FF2DD4">
        <w:trPr>
          <w:trHeight w:val="204"/>
        </w:trPr>
        <w:tc>
          <w:tcPr>
            <w:tcW w:w="1555" w:type="dxa"/>
            <w:shd w:val="clear" w:color="auto" w:fill="D9E2F3" w:themeFill="accent1" w:themeFillTint="33"/>
            <w:vAlign w:val="center"/>
          </w:tcPr>
          <w:p w14:paraId="62D85511"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2006</w:t>
            </w:r>
          </w:p>
        </w:tc>
        <w:tc>
          <w:tcPr>
            <w:tcW w:w="1731" w:type="dxa"/>
            <w:vAlign w:val="center"/>
          </w:tcPr>
          <w:p w14:paraId="20445687"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366 680</w:t>
            </w:r>
          </w:p>
        </w:tc>
        <w:tc>
          <w:tcPr>
            <w:tcW w:w="2397" w:type="dxa"/>
            <w:vAlign w:val="bottom"/>
          </w:tcPr>
          <w:p w14:paraId="78B83B5A" w14:textId="77777777" w:rsidR="00FF2DD4" w:rsidRPr="00CE357F" w:rsidRDefault="00FF2DD4" w:rsidP="00FF2DD4">
            <w:pPr>
              <w:jc w:val="center"/>
              <w:rPr>
                <w:rFonts w:ascii="Arial Narrow" w:hAnsi="Arial Narrow"/>
                <w:color w:val="000000"/>
                <w:sz w:val="18"/>
                <w:szCs w:val="18"/>
              </w:rPr>
            </w:pPr>
            <w:r w:rsidRPr="00CE357F">
              <w:rPr>
                <w:rFonts w:ascii="Arial Narrow" w:hAnsi="Arial Narrow"/>
                <w:color w:val="000000"/>
                <w:sz w:val="18"/>
                <w:szCs w:val="18"/>
              </w:rPr>
              <w:t>32,4 %</w:t>
            </w:r>
          </w:p>
        </w:tc>
        <w:tc>
          <w:tcPr>
            <w:tcW w:w="1134" w:type="dxa"/>
            <w:vAlign w:val="center"/>
          </w:tcPr>
          <w:p w14:paraId="4EC9E262"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174 592</w:t>
            </w:r>
          </w:p>
        </w:tc>
        <w:tc>
          <w:tcPr>
            <w:tcW w:w="858" w:type="dxa"/>
            <w:vAlign w:val="center"/>
          </w:tcPr>
          <w:p w14:paraId="31FE98A7"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192 088</w:t>
            </w:r>
          </w:p>
        </w:tc>
        <w:tc>
          <w:tcPr>
            <w:tcW w:w="1287" w:type="dxa"/>
            <w:vAlign w:val="center"/>
          </w:tcPr>
          <w:p w14:paraId="0F330A59"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41,8</w:t>
            </w:r>
          </w:p>
        </w:tc>
      </w:tr>
      <w:tr w:rsidR="00FF2DD4" w:rsidRPr="00CE357F" w14:paraId="60773664" w14:textId="77777777" w:rsidTr="00FF2DD4">
        <w:trPr>
          <w:trHeight w:val="204"/>
        </w:trPr>
        <w:tc>
          <w:tcPr>
            <w:tcW w:w="1555" w:type="dxa"/>
            <w:shd w:val="clear" w:color="auto" w:fill="D9E2F3" w:themeFill="accent1" w:themeFillTint="33"/>
            <w:vAlign w:val="center"/>
          </w:tcPr>
          <w:p w14:paraId="670C979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2005</w:t>
            </w:r>
          </w:p>
        </w:tc>
        <w:tc>
          <w:tcPr>
            <w:tcW w:w="1731" w:type="dxa"/>
            <w:vAlign w:val="center"/>
          </w:tcPr>
          <w:p w14:paraId="69210FD0" w14:textId="77777777" w:rsidR="00FF2DD4" w:rsidRPr="00CE357F" w:rsidRDefault="00FF2DD4" w:rsidP="00FF2DD4">
            <w:pPr>
              <w:jc w:val="center"/>
              <w:rPr>
                <w:rFonts w:ascii="Arial Narrow" w:hAnsi="Arial Narrow"/>
                <w:b/>
                <w:bCs/>
                <w:sz w:val="18"/>
                <w:szCs w:val="18"/>
              </w:rPr>
            </w:pPr>
            <w:r w:rsidRPr="00CE357F">
              <w:rPr>
                <w:rFonts w:ascii="Arial Narrow" w:hAnsi="Arial Narrow"/>
                <w:b/>
                <w:bCs/>
                <w:sz w:val="18"/>
                <w:szCs w:val="18"/>
              </w:rPr>
              <w:t>366 757</w:t>
            </w:r>
          </w:p>
        </w:tc>
        <w:tc>
          <w:tcPr>
            <w:tcW w:w="2397" w:type="dxa"/>
          </w:tcPr>
          <w:p w14:paraId="34689E17" w14:textId="3BA2DA65" w:rsidR="00FF2DD4" w:rsidRPr="00CE357F" w:rsidRDefault="00FF2DD4" w:rsidP="00FF2DD4">
            <w:pPr>
              <w:jc w:val="center"/>
              <w:rPr>
                <w:rFonts w:ascii="Arial Narrow" w:hAnsi="Arial Narrow"/>
                <w:sz w:val="18"/>
                <w:szCs w:val="18"/>
              </w:rPr>
            </w:pPr>
            <w:r>
              <w:rPr>
                <w:rFonts w:ascii="Arial Narrow" w:hAnsi="Arial Narrow"/>
                <w:sz w:val="18"/>
                <w:szCs w:val="18"/>
              </w:rPr>
              <w:t>32,4 %</w:t>
            </w:r>
          </w:p>
        </w:tc>
        <w:tc>
          <w:tcPr>
            <w:tcW w:w="1134" w:type="dxa"/>
            <w:vAlign w:val="center"/>
          </w:tcPr>
          <w:p w14:paraId="2C85B80A"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174 286</w:t>
            </w:r>
          </w:p>
        </w:tc>
        <w:tc>
          <w:tcPr>
            <w:tcW w:w="858" w:type="dxa"/>
            <w:vAlign w:val="center"/>
          </w:tcPr>
          <w:p w14:paraId="20F22FC0"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192 471</w:t>
            </w:r>
          </w:p>
        </w:tc>
        <w:tc>
          <w:tcPr>
            <w:tcW w:w="1287" w:type="dxa"/>
            <w:vAlign w:val="center"/>
          </w:tcPr>
          <w:p w14:paraId="061EA39B" w14:textId="77777777" w:rsidR="00FF2DD4" w:rsidRPr="00CE357F" w:rsidRDefault="00FF2DD4" w:rsidP="00FF2DD4">
            <w:pPr>
              <w:jc w:val="center"/>
              <w:rPr>
                <w:rFonts w:ascii="Arial Narrow" w:hAnsi="Arial Narrow"/>
                <w:sz w:val="18"/>
                <w:szCs w:val="18"/>
              </w:rPr>
            </w:pPr>
            <w:r w:rsidRPr="00CE357F">
              <w:rPr>
                <w:rFonts w:ascii="Arial Narrow" w:hAnsi="Arial Narrow"/>
                <w:sz w:val="18"/>
                <w:szCs w:val="18"/>
              </w:rPr>
              <w:t>41,5</w:t>
            </w:r>
          </w:p>
        </w:tc>
      </w:tr>
    </w:tbl>
    <w:p w14:paraId="586E864C" w14:textId="0CD621F0" w:rsidR="00EA186A" w:rsidRPr="00CE357F" w:rsidRDefault="00F44E6E" w:rsidP="00EA186A">
      <w:pPr>
        <w:rPr>
          <w:rFonts w:ascii="Arial Narrow" w:hAnsi="Arial Narrow"/>
          <w:b/>
          <w:bCs/>
          <w:sz w:val="28"/>
          <w:szCs w:val="28"/>
        </w:rPr>
      </w:pPr>
      <w:r>
        <w:rPr>
          <w:rFonts w:ascii="Arial Narrow" w:hAnsi="Arial Narrow"/>
          <w:sz w:val="20"/>
          <w:szCs w:val="20"/>
        </w:rPr>
        <w:t>Zdroj: Český statistický úřad</w:t>
      </w:r>
      <w:r w:rsidR="00EA186A" w:rsidRPr="00CE357F">
        <w:rPr>
          <w:rFonts w:ascii="Arial Narrow" w:hAnsi="Arial Narrow"/>
          <w:sz w:val="20"/>
          <w:szCs w:val="20"/>
        </w:rPr>
        <w:tab/>
      </w:r>
      <w:r w:rsidR="00EA186A" w:rsidRPr="00CE357F">
        <w:rPr>
          <w:rFonts w:ascii="Arial Narrow" w:hAnsi="Arial Narrow"/>
          <w:sz w:val="20"/>
          <w:szCs w:val="20"/>
        </w:rPr>
        <w:tab/>
      </w:r>
      <w:r w:rsidR="00EA186A" w:rsidRPr="00CE357F">
        <w:rPr>
          <w:rFonts w:ascii="Arial Narrow" w:hAnsi="Arial Narrow"/>
          <w:sz w:val="20"/>
          <w:szCs w:val="20"/>
        </w:rPr>
        <w:tab/>
      </w:r>
      <w:r w:rsidR="00EA186A" w:rsidRPr="00CE357F">
        <w:rPr>
          <w:rFonts w:ascii="Arial Narrow" w:hAnsi="Arial Narrow"/>
          <w:sz w:val="20"/>
          <w:szCs w:val="20"/>
        </w:rPr>
        <w:tab/>
      </w:r>
      <w:r w:rsidR="00EA186A" w:rsidRPr="00CE357F">
        <w:rPr>
          <w:rFonts w:ascii="Arial Narrow" w:hAnsi="Arial Narrow"/>
          <w:sz w:val="20"/>
          <w:szCs w:val="20"/>
        </w:rPr>
        <w:tab/>
      </w:r>
      <w:r w:rsidR="00EA186A" w:rsidRPr="00CE357F">
        <w:rPr>
          <w:rFonts w:ascii="Arial Narrow" w:hAnsi="Arial Narrow"/>
          <w:sz w:val="20"/>
          <w:szCs w:val="20"/>
        </w:rPr>
        <w:tab/>
      </w:r>
      <w:r w:rsidR="00EA186A" w:rsidRPr="00CE357F">
        <w:rPr>
          <w:rFonts w:ascii="Arial Narrow" w:hAnsi="Arial Narrow"/>
          <w:sz w:val="20"/>
          <w:szCs w:val="20"/>
        </w:rPr>
        <w:tab/>
        <w:t xml:space="preserve">Tabulka: AUGUR </w:t>
      </w:r>
      <w:proofErr w:type="spellStart"/>
      <w:r w:rsidR="00EA186A" w:rsidRPr="00CE357F">
        <w:rPr>
          <w:rFonts w:ascii="Arial Narrow" w:hAnsi="Arial Narrow"/>
          <w:sz w:val="20"/>
          <w:szCs w:val="20"/>
        </w:rPr>
        <w:t>Consulting</w:t>
      </w:r>
      <w:proofErr w:type="spellEnd"/>
      <w:r>
        <w:rPr>
          <w:rFonts w:ascii="Arial Narrow" w:hAnsi="Arial Narrow"/>
          <w:sz w:val="20"/>
          <w:szCs w:val="20"/>
        </w:rPr>
        <w:t xml:space="preserve"> s.r.o.</w:t>
      </w:r>
    </w:p>
    <w:p w14:paraId="23230800" w14:textId="77777777" w:rsidR="00EA186A" w:rsidRPr="00CE357F" w:rsidRDefault="00EA186A" w:rsidP="00EA186A">
      <w:pPr>
        <w:rPr>
          <w:rFonts w:ascii="Arial Narrow" w:hAnsi="Arial Narrow"/>
          <w:b/>
          <w:bCs/>
          <w:color w:val="C00000"/>
          <w:sz w:val="24"/>
          <w:szCs w:val="24"/>
        </w:rPr>
      </w:pPr>
    </w:p>
    <w:p w14:paraId="11F69B2E" w14:textId="300D134D" w:rsidR="00EA186A" w:rsidRPr="00CE357F" w:rsidRDefault="000658E3" w:rsidP="00EA186A">
      <w:pPr>
        <w:pStyle w:val="Nadpis3"/>
        <w:ind w:left="851"/>
      </w:pPr>
      <w:bookmarkStart w:id="638" w:name="_Toc94215413"/>
      <w:bookmarkStart w:id="639" w:name="_Toc136876114"/>
      <w:r w:rsidRPr="00CE357F">
        <w:t>Počet</w:t>
      </w:r>
      <w:r w:rsidR="00EA186A" w:rsidRPr="00CE357F">
        <w:t xml:space="preserve"> osob s jinou než českou státní příslušností v ORP Brno v letech 2006–202</w:t>
      </w:r>
      <w:bookmarkEnd w:id="638"/>
      <w:r w:rsidR="00AA058D">
        <w:t>3</w:t>
      </w:r>
      <w:bookmarkEnd w:id="639"/>
    </w:p>
    <w:p w14:paraId="3CABE983" w14:textId="77777777" w:rsidR="00EA186A" w:rsidRPr="00CE357F" w:rsidRDefault="00EA186A" w:rsidP="00EA186A">
      <w:pPr>
        <w:rPr>
          <w:rFonts w:ascii="Arial Narrow" w:hAnsi="Arial Narrow"/>
          <w:b/>
          <w:bCs/>
          <w:color w:val="C00000"/>
        </w:rPr>
      </w:pPr>
    </w:p>
    <w:p w14:paraId="1EF6AB65" w14:textId="158464DD" w:rsidR="00AA058D" w:rsidRPr="001333A8" w:rsidRDefault="00AA058D" w:rsidP="001333A8">
      <w:pPr>
        <w:spacing w:line="276" w:lineRule="auto"/>
        <w:jc w:val="both"/>
        <w:rPr>
          <w:rFonts w:ascii="Arial Narrow" w:hAnsi="Arial Narrow"/>
        </w:rPr>
      </w:pPr>
      <w:r w:rsidRPr="00AA058D">
        <w:rPr>
          <w:rFonts w:ascii="Arial Narrow" w:hAnsi="Arial Narrow"/>
        </w:rPr>
        <w:t>K 1.1. 2023 žilo na území ORP Brno celkem 63 367 občanů s jinou než českou státní příslušností, což představuje zhruba 14,5 % všech obyvatel ORP Brno. Jedná se o bezprecedentní skokový nárůst počtu i podílu osob s jinou než českou státní příslušností. Od roku 2006 do současnosti se podíl těchto osob na celkovém počtu obyvatel ORP zhruba zčtyřnásobil. Hlavní příčinnou skokového nárůstu je zvýšený příchod osob s jinou než českou státní příslušností z Ukrajiny.</w:t>
      </w:r>
      <w:r w:rsidR="001333A8">
        <w:rPr>
          <w:rFonts w:ascii="Arial Narrow" w:hAnsi="Arial Narrow"/>
        </w:rPr>
        <w:t xml:space="preserve"> </w:t>
      </w:r>
      <w:r w:rsidRPr="00AA058D">
        <w:rPr>
          <w:rFonts w:ascii="Arial Narrow" w:hAnsi="Arial Narrow"/>
        </w:rPr>
        <w:t>Vývoj podílu osob s jinou než českou státní příslušností na celkovém počtu obyvatel ORP Brno v letech 2006–2023 podrobně dokumentuje graf</w:t>
      </w:r>
      <w:r w:rsidR="001333A8">
        <w:rPr>
          <w:rFonts w:ascii="Arial Narrow" w:hAnsi="Arial Narrow"/>
        </w:rPr>
        <w:t xml:space="preserve"> č. 102</w:t>
      </w:r>
      <w:r w:rsidRPr="00AA058D">
        <w:rPr>
          <w:rFonts w:ascii="Arial Narrow" w:hAnsi="Arial Narrow"/>
        </w:rPr>
        <w:t>.</w:t>
      </w:r>
    </w:p>
    <w:p w14:paraId="04F3F5D4" w14:textId="77777777" w:rsidR="00EA186A" w:rsidRPr="00CE357F" w:rsidRDefault="00EA186A" w:rsidP="00EA186A">
      <w:pPr>
        <w:spacing w:line="276" w:lineRule="auto"/>
        <w:rPr>
          <w:rFonts w:ascii="Arial Narrow" w:hAnsi="Arial Narrow"/>
        </w:rPr>
      </w:pPr>
    </w:p>
    <w:p w14:paraId="1E2A7154" w14:textId="0E738C4C" w:rsidR="00EA186A" w:rsidRDefault="00EA186A" w:rsidP="00EA186A">
      <w:pPr>
        <w:spacing w:line="276" w:lineRule="auto"/>
        <w:rPr>
          <w:rFonts w:ascii="Arial Narrow" w:hAnsi="Arial Narrow"/>
        </w:rPr>
      </w:pPr>
    </w:p>
    <w:p w14:paraId="06F1B7A3" w14:textId="77777777" w:rsidR="001333A8" w:rsidRDefault="001333A8" w:rsidP="00EA186A">
      <w:pPr>
        <w:spacing w:line="276" w:lineRule="auto"/>
        <w:rPr>
          <w:rFonts w:ascii="Arial Narrow" w:hAnsi="Arial Narrow"/>
        </w:rPr>
      </w:pPr>
    </w:p>
    <w:p w14:paraId="69EEB67D" w14:textId="77777777" w:rsidR="001333A8" w:rsidRDefault="001333A8" w:rsidP="00EA186A">
      <w:pPr>
        <w:spacing w:line="276" w:lineRule="auto"/>
        <w:rPr>
          <w:rFonts w:ascii="Arial Narrow" w:hAnsi="Arial Narrow"/>
        </w:rPr>
      </w:pPr>
    </w:p>
    <w:p w14:paraId="55F96B2C" w14:textId="77777777" w:rsidR="00DD4753" w:rsidRDefault="00DD4753" w:rsidP="008A4868">
      <w:pPr>
        <w:jc w:val="both"/>
        <w:rPr>
          <w:rFonts w:ascii="Arial Narrow" w:hAnsi="Arial Narrow"/>
          <w:b/>
          <w:sz w:val="20"/>
          <w:szCs w:val="20"/>
        </w:rPr>
      </w:pPr>
      <w:bookmarkStart w:id="640" w:name="_Toc94443798"/>
    </w:p>
    <w:p w14:paraId="41526761" w14:textId="0476E1F0" w:rsidR="00EA186A" w:rsidRPr="00CE357F" w:rsidRDefault="00EA186A" w:rsidP="008A4868">
      <w:pPr>
        <w:jc w:val="both"/>
        <w:rPr>
          <w:rFonts w:ascii="Arial Narrow" w:hAnsi="Arial Narrow"/>
          <w:b/>
          <w:sz w:val="20"/>
          <w:szCs w:val="20"/>
        </w:rPr>
      </w:pPr>
      <w:bookmarkStart w:id="641" w:name="_Toc136428946"/>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102</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 ORP Brno v letech 2006-202</w:t>
      </w:r>
      <w:bookmarkEnd w:id="640"/>
      <w:r w:rsidR="00DD4753">
        <w:rPr>
          <w:rFonts w:ascii="Arial Narrow" w:hAnsi="Arial Narrow"/>
          <w:b/>
          <w:bCs/>
          <w:sz w:val="20"/>
          <w:szCs w:val="20"/>
        </w:rPr>
        <w:t>3</w:t>
      </w:r>
      <w:bookmarkEnd w:id="641"/>
    </w:p>
    <w:p w14:paraId="1154D3DA" w14:textId="7B96EE7A" w:rsidR="00EA186A" w:rsidRPr="00CE357F" w:rsidRDefault="00DD4753" w:rsidP="008A4868">
      <w:pPr>
        <w:rPr>
          <w:rFonts w:ascii="Arial Narrow" w:hAnsi="Arial Narrow"/>
        </w:rPr>
      </w:pPr>
      <w:r w:rsidRPr="00CE357F">
        <w:rPr>
          <w:rFonts w:ascii="Arial Narrow" w:hAnsi="Arial Narrow"/>
          <w:bCs/>
          <w:noProof/>
          <w:sz w:val="20"/>
          <w:szCs w:val="20"/>
          <w:lang w:eastAsia="cs-CZ"/>
        </w:rPr>
        <w:drawing>
          <wp:inline distT="0" distB="0" distL="0" distR="0" wp14:anchorId="6847B528" wp14:editId="5C997808">
            <wp:extent cx="5740400" cy="3997842"/>
            <wp:effectExtent l="0" t="0" r="0" b="3175"/>
            <wp:docPr id="2069" name="Graf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7E4FFCFA" w14:textId="77777777" w:rsidR="00EA186A" w:rsidRPr="00CE357F" w:rsidRDefault="00EA186A" w:rsidP="00EA186A">
      <w:pPr>
        <w:spacing w:line="276" w:lineRule="auto"/>
        <w:rPr>
          <w:rFonts w:ascii="Arial Narrow" w:hAnsi="Arial Narrow"/>
          <w:sz w:val="20"/>
          <w:szCs w:val="20"/>
        </w:rPr>
      </w:pPr>
      <w:r w:rsidRPr="00CE357F">
        <w:rPr>
          <w:rFonts w:ascii="Arial Narrow" w:hAnsi="Arial Narrow"/>
          <w:sz w:val="20"/>
          <w:szCs w:val="20"/>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5DA8F828" w14:textId="77777777" w:rsidR="00EA186A" w:rsidRPr="00CE357F" w:rsidRDefault="00EA186A" w:rsidP="00EA186A">
      <w:pPr>
        <w:spacing w:line="276" w:lineRule="auto"/>
        <w:rPr>
          <w:rFonts w:ascii="Arial Narrow" w:hAnsi="Arial Narrow"/>
        </w:rPr>
      </w:pPr>
    </w:p>
    <w:p w14:paraId="1ABCA724" w14:textId="53DD5C69" w:rsidR="00DC5203" w:rsidRDefault="00E67CE3" w:rsidP="00EA186A">
      <w:pPr>
        <w:spacing w:line="276" w:lineRule="auto"/>
        <w:jc w:val="both"/>
        <w:rPr>
          <w:rFonts w:ascii="Arial Narrow" w:hAnsi="Arial Narrow"/>
        </w:rPr>
      </w:pPr>
      <w:r w:rsidRPr="00CE357F">
        <w:rPr>
          <w:rFonts w:ascii="Arial Narrow" w:hAnsi="Arial Narrow"/>
        </w:rPr>
        <w:t xml:space="preserve">V populaci osob s jinou než českou státní příslušností v ORP Brno dlouhodobě </w:t>
      </w:r>
      <w:r>
        <w:rPr>
          <w:rFonts w:ascii="Arial Narrow" w:hAnsi="Arial Narrow"/>
        </w:rPr>
        <w:t>převažuje</w:t>
      </w:r>
      <w:r w:rsidRPr="00CE357F">
        <w:rPr>
          <w:rFonts w:ascii="Arial Narrow" w:hAnsi="Arial Narrow"/>
        </w:rPr>
        <w:t xml:space="preserve"> počet mužů nad počtem žen. Z vývoje během let 2006–2022 je ale patrné, že podíl žen v populaci osob s jinou než českou státní příslušností v ORP Brno postupně narůstá. Zatímco v roce </w:t>
      </w:r>
      <w:r w:rsidRPr="00E67CE3">
        <w:rPr>
          <w:rFonts w:ascii="Arial Narrow" w:hAnsi="Arial Narrow"/>
        </w:rPr>
        <w:t xml:space="preserve">2006 tvořily ženy 34,5 % všech osob s jinou než českou státní příslušností v ORP Brno, v roce 2023 se jednalo o 49,3 %. </w:t>
      </w:r>
      <w:r w:rsidR="00EA186A" w:rsidRPr="00CE357F">
        <w:rPr>
          <w:rFonts w:ascii="Arial Narrow" w:hAnsi="Arial Narrow"/>
        </w:rPr>
        <w:t>Vývoj podílu mužů a žen na celkovém počtu osob s jinou než českou státní příslušností v ORP B</w:t>
      </w:r>
      <w:r w:rsidR="00FE3449">
        <w:rPr>
          <w:rFonts w:ascii="Arial Narrow" w:hAnsi="Arial Narrow"/>
        </w:rPr>
        <w:t xml:space="preserve">rno </w:t>
      </w:r>
      <w:r w:rsidR="00EA186A" w:rsidRPr="00CE357F">
        <w:rPr>
          <w:rFonts w:ascii="Arial Narrow" w:hAnsi="Arial Narrow"/>
        </w:rPr>
        <w:t>podrobně znázorňuje graf</w:t>
      </w:r>
      <w:r w:rsidR="001333A8">
        <w:rPr>
          <w:rFonts w:ascii="Arial Narrow" w:hAnsi="Arial Narrow"/>
        </w:rPr>
        <w:t xml:space="preserve"> č. 103.</w:t>
      </w:r>
    </w:p>
    <w:p w14:paraId="1440E839" w14:textId="1919A07C" w:rsidR="00E67CE3" w:rsidRDefault="00E67CE3" w:rsidP="00EA186A">
      <w:pPr>
        <w:spacing w:line="276" w:lineRule="auto"/>
        <w:jc w:val="both"/>
        <w:rPr>
          <w:rFonts w:ascii="Arial Narrow" w:hAnsi="Arial Narrow"/>
        </w:rPr>
      </w:pPr>
    </w:p>
    <w:p w14:paraId="072E7D5B" w14:textId="3F0F0E96" w:rsidR="00E67CE3" w:rsidRDefault="00E67CE3" w:rsidP="00EA186A">
      <w:pPr>
        <w:spacing w:line="276" w:lineRule="auto"/>
        <w:jc w:val="both"/>
        <w:rPr>
          <w:rFonts w:ascii="Arial Narrow" w:hAnsi="Arial Narrow"/>
        </w:rPr>
      </w:pPr>
    </w:p>
    <w:p w14:paraId="3FAF6EAD" w14:textId="7F05E304" w:rsidR="00E67CE3" w:rsidRDefault="00E67CE3" w:rsidP="00EA186A">
      <w:pPr>
        <w:spacing w:line="276" w:lineRule="auto"/>
        <w:jc w:val="both"/>
        <w:rPr>
          <w:rFonts w:ascii="Arial Narrow" w:hAnsi="Arial Narrow"/>
        </w:rPr>
      </w:pPr>
    </w:p>
    <w:p w14:paraId="1FE31C7F" w14:textId="6C77B8CF" w:rsidR="00E67CE3" w:rsidRDefault="00E67CE3" w:rsidP="00EA186A">
      <w:pPr>
        <w:spacing w:line="276" w:lineRule="auto"/>
        <w:jc w:val="both"/>
        <w:rPr>
          <w:rFonts w:ascii="Arial Narrow" w:hAnsi="Arial Narrow"/>
        </w:rPr>
      </w:pPr>
    </w:p>
    <w:p w14:paraId="47F9BC5C" w14:textId="7102B0F8" w:rsidR="00E67CE3" w:rsidRDefault="00E67CE3" w:rsidP="00EA186A">
      <w:pPr>
        <w:spacing w:line="276" w:lineRule="auto"/>
        <w:jc w:val="both"/>
        <w:rPr>
          <w:rFonts w:ascii="Arial Narrow" w:hAnsi="Arial Narrow"/>
        </w:rPr>
      </w:pPr>
    </w:p>
    <w:p w14:paraId="0F4C1F78" w14:textId="376ABD3A" w:rsidR="00E67CE3" w:rsidRDefault="00E67CE3" w:rsidP="00EA186A">
      <w:pPr>
        <w:spacing w:line="276" w:lineRule="auto"/>
        <w:jc w:val="both"/>
        <w:rPr>
          <w:rFonts w:ascii="Arial Narrow" w:hAnsi="Arial Narrow"/>
        </w:rPr>
      </w:pPr>
    </w:p>
    <w:p w14:paraId="14EA26F3" w14:textId="31C71413" w:rsidR="00E67CE3" w:rsidRDefault="00E67CE3" w:rsidP="00EA186A">
      <w:pPr>
        <w:spacing w:line="276" w:lineRule="auto"/>
        <w:jc w:val="both"/>
        <w:rPr>
          <w:rFonts w:ascii="Arial Narrow" w:hAnsi="Arial Narrow"/>
        </w:rPr>
      </w:pPr>
    </w:p>
    <w:p w14:paraId="3D59E429" w14:textId="665FCB06" w:rsidR="00E67CE3" w:rsidRDefault="00E67CE3" w:rsidP="00EA186A">
      <w:pPr>
        <w:spacing w:line="276" w:lineRule="auto"/>
        <w:jc w:val="both"/>
        <w:rPr>
          <w:rFonts w:ascii="Arial Narrow" w:hAnsi="Arial Narrow"/>
        </w:rPr>
      </w:pPr>
    </w:p>
    <w:p w14:paraId="03FC8E4F" w14:textId="3B468810" w:rsidR="00E67CE3" w:rsidRDefault="00E67CE3" w:rsidP="00EA186A">
      <w:pPr>
        <w:spacing w:line="276" w:lineRule="auto"/>
        <w:jc w:val="both"/>
        <w:rPr>
          <w:rFonts w:ascii="Arial Narrow" w:hAnsi="Arial Narrow"/>
        </w:rPr>
      </w:pPr>
    </w:p>
    <w:p w14:paraId="1BDEA40F" w14:textId="38D6F021" w:rsidR="00E67CE3" w:rsidRDefault="00E67CE3" w:rsidP="00EA186A">
      <w:pPr>
        <w:spacing w:line="276" w:lineRule="auto"/>
        <w:jc w:val="both"/>
        <w:rPr>
          <w:rFonts w:ascii="Arial Narrow" w:hAnsi="Arial Narrow"/>
        </w:rPr>
      </w:pPr>
    </w:p>
    <w:p w14:paraId="28C6FD54" w14:textId="58800ADF" w:rsidR="00E67CE3" w:rsidRDefault="00E67CE3" w:rsidP="00EA186A">
      <w:pPr>
        <w:spacing w:line="276" w:lineRule="auto"/>
        <w:jc w:val="both"/>
        <w:rPr>
          <w:rFonts w:ascii="Arial Narrow" w:hAnsi="Arial Narrow"/>
        </w:rPr>
      </w:pPr>
    </w:p>
    <w:p w14:paraId="432DE607" w14:textId="5BD39BA0" w:rsidR="00E67CE3" w:rsidRDefault="00E67CE3" w:rsidP="00EA186A">
      <w:pPr>
        <w:spacing w:line="276" w:lineRule="auto"/>
        <w:jc w:val="both"/>
        <w:rPr>
          <w:rFonts w:ascii="Arial Narrow" w:hAnsi="Arial Narrow"/>
        </w:rPr>
      </w:pPr>
    </w:p>
    <w:p w14:paraId="60063B9D" w14:textId="77777777" w:rsidR="00E67CE3" w:rsidRDefault="00E67CE3" w:rsidP="00EA186A">
      <w:pPr>
        <w:spacing w:line="276" w:lineRule="auto"/>
        <w:jc w:val="both"/>
        <w:rPr>
          <w:rFonts w:ascii="Arial Narrow" w:hAnsi="Arial Narrow"/>
          <w:highlight w:val="yellow"/>
        </w:rPr>
      </w:pPr>
    </w:p>
    <w:p w14:paraId="1F06D438" w14:textId="77777777" w:rsidR="001333A8" w:rsidRDefault="001333A8" w:rsidP="00EA186A">
      <w:pPr>
        <w:spacing w:line="276" w:lineRule="auto"/>
        <w:jc w:val="both"/>
        <w:rPr>
          <w:rFonts w:ascii="Arial Narrow" w:hAnsi="Arial Narrow"/>
          <w:highlight w:val="yellow"/>
        </w:rPr>
      </w:pPr>
    </w:p>
    <w:p w14:paraId="2687944F" w14:textId="77777777" w:rsidR="001333A8" w:rsidRPr="00E67CE3" w:rsidRDefault="001333A8" w:rsidP="00EA186A">
      <w:pPr>
        <w:spacing w:line="276" w:lineRule="auto"/>
        <w:jc w:val="both"/>
        <w:rPr>
          <w:rFonts w:ascii="Arial Narrow" w:hAnsi="Arial Narrow"/>
          <w:highlight w:val="yellow"/>
        </w:rPr>
      </w:pPr>
    </w:p>
    <w:p w14:paraId="1C8F8D52" w14:textId="174F09D4" w:rsidR="00EA186A" w:rsidRPr="00CE357F" w:rsidRDefault="00EA186A" w:rsidP="00EA186A">
      <w:pPr>
        <w:spacing w:before="240" w:line="276" w:lineRule="auto"/>
        <w:jc w:val="both"/>
        <w:rPr>
          <w:rFonts w:ascii="Arial Narrow" w:hAnsi="Arial Narrow"/>
          <w:b/>
          <w:sz w:val="20"/>
          <w:szCs w:val="20"/>
        </w:rPr>
      </w:pPr>
      <w:bookmarkStart w:id="642" w:name="_Toc94443799"/>
      <w:bookmarkStart w:id="643" w:name="_Toc136428947"/>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103</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Osoby s jinou než českou státní příslušností v ORP Brno podle pohlaví</w:t>
      </w:r>
      <w:bookmarkEnd w:id="642"/>
      <w:r w:rsidR="00493A7B">
        <w:rPr>
          <w:rFonts w:ascii="Arial Narrow" w:hAnsi="Arial Narrow"/>
          <w:b/>
          <w:bCs/>
          <w:sz w:val="20"/>
          <w:szCs w:val="20"/>
        </w:rPr>
        <w:t xml:space="preserve"> (k 1. 1. daného roku)</w:t>
      </w:r>
      <w:bookmarkEnd w:id="643"/>
    </w:p>
    <w:p w14:paraId="4A2D3417" w14:textId="3D7F7309" w:rsidR="00EA186A" w:rsidRPr="00CE357F" w:rsidRDefault="00E67CE3" w:rsidP="00EA186A">
      <w:pPr>
        <w:spacing w:line="276" w:lineRule="auto"/>
        <w:jc w:val="both"/>
        <w:rPr>
          <w:rFonts w:ascii="Arial Narrow" w:hAnsi="Arial Narrow"/>
        </w:rPr>
      </w:pPr>
      <w:r w:rsidRPr="00CE357F">
        <w:rPr>
          <w:rFonts w:ascii="Arial Narrow" w:hAnsi="Arial Narrow"/>
          <w:bCs/>
          <w:noProof/>
          <w:lang w:eastAsia="cs-CZ"/>
        </w:rPr>
        <w:drawing>
          <wp:inline distT="0" distB="0" distL="0" distR="0" wp14:anchorId="5D6D0532" wp14:editId="4F73B9F4">
            <wp:extent cx="5756910" cy="3870251"/>
            <wp:effectExtent l="0" t="0" r="0" b="0"/>
            <wp:docPr id="2070" name="Graf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43344420" w14:textId="77777777" w:rsidR="00EA186A" w:rsidRPr="00CE357F" w:rsidRDefault="00EA186A" w:rsidP="00EA186A">
      <w:pPr>
        <w:spacing w:line="276" w:lineRule="auto"/>
        <w:rPr>
          <w:rFonts w:ascii="Arial Narrow" w:hAnsi="Arial Narrow"/>
          <w:sz w:val="20"/>
          <w:szCs w:val="20"/>
        </w:rPr>
      </w:pPr>
      <w:r w:rsidRPr="00CE357F">
        <w:rPr>
          <w:rFonts w:ascii="Arial Narrow" w:hAnsi="Arial Narrow"/>
          <w:sz w:val="20"/>
          <w:szCs w:val="20"/>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0C0E180F" w14:textId="0958A0AE" w:rsidR="00E67CE3" w:rsidRPr="001333A8" w:rsidRDefault="00E67CE3" w:rsidP="00E67CE3">
      <w:pPr>
        <w:spacing w:after="120" w:line="276" w:lineRule="auto"/>
        <w:jc w:val="both"/>
        <w:rPr>
          <w:rFonts w:ascii="Arial Narrow" w:eastAsia="Times New Roman" w:hAnsi="Arial Narrow" w:cs="Arial"/>
          <w:lang w:eastAsia="cs-CZ"/>
        </w:rPr>
      </w:pPr>
      <w:r>
        <w:br/>
      </w:r>
      <w:r w:rsidRPr="7CC7BF57">
        <w:rPr>
          <w:rFonts w:ascii="Arial Narrow" w:hAnsi="Arial Narrow"/>
        </w:rPr>
        <w:t>Celkový počet dětí do věku 15 let s jinou než českou státní příslušností v ORP Brno meziročně narůstal zejména mezi lety 2008 a 2014. Od roku 2015 do roku 2022 se p</w:t>
      </w:r>
      <w:r w:rsidRPr="7CC7BF57">
        <w:rPr>
          <w:rFonts w:ascii="Arial Narrow" w:eastAsia="Times New Roman" w:hAnsi="Arial Narrow" w:cs="Arial"/>
          <w:lang w:eastAsia="cs-CZ"/>
        </w:rPr>
        <w:t>odíl dětí ve věku do 15 let na celkovém počtu osob s jinou než českou státní příslušností pohyboval průměrně na 8,4 %. Výrazný nárust souvisí s</w:t>
      </w:r>
      <w:r w:rsidR="001E1B48">
        <w:rPr>
          <w:rFonts w:ascii="Arial Narrow" w:eastAsia="Times New Roman" w:hAnsi="Arial Narrow" w:cs="Arial"/>
          <w:lang w:eastAsia="cs-CZ"/>
        </w:rPr>
        <w:t> </w:t>
      </w:r>
      <w:r w:rsidRPr="7CC7BF57">
        <w:rPr>
          <w:rFonts w:ascii="Arial Narrow" w:eastAsia="Times New Roman" w:hAnsi="Arial Narrow" w:cs="Arial"/>
          <w:lang w:eastAsia="cs-CZ"/>
        </w:rPr>
        <w:t>migrací</w:t>
      </w:r>
      <w:r w:rsidR="001E1B48">
        <w:rPr>
          <w:rFonts w:ascii="Arial Narrow" w:eastAsia="Times New Roman" w:hAnsi="Arial Narrow" w:cs="Arial"/>
          <w:lang w:eastAsia="cs-CZ"/>
        </w:rPr>
        <w:t xml:space="preserve"> osob</w:t>
      </w:r>
      <w:r w:rsidRPr="7CC7BF57">
        <w:rPr>
          <w:rFonts w:ascii="Arial Narrow" w:eastAsia="Times New Roman" w:hAnsi="Arial Narrow" w:cs="Arial"/>
          <w:lang w:eastAsia="cs-CZ"/>
        </w:rPr>
        <w:t xml:space="preserve"> z</w:t>
      </w:r>
      <w:r w:rsidR="001E1B48">
        <w:rPr>
          <w:rFonts w:ascii="Arial Narrow" w:eastAsia="Times New Roman" w:hAnsi="Arial Narrow" w:cs="Arial"/>
          <w:lang w:eastAsia="cs-CZ"/>
        </w:rPr>
        <w:t> </w:t>
      </w:r>
      <w:r w:rsidRPr="7CC7BF57">
        <w:rPr>
          <w:rFonts w:ascii="Arial Narrow" w:eastAsia="Times New Roman" w:hAnsi="Arial Narrow" w:cs="Arial"/>
          <w:lang w:eastAsia="cs-CZ"/>
        </w:rPr>
        <w:t>Ukrajiny</w:t>
      </w:r>
      <w:r w:rsidR="001E1B48">
        <w:rPr>
          <w:rFonts w:ascii="Arial Narrow" w:eastAsia="Times New Roman" w:hAnsi="Arial Narrow" w:cs="Arial"/>
          <w:lang w:eastAsia="cs-CZ"/>
        </w:rPr>
        <w:t xml:space="preserve"> v souvislosti s válečným konfliktem</w:t>
      </w:r>
      <w:r w:rsidRPr="7CC7BF57">
        <w:rPr>
          <w:rFonts w:ascii="Arial Narrow" w:eastAsia="Times New Roman" w:hAnsi="Arial Narrow" w:cs="Arial"/>
          <w:lang w:eastAsia="cs-CZ"/>
        </w:rPr>
        <w:t xml:space="preserve"> v roce 2022, kdy k 1. 1. 2023 podíl dětí do 15 let věku činil zhruba ¼ (26,5 %) všech osob s jinou než českou státní příslušností v ORP Brno.</w:t>
      </w:r>
      <w:r w:rsidR="001333A8">
        <w:rPr>
          <w:rFonts w:ascii="Arial Narrow" w:eastAsia="Times New Roman" w:hAnsi="Arial Narrow" w:cs="Arial"/>
          <w:lang w:eastAsia="cs-CZ"/>
        </w:rPr>
        <w:t xml:space="preserve"> </w:t>
      </w:r>
      <w:r w:rsidRPr="00CE357F">
        <w:rPr>
          <w:rFonts w:ascii="Arial Narrow" w:hAnsi="Arial Narrow"/>
        </w:rPr>
        <w:t>Vývoj počtu dětí dle pohlaví a jejich podílu na celkovém počtu těchto osob v ORP Brno podrobně znázorňuje tabulka</w:t>
      </w:r>
      <w:r w:rsidR="001333A8">
        <w:rPr>
          <w:rFonts w:ascii="Arial Narrow" w:hAnsi="Arial Narrow"/>
        </w:rPr>
        <w:t xml:space="preserve"> č. 33</w:t>
      </w:r>
      <w:r w:rsidRPr="00CE357F">
        <w:rPr>
          <w:rFonts w:ascii="Arial Narrow" w:hAnsi="Arial Narrow"/>
        </w:rPr>
        <w:t>.</w:t>
      </w:r>
    </w:p>
    <w:p w14:paraId="2FB38DAC" w14:textId="754A221C" w:rsidR="00EA186A" w:rsidRPr="00CE357F" w:rsidRDefault="00EA186A" w:rsidP="00E67CE3">
      <w:pPr>
        <w:jc w:val="both"/>
        <w:rPr>
          <w:rFonts w:ascii="Arial Narrow" w:hAnsi="Arial Narrow"/>
          <w:b/>
          <w:sz w:val="20"/>
          <w:szCs w:val="20"/>
        </w:rPr>
      </w:pPr>
      <w:bookmarkStart w:id="644" w:name="_Toc136429244"/>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33</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 xml:space="preserve">Podíl dětí ve věku do 15 let na celkovém počtu osob s jinou než českou státní příslušností v ORP </w:t>
      </w:r>
      <w:r w:rsidR="00D62C17" w:rsidRPr="00CE357F">
        <w:rPr>
          <w:rFonts w:ascii="Arial Narrow" w:eastAsia="Times New Roman" w:hAnsi="Arial Narrow" w:cs="Arial"/>
          <w:b/>
          <w:bCs/>
          <w:sz w:val="20"/>
          <w:szCs w:val="20"/>
          <w:lang w:eastAsia="cs-CZ"/>
        </w:rPr>
        <w:t>Brno</w:t>
      </w:r>
      <w:r w:rsidRPr="00CE357F">
        <w:rPr>
          <w:rFonts w:ascii="Arial Narrow" w:eastAsia="Times New Roman" w:hAnsi="Arial Narrow" w:cs="Arial"/>
          <w:b/>
          <w:bCs/>
          <w:sz w:val="20"/>
          <w:szCs w:val="20"/>
          <w:lang w:eastAsia="cs-CZ"/>
        </w:rPr>
        <w:t xml:space="preserve"> v letech 2008-202</w:t>
      </w:r>
      <w:r w:rsidR="00E67CE3">
        <w:rPr>
          <w:rFonts w:ascii="Arial Narrow" w:eastAsia="Times New Roman" w:hAnsi="Arial Narrow" w:cs="Arial"/>
          <w:b/>
          <w:bCs/>
          <w:sz w:val="20"/>
          <w:szCs w:val="20"/>
          <w:lang w:eastAsia="cs-CZ"/>
        </w:rPr>
        <w:t>3</w:t>
      </w:r>
      <w:bookmarkEnd w:id="644"/>
    </w:p>
    <w:tbl>
      <w:tblPr>
        <w:tblpPr w:leftFromText="141" w:rightFromText="141" w:vertAnchor="text" w:tblpX="98" w:tblpY="1"/>
        <w:tblW w:w="4866"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061"/>
        <w:gridCol w:w="1515"/>
        <w:gridCol w:w="692"/>
        <w:gridCol w:w="696"/>
        <w:gridCol w:w="741"/>
        <w:gridCol w:w="836"/>
        <w:gridCol w:w="639"/>
        <w:gridCol w:w="730"/>
        <w:gridCol w:w="1909"/>
      </w:tblGrid>
      <w:tr w:rsidR="00EA186A" w:rsidRPr="00CE357F" w14:paraId="3F935EF9" w14:textId="77777777" w:rsidTr="00E67CE3">
        <w:trPr>
          <w:trHeight w:val="277"/>
        </w:trPr>
        <w:tc>
          <w:tcPr>
            <w:tcW w:w="1061" w:type="dxa"/>
            <w:vMerge w:val="restart"/>
            <w:shd w:val="clear" w:color="auto" w:fill="D9E2F3" w:themeFill="accent1" w:themeFillTint="33"/>
            <w:vAlign w:val="center"/>
            <w:hideMark/>
          </w:tcPr>
          <w:p w14:paraId="164ED069" w14:textId="77777777" w:rsidR="00EA186A" w:rsidRPr="00CE357F" w:rsidRDefault="00EA186A" w:rsidP="00EA18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Rok</w:t>
            </w:r>
          </w:p>
          <w:p w14:paraId="689E0636" w14:textId="5CCA81FE" w:rsidR="00EA186A" w:rsidRPr="00CE357F" w:rsidRDefault="00EA186A" w:rsidP="00EA186A">
            <w:pPr>
              <w:jc w:val="center"/>
              <w:rPr>
                <w:rFonts w:ascii="Arial Narrow" w:hAnsi="Arial Narrow" w:cstheme="minorBidi"/>
                <w:sz w:val="18"/>
                <w:szCs w:val="18"/>
              </w:rPr>
            </w:pPr>
            <w:r w:rsidRPr="00CE357F">
              <w:rPr>
                <w:rFonts w:ascii="Arial Narrow" w:eastAsia="Times New Roman" w:hAnsi="Arial Narrow" w:cs="Arial"/>
                <w:sz w:val="18"/>
                <w:szCs w:val="18"/>
                <w:lang w:eastAsia="cs-CZ"/>
              </w:rPr>
              <w:t>(vždy k </w:t>
            </w:r>
            <w:r w:rsidR="00493A7B">
              <w:rPr>
                <w:rFonts w:ascii="Arial Narrow" w:eastAsia="Times New Roman" w:hAnsi="Arial Narrow" w:cs="Arial"/>
                <w:sz w:val="18"/>
                <w:szCs w:val="18"/>
                <w:lang w:eastAsia="cs-CZ"/>
              </w:rPr>
              <w:br/>
            </w:r>
            <w:r w:rsidRPr="00CE357F">
              <w:rPr>
                <w:rFonts w:ascii="Arial Narrow" w:eastAsia="Times New Roman" w:hAnsi="Arial Narrow" w:cs="Arial"/>
                <w:sz w:val="18"/>
                <w:szCs w:val="18"/>
                <w:lang w:eastAsia="cs-CZ"/>
              </w:rPr>
              <w:t>1. 1.)</w:t>
            </w:r>
          </w:p>
        </w:tc>
        <w:tc>
          <w:tcPr>
            <w:tcW w:w="1515" w:type="dxa"/>
            <w:vMerge w:val="restart"/>
            <w:shd w:val="clear" w:color="auto" w:fill="D9E2F3" w:themeFill="accent1" w:themeFillTint="33"/>
            <w:vAlign w:val="center"/>
            <w:hideMark/>
          </w:tcPr>
          <w:p w14:paraId="11613D0E"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Osoby s jinou než českou státní příslušností celkem</w:t>
            </w:r>
          </w:p>
        </w:tc>
        <w:tc>
          <w:tcPr>
            <w:tcW w:w="2129" w:type="dxa"/>
            <w:gridSpan w:val="3"/>
            <w:shd w:val="clear" w:color="auto" w:fill="D9E2F3" w:themeFill="accent1" w:themeFillTint="33"/>
            <w:vAlign w:val="center"/>
            <w:hideMark/>
          </w:tcPr>
          <w:p w14:paraId="5A700A17"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2205" w:type="dxa"/>
            <w:gridSpan w:val="3"/>
            <w:shd w:val="clear" w:color="auto" w:fill="D9E2F3" w:themeFill="accent1" w:themeFillTint="33"/>
            <w:vAlign w:val="center"/>
            <w:hideMark/>
          </w:tcPr>
          <w:p w14:paraId="1740038D"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c>
          <w:tcPr>
            <w:tcW w:w="1909" w:type="dxa"/>
            <w:vMerge w:val="restart"/>
            <w:shd w:val="clear" w:color="auto" w:fill="D9E2F3" w:themeFill="accent1" w:themeFillTint="33"/>
            <w:vAlign w:val="center"/>
          </w:tcPr>
          <w:p w14:paraId="0DD500FB" w14:textId="77777777" w:rsidR="00EA186A" w:rsidRPr="00CE357F" w:rsidRDefault="00EA186A" w:rsidP="00EA186A">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dětí ve věku do 15 let na celkovém počtu osob s jinou než českou státní příslušností</w:t>
            </w:r>
          </w:p>
        </w:tc>
      </w:tr>
      <w:tr w:rsidR="00EA186A" w:rsidRPr="00CE357F" w14:paraId="3B68F560" w14:textId="77777777" w:rsidTr="00E67CE3">
        <w:trPr>
          <w:trHeight w:val="204"/>
        </w:trPr>
        <w:tc>
          <w:tcPr>
            <w:tcW w:w="1061" w:type="dxa"/>
            <w:vMerge/>
            <w:shd w:val="clear" w:color="auto" w:fill="D9E2F3" w:themeFill="accent1" w:themeFillTint="33"/>
            <w:vAlign w:val="center"/>
            <w:hideMark/>
          </w:tcPr>
          <w:p w14:paraId="13AF3C5E" w14:textId="77777777" w:rsidR="00EA186A" w:rsidRPr="00CE357F" w:rsidRDefault="00EA186A" w:rsidP="00EA186A">
            <w:pPr>
              <w:jc w:val="center"/>
              <w:rPr>
                <w:rFonts w:ascii="Arial Narrow" w:hAnsi="Arial Narrow"/>
                <w:sz w:val="18"/>
                <w:szCs w:val="18"/>
              </w:rPr>
            </w:pPr>
          </w:p>
        </w:tc>
        <w:tc>
          <w:tcPr>
            <w:tcW w:w="1515" w:type="dxa"/>
            <w:vMerge/>
            <w:shd w:val="clear" w:color="auto" w:fill="D9E2F3" w:themeFill="accent1" w:themeFillTint="33"/>
            <w:vAlign w:val="center"/>
            <w:hideMark/>
          </w:tcPr>
          <w:p w14:paraId="44ABA7AF" w14:textId="77777777" w:rsidR="00EA186A" w:rsidRPr="00CE357F" w:rsidRDefault="00EA186A" w:rsidP="00EA186A">
            <w:pPr>
              <w:jc w:val="center"/>
              <w:rPr>
                <w:rFonts w:ascii="Arial Narrow" w:hAnsi="Arial Narrow"/>
                <w:sz w:val="18"/>
                <w:szCs w:val="18"/>
              </w:rPr>
            </w:pPr>
          </w:p>
        </w:tc>
        <w:tc>
          <w:tcPr>
            <w:tcW w:w="692" w:type="dxa"/>
            <w:shd w:val="clear" w:color="auto" w:fill="D9E2F3" w:themeFill="accent1" w:themeFillTint="33"/>
            <w:vAlign w:val="center"/>
            <w:hideMark/>
          </w:tcPr>
          <w:p w14:paraId="084CADA2"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696" w:type="dxa"/>
            <w:shd w:val="clear" w:color="auto" w:fill="D9E2F3" w:themeFill="accent1" w:themeFillTint="33"/>
            <w:vAlign w:val="center"/>
            <w:hideMark/>
          </w:tcPr>
          <w:p w14:paraId="00ADD727"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41" w:type="dxa"/>
            <w:shd w:val="clear" w:color="auto" w:fill="D9E2F3" w:themeFill="accent1" w:themeFillTint="33"/>
            <w:vAlign w:val="center"/>
            <w:hideMark/>
          </w:tcPr>
          <w:p w14:paraId="2823A898"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836" w:type="dxa"/>
            <w:shd w:val="clear" w:color="auto" w:fill="D9E2F3" w:themeFill="accent1" w:themeFillTint="33"/>
            <w:vAlign w:val="center"/>
            <w:hideMark/>
          </w:tcPr>
          <w:p w14:paraId="7B079640"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639" w:type="dxa"/>
            <w:shd w:val="clear" w:color="auto" w:fill="D9E2F3" w:themeFill="accent1" w:themeFillTint="33"/>
            <w:vAlign w:val="center"/>
            <w:hideMark/>
          </w:tcPr>
          <w:p w14:paraId="6D1C0215"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30" w:type="dxa"/>
            <w:shd w:val="clear" w:color="auto" w:fill="D9E2F3" w:themeFill="accent1" w:themeFillTint="33"/>
            <w:vAlign w:val="center"/>
            <w:hideMark/>
          </w:tcPr>
          <w:p w14:paraId="6688C634"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1909" w:type="dxa"/>
            <w:vMerge/>
            <w:shd w:val="clear" w:color="auto" w:fill="D9E2F3" w:themeFill="accent1" w:themeFillTint="33"/>
            <w:vAlign w:val="center"/>
          </w:tcPr>
          <w:p w14:paraId="2828AC5B" w14:textId="77777777" w:rsidR="00EA186A" w:rsidRPr="00CE357F" w:rsidRDefault="00EA186A" w:rsidP="00EA186A">
            <w:pPr>
              <w:jc w:val="center"/>
              <w:rPr>
                <w:rFonts w:ascii="Arial Narrow" w:eastAsia="Times New Roman" w:hAnsi="Arial Narrow" w:cs="Arial"/>
                <w:b/>
                <w:bCs/>
                <w:sz w:val="18"/>
                <w:szCs w:val="18"/>
                <w:lang w:eastAsia="cs-CZ"/>
              </w:rPr>
            </w:pPr>
          </w:p>
        </w:tc>
      </w:tr>
      <w:tr w:rsidR="00E67CE3" w:rsidRPr="00CE357F" w14:paraId="6660C0D9" w14:textId="77777777" w:rsidTr="00E67CE3">
        <w:trPr>
          <w:trHeight w:val="204"/>
        </w:trPr>
        <w:tc>
          <w:tcPr>
            <w:tcW w:w="1061" w:type="dxa"/>
            <w:shd w:val="clear" w:color="auto" w:fill="D9E2F3" w:themeFill="accent1" w:themeFillTint="33"/>
            <w:vAlign w:val="center"/>
          </w:tcPr>
          <w:p w14:paraId="278F7B3D" w14:textId="38D0C4D6" w:rsidR="00E67CE3" w:rsidRPr="00CE357F" w:rsidRDefault="00E67CE3" w:rsidP="00E67CE3">
            <w:pPr>
              <w:jc w:val="center"/>
              <w:rPr>
                <w:rFonts w:ascii="Arial Narrow" w:hAnsi="Arial Narrow"/>
                <w:sz w:val="18"/>
                <w:szCs w:val="18"/>
              </w:rPr>
            </w:pPr>
            <w:r>
              <w:rPr>
                <w:rFonts w:ascii="Arial Narrow" w:hAnsi="Arial Narrow"/>
                <w:sz w:val="18"/>
                <w:szCs w:val="18"/>
              </w:rPr>
              <w:t>2023</w:t>
            </w:r>
          </w:p>
        </w:tc>
        <w:tc>
          <w:tcPr>
            <w:tcW w:w="1515" w:type="dxa"/>
            <w:vAlign w:val="center"/>
          </w:tcPr>
          <w:p w14:paraId="46778A88" w14:textId="3C1C1C96" w:rsidR="00E67CE3" w:rsidRPr="005C4492" w:rsidRDefault="00E67CE3" w:rsidP="00E67CE3">
            <w:pPr>
              <w:jc w:val="center"/>
              <w:rPr>
                <w:rFonts w:ascii="Arial Narrow" w:hAnsi="Arial Narrow" w:cs="Arial"/>
                <w:sz w:val="18"/>
                <w:szCs w:val="18"/>
              </w:rPr>
            </w:pPr>
            <w:r w:rsidRPr="005C4492">
              <w:rPr>
                <w:rFonts w:ascii="Arial Narrow" w:hAnsi="Arial Narrow" w:cs="Arial"/>
                <w:sz w:val="18"/>
                <w:szCs w:val="18"/>
              </w:rPr>
              <w:t>63 367</w:t>
            </w:r>
          </w:p>
        </w:tc>
        <w:tc>
          <w:tcPr>
            <w:tcW w:w="692" w:type="dxa"/>
            <w:vAlign w:val="bottom"/>
          </w:tcPr>
          <w:p w14:paraId="730A6629" w14:textId="0B22B547" w:rsidR="00E67CE3" w:rsidRPr="00CE357F" w:rsidRDefault="00E67CE3" w:rsidP="00E67CE3">
            <w:pPr>
              <w:jc w:val="center"/>
              <w:rPr>
                <w:rFonts w:ascii="Arial Narrow" w:hAnsi="Arial Narrow"/>
                <w:color w:val="000000"/>
                <w:sz w:val="18"/>
                <w:szCs w:val="18"/>
              </w:rPr>
            </w:pPr>
            <w:r w:rsidRPr="00374019">
              <w:rPr>
                <w:rFonts w:ascii="Arial Narrow" w:hAnsi="Arial Narrow" w:cs="Arial"/>
                <w:sz w:val="18"/>
                <w:szCs w:val="18"/>
              </w:rPr>
              <w:t>27</w:t>
            </w:r>
            <w:r w:rsidR="00B35A2B">
              <w:rPr>
                <w:rFonts w:ascii="Arial Narrow" w:hAnsi="Arial Narrow" w:cs="Arial"/>
                <w:sz w:val="18"/>
                <w:szCs w:val="18"/>
              </w:rPr>
              <w:t xml:space="preserve"> </w:t>
            </w:r>
            <w:r w:rsidRPr="00374019">
              <w:rPr>
                <w:rFonts w:ascii="Arial Narrow" w:hAnsi="Arial Narrow" w:cs="Arial"/>
                <w:sz w:val="18"/>
                <w:szCs w:val="18"/>
              </w:rPr>
              <w:t>888</w:t>
            </w:r>
          </w:p>
        </w:tc>
        <w:tc>
          <w:tcPr>
            <w:tcW w:w="696" w:type="dxa"/>
            <w:vAlign w:val="bottom"/>
          </w:tcPr>
          <w:p w14:paraId="70FE1C2B" w14:textId="5F0C8344" w:rsidR="00E67CE3" w:rsidRPr="00CE357F" w:rsidRDefault="00B35A2B" w:rsidP="00E67CE3">
            <w:pPr>
              <w:jc w:val="center"/>
              <w:rPr>
                <w:rFonts w:ascii="Arial Narrow" w:hAnsi="Arial Narrow" w:cs="Arial"/>
                <w:sz w:val="18"/>
                <w:szCs w:val="18"/>
              </w:rPr>
            </w:pPr>
            <w:r>
              <w:rPr>
                <w:rFonts w:ascii="Arial Narrow" w:hAnsi="Arial Narrow" w:cs="Arial"/>
                <w:sz w:val="18"/>
                <w:szCs w:val="18"/>
              </w:rPr>
              <w:t>4 247</w:t>
            </w:r>
          </w:p>
        </w:tc>
        <w:tc>
          <w:tcPr>
            <w:tcW w:w="741" w:type="dxa"/>
            <w:vAlign w:val="bottom"/>
          </w:tcPr>
          <w:p w14:paraId="5F8B7F67" w14:textId="75DDF3A6" w:rsidR="00E67CE3" w:rsidRPr="00CE357F" w:rsidRDefault="00E67CE3" w:rsidP="00E67CE3">
            <w:pPr>
              <w:jc w:val="center"/>
              <w:rPr>
                <w:rFonts w:ascii="Arial Narrow" w:hAnsi="Arial Narrow" w:cs="Arial"/>
                <w:sz w:val="18"/>
                <w:szCs w:val="18"/>
              </w:rPr>
            </w:pPr>
            <w:r w:rsidRPr="00374019">
              <w:rPr>
                <w:rFonts w:ascii="Arial Narrow" w:hAnsi="Arial Narrow" w:cs="Arial"/>
                <w:sz w:val="18"/>
                <w:szCs w:val="18"/>
              </w:rPr>
              <w:t>32</w:t>
            </w:r>
            <w:r w:rsidR="00B35A2B">
              <w:rPr>
                <w:rFonts w:ascii="Arial Narrow" w:hAnsi="Arial Narrow" w:cs="Arial"/>
                <w:sz w:val="18"/>
                <w:szCs w:val="18"/>
              </w:rPr>
              <w:t xml:space="preserve"> </w:t>
            </w:r>
            <w:r w:rsidRPr="00374019">
              <w:rPr>
                <w:rFonts w:ascii="Arial Narrow" w:hAnsi="Arial Narrow" w:cs="Arial"/>
                <w:sz w:val="18"/>
                <w:szCs w:val="18"/>
              </w:rPr>
              <w:t>135</w:t>
            </w:r>
          </w:p>
        </w:tc>
        <w:tc>
          <w:tcPr>
            <w:tcW w:w="836" w:type="dxa"/>
            <w:vAlign w:val="bottom"/>
          </w:tcPr>
          <w:p w14:paraId="05A36DE9" w14:textId="4D910C34" w:rsidR="00E67CE3" w:rsidRPr="00CE357F" w:rsidRDefault="00E67CE3" w:rsidP="00E67CE3">
            <w:pPr>
              <w:jc w:val="center"/>
              <w:rPr>
                <w:rFonts w:ascii="Arial Narrow" w:hAnsi="Arial Narrow" w:cs="Arial"/>
                <w:color w:val="000000"/>
                <w:sz w:val="18"/>
                <w:szCs w:val="18"/>
              </w:rPr>
            </w:pPr>
            <w:r w:rsidRPr="00374019">
              <w:rPr>
                <w:rFonts w:ascii="Arial Narrow" w:hAnsi="Arial Narrow" w:cs="Arial"/>
                <w:sz w:val="18"/>
                <w:szCs w:val="18"/>
              </w:rPr>
              <w:t>27</w:t>
            </w:r>
            <w:r w:rsidR="00B35A2B">
              <w:rPr>
                <w:rFonts w:ascii="Arial Narrow" w:hAnsi="Arial Narrow" w:cs="Arial"/>
                <w:sz w:val="18"/>
                <w:szCs w:val="18"/>
              </w:rPr>
              <w:t xml:space="preserve"> </w:t>
            </w:r>
            <w:r w:rsidRPr="00374019">
              <w:rPr>
                <w:rFonts w:ascii="Arial Narrow" w:hAnsi="Arial Narrow" w:cs="Arial"/>
                <w:sz w:val="18"/>
                <w:szCs w:val="18"/>
              </w:rPr>
              <w:t>055</w:t>
            </w:r>
          </w:p>
        </w:tc>
        <w:tc>
          <w:tcPr>
            <w:tcW w:w="639" w:type="dxa"/>
            <w:vAlign w:val="bottom"/>
          </w:tcPr>
          <w:p w14:paraId="69BC2ECD" w14:textId="5863E3B0" w:rsidR="00E67CE3" w:rsidRPr="00CE357F" w:rsidRDefault="00E67CE3" w:rsidP="00E67CE3">
            <w:pPr>
              <w:jc w:val="center"/>
              <w:rPr>
                <w:rFonts w:ascii="Arial Narrow" w:hAnsi="Arial Narrow" w:cs="Arial"/>
                <w:sz w:val="18"/>
                <w:szCs w:val="18"/>
              </w:rPr>
            </w:pPr>
            <w:r w:rsidRPr="00374019">
              <w:rPr>
                <w:rFonts w:ascii="Arial Narrow" w:hAnsi="Arial Narrow" w:cs="Arial"/>
                <w:sz w:val="18"/>
                <w:szCs w:val="18"/>
              </w:rPr>
              <w:t xml:space="preserve"> </w:t>
            </w:r>
            <w:r w:rsidR="00B35A2B">
              <w:rPr>
                <w:rFonts w:ascii="Arial Narrow" w:hAnsi="Arial Narrow" w:cs="Arial"/>
                <w:sz w:val="18"/>
                <w:szCs w:val="18"/>
              </w:rPr>
              <w:t>4</w:t>
            </w:r>
            <w:r w:rsidRPr="00374019">
              <w:rPr>
                <w:rFonts w:ascii="Arial Narrow" w:hAnsi="Arial Narrow" w:cs="Arial"/>
                <w:sz w:val="18"/>
                <w:szCs w:val="18"/>
              </w:rPr>
              <w:t xml:space="preserve"> </w:t>
            </w:r>
            <w:r w:rsidR="00B35A2B">
              <w:rPr>
                <w:rFonts w:ascii="Arial Narrow" w:hAnsi="Arial Narrow" w:cs="Arial"/>
                <w:sz w:val="18"/>
                <w:szCs w:val="18"/>
              </w:rPr>
              <w:t>177</w:t>
            </w:r>
            <w:r w:rsidRPr="00374019">
              <w:rPr>
                <w:rFonts w:ascii="Arial Narrow" w:hAnsi="Arial Narrow" w:cs="Arial"/>
                <w:sz w:val="18"/>
                <w:szCs w:val="18"/>
              </w:rPr>
              <w:t xml:space="preserve"> </w:t>
            </w:r>
          </w:p>
        </w:tc>
        <w:tc>
          <w:tcPr>
            <w:tcW w:w="730" w:type="dxa"/>
            <w:vAlign w:val="bottom"/>
          </w:tcPr>
          <w:p w14:paraId="735C6049" w14:textId="508E158F" w:rsidR="00E67CE3" w:rsidRPr="00CE357F" w:rsidRDefault="00E67CE3" w:rsidP="00E67CE3">
            <w:pPr>
              <w:jc w:val="center"/>
              <w:rPr>
                <w:rFonts w:ascii="Arial Narrow" w:hAnsi="Arial Narrow" w:cs="Arial"/>
                <w:sz w:val="18"/>
                <w:szCs w:val="18"/>
              </w:rPr>
            </w:pPr>
            <w:r w:rsidRPr="00374019">
              <w:rPr>
                <w:rFonts w:ascii="Arial Narrow" w:hAnsi="Arial Narrow" w:cs="Arial"/>
                <w:sz w:val="18"/>
                <w:szCs w:val="18"/>
              </w:rPr>
              <w:t>31</w:t>
            </w:r>
            <w:r w:rsidR="00B35A2B">
              <w:rPr>
                <w:rFonts w:ascii="Arial Narrow" w:hAnsi="Arial Narrow" w:cs="Arial"/>
                <w:sz w:val="18"/>
                <w:szCs w:val="18"/>
              </w:rPr>
              <w:t xml:space="preserve"> </w:t>
            </w:r>
            <w:r w:rsidRPr="00374019">
              <w:rPr>
                <w:rFonts w:ascii="Arial Narrow" w:hAnsi="Arial Narrow" w:cs="Arial"/>
                <w:sz w:val="18"/>
                <w:szCs w:val="18"/>
              </w:rPr>
              <w:t>232</w:t>
            </w:r>
          </w:p>
        </w:tc>
        <w:tc>
          <w:tcPr>
            <w:tcW w:w="1909" w:type="dxa"/>
            <w:vAlign w:val="center"/>
          </w:tcPr>
          <w:p w14:paraId="39E6CD5A" w14:textId="21F691BD" w:rsidR="00E67CE3" w:rsidRPr="00CE357F" w:rsidRDefault="00B35A2B" w:rsidP="00E67CE3">
            <w:pPr>
              <w:jc w:val="center"/>
              <w:rPr>
                <w:rFonts w:ascii="Arial Narrow" w:hAnsi="Arial Narrow"/>
                <w:b/>
                <w:color w:val="C00000"/>
                <w:sz w:val="18"/>
                <w:szCs w:val="18"/>
              </w:rPr>
            </w:pPr>
            <w:r>
              <w:rPr>
                <w:rFonts w:ascii="Arial Narrow" w:hAnsi="Arial Narrow"/>
                <w:b/>
                <w:color w:val="C00000"/>
                <w:sz w:val="18"/>
                <w:szCs w:val="18"/>
              </w:rPr>
              <w:t>13</w:t>
            </w:r>
            <w:r w:rsidR="00E67CE3">
              <w:rPr>
                <w:rFonts w:ascii="Arial Narrow" w:hAnsi="Arial Narrow"/>
                <w:b/>
                <w:color w:val="C00000"/>
                <w:sz w:val="18"/>
                <w:szCs w:val="18"/>
              </w:rPr>
              <w:t>,</w:t>
            </w:r>
            <w:r>
              <w:rPr>
                <w:rFonts w:ascii="Arial Narrow" w:hAnsi="Arial Narrow"/>
                <w:b/>
                <w:color w:val="C00000"/>
                <w:sz w:val="18"/>
                <w:szCs w:val="18"/>
              </w:rPr>
              <w:t>3</w:t>
            </w:r>
            <w:r w:rsidR="00E67CE3">
              <w:rPr>
                <w:rFonts w:ascii="Arial Narrow" w:hAnsi="Arial Narrow"/>
                <w:b/>
                <w:color w:val="C00000"/>
                <w:sz w:val="18"/>
                <w:szCs w:val="18"/>
              </w:rPr>
              <w:t xml:space="preserve"> %</w:t>
            </w:r>
          </w:p>
        </w:tc>
      </w:tr>
      <w:tr w:rsidR="00E67CE3" w:rsidRPr="00CE357F" w14:paraId="5A2B1C09" w14:textId="77777777" w:rsidTr="00E67CE3">
        <w:trPr>
          <w:trHeight w:val="204"/>
        </w:trPr>
        <w:tc>
          <w:tcPr>
            <w:tcW w:w="1061" w:type="dxa"/>
            <w:shd w:val="clear" w:color="auto" w:fill="D9E2F3" w:themeFill="accent1" w:themeFillTint="33"/>
            <w:vAlign w:val="center"/>
          </w:tcPr>
          <w:p w14:paraId="449A474E"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2022</w:t>
            </w:r>
          </w:p>
        </w:tc>
        <w:tc>
          <w:tcPr>
            <w:tcW w:w="1515" w:type="dxa"/>
            <w:vAlign w:val="center"/>
          </w:tcPr>
          <w:p w14:paraId="6DAE5699" w14:textId="77777777" w:rsidR="00E67CE3" w:rsidRPr="005C4492" w:rsidRDefault="00E67CE3" w:rsidP="00E67CE3">
            <w:pPr>
              <w:jc w:val="center"/>
              <w:rPr>
                <w:rFonts w:ascii="Arial Narrow" w:hAnsi="Arial Narrow" w:cs="Arial"/>
                <w:sz w:val="18"/>
                <w:szCs w:val="18"/>
              </w:rPr>
            </w:pPr>
            <w:r w:rsidRPr="005C4492">
              <w:rPr>
                <w:rFonts w:ascii="Arial Narrow" w:hAnsi="Arial Narrow" w:cs="Arial"/>
                <w:sz w:val="18"/>
                <w:szCs w:val="18"/>
              </w:rPr>
              <w:t>35 789</w:t>
            </w:r>
          </w:p>
        </w:tc>
        <w:tc>
          <w:tcPr>
            <w:tcW w:w="692" w:type="dxa"/>
            <w:vAlign w:val="center"/>
          </w:tcPr>
          <w:p w14:paraId="543D0E90" w14:textId="28D325CA" w:rsidR="00E67CE3" w:rsidRPr="00CE357F" w:rsidRDefault="00E67CE3" w:rsidP="00E67CE3">
            <w:pPr>
              <w:jc w:val="center"/>
              <w:rPr>
                <w:rFonts w:ascii="Arial Narrow" w:hAnsi="Arial Narrow"/>
                <w:color w:val="000000"/>
                <w:sz w:val="18"/>
                <w:szCs w:val="18"/>
              </w:rPr>
            </w:pPr>
            <w:r w:rsidRPr="00CE357F">
              <w:rPr>
                <w:rFonts w:ascii="Arial Narrow" w:hAnsi="Arial Narrow"/>
                <w:color w:val="000000"/>
                <w:sz w:val="18"/>
                <w:szCs w:val="18"/>
              </w:rPr>
              <w:t>19</w:t>
            </w:r>
            <w:r>
              <w:rPr>
                <w:rFonts w:ascii="Arial Narrow" w:hAnsi="Arial Narrow"/>
                <w:color w:val="000000"/>
                <w:sz w:val="18"/>
                <w:szCs w:val="18"/>
              </w:rPr>
              <w:t xml:space="preserve"> </w:t>
            </w:r>
            <w:r w:rsidRPr="00CE357F">
              <w:rPr>
                <w:rFonts w:ascii="Arial Narrow" w:hAnsi="Arial Narrow"/>
                <w:color w:val="000000"/>
                <w:sz w:val="18"/>
                <w:szCs w:val="18"/>
              </w:rPr>
              <w:t>446</w:t>
            </w:r>
          </w:p>
        </w:tc>
        <w:tc>
          <w:tcPr>
            <w:tcW w:w="696" w:type="dxa"/>
            <w:vAlign w:val="center"/>
          </w:tcPr>
          <w:p w14:paraId="45648234" w14:textId="532CB62E"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w:t>
            </w:r>
            <w:r w:rsidR="00B35A2B">
              <w:rPr>
                <w:rFonts w:ascii="Arial Narrow" w:hAnsi="Arial Narrow" w:cs="Arial"/>
                <w:sz w:val="18"/>
                <w:szCs w:val="18"/>
              </w:rPr>
              <w:t xml:space="preserve"> </w:t>
            </w:r>
            <w:r w:rsidRPr="00CE357F">
              <w:rPr>
                <w:rFonts w:ascii="Arial Narrow" w:hAnsi="Arial Narrow" w:cs="Arial"/>
                <w:sz w:val="18"/>
                <w:szCs w:val="18"/>
              </w:rPr>
              <w:t>505</w:t>
            </w:r>
          </w:p>
        </w:tc>
        <w:tc>
          <w:tcPr>
            <w:tcW w:w="741" w:type="dxa"/>
            <w:vAlign w:val="center"/>
          </w:tcPr>
          <w:p w14:paraId="3BE3E134" w14:textId="475D91DF"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20</w:t>
            </w:r>
            <w:r>
              <w:rPr>
                <w:rFonts w:ascii="Arial Narrow" w:hAnsi="Arial Narrow" w:cs="Arial"/>
                <w:sz w:val="18"/>
                <w:szCs w:val="18"/>
              </w:rPr>
              <w:t xml:space="preserve"> </w:t>
            </w:r>
            <w:r w:rsidRPr="00CE357F">
              <w:rPr>
                <w:rFonts w:ascii="Arial Narrow" w:hAnsi="Arial Narrow" w:cs="Arial"/>
                <w:sz w:val="18"/>
                <w:szCs w:val="18"/>
              </w:rPr>
              <w:t>951</w:t>
            </w:r>
          </w:p>
        </w:tc>
        <w:tc>
          <w:tcPr>
            <w:tcW w:w="836" w:type="dxa"/>
            <w:vAlign w:val="center"/>
          </w:tcPr>
          <w:p w14:paraId="30435957" w14:textId="77777777" w:rsidR="00E67CE3" w:rsidRPr="00CE357F" w:rsidRDefault="00E67CE3" w:rsidP="00E67CE3">
            <w:pPr>
              <w:jc w:val="center"/>
              <w:rPr>
                <w:rFonts w:ascii="Arial Narrow" w:hAnsi="Arial Narrow" w:cs="Arial"/>
                <w:color w:val="000000"/>
                <w:sz w:val="18"/>
                <w:szCs w:val="18"/>
              </w:rPr>
            </w:pPr>
            <w:r w:rsidRPr="00CE357F">
              <w:rPr>
                <w:rFonts w:ascii="Arial Narrow" w:hAnsi="Arial Narrow" w:cs="Arial"/>
                <w:color w:val="000000"/>
                <w:sz w:val="18"/>
                <w:szCs w:val="18"/>
              </w:rPr>
              <w:t>13 330</w:t>
            </w:r>
          </w:p>
        </w:tc>
        <w:tc>
          <w:tcPr>
            <w:tcW w:w="639" w:type="dxa"/>
            <w:vAlign w:val="center"/>
          </w:tcPr>
          <w:p w14:paraId="22C72318"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1 508</w:t>
            </w:r>
          </w:p>
        </w:tc>
        <w:tc>
          <w:tcPr>
            <w:tcW w:w="730" w:type="dxa"/>
            <w:vAlign w:val="center"/>
          </w:tcPr>
          <w:p w14:paraId="4C9A03F1"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14 838</w:t>
            </w:r>
          </w:p>
        </w:tc>
        <w:tc>
          <w:tcPr>
            <w:tcW w:w="1909" w:type="dxa"/>
            <w:vAlign w:val="center"/>
          </w:tcPr>
          <w:p w14:paraId="4B96258B"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8,4 %</w:t>
            </w:r>
          </w:p>
        </w:tc>
      </w:tr>
      <w:tr w:rsidR="00E67CE3" w:rsidRPr="00CE357F" w14:paraId="1F4E7AD8" w14:textId="77777777" w:rsidTr="00E67CE3">
        <w:trPr>
          <w:trHeight w:val="204"/>
        </w:trPr>
        <w:tc>
          <w:tcPr>
            <w:tcW w:w="1061" w:type="dxa"/>
            <w:shd w:val="clear" w:color="auto" w:fill="D9E2F3" w:themeFill="accent1" w:themeFillTint="33"/>
            <w:vAlign w:val="center"/>
          </w:tcPr>
          <w:p w14:paraId="42DF7D9B"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2021</w:t>
            </w:r>
          </w:p>
        </w:tc>
        <w:tc>
          <w:tcPr>
            <w:tcW w:w="1515" w:type="dxa"/>
            <w:vAlign w:val="center"/>
          </w:tcPr>
          <w:p w14:paraId="12E27236" w14:textId="77777777" w:rsidR="00E67CE3" w:rsidRPr="005C4492" w:rsidRDefault="00E67CE3" w:rsidP="00E67CE3">
            <w:pPr>
              <w:jc w:val="center"/>
              <w:rPr>
                <w:rFonts w:ascii="Arial Narrow" w:hAnsi="Arial Narrow" w:cs="Arial"/>
                <w:sz w:val="18"/>
                <w:szCs w:val="18"/>
              </w:rPr>
            </w:pPr>
            <w:r w:rsidRPr="005C4492">
              <w:rPr>
                <w:rFonts w:ascii="Arial Narrow" w:hAnsi="Arial Narrow" w:cs="Arial"/>
                <w:sz w:val="18"/>
                <w:szCs w:val="18"/>
              </w:rPr>
              <w:t>34 203</w:t>
            </w:r>
          </w:p>
        </w:tc>
        <w:tc>
          <w:tcPr>
            <w:tcW w:w="692" w:type="dxa"/>
            <w:vAlign w:val="center"/>
          </w:tcPr>
          <w:p w14:paraId="14443F5C"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18 611</w:t>
            </w:r>
          </w:p>
        </w:tc>
        <w:tc>
          <w:tcPr>
            <w:tcW w:w="696" w:type="dxa"/>
            <w:vAlign w:val="center"/>
          </w:tcPr>
          <w:p w14:paraId="193F79AD"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1 426</w:t>
            </w:r>
          </w:p>
        </w:tc>
        <w:tc>
          <w:tcPr>
            <w:tcW w:w="741" w:type="dxa"/>
            <w:vAlign w:val="center"/>
          </w:tcPr>
          <w:p w14:paraId="332B9FBD"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20 037</w:t>
            </w:r>
          </w:p>
        </w:tc>
        <w:tc>
          <w:tcPr>
            <w:tcW w:w="836" w:type="dxa"/>
            <w:vAlign w:val="center"/>
          </w:tcPr>
          <w:p w14:paraId="2B9BF0D9"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12 752</w:t>
            </w:r>
          </w:p>
        </w:tc>
        <w:tc>
          <w:tcPr>
            <w:tcW w:w="639" w:type="dxa"/>
            <w:vAlign w:val="center"/>
          </w:tcPr>
          <w:p w14:paraId="187390D9"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1 414</w:t>
            </w:r>
          </w:p>
        </w:tc>
        <w:tc>
          <w:tcPr>
            <w:tcW w:w="730" w:type="dxa"/>
            <w:vAlign w:val="center"/>
          </w:tcPr>
          <w:p w14:paraId="24888A68"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14 166</w:t>
            </w:r>
          </w:p>
        </w:tc>
        <w:tc>
          <w:tcPr>
            <w:tcW w:w="1909" w:type="dxa"/>
            <w:vAlign w:val="center"/>
          </w:tcPr>
          <w:p w14:paraId="25328CC0"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8,3 %</w:t>
            </w:r>
          </w:p>
        </w:tc>
      </w:tr>
      <w:tr w:rsidR="00E67CE3" w:rsidRPr="00CE357F" w14:paraId="011726EA" w14:textId="77777777" w:rsidTr="00E67CE3">
        <w:trPr>
          <w:trHeight w:val="204"/>
        </w:trPr>
        <w:tc>
          <w:tcPr>
            <w:tcW w:w="1061" w:type="dxa"/>
            <w:shd w:val="clear" w:color="auto" w:fill="D9E2F3" w:themeFill="accent1" w:themeFillTint="33"/>
            <w:vAlign w:val="center"/>
          </w:tcPr>
          <w:p w14:paraId="20CB62D3"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2020</w:t>
            </w:r>
          </w:p>
        </w:tc>
        <w:tc>
          <w:tcPr>
            <w:tcW w:w="1515" w:type="dxa"/>
            <w:vAlign w:val="center"/>
          </w:tcPr>
          <w:p w14:paraId="359AEE87" w14:textId="77777777" w:rsidR="00E67CE3" w:rsidRPr="005C4492" w:rsidRDefault="00E67CE3" w:rsidP="00E67CE3">
            <w:pPr>
              <w:jc w:val="center"/>
              <w:rPr>
                <w:rFonts w:ascii="Arial Narrow" w:hAnsi="Arial Narrow" w:cs="Arial"/>
                <w:sz w:val="18"/>
                <w:szCs w:val="18"/>
              </w:rPr>
            </w:pPr>
            <w:r w:rsidRPr="005C4492">
              <w:rPr>
                <w:rFonts w:ascii="Arial Narrow" w:hAnsi="Arial Narrow" w:cs="Arial"/>
                <w:sz w:val="18"/>
                <w:szCs w:val="18"/>
              </w:rPr>
              <w:t>31 797</w:t>
            </w:r>
          </w:p>
        </w:tc>
        <w:tc>
          <w:tcPr>
            <w:tcW w:w="692" w:type="dxa"/>
            <w:vAlign w:val="center"/>
          </w:tcPr>
          <w:p w14:paraId="13BD7B86"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17 247</w:t>
            </w:r>
          </w:p>
        </w:tc>
        <w:tc>
          <w:tcPr>
            <w:tcW w:w="696" w:type="dxa"/>
            <w:vAlign w:val="center"/>
          </w:tcPr>
          <w:p w14:paraId="67388C48"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1 369</w:t>
            </w:r>
          </w:p>
        </w:tc>
        <w:tc>
          <w:tcPr>
            <w:tcW w:w="741" w:type="dxa"/>
            <w:vAlign w:val="center"/>
          </w:tcPr>
          <w:p w14:paraId="7F6AA6BB"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18 616</w:t>
            </w:r>
          </w:p>
        </w:tc>
        <w:tc>
          <w:tcPr>
            <w:tcW w:w="836" w:type="dxa"/>
            <w:vAlign w:val="center"/>
          </w:tcPr>
          <w:p w14:paraId="398B4873"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11 868</w:t>
            </w:r>
          </w:p>
        </w:tc>
        <w:tc>
          <w:tcPr>
            <w:tcW w:w="639" w:type="dxa"/>
            <w:vAlign w:val="center"/>
          </w:tcPr>
          <w:p w14:paraId="2F6728A3"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1 313</w:t>
            </w:r>
          </w:p>
        </w:tc>
        <w:tc>
          <w:tcPr>
            <w:tcW w:w="730" w:type="dxa"/>
            <w:vAlign w:val="center"/>
          </w:tcPr>
          <w:p w14:paraId="238ECC49"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13 181</w:t>
            </w:r>
          </w:p>
        </w:tc>
        <w:tc>
          <w:tcPr>
            <w:tcW w:w="1909" w:type="dxa"/>
            <w:vAlign w:val="center"/>
          </w:tcPr>
          <w:p w14:paraId="383FC28B"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8,4 %</w:t>
            </w:r>
          </w:p>
        </w:tc>
      </w:tr>
      <w:tr w:rsidR="00E67CE3" w:rsidRPr="00CE357F" w14:paraId="64642CE9" w14:textId="77777777" w:rsidTr="00E67CE3">
        <w:trPr>
          <w:trHeight w:val="204"/>
        </w:trPr>
        <w:tc>
          <w:tcPr>
            <w:tcW w:w="1061" w:type="dxa"/>
            <w:shd w:val="clear" w:color="auto" w:fill="D9E2F3" w:themeFill="accent1" w:themeFillTint="33"/>
            <w:vAlign w:val="center"/>
          </w:tcPr>
          <w:p w14:paraId="703C9F5E"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2019</w:t>
            </w:r>
          </w:p>
        </w:tc>
        <w:tc>
          <w:tcPr>
            <w:tcW w:w="1515" w:type="dxa"/>
            <w:vAlign w:val="center"/>
          </w:tcPr>
          <w:p w14:paraId="60BADA79"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29 739</w:t>
            </w:r>
          </w:p>
        </w:tc>
        <w:tc>
          <w:tcPr>
            <w:tcW w:w="692" w:type="dxa"/>
            <w:vAlign w:val="center"/>
          </w:tcPr>
          <w:p w14:paraId="7B5C4CF7"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15 935</w:t>
            </w:r>
          </w:p>
        </w:tc>
        <w:tc>
          <w:tcPr>
            <w:tcW w:w="696" w:type="dxa"/>
            <w:vAlign w:val="center"/>
          </w:tcPr>
          <w:p w14:paraId="1F0186FC"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1 249</w:t>
            </w:r>
          </w:p>
        </w:tc>
        <w:tc>
          <w:tcPr>
            <w:tcW w:w="741" w:type="dxa"/>
            <w:vAlign w:val="center"/>
          </w:tcPr>
          <w:p w14:paraId="18A43090"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17 184</w:t>
            </w:r>
          </w:p>
        </w:tc>
        <w:tc>
          <w:tcPr>
            <w:tcW w:w="836" w:type="dxa"/>
            <w:vAlign w:val="center"/>
          </w:tcPr>
          <w:p w14:paraId="6DE7D4EF"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11 326</w:t>
            </w:r>
          </w:p>
        </w:tc>
        <w:tc>
          <w:tcPr>
            <w:tcW w:w="639" w:type="dxa"/>
            <w:vAlign w:val="center"/>
          </w:tcPr>
          <w:p w14:paraId="71E0BFBF"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1 229</w:t>
            </w:r>
          </w:p>
        </w:tc>
        <w:tc>
          <w:tcPr>
            <w:tcW w:w="730" w:type="dxa"/>
            <w:vAlign w:val="center"/>
          </w:tcPr>
          <w:p w14:paraId="5628E404"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12 555</w:t>
            </w:r>
          </w:p>
        </w:tc>
        <w:tc>
          <w:tcPr>
            <w:tcW w:w="1909" w:type="dxa"/>
            <w:vAlign w:val="center"/>
          </w:tcPr>
          <w:p w14:paraId="79C0615D"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8,3 %</w:t>
            </w:r>
          </w:p>
        </w:tc>
      </w:tr>
      <w:tr w:rsidR="00E67CE3" w:rsidRPr="00CE357F" w14:paraId="0A728C9B" w14:textId="77777777" w:rsidTr="00E67CE3">
        <w:trPr>
          <w:trHeight w:val="204"/>
        </w:trPr>
        <w:tc>
          <w:tcPr>
            <w:tcW w:w="1061" w:type="dxa"/>
            <w:shd w:val="clear" w:color="auto" w:fill="D9E2F3" w:themeFill="accent1" w:themeFillTint="33"/>
            <w:vAlign w:val="center"/>
          </w:tcPr>
          <w:p w14:paraId="721BD7B5"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2018</w:t>
            </w:r>
          </w:p>
        </w:tc>
        <w:tc>
          <w:tcPr>
            <w:tcW w:w="1515" w:type="dxa"/>
            <w:vAlign w:val="center"/>
          </w:tcPr>
          <w:p w14:paraId="312F3EA1"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28 028</w:t>
            </w:r>
          </w:p>
        </w:tc>
        <w:tc>
          <w:tcPr>
            <w:tcW w:w="692" w:type="dxa"/>
            <w:vAlign w:val="center"/>
          </w:tcPr>
          <w:p w14:paraId="7C827456"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15 044</w:t>
            </w:r>
          </w:p>
        </w:tc>
        <w:tc>
          <w:tcPr>
            <w:tcW w:w="696" w:type="dxa"/>
            <w:vAlign w:val="center"/>
          </w:tcPr>
          <w:p w14:paraId="33B5FCE1"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1 223</w:t>
            </w:r>
          </w:p>
        </w:tc>
        <w:tc>
          <w:tcPr>
            <w:tcW w:w="741" w:type="dxa"/>
            <w:vAlign w:val="center"/>
          </w:tcPr>
          <w:p w14:paraId="67B32452"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16 267</w:t>
            </w:r>
          </w:p>
        </w:tc>
        <w:tc>
          <w:tcPr>
            <w:tcW w:w="836" w:type="dxa"/>
            <w:vAlign w:val="center"/>
          </w:tcPr>
          <w:p w14:paraId="5E853CCC"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10 556</w:t>
            </w:r>
          </w:p>
        </w:tc>
        <w:tc>
          <w:tcPr>
            <w:tcW w:w="639" w:type="dxa"/>
            <w:vAlign w:val="center"/>
          </w:tcPr>
          <w:p w14:paraId="387A443D"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1 205</w:t>
            </w:r>
          </w:p>
        </w:tc>
        <w:tc>
          <w:tcPr>
            <w:tcW w:w="730" w:type="dxa"/>
            <w:vAlign w:val="center"/>
          </w:tcPr>
          <w:p w14:paraId="4598A1BD"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11 761</w:t>
            </w:r>
          </w:p>
        </w:tc>
        <w:tc>
          <w:tcPr>
            <w:tcW w:w="1909" w:type="dxa"/>
            <w:vAlign w:val="center"/>
          </w:tcPr>
          <w:p w14:paraId="0B81B7BD"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8,7 %</w:t>
            </w:r>
          </w:p>
        </w:tc>
      </w:tr>
      <w:tr w:rsidR="00E67CE3" w:rsidRPr="00CE357F" w14:paraId="373370EA" w14:textId="77777777" w:rsidTr="00E67CE3">
        <w:trPr>
          <w:trHeight w:val="204"/>
        </w:trPr>
        <w:tc>
          <w:tcPr>
            <w:tcW w:w="1061" w:type="dxa"/>
            <w:shd w:val="clear" w:color="auto" w:fill="D9E2F3" w:themeFill="accent1" w:themeFillTint="33"/>
            <w:vAlign w:val="center"/>
          </w:tcPr>
          <w:p w14:paraId="6788B999"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2017</w:t>
            </w:r>
          </w:p>
        </w:tc>
        <w:tc>
          <w:tcPr>
            <w:tcW w:w="1515" w:type="dxa"/>
            <w:vAlign w:val="center"/>
          </w:tcPr>
          <w:p w14:paraId="034511A1"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26 094</w:t>
            </w:r>
          </w:p>
        </w:tc>
        <w:tc>
          <w:tcPr>
            <w:tcW w:w="692" w:type="dxa"/>
            <w:vAlign w:val="center"/>
          </w:tcPr>
          <w:p w14:paraId="0BC2084F"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14 105</w:t>
            </w:r>
          </w:p>
        </w:tc>
        <w:tc>
          <w:tcPr>
            <w:tcW w:w="696" w:type="dxa"/>
            <w:vAlign w:val="center"/>
          </w:tcPr>
          <w:p w14:paraId="2DC588BB"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1 147</w:t>
            </w:r>
          </w:p>
        </w:tc>
        <w:tc>
          <w:tcPr>
            <w:tcW w:w="741" w:type="dxa"/>
            <w:vAlign w:val="center"/>
          </w:tcPr>
          <w:p w14:paraId="0E1B4A17"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15 252</w:t>
            </w:r>
          </w:p>
        </w:tc>
        <w:tc>
          <w:tcPr>
            <w:tcW w:w="836" w:type="dxa"/>
            <w:vAlign w:val="center"/>
          </w:tcPr>
          <w:p w14:paraId="47F6089E"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9 732</w:t>
            </w:r>
          </w:p>
        </w:tc>
        <w:tc>
          <w:tcPr>
            <w:tcW w:w="639" w:type="dxa"/>
            <w:vAlign w:val="center"/>
          </w:tcPr>
          <w:p w14:paraId="44B576B1"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1 110</w:t>
            </w:r>
          </w:p>
        </w:tc>
        <w:tc>
          <w:tcPr>
            <w:tcW w:w="730" w:type="dxa"/>
            <w:vAlign w:val="center"/>
          </w:tcPr>
          <w:p w14:paraId="00974C01"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10 842</w:t>
            </w:r>
          </w:p>
        </w:tc>
        <w:tc>
          <w:tcPr>
            <w:tcW w:w="1909" w:type="dxa"/>
            <w:vAlign w:val="center"/>
          </w:tcPr>
          <w:p w14:paraId="474B84D3"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8,6 %</w:t>
            </w:r>
          </w:p>
        </w:tc>
      </w:tr>
      <w:tr w:rsidR="00E67CE3" w:rsidRPr="00CE357F" w14:paraId="3DF5438C" w14:textId="77777777" w:rsidTr="00E67CE3">
        <w:trPr>
          <w:trHeight w:val="204"/>
        </w:trPr>
        <w:tc>
          <w:tcPr>
            <w:tcW w:w="1061" w:type="dxa"/>
            <w:shd w:val="clear" w:color="auto" w:fill="D9E2F3" w:themeFill="accent1" w:themeFillTint="33"/>
            <w:vAlign w:val="center"/>
          </w:tcPr>
          <w:p w14:paraId="4B7F9347"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2016</w:t>
            </w:r>
          </w:p>
        </w:tc>
        <w:tc>
          <w:tcPr>
            <w:tcW w:w="1515" w:type="dxa"/>
            <w:vAlign w:val="center"/>
          </w:tcPr>
          <w:p w14:paraId="7841F590"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24 570</w:t>
            </w:r>
          </w:p>
        </w:tc>
        <w:tc>
          <w:tcPr>
            <w:tcW w:w="692" w:type="dxa"/>
            <w:vAlign w:val="center"/>
          </w:tcPr>
          <w:p w14:paraId="15768F4C" w14:textId="77777777" w:rsidR="00E67CE3" w:rsidRPr="00CE357F" w:rsidRDefault="00E67CE3" w:rsidP="00E67CE3">
            <w:pPr>
              <w:jc w:val="center"/>
              <w:rPr>
                <w:rFonts w:ascii="Arial Narrow" w:hAnsi="Arial Narrow" w:cs="Arial"/>
                <w:sz w:val="18"/>
                <w:szCs w:val="18"/>
              </w:rPr>
            </w:pPr>
            <w:r w:rsidRPr="00CE357F">
              <w:rPr>
                <w:rFonts w:ascii="Arial Narrow" w:hAnsi="Arial Narrow" w:cstheme="minorBidi"/>
                <w:sz w:val="18"/>
                <w:szCs w:val="18"/>
              </w:rPr>
              <w:t>13 338</w:t>
            </w:r>
          </w:p>
        </w:tc>
        <w:tc>
          <w:tcPr>
            <w:tcW w:w="696" w:type="dxa"/>
            <w:vAlign w:val="center"/>
          </w:tcPr>
          <w:p w14:paraId="0064255D" w14:textId="77777777" w:rsidR="00E67CE3" w:rsidRPr="00CE357F" w:rsidRDefault="00E67CE3" w:rsidP="00E67CE3">
            <w:pPr>
              <w:jc w:val="center"/>
              <w:rPr>
                <w:rFonts w:ascii="Arial Narrow" w:hAnsi="Arial Narrow" w:cs="Arial"/>
                <w:sz w:val="18"/>
                <w:szCs w:val="18"/>
              </w:rPr>
            </w:pPr>
            <w:r w:rsidRPr="00CE357F">
              <w:rPr>
                <w:rFonts w:ascii="Arial Narrow" w:hAnsi="Arial Narrow" w:cstheme="minorBidi"/>
                <w:sz w:val="18"/>
                <w:szCs w:val="18"/>
              </w:rPr>
              <w:t>1 032</w:t>
            </w:r>
          </w:p>
        </w:tc>
        <w:tc>
          <w:tcPr>
            <w:tcW w:w="741" w:type="dxa"/>
            <w:vAlign w:val="center"/>
          </w:tcPr>
          <w:p w14:paraId="1CFA1098" w14:textId="77777777" w:rsidR="00E67CE3" w:rsidRPr="00CE357F" w:rsidRDefault="00E67CE3" w:rsidP="00E67CE3">
            <w:pPr>
              <w:jc w:val="center"/>
              <w:rPr>
                <w:rFonts w:ascii="Arial Narrow" w:hAnsi="Arial Narrow" w:cs="Arial"/>
                <w:sz w:val="18"/>
                <w:szCs w:val="18"/>
              </w:rPr>
            </w:pPr>
            <w:r w:rsidRPr="00CE357F">
              <w:rPr>
                <w:rFonts w:ascii="Arial Narrow" w:hAnsi="Arial Narrow" w:cstheme="minorBidi"/>
                <w:sz w:val="18"/>
                <w:szCs w:val="18"/>
              </w:rPr>
              <w:t>14 370</w:t>
            </w:r>
          </w:p>
        </w:tc>
        <w:tc>
          <w:tcPr>
            <w:tcW w:w="836" w:type="dxa"/>
            <w:vAlign w:val="center"/>
          </w:tcPr>
          <w:p w14:paraId="405B465A" w14:textId="77777777" w:rsidR="00E67CE3" w:rsidRPr="00CE357F" w:rsidRDefault="00E67CE3" w:rsidP="00E67CE3">
            <w:pPr>
              <w:jc w:val="center"/>
              <w:rPr>
                <w:rFonts w:ascii="Arial Narrow" w:hAnsi="Arial Narrow" w:cs="Arial"/>
                <w:sz w:val="18"/>
                <w:szCs w:val="18"/>
              </w:rPr>
            </w:pPr>
            <w:r w:rsidRPr="00CE357F">
              <w:rPr>
                <w:rFonts w:ascii="Arial Narrow" w:hAnsi="Arial Narrow" w:cstheme="minorBidi"/>
                <w:sz w:val="18"/>
                <w:szCs w:val="18"/>
              </w:rPr>
              <w:t>9 169</w:t>
            </w:r>
          </w:p>
        </w:tc>
        <w:tc>
          <w:tcPr>
            <w:tcW w:w="639" w:type="dxa"/>
            <w:vAlign w:val="center"/>
          </w:tcPr>
          <w:p w14:paraId="08A6B63A" w14:textId="77777777" w:rsidR="00E67CE3" w:rsidRPr="00CE357F" w:rsidRDefault="00E67CE3" w:rsidP="00E67CE3">
            <w:pPr>
              <w:jc w:val="center"/>
              <w:rPr>
                <w:rFonts w:ascii="Arial Narrow" w:hAnsi="Arial Narrow" w:cs="Arial"/>
                <w:sz w:val="18"/>
                <w:szCs w:val="18"/>
              </w:rPr>
            </w:pPr>
            <w:r w:rsidRPr="00CE357F">
              <w:rPr>
                <w:rFonts w:ascii="Arial Narrow" w:hAnsi="Arial Narrow" w:cstheme="minorBidi"/>
                <w:sz w:val="18"/>
                <w:szCs w:val="18"/>
              </w:rPr>
              <w:t>1 031</w:t>
            </w:r>
          </w:p>
        </w:tc>
        <w:tc>
          <w:tcPr>
            <w:tcW w:w="730" w:type="dxa"/>
            <w:vAlign w:val="center"/>
          </w:tcPr>
          <w:p w14:paraId="7EA98624" w14:textId="77777777" w:rsidR="00E67CE3" w:rsidRPr="00CE357F" w:rsidRDefault="00E67CE3" w:rsidP="00E67CE3">
            <w:pPr>
              <w:jc w:val="center"/>
              <w:rPr>
                <w:rFonts w:ascii="Arial Narrow" w:hAnsi="Arial Narrow" w:cs="Arial"/>
                <w:sz w:val="18"/>
                <w:szCs w:val="18"/>
              </w:rPr>
            </w:pPr>
            <w:r w:rsidRPr="00CE357F">
              <w:rPr>
                <w:rFonts w:ascii="Arial Narrow" w:hAnsi="Arial Narrow" w:cstheme="minorBidi"/>
                <w:sz w:val="18"/>
                <w:szCs w:val="18"/>
              </w:rPr>
              <w:t>10 200</w:t>
            </w:r>
          </w:p>
        </w:tc>
        <w:tc>
          <w:tcPr>
            <w:tcW w:w="1909" w:type="dxa"/>
            <w:vAlign w:val="center"/>
          </w:tcPr>
          <w:p w14:paraId="488C0053"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8,4 %</w:t>
            </w:r>
          </w:p>
        </w:tc>
      </w:tr>
      <w:tr w:rsidR="00E67CE3" w:rsidRPr="00CE357F" w14:paraId="39711A65" w14:textId="77777777" w:rsidTr="00E67CE3">
        <w:trPr>
          <w:trHeight w:val="204"/>
        </w:trPr>
        <w:tc>
          <w:tcPr>
            <w:tcW w:w="1061" w:type="dxa"/>
            <w:shd w:val="clear" w:color="auto" w:fill="D9E2F3" w:themeFill="accent1" w:themeFillTint="33"/>
            <w:vAlign w:val="center"/>
          </w:tcPr>
          <w:p w14:paraId="052D3212"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2015</w:t>
            </w:r>
          </w:p>
        </w:tc>
        <w:tc>
          <w:tcPr>
            <w:tcW w:w="1515" w:type="dxa"/>
            <w:vAlign w:val="center"/>
          </w:tcPr>
          <w:p w14:paraId="31E698B5"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23 599</w:t>
            </w:r>
          </w:p>
        </w:tc>
        <w:tc>
          <w:tcPr>
            <w:tcW w:w="692" w:type="dxa"/>
            <w:vAlign w:val="center"/>
          </w:tcPr>
          <w:p w14:paraId="767D2C1F"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12 838</w:t>
            </w:r>
          </w:p>
        </w:tc>
        <w:tc>
          <w:tcPr>
            <w:tcW w:w="696" w:type="dxa"/>
            <w:vAlign w:val="center"/>
          </w:tcPr>
          <w:p w14:paraId="3B128F55"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990</w:t>
            </w:r>
          </w:p>
        </w:tc>
        <w:tc>
          <w:tcPr>
            <w:tcW w:w="741" w:type="dxa"/>
            <w:vAlign w:val="center"/>
          </w:tcPr>
          <w:p w14:paraId="52118346"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13 828</w:t>
            </w:r>
          </w:p>
        </w:tc>
        <w:tc>
          <w:tcPr>
            <w:tcW w:w="836" w:type="dxa"/>
            <w:vAlign w:val="center"/>
          </w:tcPr>
          <w:p w14:paraId="04E5F4A4"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8 808</w:t>
            </w:r>
          </w:p>
        </w:tc>
        <w:tc>
          <w:tcPr>
            <w:tcW w:w="639" w:type="dxa"/>
            <w:vAlign w:val="center"/>
          </w:tcPr>
          <w:p w14:paraId="04E6F3C0"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963</w:t>
            </w:r>
          </w:p>
        </w:tc>
        <w:tc>
          <w:tcPr>
            <w:tcW w:w="730" w:type="dxa"/>
            <w:vAlign w:val="center"/>
          </w:tcPr>
          <w:p w14:paraId="2B21BAC2"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9 771</w:t>
            </w:r>
          </w:p>
        </w:tc>
        <w:tc>
          <w:tcPr>
            <w:tcW w:w="1909" w:type="dxa"/>
            <w:vAlign w:val="center"/>
          </w:tcPr>
          <w:p w14:paraId="48066C2F"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8,3 %</w:t>
            </w:r>
          </w:p>
        </w:tc>
      </w:tr>
      <w:tr w:rsidR="00E67CE3" w:rsidRPr="00CE357F" w14:paraId="3B0B132C" w14:textId="77777777" w:rsidTr="00E67CE3">
        <w:trPr>
          <w:trHeight w:val="204"/>
        </w:trPr>
        <w:tc>
          <w:tcPr>
            <w:tcW w:w="1061" w:type="dxa"/>
            <w:shd w:val="clear" w:color="auto" w:fill="D9E2F3" w:themeFill="accent1" w:themeFillTint="33"/>
            <w:vAlign w:val="center"/>
          </w:tcPr>
          <w:p w14:paraId="430E6DEE"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2014</w:t>
            </w:r>
          </w:p>
        </w:tc>
        <w:tc>
          <w:tcPr>
            <w:tcW w:w="1515" w:type="dxa"/>
            <w:vAlign w:val="center"/>
          </w:tcPr>
          <w:p w14:paraId="1B9C2A1E"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22 270</w:t>
            </w:r>
          </w:p>
        </w:tc>
        <w:tc>
          <w:tcPr>
            <w:tcW w:w="692" w:type="dxa"/>
            <w:vAlign w:val="center"/>
          </w:tcPr>
          <w:p w14:paraId="51086E87"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12 214</w:t>
            </w:r>
          </w:p>
        </w:tc>
        <w:tc>
          <w:tcPr>
            <w:tcW w:w="696" w:type="dxa"/>
            <w:vAlign w:val="center"/>
          </w:tcPr>
          <w:p w14:paraId="4B8522A2"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938</w:t>
            </w:r>
          </w:p>
        </w:tc>
        <w:tc>
          <w:tcPr>
            <w:tcW w:w="741" w:type="dxa"/>
            <w:vAlign w:val="center"/>
          </w:tcPr>
          <w:p w14:paraId="4D8E88C7"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13 152</w:t>
            </w:r>
          </w:p>
        </w:tc>
        <w:tc>
          <w:tcPr>
            <w:tcW w:w="836" w:type="dxa"/>
            <w:vAlign w:val="center"/>
          </w:tcPr>
          <w:p w14:paraId="702211A8"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8 201</w:t>
            </w:r>
          </w:p>
        </w:tc>
        <w:tc>
          <w:tcPr>
            <w:tcW w:w="639" w:type="dxa"/>
            <w:vAlign w:val="center"/>
          </w:tcPr>
          <w:p w14:paraId="660C524A"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917</w:t>
            </w:r>
          </w:p>
        </w:tc>
        <w:tc>
          <w:tcPr>
            <w:tcW w:w="730" w:type="dxa"/>
            <w:vAlign w:val="center"/>
          </w:tcPr>
          <w:p w14:paraId="01BDCF42"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9 118</w:t>
            </w:r>
          </w:p>
        </w:tc>
        <w:tc>
          <w:tcPr>
            <w:tcW w:w="1909" w:type="dxa"/>
            <w:vAlign w:val="center"/>
          </w:tcPr>
          <w:p w14:paraId="69C4B971"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8,3 %</w:t>
            </w:r>
          </w:p>
        </w:tc>
      </w:tr>
      <w:tr w:rsidR="00E67CE3" w:rsidRPr="00CE357F" w14:paraId="3C11CD0C" w14:textId="77777777" w:rsidTr="00E67CE3">
        <w:trPr>
          <w:trHeight w:val="204"/>
        </w:trPr>
        <w:tc>
          <w:tcPr>
            <w:tcW w:w="1061" w:type="dxa"/>
            <w:shd w:val="clear" w:color="auto" w:fill="D9E2F3" w:themeFill="accent1" w:themeFillTint="33"/>
            <w:vAlign w:val="center"/>
          </w:tcPr>
          <w:p w14:paraId="32EB57C7"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2013</w:t>
            </w:r>
          </w:p>
        </w:tc>
        <w:tc>
          <w:tcPr>
            <w:tcW w:w="1515" w:type="dxa"/>
            <w:vAlign w:val="center"/>
          </w:tcPr>
          <w:p w14:paraId="09932A23"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21 143</w:t>
            </w:r>
          </w:p>
        </w:tc>
        <w:tc>
          <w:tcPr>
            <w:tcW w:w="692" w:type="dxa"/>
            <w:vAlign w:val="center"/>
          </w:tcPr>
          <w:p w14:paraId="6DC44712"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11 923</w:t>
            </w:r>
          </w:p>
        </w:tc>
        <w:tc>
          <w:tcPr>
            <w:tcW w:w="696" w:type="dxa"/>
            <w:vAlign w:val="center"/>
          </w:tcPr>
          <w:p w14:paraId="1DE76CE3"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760</w:t>
            </w:r>
          </w:p>
        </w:tc>
        <w:tc>
          <w:tcPr>
            <w:tcW w:w="741" w:type="dxa"/>
            <w:vAlign w:val="center"/>
          </w:tcPr>
          <w:p w14:paraId="5248F0CB"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12 683</w:t>
            </w:r>
          </w:p>
        </w:tc>
        <w:tc>
          <w:tcPr>
            <w:tcW w:w="836" w:type="dxa"/>
            <w:vAlign w:val="center"/>
          </w:tcPr>
          <w:p w14:paraId="534A7BA7"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7 707</w:t>
            </w:r>
          </w:p>
        </w:tc>
        <w:tc>
          <w:tcPr>
            <w:tcW w:w="639" w:type="dxa"/>
            <w:vAlign w:val="center"/>
          </w:tcPr>
          <w:p w14:paraId="6B76A2B0"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753</w:t>
            </w:r>
          </w:p>
        </w:tc>
        <w:tc>
          <w:tcPr>
            <w:tcW w:w="730" w:type="dxa"/>
            <w:vAlign w:val="center"/>
          </w:tcPr>
          <w:p w14:paraId="414C1ECB"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8 460</w:t>
            </w:r>
          </w:p>
        </w:tc>
        <w:tc>
          <w:tcPr>
            <w:tcW w:w="1909" w:type="dxa"/>
            <w:vAlign w:val="center"/>
          </w:tcPr>
          <w:p w14:paraId="204617F5"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7,2 %</w:t>
            </w:r>
          </w:p>
        </w:tc>
      </w:tr>
      <w:tr w:rsidR="00E67CE3" w:rsidRPr="00CE357F" w14:paraId="03AB28E9" w14:textId="77777777" w:rsidTr="00E67CE3">
        <w:trPr>
          <w:trHeight w:val="204"/>
        </w:trPr>
        <w:tc>
          <w:tcPr>
            <w:tcW w:w="1061" w:type="dxa"/>
            <w:shd w:val="clear" w:color="auto" w:fill="D9E2F3" w:themeFill="accent1" w:themeFillTint="33"/>
            <w:vAlign w:val="center"/>
          </w:tcPr>
          <w:p w14:paraId="11F4244C"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2012</w:t>
            </w:r>
          </w:p>
        </w:tc>
        <w:tc>
          <w:tcPr>
            <w:tcW w:w="1515" w:type="dxa"/>
            <w:vAlign w:val="center"/>
          </w:tcPr>
          <w:p w14:paraId="5E213067"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23 305</w:t>
            </w:r>
          </w:p>
        </w:tc>
        <w:tc>
          <w:tcPr>
            <w:tcW w:w="692" w:type="dxa"/>
            <w:vAlign w:val="center"/>
          </w:tcPr>
          <w:p w14:paraId="3A4AD37C"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13 469</w:t>
            </w:r>
          </w:p>
        </w:tc>
        <w:tc>
          <w:tcPr>
            <w:tcW w:w="696" w:type="dxa"/>
            <w:vAlign w:val="center"/>
          </w:tcPr>
          <w:p w14:paraId="639FFD62"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818</w:t>
            </w:r>
          </w:p>
        </w:tc>
        <w:tc>
          <w:tcPr>
            <w:tcW w:w="741" w:type="dxa"/>
            <w:vAlign w:val="center"/>
          </w:tcPr>
          <w:p w14:paraId="0BC8816E"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14 287</w:t>
            </w:r>
          </w:p>
        </w:tc>
        <w:tc>
          <w:tcPr>
            <w:tcW w:w="836" w:type="dxa"/>
            <w:vAlign w:val="center"/>
          </w:tcPr>
          <w:p w14:paraId="261A10DC"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8 273</w:t>
            </w:r>
          </w:p>
        </w:tc>
        <w:tc>
          <w:tcPr>
            <w:tcW w:w="639" w:type="dxa"/>
            <w:vAlign w:val="center"/>
          </w:tcPr>
          <w:p w14:paraId="51058EBA"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745</w:t>
            </w:r>
          </w:p>
        </w:tc>
        <w:tc>
          <w:tcPr>
            <w:tcW w:w="730" w:type="dxa"/>
            <w:vAlign w:val="center"/>
          </w:tcPr>
          <w:p w14:paraId="5D41685C"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9 018</w:t>
            </w:r>
          </w:p>
        </w:tc>
        <w:tc>
          <w:tcPr>
            <w:tcW w:w="1909" w:type="dxa"/>
            <w:vAlign w:val="center"/>
          </w:tcPr>
          <w:p w14:paraId="314D75C1"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6,7 %</w:t>
            </w:r>
          </w:p>
        </w:tc>
      </w:tr>
      <w:tr w:rsidR="00E67CE3" w:rsidRPr="00CE357F" w14:paraId="17AE9574" w14:textId="77777777" w:rsidTr="00E67CE3">
        <w:trPr>
          <w:trHeight w:val="204"/>
        </w:trPr>
        <w:tc>
          <w:tcPr>
            <w:tcW w:w="1061" w:type="dxa"/>
            <w:shd w:val="clear" w:color="auto" w:fill="D9E2F3" w:themeFill="accent1" w:themeFillTint="33"/>
            <w:vAlign w:val="center"/>
          </w:tcPr>
          <w:p w14:paraId="584D242C"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2011</w:t>
            </w:r>
          </w:p>
        </w:tc>
        <w:tc>
          <w:tcPr>
            <w:tcW w:w="1515" w:type="dxa"/>
            <w:vAlign w:val="center"/>
          </w:tcPr>
          <w:p w14:paraId="2271884C"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23 001</w:t>
            </w:r>
          </w:p>
        </w:tc>
        <w:tc>
          <w:tcPr>
            <w:tcW w:w="692" w:type="dxa"/>
            <w:vAlign w:val="center"/>
          </w:tcPr>
          <w:p w14:paraId="78869D0E"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13 530</w:t>
            </w:r>
          </w:p>
        </w:tc>
        <w:tc>
          <w:tcPr>
            <w:tcW w:w="696" w:type="dxa"/>
            <w:vAlign w:val="center"/>
          </w:tcPr>
          <w:p w14:paraId="5F440CEF"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785</w:t>
            </w:r>
          </w:p>
        </w:tc>
        <w:tc>
          <w:tcPr>
            <w:tcW w:w="741" w:type="dxa"/>
            <w:vAlign w:val="center"/>
          </w:tcPr>
          <w:p w14:paraId="50B10769"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14 315</w:t>
            </w:r>
          </w:p>
        </w:tc>
        <w:tc>
          <w:tcPr>
            <w:tcW w:w="836" w:type="dxa"/>
            <w:vAlign w:val="center"/>
          </w:tcPr>
          <w:p w14:paraId="32763823"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7 988</w:t>
            </w:r>
          </w:p>
        </w:tc>
        <w:tc>
          <w:tcPr>
            <w:tcW w:w="639" w:type="dxa"/>
            <w:vAlign w:val="center"/>
          </w:tcPr>
          <w:p w14:paraId="7C546D41"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698</w:t>
            </w:r>
          </w:p>
        </w:tc>
        <w:tc>
          <w:tcPr>
            <w:tcW w:w="730" w:type="dxa"/>
            <w:vAlign w:val="center"/>
          </w:tcPr>
          <w:p w14:paraId="4DF04EF3"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8 686</w:t>
            </w:r>
          </w:p>
        </w:tc>
        <w:tc>
          <w:tcPr>
            <w:tcW w:w="1909" w:type="dxa"/>
            <w:vAlign w:val="center"/>
          </w:tcPr>
          <w:p w14:paraId="17118F2E"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6,4 %</w:t>
            </w:r>
          </w:p>
        </w:tc>
      </w:tr>
      <w:tr w:rsidR="00E67CE3" w:rsidRPr="00CE357F" w14:paraId="1868DCA4" w14:textId="77777777" w:rsidTr="00E67CE3">
        <w:trPr>
          <w:trHeight w:val="204"/>
        </w:trPr>
        <w:tc>
          <w:tcPr>
            <w:tcW w:w="1061" w:type="dxa"/>
            <w:shd w:val="clear" w:color="auto" w:fill="D9E2F3" w:themeFill="accent1" w:themeFillTint="33"/>
            <w:vAlign w:val="center"/>
          </w:tcPr>
          <w:p w14:paraId="1FA85065"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2010</w:t>
            </w:r>
          </w:p>
        </w:tc>
        <w:tc>
          <w:tcPr>
            <w:tcW w:w="1515" w:type="dxa"/>
            <w:vAlign w:val="center"/>
          </w:tcPr>
          <w:p w14:paraId="1720F096"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22 487</w:t>
            </w:r>
          </w:p>
        </w:tc>
        <w:tc>
          <w:tcPr>
            <w:tcW w:w="692" w:type="dxa"/>
            <w:vAlign w:val="center"/>
          </w:tcPr>
          <w:p w14:paraId="65BA5F51"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13 449</w:t>
            </w:r>
          </w:p>
        </w:tc>
        <w:tc>
          <w:tcPr>
            <w:tcW w:w="696" w:type="dxa"/>
            <w:vAlign w:val="center"/>
          </w:tcPr>
          <w:p w14:paraId="39E78270"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711</w:t>
            </w:r>
          </w:p>
        </w:tc>
        <w:tc>
          <w:tcPr>
            <w:tcW w:w="741" w:type="dxa"/>
            <w:vAlign w:val="center"/>
          </w:tcPr>
          <w:p w14:paraId="0183DEA1"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14 160</w:t>
            </w:r>
          </w:p>
        </w:tc>
        <w:tc>
          <w:tcPr>
            <w:tcW w:w="836" w:type="dxa"/>
            <w:vAlign w:val="center"/>
          </w:tcPr>
          <w:p w14:paraId="3B007518"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7 688</w:t>
            </w:r>
          </w:p>
        </w:tc>
        <w:tc>
          <w:tcPr>
            <w:tcW w:w="639" w:type="dxa"/>
            <w:vAlign w:val="center"/>
          </w:tcPr>
          <w:p w14:paraId="1B98F2D0"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639</w:t>
            </w:r>
          </w:p>
        </w:tc>
        <w:tc>
          <w:tcPr>
            <w:tcW w:w="730" w:type="dxa"/>
            <w:vAlign w:val="center"/>
          </w:tcPr>
          <w:p w14:paraId="55A7D361"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8 327</w:t>
            </w:r>
          </w:p>
        </w:tc>
        <w:tc>
          <w:tcPr>
            <w:tcW w:w="1909" w:type="dxa"/>
            <w:vAlign w:val="center"/>
          </w:tcPr>
          <w:p w14:paraId="22650476"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6,0 %</w:t>
            </w:r>
          </w:p>
        </w:tc>
      </w:tr>
      <w:tr w:rsidR="00E67CE3" w:rsidRPr="00CE357F" w14:paraId="6C31F172" w14:textId="77777777" w:rsidTr="00E67CE3">
        <w:trPr>
          <w:trHeight w:val="204"/>
        </w:trPr>
        <w:tc>
          <w:tcPr>
            <w:tcW w:w="1061" w:type="dxa"/>
            <w:shd w:val="clear" w:color="auto" w:fill="D9E2F3" w:themeFill="accent1" w:themeFillTint="33"/>
            <w:vAlign w:val="center"/>
          </w:tcPr>
          <w:p w14:paraId="09E534C8"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lastRenderedPageBreak/>
              <w:t>2009</w:t>
            </w:r>
          </w:p>
        </w:tc>
        <w:tc>
          <w:tcPr>
            <w:tcW w:w="1515" w:type="dxa"/>
            <w:vAlign w:val="center"/>
          </w:tcPr>
          <w:p w14:paraId="39268EC9"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20 672</w:t>
            </w:r>
          </w:p>
        </w:tc>
        <w:tc>
          <w:tcPr>
            <w:tcW w:w="692" w:type="dxa"/>
            <w:vAlign w:val="center"/>
          </w:tcPr>
          <w:p w14:paraId="17407C5B"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12 508</w:t>
            </w:r>
          </w:p>
        </w:tc>
        <w:tc>
          <w:tcPr>
            <w:tcW w:w="696" w:type="dxa"/>
            <w:vAlign w:val="center"/>
          </w:tcPr>
          <w:p w14:paraId="1FEF5F8A"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571</w:t>
            </w:r>
          </w:p>
        </w:tc>
        <w:tc>
          <w:tcPr>
            <w:tcW w:w="741" w:type="dxa"/>
            <w:vAlign w:val="center"/>
          </w:tcPr>
          <w:p w14:paraId="3D30F89D"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13 079</w:t>
            </w:r>
          </w:p>
        </w:tc>
        <w:tc>
          <w:tcPr>
            <w:tcW w:w="836" w:type="dxa"/>
            <w:vAlign w:val="center"/>
          </w:tcPr>
          <w:p w14:paraId="1ABE83D1"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7 056</w:t>
            </w:r>
          </w:p>
        </w:tc>
        <w:tc>
          <w:tcPr>
            <w:tcW w:w="639" w:type="dxa"/>
            <w:vAlign w:val="center"/>
          </w:tcPr>
          <w:p w14:paraId="19D3A82B"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537</w:t>
            </w:r>
          </w:p>
        </w:tc>
        <w:tc>
          <w:tcPr>
            <w:tcW w:w="730" w:type="dxa"/>
            <w:vAlign w:val="center"/>
          </w:tcPr>
          <w:p w14:paraId="67E738C9"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7 593</w:t>
            </w:r>
          </w:p>
        </w:tc>
        <w:tc>
          <w:tcPr>
            <w:tcW w:w="1909" w:type="dxa"/>
            <w:vAlign w:val="center"/>
          </w:tcPr>
          <w:p w14:paraId="2C7A5595"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5,4 %</w:t>
            </w:r>
          </w:p>
        </w:tc>
      </w:tr>
      <w:tr w:rsidR="00E67CE3" w:rsidRPr="00CE357F" w14:paraId="12F46CAE" w14:textId="77777777" w:rsidTr="00E67CE3">
        <w:trPr>
          <w:trHeight w:val="204"/>
        </w:trPr>
        <w:tc>
          <w:tcPr>
            <w:tcW w:w="1061" w:type="dxa"/>
            <w:shd w:val="clear" w:color="auto" w:fill="D9E2F3" w:themeFill="accent1" w:themeFillTint="33"/>
            <w:vAlign w:val="center"/>
          </w:tcPr>
          <w:p w14:paraId="530884B8"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2008</w:t>
            </w:r>
          </w:p>
        </w:tc>
        <w:tc>
          <w:tcPr>
            <w:tcW w:w="1515" w:type="dxa"/>
            <w:vAlign w:val="center"/>
          </w:tcPr>
          <w:p w14:paraId="08D86CAD"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17 356</w:t>
            </w:r>
          </w:p>
        </w:tc>
        <w:tc>
          <w:tcPr>
            <w:tcW w:w="692" w:type="dxa"/>
            <w:vAlign w:val="center"/>
          </w:tcPr>
          <w:p w14:paraId="71CDD68D"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10 670</w:t>
            </w:r>
          </w:p>
        </w:tc>
        <w:tc>
          <w:tcPr>
            <w:tcW w:w="696" w:type="dxa"/>
            <w:vAlign w:val="center"/>
          </w:tcPr>
          <w:p w14:paraId="00ACD7C9"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475</w:t>
            </w:r>
          </w:p>
        </w:tc>
        <w:tc>
          <w:tcPr>
            <w:tcW w:w="741" w:type="dxa"/>
            <w:vAlign w:val="center"/>
          </w:tcPr>
          <w:p w14:paraId="01DEF78A"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11 145</w:t>
            </w:r>
          </w:p>
        </w:tc>
        <w:tc>
          <w:tcPr>
            <w:tcW w:w="836" w:type="dxa"/>
            <w:vAlign w:val="center"/>
          </w:tcPr>
          <w:p w14:paraId="61CB217A"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5 778</w:t>
            </w:r>
          </w:p>
        </w:tc>
        <w:tc>
          <w:tcPr>
            <w:tcW w:w="639" w:type="dxa"/>
            <w:vAlign w:val="center"/>
          </w:tcPr>
          <w:p w14:paraId="48D04170"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433</w:t>
            </w:r>
          </w:p>
        </w:tc>
        <w:tc>
          <w:tcPr>
            <w:tcW w:w="730" w:type="dxa"/>
            <w:vAlign w:val="center"/>
          </w:tcPr>
          <w:p w14:paraId="786B376E" w14:textId="77777777" w:rsidR="00E67CE3" w:rsidRPr="00CE357F" w:rsidRDefault="00E67CE3" w:rsidP="00E67CE3">
            <w:pPr>
              <w:jc w:val="center"/>
              <w:rPr>
                <w:rFonts w:ascii="Arial Narrow" w:hAnsi="Arial Narrow" w:cs="Arial"/>
                <w:sz w:val="18"/>
                <w:szCs w:val="18"/>
              </w:rPr>
            </w:pPr>
            <w:r w:rsidRPr="00CE357F">
              <w:rPr>
                <w:rFonts w:ascii="Arial Narrow" w:hAnsi="Arial Narrow"/>
                <w:sz w:val="18"/>
                <w:szCs w:val="18"/>
              </w:rPr>
              <w:t>6 211</w:t>
            </w:r>
          </w:p>
        </w:tc>
        <w:tc>
          <w:tcPr>
            <w:tcW w:w="1909" w:type="dxa"/>
            <w:vAlign w:val="center"/>
          </w:tcPr>
          <w:p w14:paraId="443A7DAF" w14:textId="77777777"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5,2 %</w:t>
            </w:r>
          </w:p>
        </w:tc>
      </w:tr>
      <w:tr w:rsidR="00E67CE3" w:rsidRPr="00CE357F" w14:paraId="31D6CCE5" w14:textId="77777777" w:rsidTr="00E67CE3">
        <w:trPr>
          <w:trHeight w:val="204"/>
        </w:trPr>
        <w:tc>
          <w:tcPr>
            <w:tcW w:w="1061" w:type="dxa"/>
            <w:shd w:val="clear" w:color="auto" w:fill="D9E2F3" w:themeFill="accent1" w:themeFillTint="33"/>
            <w:vAlign w:val="center"/>
          </w:tcPr>
          <w:p w14:paraId="45FA1B57"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2007</w:t>
            </w:r>
          </w:p>
        </w:tc>
        <w:tc>
          <w:tcPr>
            <w:tcW w:w="1515" w:type="dxa"/>
            <w:vAlign w:val="center"/>
          </w:tcPr>
          <w:p w14:paraId="26F7A110" w14:textId="77777777" w:rsidR="00E67CE3" w:rsidRPr="005C4492" w:rsidRDefault="00E67CE3" w:rsidP="00E67CE3">
            <w:pPr>
              <w:jc w:val="center"/>
              <w:rPr>
                <w:rFonts w:ascii="Arial Narrow" w:hAnsi="Arial Narrow" w:cs="Arial"/>
                <w:sz w:val="18"/>
                <w:szCs w:val="18"/>
              </w:rPr>
            </w:pPr>
            <w:r w:rsidRPr="005C4492">
              <w:rPr>
                <w:rFonts w:ascii="Arial Narrow" w:hAnsi="Arial Narrow"/>
                <w:sz w:val="18"/>
                <w:szCs w:val="18"/>
              </w:rPr>
              <w:t>14 704</w:t>
            </w:r>
          </w:p>
        </w:tc>
        <w:tc>
          <w:tcPr>
            <w:tcW w:w="692" w:type="dxa"/>
            <w:vAlign w:val="center"/>
          </w:tcPr>
          <w:p w14:paraId="04EAAF18" w14:textId="2A101699"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w:t>
            </w:r>
          </w:p>
        </w:tc>
        <w:tc>
          <w:tcPr>
            <w:tcW w:w="696" w:type="dxa"/>
            <w:vAlign w:val="center"/>
          </w:tcPr>
          <w:p w14:paraId="3A4BDBC0" w14:textId="146A3CC9"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w:t>
            </w:r>
          </w:p>
        </w:tc>
        <w:tc>
          <w:tcPr>
            <w:tcW w:w="741" w:type="dxa"/>
            <w:vAlign w:val="center"/>
          </w:tcPr>
          <w:p w14:paraId="0B3A18CA" w14:textId="77777777" w:rsidR="00E67CE3" w:rsidRPr="00CE357F" w:rsidRDefault="00E67CE3" w:rsidP="00E67CE3">
            <w:pPr>
              <w:jc w:val="center"/>
              <w:rPr>
                <w:rFonts w:ascii="Arial Narrow" w:hAnsi="Arial Narrow" w:cs="Arial"/>
                <w:sz w:val="18"/>
                <w:szCs w:val="18"/>
              </w:rPr>
            </w:pPr>
            <w:r w:rsidRPr="00CE357F">
              <w:rPr>
                <w:rFonts w:ascii="Arial Narrow" w:hAnsi="Arial Narrow" w:cs="Arial"/>
                <w:sz w:val="18"/>
                <w:szCs w:val="18"/>
              </w:rPr>
              <w:t>9 592</w:t>
            </w:r>
          </w:p>
        </w:tc>
        <w:tc>
          <w:tcPr>
            <w:tcW w:w="836" w:type="dxa"/>
            <w:vAlign w:val="center"/>
          </w:tcPr>
          <w:p w14:paraId="4ED5AE29" w14:textId="4C1C636A"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w:t>
            </w:r>
          </w:p>
        </w:tc>
        <w:tc>
          <w:tcPr>
            <w:tcW w:w="639" w:type="dxa"/>
            <w:vAlign w:val="center"/>
          </w:tcPr>
          <w:p w14:paraId="76873E3F" w14:textId="781EC686"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w:t>
            </w:r>
          </w:p>
        </w:tc>
        <w:tc>
          <w:tcPr>
            <w:tcW w:w="730" w:type="dxa"/>
            <w:vAlign w:val="center"/>
          </w:tcPr>
          <w:p w14:paraId="3D6BF18B" w14:textId="77777777"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5112</w:t>
            </w:r>
          </w:p>
        </w:tc>
        <w:tc>
          <w:tcPr>
            <w:tcW w:w="1909" w:type="dxa"/>
            <w:vAlign w:val="center"/>
          </w:tcPr>
          <w:p w14:paraId="711E48AB" w14:textId="6C504142"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w:t>
            </w:r>
          </w:p>
        </w:tc>
      </w:tr>
      <w:tr w:rsidR="00E67CE3" w:rsidRPr="00CE357F" w14:paraId="4B667354" w14:textId="77777777" w:rsidTr="00E67CE3">
        <w:trPr>
          <w:trHeight w:val="204"/>
        </w:trPr>
        <w:tc>
          <w:tcPr>
            <w:tcW w:w="1061" w:type="dxa"/>
            <w:shd w:val="clear" w:color="auto" w:fill="D9E2F3" w:themeFill="accent1" w:themeFillTint="33"/>
            <w:vAlign w:val="center"/>
          </w:tcPr>
          <w:p w14:paraId="187F41F0" w14:textId="77777777" w:rsidR="00E67CE3" w:rsidRPr="00CE357F" w:rsidRDefault="00E67CE3" w:rsidP="00E67CE3">
            <w:pPr>
              <w:jc w:val="center"/>
              <w:rPr>
                <w:rFonts w:ascii="Arial Narrow" w:hAnsi="Arial Narrow"/>
                <w:sz w:val="18"/>
                <w:szCs w:val="18"/>
              </w:rPr>
            </w:pPr>
            <w:r w:rsidRPr="00CE357F">
              <w:rPr>
                <w:rFonts w:ascii="Arial Narrow" w:hAnsi="Arial Narrow"/>
                <w:sz w:val="18"/>
                <w:szCs w:val="18"/>
              </w:rPr>
              <w:t>2006</w:t>
            </w:r>
          </w:p>
        </w:tc>
        <w:tc>
          <w:tcPr>
            <w:tcW w:w="1515" w:type="dxa"/>
            <w:vAlign w:val="center"/>
          </w:tcPr>
          <w:p w14:paraId="6511585F" w14:textId="77777777" w:rsidR="00E67CE3" w:rsidRPr="005C4492" w:rsidRDefault="00E67CE3" w:rsidP="00E67CE3">
            <w:pPr>
              <w:jc w:val="center"/>
              <w:rPr>
                <w:rFonts w:ascii="Arial Narrow" w:hAnsi="Arial Narrow"/>
                <w:sz w:val="18"/>
                <w:szCs w:val="18"/>
              </w:rPr>
            </w:pPr>
            <w:r w:rsidRPr="005C4492">
              <w:rPr>
                <w:rFonts w:ascii="Arial Narrow" w:hAnsi="Arial Narrow"/>
                <w:sz w:val="18"/>
                <w:szCs w:val="18"/>
              </w:rPr>
              <w:t>12 993</w:t>
            </w:r>
          </w:p>
        </w:tc>
        <w:tc>
          <w:tcPr>
            <w:tcW w:w="692" w:type="dxa"/>
            <w:vAlign w:val="center"/>
          </w:tcPr>
          <w:p w14:paraId="65781997" w14:textId="463FAE0B"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w:t>
            </w:r>
          </w:p>
        </w:tc>
        <w:tc>
          <w:tcPr>
            <w:tcW w:w="696" w:type="dxa"/>
            <w:vAlign w:val="center"/>
          </w:tcPr>
          <w:p w14:paraId="4B7A90F8" w14:textId="1404BA42"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w:t>
            </w:r>
          </w:p>
        </w:tc>
        <w:tc>
          <w:tcPr>
            <w:tcW w:w="741" w:type="dxa"/>
            <w:vAlign w:val="center"/>
          </w:tcPr>
          <w:p w14:paraId="38184F23" w14:textId="77777777"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8 510</w:t>
            </w:r>
          </w:p>
        </w:tc>
        <w:tc>
          <w:tcPr>
            <w:tcW w:w="836" w:type="dxa"/>
            <w:vAlign w:val="center"/>
          </w:tcPr>
          <w:p w14:paraId="17A0D1C7" w14:textId="4FB30DE5"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w:t>
            </w:r>
          </w:p>
        </w:tc>
        <w:tc>
          <w:tcPr>
            <w:tcW w:w="639" w:type="dxa"/>
            <w:vAlign w:val="center"/>
          </w:tcPr>
          <w:p w14:paraId="0F9C6D87" w14:textId="2328F6EA"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w:t>
            </w:r>
          </w:p>
        </w:tc>
        <w:tc>
          <w:tcPr>
            <w:tcW w:w="730" w:type="dxa"/>
            <w:vAlign w:val="center"/>
          </w:tcPr>
          <w:p w14:paraId="7F228A4A" w14:textId="77777777" w:rsidR="00E67CE3" w:rsidRPr="00CE357F" w:rsidRDefault="00E67CE3" w:rsidP="00E67CE3">
            <w:pPr>
              <w:spacing w:after="46"/>
              <w:jc w:val="center"/>
              <w:rPr>
                <w:rFonts w:ascii="Arial Narrow" w:hAnsi="Arial Narrow"/>
                <w:sz w:val="18"/>
                <w:szCs w:val="18"/>
              </w:rPr>
            </w:pPr>
            <w:r w:rsidRPr="00CE357F">
              <w:rPr>
                <w:rFonts w:ascii="Arial Narrow" w:hAnsi="Arial Narrow"/>
                <w:sz w:val="18"/>
                <w:szCs w:val="18"/>
              </w:rPr>
              <w:t>4 483</w:t>
            </w:r>
          </w:p>
        </w:tc>
        <w:tc>
          <w:tcPr>
            <w:tcW w:w="1909" w:type="dxa"/>
            <w:vAlign w:val="center"/>
          </w:tcPr>
          <w:p w14:paraId="6B202633" w14:textId="5DE47EB4" w:rsidR="00E67CE3" w:rsidRPr="00CE357F" w:rsidRDefault="00E67CE3" w:rsidP="00E67CE3">
            <w:pPr>
              <w:jc w:val="center"/>
              <w:rPr>
                <w:rFonts w:ascii="Arial Narrow" w:hAnsi="Arial Narrow"/>
                <w:b/>
                <w:color w:val="C00000"/>
                <w:sz w:val="18"/>
                <w:szCs w:val="18"/>
              </w:rPr>
            </w:pPr>
            <w:r w:rsidRPr="00CE357F">
              <w:rPr>
                <w:rFonts w:ascii="Arial Narrow" w:hAnsi="Arial Narrow"/>
                <w:b/>
                <w:color w:val="C00000"/>
                <w:sz w:val="18"/>
                <w:szCs w:val="18"/>
              </w:rPr>
              <w:t>-</w:t>
            </w:r>
          </w:p>
        </w:tc>
      </w:tr>
    </w:tbl>
    <w:p w14:paraId="058C7B40" w14:textId="2818D887" w:rsidR="00B604D8" w:rsidRPr="001333A8" w:rsidRDefault="00EA186A" w:rsidP="001333A8">
      <w:pPr>
        <w:spacing w:after="240"/>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35997CC4" w14:textId="5CA366DD" w:rsidR="00EA186A" w:rsidRPr="00CE357F" w:rsidRDefault="00EA186A" w:rsidP="00EA186A">
      <w:pPr>
        <w:spacing w:after="240" w:line="276" w:lineRule="auto"/>
        <w:rPr>
          <w:rFonts w:ascii="Arial Narrow" w:hAnsi="Arial Narrow"/>
          <w:b/>
          <w:bCs/>
          <w:color w:val="C00000"/>
        </w:rPr>
      </w:pPr>
      <w:r w:rsidRPr="00CE357F">
        <w:rPr>
          <w:rFonts w:ascii="Arial Narrow" w:hAnsi="Arial Narrow"/>
          <w:b/>
          <w:bCs/>
          <w:color w:val="C00000"/>
        </w:rPr>
        <w:t>Osoby s jinou než českou státní příslušností v ORP Brno</w:t>
      </w:r>
      <w:r w:rsidR="00C50D20" w:rsidRPr="00CE357F">
        <w:rPr>
          <w:rFonts w:ascii="Arial Narrow" w:hAnsi="Arial Narrow"/>
          <w:b/>
          <w:bCs/>
          <w:color w:val="C00000"/>
        </w:rPr>
        <w:t xml:space="preserve"> v letech 2021</w:t>
      </w:r>
      <w:r w:rsidR="00DF2419">
        <w:rPr>
          <w:rFonts w:ascii="Arial Narrow" w:hAnsi="Arial Narrow"/>
          <w:b/>
          <w:bCs/>
          <w:color w:val="C00000"/>
        </w:rPr>
        <w:t>, 2022</w:t>
      </w:r>
      <w:r w:rsidR="00C50D20" w:rsidRPr="00CE357F">
        <w:rPr>
          <w:rFonts w:ascii="Arial Narrow" w:hAnsi="Arial Narrow"/>
          <w:b/>
          <w:bCs/>
          <w:color w:val="C00000"/>
        </w:rPr>
        <w:t xml:space="preserve"> a 2</w:t>
      </w:r>
      <w:r w:rsidRPr="00CE357F">
        <w:rPr>
          <w:rFonts w:ascii="Arial Narrow" w:hAnsi="Arial Narrow"/>
          <w:b/>
          <w:bCs/>
          <w:color w:val="C00000"/>
        </w:rPr>
        <w:t>02</w:t>
      </w:r>
      <w:r w:rsidR="00DF2419">
        <w:rPr>
          <w:rFonts w:ascii="Arial Narrow" w:hAnsi="Arial Narrow"/>
          <w:b/>
          <w:bCs/>
          <w:color w:val="C00000"/>
        </w:rPr>
        <w:t>3</w:t>
      </w:r>
    </w:p>
    <w:p w14:paraId="0A9BC991" w14:textId="48F745D3" w:rsidR="00EA186A" w:rsidRPr="00CE357F" w:rsidRDefault="00EA186A" w:rsidP="00C50D20">
      <w:pPr>
        <w:spacing w:after="240" w:line="276" w:lineRule="auto"/>
        <w:jc w:val="both"/>
        <w:rPr>
          <w:rFonts w:ascii="Arial Narrow" w:hAnsi="Arial Narrow"/>
          <w:bCs/>
        </w:rPr>
      </w:pPr>
      <w:r w:rsidRPr="00CE357F">
        <w:rPr>
          <w:rFonts w:ascii="Arial Narrow" w:hAnsi="Arial Narrow"/>
          <w:bCs/>
        </w:rPr>
        <w:t xml:space="preserve">Tato kapitola podrobně mapuje počet osob s jinou než českou státní příslušností ve vybraných obcí ORP Brno </w:t>
      </w:r>
      <w:r w:rsidR="00C50D20" w:rsidRPr="00CE357F">
        <w:rPr>
          <w:rFonts w:ascii="Arial Narrow" w:hAnsi="Arial Narrow"/>
          <w:bCs/>
        </w:rPr>
        <w:t>v letech 2021</w:t>
      </w:r>
      <w:r w:rsidR="00DF2419">
        <w:rPr>
          <w:rFonts w:ascii="Arial Narrow" w:hAnsi="Arial Narrow"/>
          <w:bCs/>
        </w:rPr>
        <w:t>, 2022</w:t>
      </w:r>
      <w:r w:rsidR="00C50D20" w:rsidRPr="00CE357F">
        <w:rPr>
          <w:rFonts w:ascii="Arial Narrow" w:hAnsi="Arial Narrow"/>
          <w:bCs/>
        </w:rPr>
        <w:t xml:space="preserve"> a </w:t>
      </w:r>
      <w:r w:rsidRPr="00CE357F">
        <w:rPr>
          <w:rFonts w:ascii="Arial Narrow" w:hAnsi="Arial Narrow"/>
          <w:bCs/>
        </w:rPr>
        <w:t>202</w:t>
      </w:r>
      <w:r w:rsidR="00DF2419">
        <w:rPr>
          <w:rFonts w:ascii="Arial Narrow" w:hAnsi="Arial Narrow"/>
          <w:bCs/>
        </w:rPr>
        <w:t>3</w:t>
      </w:r>
      <w:r w:rsidRPr="00CE357F">
        <w:rPr>
          <w:rFonts w:ascii="Arial Narrow" w:hAnsi="Arial Narrow"/>
          <w:bCs/>
        </w:rPr>
        <w:t xml:space="preserve"> dle věku, pohlaví a podílu těchto osob na celkovém počtu obyvatel daných obcí. </w:t>
      </w:r>
    </w:p>
    <w:p w14:paraId="159083B7" w14:textId="2E0C2207" w:rsidR="00EA186A" w:rsidRPr="00CE357F" w:rsidRDefault="00D62C17" w:rsidP="00EA186A">
      <w:pPr>
        <w:spacing w:line="276" w:lineRule="auto"/>
        <w:rPr>
          <w:rFonts w:ascii="Arial Narrow" w:hAnsi="Arial Narrow"/>
          <w:b/>
          <w:bCs/>
          <w:color w:val="000000" w:themeColor="text1"/>
        </w:rPr>
      </w:pPr>
      <w:r w:rsidRPr="00CE357F">
        <w:rPr>
          <w:rFonts w:ascii="Arial Narrow" w:hAnsi="Arial Narrow"/>
          <w:b/>
          <w:bCs/>
          <w:color w:val="000000" w:themeColor="text1"/>
        </w:rPr>
        <w:t>Osoby s jinou než českou státní příslušností</w:t>
      </w:r>
      <w:r w:rsidR="00EA186A" w:rsidRPr="00CE357F">
        <w:rPr>
          <w:rFonts w:ascii="Arial Narrow" w:hAnsi="Arial Narrow"/>
          <w:b/>
          <w:bCs/>
          <w:color w:val="000000" w:themeColor="text1"/>
        </w:rPr>
        <w:t xml:space="preserve"> v ORP Brno k datu 1. 1. 2021</w:t>
      </w:r>
    </w:p>
    <w:p w14:paraId="6419B442" w14:textId="77777777" w:rsidR="00EA186A" w:rsidRPr="00CE357F" w:rsidRDefault="00EA186A" w:rsidP="00EA186A">
      <w:pPr>
        <w:spacing w:line="276" w:lineRule="auto"/>
        <w:rPr>
          <w:rFonts w:ascii="Arial Narrow" w:hAnsi="Arial Narrow"/>
          <w:b/>
          <w:bCs/>
        </w:rPr>
      </w:pPr>
    </w:p>
    <w:p w14:paraId="204B9120" w14:textId="475F3850" w:rsidR="00EA186A" w:rsidRDefault="00EA186A" w:rsidP="00D62C17">
      <w:pPr>
        <w:spacing w:after="120" w:line="276" w:lineRule="auto"/>
        <w:jc w:val="both"/>
        <w:rPr>
          <w:rFonts w:ascii="Arial Narrow" w:hAnsi="Arial Narrow"/>
          <w:color w:val="000000"/>
        </w:rPr>
      </w:pPr>
      <w:r w:rsidRPr="7CC7BF57">
        <w:rPr>
          <w:rFonts w:ascii="Arial Narrow" w:hAnsi="Arial Narrow"/>
          <w:color w:val="000000" w:themeColor="text1"/>
        </w:rPr>
        <w:t>V ORP Brno žilo k datu 1. 1. 2021 celkem 34 203 osob s jinou než českou státní příslušností, tedy o 2 406 osob více než k 1. 1. 2020. Osoby s jinou než českou státní příslušností tvořil</w:t>
      </w:r>
      <w:r w:rsidR="00D62C17" w:rsidRPr="7CC7BF57">
        <w:rPr>
          <w:rFonts w:ascii="Arial Narrow" w:hAnsi="Arial Narrow"/>
          <w:color w:val="000000" w:themeColor="text1"/>
        </w:rPr>
        <w:t>y</w:t>
      </w:r>
      <w:r w:rsidRPr="7CC7BF57">
        <w:rPr>
          <w:rFonts w:ascii="Arial Narrow" w:hAnsi="Arial Narrow"/>
          <w:color w:val="000000" w:themeColor="text1"/>
        </w:rPr>
        <w:t xml:space="preserve"> k tomuto datu 9,1 % všech obyvatel ORP Brno. Nejvyšší podíl </w:t>
      </w:r>
      <w:r w:rsidR="00D62C17" w:rsidRPr="7CC7BF57">
        <w:rPr>
          <w:rFonts w:ascii="Arial Narrow" w:hAnsi="Arial Narrow"/>
          <w:color w:val="000000" w:themeColor="text1"/>
        </w:rPr>
        <w:t>těchto osob</w:t>
      </w:r>
      <w:r w:rsidRPr="7CC7BF57">
        <w:rPr>
          <w:rFonts w:ascii="Arial Narrow" w:hAnsi="Arial Narrow"/>
          <w:color w:val="000000" w:themeColor="text1"/>
        </w:rPr>
        <w:t xml:space="preserve"> na celkovém počtu obyvatel v dané městské části byl, stejně jako v předchozím roce, v městské části Brno-jih, kde osoby s jinou než českou státní příslušností tvořil</w:t>
      </w:r>
      <w:r w:rsidR="00D62C17" w:rsidRPr="7CC7BF57">
        <w:rPr>
          <w:rFonts w:ascii="Arial Narrow" w:hAnsi="Arial Narrow"/>
          <w:color w:val="000000" w:themeColor="text1"/>
        </w:rPr>
        <w:t>y</w:t>
      </w:r>
      <w:r w:rsidRPr="7CC7BF57">
        <w:rPr>
          <w:rFonts w:ascii="Arial Narrow" w:hAnsi="Arial Narrow"/>
          <w:color w:val="000000" w:themeColor="text1"/>
        </w:rPr>
        <w:t xml:space="preserve"> 30,7 % všech obyvatel. Druhý nejvyšší podíl osob s jinou než českou státní příslušností byl evidován v městských částech Brno-</w:t>
      </w:r>
      <w:r w:rsidR="35342D4B" w:rsidRPr="7CC7BF57">
        <w:rPr>
          <w:rFonts w:ascii="Arial Narrow" w:hAnsi="Arial Narrow"/>
          <w:color w:val="000000" w:themeColor="text1"/>
        </w:rPr>
        <w:t>S</w:t>
      </w:r>
      <w:r w:rsidRPr="7CC7BF57">
        <w:rPr>
          <w:rFonts w:ascii="Arial Narrow" w:hAnsi="Arial Narrow"/>
          <w:color w:val="000000" w:themeColor="text1"/>
        </w:rPr>
        <w:t xml:space="preserve">latina a Brno-Černovice (16,0 % v každé městské části). </w:t>
      </w:r>
      <w:r w:rsidRPr="00CE357F">
        <w:rPr>
          <w:rFonts w:ascii="Arial Narrow" w:hAnsi="Arial Narrow"/>
          <w:color w:val="000000"/>
        </w:rPr>
        <w:t>Počty osob s jinou než českou státní příslušností na území jednotlivých městských částí ORP včetně rozdělení těchto osob podle pohlaví a věku podrobně dokumentuje tabulka</w:t>
      </w:r>
      <w:r w:rsidR="001333A8">
        <w:rPr>
          <w:rFonts w:ascii="Arial Narrow" w:hAnsi="Arial Narrow"/>
          <w:color w:val="000000"/>
        </w:rPr>
        <w:t xml:space="preserve"> č. 34</w:t>
      </w:r>
      <w:r w:rsidRPr="00CE357F">
        <w:rPr>
          <w:rFonts w:ascii="Arial Narrow" w:hAnsi="Arial Narrow"/>
          <w:color w:val="000000"/>
        </w:rPr>
        <w:t>.</w:t>
      </w:r>
    </w:p>
    <w:p w14:paraId="1470F670" w14:textId="3FDF0C0A" w:rsidR="00EA186A" w:rsidRPr="00CE357F" w:rsidRDefault="00EA186A" w:rsidP="00EA186A">
      <w:pPr>
        <w:jc w:val="both"/>
        <w:rPr>
          <w:rFonts w:ascii="Arial Narrow" w:hAnsi="Arial Narrow"/>
          <w:b/>
          <w:sz w:val="24"/>
        </w:rPr>
      </w:pPr>
      <w:bookmarkStart w:id="645" w:name="_Toc136429245"/>
      <w:r w:rsidRPr="00CE357F">
        <w:rPr>
          <w:rFonts w:ascii="Arial Narrow" w:hAnsi="Arial Narrow"/>
          <w:b/>
          <w:bCs/>
          <w:sz w:val="20"/>
          <w:szCs w:val="18"/>
        </w:rPr>
        <w:t xml:space="preserve">Tabulka </w:t>
      </w:r>
      <w:r w:rsidRPr="00CE357F">
        <w:rPr>
          <w:rFonts w:ascii="Arial Narrow" w:hAnsi="Arial Narrow"/>
          <w:b/>
          <w:bCs/>
          <w:sz w:val="20"/>
          <w:szCs w:val="18"/>
        </w:rPr>
        <w:fldChar w:fldCharType="begin"/>
      </w:r>
      <w:r w:rsidRPr="00CE357F">
        <w:rPr>
          <w:rFonts w:ascii="Arial Narrow" w:hAnsi="Arial Narrow"/>
          <w:b/>
          <w:bCs/>
          <w:sz w:val="20"/>
          <w:szCs w:val="18"/>
        </w:rPr>
        <w:instrText xml:space="preserve"> SEQ Tabulka \* ARABIC </w:instrText>
      </w:r>
      <w:r w:rsidRPr="00CE357F">
        <w:rPr>
          <w:rFonts w:ascii="Arial Narrow" w:hAnsi="Arial Narrow"/>
          <w:b/>
          <w:bCs/>
          <w:sz w:val="20"/>
          <w:szCs w:val="18"/>
        </w:rPr>
        <w:fldChar w:fldCharType="separate"/>
      </w:r>
      <w:r w:rsidR="00256C97">
        <w:rPr>
          <w:rFonts w:ascii="Arial Narrow" w:hAnsi="Arial Narrow"/>
          <w:b/>
          <w:bCs/>
          <w:noProof/>
          <w:sz w:val="20"/>
          <w:szCs w:val="18"/>
        </w:rPr>
        <w:t>34</w:t>
      </w:r>
      <w:r w:rsidRPr="00CE357F">
        <w:rPr>
          <w:rFonts w:ascii="Arial Narrow" w:hAnsi="Arial Narrow"/>
          <w:b/>
          <w:bCs/>
          <w:sz w:val="20"/>
          <w:szCs w:val="18"/>
        </w:rPr>
        <w:fldChar w:fldCharType="end"/>
      </w:r>
      <w:r w:rsidRPr="00CE357F">
        <w:rPr>
          <w:rFonts w:ascii="Arial Narrow" w:hAnsi="Arial Narrow"/>
          <w:b/>
          <w:bCs/>
          <w:sz w:val="20"/>
          <w:szCs w:val="18"/>
        </w:rPr>
        <w:t xml:space="preserve">:  </w:t>
      </w:r>
      <w:r w:rsidRPr="00CE357F">
        <w:rPr>
          <w:rFonts w:ascii="Arial Narrow" w:eastAsia="Times New Roman" w:hAnsi="Arial Narrow" w:cs="Arial"/>
          <w:b/>
          <w:bCs/>
          <w:sz w:val="20"/>
          <w:szCs w:val="18"/>
          <w:lang w:eastAsia="cs-CZ"/>
        </w:rPr>
        <w:t xml:space="preserve">Podíl osob s jinou než českou státní příslušností na celkovém počtu obyvatel městských částí ORP Brno </w:t>
      </w:r>
      <w:r w:rsidR="00765AAA">
        <w:rPr>
          <w:rFonts w:ascii="Arial Narrow" w:eastAsia="Times New Roman" w:hAnsi="Arial Narrow" w:cs="Arial"/>
          <w:b/>
          <w:bCs/>
          <w:sz w:val="20"/>
          <w:szCs w:val="18"/>
          <w:lang w:eastAsia="cs-CZ"/>
        </w:rPr>
        <w:t>k datu 1. 1.</w:t>
      </w:r>
      <w:r w:rsidRPr="00CE357F">
        <w:rPr>
          <w:rFonts w:ascii="Arial Narrow" w:eastAsia="Times New Roman" w:hAnsi="Arial Narrow" w:cs="Arial"/>
          <w:b/>
          <w:bCs/>
          <w:sz w:val="20"/>
          <w:szCs w:val="18"/>
          <w:lang w:eastAsia="cs-CZ"/>
        </w:rPr>
        <w:t xml:space="preserve"> 2021</w:t>
      </w:r>
      <w:bookmarkEnd w:id="645"/>
    </w:p>
    <w:tbl>
      <w:tblPr>
        <w:tblW w:w="4949"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55"/>
        <w:gridCol w:w="850"/>
        <w:gridCol w:w="992"/>
        <w:gridCol w:w="1418"/>
        <w:gridCol w:w="744"/>
        <w:gridCol w:w="676"/>
        <w:gridCol w:w="717"/>
        <w:gridCol w:w="567"/>
        <w:gridCol w:w="129"/>
        <w:gridCol w:w="563"/>
        <w:gridCol w:w="759"/>
      </w:tblGrid>
      <w:tr w:rsidR="00EA186A" w:rsidRPr="00CE357F" w14:paraId="0988B458" w14:textId="77777777" w:rsidTr="00D60753">
        <w:trPr>
          <w:trHeight w:val="202"/>
          <w:jc w:val="center"/>
        </w:trPr>
        <w:tc>
          <w:tcPr>
            <w:tcW w:w="1555" w:type="dxa"/>
            <w:vMerge w:val="restart"/>
            <w:shd w:val="clear" w:color="auto" w:fill="D9E2F3" w:themeFill="accent1" w:themeFillTint="33"/>
            <w:vAlign w:val="center"/>
          </w:tcPr>
          <w:p w14:paraId="4CAAD930"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sz w:val="18"/>
                <w:szCs w:val="18"/>
                <w:lang w:eastAsia="cs-CZ"/>
              </w:rPr>
              <w:t>Název MČ</w:t>
            </w:r>
          </w:p>
        </w:tc>
        <w:tc>
          <w:tcPr>
            <w:tcW w:w="850" w:type="dxa"/>
            <w:vMerge w:val="restart"/>
            <w:shd w:val="clear" w:color="auto" w:fill="D9E2F3" w:themeFill="accent1" w:themeFillTint="33"/>
            <w:vAlign w:val="center"/>
          </w:tcPr>
          <w:p w14:paraId="515AF09C" w14:textId="77777777" w:rsidR="00EA186A" w:rsidRPr="00CE357F" w:rsidRDefault="00EA186A" w:rsidP="00EA186A">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Celkem obyvatel</w:t>
            </w:r>
          </w:p>
        </w:tc>
        <w:tc>
          <w:tcPr>
            <w:tcW w:w="992" w:type="dxa"/>
            <w:vMerge w:val="restart"/>
            <w:shd w:val="clear" w:color="auto" w:fill="D9E2F3" w:themeFill="accent1" w:themeFillTint="33"/>
            <w:vAlign w:val="center"/>
          </w:tcPr>
          <w:p w14:paraId="28CD7946" w14:textId="77777777" w:rsidR="00EA186A" w:rsidRPr="00CE357F" w:rsidRDefault="00EA186A" w:rsidP="00EA186A">
            <w:pPr>
              <w:jc w:val="center"/>
              <w:rPr>
                <w:rFonts w:ascii="Arial Narrow" w:hAnsi="Arial Narrow"/>
                <w:sz w:val="18"/>
                <w:szCs w:val="18"/>
              </w:rPr>
            </w:pPr>
            <w:r w:rsidRPr="00CE357F">
              <w:rPr>
                <w:rFonts w:ascii="Arial Narrow" w:hAnsi="Arial Narrow"/>
                <w:bCs/>
                <w:color w:val="000000"/>
                <w:sz w:val="18"/>
                <w:szCs w:val="18"/>
              </w:rPr>
              <w:t>Osoby s jinou než českou státní příslušností</w:t>
            </w:r>
            <w:r w:rsidRPr="00CE357F">
              <w:rPr>
                <w:rFonts w:ascii="Arial Narrow" w:eastAsia="Times New Roman" w:hAnsi="Arial Narrow" w:cs="Arial"/>
                <w:bCs/>
                <w:sz w:val="18"/>
                <w:szCs w:val="18"/>
                <w:lang w:eastAsia="cs-CZ"/>
              </w:rPr>
              <w:t xml:space="preserve"> celkem</w:t>
            </w:r>
          </w:p>
        </w:tc>
        <w:tc>
          <w:tcPr>
            <w:tcW w:w="1418" w:type="dxa"/>
            <w:vMerge w:val="restart"/>
            <w:shd w:val="clear" w:color="auto" w:fill="D9E2F3" w:themeFill="accent1" w:themeFillTint="33"/>
            <w:vAlign w:val="center"/>
          </w:tcPr>
          <w:p w14:paraId="6DB23BC8" w14:textId="77777777" w:rsidR="00EA186A" w:rsidRPr="00CE357F" w:rsidRDefault="00EA186A" w:rsidP="00EA186A">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 xml:space="preserve">Podíl </w:t>
            </w:r>
            <w:r w:rsidRPr="00CE357F">
              <w:rPr>
                <w:rFonts w:ascii="Arial Narrow" w:hAnsi="Arial Narrow"/>
                <w:bCs/>
                <w:color w:val="000000"/>
                <w:sz w:val="18"/>
                <w:szCs w:val="18"/>
              </w:rPr>
              <w:t>osob s jinou než českou státní příslušností</w:t>
            </w:r>
            <w:r w:rsidRPr="00CE357F">
              <w:rPr>
                <w:rFonts w:ascii="Arial Narrow" w:eastAsia="Times New Roman" w:hAnsi="Arial Narrow" w:cs="Arial"/>
                <w:bCs/>
                <w:sz w:val="18"/>
                <w:szCs w:val="18"/>
                <w:lang w:eastAsia="cs-CZ"/>
              </w:rPr>
              <w:t xml:space="preserve"> na celkovém počtu obyvatel</w:t>
            </w:r>
          </w:p>
        </w:tc>
        <w:tc>
          <w:tcPr>
            <w:tcW w:w="2137" w:type="dxa"/>
            <w:gridSpan w:val="3"/>
            <w:shd w:val="clear" w:color="auto" w:fill="D9E2F3" w:themeFill="accent1" w:themeFillTint="33"/>
            <w:vAlign w:val="center"/>
          </w:tcPr>
          <w:p w14:paraId="69AC6130" w14:textId="77777777" w:rsidR="00EA186A" w:rsidRPr="00CE357F" w:rsidRDefault="00EA186A" w:rsidP="00EA186A">
            <w:pPr>
              <w:jc w:val="center"/>
              <w:rPr>
                <w:rFonts w:ascii="Arial Narrow" w:hAnsi="Arial Narrow"/>
                <w:b/>
                <w:bCs/>
                <w:sz w:val="18"/>
                <w:szCs w:val="18"/>
              </w:rPr>
            </w:pPr>
            <w:r w:rsidRPr="00CE357F">
              <w:rPr>
                <w:rFonts w:ascii="Arial Narrow" w:eastAsia="Times New Roman" w:hAnsi="Arial Narrow" w:cs="Arial"/>
                <w:b/>
                <w:bCs/>
                <w:sz w:val="18"/>
                <w:szCs w:val="18"/>
                <w:lang w:eastAsia="cs-CZ"/>
              </w:rPr>
              <w:t>Muži</w:t>
            </w:r>
          </w:p>
        </w:tc>
        <w:tc>
          <w:tcPr>
            <w:tcW w:w="2018" w:type="dxa"/>
            <w:gridSpan w:val="4"/>
            <w:shd w:val="clear" w:color="auto" w:fill="D9E2F3" w:themeFill="accent1" w:themeFillTint="33"/>
            <w:vAlign w:val="center"/>
          </w:tcPr>
          <w:p w14:paraId="1519601B" w14:textId="77777777" w:rsidR="00EA186A" w:rsidRPr="00CE357F" w:rsidRDefault="00EA186A" w:rsidP="00EA186A">
            <w:pPr>
              <w:jc w:val="center"/>
              <w:rPr>
                <w:rFonts w:ascii="Arial Narrow" w:hAnsi="Arial Narrow"/>
                <w:b/>
                <w:bCs/>
                <w:sz w:val="18"/>
                <w:szCs w:val="18"/>
              </w:rPr>
            </w:pPr>
            <w:r w:rsidRPr="00CE357F">
              <w:rPr>
                <w:rFonts w:ascii="Arial Narrow" w:eastAsia="Times New Roman" w:hAnsi="Arial Narrow" w:cs="Arial"/>
                <w:b/>
                <w:bCs/>
                <w:sz w:val="18"/>
                <w:szCs w:val="18"/>
                <w:lang w:eastAsia="cs-CZ"/>
              </w:rPr>
              <w:t>Ženy</w:t>
            </w:r>
          </w:p>
        </w:tc>
      </w:tr>
      <w:tr w:rsidR="00EA186A" w:rsidRPr="00CE357F" w14:paraId="0B1DE2FB" w14:textId="77777777" w:rsidTr="00D60753">
        <w:trPr>
          <w:trHeight w:val="202"/>
          <w:jc w:val="center"/>
        </w:trPr>
        <w:tc>
          <w:tcPr>
            <w:tcW w:w="1555" w:type="dxa"/>
            <w:vMerge/>
            <w:shd w:val="clear" w:color="auto" w:fill="D9E2F3" w:themeFill="accent1" w:themeFillTint="33"/>
            <w:vAlign w:val="center"/>
          </w:tcPr>
          <w:p w14:paraId="5C7B40D9" w14:textId="77777777" w:rsidR="00EA186A" w:rsidRPr="00CE357F" w:rsidRDefault="00EA186A" w:rsidP="00EA186A">
            <w:pPr>
              <w:jc w:val="center"/>
              <w:rPr>
                <w:rFonts w:ascii="Arial Narrow" w:eastAsia="Times New Roman" w:hAnsi="Arial Narrow" w:cs="Arial"/>
                <w:b/>
                <w:bCs/>
                <w:sz w:val="18"/>
                <w:szCs w:val="18"/>
                <w:lang w:eastAsia="cs-CZ"/>
              </w:rPr>
            </w:pPr>
          </w:p>
        </w:tc>
        <w:tc>
          <w:tcPr>
            <w:tcW w:w="850" w:type="dxa"/>
            <w:vMerge/>
            <w:shd w:val="clear" w:color="auto" w:fill="D9E2F3" w:themeFill="accent1" w:themeFillTint="33"/>
            <w:vAlign w:val="center"/>
          </w:tcPr>
          <w:p w14:paraId="7F73BD77" w14:textId="77777777" w:rsidR="00EA186A" w:rsidRPr="00CE357F" w:rsidRDefault="00EA186A" w:rsidP="00EA186A">
            <w:pPr>
              <w:jc w:val="center"/>
              <w:rPr>
                <w:rFonts w:ascii="Arial Narrow" w:eastAsia="Times New Roman" w:hAnsi="Arial Narrow" w:cs="Arial"/>
                <w:b/>
                <w:bCs/>
                <w:sz w:val="18"/>
                <w:szCs w:val="18"/>
                <w:lang w:eastAsia="cs-CZ"/>
              </w:rPr>
            </w:pPr>
          </w:p>
        </w:tc>
        <w:tc>
          <w:tcPr>
            <w:tcW w:w="992" w:type="dxa"/>
            <w:vMerge/>
            <w:shd w:val="clear" w:color="auto" w:fill="D9E2F3" w:themeFill="accent1" w:themeFillTint="33"/>
            <w:vAlign w:val="center"/>
          </w:tcPr>
          <w:p w14:paraId="16386902" w14:textId="77777777" w:rsidR="00EA186A" w:rsidRPr="00CE357F" w:rsidRDefault="00EA186A" w:rsidP="00EA186A">
            <w:pPr>
              <w:jc w:val="center"/>
              <w:rPr>
                <w:rFonts w:ascii="Arial Narrow" w:eastAsia="Times New Roman" w:hAnsi="Arial Narrow" w:cs="Arial"/>
                <w:b/>
                <w:bCs/>
                <w:sz w:val="18"/>
                <w:szCs w:val="18"/>
                <w:lang w:eastAsia="cs-CZ"/>
              </w:rPr>
            </w:pPr>
          </w:p>
        </w:tc>
        <w:tc>
          <w:tcPr>
            <w:tcW w:w="1418" w:type="dxa"/>
            <w:vMerge/>
            <w:shd w:val="clear" w:color="auto" w:fill="D9E2F3" w:themeFill="accent1" w:themeFillTint="33"/>
            <w:vAlign w:val="center"/>
          </w:tcPr>
          <w:p w14:paraId="0D211F10" w14:textId="77777777" w:rsidR="00EA186A" w:rsidRPr="00CE357F" w:rsidRDefault="00EA186A" w:rsidP="00EA186A">
            <w:pPr>
              <w:jc w:val="center"/>
              <w:rPr>
                <w:rFonts w:ascii="Arial Narrow" w:eastAsia="Times New Roman" w:hAnsi="Arial Narrow" w:cs="Arial"/>
                <w:bCs/>
                <w:sz w:val="18"/>
                <w:szCs w:val="18"/>
                <w:lang w:eastAsia="cs-CZ"/>
              </w:rPr>
            </w:pPr>
          </w:p>
        </w:tc>
        <w:tc>
          <w:tcPr>
            <w:tcW w:w="744" w:type="dxa"/>
            <w:shd w:val="clear" w:color="auto" w:fill="D9E2F3" w:themeFill="accent1" w:themeFillTint="33"/>
            <w:vAlign w:val="center"/>
          </w:tcPr>
          <w:p w14:paraId="4AB1582B"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bCs/>
                <w:sz w:val="18"/>
                <w:szCs w:val="18"/>
                <w:lang w:eastAsia="cs-CZ"/>
              </w:rPr>
              <w:t>Nad 15</w:t>
            </w:r>
          </w:p>
        </w:tc>
        <w:tc>
          <w:tcPr>
            <w:tcW w:w="676" w:type="dxa"/>
            <w:shd w:val="clear" w:color="auto" w:fill="D9E2F3" w:themeFill="accent1" w:themeFillTint="33"/>
            <w:vAlign w:val="center"/>
          </w:tcPr>
          <w:p w14:paraId="10903BAC"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bCs/>
                <w:sz w:val="18"/>
                <w:szCs w:val="18"/>
                <w:lang w:eastAsia="cs-CZ"/>
              </w:rPr>
              <w:t>Do 15</w:t>
            </w:r>
          </w:p>
        </w:tc>
        <w:tc>
          <w:tcPr>
            <w:tcW w:w="717" w:type="dxa"/>
            <w:shd w:val="clear" w:color="auto" w:fill="D9E2F3" w:themeFill="accent1" w:themeFillTint="33"/>
            <w:vAlign w:val="center"/>
          </w:tcPr>
          <w:p w14:paraId="084DE4FE"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bCs/>
                <w:sz w:val="18"/>
                <w:szCs w:val="18"/>
                <w:lang w:eastAsia="cs-CZ"/>
              </w:rPr>
              <w:t>Celkem</w:t>
            </w:r>
          </w:p>
        </w:tc>
        <w:tc>
          <w:tcPr>
            <w:tcW w:w="567" w:type="dxa"/>
            <w:shd w:val="clear" w:color="auto" w:fill="D9E2F3" w:themeFill="accent1" w:themeFillTint="33"/>
            <w:vAlign w:val="center"/>
          </w:tcPr>
          <w:p w14:paraId="2F569DE5"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bCs/>
                <w:sz w:val="18"/>
                <w:szCs w:val="18"/>
                <w:lang w:eastAsia="cs-CZ"/>
              </w:rPr>
              <w:t>Nad 15</w:t>
            </w:r>
          </w:p>
        </w:tc>
        <w:tc>
          <w:tcPr>
            <w:tcW w:w="692" w:type="dxa"/>
            <w:gridSpan w:val="2"/>
            <w:shd w:val="clear" w:color="auto" w:fill="D9E2F3" w:themeFill="accent1" w:themeFillTint="33"/>
            <w:vAlign w:val="center"/>
          </w:tcPr>
          <w:p w14:paraId="28F427D2"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bCs/>
                <w:sz w:val="18"/>
                <w:szCs w:val="18"/>
                <w:lang w:eastAsia="cs-CZ"/>
              </w:rPr>
              <w:t>Do 15</w:t>
            </w:r>
          </w:p>
        </w:tc>
        <w:tc>
          <w:tcPr>
            <w:tcW w:w="759" w:type="dxa"/>
            <w:shd w:val="clear" w:color="auto" w:fill="D9E2F3" w:themeFill="accent1" w:themeFillTint="33"/>
            <w:vAlign w:val="center"/>
          </w:tcPr>
          <w:p w14:paraId="39A85DA9" w14:textId="77777777" w:rsidR="00EA186A" w:rsidRPr="00CE357F" w:rsidRDefault="00EA186A" w:rsidP="00EA186A">
            <w:pPr>
              <w:jc w:val="center"/>
              <w:rPr>
                <w:rFonts w:ascii="Arial Narrow" w:hAnsi="Arial Narrow"/>
                <w:sz w:val="18"/>
                <w:szCs w:val="18"/>
              </w:rPr>
            </w:pPr>
            <w:r w:rsidRPr="00CE357F">
              <w:rPr>
                <w:rFonts w:ascii="Arial Narrow" w:eastAsia="Times New Roman" w:hAnsi="Arial Narrow" w:cs="Arial"/>
                <w:bCs/>
                <w:sz w:val="18"/>
                <w:szCs w:val="18"/>
                <w:lang w:eastAsia="cs-CZ"/>
              </w:rPr>
              <w:t>Celkem</w:t>
            </w:r>
          </w:p>
        </w:tc>
      </w:tr>
      <w:tr w:rsidR="007B2C0D" w:rsidRPr="00CE357F" w14:paraId="5128317B" w14:textId="77777777" w:rsidTr="00D60753">
        <w:trPr>
          <w:trHeight w:val="202"/>
          <w:jc w:val="center"/>
        </w:trPr>
        <w:tc>
          <w:tcPr>
            <w:tcW w:w="1555" w:type="dxa"/>
            <w:shd w:val="clear" w:color="auto" w:fill="D9E2F3" w:themeFill="accent1" w:themeFillTint="33"/>
            <w:vAlign w:val="center"/>
          </w:tcPr>
          <w:p w14:paraId="4B67B28A"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Brno-jih</w:t>
            </w:r>
          </w:p>
        </w:tc>
        <w:tc>
          <w:tcPr>
            <w:tcW w:w="850" w:type="dxa"/>
            <w:vAlign w:val="center"/>
          </w:tcPr>
          <w:p w14:paraId="6439298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7 622</w:t>
            </w:r>
          </w:p>
        </w:tc>
        <w:tc>
          <w:tcPr>
            <w:tcW w:w="992" w:type="dxa"/>
            <w:vAlign w:val="center"/>
          </w:tcPr>
          <w:p w14:paraId="7FFA1DBD" w14:textId="7E6A1C56"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w:t>
            </w:r>
            <w:r w:rsidR="009730AB">
              <w:rPr>
                <w:rFonts w:ascii="Arial Narrow" w:hAnsi="Arial Narrow"/>
                <w:color w:val="000000"/>
                <w:sz w:val="18"/>
                <w:szCs w:val="18"/>
              </w:rPr>
              <w:t xml:space="preserve"> </w:t>
            </w:r>
            <w:r w:rsidRPr="00CE357F">
              <w:rPr>
                <w:rFonts w:ascii="Arial Narrow" w:hAnsi="Arial Narrow"/>
                <w:color w:val="000000"/>
                <w:sz w:val="18"/>
                <w:szCs w:val="18"/>
              </w:rPr>
              <w:t>338</w:t>
            </w:r>
          </w:p>
        </w:tc>
        <w:tc>
          <w:tcPr>
            <w:tcW w:w="1418" w:type="dxa"/>
            <w:vAlign w:val="center"/>
          </w:tcPr>
          <w:p w14:paraId="3953E0BC" w14:textId="77777777" w:rsidR="007B2C0D" w:rsidRPr="00CE357F" w:rsidRDefault="007B2C0D" w:rsidP="00EA186A">
            <w:pPr>
              <w:jc w:val="center"/>
              <w:rPr>
                <w:rFonts w:ascii="Arial Narrow" w:hAnsi="Arial Narrow"/>
                <w:b/>
                <w:bCs/>
                <w:color w:val="000000" w:themeColor="text1"/>
                <w:sz w:val="18"/>
                <w:szCs w:val="18"/>
              </w:rPr>
            </w:pPr>
            <w:r w:rsidRPr="00CE357F">
              <w:rPr>
                <w:rFonts w:ascii="Arial Narrow" w:hAnsi="Arial Narrow" w:cs="Arial"/>
                <w:b/>
                <w:bCs/>
                <w:color w:val="C00000"/>
                <w:sz w:val="18"/>
                <w:szCs w:val="18"/>
              </w:rPr>
              <w:t>30,7 %</w:t>
            </w:r>
          </w:p>
        </w:tc>
        <w:tc>
          <w:tcPr>
            <w:tcW w:w="744" w:type="dxa"/>
            <w:vAlign w:val="center"/>
          </w:tcPr>
          <w:p w14:paraId="61E1568D" w14:textId="0A8EFD22"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866008">
              <w:rPr>
                <w:rFonts w:ascii="Arial Narrow" w:hAnsi="Arial Narrow"/>
                <w:color w:val="000000"/>
                <w:sz w:val="18"/>
                <w:szCs w:val="18"/>
              </w:rPr>
              <w:t xml:space="preserve"> </w:t>
            </w:r>
            <w:r w:rsidRPr="00CE357F">
              <w:rPr>
                <w:rFonts w:ascii="Arial Narrow" w:hAnsi="Arial Narrow"/>
                <w:color w:val="000000"/>
                <w:sz w:val="18"/>
                <w:szCs w:val="18"/>
              </w:rPr>
              <w:t>489</w:t>
            </w:r>
          </w:p>
        </w:tc>
        <w:tc>
          <w:tcPr>
            <w:tcW w:w="676" w:type="dxa"/>
            <w:vAlign w:val="center"/>
          </w:tcPr>
          <w:p w14:paraId="1CC2394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70</w:t>
            </w:r>
          </w:p>
        </w:tc>
        <w:tc>
          <w:tcPr>
            <w:tcW w:w="717" w:type="dxa"/>
            <w:vAlign w:val="center"/>
          </w:tcPr>
          <w:p w14:paraId="621C8C18" w14:textId="4CFE129E"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866008">
              <w:rPr>
                <w:rFonts w:ascii="Arial Narrow" w:hAnsi="Arial Narrow"/>
                <w:color w:val="000000"/>
                <w:sz w:val="18"/>
                <w:szCs w:val="18"/>
              </w:rPr>
              <w:t xml:space="preserve"> </w:t>
            </w:r>
            <w:r w:rsidRPr="00CE357F">
              <w:rPr>
                <w:rFonts w:ascii="Arial Narrow" w:hAnsi="Arial Narrow"/>
                <w:color w:val="000000"/>
                <w:sz w:val="18"/>
                <w:szCs w:val="18"/>
              </w:rPr>
              <w:t>559</w:t>
            </w:r>
          </w:p>
        </w:tc>
        <w:tc>
          <w:tcPr>
            <w:tcW w:w="696" w:type="dxa"/>
            <w:gridSpan w:val="2"/>
            <w:vAlign w:val="center"/>
          </w:tcPr>
          <w:p w14:paraId="7C37681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714</w:t>
            </w:r>
          </w:p>
        </w:tc>
        <w:tc>
          <w:tcPr>
            <w:tcW w:w="563" w:type="dxa"/>
            <w:vAlign w:val="center"/>
          </w:tcPr>
          <w:p w14:paraId="74A1C98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65</w:t>
            </w:r>
          </w:p>
        </w:tc>
        <w:tc>
          <w:tcPr>
            <w:tcW w:w="759" w:type="dxa"/>
            <w:vAlign w:val="center"/>
          </w:tcPr>
          <w:p w14:paraId="7DBCDAF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779</w:t>
            </w:r>
          </w:p>
        </w:tc>
      </w:tr>
      <w:tr w:rsidR="007B2C0D" w:rsidRPr="00CE357F" w14:paraId="26FC8206" w14:textId="77777777" w:rsidTr="00D60753">
        <w:trPr>
          <w:trHeight w:val="202"/>
          <w:jc w:val="center"/>
        </w:trPr>
        <w:tc>
          <w:tcPr>
            <w:tcW w:w="1555" w:type="dxa"/>
            <w:shd w:val="clear" w:color="auto" w:fill="D9E2F3" w:themeFill="accent1" w:themeFillTint="33"/>
            <w:vAlign w:val="center"/>
          </w:tcPr>
          <w:p w14:paraId="0DFF251C"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Brno-Černovice</w:t>
            </w:r>
          </w:p>
        </w:tc>
        <w:tc>
          <w:tcPr>
            <w:tcW w:w="850" w:type="dxa"/>
            <w:vAlign w:val="center"/>
          </w:tcPr>
          <w:p w14:paraId="103F6C74"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6 779</w:t>
            </w:r>
          </w:p>
        </w:tc>
        <w:tc>
          <w:tcPr>
            <w:tcW w:w="992" w:type="dxa"/>
            <w:vAlign w:val="center"/>
          </w:tcPr>
          <w:p w14:paraId="6C306A57" w14:textId="47CE0661"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9730AB">
              <w:rPr>
                <w:rFonts w:ascii="Arial Narrow" w:hAnsi="Arial Narrow"/>
                <w:color w:val="000000"/>
                <w:sz w:val="18"/>
                <w:szCs w:val="18"/>
              </w:rPr>
              <w:t xml:space="preserve"> </w:t>
            </w:r>
            <w:r w:rsidRPr="00CE357F">
              <w:rPr>
                <w:rFonts w:ascii="Arial Narrow" w:hAnsi="Arial Narrow"/>
                <w:color w:val="000000"/>
                <w:sz w:val="18"/>
                <w:szCs w:val="18"/>
              </w:rPr>
              <w:t>082</w:t>
            </w:r>
          </w:p>
        </w:tc>
        <w:tc>
          <w:tcPr>
            <w:tcW w:w="1418" w:type="dxa"/>
            <w:vAlign w:val="center"/>
          </w:tcPr>
          <w:p w14:paraId="186C8165" w14:textId="77777777" w:rsidR="007B2C0D" w:rsidRPr="00CE357F" w:rsidRDefault="007B2C0D" w:rsidP="00EA186A">
            <w:pPr>
              <w:jc w:val="center"/>
              <w:rPr>
                <w:rFonts w:ascii="Arial Narrow" w:hAnsi="Arial Narrow"/>
                <w:b/>
                <w:bCs/>
                <w:color w:val="000000" w:themeColor="text1"/>
                <w:sz w:val="18"/>
                <w:szCs w:val="18"/>
              </w:rPr>
            </w:pPr>
            <w:r w:rsidRPr="00CE357F">
              <w:rPr>
                <w:rFonts w:ascii="Arial Narrow" w:hAnsi="Arial Narrow" w:cs="Arial"/>
                <w:b/>
                <w:bCs/>
                <w:color w:val="C00000"/>
                <w:sz w:val="18"/>
                <w:szCs w:val="18"/>
              </w:rPr>
              <w:t>16,0 %</w:t>
            </w:r>
          </w:p>
        </w:tc>
        <w:tc>
          <w:tcPr>
            <w:tcW w:w="744" w:type="dxa"/>
            <w:vAlign w:val="center"/>
          </w:tcPr>
          <w:p w14:paraId="15ACC7D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516</w:t>
            </w:r>
          </w:p>
        </w:tc>
        <w:tc>
          <w:tcPr>
            <w:tcW w:w="676" w:type="dxa"/>
            <w:vAlign w:val="center"/>
          </w:tcPr>
          <w:p w14:paraId="207BA69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73</w:t>
            </w:r>
          </w:p>
        </w:tc>
        <w:tc>
          <w:tcPr>
            <w:tcW w:w="717" w:type="dxa"/>
            <w:vAlign w:val="center"/>
          </w:tcPr>
          <w:p w14:paraId="42B3227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589</w:t>
            </w:r>
          </w:p>
        </w:tc>
        <w:tc>
          <w:tcPr>
            <w:tcW w:w="696" w:type="dxa"/>
            <w:gridSpan w:val="2"/>
            <w:vAlign w:val="center"/>
          </w:tcPr>
          <w:p w14:paraId="6D3DCB6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423</w:t>
            </w:r>
          </w:p>
        </w:tc>
        <w:tc>
          <w:tcPr>
            <w:tcW w:w="563" w:type="dxa"/>
            <w:vAlign w:val="center"/>
          </w:tcPr>
          <w:p w14:paraId="76B113A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70</w:t>
            </w:r>
          </w:p>
        </w:tc>
        <w:tc>
          <w:tcPr>
            <w:tcW w:w="759" w:type="dxa"/>
            <w:vAlign w:val="center"/>
          </w:tcPr>
          <w:p w14:paraId="024B8A1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493</w:t>
            </w:r>
          </w:p>
        </w:tc>
      </w:tr>
      <w:tr w:rsidR="007B2C0D" w:rsidRPr="00CE357F" w14:paraId="0A7ACDCA" w14:textId="77777777" w:rsidTr="00D60753">
        <w:trPr>
          <w:trHeight w:val="202"/>
          <w:jc w:val="center"/>
        </w:trPr>
        <w:tc>
          <w:tcPr>
            <w:tcW w:w="1555" w:type="dxa"/>
            <w:shd w:val="clear" w:color="auto" w:fill="D9E2F3" w:themeFill="accent1" w:themeFillTint="33"/>
            <w:vAlign w:val="center"/>
          </w:tcPr>
          <w:p w14:paraId="4014DD79"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Brno-Slatina</w:t>
            </w:r>
          </w:p>
        </w:tc>
        <w:tc>
          <w:tcPr>
            <w:tcW w:w="850" w:type="dxa"/>
            <w:vAlign w:val="center"/>
          </w:tcPr>
          <w:p w14:paraId="7B814BC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9 170</w:t>
            </w:r>
          </w:p>
        </w:tc>
        <w:tc>
          <w:tcPr>
            <w:tcW w:w="992" w:type="dxa"/>
            <w:vAlign w:val="center"/>
          </w:tcPr>
          <w:p w14:paraId="2A446BC1" w14:textId="45D789E2"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9730AB">
              <w:rPr>
                <w:rFonts w:ascii="Arial Narrow" w:hAnsi="Arial Narrow"/>
                <w:color w:val="000000"/>
                <w:sz w:val="18"/>
                <w:szCs w:val="18"/>
              </w:rPr>
              <w:t xml:space="preserve"> </w:t>
            </w:r>
            <w:r w:rsidRPr="00CE357F">
              <w:rPr>
                <w:rFonts w:ascii="Arial Narrow" w:hAnsi="Arial Narrow"/>
                <w:color w:val="000000"/>
                <w:sz w:val="18"/>
                <w:szCs w:val="18"/>
              </w:rPr>
              <w:t>467</w:t>
            </w:r>
          </w:p>
        </w:tc>
        <w:tc>
          <w:tcPr>
            <w:tcW w:w="1418" w:type="dxa"/>
            <w:vAlign w:val="center"/>
          </w:tcPr>
          <w:p w14:paraId="1DE6A4F4" w14:textId="77777777" w:rsidR="007B2C0D" w:rsidRPr="00CE357F" w:rsidRDefault="007B2C0D" w:rsidP="00EA186A">
            <w:pPr>
              <w:jc w:val="center"/>
              <w:rPr>
                <w:rFonts w:ascii="Arial Narrow" w:hAnsi="Arial Narrow"/>
                <w:b/>
                <w:bCs/>
                <w:color w:val="000000" w:themeColor="text1"/>
                <w:sz w:val="18"/>
                <w:szCs w:val="18"/>
              </w:rPr>
            </w:pPr>
            <w:r w:rsidRPr="00CE357F">
              <w:rPr>
                <w:rFonts w:ascii="Arial Narrow" w:hAnsi="Arial Narrow" w:cs="Arial"/>
                <w:b/>
                <w:bCs/>
                <w:color w:val="C00000"/>
                <w:sz w:val="18"/>
                <w:szCs w:val="18"/>
              </w:rPr>
              <w:t>16,0 %</w:t>
            </w:r>
          </w:p>
        </w:tc>
        <w:tc>
          <w:tcPr>
            <w:tcW w:w="744" w:type="dxa"/>
            <w:vAlign w:val="center"/>
          </w:tcPr>
          <w:p w14:paraId="3452F65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723</w:t>
            </w:r>
          </w:p>
        </w:tc>
        <w:tc>
          <w:tcPr>
            <w:tcW w:w="676" w:type="dxa"/>
            <w:vAlign w:val="center"/>
          </w:tcPr>
          <w:p w14:paraId="6DC0347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107</w:t>
            </w:r>
          </w:p>
        </w:tc>
        <w:tc>
          <w:tcPr>
            <w:tcW w:w="717" w:type="dxa"/>
            <w:vAlign w:val="center"/>
          </w:tcPr>
          <w:p w14:paraId="01A9145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830</w:t>
            </w:r>
          </w:p>
        </w:tc>
        <w:tc>
          <w:tcPr>
            <w:tcW w:w="696" w:type="dxa"/>
            <w:gridSpan w:val="2"/>
            <w:vAlign w:val="center"/>
          </w:tcPr>
          <w:p w14:paraId="4E7F25E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508</w:t>
            </w:r>
          </w:p>
        </w:tc>
        <w:tc>
          <w:tcPr>
            <w:tcW w:w="563" w:type="dxa"/>
            <w:vAlign w:val="center"/>
          </w:tcPr>
          <w:p w14:paraId="7EDDDAE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129</w:t>
            </w:r>
          </w:p>
        </w:tc>
        <w:tc>
          <w:tcPr>
            <w:tcW w:w="759" w:type="dxa"/>
            <w:vAlign w:val="center"/>
          </w:tcPr>
          <w:p w14:paraId="20236F8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637</w:t>
            </w:r>
          </w:p>
        </w:tc>
      </w:tr>
      <w:tr w:rsidR="007B2C0D" w:rsidRPr="00CE357F" w14:paraId="129B7C81" w14:textId="77777777" w:rsidTr="00D60753">
        <w:trPr>
          <w:trHeight w:val="202"/>
          <w:jc w:val="center"/>
        </w:trPr>
        <w:tc>
          <w:tcPr>
            <w:tcW w:w="1555" w:type="dxa"/>
            <w:shd w:val="clear" w:color="auto" w:fill="D9E2F3" w:themeFill="accent1" w:themeFillTint="33"/>
            <w:vAlign w:val="center"/>
          </w:tcPr>
          <w:p w14:paraId="24356AE4"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Brno-Královo Pole</w:t>
            </w:r>
          </w:p>
        </w:tc>
        <w:tc>
          <w:tcPr>
            <w:tcW w:w="850" w:type="dxa"/>
            <w:vAlign w:val="center"/>
          </w:tcPr>
          <w:p w14:paraId="3052829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23 746</w:t>
            </w:r>
          </w:p>
        </w:tc>
        <w:tc>
          <w:tcPr>
            <w:tcW w:w="992" w:type="dxa"/>
            <w:vAlign w:val="center"/>
          </w:tcPr>
          <w:p w14:paraId="6869E6C6" w14:textId="78D18A59"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w:t>
            </w:r>
            <w:r w:rsidR="009730AB">
              <w:rPr>
                <w:rFonts w:ascii="Arial Narrow" w:hAnsi="Arial Narrow"/>
                <w:color w:val="000000"/>
                <w:sz w:val="18"/>
                <w:szCs w:val="18"/>
              </w:rPr>
              <w:t xml:space="preserve"> </w:t>
            </w:r>
            <w:r w:rsidRPr="00CE357F">
              <w:rPr>
                <w:rFonts w:ascii="Arial Narrow" w:hAnsi="Arial Narrow"/>
                <w:color w:val="000000"/>
                <w:sz w:val="18"/>
                <w:szCs w:val="18"/>
              </w:rPr>
              <w:t>638</w:t>
            </w:r>
          </w:p>
        </w:tc>
        <w:tc>
          <w:tcPr>
            <w:tcW w:w="1418" w:type="dxa"/>
            <w:vAlign w:val="center"/>
          </w:tcPr>
          <w:p w14:paraId="41C7320A" w14:textId="77777777" w:rsidR="007B2C0D" w:rsidRPr="000D04BB" w:rsidRDefault="007B2C0D" w:rsidP="00EA186A">
            <w:pPr>
              <w:jc w:val="center"/>
              <w:rPr>
                <w:rFonts w:ascii="Arial Narrow" w:hAnsi="Arial Narrow"/>
                <w:b/>
                <w:bCs/>
                <w:color w:val="000000" w:themeColor="text1"/>
                <w:sz w:val="18"/>
                <w:szCs w:val="18"/>
              </w:rPr>
            </w:pPr>
            <w:r w:rsidRPr="000D04BB">
              <w:rPr>
                <w:rFonts w:ascii="Arial Narrow" w:hAnsi="Arial Narrow" w:cs="Arial"/>
                <w:b/>
                <w:bCs/>
                <w:color w:val="C00000"/>
                <w:sz w:val="18"/>
                <w:szCs w:val="18"/>
              </w:rPr>
              <w:t>15,3 %</w:t>
            </w:r>
          </w:p>
        </w:tc>
        <w:tc>
          <w:tcPr>
            <w:tcW w:w="744" w:type="dxa"/>
            <w:vAlign w:val="center"/>
          </w:tcPr>
          <w:p w14:paraId="11D789FE" w14:textId="2A91BE92"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w:t>
            </w:r>
            <w:r w:rsidR="00866008">
              <w:rPr>
                <w:rFonts w:ascii="Arial Narrow" w:hAnsi="Arial Narrow"/>
                <w:color w:val="000000"/>
                <w:sz w:val="18"/>
                <w:szCs w:val="18"/>
              </w:rPr>
              <w:t xml:space="preserve"> </w:t>
            </w:r>
            <w:r w:rsidRPr="00CE357F">
              <w:rPr>
                <w:rFonts w:ascii="Arial Narrow" w:hAnsi="Arial Narrow"/>
                <w:color w:val="000000"/>
                <w:sz w:val="18"/>
                <w:szCs w:val="18"/>
              </w:rPr>
              <w:t>025</w:t>
            </w:r>
          </w:p>
        </w:tc>
        <w:tc>
          <w:tcPr>
            <w:tcW w:w="676" w:type="dxa"/>
            <w:vAlign w:val="center"/>
          </w:tcPr>
          <w:p w14:paraId="14D59F6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113</w:t>
            </w:r>
          </w:p>
        </w:tc>
        <w:tc>
          <w:tcPr>
            <w:tcW w:w="717" w:type="dxa"/>
            <w:vAlign w:val="center"/>
          </w:tcPr>
          <w:p w14:paraId="6250185D" w14:textId="4712071C"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w:t>
            </w:r>
            <w:r w:rsidR="00866008">
              <w:rPr>
                <w:rFonts w:ascii="Arial Narrow" w:hAnsi="Arial Narrow"/>
                <w:color w:val="000000"/>
                <w:sz w:val="18"/>
                <w:szCs w:val="18"/>
              </w:rPr>
              <w:t xml:space="preserve"> </w:t>
            </w:r>
            <w:r w:rsidRPr="00CE357F">
              <w:rPr>
                <w:rFonts w:ascii="Arial Narrow" w:hAnsi="Arial Narrow"/>
                <w:color w:val="000000"/>
                <w:sz w:val="18"/>
                <w:szCs w:val="18"/>
              </w:rPr>
              <w:t>138</w:t>
            </w:r>
          </w:p>
        </w:tc>
        <w:tc>
          <w:tcPr>
            <w:tcW w:w="696" w:type="dxa"/>
            <w:gridSpan w:val="2"/>
            <w:vAlign w:val="center"/>
          </w:tcPr>
          <w:p w14:paraId="35C3969B" w14:textId="19A78508"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866008">
              <w:rPr>
                <w:rFonts w:ascii="Arial Narrow" w:hAnsi="Arial Narrow"/>
                <w:color w:val="000000"/>
                <w:sz w:val="18"/>
                <w:szCs w:val="18"/>
              </w:rPr>
              <w:t xml:space="preserve"> </w:t>
            </w:r>
            <w:r w:rsidRPr="00CE357F">
              <w:rPr>
                <w:rFonts w:ascii="Arial Narrow" w:hAnsi="Arial Narrow"/>
                <w:color w:val="000000"/>
                <w:sz w:val="18"/>
                <w:szCs w:val="18"/>
              </w:rPr>
              <w:t>396</w:t>
            </w:r>
          </w:p>
        </w:tc>
        <w:tc>
          <w:tcPr>
            <w:tcW w:w="563" w:type="dxa"/>
            <w:vAlign w:val="center"/>
          </w:tcPr>
          <w:p w14:paraId="2B75849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104</w:t>
            </w:r>
          </w:p>
        </w:tc>
        <w:tc>
          <w:tcPr>
            <w:tcW w:w="759" w:type="dxa"/>
            <w:vAlign w:val="center"/>
          </w:tcPr>
          <w:p w14:paraId="566C44E2" w14:textId="37943D3D"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866008">
              <w:rPr>
                <w:rFonts w:ascii="Arial Narrow" w:hAnsi="Arial Narrow"/>
                <w:color w:val="000000"/>
                <w:sz w:val="18"/>
                <w:szCs w:val="18"/>
              </w:rPr>
              <w:t xml:space="preserve"> </w:t>
            </w:r>
            <w:r w:rsidRPr="00CE357F">
              <w:rPr>
                <w:rFonts w:ascii="Arial Narrow" w:hAnsi="Arial Narrow"/>
                <w:color w:val="000000"/>
                <w:sz w:val="18"/>
                <w:szCs w:val="18"/>
              </w:rPr>
              <w:t>500</w:t>
            </w:r>
          </w:p>
        </w:tc>
      </w:tr>
      <w:tr w:rsidR="007B2C0D" w:rsidRPr="00CE357F" w14:paraId="71C77EE4" w14:textId="77777777" w:rsidTr="00D60753">
        <w:trPr>
          <w:trHeight w:val="202"/>
          <w:jc w:val="center"/>
        </w:trPr>
        <w:tc>
          <w:tcPr>
            <w:tcW w:w="1555" w:type="dxa"/>
            <w:shd w:val="clear" w:color="auto" w:fill="D9E2F3" w:themeFill="accent1" w:themeFillTint="33"/>
            <w:vAlign w:val="center"/>
          </w:tcPr>
          <w:p w14:paraId="720411A4"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Brno-střed</w:t>
            </w:r>
          </w:p>
        </w:tc>
        <w:tc>
          <w:tcPr>
            <w:tcW w:w="850" w:type="dxa"/>
            <w:vAlign w:val="center"/>
          </w:tcPr>
          <w:p w14:paraId="2125A3E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83 748</w:t>
            </w:r>
          </w:p>
        </w:tc>
        <w:tc>
          <w:tcPr>
            <w:tcW w:w="992" w:type="dxa"/>
            <w:vAlign w:val="center"/>
          </w:tcPr>
          <w:p w14:paraId="3C0EDC45" w14:textId="19B58413"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w:t>
            </w:r>
            <w:r w:rsidR="009730AB">
              <w:rPr>
                <w:rFonts w:ascii="Arial Narrow" w:hAnsi="Arial Narrow"/>
                <w:color w:val="000000"/>
                <w:sz w:val="18"/>
                <w:szCs w:val="18"/>
              </w:rPr>
              <w:t xml:space="preserve"> </w:t>
            </w:r>
            <w:r w:rsidRPr="00CE357F">
              <w:rPr>
                <w:rFonts w:ascii="Arial Narrow" w:hAnsi="Arial Narrow"/>
                <w:color w:val="000000"/>
                <w:sz w:val="18"/>
                <w:szCs w:val="18"/>
              </w:rPr>
              <w:t>261</w:t>
            </w:r>
          </w:p>
        </w:tc>
        <w:tc>
          <w:tcPr>
            <w:tcW w:w="1418" w:type="dxa"/>
            <w:vAlign w:val="center"/>
          </w:tcPr>
          <w:p w14:paraId="212511BE"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11,1 %</w:t>
            </w:r>
          </w:p>
        </w:tc>
        <w:tc>
          <w:tcPr>
            <w:tcW w:w="744" w:type="dxa"/>
            <w:vAlign w:val="center"/>
          </w:tcPr>
          <w:p w14:paraId="26267539" w14:textId="3448A9E0"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w:t>
            </w:r>
            <w:r w:rsidR="00866008">
              <w:rPr>
                <w:rFonts w:ascii="Arial Narrow" w:hAnsi="Arial Narrow"/>
                <w:color w:val="000000"/>
                <w:sz w:val="18"/>
                <w:szCs w:val="18"/>
              </w:rPr>
              <w:t xml:space="preserve"> </w:t>
            </w:r>
            <w:r w:rsidRPr="00CE357F">
              <w:rPr>
                <w:rFonts w:ascii="Arial Narrow" w:hAnsi="Arial Narrow"/>
                <w:color w:val="000000"/>
                <w:sz w:val="18"/>
                <w:szCs w:val="18"/>
              </w:rPr>
              <w:t>180</w:t>
            </w:r>
          </w:p>
        </w:tc>
        <w:tc>
          <w:tcPr>
            <w:tcW w:w="676" w:type="dxa"/>
            <w:vAlign w:val="center"/>
          </w:tcPr>
          <w:p w14:paraId="2C6BE55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310</w:t>
            </w:r>
          </w:p>
        </w:tc>
        <w:tc>
          <w:tcPr>
            <w:tcW w:w="717" w:type="dxa"/>
            <w:vAlign w:val="center"/>
          </w:tcPr>
          <w:p w14:paraId="42495DEB" w14:textId="433799BF"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w:t>
            </w:r>
            <w:r w:rsidR="00866008">
              <w:rPr>
                <w:rFonts w:ascii="Arial Narrow" w:hAnsi="Arial Narrow"/>
                <w:color w:val="000000"/>
                <w:sz w:val="18"/>
                <w:szCs w:val="18"/>
              </w:rPr>
              <w:t xml:space="preserve"> </w:t>
            </w:r>
            <w:r w:rsidRPr="00CE357F">
              <w:rPr>
                <w:rFonts w:ascii="Arial Narrow" w:hAnsi="Arial Narrow"/>
                <w:color w:val="000000"/>
                <w:sz w:val="18"/>
                <w:szCs w:val="18"/>
              </w:rPr>
              <w:t>490</w:t>
            </w:r>
          </w:p>
        </w:tc>
        <w:tc>
          <w:tcPr>
            <w:tcW w:w="696" w:type="dxa"/>
            <w:gridSpan w:val="2"/>
            <w:vAlign w:val="center"/>
          </w:tcPr>
          <w:p w14:paraId="13A4E620" w14:textId="4AA73ECD"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w:t>
            </w:r>
            <w:r w:rsidR="00866008">
              <w:rPr>
                <w:rFonts w:ascii="Arial Narrow" w:hAnsi="Arial Narrow"/>
                <w:color w:val="000000"/>
                <w:sz w:val="18"/>
                <w:szCs w:val="18"/>
              </w:rPr>
              <w:t xml:space="preserve"> </w:t>
            </w:r>
            <w:r w:rsidRPr="00CE357F">
              <w:rPr>
                <w:rFonts w:ascii="Arial Narrow" w:hAnsi="Arial Narrow"/>
                <w:color w:val="000000"/>
                <w:sz w:val="18"/>
                <w:szCs w:val="18"/>
              </w:rPr>
              <w:t>514</w:t>
            </w:r>
          </w:p>
        </w:tc>
        <w:tc>
          <w:tcPr>
            <w:tcW w:w="563" w:type="dxa"/>
            <w:vAlign w:val="center"/>
          </w:tcPr>
          <w:p w14:paraId="381D26B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257</w:t>
            </w:r>
          </w:p>
        </w:tc>
        <w:tc>
          <w:tcPr>
            <w:tcW w:w="759" w:type="dxa"/>
            <w:vAlign w:val="center"/>
          </w:tcPr>
          <w:p w14:paraId="516383E3" w14:textId="72FEE496"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w:t>
            </w:r>
            <w:r w:rsidR="00866008">
              <w:rPr>
                <w:rFonts w:ascii="Arial Narrow" w:hAnsi="Arial Narrow"/>
                <w:color w:val="000000"/>
                <w:sz w:val="18"/>
                <w:szCs w:val="18"/>
              </w:rPr>
              <w:t xml:space="preserve"> </w:t>
            </w:r>
            <w:r w:rsidRPr="00CE357F">
              <w:rPr>
                <w:rFonts w:ascii="Arial Narrow" w:hAnsi="Arial Narrow"/>
                <w:color w:val="000000"/>
                <w:sz w:val="18"/>
                <w:szCs w:val="18"/>
              </w:rPr>
              <w:t>771</w:t>
            </w:r>
          </w:p>
        </w:tc>
      </w:tr>
      <w:tr w:rsidR="007B2C0D" w:rsidRPr="00CE357F" w14:paraId="05989E7D" w14:textId="77777777" w:rsidTr="00D60753">
        <w:trPr>
          <w:trHeight w:val="346"/>
          <w:jc w:val="center"/>
        </w:trPr>
        <w:tc>
          <w:tcPr>
            <w:tcW w:w="1555" w:type="dxa"/>
            <w:shd w:val="clear" w:color="auto" w:fill="D9E2F3" w:themeFill="accent1" w:themeFillTint="33"/>
            <w:vAlign w:val="center"/>
          </w:tcPr>
          <w:p w14:paraId="0D5BF275"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Brno-Židenice</w:t>
            </w:r>
          </w:p>
        </w:tc>
        <w:tc>
          <w:tcPr>
            <w:tcW w:w="850" w:type="dxa"/>
            <w:vAlign w:val="center"/>
          </w:tcPr>
          <w:p w14:paraId="1B712F4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19 175</w:t>
            </w:r>
          </w:p>
        </w:tc>
        <w:tc>
          <w:tcPr>
            <w:tcW w:w="992" w:type="dxa"/>
            <w:vAlign w:val="center"/>
          </w:tcPr>
          <w:p w14:paraId="602F4FD1" w14:textId="63989D99"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w:t>
            </w:r>
            <w:r w:rsidR="009730AB">
              <w:rPr>
                <w:rFonts w:ascii="Arial Narrow" w:hAnsi="Arial Narrow"/>
                <w:color w:val="000000"/>
                <w:sz w:val="18"/>
                <w:szCs w:val="18"/>
              </w:rPr>
              <w:t xml:space="preserve"> </w:t>
            </w:r>
            <w:r w:rsidRPr="00CE357F">
              <w:rPr>
                <w:rFonts w:ascii="Arial Narrow" w:hAnsi="Arial Narrow"/>
                <w:color w:val="000000"/>
                <w:sz w:val="18"/>
                <w:szCs w:val="18"/>
              </w:rPr>
              <w:t>033</w:t>
            </w:r>
          </w:p>
        </w:tc>
        <w:tc>
          <w:tcPr>
            <w:tcW w:w="1418" w:type="dxa"/>
            <w:vAlign w:val="center"/>
          </w:tcPr>
          <w:p w14:paraId="1215F865" w14:textId="77777777" w:rsidR="007B2C0D" w:rsidRPr="00CE357F" w:rsidRDefault="007B2C0D" w:rsidP="00EA186A">
            <w:pPr>
              <w:jc w:val="center"/>
              <w:rPr>
                <w:rFonts w:ascii="Arial Narrow" w:hAnsi="Arial Narrow"/>
                <w:sz w:val="18"/>
                <w:szCs w:val="18"/>
              </w:rPr>
            </w:pPr>
            <w:r w:rsidRPr="00CE357F">
              <w:rPr>
                <w:rFonts w:ascii="Arial Narrow" w:hAnsi="Arial Narrow" w:cs="Arial"/>
                <w:sz w:val="18"/>
                <w:szCs w:val="18"/>
              </w:rPr>
              <w:t>10,6 %</w:t>
            </w:r>
          </w:p>
        </w:tc>
        <w:tc>
          <w:tcPr>
            <w:tcW w:w="744" w:type="dxa"/>
            <w:vAlign w:val="center"/>
          </w:tcPr>
          <w:p w14:paraId="6FE6EAA5" w14:textId="0D46CFCD"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D63157">
              <w:rPr>
                <w:rFonts w:ascii="Arial Narrow" w:hAnsi="Arial Narrow"/>
                <w:color w:val="000000"/>
                <w:sz w:val="18"/>
                <w:szCs w:val="18"/>
              </w:rPr>
              <w:t xml:space="preserve"> </w:t>
            </w:r>
            <w:r w:rsidRPr="00CE357F">
              <w:rPr>
                <w:rFonts w:ascii="Arial Narrow" w:hAnsi="Arial Narrow"/>
                <w:color w:val="000000"/>
                <w:sz w:val="18"/>
                <w:szCs w:val="18"/>
              </w:rPr>
              <w:t>132</w:t>
            </w:r>
          </w:p>
        </w:tc>
        <w:tc>
          <w:tcPr>
            <w:tcW w:w="676" w:type="dxa"/>
            <w:vAlign w:val="center"/>
          </w:tcPr>
          <w:p w14:paraId="08C49F6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91</w:t>
            </w:r>
          </w:p>
        </w:tc>
        <w:tc>
          <w:tcPr>
            <w:tcW w:w="717" w:type="dxa"/>
            <w:vAlign w:val="center"/>
          </w:tcPr>
          <w:p w14:paraId="7A22DAD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1223</w:t>
            </w:r>
          </w:p>
        </w:tc>
        <w:tc>
          <w:tcPr>
            <w:tcW w:w="696" w:type="dxa"/>
            <w:gridSpan w:val="2"/>
            <w:vAlign w:val="center"/>
          </w:tcPr>
          <w:p w14:paraId="2632A0C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701</w:t>
            </w:r>
          </w:p>
        </w:tc>
        <w:tc>
          <w:tcPr>
            <w:tcW w:w="563" w:type="dxa"/>
            <w:vAlign w:val="center"/>
          </w:tcPr>
          <w:p w14:paraId="7F4EEC7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109</w:t>
            </w:r>
          </w:p>
        </w:tc>
        <w:tc>
          <w:tcPr>
            <w:tcW w:w="759" w:type="dxa"/>
            <w:vAlign w:val="center"/>
          </w:tcPr>
          <w:p w14:paraId="11D3CE2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810</w:t>
            </w:r>
          </w:p>
        </w:tc>
      </w:tr>
      <w:tr w:rsidR="007B2C0D" w:rsidRPr="00CE357F" w14:paraId="4928CCD2" w14:textId="77777777" w:rsidTr="00D60753">
        <w:trPr>
          <w:trHeight w:val="202"/>
          <w:jc w:val="center"/>
        </w:trPr>
        <w:tc>
          <w:tcPr>
            <w:tcW w:w="1555" w:type="dxa"/>
            <w:shd w:val="clear" w:color="auto" w:fill="D9E2F3" w:themeFill="accent1" w:themeFillTint="33"/>
            <w:vAlign w:val="center"/>
          </w:tcPr>
          <w:p w14:paraId="4B04DF9A"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Brno-Chrlice</w:t>
            </w:r>
          </w:p>
        </w:tc>
        <w:tc>
          <w:tcPr>
            <w:tcW w:w="850" w:type="dxa"/>
            <w:vAlign w:val="center"/>
          </w:tcPr>
          <w:p w14:paraId="1502E7A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3 179</w:t>
            </w:r>
          </w:p>
        </w:tc>
        <w:tc>
          <w:tcPr>
            <w:tcW w:w="992" w:type="dxa"/>
            <w:vAlign w:val="center"/>
          </w:tcPr>
          <w:p w14:paraId="2B7D707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296</w:t>
            </w:r>
          </w:p>
        </w:tc>
        <w:tc>
          <w:tcPr>
            <w:tcW w:w="1418" w:type="dxa"/>
            <w:vAlign w:val="center"/>
          </w:tcPr>
          <w:p w14:paraId="06508908"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9,3 %</w:t>
            </w:r>
          </w:p>
        </w:tc>
        <w:tc>
          <w:tcPr>
            <w:tcW w:w="744" w:type="dxa"/>
            <w:vAlign w:val="center"/>
          </w:tcPr>
          <w:p w14:paraId="5AA5BEC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169</w:t>
            </w:r>
          </w:p>
        </w:tc>
        <w:tc>
          <w:tcPr>
            <w:tcW w:w="676" w:type="dxa"/>
            <w:vAlign w:val="center"/>
          </w:tcPr>
          <w:p w14:paraId="23951EC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20</w:t>
            </w:r>
          </w:p>
        </w:tc>
        <w:tc>
          <w:tcPr>
            <w:tcW w:w="717" w:type="dxa"/>
            <w:vAlign w:val="center"/>
          </w:tcPr>
          <w:p w14:paraId="2ACA988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189</w:t>
            </w:r>
          </w:p>
        </w:tc>
        <w:tc>
          <w:tcPr>
            <w:tcW w:w="696" w:type="dxa"/>
            <w:gridSpan w:val="2"/>
            <w:vAlign w:val="center"/>
          </w:tcPr>
          <w:p w14:paraId="3949490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96</w:t>
            </w:r>
          </w:p>
        </w:tc>
        <w:tc>
          <w:tcPr>
            <w:tcW w:w="563" w:type="dxa"/>
            <w:vAlign w:val="center"/>
          </w:tcPr>
          <w:p w14:paraId="4B838C4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w:t>
            </w:r>
          </w:p>
        </w:tc>
        <w:tc>
          <w:tcPr>
            <w:tcW w:w="759" w:type="dxa"/>
            <w:vAlign w:val="center"/>
          </w:tcPr>
          <w:p w14:paraId="10A9478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107</w:t>
            </w:r>
          </w:p>
        </w:tc>
      </w:tr>
      <w:tr w:rsidR="007B2C0D" w:rsidRPr="00CE357F" w14:paraId="1A0D0153" w14:textId="77777777" w:rsidTr="00D60753">
        <w:trPr>
          <w:trHeight w:val="202"/>
          <w:jc w:val="center"/>
        </w:trPr>
        <w:tc>
          <w:tcPr>
            <w:tcW w:w="1555" w:type="dxa"/>
            <w:shd w:val="clear" w:color="auto" w:fill="D9E2F3" w:themeFill="accent1" w:themeFillTint="33"/>
            <w:vAlign w:val="center"/>
          </w:tcPr>
          <w:p w14:paraId="3D466D87"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Brno-sever</w:t>
            </w:r>
          </w:p>
        </w:tc>
        <w:tc>
          <w:tcPr>
            <w:tcW w:w="850" w:type="dxa"/>
            <w:vAlign w:val="center"/>
          </w:tcPr>
          <w:p w14:paraId="51E4BAB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42 086</w:t>
            </w:r>
          </w:p>
        </w:tc>
        <w:tc>
          <w:tcPr>
            <w:tcW w:w="992" w:type="dxa"/>
            <w:vAlign w:val="center"/>
          </w:tcPr>
          <w:p w14:paraId="4EDB12A8" w14:textId="70E2E878"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w:t>
            </w:r>
            <w:r w:rsidR="009730AB">
              <w:rPr>
                <w:rFonts w:ascii="Arial Narrow" w:hAnsi="Arial Narrow"/>
                <w:color w:val="000000"/>
                <w:sz w:val="18"/>
                <w:szCs w:val="18"/>
              </w:rPr>
              <w:t xml:space="preserve"> </w:t>
            </w:r>
            <w:r w:rsidRPr="00CE357F">
              <w:rPr>
                <w:rFonts w:ascii="Arial Narrow" w:hAnsi="Arial Narrow"/>
                <w:color w:val="000000"/>
                <w:sz w:val="18"/>
                <w:szCs w:val="18"/>
              </w:rPr>
              <w:t>908</w:t>
            </w:r>
          </w:p>
        </w:tc>
        <w:tc>
          <w:tcPr>
            <w:tcW w:w="1418" w:type="dxa"/>
            <w:vAlign w:val="center"/>
          </w:tcPr>
          <w:p w14:paraId="4567A89F"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9,3 %</w:t>
            </w:r>
          </w:p>
        </w:tc>
        <w:tc>
          <w:tcPr>
            <w:tcW w:w="744" w:type="dxa"/>
            <w:vAlign w:val="center"/>
          </w:tcPr>
          <w:p w14:paraId="34BCC3B0" w14:textId="62A9D11D"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w:t>
            </w:r>
            <w:r w:rsidR="00866008">
              <w:rPr>
                <w:rFonts w:ascii="Arial Narrow" w:hAnsi="Arial Narrow"/>
                <w:color w:val="000000"/>
                <w:sz w:val="18"/>
                <w:szCs w:val="18"/>
              </w:rPr>
              <w:t xml:space="preserve"> </w:t>
            </w:r>
            <w:r w:rsidRPr="00CE357F">
              <w:rPr>
                <w:rFonts w:ascii="Arial Narrow" w:hAnsi="Arial Narrow"/>
                <w:color w:val="000000"/>
                <w:sz w:val="18"/>
                <w:szCs w:val="18"/>
              </w:rPr>
              <w:t>178</w:t>
            </w:r>
          </w:p>
        </w:tc>
        <w:tc>
          <w:tcPr>
            <w:tcW w:w="676" w:type="dxa"/>
            <w:vAlign w:val="center"/>
          </w:tcPr>
          <w:p w14:paraId="48AC0E4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135</w:t>
            </w:r>
          </w:p>
        </w:tc>
        <w:tc>
          <w:tcPr>
            <w:tcW w:w="717" w:type="dxa"/>
            <w:vAlign w:val="center"/>
          </w:tcPr>
          <w:p w14:paraId="0BAD983C" w14:textId="27C81E1A"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w:t>
            </w:r>
            <w:r w:rsidR="00866008">
              <w:rPr>
                <w:rFonts w:ascii="Arial Narrow" w:hAnsi="Arial Narrow"/>
                <w:color w:val="000000"/>
                <w:sz w:val="18"/>
                <w:szCs w:val="18"/>
              </w:rPr>
              <w:t xml:space="preserve"> </w:t>
            </w:r>
            <w:r w:rsidRPr="00CE357F">
              <w:rPr>
                <w:rFonts w:ascii="Arial Narrow" w:hAnsi="Arial Narrow"/>
                <w:color w:val="000000"/>
                <w:sz w:val="18"/>
                <w:szCs w:val="18"/>
              </w:rPr>
              <w:t>313</w:t>
            </w:r>
          </w:p>
        </w:tc>
        <w:tc>
          <w:tcPr>
            <w:tcW w:w="696" w:type="dxa"/>
            <w:gridSpan w:val="2"/>
            <w:vAlign w:val="center"/>
          </w:tcPr>
          <w:p w14:paraId="1DB5FDBB" w14:textId="0D210F79"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866008">
              <w:rPr>
                <w:rFonts w:ascii="Arial Narrow" w:hAnsi="Arial Narrow"/>
                <w:color w:val="000000"/>
                <w:sz w:val="18"/>
                <w:szCs w:val="18"/>
              </w:rPr>
              <w:t xml:space="preserve"> </w:t>
            </w:r>
            <w:r w:rsidRPr="00CE357F">
              <w:rPr>
                <w:rFonts w:ascii="Arial Narrow" w:hAnsi="Arial Narrow"/>
                <w:color w:val="000000"/>
                <w:sz w:val="18"/>
                <w:szCs w:val="18"/>
              </w:rPr>
              <w:t>474</w:t>
            </w:r>
          </w:p>
        </w:tc>
        <w:tc>
          <w:tcPr>
            <w:tcW w:w="563" w:type="dxa"/>
            <w:vAlign w:val="center"/>
          </w:tcPr>
          <w:p w14:paraId="69D3B0C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121</w:t>
            </w:r>
          </w:p>
        </w:tc>
        <w:tc>
          <w:tcPr>
            <w:tcW w:w="759" w:type="dxa"/>
            <w:vAlign w:val="center"/>
          </w:tcPr>
          <w:p w14:paraId="79324EFC" w14:textId="485B55FF"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866008">
              <w:rPr>
                <w:rFonts w:ascii="Arial Narrow" w:hAnsi="Arial Narrow"/>
                <w:color w:val="000000"/>
                <w:sz w:val="18"/>
                <w:szCs w:val="18"/>
              </w:rPr>
              <w:t xml:space="preserve"> </w:t>
            </w:r>
            <w:r w:rsidRPr="00CE357F">
              <w:rPr>
                <w:rFonts w:ascii="Arial Narrow" w:hAnsi="Arial Narrow"/>
                <w:color w:val="000000"/>
                <w:sz w:val="18"/>
                <w:szCs w:val="18"/>
              </w:rPr>
              <w:t>595</w:t>
            </w:r>
          </w:p>
        </w:tc>
      </w:tr>
      <w:tr w:rsidR="007B2C0D" w:rsidRPr="00CE357F" w14:paraId="0248C49B" w14:textId="77777777" w:rsidTr="00D60753">
        <w:trPr>
          <w:trHeight w:val="202"/>
          <w:jc w:val="center"/>
        </w:trPr>
        <w:tc>
          <w:tcPr>
            <w:tcW w:w="1555" w:type="dxa"/>
            <w:shd w:val="clear" w:color="auto" w:fill="D9E2F3" w:themeFill="accent1" w:themeFillTint="33"/>
            <w:vAlign w:val="center"/>
          </w:tcPr>
          <w:p w14:paraId="7FF896A7"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Brno-Tuřany</w:t>
            </w:r>
          </w:p>
        </w:tc>
        <w:tc>
          <w:tcPr>
            <w:tcW w:w="850" w:type="dxa"/>
            <w:vAlign w:val="center"/>
          </w:tcPr>
          <w:p w14:paraId="7EB88C2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5 201</w:t>
            </w:r>
          </w:p>
        </w:tc>
        <w:tc>
          <w:tcPr>
            <w:tcW w:w="992" w:type="dxa"/>
            <w:vAlign w:val="center"/>
          </w:tcPr>
          <w:p w14:paraId="08E5042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416</w:t>
            </w:r>
          </w:p>
        </w:tc>
        <w:tc>
          <w:tcPr>
            <w:tcW w:w="1418" w:type="dxa"/>
            <w:vAlign w:val="center"/>
          </w:tcPr>
          <w:p w14:paraId="54DCA26F" w14:textId="77777777" w:rsidR="007B2C0D" w:rsidRPr="00CE357F" w:rsidRDefault="007B2C0D" w:rsidP="00EA186A">
            <w:pPr>
              <w:jc w:val="center"/>
              <w:rPr>
                <w:rFonts w:ascii="Arial Narrow" w:hAnsi="Arial Narrow"/>
                <w:sz w:val="18"/>
                <w:szCs w:val="18"/>
              </w:rPr>
            </w:pPr>
            <w:r w:rsidRPr="00CE357F">
              <w:rPr>
                <w:rFonts w:ascii="Arial Narrow" w:hAnsi="Arial Narrow" w:cs="Arial"/>
                <w:sz w:val="18"/>
                <w:szCs w:val="18"/>
              </w:rPr>
              <w:t>8,0 %</w:t>
            </w:r>
          </w:p>
        </w:tc>
        <w:tc>
          <w:tcPr>
            <w:tcW w:w="744" w:type="dxa"/>
            <w:vAlign w:val="center"/>
          </w:tcPr>
          <w:p w14:paraId="2F504F7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209</w:t>
            </w:r>
          </w:p>
        </w:tc>
        <w:tc>
          <w:tcPr>
            <w:tcW w:w="676" w:type="dxa"/>
            <w:vAlign w:val="center"/>
          </w:tcPr>
          <w:p w14:paraId="3706867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33</w:t>
            </w:r>
          </w:p>
        </w:tc>
        <w:tc>
          <w:tcPr>
            <w:tcW w:w="717" w:type="dxa"/>
            <w:vAlign w:val="center"/>
          </w:tcPr>
          <w:p w14:paraId="1060659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242</w:t>
            </w:r>
          </w:p>
        </w:tc>
        <w:tc>
          <w:tcPr>
            <w:tcW w:w="696" w:type="dxa"/>
            <w:gridSpan w:val="2"/>
            <w:vAlign w:val="center"/>
          </w:tcPr>
          <w:p w14:paraId="5D25D85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143</w:t>
            </w:r>
          </w:p>
        </w:tc>
        <w:tc>
          <w:tcPr>
            <w:tcW w:w="563" w:type="dxa"/>
            <w:vAlign w:val="center"/>
          </w:tcPr>
          <w:p w14:paraId="0FEAAD2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31</w:t>
            </w:r>
          </w:p>
        </w:tc>
        <w:tc>
          <w:tcPr>
            <w:tcW w:w="759" w:type="dxa"/>
            <w:vAlign w:val="center"/>
          </w:tcPr>
          <w:p w14:paraId="39014F3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174</w:t>
            </w:r>
          </w:p>
        </w:tc>
      </w:tr>
      <w:tr w:rsidR="007B2C0D" w:rsidRPr="00CE357F" w14:paraId="7BF6104D" w14:textId="77777777" w:rsidTr="00D60753">
        <w:trPr>
          <w:trHeight w:val="202"/>
          <w:jc w:val="center"/>
        </w:trPr>
        <w:tc>
          <w:tcPr>
            <w:tcW w:w="1555" w:type="dxa"/>
            <w:shd w:val="clear" w:color="auto" w:fill="D9E2F3" w:themeFill="accent1" w:themeFillTint="33"/>
            <w:vAlign w:val="center"/>
          </w:tcPr>
          <w:p w14:paraId="3CAB16B2"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Brno-Bohunice</w:t>
            </w:r>
          </w:p>
        </w:tc>
        <w:tc>
          <w:tcPr>
            <w:tcW w:w="850" w:type="dxa"/>
            <w:vAlign w:val="center"/>
          </w:tcPr>
          <w:p w14:paraId="0A9280D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12 594</w:t>
            </w:r>
          </w:p>
        </w:tc>
        <w:tc>
          <w:tcPr>
            <w:tcW w:w="992" w:type="dxa"/>
            <w:vAlign w:val="center"/>
          </w:tcPr>
          <w:p w14:paraId="316557E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960</w:t>
            </w:r>
          </w:p>
        </w:tc>
        <w:tc>
          <w:tcPr>
            <w:tcW w:w="1418" w:type="dxa"/>
            <w:vAlign w:val="center"/>
          </w:tcPr>
          <w:p w14:paraId="17E906D1"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7,6 %</w:t>
            </w:r>
          </w:p>
        </w:tc>
        <w:tc>
          <w:tcPr>
            <w:tcW w:w="744" w:type="dxa"/>
            <w:vAlign w:val="center"/>
          </w:tcPr>
          <w:p w14:paraId="61B73C9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439</w:t>
            </w:r>
          </w:p>
        </w:tc>
        <w:tc>
          <w:tcPr>
            <w:tcW w:w="676" w:type="dxa"/>
            <w:vAlign w:val="center"/>
          </w:tcPr>
          <w:p w14:paraId="4D9D582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46</w:t>
            </w:r>
          </w:p>
        </w:tc>
        <w:tc>
          <w:tcPr>
            <w:tcW w:w="717" w:type="dxa"/>
            <w:vAlign w:val="center"/>
          </w:tcPr>
          <w:p w14:paraId="284CD44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485</w:t>
            </w:r>
          </w:p>
        </w:tc>
        <w:tc>
          <w:tcPr>
            <w:tcW w:w="696" w:type="dxa"/>
            <w:gridSpan w:val="2"/>
            <w:vAlign w:val="center"/>
          </w:tcPr>
          <w:p w14:paraId="26793D8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420</w:t>
            </w:r>
          </w:p>
        </w:tc>
        <w:tc>
          <w:tcPr>
            <w:tcW w:w="563" w:type="dxa"/>
            <w:vAlign w:val="center"/>
          </w:tcPr>
          <w:p w14:paraId="143B312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55</w:t>
            </w:r>
          </w:p>
        </w:tc>
        <w:tc>
          <w:tcPr>
            <w:tcW w:w="759" w:type="dxa"/>
            <w:vAlign w:val="center"/>
          </w:tcPr>
          <w:p w14:paraId="3DDA54D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475</w:t>
            </w:r>
          </w:p>
        </w:tc>
      </w:tr>
      <w:tr w:rsidR="007B2C0D" w:rsidRPr="00CE357F" w14:paraId="18198853" w14:textId="77777777" w:rsidTr="00D60753">
        <w:trPr>
          <w:trHeight w:val="202"/>
          <w:jc w:val="center"/>
        </w:trPr>
        <w:tc>
          <w:tcPr>
            <w:tcW w:w="1555" w:type="dxa"/>
            <w:shd w:val="clear" w:color="auto" w:fill="D9E2F3" w:themeFill="accent1" w:themeFillTint="33"/>
            <w:vAlign w:val="center"/>
          </w:tcPr>
          <w:p w14:paraId="29DC4366"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Brno-Medlánky</w:t>
            </w:r>
          </w:p>
        </w:tc>
        <w:tc>
          <w:tcPr>
            <w:tcW w:w="850" w:type="dxa"/>
            <w:vAlign w:val="center"/>
          </w:tcPr>
          <w:p w14:paraId="0212696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5 337</w:t>
            </w:r>
          </w:p>
        </w:tc>
        <w:tc>
          <w:tcPr>
            <w:tcW w:w="992" w:type="dxa"/>
            <w:vAlign w:val="center"/>
          </w:tcPr>
          <w:p w14:paraId="1762B45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395</w:t>
            </w:r>
          </w:p>
        </w:tc>
        <w:tc>
          <w:tcPr>
            <w:tcW w:w="1418" w:type="dxa"/>
            <w:vAlign w:val="center"/>
          </w:tcPr>
          <w:p w14:paraId="40AC52BB"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7,4 %</w:t>
            </w:r>
          </w:p>
        </w:tc>
        <w:tc>
          <w:tcPr>
            <w:tcW w:w="744" w:type="dxa"/>
            <w:vAlign w:val="center"/>
          </w:tcPr>
          <w:p w14:paraId="2DEEAF7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224</w:t>
            </w:r>
          </w:p>
        </w:tc>
        <w:tc>
          <w:tcPr>
            <w:tcW w:w="676" w:type="dxa"/>
            <w:vAlign w:val="center"/>
          </w:tcPr>
          <w:p w14:paraId="38CE58C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13</w:t>
            </w:r>
          </w:p>
        </w:tc>
        <w:tc>
          <w:tcPr>
            <w:tcW w:w="717" w:type="dxa"/>
            <w:vAlign w:val="center"/>
          </w:tcPr>
          <w:p w14:paraId="5F30770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237</w:t>
            </w:r>
          </w:p>
        </w:tc>
        <w:tc>
          <w:tcPr>
            <w:tcW w:w="696" w:type="dxa"/>
            <w:gridSpan w:val="2"/>
            <w:vAlign w:val="center"/>
          </w:tcPr>
          <w:p w14:paraId="61530BE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144</w:t>
            </w:r>
          </w:p>
        </w:tc>
        <w:tc>
          <w:tcPr>
            <w:tcW w:w="563" w:type="dxa"/>
            <w:vAlign w:val="center"/>
          </w:tcPr>
          <w:p w14:paraId="49FB8364"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14</w:t>
            </w:r>
          </w:p>
        </w:tc>
        <w:tc>
          <w:tcPr>
            <w:tcW w:w="759" w:type="dxa"/>
            <w:vAlign w:val="center"/>
          </w:tcPr>
          <w:p w14:paraId="50EC663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158</w:t>
            </w:r>
          </w:p>
        </w:tc>
      </w:tr>
      <w:tr w:rsidR="007B2C0D" w:rsidRPr="00CE357F" w14:paraId="5B30C105" w14:textId="77777777" w:rsidTr="00D60753">
        <w:trPr>
          <w:trHeight w:val="202"/>
          <w:jc w:val="center"/>
        </w:trPr>
        <w:tc>
          <w:tcPr>
            <w:tcW w:w="1555" w:type="dxa"/>
            <w:shd w:val="clear" w:color="auto" w:fill="D9E2F3" w:themeFill="accent1" w:themeFillTint="33"/>
            <w:vAlign w:val="center"/>
          </w:tcPr>
          <w:p w14:paraId="268F8ACE"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Brno-Žabovřesky</w:t>
            </w:r>
          </w:p>
        </w:tc>
        <w:tc>
          <w:tcPr>
            <w:tcW w:w="850" w:type="dxa"/>
            <w:vAlign w:val="center"/>
          </w:tcPr>
          <w:p w14:paraId="6BCCD29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19 250</w:t>
            </w:r>
          </w:p>
        </w:tc>
        <w:tc>
          <w:tcPr>
            <w:tcW w:w="992" w:type="dxa"/>
            <w:vAlign w:val="center"/>
          </w:tcPr>
          <w:p w14:paraId="2BB77E7D" w14:textId="4BFD4764"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9730AB">
              <w:rPr>
                <w:rFonts w:ascii="Arial Narrow" w:hAnsi="Arial Narrow"/>
                <w:color w:val="000000"/>
                <w:sz w:val="18"/>
                <w:szCs w:val="18"/>
              </w:rPr>
              <w:t xml:space="preserve"> </w:t>
            </w:r>
            <w:r w:rsidRPr="00CE357F">
              <w:rPr>
                <w:rFonts w:ascii="Arial Narrow" w:hAnsi="Arial Narrow"/>
                <w:color w:val="000000"/>
                <w:sz w:val="18"/>
                <w:szCs w:val="18"/>
              </w:rPr>
              <w:t>354</w:t>
            </w:r>
          </w:p>
        </w:tc>
        <w:tc>
          <w:tcPr>
            <w:tcW w:w="1418" w:type="dxa"/>
            <w:vAlign w:val="center"/>
          </w:tcPr>
          <w:p w14:paraId="397C4BAA" w14:textId="77777777" w:rsidR="007B2C0D" w:rsidRPr="00CE357F" w:rsidRDefault="007B2C0D" w:rsidP="00EA186A">
            <w:pPr>
              <w:jc w:val="center"/>
              <w:rPr>
                <w:rFonts w:ascii="Arial Narrow" w:hAnsi="Arial Narrow"/>
                <w:sz w:val="18"/>
                <w:szCs w:val="18"/>
              </w:rPr>
            </w:pPr>
            <w:r w:rsidRPr="00CE357F">
              <w:rPr>
                <w:rFonts w:ascii="Arial Narrow" w:hAnsi="Arial Narrow" w:cs="Arial"/>
                <w:sz w:val="18"/>
                <w:szCs w:val="18"/>
              </w:rPr>
              <w:t>7,0 %</w:t>
            </w:r>
          </w:p>
        </w:tc>
        <w:tc>
          <w:tcPr>
            <w:tcW w:w="744" w:type="dxa"/>
            <w:vAlign w:val="center"/>
          </w:tcPr>
          <w:p w14:paraId="706F92D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730</w:t>
            </w:r>
          </w:p>
        </w:tc>
        <w:tc>
          <w:tcPr>
            <w:tcW w:w="676" w:type="dxa"/>
            <w:vAlign w:val="center"/>
          </w:tcPr>
          <w:p w14:paraId="036068D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44</w:t>
            </w:r>
          </w:p>
        </w:tc>
        <w:tc>
          <w:tcPr>
            <w:tcW w:w="717" w:type="dxa"/>
            <w:vAlign w:val="center"/>
          </w:tcPr>
          <w:p w14:paraId="24A3D9C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774</w:t>
            </w:r>
          </w:p>
        </w:tc>
        <w:tc>
          <w:tcPr>
            <w:tcW w:w="696" w:type="dxa"/>
            <w:gridSpan w:val="2"/>
            <w:vAlign w:val="center"/>
          </w:tcPr>
          <w:p w14:paraId="3CE5711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521</w:t>
            </w:r>
          </w:p>
        </w:tc>
        <w:tc>
          <w:tcPr>
            <w:tcW w:w="563" w:type="dxa"/>
            <w:vAlign w:val="center"/>
          </w:tcPr>
          <w:p w14:paraId="492F7C9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59</w:t>
            </w:r>
          </w:p>
        </w:tc>
        <w:tc>
          <w:tcPr>
            <w:tcW w:w="759" w:type="dxa"/>
            <w:vAlign w:val="center"/>
          </w:tcPr>
          <w:p w14:paraId="3DCC219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580</w:t>
            </w:r>
          </w:p>
        </w:tc>
      </w:tr>
      <w:tr w:rsidR="007B2C0D" w:rsidRPr="00CE357F" w14:paraId="1A161040" w14:textId="77777777" w:rsidTr="00D60753">
        <w:trPr>
          <w:trHeight w:val="202"/>
          <w:jc w:val="center"/>
        </w:trPr>
        <w:tc>
          <w:tcPr>
            <w:tcW w:w="1555" w:type="dxa"/>
            <w:shd w:val="clear" w:color="auto" w:fill="D9E2F3" w:themeFill="accent1" w:themeFillTint="33"/>
            <w:vAlign w:val="center"/>
          </w:tcPr>
          <w:p w14:paraId="7869B4A1"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Brno-Maloměřice a Obřany</w:t>
            </w:r>
          </w:p>
        </w:tc>
        <w:tc>
          <w:tcPr>
            <w:tcW w:w="850" w:type="dxa"/>
            <w:vAlign w:val="center"/>
          </w:tcPr>
          <w:p w14:paraId="0A43803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5 461</w:t>
            </w:r>
          </w:p>
        </w:tc>
        <w:tc>
          <w:tcPr>
            <w:tcW w:w="992" w:type="dxa"/>
            <w:vAlign w:val="center"/>
          </w:tcPr>
          <w:p w14:paraId="5A99D3C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331</w:t>
            </w:r>
          </w:p>
        </w:tc>
        <w:tc>
          <w:tcPr>
            <w:tcW w:w="1418" w:type="dxa"/>
            <w:vAlign w:val="center"/>
          </w:tcPr>
          <w:p w14:paraId="5A5F7747"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6,1 %</w:t>
            </w:r>
          </w:p>
        </w:tc>
        <w:tc>
          <w:tcPr>
            <w:tcW w:w="744" w:type="dxa"/>
            <w:vAlign w:val="center"/>
          </w:tcPr>
          <w:p w14:paraId="1B6FB8C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165</w:t>
            </w:r>
          </w:p>
        </w:tc>
        <w:tc>
          <w:tcPr>
            <w:tcW w:w="676" w:type="dxa"/>
            <w:vAlign w:val="center"/>
          </w:tcPr>
          <w:p w14:paraId="2810B044"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14</w:t>
            </w:r>
          </w:p>
        </w:tc>
        <w:tc>
          <w:tcPr>
            <w:tcW w:w="717" w:type="dxa"/>
            <w:vAlign w:val="center"/>
          </w:tcPr>
          <w:p w14:paraId="2346F1D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179</w:t>
            </w:r>
          </w:p>
        </w:tc>
        <w:tc>
          <w:tcPr>
            <w:tcW w:w="696" w:type="dxa"/>
            <w:gridSpan w:val="2"/>
            <w:vAlign w:val="center"/>
          </w:tcPr>
          <w:p w14:paraId="73B9072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140</w:t>
            </w:r>
          </w:p>
        </w:tc>
        <w:tc>
          <w:tcPr>
            <w:tcW w:w="563" w:type="dxa"/>
            <w:vAlign w:val="center"/>
          </w:tcPr>
          <w:p w14:paraId="1C54E7B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12</w:t>
            </w:r>
          </w:p>
        </w:tc>
        <w:tc>
          <w:tcPr>
            <w:tcW w:w="759" w:type="dxa"/>
            <w:vAlign w:val="center"/>
          </w:tcPr>
          <w:p w14:paraId="004960E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152</w:t>
            </w:r>
          </w:p>
        </w:tc>
      </w:tr>
      <w:tr w:rsidR="007B2C0D" w:rsidRPr="00CE357F" w14:paraId="18C69611" w14:textId="77777777" w:rsidTr="00D60753">
        <w:trPr>
          <w:trHeight w:val="202"/>
          <w:jc w:val="center"/>
        </w:trPr>
        <w:tc>
          <w:tcPr>
            <w:tcW w:w="1555" w:type="dxa"/>
            <w:shd w:val="clear" w:color="auto" w:fill="D9E2F3" w:themeFill="accent1" w:themeFillTint="33"/>
            <w:vAlign w:val="center"/>
          </w:tcPr>
          <w:p w14:paraId="5B7A146F"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Brno-Komín</w:t>
            </w:r>
          </w:p>
        </w:tc>
        <w:tc>
          <w:tcPr>
            <w:tcW w:w="850" w:type="dxa"/>
            <w:vAlign w:val="center"/>
          </w:tcPr>
          <w:p w14:paraId="756EBC7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7 386</w:t>
            </w:r>
          </w:p>
        </w:tc>
        <w:tc>
          <w:tcPr>
            <w:tcW w:w="992" w:type="dxa"/>
            <w:vAlign w:val="center"/>
          </w:tcPr>
          <w:p w14:paraId="34414B5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445</w:t>
            </w:r>
          </w:p>
        </w:tc>
        <w:tc>
          <w:tcPr>
            <w:tcW w:w="1418" w:type="dxa"/>
            <w:vAlign w:val="center"/>
          </w:tcPr>
          <w:p w14:paraId="47F348DA"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6,0 %</w:t>
            </w:r>
          </w:p>
        </w:tc>
        <w:tc>
          <w:tcPr>
            <w:tcW w:w="744" w:type="dxa"/>
            <w:vAlign w:val="center"/>
          </w:tcPr>
          <w:p w14:paraId="5B3EB8A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243</w:t>
            </w:r>
          </w:p>
        </w:tc>
        <w:tc>
          <w:tcPr>
            <w:tcW w:w="676" w:type="dxa"/>
            <w:vAlign w:val="center"/>
          </w:tcPr>
          <w:p w14:paraId="103E8FE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18</w:t>
            </w:r>
          </w:p>
        </w:tc>
        <w:tc>
          <w:tcPr>
            <w:tcW w:w="717" w:type="dxa"/>
            <w:vAlign w:val="center"/>
          </w:tcPr>
          <w:p w14:paraId="4B232AF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261</w:t>
            </w:r>
          </w:p>
        </w:tc>
        <w:tc>
          <w:tcPr>
            <w:tcW w:w="696" w:type="dxa"/>
            <w:gridSpan w:val="2"/>
            <w:vAlign w:val="center"/>
          </w:tcPr>
          <w:p w14:paraId="1F35343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167</w:t>
            </w:r>
          </w:p>
        </w:tc>
        <w:tc>
          <w:tcPr>
            <w:tcW w:w="563" w:type="dxa"/>
            <w:vAlign w:val="center"/>
          </w:tcPr>
          <w:p w14:paraId="5720983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17</w:t>
            </w:r>
          </w:p>
        </w:tc>
        <w:tc>
          <w:tcPr>
            <w:tcW w:w="759" w:type="dxa"/>
            <w:vAlign w:val="center"/>
          </w:tcPr>
          <w:p w14:paraId="187D44D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184</w:t>
            </w:r>
          </w:p>
        </w:tc>
      </w:tr>
      <w:tr w:rsidR="007B2C0D" w:rsidRPr="00CE357F" w14:paraId="29BD8B98" w14:textId="77777777" w:rsidTr="00D60753">
        <w:trPr>
          <w:trHeight w:val="202"/>
          <w:jc w:val="center"/>
        </w:trPr>
        <w:tc>
          <w:tcPr>
            <w:tcW w:w="1555" w:type="dxa"/>
            <w:shd w:val="clear" w:color="auto" w:fill="D9E2F3" w:themeFill="accent1" w:themeFillTint="33"/>
            <w:vAlign w:val="center"/>
          </w:tcPr>
          <w:p w14:paraId="1577D93A"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Brno-Nový Lískovec</w:t>
            </w:r>
          </w:p>
        </w:tc>
        <w:tc>
          <w:tcPr>
            <w:tcW w:w="850" w:type="dxa"/>
            <w:vAlign w:val="center"/>
          </w:tcPr>
          <w:p w14:paraId="31D551C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9 834</w:t>
            </w:r>
          </w:p>
        </w:tc>
        <w:tc>
          <w:tcPr>
            <w:tcW w:w="992" w:type="dxa"/>
            <w:vAlign w:val="center"/>
          </w:tcPr>
          <w:p w14:paraId="5FADF7C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584</w:t>
            </w:r>
          </w:p>
        </w:tc>
        <w:tc>
          <w:tcPr>
            <w:tcW w:w="1418" w:type="dxa"/>
            <w:vAlign w:val="center"/>
          </w:tcPr>
          <w:p w14:paraId="3006B27B"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5,9 %</w:t>
            </w:r>
          </w:p>
        </w:tc>
        <w:tc>
          <w:tcPr>
            <w:tcW w:w="744" w:type="dxa"/>
            <w:vAlign w:val="center"/>
          </w:tcPr>
          <w:p w14:paraId="0BF9ECD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305</w:t>
            </w:r>
          </w:p>
        </w:tc>
        <w:tc>
          <w:tcPr>
            <w:tcW w:w="676" w:type="dxa"/>
            <w:vAlign w:val="center"/>
          </w:tcPr>
          <w:p w14:paraId="0DFF5A2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23</w:t>
            </w:r>
          </w:p>
        </w:tc>
        <w:tc>
          <w:tcPr>
            <w:tcW w:w="717" w:type="dxa"/>
            <w:vAlign w:val="center"/>
          </w:tcPr>
          <w:p w14:paraId="1833766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328</w:t>
            </w:r>
          </w:p>
        </w:tc>
        <w:tc>
          <w:tcPr>
            <w:tcW w:w="696" w:type="dxa"/>
            <w:gridSpan w:val="2"/>
            <w:vAlign w:val="center"/>
          </w:tcPr>
          <w:p w14:paraId="0951D8D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229</w:t>
            </w:r>
          </w:p>
        </w:tc>
        <w:tc>
          <w:tcPr>
            <w:tcW w:w="563" w:type="dxa"/>
            <w:vAlign w:val="center"/>
          </w:tcPr>
          <w:p w14:paraId="23F7480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27</w:t>
            </w:r>
          </w:p>
        </w:tc>
        <w:tc>
          <w:tcPr>
            <w:tcW w:w="759" w:type="dxa"/>
            <w:vAlign w:val="center"/>
          </w:tcPr>
          <w:p w14:paraId="6094062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256</w:t>
            </w:r>
          </w:p>
        </w:tc>
      </w:tr>
      <w:tr w:rsidR="007B2C0D" w:rsidRPr="00CE357F" w14:paraId="7CDDE256" w14:textId="77777777" w:rsidTr="00D60753">
        <w:trPr>
          <w:trHeight w:val="202"/>
          <w:jc w:val="center"/>
        </w:trPr>
        <w:tc>
          <w:tcPr>
            <w:tcW w:w="1555" w:type="dxa"/>
            <w:shd w:val="clear" w:color="auto" w:fill="D9E2F3" w:themeFill="accent1" w:themeFillTint="33"/>
            <w:vAlign w:val="center"/>
          </w:tcPr>
          <w:p w14:paraId="67A1163D"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Brno-Starý Lískovec</w:t>
            </w:r>
          </w:p>
        </w:tc>
        <w:tc>
          <w:tcPr>
            <w:tcW w:w="850" w:type="dxa"/>
            <w:vAlign w:val="center"/>
          </w:tcPr>
          <w:p w14:paraId="29DF221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12 171</w:t>
            </w:r>
          </w:p>
        </w:tc>
        <w:tc>
          <w:tcPr>
            <w:tcW w:w="992" w:type="dxa"/>
            <w:vAlign w:val="center"/>
          </w:tcPr>
          <w:p w14:paraId="702A9BF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724</w:t>
            </w:r>
          </w:p>
        </w:tc>
        <w:tc>
          <w:tcPr>
            <w:tcW w:w="1418" w:type="dxa"/>
            <w:vAlign w:val="center"/>
          </w:tcPr>
          <w:p w14:paraId="2DAE8955"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5,9 %</w:t>
            </w:r>
          </w:p>
        </w:tc>
        <w:tc>
          <w:tcPr>
            <w:tcW w:w="744" w:type="dxa"/>
            <w:vAlign w:val="center"/>
          </w:tcPr>
          <w:p w14:paraId="1BD74EA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352</w:t>
            </w:r>
          </w:p>
        </w:tc>
        <w:tc>
          <w:tcPr>
            <w:tcW w:w="676" w:type="dxa"/>
            <w:vAlign w:val="center"/>
          </w:tcPr>
          <w:p w14:paraId="2DF24A0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43</w:t>
            </w:r>
          </w:p>
        </w:tc>
        <w:tc>
          <w:tcPr>
            <w:tcW w:w="717" w:type="dxa"/>
            <w:vAlign w:val="center"/>
          </w:tcPr>
          <w:p w14:paraId="430E6F5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395</w:t>
            </w:r>
          </w:p>
        </w:tc>
        <w:tc>
          <w:tcPr>
            <w:tcW w:w="696" w:type="dxa"/>
            <w:gridSpan w:val="2"/>
            <w:vAlign w:val="center"/>
          </w:tcPr>
          <w:p w14:paraId="1BD342E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279</w:t>
            </w:r>
          </w:p>
        </w:tc>
        <w:tc>
          <w:tcPr>
            <w:tcW w:w="563" w:type="dxa"/>
            <w:vAlign w:val="center"/>
          </w:tcPr>
          <w:p w14:paraId="12BAD5B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50</w:t>
            </w:r>
          </w:p>
        </w:tc>
        <w:tc>
          <w:tcPr>
            <w:tcW w:w="759" w:type="dxa"/>
            <w:vAlign w:val="center"/>
          </w:tcPr>
          <w:p w14:paraId="24A584A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329</w:t>
            </w:r>
          </w:p>
        </w:tc>
      </w:tr>
      <w:tr w:rsidR="007B2C0D" w:rsidRPr="00CE357F" w14:paraId="0C15A7B5" w14:textId="77777777" w:rsidTr="00D60753">
        <w:trPr>
          <w:trHeight w:val="202"/>
          <w:jc w:val="center"/>
        </w:trPr>
        <w:tc>
          <w:tcPr>
            <w:tcW w:w="1555" w:type="dxa"/>
            <w:shd w:val="clear" w:color="auto" w:fill="D9E2F3" w:themeFill="accent1" w:themeFillTint="33"/>
            <w:vAlign w:val="center"/>
          </w:tcPr>
          <w:p w14:paraId="6740F2E1"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Brno-Bosonohy</w:t>
            </w:r>
          </w:p>
        </w:tc>
        <w:tc>
          <w:tcPr>
            <w:tcW w:w="850" w:type="dxa"/>
            <w:vAlign w:val="center"/>
          </w:tcPr>
          <w:p w14:paraId="41B2827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2 444</w:t>
            </w:r>
          </w:p>
        </w:tc>
        <w:tc>
          <w:tcPr>
            <w:tcW w:w="992" w:type="dxa"/>
            <w:vAlign w:val="center"/>
          </w:tcPr>
          <w:p w14:paraId="7844228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139</w:t>
            </w:r>
          </w:p>
        </w:tc>
        <w:tc>
          <w:tcPr>
            <w:tcW w:w="1418" w:type="dxa"/>
            <w:vAlign w:val="center"/>
          </w:tcPr>
          <w:p w14:paraId="68EDE604"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5,7 %</w:t>
            </w:r>
          </w:p>
        </w:tc>
        <w:tc>
          <w:tcPr>
            <w:tcW w:w="744" w:type="dxa"/>
            <w:vAlign w:val="center"/>
          </w:tcPr>
          <w:p w14:paraId="099E183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75</w:t>
            </w:r>
          </w:p>
        </w:tc>
        <w:tc>
          <w:tcPr>
            <w:tcW w:w="676" w:type="dxa"/>
            <w:vAlign w:val="center"/>
          </w:tcPr>
          <w:p w14:paraId="1114045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6</w:t>
            </w:r>
          </w:p>
        </w:tc>
        <w:tc>
          <w:tcPr>
            <w:tcW w:w="717" w:type="dxa"/>
            <w:vAlign w:val="center"/>
          </w:tcPr>
          <w:p w14:paraId="47F7824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81</w:t>
            </w:r>
          </w:p>
        </w:tc>
        <w:tc>
          <w:tcPr>
            <w:tcW w:w="696" w:type="dxa"/>
            <w:gridSpan w:val="2"/>
            <w:vAlign w:val="center"/>
          </w:tcPr>
          <w:p w14:paraId="7D4EB81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54</w:t>
            </w:r>
          </w:p>
        </w:tc>
        <w:tc>
          <w:tcPr>
            <w:tcW w:w="563" w:type="dxa"/>
            <w:vAlign w:val="center"/>
          </w:tcPr>
          <w:p w14:paraId="4FF9F8D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w:t>
            </w:r>
          </w:p>
        </w:tc>
        <w:tc>
          <w:tcPr>
            <w:tcW w:w="759" w:type="dxa"/>
            <w:vAlign w:val="center"/>
          </w:tcPr>
          <w:p w14:paraId="43CC34E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58</w:t>
            </w:r>
          </w:p>
        </w:tc>
      </w:tr>
      <w:tr w:rsidR="007B2C0D" w:rsidRPr="00CE357F" w14:paraId="2A8DEAF2" w14:textId="77777777" w:rsidTr="00D60753">
        <w:trPr>
          <w:trHeight w:val="202"/>
          <w:jc w:val="center"/>
        </w:trPr>
        <w:tc>
          <w:tcPr>
            <w:tcW w:w="1555" w:type="dxa"/>
            <w:shd w:val="clear" w:color="auto" w:fill="D9E2F3" w:themeFill="accent1" w:themeFillTint="33"/>
            <w:vAlign w:val="center"/>
          </w:tcPr>
          <w:p w14:paraId="35CF89EB"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Brno-Líšeň</w:t>
            </w:r>
          </w:p>
        </w:tc>
        <w:tc>
          <w:tcPr>
            <w:tcW w:w="850" w:type="dxa"/>
            <w:vAlign w:val="center"/>
          </w:tcPr>
          <w:p w14:paraId="75EADAE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25 264</w:t>
            </w:r>
          </w:p>
        </w:tc>
        <w:tc>
          <w:tcPr>
            <w:tcW w:w="992" w:type="dxa"/>
            <w:vAlign w:val="center"/>
          </w:tcPr>
          <w:p w14:paraId="4DDDBF24" w14:textId="663496ED"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r w:rsidR="00866008">
              <w:rPr>
                <w:rFonts w:ascii="Arial Narrow" w:hAnsi="Arial Narrow"/>
                <w:color w:val="000000"/>
                <w:sz w:val="18"/>
                <w:szCs w:val="18"/>
              </w:rPr>
              <w:t xml:space="preserve"> </w:t>
            </w:r>
            <w:r w:rsidRPr="00CE357F">
              <w:rPr>
                <w:rFonts w:ascii="Arial Narrow" w:hAnsi="Arial Narrow"/>
                <w:color w:val="000000"/>
                <w:sz w:val="18"/>
                <w:szCs w:val="18"/>
              </w:rPr>
              <w:t>449</w:t>
            </w:r>
          </w:p>
        </w:tc>
        <w:tc>
          <w:tcPr>
            <w:tcW w:w="1418" w:type="dxa"/>
            <w:vAlign w:val="center"/>
          </w:tcPr>
          <w:p w14:paraId="4EFAAA75"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5,7 %</w:t>
            </w:r>
          </w:p>
        </w:tc>
        <w:tc>
          <w:tcPr>
            <w:tcW w:w="744" w:type="dxa"/>
            <w:vAlign w:val="center"/>
          </w:tcPr>
          <w:p w14:paraId="016A374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782</w:t>
            </w:r>
          </w:p>
        </w:tc>
        <w:tc>
          <w:tcPr>
            <w:tcW w:w="676" w:type="dxa"/>
            <w:vAlign w:val="center"/>
          </w:tcPr>
          <w:p w14:paraId="62D854E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68</w:t>
            </w:r>
          </w:p>
        </w:tc>
        <w:tc>
          <w:tcPr>
            <w:tcW w:w="717" w:type="dxa"/>
            <w:vAlign w:val="center"/>
          </w:tcPr>
          <w:p w14:paraId="203EB44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850</w:t>
            </w:r>
          </w:p>
        </w:tc>
        <w:tc>
          <w:tcPr>
            <w:tcW w:w="696" w:type="dxa"/>
            <w:gridSpan w:val="2"/>
            <w:vAlign w:val="center"/>
          </w:tcPr>
          <w:p w14:paraId="2098001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504</w:t>
            </w:r>
          </w:p>
        </w:tc>
        <w:tc>
          <w:tcPr>
            <w:tcW w:w="563" w:type="dxa"/>
            <w:vAlign w:val="center"/>
          </w:tcPr>
          <w:p w14:paraId="0248071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95</w:t>
            </w:r>
          </w:p>
        </w:tc>
        <w:tc>
          <w:tcPr>
            <w:tcW w:w="759" w:type="dxa"/>
            <w:vAlign w:val="center"/>
          </w:tcPr>
          <w:p w14:paraId="2045A314"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599</w:t>
            </w:r>
          </w:p>
        </w:tc>
      </w:tr>
      <w:tr w:rsidR="007B2C0D" w:rsidRPr="00CE357F" w14:paraId="5D8FF7FA" w14:textId="77777777" w:rsidTr="00D60753">
        <w:trPr>
          <w:trHeight w:val="202"/>
          <w:jc w:val="center"/>
        </w:trPr>
        <w:tc>
          <w:tcPr>
            <w:tcW w:w="1555" w:type="dxa"/>
            <w:shd w:val="clear" w:color="auto" w:fill="D9E2F3" w:themeFill="accent1" w:themeFillTint="33"/>
            <w:vAlign w:val="center"/>
          </w:tcPr>
          <w:p w14:paraId="217B04A2"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Brno-Řečkovice a Mokrá Hora</w:t>
            </w:r>
          </w:p>
        </w:tc>
        <w:tc>
          <w:tcPr>
            <w:tcW w:w="850" w:type="dxa"/>
            <w:vAlign w:val="center"/>
          </w:tcPr>
          <w:p w14:paraId="076D6F9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13 992</w:t>
            </w:r>
          </w:p>
        </w:tc>
        <w:tc>
          <w:tcPr>
            <w:tcW w:w="992" w:type="dxa"/>
            <w:vAlign w:val="center"/>
          </w:tcPr>
          <w:p w14:paraId="0C5F3BF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800</w:t>
            </w:r>
          </w:p>
        </w:tc>
        <w:tc>
          <w:tcPr>
            <w:tcW w:w="1418" w:type="dxa"/>
            <w:vAlign w:val="center"/>
          </w:tcPr>
          <w:p w14:paraId="3C8D38F8"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5,7 %</w:t>
            </w:r>
          </w:p>
        </w:tc>
        <w:tc>
          <w:tcPr>
            <w:tcW w:w="744" w:type="dxa"/>
            <w:vAlign w:val="center"/>
          </w:tcPr>
          <w:p w14:paraId="10CF56B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427</w:t>
            </w:r>
          </w:p>
        </w:tc>
        <w:tc>
          <w:tcPr>
            <w:tcW w:w="676" w:type="dxa"/>
            <w:vAlign w:val="center"/>
          </w:tcPr>
          <w:p w14:paraId="7D3D7A8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38</w:t>
            </w:r>
          </w:p>
        </w:tc>
        <w:tc>
          <w:tcPr>
            <w:tcW w:w="717" w:type="dxa"/>
            <w:vAlign w:val="center"/>
          </w:tcPr>
          <w:p w14:paraId="3A933A2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465</w:t>
            </w:r>
          </w:p>
        </w:tc>
        <w:tc>
          <w:tcPr>
            <w:tcW w:w="696" w:type="dxa"/>
            <w:gridSpan w:val="2"/>
            <w:vAlign w:val="center"/>
          </w:tcPr>
          <w:p w14:paraId="3D2BD12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303</w:t>
            </w:r>
          </w:p>
        </w:tc>
        <w:tc>
          <w:tcPr>
            <w:tcW w:w="563" w:type="dxa"/>
            <w:vAlign w:val="center"/>
          </w:tcPr>
          <w:p w14:paraId="550381D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32</w:t>
            </w:r>
          </w:p>
        </w:tc>
        <w:tc>
          <w:tcPr>
            <w:tcW w:w="759" w:type="dxa"/>
            <w:vAlign w:val="center"/>
          </w:tcPr>
          <w:p w14:paraId="0299B3B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335</w:t>
            </w:r>
          </w:p>
        </w:tc>
      </w:tr>
      <w:tr w:rsidR="007B2C0D" w:rsidRPr="00CE357F" w14:paraId="5B773281" w14:textId="77777777" w:rsidTr="00D60753">
        <w:trPr>
          <w:trHeight w:val="202"/>
          <w:jc w:val="center"/>
        </w:trPr>
        <w:tc>
          <w:tcPr>
            <w:tcW w:w="1555" w:type="dxa"/>
            <w:shd w:val="clear" w:color="auto" w:fill="D9E2F3" w:themeFill="accent1" w:themeFillTint="33"/>
            <w:vAlign w:val="center"/>
          </w:tcPr>
          <w:p w14:paraId="772907C3"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Brno-Jundrov</w:t>
            </w:r>
          </w:p>
        </w:tc>
        <w:tc>
          <w:tcPr>
            <w:tcW w:w="850" w:type="dxa"/>
            <w:vAlign w:val="center"/>
          </w:tcPr>
          <w:p w14:paraId="7C1BC1C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4 218</w:t>
            </w:r>
          </w:p>
        </w:tc>
        <w:tc>
          <w:tcPr>
            <w:tcW w:w="992" w:type="dxa"/>
            <w:vAlign w:val="center"/>
          </w:tcPr>
          <w:p w14:paraId="4FE66F9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228</w:t>
            </w:r>
          </w:p>
        </w:tc>
        <w:tc>
          <w:tcPr>
            <w:tcW w:w="1418" w:type="dxa"/>
            <w:vAlign w:val="center"/>
          </w:tcPr>
          <w:p w14:paraId="56550FBC"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5,4 %</w:t>
            </w:r>
          </w:p>
        </w:tc>
        <w:tc>
          <w:tcPr>
            <w:tcW w:w="744" w:type="dxa"/>
            <w:vAlign w:val="center"/>
          </w:tcPr>
          <w:p w14:paraId="18498B7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118</w:t>
            </w:r>
          </w:p>
        </w:tc>
        <w:tc>
          <w:tcPr>
            <w:tcW w:w="676" w:type="dxa"/>
            <w:vAlign w:val="center"/>
          </w:tcPr>
          <w:p w14:paraId="587945B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w:t>
            </w:r>
          </w:p>
        </w:tc>
        <w:tc>
          <w:tcPr>
            <w:tcW w:w="717" w:type="dxa"/>
            <w:vAlign w:val="center"/>
          </w:tcPr>
          <w:p w14:paraId="3F73D79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126</w:t>
            </w:r>
          </w:p>
        </w:tc>
        <w:tc>
          <w:tcPr>
            <w:tcW w:w="696" w:type="dxa"/>
            <w:gridSpan w:val="2"/>
            <w:vAlign w:val="center"/>
          </w:tcPr>
          <w:p w14:paraId="5A21B2F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94</w:t>
            </w:r>
          </w:p>
        </w:tc>
        <w:tc>
          <w:tcPr>
            <w:tcW w:w="563" w:type="dxa"/>
            <w:vAlign w:val="center"/>
          </w:tcPr>
          <w:p w14:paraId="59DB66A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w:t>
            </w:r>
          </w:p>
        </w:tc>
        <w:tc>
          <w:tcPr>
            <w:tcW w:w="759" w:type="dxa"/>
            <w:vAlign w:val="center"/>
          </w:tcPr>
          <w:p w14:paraId="50FED67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102</w:t>
            </w:r>
          </w:p>
        </w:tc>
      </w:tr>
      <w:tr w:rsidR="007B2C0D" w:rsidRPr="00CE357F" w14:paraId="56875FBC" w14:textId="77777777" w:rsidTr="00D60753">
        <w:trPr>
          <w:trHeight w:val="202"/>
          <w:jc w:val="center"/>
        </w:trPr>
        <w:tc>
          <w:tcPr>
            <w:tcW w:w="1555" w:type="dxa"/>
            <w:shd w:val="clear" w:color="auto" w:fill="D9E2F3" w:themeFill="accent1" w:themeFillTint="33"/>
            <w:vAlign w:val="center"/>
          </w:tcPr>
          <w:p w14:paraId="06D96871"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Brno-Žebětín</w:t>
            </w:r>
          </w:p>
        </w:tc>
        <w:tc>
          <w:tcPr>
            <w:tcW w:w="850" w:type="dxa"/>
            <w:vAlign w:val="center"/>
          </w:tcPr>
          <w:p w14:paraId="5D8867E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5 113</w:t>
            </w:r>
          </w:p>
        </w:tc>
        <w:tc>
          <w:tcPr>
            <w:tcW w:w="992" w:type="dxa"/>
            <w:vAlign w:val="center"/>
          </w:tcPr>
          <w:p w14:paraId="5506F33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274</w:t>
            </w:r>
          </w:p>
        </w:tc>
        <w:tc>
          <w:tcPr>
            <w:tcW w:w="1418" w:type="dxa"/>
            <w:vAlign w:val="center"/>
          </w:tcPr>
          <w:p w14:paraId="06AE61B3" w14:textId="77777777" w:rsidR="007B2C0D" w:rsidRPr="00CE357F" w:rsidRDefault="007B2C0D" w:rsidP="00EA186A">
            <w:pPr>
              <w:jc w:val="center"/>
              <w:rPr>
                <w:rFonts w:ascii="Arial Narrow" w:hAnsi="Arial Narrow"/>
                <w:sz w:val="18"/>
                <w:szCs w:val="18"/>
              </w:rPr>
            </w:pPr>
            <w:r w:rsidRPr="00CE357F">
              <w:rPr>
                <w:rFonts w:ascii="Arial Narrow" w:hAnsi="Arial Narrow" w:cs="Arial"/>
                <w:sz w:val="18"/>
                <w:szCs w:val="18"/>
              </w:rPr>
              <w:t>5,4 %</w:t>
            </w:r>
          </w:p>
        </w:tc>
        <w:tc>
          <w:tcPr>
            <w:tcW w:w="744" w:type="dxa"/>
            <w:vAlign w:val="center"/>
          </w:tcPr>
          <w:p w14:paraId="6AE6D12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116</w:t>
            </w:r>
          </w:p>
        </w:tc>
        <w:tc>
          <w:tcPr>
            <w:tcW w:w="676" w:type="dxa"/>
            <w:vAlign w:val="center"/>
          </w:tcPr>
          <w:p w14:paraId="33F2260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25</w:t>
            </w:r>
          </w:p>
        </w:tc>
        <w:tc>
          <w:tcPr>
            <w:tcW w:w="717" w:type="dxa"/>
            <w:vAlign w:val="center"/>
          </w:tcPr>
          <w:p w14:paraId="6BA8924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141</w:t>
            </w:r>
          </w:p>
        </w:tc>
        <w:tc>
          <w:tcPr>
            <w:tcW w:w="696" w:type="dxa"/>
            <w:gridSpan w:val="2"/>
            <w:vAlign w:val="center"/>
          </w:tcPr>
          <w:p w14:paraId="3CFFDA0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115</w:t>
            </w:r>
          </w:p>
        </w:tc>
        <w:tc>
          <w:tcPr>
            <w:tcW w:w="563" w:type="dxa"/>
            <w:vAlign w:val="center"/>
          </w:tcPr>
          <w:p w14:paraId="3E5BEF5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18</w:t>
            </w:r>
          </w:p>
        </w:tc>
        <w:tc>
          <w:tcPr>
            <w:tcW w:w="759" w:type="dxa"/>
            <w:vAlign w:val="center"/>
          </w:tcPr>
          <w:p w14:paraId="67F90024"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133</w:t>
            </w:r>
          </w:p>
        </w:tc>
      </w:tr>
      <w:tr w:rsidR="007B2C0D" w:rsidRPr="00CE357F" w14:paraId="5B404D47" w14:textId="77777777" w:rsidTr="00D60753">
        <w:trPr>
          <w:trHeight w:val="202"/>
          <w:jc w:val="center"/>
        </w:trPr>
        <w:tc>
          <w:tcPr>
            <w:tcW w:w="1555" w:type="dxa"/>
            <w:shd w:val="clear" w:color="auto" w:fill="D9E2F3" w:themeFill="accent1" w:themeFillTint="33"/>
            <w:vAlign w:val="center"/>
          </w:tcPr>
          <w:p w14:paraId="22709666"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Brno-Vinohrady</w:t>
            </w:r>
          </w:p>
        </w:tc>
        <w:tc>
          <w:tcPr>
            <w:tcW w:w="850" w:type="dxa"/>
            <w:vAlign w:val="center"/>
          </w:tcPr>
          <w:p w14:paraId="54469E7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11 778</w:t>
            </w:r>
          </w:p>
        </w:tc>
        <w:tc>
          <w:tcPr>
            <w:tcW w:w="992" w:type="dxa"/>
            <w:vAlign w:val="center"/>
          </w:tcPr>
          <w:p w14:paraId="343B470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598</w:t>
            </w:r>
          </w:p>
        </w:tc>
        <w:tc>
          <w:tcPr>
            <w:tcW w:w="1418" w:type="dxa"/>
            <w:vAlign w:val="center"/>
          </w:tcPr>
          <w:p w14:paraId="611FB52C" w14:textId="77777777" w:rsidR="007B2C0D" w:rsidRPr="00CE357F" w:rsidRDefault="007B2C0D" w:rsidP="00EA186A">
            <w:pPr>
              <w:jc w:val="center"/>
              <w:rPr>
                <w:rFonts w:ascii="Arial Narrow" w:hAnsi="Arial Narrow"/>
                <w:sz w:val="18"/>
                <w:szCs w:val="18"/>
              </w:rPr>
            </w:pPr>
            <w:r w:rsidRPr="00CE357F">
              <w:rPr>
                <w:rFonts w:ascii="Arial Narrow" w:hAnsi="Arial Narrow" w:cs="Arial"/>
                <w:sz w:val="18"/>
                <w:szCs w:val="18"/>
              </w:rPr>
              <w:t>5,1 %</w:t>
            </w:r>
          </w:p>
        </w:tc>
        <w:tc>
          <w:tcPr>
            <w:tcW w:w="744" w:type="dxa"/>
            <w:vAlign w:val="center"/>
          </w:tcPr>
          <w:p w14:paraId="1876419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277</w:t>
            </w:r>
          </w:p>
        </w:tc>
        <w:tc>
          <w:tcPr>
            <w:tcW w:w="676" w:type="dxa"/>
            <w:vAlign w:val="center"/>
          </w:tcPr>
          <w:p w14:paraId="0BBEE0D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49</w:t>
            </w:r>
          </w:p>
        </w:tc>
        <w:tc>
          <w:tcPr>
            <w:tcW w:w="717" w:type="dxa"/>
            <w:vAlign w:val="center"/>
          </w:tcPr>
          <w:p w14:paraId="34C4B80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326</w:t>
            </w:r>
          </w:p>
        </w:tc>
        <w:tc>
          <w:tcPr>
            <w:tcW w:w="696" w:type="dxa"/>
            <w:gridSpan w:val="2"/>
            <w:vAlign w:val="center"/>
          </w:tcPr>
          <w:p w14:paraId="79D3C9A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223</w:t>
            </w:r>
          </w:p>
        </w:tc>
        <w:tc>
          <w:tcPr>
            <w:tcW w:w="563" w:type="dxa"/>
            <w:vAlign w:val="center"/>
          </w:tcPr>
          <w:p w14:paraId="4CEC6DA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49</w:t>
            </w:r>
          </w:p>
        </w:tc>
        <w:tc>
          <w:tcPr>
            <w:tcW w:w="759" w:type="dxa"/>
            <w:vAlign w:val="center"/>
          </w:tcPr>
          <w:p w14:paraId="253772E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272</w:t>
            </w:r>
          </w:p>
        </w:tc>
      </w:tr>
      <w:tr w:rsidR="007B2C0D" w:rsidRPr="00CE357F" w14:paraId="4A6625FB" w14:textId="77777777" w:rsidTr="00D60753">
        <w:trPr>
          <w:trHeight w:val="202"/>
          <w:jc w:val="center"/>
        </w:trPr>
        <w:tc>
          <w:tcPr>
            <w:tcW w:w="1555" w:type="dxa"/>
            <w:shd w:val="clear" w:color="auto" w:fill="D9E2F3" w:themeFill="accent1" w:themeFillTint="33"/>
            <w:vAlign w:val="center"/>
          </w:tcPr>
          <w:p w14:paraId="4CE18791"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Brno-Bystrc</w:t>
            </w:r>
          </w:p>
        </w:tc>
        <w:tc>
          <w:tcPr>
            <w:tcW w:w="850" w:type="dxa"/>
            <w:vAlign w:val="center"/>
          </w:tcPr>
          <w:p w14:paraId="031A994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23 595</w:t>
            </w:r>
          </w:p>
        </w:tc>
        <w:tc>
          <w:tcPr>
            <w:tcW w:w="992" w:type="dxa"/>
            <w:vAlign w:val="center"/>
          </w:tcPr>
          <w:p w14:paraId="2E77C75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943</w:t>
            </w:r>
          </w:p>
        </w:tc>
        <w:tc>
          <w:tcPr>
            <w:tcW w:w="1418" w:type="dxa"/>
            <w:vAlign w:val="center"/>
          </w:tcPr>
          <w:p w14:paraId="4427EA98"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4,0 %</w:t>
            </w:r>
          </w:p>
        </w:tc>
        <w:tc>
          <w:tcPr>
            <w:tcW w:w="744" w:type="dxa"/>
            <w:vAlign w:val="center"/>
          </w:tcPr>
          <w:p w14:paraId="4A5F8F5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436</w:t>
            </w:r>
          </w:p>
        </w:tc>
        <w:tc>
          <w:tcPr>
            <w:tcW w:w="676" w:type="dxa"/>
            <w:vAlign w:val="center"/>
          </w:tcPr>
          <w:p w14:paraId="4F0B4A22"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58</w:t>
            </w:r>
          </w:p>
        </w:tc>
        <w:tc>
          <w:tcPr>
            <w:tcW w:w="717" w:type="dxa"/>
            <w:vAlign w:val="center"/>
          </w:tcPr>
          <w:p w14:paraId="7F27DD6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494</w:t>
            </w:r>
          </w:p>
        </w:tc>
        <w:tc>
          <w:tcPr>
            <w:tcW w:w="696" w:type="dxa"/>
            <w:gridSpan w:val="2"/>
            <w:vAlign w:val="center"/>
          </w:tcPr>
          <w:p w14:paraId="3765BD9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394</w:t>
            </w:r>
          </w:p>
        </w:tc>
        <w:tc>
          <w:tcPr>
            <w:tcW w:w="563" w:type="dxa"/>
            <w:vAlign w:val="center"/>
          </w:tcPr>
          <w:p w14:paraId="552634F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55</w:t>
            </w:r>
          </w:p>
        </w:tc>
        <w:tc>
          <w:tcPr>
            <w:tcW w:w="759" w:type="dxa"/>
            <w:vAlign w:val="center"/>
          </w:tcPr>
          <w:p w14:paraId="35CB115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449</w:t>
            </w:r>
          </w:p>
        </w:tc>
      </w:tr>
      <w:tr w:rsidR="007B2C0D" w:rsidRPr="00CE357F" w14:paraId="705A2FFD" w14:textId="77777777" w:rsidTr="00D60753">
        <w:trPr>
          <w:trHeight w:val="202"/>
          <w:jc w:val="center"/>
        </w:trPr>
        <w:tc>
          <w:tcPr>
            <w:tcW w:w="1555" w:type="dxa"/>
            <w:shd w:val="clear" w:color="auto" w:fill="D9E2F3" w:themeFill="accent1" w:themeFillTint="33"/>
            <w:vAlign w:val="center"/>
          </w:tcPr>
          <w:p w14:paraId="4BCBD810"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Brno-Ivanovice</w:t>
            </w:r>
          </w:p>
        </w:tc>
        <w:tc>
          <w:tcPr>
            <w:tcW w:w="850" w:type="dxa"/>
            <w:vAlign w:val="center"/>
          </w:tcPr>
          <w:p w14:paraId="662CBB6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1 794</w:t>
            </w:r>
          </w:p>
        </w:tc>
        <w:tc>
          <w:tcPr>
            <w:tcW w:w="992" w:type="dxa"/>
            <w:vAlign w:val="center"/>
          </w:tcPr>
          <w:p w14:paraId="5D1E0CD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69</w:t>
            </w:r>
          </w:p>
        </w:tc>
        <w:tc>
          <w:tcPr>
            <w:tcW w:w="1418" w:type="dxa"/>
            <w:vAlign w:val="center"/>
          </w:tcPr>
          <w:p w14:paraId="64E0B887"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3,8 %</w:t>
            </w:r>
          </w:p>
        </w:tc>
        <w:tc>
          <w:tcPr>
            <w:tcW w:w="744" w:type="dxa"/>
            <w:vAlign w:val="center"/>
          </w:tcPr>
          <w:p w14:paraId="1C13F40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38</w:t>
            </w:r>
          </w:p>
        </w:tc>
        <w:tc>
          <w:tcPr>
            <w:tcW w:w="676" w:type="dxa"/>
            <w:vAlign w:val="center"/>
          </w:tcPr>
          <w:p w14:paraId="44847F7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w:t>
            </w:r>
          </w:p>
        </w:tc>
        <w:tc>
          <w:tcPr>
            <w:tcW w:w="717" w:type="dxa"/>
            <w:vAlign w:val="center"/>
          </w:tcPr>
          <w:p w14:paraId="2A1BAFE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43</w:t>
            </w:r>
          </w:p>
        </w:tc>
        <w:tc>
          <w:tcPr>
            <w:tcW w:w="696" w:type="dxa"/>
            <w:gridSpan w:val="2"/>
            <w:vAlign w:val="center"/>
          </w:tcPr>
          <w:p w14:paraId="03392F4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23</w:t>
            </w:r>
          </w:p>
        </w:tc>
        <w:tc>
          <w:tcPr>
            <w:tcW w:w="563" w:type="dxa"/>
            <w:vAlign w:val="center"/>
          </w:tcPr>
          <w:p w14:paraId="43D78D43"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w:t>
            </w:r>
          </w:p>
        </w:tc>
        <w:tc>
          <w:tcPr>
            <w:tcW w:w="759" w:type="dxa"/>
            <w:vAlign w:val="center"/>
          </w:tcPr>
          <w:p w14:paraId="3F530E5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26</w:t>
            </w:r>
          </w:p>
        </w:tc>
      </w:tr>
      <w:tr w:rsidR="007B2C0D" w:rsidRPr="00CE357F" w14:paraId="05790EC1" w14:textId="77777777" w:rsidTr="00D60753">
        <w:trPr>
          <w:trHeight w:val="202"/>
          <w:jc w:val="center"/>
        </w:trPr>
        <w:tc>
          <w:tcPr>
            <w:tcW w:w="1555" w:type="dxa"/>
            <w:shd w:val="clear" w:color="auto" w:fill="D9E2F3" w:themeFill="accent1" w:themeFillTint="33"/>
            <w:vAlign w:val="center"/>
          </w:tcPr>
          <w:p w14:paraId="4EEFFDF0"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Brno-Jehnice</w:t>
            </w:r>
          </w:p>
        </w:tc>
        <w:tc>
          <w:tcPr>
            <w:tcW w:w="850" w:type="dxa"/>
            <w:vAlign w:val="center"/>
          </w:tcPr>
          <w:p w14:paraId="67EDB1E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1 031</w:t>
            </w:r>
          </w:p>
        </w:tc>
        <w:tc>
          <w:tcPr>
            <w:tcW w:w="992" w:type="dxa"/>
            <w:vAlign w:val="center"/>
          </w:tcPr>
          <w:p w14:paraId="24CFFE2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36</w:t>
            </w:r>
          </w:p>
        </w:tc>
        <w:tc>
          <w:tcPr>
            <w:tcW w:w="1418" w:type="dxa"/>
            <w:vAlign w:val="center"/>
          </w:tcPr>
          <w:p w14:paraId="5A571B2D"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3,5 %</w:t>
            </w:r>
          </w:p>
        </w:tc>
        <w:tc>
          <w:tcPr>
            <w:tcW w:w="744" w:type="dxa"/>
            <w:vAlign w:val="center"/>
          </w:tcPr>
          <w:p w14:paraId="5ABA7FD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24</w:t>
            </w:r>
          </w:p>
        </w:tc>
        <w:tc>
          <w:tcPr>
            <w:tcW w:w="676" w:type="dxa"/>
            <w:vAlign w:val="center"/>
          </w:tcPr>
          <w:p w14:paraId="3FC72390" w14:textId="77777777" w:rsidR="007B2C0D" w:rsidRPr="00CE357F" w:rsidRDefault="007B2C0D" w:rsidP="00EA186A">
            <w:pPr>
              <w:jc w:val="center"/>
              <w:rPr>
                <w:rFonts w:ascii="Arial Narrow" w:hAnsi="Arial Narrow"/>
                <w:color w:val="000000"/>
                <w:sz w:val="18"/>
                <w:szCs w:val="18"/>
              </w:rPr>
            </w:pPr>
          </w:p>
        </w:tc>
        <w:tc>
          <w:tcPr>
            <w:tcW w:w="717" w:type="dxa"/>
            <w:vAlign w:val="center"/>
          </w:tcPr>
          <w:p w14:paraId="55AC179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24</w:t>
            </w:r>
          </w:p>
        </w:tc>
        <w:tc>
          <w:tcPr>
            <w:tcW w:w="696" w:type="dxa"/>
            <w:gridSpan w:val="2"/>
            <w:vAlign w:val="center"/>
          </w:tcPr>
          <w:p w14:paraId="4611D23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10</w:t>
            </w:r>
          </w:p>
        </w:tc>
        <w:tc>
          <w:tcPr>
            <w:tcW w:w="563" w:type="dxa"/>
            <w:vAlign w:val="center"/>
          </w:tcPr>
          <w:p w14:paraId="34BBA54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w:t>
            </w:r>
          </w:p>
        </w:tc>
        <w:tc>
          <w:tcPr>
            <w:tcW w:w="759" w:type="dxa"/>
            <w:vAlign w:val="center"/>
          </w:tcPr>
          <w:p w14:paraId="1DC0B8AA"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12</w:t>
            </w:r>
          </w:p>
        </w:tc>
      </w:tr>
      <w:tr w:rsidR="007B2C0D" w:rsidRPr="00CE357F" w14:paraId="1B11A33A" w14:textId="77777777" w:rsidTr="00D60753">
        <w:trPr>
          <w:trHeight w:val="202"/>
          <w:jc w:val="center"/>
        </w:trPr>
        <w:tc>
          <w:tcPr>
            <w:tcW w:w="1555" w:type="dxa"/>
            <w:shd w:val="clear" w:color="auto" w:fill="D9E2F3" w:themeFill="accent1" w:themeFillTint="33"/>
            <w:vAlign w:val="center"/>
          </w:tcPr>
          <w:p w14:paraId="1037B00C"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lastRenderedPageBreak/>
              <w:t>Brno-Kohoutovice</w:t>
            </w:r>
          </w:p>
        </w:tc>
        <w:tc>
          <w:tcPr>
            <w:tcW w:w="850" w:type="dxa"/>
            <w:vAlign w:val="center"/>
          </w:tcPr>
          <w:p w14:paraId="43697D19"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11 999</w:t>
            </w:r>
          </w:p>
        </w:tc>
        <w:tc>
          <w:tcPr>
            <w:tcW w:w="992" w:type="dxa"/>
            <w:vAlign w:val="center"/>
          </w:tcPr>
          <w:p w14:paraId="40F0FF8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378</w:t>
            </w:r>
          </w:p>
        </w:tc>
        <w:tc>
          <w:tcPr>
            <w:tcW w:w="1418" w:type="dxa"/>
            <w:vAlign w:val="center"/>
          </w:tcPr>
          <w:p w14:paraId="7887908B"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3,2 %</w:t>
            </w:r>
          </w:p>
        </w:tc>
        <w:tc>
          <w:tcPr>
            <w:tcW w:w="744" w:type="dxa"/>
            <w:vAlign w:val="center"/>
          </w:tcPr>
          <w:p w14:paraId="03C10EA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204</w:t>
            </w:r>
          </w:p>
        </w:tc>
        <w:tc>
          <w:tcPr>
            <w:tcW w:w="676" w:type="dxa"/>
            <w:vAlign w:val="center"/>
          </w:tcPr>
          <w:p w14:paraId="205C9EC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16</w:t>
            </w:r>
          </w:p>
        </w:tc>
        <w:tc>
          <w:tcPr>
            <w:tcW w:w="717" w:type="dxa"/>
            <w:vAlign w:val="center"/>
          </w:tcPr>
          <w:p w14:paraId="1C44C86F"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220</w:t>
            </w:r>
          </w:p>
        </w:tc>
        <w:tc>
          <w:tcPr>
            <w:tcW w:w="696" w:type="dxa"/>
            <w:gridSpan w:val="2"/>
            <w:vAlign w:val="center"/>
          </w:tcPr>
          <w:p w14:paraId="15CA196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144</w:t>
            </w:r>
          </w:p>
        </w:tc>
        <w:tc>
          <w:tcPr>
            <w:tcW w:w="563" w:type="dxa"/>
            <w:vAlign w:val="center"/>
          </w:tcPr>
          <w:p w14:paraId="053C438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14</w:t>
            </w:r>
          </w:p>
        </w:tc>
        <w:tc>
          <w:tcPr>
            <w:tcW w:w="759" w:type="dxa"/>
            <w:vAlign w:val="center"/>
          </w:tcPr>
          <w:p w14:paraId="73F8639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158</w:t>
            </w:r>
          </w:p>
        </w:tc>
      </w:tr>
      <w:tr w:rsidR="007B2C0D" w:rsidRPr="00CE357F" w14:paraId="74FF918D" w14:textId="77777777" w:rsidTr="00D60753">
        <w:trPr>
          <w:trHeight w:val="202"/>
          <w:jc w:val="center"/>
        </w:trPr>
        <w:tc>
          <w:tcPr>
            <w:tcW w:w="1555" w:type="dxa"/>
            <w:shd w:val="clear" w:color="auto" w:fill="D9E2F3" w:themeFill="accent1" w:themeFillTint="33"/>
            <w:vAlign w:val="center"/>
          </w:tcPr>
          <w:p w14:paraId="0EAF95DB"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Brno-Kníničky</w:t>
            </w:r>
          </w:p>
        </w:tc>
        <w:tc>
          <w:tcPr>
            <w:tcW w:w="850" w:type="dxa"/>
            <w:vAlign w:val="center"/>
          </w:tcPr>
          <w:p w14:paraId="0114A55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1 052</w:t>
            </w:r>
          </w:p>
        </w:tc>
        <w:tc>
          <w:tcPr>
            <w:tcW w:w="992" w:type="dxa"/>
            <w:vAlign w:val="center"/>
          </w:tcPr>
          <w:p w14:paraId="10189A1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28</w:t>
            </w:r>
          </w:p>
        </w:tc>
        <w:tc>
          <w:tcPr>
            <w:tcW w:w="1418" w:type="dxa"/>
            <w:vAlign w:val="center"/>
          </w:tcPr>
          <w:p w14:paraId="1ADCD5EE"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2,7 %</w:t>
            </w:r>
          </w:p>
        </w:tc>
        <w:tc>
          <w:tcPr>
            <w:tcW w:w="744" w:type="dxa"/>
            <w:vAlign w:val="center"/>
          </w:tcPr>
          <w:p w14:paraId="2507BB74"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19</w:t>
            </w:r>
          </w:p>
        </w:tc>
        <w:tc>
          <w:tcPr>
            <w:tcW w:w="676" w:type="dxa"/>
            <w:vAlign w:val="center"/>
          </w:tcPr>
          <w:p w14:paraId="34AF24E0" w14:textId="77777777" w:rsidR="007B2C0D" w:rsidRPr="00CE357F" w:rsidRDefault="007B2C0D" w:rsidP="00EA186A">
            <w:pPr>
              <w:jc w:val="center"/>
              <w:rPr>
                <w:rFonts w:ascii="Arial Narrow" w:hAnsi="Arial Narrow"/>
                <w:color w:val="000000"/>
                <w:sz w:val="18"/>
                <w:szCs w:val="18"/>
              </w:rPr>
            </w:pPr>
          </w:p>
        </w:tc>
        <w:tc>
          <w:tcPr>
            <w:tcW w:w="717" w:type="dxa"/>
            <w:vAlign w:val="center"/>
          </w:tcPr>
          <w:p w14:paraId="3E266B65"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19</w:t>
            </w:r>
          </w:p>
        </w:tc>
        <w:tc>
          <w:tcPr>
            <w:tcW w:w="696" w:type="dxa"/>
            <w:gridSpan w:val="2"/>
            <w:vAlign w:val="center"/>
          </w:tcPr>
          <w:p w14:paraId="62F2E4D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w:t>
            </w:r>
          </w:p>
        </w:tc>
        <w:tc>
          <w:tcPr>
            <w:tcW w:w="563" w:type="dxa"/>
            <w:vAlign w:val="center"/>
          </w:tcPr>
          <w:p w14:paraId="1B42A1F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2</w:t>
            </w:r>
          </w:p>
        </w:tc>
        <w:tc>
          <w:tcPr>
            <w:tcW w:w="759" w:type="dxa"/>
            <w:vAlign w:val="center"/>
          </w:tcPr>
          <w:p w14:paraId="664B621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9</w:t>
            </w:r>
          </w:p>
        </w:tc>
      </w:tr>
      <w:tr w:rsidR="007B2C0D" w:rsidRPr="00CE357F" w14:paraId="2309AFB9" w14:textId="77777777" w:rsidTr="00D60753">
        <w:trPr>
          <w:trHeight w:val="202"/>
          <w:jc w:val="center"/>
        </w:trPr>
        <w:tc>
          <w:tcPr>
            <w:tcW w:w="1555" w:type="dxa"/>
            <w:shd w:val="clear" w:color="auto" w:fill="D9E2F3" w:themeFill="accent1" w:themeFillTint="33"/>
            <w:vAlign w:val="center"/>
          </w:tcPr>
          <w:p w14:paraId="0B7FD612"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Brno-Útěchov</w:t>
            </w:r>
          </w:p>
        </w:tc>
        <w:tc>
          <w:tcPr>
            <w:tcW w:w="850" w:type="dxa"/>
            <w:vAlign w:val="center"/>
          </w:tcPr>
          <w:p w14:paraId="4244302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832</w:t>
            </w:r>
          </w:p>
        </w:tc>
        <w:tc>
          <w:tcPr>
            <w:tcW w:w="992" w:type="dxa"/>
            <w:vAlign w:val="center"/>
          </w:tcPr>
          <w:p w14:paraId="4CF82A2C"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19</w:t>
            </w:r>
          </w:p>
        </w:tc>
        <w:tc>
          <w:tcPr>
            <w:tcW w:w="1418" w:type="dxa"/>
            <w:vAlign w:val="center"/>
          </w:tcPr>
          <w:p w14:paraId="6776CA4D" w14:textId="77777777" w:rsidR="007B2C0D" w:rsidRPr="00CE357F" w:rsidRDefault="007B2C0D" w:rsidP="00EA186A">
            <w:pPr>
              <w:jc w:val="center"/>
              <w:rPr>
                <w:rFonts w:ascii="Arial Narrow" w:hAnsi="Arial Narrow"/>
                <w:sz w:val="18"/>
                <w:szCs w:val="18"/>
              </w:rPr>
            </w:pPr>
            <w:r w:rsidRPr="00CE357F">
              <w:rPr>
                <w:rFonts w:ascii="Arial Narrow" w:hAnsi="Arial Narrow" w:cs="Arial"/>
                <w:sz w:val="18"/>
                <w:szCs w:val="18"/>
              </w:rPr>
              <w:t>2,3 %</w:t>
            </w:r>
          </w:p>
        </w:tc>
        <w:tc>
          <w:tcPr>
            <w:tcW w:w="744" w:type="dxa"/>
            <w:vAlign w:val="center"/>
          </w:tcPr>
          <w:p w14:paraId="533BD087"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w:t>
            </w:r>
          </w:p>
        </w:tc>
        <w:tc>
          <w:tcPr>
            <w:tcW w:w="676" w:type="dxa"/>
            <w:vAlign w:val="center"/>
          </w:tcPr>
          <w:p w14:paraId="38BB9BBE" w14:textId="77777777" w:rsidR="007B2C0D" w:rsidRPr="00CE357F" w:rsidRDefault="007B2C0D" w:rsidP="00EA186A">
            <w:pPr>
              <w:jc w:val="center"/>
              <w:rPr>
                <w:rFonts w:ascii="Arial Narrow" w:hAnsi="Arial Narrow"/>
                <w:color w:val="000000"/>
                <w:sz w:val="18"/>
                <w:szCs w:val="18"/>
              </w:rPr>
            </w:pPr>
          </w:p>
        </w:tc>
        <w:tc>
          <w:tcPr>
            <w:tcW w:w="717" w:type="dxa"/>
            <w:vAlign w:val="center"/>
          </w:tcPr>
          <w:p w14:paraId="1052938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11</w:t>
            </w:r>
          </w:p>
        </w:tc>
        <w:tc>
          <w:tcPr>
            <w:tcW w:w="696" w:type="dxa"/>
            <w:gridSpan w:val="2"/>
            <w:vAlign w:val="center"/>
          </w:tcPr>
          <w:p w14:paraId="4AF365A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7</w:t>
            </w:r>
          </w:p>
        </w:tc>
        <w:tc>
          <w:tcPr>
            <w:tcW w:w="563" w:type="dxa"/>
            <w:vAlign w:val="center"/>
          </w:tcPr>
          <w:p w14:paraId="768FCB46"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w:t>
            </w:r>
          </w:p>
        </w:tc>
        <w:tc>
          <w:tcPr>
            <w:tcW w:w="759" w:type="dxa"/>
            <w:vAlign w:val="center"/>
          </w:tcPr>
          <w:p w14:paraId="0576363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8</w:t>
            </w:r>
          </w:p>
        </w:tc>
      </w:tr>
      <w:tr w:rsidR="007B2C0D" w:rsidRPr="00CE357F" w14:paraId="4AEF5ACA" w14:textId="77777777" w:rsidTr="00D60753">
        <w:trPr>
          <w:trHeight w:val="202"/>
          <w:jc w:val="center"/>
        </w:trPr>
        <w:tc>
          <w:tcPr>
            <w:tcW w:w="1555" w:type="dxa"/>
            <w:shd w:val="clear" w:color="auto" w:fill="D9E2F3" w:themeFill="accent1" w:themeFillTint="33"/>
            <w:vAlign w:val="center"/>
          </w:tcPr>
          <w:p w14:paraId="45A70F58" w14:textId="77777777" w:rsidR="007B2C0D" w:rsidRPr="00CE357F" w:rsidRDefault="007B2C0D" w:rsidP="00EA186A">
            <w:pPr>
              <w:jc w:val="center"/>
              <w:rPr>
                <w:rFonts w:ascii="Arial Narrow" w:eastAsia="Times New Roman" w:hAnsi="Arial Narrow"/>
                <w:color w:val="000000"/>
                <w:sz w:val="18"/>
                <w:szCs w:val="18"/>
                <w:lang w:eastAsia="cs-CZ"/>
              </w:rPr>
            </w:pPr>
            <w:r w:rsidRPr="00CE357F">
              <w:rPr>
                <w:rFonts w:ascii="Arial Narrow" w:eastAsia="Times New Roman" w:hAnsi="Arial Narrow"/>
                <w:color w:val="000000"/>
                <w:sz w:val="18"/>
                <w:szCs w:val="18"/>
                <w:lang w:eastAsia="cs-CZ"/>
              </w:rPr>
              <w:t>Brno-Ořešín</w:t>
            </w:r>
          </w:p>
        </w:tc>
        <w:tc>
          <w:tcPr>
            <w:tcW w:w="850" w:type="dxa"/>
            <w:vAlign w:val="center"/>
          </w:tcPr>
          <w:p w14:paraId="35047338"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580</w:t>
            </w:r>
          </w:p>
        </w:tc>
        <w:tc>
          <w:tcPr>
            <w:tcW w:w="992" w:type="dxa"/>
            <w:vAlign w:val="center"/>
          </w:tcPr>
          <w:p w14:paraId="06C4F36E"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10</w:t>
            </w:r>
          </w:p>
        </w:tc>
        <w:tc>
          <w:tcPr>
            <w:tcW w:w="1418" w:type="dxa"/>
            <w:vAlign w:val="center"/>
          </w:tcPr>
          <w:p w14:paraId="4CBB6C65" w14:textId="77777777" w:rsidR="007B2C0D" w:rsidRPr="00CE357F" w:rsidRDefault="007B2C0D" w:rsidP="00EA186A">
            <w:pPr>
              <w:jc w:val="center"/>
              <w:rPr>
                <w:rFonts w:ascii="Arial Narrow" w:hAnsi="Arial Narrow"/>
                <w:color w:val="000000" w:themeColor="text1"/>
                <w:sz w:val="18"/>
                <w:szCs w:val="18"/>
              </w:rPr>
            </w:pPr>
            <w:r w:rsidRPr="00CE357F">
              <w:rPr>
                <w:rFonts w:ascii="Arial Narrow" w:hAnsi="Arial Narrow" w:cs="Arial"/>
                <w:color w:val="000000" w:themeColor="text1"/>
                <w:sz w:val="18"/>
                <w:szCs w:val="18"/>
              </w:rPr>
              <w:t>1,7 %</w:t>
            </w:r>
          </w:p>
        </w:tc>
        <w:tc>
          <w:tcPr>
            <w:tcW w:w="744" w:type="dxa"/>
            <w:vAlign w:val="center"/>
          </w:tcPr>
          <w:p w14:paraId="4D3A49B0"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w:t>
            </w:r>
          </w:p>
        </w:tc>
        <w:tc>
          <w:tcPr>
            <w:tcW w:w="676" w:type="dxa"/>
            <w:vAlign w:val="center"/>
          </w:tcPr>
          <w:p w14:paraId="5029CD76" w14:textId="77777777" w:rsidR="007B2C0D" w:rsidRPr="00CE357F" w:rsidRDefault="007B2C0D" w:rsidP="00EA186A">
            <w:pPr>
              <w:jc w:val="center"/>
              <w:rPr>
                <w:rFonts w:ascii="Arial Narrow" w:hAnsi="Arial Narrow"/>
                <w:color w:val="000000"/>
                <w:sz w:val="18"/>
                <w:szCs w:val="18"/>
              </w:rPr>
            </w:pPr>
          </w:p>
        </w:tc>
        <w:tc>
          <w:tcPr>
            <w:tcW w:w="717" w:type="dxa"/>
            <w:vAlign w:val="center"/>
          </w:tcPr>
          <w:p w14:paraId="6EBC109D"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w:t>
            </w:r>
          </w:p>
        </w:tc>
        <w:tc>
          <w:tcPr>
            <w:tcW w:w="696" w:type="dxa"/>
            <w:gridSpan w:val="2"/>
            <w:vAlign w:val="center"/>
          </w:tcPr>
          <w:p w14:paraId="3FD654B1"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w:t>
            </w:r>
          </w:p>
        </w:tc>
        <w:tc>
          <w:tcPr>
            <w:tcW w:w="563" w:type="dxa"/>
            <w:vAlign w:val="center"/>
          </w:tcPr>
          <w:p w14:paraId="1C7BD54E" w14:textId="77777777" w:rsidR="007B2C0D" w:rsidRPr="00CE357F" w:rsidRDefault="007B2C0D" w:rsidP="00EA186A">
            <w:pPr>
              <w:jc w:val="center"/>
              <w:rPr>
                <w:rFonts w:ascii="Arial Narrow" w:hAnsi="Arial Narrow"/>
                <w:color w:val="000000"/>
                <w:sz w:val="18"/>
                <w:szCs w:val="18"/>
              </w:rPr>
            </w:pPr>
          </w:p>
        </w:tc>
        <w:tc>
          <w:tcPr>
            <w:tcW w:w="759" w:type="dxa"/>
            <w:vAlign w:val="center"/>
          </w:tcPr>
          <w:p w14:paraId="55B2E45B" w14:textId="77777777" w:rsidR="007B2C0D" w:rsidRPr="00CE357F" w:rsidRDefault="007B2C0D" w:rsidP="00EA186A">
            <w:pPr>
              <w:jc w:val="center"/>
              <w:rPr>
                <w:rFonts w:ascii="Arial Narrow" w:hAnsi="Arial Narrow"/>
                <w:color w:val="000000"/>
                <w:sz w:val="18"/>
                <w:szCs w:val="18"/>
              </w:rPr>
            </w:pPr>
            <w:r w:rsidRPr="00CE357F">
              <w:rPr>
                <w:rFonts w:ascii="Arial Narrow" w:hAnsi="Arial Narrow"/>
                <w:color w:val="000000"/>
                <w:sz w:val="18"/>
                <w:szCs w:val="18"/>
              </w:rPr>
              <w:t>5</w:t>
            </w:r>
          </w:p>
        </w:tc>
      </w:tr>
      <w:tr w:rsidR="00EA186A" w:rsidRPr="00CE357F" w14:paraId="702727D7" w14:textId="77777777" w:rsidTr="00D60753">
        <w:trPr>
          <w:trHeight w:val="202"/>
          <w:jc w:val="center"/>
        </w:trPr>
        <w:tc>
          <w:tcPr>
            <w:tcW w:w="1555" w:type="dxa"/>
            <w:shd w:val="clear" w:color="auto" w:fill="D9E2F3" w:themeFill="accent1" w:themeFillTint="33"/>
            <w:vAlign w:val="center"/>
          </w:tcPr>
          <w:p w14:paraId="7AF30C88" w14:textId="77777777" w:rsidR="00EA186A" w:rsidRPr="00CE357F" w:rsidRDefault="00EA186A" w:rsidP="00EA186A">
            <w:pPr>
              <w:jc w:val="center"/>
              <w:rPr>
                <w:rFonts w:ascii="Arial Narrow" w:eastAsia="Times New Roman" w:hAnsi="Arial Narrow"/>
                <w:b/>
                <w:color w:val="000000"/>
                <w:sz w:val="18"/>
                <w:szCs w:val="18"/>
                <w:lang w:eastAsia="cs-CZ"/>
              </w:rPr>
            </w:pPr>
            <w:r w:rsidRPr="00CE357F">
              <w:rPr>
                <w:rFonts w:ascii="Arial Narrow" w:eastAsia="Times New Roman" w:hAnsi="Arial Narrow"/>
                <w:b/>
                <w:color w:val="000000"/>
                <w:sz w:val="18"/>
                <w:szCs w:val="18"/>
                <w:lang w:eastAsia="cs-CZ"/>
              </w:rPr>
              <w:t>CELKEM:</w:t>
            </w:r>
          </w:p>
        </w:tc>
        <w:tc>
          <w:tcPr>
            <w:tcW w:w="850" w:type="dxa"/>
            <w:vAlign w:val="center"/>
          </w:tcPr>
          <w:p w14:paraId="5934AABA" w14:textId="77777777" w:rsidR="00EA186A" w:rsidRPr="00CE357F" w:rsidRDefault="00EA186A" w:rsidP="00EA186A">
            <w:pPr>
              <w:jc w:val="center"/>
              <w:rPr>
                <w:rFonts w:ascii="Arial Narrow" w:hAnsi="Arial Narrow" w:cs="Arial"/>
                <w:b/>
                <w:sz w:val="18"/>
                <w:szCs w:val="18"/>
              </w:rPr>
            </w:pPr>
            <w:r w:rsidRPr="00CE357F">
              <w:rPr>
                <w:rFonts w:ascii="Arial Narrow" w:hAnsi="Arial Narrow" w:cs="Arial"/>
                <w:b/>
                <w:sz w:val="18"/>
                <w:szCs w:val="18"/>
              </w:rPr>
              <w:t>376 431</w:t>
            </w:r>
          </w:p>
        </w:tc>
        <w:tc>
          <w:tcPr>
            <w:tcW w:w="992" w:type="dxa"/>
            <w:vAlign w:val="center"/>
          </w:tcPr>
          <w:p w14:paraId="54867C02" w14:textId="77777777" w:rsidR="00EA186A" w:rsidRPr="00CE357F" w:rsidRDefault="00EA186A" w:rsidP="00EA186A">
            <w:pPr>
              <w:jc w:val="center"/>
              <w:rPr>
                <w:rFonts w:ascii="Arial Narrow" w:hAnsi="Arial Narrow" w:cs="Arial"/>
                <w:b/>
                <w:sz w:val="18"/>
                <w:szCs w:val="18"/>
              </w:rPr>
            </w:pPr>
            <w:r w:rsidRPr="00CE357F">
              <w:rPr>
                <w:rFonts w:ascii="Arial Narrow" w:hAnsi="Arial Narrow" w:cs="Arial"/>
                <w:b/>
                <w:sz w:val="18"/>
                <w:szCs w:val="18"/>
              </w:rPr>
              <w:t>34 203</w:t>
            </w:r>
          </w:p>
        </w:tc>
        <w:tc>
          <w:tcPr>
            <w:tcW w:w="1418" w:type="dxa"/>
            <w:vAlign w:val="center"/>
          </w:tcPr>
          <w:p w14:paraId="46503BC8" w14:textId="77777777" w:rsidR="00EA186A" w:rsidRPr="00CE357F" w:rsidRDefault="00EA186A" w:rsidP="00EA186A">
            <w:pPr>
              <w:jc w:val="center"/>
              <w:rPr>
                <w:rFonts w:ascii="Arial Narrow" w:hAnsi="Arial Narrow"/>
                <w:b/>
                <w:bCs/>
                <w:sz w:val="18"/>
                <w:szCs w:val="18"/>
              </w:rPr>
            </w:pPr>
            <w:r w:rsidRPr="00CE357F">
              <w:rPr>
                <w:rFonts w:ascii="Arial Narrow" w:hAnsi="Arial Narrow" w:cs="Arial"/>
                <w:b/>
                <w:bCs/>
                <w:sz w:val="18"/>
                <w:szCs w:val="18"/>
              </w:rPr>
              <w:t>9,1 %</w:t>
            </w:r>
          </w:p>
        </w:tc>
        <w:tc>
          <w:tcPr>
            <w:tcW w:w="744" w:type="dxa"/>
            <w:vAlign w:val="center"/>
          </w:tcPr>
          <w:p w14:paraId="0F124672" w14:textId="2C899A90" w:rsidR="00EA186A" w:rsidRPr="00CE357F" w:rsidRDefault="00EA186A" w:rsidP="00EA186A">
            <w:pPr>
              <w:jc w:val="center"/>
              <w:rPr>
                <w:rFonts w:ascii="Arial Narrow" w:hAnsi="Arial Narrow"/>
                <w:b/>
                <w:bCs/>
                <w:color w:val="000000"/>
                <w:sz w:val="18"/>
                <w:szCs w:val="18"/>
              </w:rPr>
            </w:pPr>
            <w:r w:rsidRPr="00CE357F">
              <w:rPr>
                <w:rFonts w:ascii="Arial Narrow" w:hAnsi="Arial Narrow"/>
                <w:b/>
                <w:bCs/>
                <w:color w:val="000000"/>
                <w:sz w:val="18"/>
                <w:szCs w:val="18"/>
              </w:rPr>
              <w:t>18</w:t>
            </w:r>
            <w:r w:rsidR="00D60753">
              <w:rPr>
                <w:rFonts w:ascii="Arial Narrow" w:hAnsi="Arial Narrow"/>
                <w:b/>
                <w:bCs/>
                <w:color w:val="000000"/>
                <w:sz w:val="18"/>
                <w:szCs w:val="18"/>
              </w:rPr>
              <w:t xml:space="preserve"> </w:t>
            </w:r>
            <w:r w:rsidRPr="00CE357F">
              <w:rPr>
                <w:rFonts w:ascii="Arial Narrow" w:hAnsi="Arial Narrow"/>
                <w:b/>
                <w:bCs/>
                <w:color w:val="000000"/>
                <w:sz w:val="18"/>
                <w:szCs w:val="18"/>
              </w:rPr>
              <w:t>611</w:t>
            </w:r>
          </w:p>
        </w:tc>
        <w:tc>
          <w:tcPr>
            <w:tcW w:w="676" w:type="dxa"/>
            <w:vAlign w:val="center"/>
          </w:tcPr>
          <w:p w14:paraId="4B252E46" w14:textId="77777777" w:rsidR="00EA186A" w:rsidRPr="00CE357F" w:rsidRDefault="00EA186A" w:rsidP="00EA186A">
            <w:pPr>
              <w:jc w:val="center"/>
              <w:rPr>
                <w:rFonts w:ascii="Arial Narrow" w:hAnsi="Arial Narrow"/>
                <w:b/>
                <w:bCs/>
                <w:color w:val="000000"/>
                <w:sz w:val="18"/>
                <w:szCs w:val="18"/>
              </w:rPr>
            </w:pPr>
            <w:r w:rsidRPr="00CE357F">
              <w:rPr>
                <w:rFonts w:ascii="Arial Narrow" w:hAnsi="Arial Narrow"/>
                <w:b/>
                <w:bCs/>
                <w:color w:val="000000"/>
                <w:sz w:val="18"/>
                <w:szCs w:val="18"/>
              </w:rPr>
              <w:t>1426</w:t>
            </w:r>
          </w:p>
        </w:tc>
        <w:tc>
          <w:tcPr>
            <w:tcW w:w="717" w:type="dxa"/>
            <w:vAlign w:val="center"/>
          </w:tcPr>
          <w:p w14:paraId="6C6D095F" w14:textId="77777777" w:rsidR="00EA186A" w:rsidRPr="00CE357F" w:rsidRDefault="00EA186A" w:rsidP="00EA186A">
            <w:pPr>
              <w:jc w:val="center"/>
              <w:rPr>
                <w:rFonts w:ascii="Arial Narrow" w:hAnsi="Arial Narrow"/>
                <w:b/>
                <w:bCs/>
                <w:color w:val="000000"/>
                <w:sz w:val="18"/>
                <w:szCs w:val="18"/>
              </w:rPr>
            </w:pPr>
            <w:r w:rsidRPr="00CE357F">
              <w:rPr>
                <w:rFonts w:ascii="Arial Narrow" w:hAnsi="Arial Narrow"/>
                <w:b/>
                <w:bCs/>
                <w:color w:val="000000"/>
                <w:sz w:val="18"/>
                <w:szCs w:val="18"/>
              </w:rPr>
              <w:t>20037</w:t>
            </w:r>
          </w:p>
        </w:tc>
        <w:tc>
          <w:tcPr>
            <w:tcW w:w="696" w:type="dxa"/>
            <w:gridSpan w:val="2"/>
            <w:vAlign w:val="center"/>
          </w:tcPr>
          <w:p w14:paraId="2E0D6877" w14:textId="77777777" w:rsidR="00EA186A" w:rsidRPr="00CE357F" w:rsidRDefault="00EA186A" w:rsidP="00EA186A">
            <w:pPr>
              <w:jc w:val="center"/>
              <w:rPr>
                <w:rFonts w:ascii="Arial Narrow" w:hAnsi="Arial Narrow"/>
                <w:b/>
                <w:bCs/>
                <w:color w:val="000000"/>
                <w:sz w:val="18"/>
                <w:szCs w:val="18"/>
              </w:rPr>
            </w:pPr>
            <w:r w:rsidRPr="00CE357F">
              <w:rPr>
                <w:rFonts w:ascii="Arial Narrow" w:hAnsi="Arial Narrow"/>
                <w:b/>
                <w:bCs/>
                <w:color w:val="000000"/>
                <w:sz w:val="18"/>
                <w:szCs w:val="18"/>
              </w:rPr>
              <w:t>12752</w:t>
            </w:r>
          </w:p>
        </w:tc>
        <w:tc>
          <w:tcPr>
            <w:tcW w:w="563" w:type="dxa"/>
            <w:vAlign w:val="center"/>
          </w:tcPr>
          <w:p w14:paraId="536D66BC" w14:textId="77777777" w:rsidR="00EA186A" w:rsidRPr="00CE357F" w:rsidRDefault="00EA186A" w:rsidP="00EA186A">
            <w:pPr>
              <w:jc w:val="center"/>
              <w:rPr>
                <w:rFonts w:ascii="Arial Narrow" w:hAnsi="Arial Narrow"/>
                <w:b/>
                <w:bCs/>
                <w:color w:val="000000"/>
                <w:sz w:val="18"/>
                <w:szCs w:val="18"/>
              </w:rPr>
            </w:pPr>
            <w:r w:rsidRPr="00CE357F">
              <w:rPr>
                <w:rFonts w:ascii="Arial Narrow" w:hAnsi="Arial Narrow"/>
                <w:b/>
                <w:bCs/>
                <w:color w:val="000000"/>
                <w:sz w:val="18"/>
                <w:szCs w:val="18"/>
              </w:rPr>
              <w:t>1414</w:t>
            </w:r>
          </w:p>
        </w:tc>
        <w:tc>
          <w:tcPr>
            <w:tcW w:w="759" w:type="dxa"/>
            <w:vAlign w:val="center"/>
          </w:tcPr>
          <w:p w14:paraId="270B1B68" w14:textId="77777777" w:rsidR="00EA186A" w:rsidRPr="00CE357F" w:rsidRDefault="00EA186A" w:rsidP="00EA186A">
            <w:pPr>
              <w:jc w:val="center"/>
              <w:rPr>
                <w:rFonts w:ascii="Arial Narrow" w:hAnsi="Arial Narrow"/>
                <w:b/>
                <w:bCs/>
                <w:color w:val="000000"/>
                <w:sz w:val="18"/>
                <w:szCs w:val="18"/>
              </w:rPr>
            </w:pPr>
            <w:r w:rsidRPr="00CE357F">
              <w:rPr>
                <w:rFonts w:ascii="Arial Narrow" w:hAnsi="Arial Narrow"/>
                <w:b/>
                <w:bCs/>
                <w:color w:val="000000"/>
                <w:sz w:val="18"/>
                <w:szCs w:val="18"/>
              </w:rPr>
              <w:t>14166</w:t>
            </w:r>
          </w:p>
        </w:tc>
      </w:tr>
    </w:tbl>
    <w:p w14:paraId="340AD231" w14:textId="57DC260F" w:rsidR="0064499B" w:rsidRPr="001333A8" w:rsidRDefault="00EA186A" w:rsidP="001333A8">
      <w:pPr>
        <w:spacing w:after="240"/>
        <w:rPr>
          <w:rFonts w:ascii="Arial Narrow" w:hAnsi="Arial Narrow"/>
          <w:sz w:val="20"/>
          <w:szCs w:val="20"/>
        </w:rPr>
      </w:pPr>
      <w:r w:rsidRPr="00CE357F">
        <w:rPr>
          <w:rFonts w:ascii="Arial Narrow" w:hAnsi="Arial Narrow"/>
          <w:color w:val="000000"/>
          <w:sz w:val="20"/>
          <w:szCs w:val="20"/>
          <w:lang w:eastAsia="cs-CZ"/>
        </w:rPr>
        <w:t xml:space="preserve">Zdroj: Ministerstvo </w:t>
      </w:r>
      <w:r w:rsidR="00AD3798">
        <w:rPr>
          <w:rFonts w:ascii="Arial Narrow" w:hAnsi="Arial Narrow"/>
          <w:color w:val="000000"/>
          <w:sz w:val="20"/>
          <w:szCs w:val="20"/>
          <w:lang w:eastAsia="cs-CZ"/>
        </w:rPr>
        <w:t>v</w:t>
      </w:r>
      <w:r w:rsidR="00AD3798" w:rsidRPr="00CE357F">
        <w:rPr>
          <w:rFonts w:ascii="Arial Narrow" w:hAnsi="Arial Narrow"/>
          <w:color w:val="000000"/>
          <w:sz w:val="20"/>
          <w:szCs w:val="20"/>
          <w:lang w:eastAsia="cs-CZ"/>
        </w:rPr>
        <w:t xml:space="preserve">nitra </w:t>
      </w:r>
      <w:r w:rsidRPr="00CE357F">
        <w:rPr>
          <w:rFonts w:ascii="Arial Narrow" w:hAnsi="Arial Narrow"/>
          <w:color w:val="000000"/>
          <w:sz w:val="20"/>
          <w:szCs w:val="20"/>
          <w:lang w:eastAsia="cs-CZ"/>
        </w:rPr>
        <w:t>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457220ED" w14:textId="01D06DA4" w:rsidR="00EA186A" w:rsidRPr="00CE357F" w:rsidRDefault="00D62C17" w:rsidP="00EA186A">
      <w:pPr>
        <w:spacing w:after="240" w:line="276" w:lineRule="auto"/>
        <w:rPr>
          <w:rFonts w:ascii="Arial Narrow" w:hAnsi="Arial Narrow"/>
          <w:b/>
          <w:bCs/>
        </w:rPr>
      </w:pPr>
      <w:r w:rsidRPr="00CE357F">
        <w:rPr>
          <w:rFonts w:ascii="Arial Narrow" w:hAnsi="Arial Narrow"/>
          <w:b/>
          <w:bCs/>
        </w:rPr>
        <w:t>Osoby s jinou než českou státní příslušností</w:t>
      </w:r>
      <w:r w:rsidR="00EA186A" w:rsidRPr="00CE357F">
        <w:rPr>
          <w:rFonts w:ascii="Arial Narrow" w:hAnsi="Arial Narrow"/>
          <w:b/>
          <w:bCs/>
        </w:rPr>
        <w:t xml:space="preserve"> v ORP Brno k datu 1. 1. 2022</w:t>
      </w:r>
    </w:p>
    <w:p w14:paraId="777836A4" w14:textId="123619D1" w:rsidR="00D53EE1" w:rsidRDefault="00D53EE1" w:rsidP="001333A8">
      <w:pPr>
        <w:spacing w:after="240" w:line="276" w:lineRule="auto"/>
        <w:jc w:val="both"/>
        <w:rPr>
          <w:rFonts w:ascii="Arial Narrow" w:hAnsi="Arial Narrow"/>
          <w:color w:val="000000"/>
        </w:rPr>
      </w:pPr>
      <w:r w:rsidRPr="00D53EE1">
        <w:rPr>
          <w:rFonts w:ascii="Arial Narrow" w:hAnsi="Arial Narrow"/>
          <w:color w:val="000000"/>
        </w:rPr>
        <w:t>V ORP Brno žilo k datu 1. 1. 2022 celkem 38 741 osob s jinou než českou státní příslušností, tedy o 4 538 osob více než k 1. 1. 2021. Osoby s jinou než českou státní příslušností tvořily k tomuto datu 9,4 % všech obyvatel ORP Brno. Z celkového počtu 38 741 osob s jinou než českou státní příslušností se jednalo o 20 910 mužů a 14 840 žen. Děti do 15 let tvořily k 1. 1. 2022 celkem 7,71 % všech osob s jinou než českou státní příslušností žijících na území ORP Brno.</w:t>
      </w:r>
      <w:r w:rsidRPr="00CE357F">
        <w:rPr>
          <w:rFonts w:ascii="Arial Narrow" w:hAnsi="Arial Narrow"/>
          <w:color w:val="000000"/>
        </w:rPr>
        <w:t xml:space="preserve"> Počty osob s jinou než českou státní příslušností na území jednotlivých městských částí ORP včetně rozdělení těchto osob podle pohlaví a věku podrobně dokumentuje tabulka</w:t>
      </w:r>
      <w:r w:rsidR="001333A8">
        <w:rPr>
          <w:rFonts w:ascii="Arial Narrow" w:hAnsi="Arial Narrow"/>
          <w:color w:val="000000"/>
        </w:rPr>
        <w:t xml:space="preserve"> č. 35</w:t>
      </w:r>
      <w:r w:rsidRPr="00CE357F">
        <w:rPr>
          <w:rFonts w:ascii="Arial Narrow" w:hAnsi="Arial Narrow"/>
          <w:color w:val="000000"/>
        </w:rPr>
        <w:t>.</w:t>
      </w:r>
    </w:p>
    <w:p w14:paraId="2E4623C8" w14:textId="3EF2F5C9" w:rsidR="00D53EE1" w:rsidRPr="00CE357F" w:rsidRDefault="00D53EE1" w:rsidP="00D53EE1">
      <w:pPr>
        <w:jc w:val="both"/>
        <w:rPr>
          <w:rFonts w:ascii="Arial Narrow" w:hAnsi="Arial Narrow"/>
          <w:b/>
          <w:sz w:val="24"/>
        </w:rPr>
      </w:pPr>
      <w:bookmarkStart w:id="646" w:name="_Toc136429246"/>
      <w:r w:rsidRPr="00CE357F">
        <w:rPr>
          <w:rFonts w:ascii="Arial Narrow" w:hAnsi="Arial Narrow"/>
          <w:b/>
          <w:bCs/>
          <w:sz w:val="20"/>
          <w:szCs w:val="18"/>
        </w:rPr>
        <w:t xml:space="preserve">Tabulka </w:t>
      </w:r>
      <w:r w:rsidRPr="00CE357F">
        <w:rPr>
          <w:rFonts w:ascii="Arial Narrow" w:hAnsi="Arial Narrow"/>
          <w:b/>
          <w:bCs/>
          <w:sz w:val="20"/>
          <w:szCs w:val="18"/>
        </w:rPr>
        <w:fldChar w:fldCharType="begin"/>
      </w:r>
      <w:r w:rsidRPr="00CE357F">
        <w:rPr>
          <w:rFonts w:ascii="Arial Narrow" w:hAnsi="Arial Narrow"/>
          <w:b/>
          <w:bCs/>
          <w:sz w:val="20"/>
          <w:szCs w:val="18"/>
        </w:rPr>
        <w:instrText xml:space="preserve"> SEQ Tabulka \* ARABIC </w:instrText>
      </w:r>
      <w:r w:rsidRPr="00CE357F">
        <w:rPr>
          <w:rFonts w:ascii="Arial Narrow" w:hAnsi="Arial Narrow"/>
          <w:b/>
          <w:bCs/>
          <w:sz w:val="20"/>
          <w:szCs w:val="18"/>
        </w:rPr>
        <w:fldChar w:fldCharType="separate"/>
      </w:r>
      <w:r w:rsidR="00256C97">
        <w:rPr>
          <w:rFonts w:ascii="Arial Narrow" w:hAnsi="Arial Narrow"/>
          <w:b/>
          <w:bCs/>
          <w:noProof/>
          <w:sz w:val="20"/>
          <w:szCs w:val="18"/>
        </w:rPr>
        <w:t>35</w:t>
      </w:r>
      <w:r w:rsidRPr="00CE357F">
        <w:rPr>
          <w:rFonts w:ascii="Arial Narrow" w:hAnsi="Arial Narrow"/>
          <w:b/>
          <w:bCs/>
          <w:sz w:val="20"/>
          <w:szCs w:val="18"/>
        </w:rPr>
        <w:fldChar w:fldCharType="end"/>
      </w:r>
      <w:r w:rsidRPr="00CE357F">
        <w:rPr>
          <w:rFonts w:ascii="Arial Narrow" w:hAnsi="Arial Narrow"/>
          <w:b/>
          <w:bCs/>
          <w:sz w:val="20"/>
          <w:szCs w:val="18"/>
        </w:rPr>
        <w:t xml:space="preserve">:  </w:t>
      </w:r>
      <w:r w:rsidRPr="00CE357F">
        <w:rPr>
          <w:rFonts w:ascii="Arial Narrow" w:eastAsia="Times New Roman" w:hAnsi="Arial Narrow" w:cs="Arial"/>
          <w:b/>
          <w:bCs/>
          <w:sz w:val="20"/>
          <w:szCs w:val="18"/>
          <w:lang w:eastAsia="cs-CZ"/>
        </w:rPr>
        <w:t xml:space="preserve">Podíl osob s jinou než českou státní příslušností na celkovém počtu obyvatel městských částí ORP Brno </w:t>
      </w:r>
      <w:r w:rsidR="00765AAA">
        <w:rPr>
          <w:rFonts w:ascii="Arial Narrow" w:eastAsia="Times New Roman" w:hAnsi="Arial Narrow" w:cs="Arial"/>
          <w:b/>
          <w:bCs/>
          <w:sz w:val="20"/>
          <w:szCs w:val="18"/>
          <w:lang w:eastAsia="cs-CZ"/>
        </w:rPr>
        <w:t>k datu 1. 1.</w:t>
      </w:r>
      <w:r w:rsidR="00765AAA" w:rsidRPr="00CE357F">
        <w:rPr>
          <w:rFonts w:ascii="Arial Narrow" w:eastAsia="Times New Roman" w:hAnsi="Arial Narrow" w:cs="Arial"/>
          <w:b/>
          <w:bCs/>
          <w:sz w:val="20"/>
          <w:szCs w:val="18"/>
          <w:lang w:eastAsia="cs-CZ"/>
        </w:rPr>
        <w:t xml:space="preserve"> 202</w:t>
      </w:r>
      <w:r w:rsidR="00765AAA">
        <w:rPr>
          <w:rFonts w:ascii="Arial Narrow" w:eastAsia="Times New Roman" w:hAnsi="Arial Narrow" w:cs="Arial"/>
          <w:b/>
          <w:bCs/>
          <w:sz w:val="20"/>
          <w:szCs w:val="18"/>
          <w:lang w:eastAsia="cs-CZ"/>
        </w:rPr>
        <w:t>2</w:t>
      </w:r>
      <w:bookmarkEnd w:id="646"/>
    </w:p>
    <w:tbl>
      <w:tblPr>
        <w:tblW w:w="4949"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55"/>
        <w:gridCol w:w="992"/>
        <w:gridCol w:w="992"/>
        <w:gridCol w:w="1276"/>
        <w:gridCol w:w="701"/>
        <w:gridCol w:w="648"/>
        <w:gridCol w:w="717"/>
        <w:gridCol w:w="567"/>
        <w:gridCol w:w="116"/>
        <w:gridCol w:w="689"/>
        <w:gridCol w:w="717"/>
      </w:tblGrid>
      <w:tr w:rsidR="00D53EE1" w:rsidRPr="00CE357F" w14:paraId="7BB4D6AA" w14:textId="77777777" w:rsidTr="00F45357">
        <w:trPr>
          <w:trHeight w:val="202"/>
          <w:jc w:val="center"/>
        </w:trPr>
        <w:tc>
          <w:tcPr>
            <w:tcW w:w="1555" w:type="dxa"/>
            <w:vMerge w:val="restart"/>
            <w:shd w:val="clear" w:color="auto" w:fill="D9E2F3" w:themeFill="accent1" w:themeFillTint="33"/>
            <w:vAlign w:val="center"/>
          </w:tcPr>
          <w:p w14:paraId="53D7823A" w14:textId="77777777" w:rsidR="00D53EE1" w:rsidRPr="00CE357F" w:rsidRDefault="00D53EE1" w:rsidP="004A0C47">
            <w:pPr>
              <w:jc w:val="center"/>
              <w:rPr>
                <w:rFonts w:ascii="Arial Narrow" w:hAnsi="Arial Narrow"/>
                <w:sz w:val="18"/>
                <w:szCs w:val="18"/>
              </w:rPr>
            </w:pPr>
            <w:r w:rsidRPr="00CE357F">
              <w:rPr>
                <w:rFonts w:ascii="Arial Narrow" w:eastAsia="Times New Roman" w:hAnsi="Arial Narrow" w:cs="Arial"/>
                <w:sz w:val="18"/>
                <w:szCs w:val="18"/>
                <w:lang w:eastAsia="cs-CZ"/>
              </w:rPr>
              <w:t>Název MČ</w:t>
            </w:r>
          </w:p>
        </w:tc>
        <w:tc>
          <w:tcPr>
            <w:tcW w:w="992" w:type="dxa"/>
            <w:vMerge w:val="restart"/>
            <w:shd w:val="clear" w:color="auto" w:fill="D9E2F3" w:themeFill="accent1" w:themeFillTint="33"/>
            <w:vAlign w:val="center"/>
          </w:tcPr>
          <w:p w14:paraId="0DABCB5B" w14:textId="77777777" w:rsidR="00D53EE1" w:rsidRPr="00CE357F" w:rsidRDefault="00D53EE1" w:rsidP="004A0C47">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Celkem obyvatel</w:t>
            </w:r>
          </w:p>
        </w:tc>
        <w:tc>
          <w:tcPr>
            <w:tcW w:w="992" w:type="dxa"/>
            <w:vMerge w:val="restart"/>
            <w:shd w:val="clear" w:color="auto" w:fill="D9E2F3" w:themeFill="accent1" w:themeFillTint="33"/>
            <w:vAlign w:val="center"/>
          </w:tcPr>
          <w:p w14:paraId="12A52533" w14:textId="77777777" w:rsidR="00D53EE1" w:rsidRPr="00CE357F" w:rsidRDefault="00D53EE1" w:rsidP="004A0C47">
            <w:pPr>
              <w:jc w:val="center"/>
              <w:rPr>
                <w:rFonts w:ascii="Arial Narrow" w:hAnsi="Arial Narrow"/>
                <w:sz w:val="18"/>
                <w:szCs w:val="18"/>
              </w:rPr>
            </w:pPr>
            <w:r w:rsidRPr="00CE357F">
              <w:rPr>
                <w:rFonts w:ascii="Arial Narrow" w:hAnsi="Arial Narrow"/>
                <w:bCs/>
                <w:color w:val="000000"/>
                <w:sz w:val="18"/>
                <w:szCs w:val="18"/>
              </w:rPr>
              <w:t>Osoby s jinou než českou státní příslušností</w:t>
            </w:r>
            <w:r w:rsidRPr="00CE357F">
              <w:rPr>
                <w:rFonts w:ascii="Arial Narrow" w:eastAsia="Times New Roman" w:hAnsi="Arial Narrow" w:cs="Arial"/>
                <w:bCs/>
                <w:sz w:val="18"/>
                <w:szCs w:val="18"/>
                <w:lang w:eastAsia="cs-CZ"/>
              </w:rPr>
              <w:t xml:space="preserve"> celkem</w:t>
            </w:r>
          </w:p>
        </w:tc>
        <w:tc>
          <w:tcPr>
            <w:tcW w:w="1276" w:type="dxa"/>
            <w:vMerge w:val="restart"/>
            <w:shd w:val="clear" w:color="auto" w:fill="D9E2F3" w:themeFill="accent1" w:themeFillTint="33"/>
            <w:vAlign w:val="center"/>
          </w:tcPr>
          <w:p w14:paraId="6490BF69" w14:textId="77777777" w:rsidR="00D53EE1" w:rsidRPr="00CE357F" w:rsidRDefault="00D53EE1"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 xml:space="preserve">Podíl </w:t>
            </w:r>
            <w:r w:rsidRPr="00CE357F">
              <w:rPr>
                <w:rFonts w:ascii="Arial Narrow" w:hAnsi="Arial Narrow"/>
                <w:bCs/>
                <w:color w:val="000000"/>
                <w:sz w:val="18"/>
                <w:szCs w:val="18"/>
              </w:rPr>
              <w:t>osob s jinou než českou státní příslušností</w:t>
            </w:r>
            <w:r w:rsidRPr="00CE357F">
              <w:rPr>
                <w:rFonts w:ascii="Arial Narrow" w:eastAsia="Times New Roman" w:hAnsi="Arial Narrow" w:cs="Arial"/>
                <w:bCs/>
                <w:sz w:val="18"/>
                <w:szCs w:val="18"/>
                <w:lang w:eastAsia="cs-CZ"/>
              </w:rPr>
              <w:t xml:space="preserve"> na celkovém počtu obyvatel</w:t>
            </w:r>
          </w:p>
        </w:tc>
        <w:tc>
          <w:tcPr>
            <w:tcW w:w="2066" w:type="dxa"/>
            <w:gridSpan w:val="3"/>
            <w:shd w:val="clear" w:color="auto" w:fill="D9E2F3" w:themeFill="accent1" w:themeFillTint="33"/>
            <w:vAlign w:val="center"/>
          </w:tcPr>
          <w:p w14:paraId="200C0D97" w14:textId="77777777" w:rsidR="00D53EE1" w:rsidRPr="00CE357F" w:rsidRDefault="00D53EE1" w:rsidP="004A0C47">
            <w:pPr>
              <w:jc w:val="center"/>
              <w:rPr>
                <w:rFonts w:ascii="Arial Narrow" w:hAnsi="Arial Narrow"/>
                <w:b/>
                <w:bCs/>
                <w:sz w:val="18"/>
                <w:szCs w:val="18"/>
              </w:rPr>
            </w:pPr>
            <w:r w:rsidRPr="00CE357F">
              <w:rPr>
                <w:rFonts w:ascii="Arial Narrow" w:eastAsia="Times New Roman" w:hAnsi="Arial Narrow" w:cs="Arial"/>
                <w:b/>
                <w:bCs/>
                <w:sz w:val="18"/>
                <w:szCs w:val="18"/>
                <w:lang w:eastAsia="cs-CZ"/>
              </w:rPr>
              <w:t>Muži</w:t>
            </w:r>
          </w:p>
        </w:tc>
        <w:tc>
          <w:tcPr>
            <w:tcW w:w="2089" w:type="dxa"/>
            <w:gridSpan w:val="4"/>
            <w:shd w:val="clear" w:color="auto" w:fill="D9E2F3" w:themeFill="accent1" w:themeFillTint="33"/>
            <w:vAlign w:val="center"/>
          </w:tcPr>
          <w:p w14:paraId="097229A8" w14:textId="77777777" w:rsidR="00D53EE1" w:rsidRPr="00CE357F" w:rsidRDefault="00D53EE1" w:rsidP="004A0C47">
            <w:pPr>
              <w:jc w:val="center"/>
              <w:rPr>
                <w:rFonts w:ascii="Arial Narrow" w:hAnsi="Arial Narrow"/>
                <w:b/>
                <w:bCs/>
                <w:sz w:val="18"/>
                <w:szCs w:val="18"/>
              </w:rPr>
            </w:pPr>
            <w:r w:rsidRPr="00CE357F">
              <w:rPr>
                <w:rFonts w:ascii="Arial Narrow" w:eastAsia="Times New Roman" w:hAnsi="Arial Narrow" w:cs="Arial"/>
                <w:b/>
                <w:bCs/>
                <w:sz w:val="18"/>
                <w:szCs w:val="18"/>
                <w:lang w:eastAsia="cs-CZ"/>
              </w:rPr>
              <w:t>Ženy</w:t>
            </w:r>
          </w:p>
        </w:tc>
      </w:tr>
      <w:tr w:rsidR="00D53EE1" w:rsidRPr="00CE357F" w14:paraId="6B83C8DB" w14:textId="77777777" w:rsidTr="00F45357">
        <w:trPr>
          <w:trHeight w:val="202"/>
          <w:jc w:val="center"/>
        </w:trPr>
        <w:tc>
          <w:tcPr>
            <w:tcW w:w="1555" w:type="dxa"/>
            <w:vMerge/>
            <w:shd w:val="clear" w:color="auto" w:fill="D9E2F3" w:themeFill="accent1" w:themeFillTint="33"/>
            <w:vAlign w:val="center"/>
          </w:tcPr>
          <w:p w14:paraId="639C2048" w14:textId="77777777" w:rsidR="00D53EE1" w:rsidRPr="00CE357F" w:rsidRDefault="00D53EE1" w:rsidP="004A0C47">
            <w:pPr>
              <w:jc w:val="center"/>
              <w:rPr>
                <w:rFonts w:ascii="Arial Narrow" w:eastAsia="Times New Roman" w:hAnsi="Arial Narrow" w:cs="Arial"/>
                <w:b/>
                <w:bCs/>
                <w:sz w:val="18"/>
                <w:szCs w:val="18"/>
                <w:lang w:eastAsia="cs-CZ"/>
              </w:rPr>
            </w:pPr>
          </w:p>
        </w:tc>
        <w:tc>
          <w:tcPr>
            <w:tcW w:w="992" w:type="dxa"/>
            <w:vMerge/>
            <w:shd w:val="clear" w:color="auto" w:fill="D9E2F3" w:themeFill="accent1" w:themeFillTint="33"/>
            <w:vAlign w:val="center"/>
          </w:tcPr>
          <w:p w14:paraId="778F52FA" w14:textId="77777777" w:rsidR="00D53EE1" w:rsidRPr="00CE357F" w:rsidRDefault="00D53EE1" w:rsidP="004A0C47">
            <w:pPr>
              <w:jc w:val="center"/>
              <w:rPr>
                <w:rFonts w:ascii="Arial Narrow" w:eastAsia="Times New Roman" w:hAnsi="Arial Narrow" w:cs="Arial"/>
                <w:b/>
                <w:bCs/>
                <w:sz w:val="18"/>
                <w:szCs w:val="18"/>
                <w:lang w:eastAsia="cs-CZ"/>
              </w:rPr>
            </w:pPr>
          </w:p>
        </w:tc>
        <w:tc>
          <w:tcPr>
            <w:tcW w:w="992" w:type="dxa"/>
            <w:vMerge/>
            <w:shd w:val="clear" w:color="auto" w:fill="D9E2F3" w:themeFill="accent1" w:themeFillTint="33"/>
            <w:vAlign w:val="center"/>
          </w:tcPr>
          <w:p w14:paraId="506F4571" w14:textId="77777777" w:rsidR="00D53EE1" w:rsidRPr="00CE357F" w:rsidRDefault="00D53EE1" w:rsidP="004A0C47">
            <w:pPr>
              <w:jc w:val="center"/>
              <w:rPr>
                <w:rFonts w:ascii="Arial Narrow" w:eastAsia="Times New Roman" w:hAnsi="Arial Narrow" w:cs="Arial"/>
                <w:b/>
                <w:bCs/>
                <w:sz w:val="18"/>
                <w:szCs w:val="18"/>
                <w:lang w:eastAsia="cs-CZ"/>
              </w:rPr>
            </w:pPr>
          </w:p>
        </w:tc>
        <w:tc>
          <w:tcPr>
            <w:tcW w:w="1276" w:type="dxa"/>
            <w:vMerge/>
            <w:shd w:val="clear" w:color="auto" w:fill="D9E2F3" w:themeFill="accent1" w:themeFillTint="33"/>
            <w:vAlign w:val="center"/>
          </w:tcPr>
          <w:p w14:paraId="57C7ED5F" w14:textId="77777777" w:rsidR="00D53EE1" w:rsidRPr="00CE357F" w:rsidRDefault="00D53EE1" w:rsidP="004A0C47">
            <w:pPr>
              <w:jc w:val="center"/>
              <w:rPr>
                <w:rFonts w:ascii="Arial Narrow" w:eastAsia="Times New Roman" w:hAnsi="Arial Narrow" w:cs="Arial"/>
                <w:bCs/>
                <w:sz w:val="18"/>
                <w:szCs w:val="18"/>
                <w:lang w:eastAsia="cs-CZ"/>
              </w:rPr>
            </w:pPr>
          </w:p>
        </w:tc>
        <w:tc>
          <w:tcPr>
            <w:tcW w:w="701" w:type="dxa"/>
            <w:shd w:val="clear" w:color="auto" w:fill="D9E2F3" w:themeFill="accent1" w:themeFillTint="33"/>
            <w:vAlign w:val="center"/>
          </w:tcPr>
          <w:p w14:paraId="2BEA2FE0" w14:textId="77777777" w:rsidR="00D53EE1" w:rsidRPr="00CE357F" w:rsidRDefault="00D53EE1" w:rsidP="004A0C47">
            <w:pPr>
              <w:jc w:val="center"/>
              <w:rPr>
                <w:rFonts w:ascii="Arial Narrow" w:hAnsi="Arial Narrow"/>
                <w:sz w:val="18"/>
                <w:szCs w:val="18"/>
              </w:rPr>
            </w:pPr>
            <w:r w:rsidRPr="00CE357F">
              <w:rPr>
                <w:rFonts w:ascii="Arial Narrow" w:eastAsia="Times New Roman" w:hAnsi="Arial Narrow" w:cs="Arial"/>
                <w:bCs/>
                <w:sz w:val="18"/>
                <w:szCs w:val="18"/>
                <w:lang w:eastAsia="cs-CZ"/>
              </w:rPr>
              <w:t>Nad 15</w:t>
            </w:r>
          </w:p>
        </w:tc>
        <w:tc>
          <w:tcPr>
            <w:tcW w:w="648" w:type="dxa"/>
            <w:shd w:val="clear" w:color="auto" w:fill="D9E2F3" w:themeFill="accent1" w:themeFillTint="33"/>
            <w:vAlign w:val="center"/>
          </w:tcPr>
          <w:p w14:paraId="523B8076" w14:textId="77777777" w:rsidR="00D53EE1" w:rsidRPr="00CE357F" w:rsidRDefault="00D53EE1" w:rsidP="004A0C47">
            <w:pPr>
              <w:jc w:val="center"/>
              <w:rPr>
                <w:rFonts w:ascii="Arial Narrow" w:hAnsi="Arial Narrow"/>
                <w:sz w:val="18"/>
                <w:szCs w:val="18"/>
              </w:rPr>
            </w:pPr>
            <w:r w:rsidRPr="00CE357F">
              <w:rPr>
                <w:rFonts w:ascii="Arial Narrow" w:eastAsia="Times New Roman" w:hAnsi="Arial Narrow" w:cs="Arial"/>
                <w:bCs/>
                <w:sz w:val="18"/>
                <w:szCs w:val="18"/>
                <w:lang w:eastAsia="cs-CZ"/>
              </w:rPr>
              <w:t>Do 15</w:t>
            </w:r>
          </w:p>
        </w:tc>
        <w:tc>
          <w:tcPr>
            <w:tcW w:w="717" w:type="dxa"/>
            <w:shd w:val="clear" w:color="auto" w:fill="D9E2F3" w:themeFill="accent1" w:themeFillTint="33"/>
            <w:vAlign w:val="center"/>
          </w:tcPr>
          <w:p w14:paraId="4FBC11C6" w14:textId="77777777" w:rsidR="00D53EE1" w:rsidRPr="00CE357F" w:rsidRDefault="00D53EE1" w:rsidP="004A0C47">
            <w:pPr>
              <w:jc w:val="center"/>
              <w:rPr>
                <w:rFonts w:ascii="Arial Narrow" w:hAnsi="Arial Narrow"/>
                <w:sz w:val="18"/>
                <w:szCs w:val="18"/>
              </w:rPr>
            </w:pPr>
            <w:r w:rsidRPr="00CE357F">
              <w:rPr>
                <w:rFonts w:ascii="Arial Narrow" w:eastAsia="Times New Roman" w:hAnsi="Arial Narrow" w:cs="Arial"/>
                <w:bCs/>
                <w:sz w:val="18"/>
                <w:szCs w:val="18"/>
                <w:lang w:eastAsia="cs-CZ"/>
              </w:rPr>
              <w:t>Celkem</w:t>
            </w:r>
          </w:p>
        </w:tc>
        <w:tc>
          <w:tcPr>
            <w:tcW w:w="567" w:type="dxa"/>
            <w:shd w:val="clear" w:color="auto" w:fill="D9E2F3" w:themeFill="accent1" w:themeFillTint="33"/>
            <w:vAlign w:val="center"/>
          </w:tcPr>
          <w:p w14:paraId="7D02A9C6" w14:textId="77777777" w:rsidR="00D53EE1" w:rsidRPr="00CE357F" w:rsidRDefault="00D53EE1" w:rsidP="004A0C47">
            <w:pPr>
              <w:jc w:val="center"/>
              <w:rPr>
                <w:rFonts w:ascii="Arial Narrow" w:hAnsi="Arial Narrow"/>
                <w:sz w:val="18"/>
                <w:szCs w:val="18"/>
              </w:rPr>
            </w:pPr>
            <w:r w:rsidRPr="00CE357F">
              <w:rPr>
                <w:rFonts w:ascii="Arial Narrow" w:eastAsia="Times New Roman" w:hAnsi="Arial Narrow" w:cs="Arial"/>
                <w:bCs/>
                <w:sz w:val="18"/>
                <w:szCs w:val="18"/>
                <w:lang w:eastAsia="cs-CZ"/>
              </w:rPr>
              <w:t>Nad 15</w:t>
            </w:r>
          </w:p>
        </w:tc>
        <w:tc>
          <w:tcPr>
            <w:tcW w:w="805" w:type="dxa"/>
            <w:gridSpan w:val="2"/>
            <w:shd w:val="clear" w:color="auto" w:fill="D9E2F3" w:themeFill="accent1" w:themeFillTint="33"/>
            <w:vAlign w:val="center"/>
          </w:tcPr>
          <w:p w14:paraId="6A3810C1" w14:textId="77777777" w:rsidR="00D53EE1" w:rsidRPr="00CE357F" w:rsidRDefault="00D53EE1" w:rsidP="004A0C47">
            <w:pPr>
              <w:jc w:val="center"/>
              <w:rPr>
                <w:rFonts w:ascii="Arial Narrow" w:hAnsi="Arial Narrow"/>
                <w:sz w:val="18"/>
                <w:szCs w:val="18"/>
              </w:rPr>
            </w:pPr>
            <w:r w:rsidRPr="00CE357F">
              <w:rPr>
                <w:rFonts w:ascii="Arial Narrow" w:eastAsia="Times New Roman" w:hAnsi="Arial Narrow" w:cs="Arial"/>
                <w:bCs/>
                <w:sz w:val="18"/>
                <w:szCs w:val="18"/>
                <w:lang w:eastAsia="cs-CZ"/>
              </w:rPr>
              <w:t>Do 15</w:t>
            </w:r>
          </w:p>
        </w:tc>
        <w:tc>
          <w:tcPr>
            <w:tcW w:w="717" w:type="dxa"/>
            <w:shd w:val="clear" w:color="auto" w:fill="D9E2F3" w:themeFill="accent1" w:themeFillTint="33"/>
            <w:vAlign w:val="center"/>
          </w:tcPr>
          <w:p w14:paraId="03E7B7D3" w14:textId="77777777" w:rsidR="00D53EE1" w:rsidRPr="00CE357F" w:rsidRDefault="00D53EE1" w:rsidP="004A0C47">
            <w:pPr>
              <w:jc w:val="center"/>
              <w:rPr>
                <w:rFonts w:ascii="Arial Narrow" w:hAnsi="Arial Narrow"/>
                <w:sz w:val="18"/>
                <w:szCs w:val="18"/>
              </w:rPr>
            </w:pPr>
            <w:r w:rsidRPr="00CE357F">
              <w:rPr>
                <w:rFonts w:ascii="Arial Narrow" w:eastAsia="Times New Roman" w:hAnsi="Arial Narrow" w:cs="Arial"/>
                <w:bCs/>
                <w:sz w:val="18"/>
                <w:szCs w:val="18"/>
                <w:lang w:eastAsia="cs-CZ"/>
              </w:rPr>
              <w:t>Celkem</w:t>
            </w:r>
          </w:p>
        </w:tc>
      </w:tr>
      <w:tr w:rsidR="00D53EE1" w:rsidRPr="00CE357F" w14:paraId="52674D83" w14:textId="77777777" w:rsidTr="00F45357">
        <w:trPr>
          <w:trHeight w:val="202"/>
          <w:jc w:val="center"/>
        </w:trPr>
        <w:tc>
          <w:tcPr>
            <w:tcW w:w="1555" w:type="dxa"/>
            <w:shd w:val="clear" w:color="auto" w:fill="D9E2F3" w:themeFill="accent1" w:themeFillTint="33"/>
            <w:vAlign w:val="center"/>
          </w:tcPr>
          <w:p w14:paraId="39BD6408"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Brno-Slatina</w:t>
            </w:r>
          </w:p>
        </w:tc>
        <w:tc>
          <w:tcPr>
            <w:tcW w:w="992" w:type="dxa"/>
            <w:vAlign w:val="center"/>
          </w:tcPr>
          <w:p w14:paraId="31B3651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11 530</w:t>
            </w:r>
          </w:p>
        </w:tc>
        <w:tc>
          <w:tcPr>
            <w:tcW w:w="992" w:type="dxa"/>
            <w:vAlign w:val="center"/>
          </w:tcPr>
          <w:p w14:paraId="4A3A098F" w14:textId="70AD6875"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w:t>
            </w:r>
            <w:r w:rsidR="00F3523E">
              <w:rPr>
                <w:rFonts w:ascii="Arial Narrow" w:hAnsi="Arial Narrow"/>
                <w:color w:val="000000"/>
                <w:sz w:val="18"/>
                <w:szCs w:val="18"/>
              </w:rPr>
              <w:t xml:space="preserve"> </w:t>
            </w:r>
            <w:r w:rsidRPr="002B5014">
              <w:rPr>
                <w:rFonts w:ascii="Arial Narrow" w:hAnsi="Arial Narrow"/>
                <w:color w:val="000000"/>
                <w:sz w:val="18"/>
                <w:szCs w:val="18"/>
              </w:rPr>
              <w:t>379</w:t>
            </w:r>
          </w:p>
        </w:tc>
        <w:tc>
          <w:tcPr>
            <w:tcW w:w="1276" w:type="dxa"/>
            <w:vAlign w:val="center"/>
          </w:tcPr>
          <w:p w14:paraId="2F8D8380" w14:textId="7542C476" w:rsidR="00D53EE1" w:rsidRPr="00E6468A" w:rsidRDefault="00D53EE1" w:rsidP="00F45357">
            <w:pPr>
              <w:jc w:val="center"/>
              <w:rPr>
                <w:rFonts w:ascii="Arial Narrow" w:hAnsi="Arial Narrow"/>
                <w:b/>
                <w:bCs/>
                <w:color w:val="C00000"/>
                <w:sz w:val="18"/>
                <w:szCs w:val="18"/>
              </w:rPr>
            </w:pPr>
            <w:r w:rsidRPr="00E6468A">
              <w:rPr>
                <w:rFonts w:ascii="Arial Narrow" w:hAnsi="Arial Narrow"/>
                <w:b/>
                <w:bCs/>
                <w:color w:val="C00000"/>
                <w:sz w:val="18"/>
                <w:szCs w:val="18"/>
              </w:rPr>
              <w:t>20,6</w:t>
            </w:r>
            <w:r w:rsidR="00F45357">
              <w:rPr>
                <w:rFonts w:ascii="Arial Narrow" w:hAnsi="Arial Narrow"/>
                <w:b/>
                <w:bCs/>
                <w:color w:val="C00000"/>
                <w:sz w:val="18"/>
                <w:szCs w:val="18"/>
              </w:rPr>
              <w:t xml:space="preserve"> </w:t>
            </w:r>
            <w:r w:rsidRPr="00E6468A">
              <w:rPr>
                <w:rFonts w:ascii="Arial Narrow" w:hAnsi="Arial Narrow"/>
                <w:b/>
                <w:bCs/>
                <w:color w:val="C00000"/>
                <w:sz w:val="18"/>
                <w:szCs w:val="18"/>
              </w:rPr>
              <w:t>%</w:t>
            </w:r>
          </w:p>
        </w:tc>
        <w:tc>
          <w:tcPr>
            <w:tcW w:w="701" w:type="dxa"/>
            <w:vAlign w:val="center"/>
          </w:tcPr>
          <w:p w14:paraId="62FA8317" w14:textId="4058253A"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816A3F">
              <w:rPr>
                <w:rFonts w:ascii="Arial Narrow" w:hAnsi="Arial Narrow"/>
                <w:color w:val="000000"/>
                <w:sz w:val="18"/>
                <w:szCs w:val="18"/>
              </w:rPr>
              <w:t xml:space="preserve"> </w:t>
            </w:r>
            <w:r w:rsidRPr="002B5014">
              <w:rPr>
                <w:rFonts w:ascii="Arial Narrow" w:hAnsi="Arial Narrow"/>
                <w:color w:val="000000"/>
                <w:sz w:val="18"/>
                <w:szCs w:val="18"/>
              </w:rPr>
              <w:t>463</w:t>
            </w:r>
          </w:p>
        </w:tc>
        <w:tc>
          <w:tcPr>
            <w:tcW w:w="648" w:type="dxa"/>
            <w:vAlign w:val="center"/>
          </w:tcPr>
          <w:p w14:paraId="3F83EF0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129</w:t>
            </w:r>
          </w:p>
        </w:tc>
        <w:tc>
          <w:tcPr>
            <w:tcW w:w="717" w:type="dxa"/>
            <w:vAlign w:val="center"/>
          </w:tcPr>
          <w:p w14:paraId="4375F267" w14:textId="584FA2BA"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816A3F">
              <w:rPr>
                <w:rFonts w:ascii="Arial Narrow" w:hAnsi="Arial Narrow"/>
                <w:color w:val="000000"/>
                <w:sz w:val="18"/>
                <w:szCs w:val="18"/>
              </w:rPr>
              <w:t xml:space="preserve"> </w:t>
            </w:r>
            <w:r w:rsidRPr="002B5014">
              <w:rPr>
                <w:rFonts w:ascii="Arial Narrow" w:hAnsi="Arial Narrow"/>
                <w:color w:val="000000"/>
                <w:sz w:val="18"/>
                <w:szCs w:val="18"/>
              </w:rPr>
              <w:t>334</w:t>
            </w:r>
          </w:p>
        </w:tc>
        <w:tc>
          <w:tcPr>
            <w:tcW w:w="683" w:type="dxa"/>
            <w:gridSpan w:val="2"/>
            <w:vAlign w:val="center"/>
          </w:tcPr>
          <w:p w14:paraId="1EE133D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916</w:t>
            </w:r>
          </w:p>
        </w:tc>
        <w:tc>
          <w:tcPr>
            <w:tcW w:w="689" w:type="dxa"/>
            <w:vAlign w:val="center"/>
          </w:tcPr>
          <w:p w14:paraId="408F3B9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142</w:t>
            </w:r>
          </w:p>
        </w:tc>
        <w:tc>
          <w:tcPr>
            <w:tcW w:w="717" w:type="dxa"/>
            <w:vAlign w:val="center"/>
          </w:tcPr>
          <w:p w14:paraId="51EED4D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774</w:t>
            </w:r>
          </w:p>
        </w:tc>
      </w:tr>
      <w:tr w:rsidR="00D53EE1" w:rsidRPr="00CE357F" w14:paraId="4229CC1D" w14:textId="77777777" w:rsidTr="00F45357">
        <w:trPr>
          <w:trHeight w:val="202"/>
          <w:jc w:val="center"/>
        </w:trPr>
        <w:tc>
          <w:tcPr>
            <w:tcW w:w="1555" w:type="dxa"/>
            <w:shd w:val="clear" w:color="auto" w:fill="D9E2F3" w:themeFill="accent1" w:themeFillTint="33"/>
            <w:vAlign w:val="center"/>
          </w:tcPr>
          <w:p w14:paraId="60157088" w14:textId="4D776388"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w:t>
            </w:r>
            <w:r w:rsidR="00765AAA">
              <w:rPr>
                <w:rFonts w:ascii="Arial Narrow" w:hAnsi="Arial Narrow"/>
                <w:color w:val="000000"/>
                <w:sz w:val="18"/>
                <w:szCs w:val="18"/>
              </w:rPr>
              <w:t>j</w:t>
            </w:r>
            <w:r w:rsidRPr="002B5014">
              <w:rPr>
                <w:rFonts w:ascii="Arial Narrow" w:hAnsi="Arial Narrow"/>
                <w:color w:val="000000"/>
                <w:sz w:val="18"/>
                <w:szCs w:val="18"/>
              </w:rPr>
              <w:t>ih</w:t>
            </w:r>
          </w:p>
        </w:tc>
        <w:tc>
          <w:tcPr>
            <w:tcW w:w="992" w:type="dxa"/>
            <w:vAlign w:val="center"/>
          </w:tcPr>
          <w:p w14:paraId="318AF85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9 054</w:t>
            </w:r>
          </w:p>
        </w:tc>
        <w:tc>
          <w:tcPr>
            <w:tcW w:w="992" w:type="dxa"/>
            <w:vAlign w:val="center"/>
          </w:tcPr>
          <w:p w14:paraId="3B66AAED" w14:textId="6EBD568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F3523E">
              <w:rPr>
                <w:rFonts w:ascii="Arial Narrow" w:hAnsi="Arial Narrow"/>
                <w:color w:val="000000"/>
                <w:sz w:val="18"/>
                <w:szCs w:val="18"/>
              </w:rPr>
              <w:t xml:space="preserve"> </w:t>
            </w:r>
            <w:r w:rsidRPr="002B5014">
              <w:rPr>
                <w:rFonts w:ascii="Arial Narrow" w:hAnsi="Arial Narrow"/>
                <w:color w:val="000000"/>
                <w:sz w:val="18"/>
                <w:szCs w:val="18"/>
              </w:rPr>
              <w:t>525</w:t>
            </w:r>
          </w:p>
        </w:tc>
        <w:tc>
          <w:tcPr>
            <w:tcW w:w="1276" w:type="dxa"/>
            <w:vAlign w:val="center"/>
          </w:tcPr>
          <w:p w14:paraId="6CB82734" w14:textId="1D77D031" w:rsidR="00D53EE1" w:rsidRPr="00E6468A" w:rsidRDefault="00D53EE1" w:rsidP="00F45357">
            <w:pPr>
              <w:jc w:val="center"/>
              <w:rPr>
                <w:rFonts w:ascii="Arial Narrow" w:hAnsi="Arial Narrow"/>
                <w:b/>
                <w:bCs/>
                <w:color w:val="C00000"/>
                <w:sz w:val="18"/>
                <w:szCs w:val="18"/>
              </w:rPr>
            </w:pPr>
            <w:r w:rsidRPr="00E6468A">
              <w:rPr>
                <w:rFonts w:ascii="Arial Narrow" w:hAnsi="Arial Narrow"/>
                <w:b/>
                <w:bCs/>
                <w:color w:val="C00000"/>
                <w:sz w:val="18"/>
                <w:szCs w:val="18"/>
              </w:rPr>
              <w:t>16,8</w:t>
            </w:r>
            <w:r w:rsidR="00F45357">
              <w:rPr>
                <w:rFonts w:ascii="Arial Narrow" w:hAnsi="Arial Narrow"/>
                <w:b/>
                <w:bCs/>
                <w:color w:val="C00000"/>
                <w:sz w:val="18"/>
                <w:szCs w:val="18"/>
              </w:rPr>
              <w:t xml:space="preserve"> </w:t>
            </w:r>
            <w:r w:rsidRPr="00E6468A">
              <w:rPr>
                <w:rFonts w:ascii="Arial Narrow" w:hAnsi="Arial Narrow"/>
                <w:b/>
                <w:bCs/>
                <w:color w:val="C00000"/>
                <w:sz w:val="18"/>
                <w:szCs w:val="18"/>
              </w:rPr>
              <w:t>%</w:t>
            </w:r>
          </w:p>
        </w:tc>
        <w:tc>
          <w:tcPr>
            <w:tcW w:w="701" w:type="dxa"/>
            <w:vAlign w:val="center"/>
          </w:tcPr>
          <w:p w14:paraId="6FC4DF5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936</w:t>
            </w:r>
          </w:p>
        </w:tc>
        <w:tc>
          <w:tcPr>
            <w:tcW w:w="648" w:type="dxa"/>
            <w:vAlign w:val="center"/>
          </w:tcPr>
          <w:p w14:paraId="6EB7EFC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55</w:t>
            </w:r>
          </w:p>
        </w:tc>
        <w:tc>
          <w:tcPr>
            <w:tcW w:w="717" w:type="dxa"/>
            <w:vAlign w:val="center"/>
          </w:tcPr>
          <w:p w14:paraId="21769EE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881</w:t>
            </w:r>
          </w:p>
        </w:tc>
        <w:tc>
          <w:tcPr>
            <w:tcW w:w="683" w:type="dxa"/>
            <w:gridSpan w:val="2"/>
            <w:vAlign w:val="center"/>
          </w:tcPr>
          <w:p w14:paraId="5EBAD643"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589</w:t>
            </w:r>
          </w:p>
        </w:tc>
        <w:tc>
          <w:tcPr>
            <w:tcW w:w="689" w:type="dxa"/>
            <w:vAlign w:val="center"/>
          </w:tcPr>
          <w:p w14:paraId="40BABA1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48</w:t>
            </w:r>
          </w:p>
        </w:tc>
        <w:tc>
          <w:tcPr>
            <w:tcW w:w="717" w:type="dxa"/>
            <w:vAlign w:val="center"/>
          </w:tcPr>
          <w:p w14:paraId="5681872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541</w:t>
            </w:r>
          </w:p>
        </w:tc>
      </w:tr>
      <w:tr w:rsidR="00D53EE1" w:rsidRPr="00CE357F" w14:paraId="4AD39CB3" w14:textId="77777777" w:rsidTr="00F45357">
        <w:trPr>
          <w:trHeight w:val="202"/>
          <w:jc w:val="center"/>
        </w:trPr>
        <w:tc>
          <w:tcPr>
            <w:tcW w:w="1555" w:type="dxa"/>
            <w:shd w:val="clear" w:color="auto" w:fill="D9E2F3" w:themeFill="accent1" w:themeFillTint="33"/>
            <w:vAlign w:val="center"/>
          </w:tcPr>
          <w:p w14:paraId="5888472E"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Brno-Královo Pole</w:t>
            </w:r>
          </w:p>
        </w:tc>
        <w:tc>
          <w:tcPr>
            <w:tcW w:w="992" w:type="dxa"/>
            <w:vAlign w:val="center"/>
          </w:tcPr>
          <w:p w14:paraId="7F1F96F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28 632</w:t>
            </w:r>
          </w:p>
        </w:tc>
        <w:tc>
          <w:tcPr>
            <w:tcW w:w="992" w:type="dxa"/>
            <w:vAlign w:val="center"/>
          </w:tcPr>
          <w:p w14:paraId="79EF40BE" w14:textId="7F1BF61B"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w:t>
            </w:r>
            <w:r w:rsidR="00F3523E">
              <w:rPr>
                <w:rFonts w:ascii="Arial Narrow" w:hAnsi="Arial Narrow"/>
                <w:color w:val="000000"/>
                <w:sz w:val="18"/>
                <w:szCs w:val="18"/>
              </w:rPr>
              <w:t xml:space="preserve"> </w:t>
            </w:r>
            <w:r w:rsidRPr="002B5014">
              <w:rPr>
                <w:rFonts w:ascii="Arial Narrow" w:hAnsi="Arial Narrow"/>
                <w:color w:val="000000"/>
                <w:sz w:val="18"/>
                <w:szCs w:val="18"/>
              </w:rPr>
              <w:t>617</w:t>
            </w:r>
          </w:p>
        </w:tc>
        <w:tc>
          <w:tcPr>
            <w:tcW w:w="1276" w:type="dxa"/>
            <w:vAlign w:val="center"/>
          </w:tcPr>
          <w:p w14:paraId="6A93B015" w14:textId="187A9BE1" w:rsidR="00D53EE1" w:rsidRPr="00E6468A" w:rsidRDefault="00D53EE1" w:rsidP="00F45357">
            <w:pPr>
              <w:jc w:val="center"/>
              <w:rPr>
                <w:rFonts w:ascii="Arial Narrow" w:hAnsi="Arial Narrow"/>
                <w:b/>
                <w:bCs/>
                <w:color w:val="C00000"/>
                <w:sz w:val="18"/>
                <w:szCs w:val="18"/>
              </w:rPr>
            </w:pPr>
            <w:r w:rsidRPr="00E6468A">
              <w:rPr>
                <w:rFonts w:ascii="Arial Narrow" w:hAnsi="Arial Narrow"/>
                <w:b/>
                <w:bCs/>
                <w:color w:val="C00000"/>
                <w:sz w:val="18"/>
                <w:szCs w:val="18"/>
              </w:rPr>
              <w:t>16,1</w:t>
            </w:r>
            <w:r w:rsidR="00F45357">
              <w:rPr>
                <w:rFonts w:ascii="Arial Narrow" w:hAnsi="Arial Narrow"/>
                <w:b/>
                <w:bCs/>
                <w:color w:val="C00000"/>
                <w:sz w:val="18"/>
                <w:szCs w:val="18"/>
              </w:rPr>
              <w:t xml:space="preserve"> </w:t>
            </w:r>
            <w:r w:rsidRPr="00E6468A">
              <w:rPr>
                <w:rFonts w:ascii="Arial Narrow" w:hAnsi="Arial Narrow"/>
                <w:b/>
                <w:bCs/>
                <w:color w:val="C00000"/>
                <w:sz w:val="18"/>
                <w:szCs w:val="18"/>
              </w:rPr>
              <w:t>%</w:t>
            </w:r>
          </w:p>
        </w:tc>
        <w:tc>
          <w:tcPr>
            <w:tcW w:w="701" w:type="dxa"/>
            <w:vAlign w:val="center"/>
          </w:tcPr>
          <w:p w14:paraId="3ED70798" w14:textId="1098FE4F"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w:t>
            </w:r>
            <w:r w:rsidR="00816A3F">
              <w:rPr>
                <w:rFonts w:ascii="Arial Narrow" w:hAnsi="Arial Narrow"/>
                <w:color w:val="000000"/>
                <w:sz w:val="18"/>
                <w:szCs w:val="18"/>
              </w:rPr>
              <w:t xml:space="preserve"> </w:t>
            </w:r>
            <w:r w:rsidRPr="002B5014">
              <w:rPr>
                <w:rFonts w:ascii="Arial Narrow" w:hAnsi="Arial Narrow"/>
                <w:color w:val="000000"/>
                <w:sz w:val="18"/>
                <w:szCs w:val="18"/>
              </w:rPr>
              <w:t>660</w:t>
            </w:r>
          </w:p>
        </w:tc>
        <w:tc>
          <w:tcPr>
            <w:tcW w:w="648" w:type="dxa"/>
            <w:vAlign w:val="center"/>
          </w:tcPr>
          <w:p w14:paraId="5A4B369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130</w:t>
            </w:r>
          </w:p>
        </w:tc>
        <w:tc>
          <w:tcPr>
            <w:tcW w:w="717" w:type="dxa"/>
            <w:vAlign w:val="center"/>
          </w:tcPr>
          <w:p w14:paraId="127B5AE4" w14:textId="0222A4B9"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w:t>
            </w:r>
            <w:r w:rsidR="00816A3F">
              <w:rPr>
                <w:rFonts w:ascii="Arial Narrow" w:hAnsi="Arial Narrow"/>
                <w:color w:val="000000"/>
                <w:sz w:val="18"/>
                <w:szCs w:val="18"/>
              </w:rPr>
              <w:t xml:space="preserve"> </w:t>
            </w:r>
            <w:r w:rsidRPr="002B5014">
              <w:rPr>
                <w:rFonts w:ascii="Arial Narrow" w:hAnsi="Arial Narrow"/>
                <w:color w:val="000000"/>
                <w:sz w:val="18"/>
                <w:szCs w:val="18"/>
              </w:rPr>
              <w:t>530</w:t>
            </w:r>
          </w:p>
        </w:tc>
        <w:tc>
          <w:tcPr>
            <w:tcW w:w="683" w:type="dxa"/>
            <w:gridSpan w:val="2"/>
            <w:vAlign w:val="center"/>
          </w:tcPr>
          <w:p w14:paraId="215A8A3D" w14:textId="7C2122B3"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816A3F">
              <w:rPr>
                <w:rFonts w:ascii="Arial Narrow" w:hAnsi="Arial Narrow"/>
                <w:color w:val="000000"/>
                <w:sz w:val="18"/>
                <w:szCs w:val="18"/>
              </w:rPr>
              <w:t xml:space="preserve"> </w:t>
            </w:r>
            <w:r w:rsidRPr="002B5014">
              <w:rPr>
                <w:rFonts w:ascii="Arial Narrow" w:hAnsi="Arial Narrow"/>
                <w:color w:val="000000"/>
                <w:sz w:val="18"/>
                <w:szCs w:val="18"/>
              </w:rPr>
              <w:t>957</w:t>
            </w:r>
          </w:p>
        </w:tc>
        <w:tc>
          <w:tcPr>
            <w:tcW w:w="689" w:type="dxa"/>
            <w:vAlign w:val="center"/>
          </w:tcPr>
          <w:p w14:paraId="2975FC7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109</w:t>
            </w:r>
          </w:p>
        </w:tc>
        <w:tc>
          <w:tcPr>
            <w:tcW w:w="717" w:type="dxa"/>
            <w:vAlign w:val="center"/>
          </w:tcPr>
          <w:p w14:paraId="2E63EEF9" w14:textId="1E3D35B3"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816A3F">
              <w:rPr>
                <w:rFonts w:ascii="Arial Narrow" w:hAnsi="Arial Narrow"/>
                <w:color w:val="000000"/>
                <w:sz w:val="18"/>
                <w:szCs w:val="18"/>
              </w:rPr>
              <w:t xml:space="preserve"> </w:t>
            </w:r>
            <w:r w:rsidRPr="002B5014">
              <w:rPr>
                <w:rFonts w:ascii="Arial Narrow" w:hAnsi="Arial Narrow"/>
                <w:color w:val="000000"/>
                <w:sz w:val="18"/>
                <w:szCs w:val="18"/>
              </w:rPr>
              <w:t>848</w:t>
            </w:r>
          </w:p>
        </w:tc>
      </w:tr>
      <w:tr w:rsidR="00D53EE1" w:rsidRPr="00CE357F" w14:paraId="2F0B28EC" w14:textId="77777777" w:rsidTr="00F45357">
        <w:trPr>
          <w:trHeight w:val="202"/>
          <w:jc w:val="center"/>
        </w:trPr>
        <w:tc>
          <w:tcPr>
            <w:tcW w:w="1555" w:type="dxa"/>
            <w:shd w:val="clear" w:color="auto" w:fill="D9E2F3" w:themeFill="accent1" w:themeFillTint="33"/>
            <w:vAlign w:val="center"/>
          </w:tcPr>
          <w:p w14:paraId="332F5B7D"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Brno-Černovice</w:t>
            </w:r>
          </w:p>
        </w:tc>
        <w:tc>
          <w:tcPr>
            <w:tcW w:w="992" w:type="dxa"/>
            <w:vAlign w:val="center"/>
          </w:tcPr>
          <w:p w14:paraId="3AD5A9C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7 896</w:t>
            </w:r>
          </w:p>
        </w:tc>
        <w:tc>
          <w:tcPr>
            <w:tcW w:w="992" w:type="dxa"/>
            <w:vAlign w:val="center"/>
          </w:tcPr>
          <w:p w14:paraId="31DFB35A" w14:textId="47C58213"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F3523E">
              <w:rPr>
                <w:rFonts w:ascii="Arial Narrow" w:hAnsi="Arial Narrow"/>
                <w:color w:val="000000"/>
                <w:sz w:val="18"/>
                <w:szCs w:val="18"/>
              </w:rPr>
              <w:t xml:space="preserve"> </w:t>
            </w:r>
            <w:r w:rsidRPr="002B5014">
              <w:rPr>
                <w:rFonts w:ascii="Arial Narrow" w:hAnsi="Arial Narrow"/>
                <w:color w:val="000000"/>
                <w:sz w:val="18"/>
                <w:szCs w:val="18"/>
              </w:rPr>
              <w:t>204</w:t>
            </w:r>
          </w:p>
        </w:tc>
        <w:tc>
          <w:tcPr>
            <w:tcW w:w="1276" w:type="dxa"/>
            <w:vAlign w:val="center"/>
          </w:tcPr>
          <w:p w14:paraId="6DF05F08" w14:textId="7D59B225" w:rsidR="00D53EE1" w:rsidRPr="002549C1" w:rsidRDefault="00D53EE1" w:rsidP="00F45357">
            <w:pPr>
              <w:jc w:val="center"/>
              <w:rPr>
                <w:rFonts w:ascii="Arial Narrow" w:hAnsi="Arial Narrow"/>
                <w:b/>
                <w:bCs/>
                <w:color w:val="000000"/>
                <w:sz w:val="18"/>
                <w:szCs w:val="18"/>
              </w:rPr>
            </w:pPr>
            <w:r w:rsidRPr="002549C1">
              <w:rPr>
                <w:rFonts w:ascii="Arial Narrow" w:hAnsi="Arial Narrow"/>
                <w:b/>
                <w:bCs/>
                <w:color w:val="C00000"/>
                <w:sz w:val="18"/>
                <w:szCs w:val="18"/>
              </w:rPr>
              <w:t>15,2</w:t>
            </w:r>
            <w:r w:rsidR="00F45357" w:rsidRPr="002549C1">
              <w:rPr>
                <w:rFonts w:ascii="Arial Narrow" w:hAnsi="Arial Narrow"/>
                <w:b/>
                <w:bCs/>
                <w:color w:val="C00000"/>
                <w:sz w:val="18"/>
                <w:szCs w:val="18"/>
              </w:rPr>
              <w:t xml:space="preserve"> </w:t>
            </w:r>
            <w:r w:rsidRPr="002549C1">
              <w:rPr>
                <w:rFonts w:ascii="Arial Narrow" w:hAnsi="Arial Narrow"/>
                <w:b/>
                <w:bCs/>
                <w:color w:val="C00000"/>
                <w:sz w:val="18"/>
                <w:szCs w:val="18"/>
              </w:rPr>
              <w:t>%</w:t>
            </w:r>
          </w:p>
        </w:tc>
        <w:tc>
          <w:tcPr>
            <w:tcW w:w="701" w:type="dxa"/>
            <w:vAlign w:val="center"/>
          </w:tcPr>
          <w:p w14:paraId="397A9FD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657</w:t>
            </w:r>
          </w:p>
        </w:tc>
        <w:tc>
          <w:tcPr>
            <w:tcW w:w="648" w:type="dxa"/>
            <w:vAlign w:val="center"/>
          </w:tcPr>
          <w:p w14:paraId="3053686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75</w:t>
            </w:r>
          </w:p>
        </w:tc>
        <w:tc>
          <w:tcPr>
            <w:tcW w:w="717" w:type="dxa"/>
            <w:vAlign w:val="center"/>
          </w:tcPr>
          <w:p w14:paraId="0AD91B13"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582</w:t>
            </w:r>
          </w:p>
        </w:tc>
        <w:tc>
          <w:tcPr>
            <w:tcW w:w="683" w:type="dxa"/>
            <w:gridSpan w:val="2"/>
            <w:vAlign w:val="center"/>
          </w:tcPr>
          <w:p w14:paraId="45F071B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547</w:t>
            </w:r>
          </w:p>
        </w:tc>
        <w:tc>
          <w:tcPr>
            <w:tcW w:w="689" w:type="dxa"/>
            <w:vAlign w:val="center"/>
          </w:tcPr>
          <w:p w14:paraId="3447035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69</w:t>
            </w:r>
          </w:p>
        </w:tc>
        <w:tc>
          <w:tcPr>
            <w:tcW w:w="717" w:type="dxa"/>
            <w:vAlign w:val="center"/>
          </w:tcPr>
          <w:p w14:paraId="23592C7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478</w:t>
            </w:r>
          </w:p>
        </w:tc>
      </w:tr>
      <w:tr w:rsidR="00D53EE1" w:rsidRPr="00CE357F" w14:paraId="4EDD96CA" w14:textId="77777777" w:rsidTr="00F45357">
        <w:trPr>
          <w:trHeight w:val="202"/>
          <w:jc w:val="center"/>
        </w:trPr>
        <w:tc>
          <w:tcPr>
            <w:tcW w:w="1555" w:type="dxa"/>
            <w:shd w:val="clear" w:color="auto" w:fill="D9E2F3" w:themeFill="accent1" w:themeFillTint="33"/>
            <w:vAlign w:val="center"/>
          </w:tcPr>
          <w:p w14:paraId="5A2DA3D9"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Brno-střed</w:t>
            </w:r>
          </w:p>
        </w:tc>
        <w:tc>
          <w:tcPr>
            <w:tcW w:w="992" w:type="dxa"/>
            <w:vAlign w:val="center"/>
          </w:tcPr>
          <w:p w14:paraId="23F3ABE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94 907</w:t>
            </w:r>
          </w:p>
        </w:tc>
        <w:tc>
          <w:tcPr>
            <w:tcW w:w="992" w:type="dxa"/>
            <w:vAlign w:val="center"/>
          </w:tcPr>
          <w:p w14:paraId="561772BF" w14:textId="2B0707DD"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10</w:t>
            </w:r>
            <w:r w:rsidR="00F3523E">
              <w:rPr>
                <w:rFonts w:ascii="Arial Narrow" w:hAnsi="Arial Narrow"/>
                <w:color w:val="000000"/>
                <w:sz w:val="18"/>
                <w:szCs w:val="18"/>
              </w:rPr>
              <w:t xml:space="preserve"> </w:t>
            </w:r>
            <w:r w:rsidRPr="002B5014">
              <w:rPr>
                <w:rFonts w:ascii="Arial Narrow" w:hAnsi="Arial Narrow"/>
                <w:color w:val="000000"/>
                <w:sz w:val="18"/>
                <w:szCs w:val="18"/>
              </w:rPr>
              <w:t>992</w:t>
            </w:r>
          </w:p>
        </w:tc>
        <w:tc>
          <w:tcPr>
            <w:tcW w:w="1276" w:type="dxa"/>
            <w:vAlign w:val="center"/>
          </w:tcPr>
          <w:p w14:paraId="5C99E672" w14:textId="75142801"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11,6</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172A942F" w14:textId="5860E72D"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w:t>
            </w:r>
            <w:r w:rsidR="00816A3F">
              <w:rPr>
                <w:rFonts w:ascii="Arial Narrow" w:hAnsi="Arial Narrow"/>
                <w:color w:val="000000"/>
                <w:sz w:val="18"/>
                <w:szCs w:val="18"/>
              </w:rPr>
              <w:t xml:space="preserve"> </w:t>
            </w:r>
            <w:r w:rsidRPr="002B5014">
              <w:rPr>
                <w:rFonts w:ascii="Arial Narrow" w:hAnsi="Arial Narrow"/>
                <w:color w:val="000000"/>
                <w:sz w:val="18"/>
                <w:szCs w:val="18"/>
              </w:rPr>
              <w:t>416</w:t>
            </w:r>
          </w:p>
        </w:tc>
        <w:tc>
          <w:tcPr>
            <w:tcW w:w="648" w:type="dxa"/>
            <w:vAlign w:val="center"/>
          </w:tcPr>
          <w:p w14:paraId="578390B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332</w:t>
            </w:r>
          </w:p>
        </w:tc>
        <w:tc>
          <w:tcPr>
            <w:tcW w:w="717" w:type="dxa"/>
            <w:vAlign w:val="center"/>
          </w:tcPr>
          <w:p w14:paraId="6D537473" w14:textId="0615F6F2"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w:t>
            </w:r>
            <w:r w:rsidR="00816A3F">
              <w:rPr>
                <w:rFonts w:ascii="Arial Narrow" w:hAnsi="Arial Narrow"/>
                <w:color w:val="000000"/>
                <w:sz w:val="18"/>
                <w:szCs w:val="18"/>
              </w:rPr>
              <w:t xml:space="preserve"> </w:t>
            </w:r>
            <w:r w:rsidRPr="002B5014">
              <w:rPr>
                <w:rFonts w:ascii="Arial Narrow" w:hAnsi="Arial Narrow"/>
                <w:color w:val="000000"/>
                <w:sz w:val="18"/>
                <w:szCs w:val="18"/>
              </w:rPr>
              <w:t>084</w:t>
            </w:r>
          </w:p>
        </w:tc>
        <w:tc>
          <w:tcPr>
            <w:tcW w:w="683" w:type="dxa"/>
            <w:gridSpan w:val="2"/>
            <w:vAlign w:val="center"/>
          </w:tcPr>
          <w:p w14:paraId="35A753EB" w14:textId="1AEC73BF"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w:t>
            </w:r>
            <w:r w:rsidR="00816A3F">
              <w:rPr>
                <w:rFonts w:ascii="Arial Narrow" w:hAnsi="Arial Narrow"/>
                <w:color w:val="000000"/>
                <w:sz w:val="18"/>
                <w:szCs w:val="18"/>
              </w:rPr>
              <w:t xml:space="preserve"> </w:t>
            </w:r>
            <w:r w:rsidRPr="002B5014">
              <w:rPr>
                <w:rFonts w:ascii="Arial Narrow" w:hAnsi="Arial Narrow"/>
                <w:color w:val="000000"/>
                <w:sz w:val="18"/>
                <w:szCs w:val="18"/>
              </w:rPr>
              <w:t>576</w:t>
            </w:r>
          </w:p>
        </w:tc>
        <w:tc>
          <w:tcPr>
            <w:tcW w:w="689" w:type="dxa"/>
            <w:vAlign w:val="center"/>
          </w:tcPr>
          <w:p w14:paraId="6F4B26D3"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288</w:t>
            </w:r>
          </w:p>
        </w:tc>
        <w:tc>
          <w:tcPr>
            <w:tcW w:w="717" w:type="dxa"/>
            <w:vAlign w:val="center"/>
          </w:tcPr>
          <w:p w14:paraId="311D5F4B" w14:textId="2D41D37E"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w:t>
            </w:r>
            <w:r w:rsidR="00816A3F">
              <w:rPr>
                <w:rFonts w:ascii="Arial Narrow" w:hAnsi="Arial Narrow"/>
                <w:color w:val="000000"/>
                <w:sz w:val="18"/>
                <w:szCs w:val="18"/>
              </w:rPr>
              <w:t xml:space="preserve"> </w:t>
            </w:r>
            <w:r w:rsidRPr="002B5014">
              <w:rPr>
                <w:rFonts w:ascii="Arial Narrow" w:hAnsi="Arial Narrow"/>
                <w:color w:val="000000"/>
                <w:sz w:val="18"/>
                <w:szCs w:val="18"/>
              </w:rPr>
              <w:t>288</w:t>
            </w:r>
          </w:p>
        </w:tc>
      </w:tr>
      <w:tr w:rsidR="00D53EE1" w:rsidRPr="00CE357F" w14:paraId="77DDCF76" w14:textId="77777777" w:rsidTr="00F45357">
        <w:trPr>
          <w:trHeight w:val="346"/>
          <w:jc w:val="center"/>
        </w:trPr>
        <w:tc>
          <w:tcPr>
            <w:tcW w:w="1555" w:type="dxa"/>
            <w:shd w:val="clear" w:color="auto" w:fill="D9E2F3" w:themeFill="accent1" w:themeFillTint="33"/>
            <w:vAlign w:val="center"/>
          </w:tcPr>
          <w:p w14:paraId="25EE955B"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Brno-Židenice</w:t>
            </w:r>
          </w:p>
        </w:tc>
        <w:tc>
          <w:tcPr>
            <w:tcW w:w="992" w:type="dxa"/>
            <w:vAlign w:val="center"/>
          </w:tcPr>
          <w:p w14:paraId="4CE492F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21 305</w:t>
            </w:r>
          </w:p>
        </w:tc>
        <w:tc>
          <w:tcPr>
            <w:tcW w:w="992" w:type="dxa"/>
            <w:vAlign w:val="center"/>
          </w:tcPr>
          <w:p w14:paraId="77E6A51B" w14:textId="35FFA26D"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w:t>
            </w:r>
            <w:r w:rsidR="00F3523E">
              <w:rPr>
                <w:rFonts w:ascii="Arial Narrow" w:hAnsi="Arial Narrow"/>
                <w:color w:val="000000"/>
                <w:sz w:val="18"/>
                <w:szCs w:val="18"/>
              </w:rPr>
              <w:t xml:space="preserve"> </w:t>
            </w:r>
            <w:r w:rsidRPr="002B5014">
              <w:rPr>
                <w:rFonts w:ascii="Arial Narrow" w:hAnsi="Arial Narrow"/>
                <w:color w:val="000000"/>
                <w:sz w:val="18"/>
                <w:szCs w:val="18"/>
              </w:rPr>
              <w:t>306</w:t>
            </w:r>
          </w:p>
        </w:tc>
        <w:tc>
          <w:tcPr>
            <w:tcW w:w="1276" w:type="dxa"/>
            <w:vAlign w:val="center"/>
          </w:tcPr>
          <w:p w14:paraId="6658F06C" w14:textId="214FA43A"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10,8</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7D0C438F" w14:textId="18919852"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816A3F">
              <w:rPr>
                <w:rFonts w:ascii="Arial Narrow" w:hAnsi="Arial Narrow"/>
                <w:color w:val="000000"/>
                <w:sz w:val="18"/>
                <w:szCs w:val="18"/>
              </w:rPr>
              <w:t xml:space="preserve"> </w:t>
            </w:r>
            <w:r w:rsidRPr="002B5014">
              <w:rPr>
                <w:rFonts w:ascii="Arial Narrow" w:hAnsi="Arial Narrow"/>
                <w:color w:val="000000"/>
                <w:sz w:val="18"/>
                <w:szCs w:val="18"/>
              </w:rPr>
              <w:t>381</w:t>
            </w:r>
          </w:p>
        </w:tc>
        <w:tc>
          <w:tcPr>
            <w:tcW w:w="648" w:type="dxa"/>
            <w:vAlign w:val="center"/>
          </w:tcPr>
          <w:p w14:paraId="5A88CD7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95</w:t>
            </w:r>
          </w:p>
        </w:tc>
        <w:tc>
          <w:tcPr>
            <w:tcW w:w="717" w:type="dxa"/>
            <w:vAlign w:val="center"/>
          </w:tcPr>
          <w:p w14:paraId="4D3F4CA2" w14:textId="13AF5C10"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816A3F">
              <w:rPr>
                <w:rFonts w:ascii="Arial Narrow" w:hAnsi="Arial Narrow"/>
                <w:color w:val="000000"/>
                <w:sz w:val="18"/>
                <w:szCs w:val="18"/>
              </w:rPr>
              <w:t xml:space="preserve"> </w:t>
            </w:r>
            <w:r w:rsidRPr="002B5014">
              <w:rPr>
                <w:rFonts w:ascii="Arial Narrow" w:hAnsi="Arial Narrow"/>
                <w:color w:val="000000"/>
                <w:sz w:val="18"/>
                <w:szCs w:val="18"/>
              </w:rPr>
              <w:t>286</w:t>
            </w:r>
          </w:p>
        </w:tc>
        <w:tc>
          <w:tcPr>
            <w:tcW w:w="683" w:type="dxa"/>
            <w:gridSpan w:val="2"/>
            <w:vAlign w:val="center"/>
          </w:tcPr>
          <w:p w14:paraId="106BCD1A"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925</w:t>
            </w:r>
          </w:p>
        </w:tc>
        <w:tc>
          <w:tcPr>
            <w:tcW w:w="689" w:type="dxa"/>
            <w:vAlign w:val="center"/>
          </w:tcPr>
          <w:p w14:paraId="12A827A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118</w:t>
            </w:r>
          </w:p>
        </w:tc>
        <w:tc>
          <w:tcPr>
            <w:tcW w:w="717" w:type="dxa"/>
            <w:vAlign w:val="center"/>
          </w:tcPr>
          <w:p w14:paraId="5805F6E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807</w:t>
            </w:r>
          </w:p>
        </w:tc>
      </w:tr>
      <w:tr w:rsidR="00D53EE1" w:rsidRPr="00CE357F" w14:paraId="2E8C892C" w14:textId="77777777" w:rsidTr="00F45357">
        <w:trPr>
          <w:trHeight w:val="202"/>
          <w:jc w:val="center"/>
        </w:trPr>
        <w:tc>
          <w:tcPr>
            <w:tcW w:w="1555" w:type="dxa"/>
            <w:shd w:val="clear" w:color="auto" w:fill="D9E2F3" w:themeFill="accent1" w:themeFillTint="33"/>
            <w:vAlign w:val="center"/>
          </w:tcPr>
          <w:p w14:paraId="136CD004"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Brno-sever</w:t>
            </w:r>
          </w:p>
        </w:tc>
        <w:tc>
          <w:tcPr>
            <w:tcW w:w="992" w:type="dxa"/>
            <w:vAlign w:val="center"/>
          </w:tcPr>
          <w:p w14:paraId="5074DD8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46 239</w:t>
            </w:r>
          </w:p>
        </w:tc>
        <w:tc>
          <w:tcPr>
            <w:tcW w:w="992" w:type="dxa"/>
            <w:vAlign w:val="center"/>
          </w:tcPr>
          <w:p w14:paraId="2E636719" w14:textId="65C447B4"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w:t>
            </w:r>
            <w:r w:rsidR="00F3523E">
              <w:rPr>
                <w:rFonts w:ascii="Arial Narrow" w:hAnsi="Arial Narrow"/>
                <w:color w:val="000000"/>
                <w:sz w:val="18"/>
                <w:szCs w:val="18"/>
              </w:rPr>
              <w:t xml:space="preserve"> </w:t>
            </w:r>
            <w:r w:rsidRPr="002B5014">
              <w:rPr>
                <w:rFonts w:ascii="Arial Narrow" w:hAnsi="Arial Narrow"/>
                <w:color w:val="000000"/>
                <w:sz w:val="18"/>
                <w:szCs w:val="18"/>
              </w:rPr>
              <w:t>496</w:t>
            </w:r>
          </w:p>
        </w:tc>
        <w:tc>
          <w:tcPr>
            <w:tcW w:w="1276" w:type="dxa"/>
            <w:vAlign w:val="center"/>
          </w:tcPr>
          <w:p w14:paraId="367708DE" w14:textId="12C9D61E"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9,7</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0F9BFDE0" w14:textId="248D35A4"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w:t>
            </w:r>
            <w:r w:rsidR="00816A3F">
              <w:rPr>
                <w:rFonts w:ascii="Arial Narrow" w:hAnsi="Arial Narrow"/>
                <w:color w:val="000000"/>
                <w:sz w:val="18"/>
                <w:szCs w:val="18"/>
              </w:rPr>
              <w:t xml:space="preserve"> </w:t>
            </w:r>
            <w:r w:rsidRPr="002B5014">
              <w:rPr>
                <w:rFonts w:ascii="Arial Narrow" w:hAnsi="Arial Narrow"/>
                <w:color w:val="000000"/>
                <w:sz w:val="18"/>
                <w:szCs w:val="18"/>
              </w:rPr>
              <w:t>632</w:t>
            </w:r>
          </w:p>
        </w:tc>
        <w:tc>
          <w:tcPr>
            <w:tcW w:w="648" w:type="dxa"/>
            <w:vAlign w:val="center"/>
          </w:tcPr>
          <w:p w14:paraId="6E6729F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129</w:t>
            </w:r>
          </w:p>
        </w:tc>
        <w:tc>
          <w:tcPr>
            <w:tcW w:w="717" w:type="dxa"/>
            <w:vAlign w:val="center"/>
          </w:tcPr>
          <w:p w14:paraId="06C15C99" w14:textId="496B9A7C"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w:t>
            </w:r>
            <w:r w:rsidR="00816A3F">
              <w:rPr>
                <w:rFonts w:ascii="Arial Narrow" w:hAnsi="Arial Narrow"/>
                <w:color w:val="000000"/>
                <w:sz w:val="18"/>
                <w:szCs w:val="18"/>
              </w:rPr>
              <w:t xml:space="preserve"> </w:t>
            </w:r>
            <w:r w:rsidRPr="002B5014">
              <w:rPr>
                <w:rFonts w:ascii="Arial Narrow" w:hAnsi="Arial Narrow"/>
                <w:color w:val="000000"/>
                <w:sz w:val="18"/>
                <w:szCs w:val="18"/>
              </w:rPr>
              <w:t>503</w:t>
            </w:r>
          </w:p>
        </w:tc>
        <w:tc>
          <w:tcPr>
            <w:tcW w:w="683" w:type="dxa"/>
            <w:gridSpan w:val="2"/>
            <w:vAlign w:val="center"/>
          </w:tcPr>
          <w:p w14:paraId="4309FCE0" w14:textId="401258FB"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816A3F">
              <w:rPr>
                <w:rFonts w:ascii="Arial Narrow" w:hAnsi="Arial Narrow"/>
                <w:color w:val="000000"/>
                <w:sz w:val="18"/>
                <w:szCs w:val="18"/>
              </w:rPr>
              <w:t xml:space="preserve"> </w:t>
            </w:r>
            <w:r w:rsidRPr="002B5014">
              <w:rPr>
                <w:rFonts w:ascii="Arial Narrow" w:hAnsi="Arial Narrow"/>
                <w:color w:val="000000"/>
                <w:sz w:val="18"/>
                <w:szCs w:val="18"/>
              </w:rPr>
              <w:t>860</w:t>
            </w:r>
          </w:p>
        </w:tc>
        <w:tc>
          <w:tcPr>
            <w:tcW w:w="689" w:type="dxa"/>
            <w:vAlign w:val="center"/>
          </w:tcPr>
          <w:p w14:paraId="7136E60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135</w:t>
            </w:r>
          </w:p>
        </w:tc>
        <w:tc>
          <w:tcPr>
            <w:tcW w:w="717" w:type="dxa"/>
            <w:vAlign w:val="center"/>
          </w:tcPr>
          <w:p w14:paraId="62248844" w14:textId="515B5CD8"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816A3F">
              <w:rPr>
                <w:rFonts w:ascii="Arial Narrow" w:hAnsi="Arial Narrow"/>
                <w:color w:val="000000"/>
                <w:sz w:val="18"/>
                <w:szCs w:val="18"/>
              </w:rPr>
              <w:t xml:space="preserve"> </w:t>
            </w:r>
            <w:r w:rsidRPr="002B5014">
              <w:rPr>
                <w:rFonts w:ascii="Arial Narrow" w:hAnsi="Arial Narrow"/>
                <w:color w:val="000000"/>
                <w:sz w:val="18"/>
                <w:szCs w:val="18"/>
              </w:rPr>
              <w:t>725</w:t>
            </w:r>
          </w:p>
        </w:tc>
      </w:tr>
      <w:tr w:rsidR="00D53EE1" w:rsidRPr="00CE357F" w14:paraId="73267041" w14:textId="77777777" w:rsidTr="00F45357">
        <w:trPr>
          <w:trHeight w:val="202"/>
          <w:jc w:val="center"/>
        </w:trPr>
        <w:tc>
          <w:tcPr>
            <w:tcW w:w="1555" w:type="dxa"/>
            <w:shd w:val="clear" w:color="auto" w:fill="D9E2F3" w:themeFill="accent1" w:themeFillTint="33"/>
            <w:vAlign w:val="center"/>
          </w:tcPr>
          <w:p w14:paraId="6077291C"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Brno-Chrlice</w:t>
            </w:r>
          </w:p>
        </w:tc>
        <w:tc>
          <w:tcPr>
            <w:tcW w:w="992" w:type="dxa"/>
            <w:vAlign w:val="center"/>
          </w:tcPr>
          <w:p w14:paraId="567105F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3 493</w:t>
            </w:r>
          </w:p>
        </w:tc>
        <w:tc>
          <w:tcPr>
            <w:tcW w:w="992" w:type="dxa"/>
            <w:vAlign w:val="center"/>
          </w:tcPr>
          <w:p w14:paraId="48FFAD8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306</w:t>
            </w:r>
          </w:p>
        </w:tc>
        <w:tc>
          <w:tcPr>
            <w:tcW w:w="1276" w:type="dxa"/>
            <w:vAlign w:val="center"/>
          </w:tcPr>
          <w:p w14:paraId="13B1D09E" w14:textId="11C31A58"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8,8</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279D016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188</w:t>
            </w:r>
          </w:p>
        </w:tc>
        <w:tc>
          <w:tcPr>
            <w:tcW w:w="648" w:type="dxa"/>
            <w:vAlign w:val="center"/>
          </w:tcPr>
          <w:p w14:paraId="4D4CD67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20</w:t>
            </w:r>
          </w:p>
        </w:tc>
        <w:tc>
          <w:tcPr>
            <w:tcW w:w="717" w:type="dxa"/>
            <w:vAlign w:val="center"/>
          </w:tcPr>
          <w:p w14:paraId="17CC769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168</w:t>
            </w:r>
          </w:p>
        </w:tc>
        <w:tc>
          <w:tcPr>
            <w:tcW w:w="683" w:type="dxa"/>
            <w:gridSpan w:val="2"/>
            <w:vAlign w:val="center"/>
          </w:tcPr>
          <w:p w14:paraId="19EE2CCA"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118</w:t>
            </w:r>
          </w:p>
        </w:tc>
        <w:tc>
          <w:tcPr>
            <w:tcW w:w="689" w:type="dxa"/>
            <w:vAlign w:val="center"/>
          </w:tcPr>
          <w:p w14:paraId="6139021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w:t>
            </w:r>
          </w:p>
        </w:tc>
        <w:tc>
          <w:tcPr>
            <w:tcW w:w="717" w:type="dxa"/>
            <w:vAlign w:val="center"/>
          </w:tcPr>
          <w:p w14:paraId="631336B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106</w:t>
            </w:r>
          </w:p>
        </w:tc>
      </w:tr>
      <w:tr w:rsidR="00D53EE1" w:rsidRPr="00CE357F" w14:paraId="586BAA69" w14:textId="77777777" w:rsidTr="00F45357">
        <w:trPr>
          <w:trHeight w:val="202"/>
          <w:jc w:val="center"/>
        </w:trPr>
        <w:tc>
          <w:tcPr>
            <w:tcW w:w="1555" w:type="dxa"/>
            <w:shd w:val="clear" w:color="auto" w:fill="D9E2F3" w:themeFill="accent1" w:themeFillTint="33"/>
            <w:vAlign w:val="center"/>
          </w:tcPr>
          <w:p w14:paraId="24AD57CA"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Brno-Bohunice</w:t>
            </w:r>
          </w:p>
        </w:tc>
        <w:tc>
          <w:tcPr>
            <w:tcW w:w="992" w:type="dxa"/>
            <w:vAlign w:val="center"/>
          </w:tcPr>
          <w:p w14:paraId="290DA2B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13 436</w:t>
            </w:r>
          </w:p>
        </w:tc>
        <w:tc>
          <w:tcPr>
            <w:tcW w:w="992" w:type="dxa"/>
            <w:vAlign w:val="center"/>
          </w:tcPr>
          <w:p w14:paraId="0B2756FE" w14:textId="3BA93789"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F3523E">
              <w:rPr>
                <w:rFonts w:ascii="Arial Narrow" w:hAnsi="Arial Narrow"/>
                <w:color w:val="000000"/>
                <w:sz w:val="18"/>
                <w:szCs w:val="18"/>
              </w:rPr>
              <w:t xml:space="preserve"> </w:t>
            </w:r>
            <w:r w:rsidRPr="002B5014">
              <w:rPr>
                <w:rFonts w:ascii="Arial Narrow" w:hAnsi="Arial Narrow"/>
                <w:color w:val="000000"/>
                <w:sz w:val="18"/>
                <w:szCs w:val="18"/>
              </w:rPr>
              <w:t>063</w:t>
            </w:r>
          </w:p>
        </w:tc>
        <w:tc>
          <w:tcPr>
            <w:tcW w:w="1276" w:type="dxa"/>
            <w:vAlign w:val="center"/>
          </w:tcPr>
          <w:p w14:paraId="7F40F6F5" w14:textId="04D66170"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7,9</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7A4F070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539</w:t>
            </w:r>
          </w:p>
        </w:tc>
        <w:tc>
          <w:tcPr>
            <w:tcW w:w="648" w:type="dxa"/>
            <w:vAlign w:val="center"/>
          </w:tcPr>
          <w:p w14:paraId="44CE1C8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50</w:t>
            </w:r>
          </w:p>
        </w:tc>
        <w:tc>
          <w:tcPr>
            <w:tcW w:w="717" w:type="dxa"/>
            <w:vAlign w:val="center"/>
          </w:tcPr>
          <w:p w14:paraId="3228E6F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489</w:t>
            </w:r>
          </w:p>
        </w:tc>
        <w:tc>
          <w:tcPr>
            <w:tcW w:w="683" w:type="dxa"/>
            <w:gridSpan w:val="2"/>
            <w:vAlign w:val="center"/>
          </w:tcPr>
          <w:p w14:paraId="66318AF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524</w:t>
            </w:r>
          </w:p>
        </w:tc>
        <w:tc>
          <w:tcPr>
            <w:tcW w:w="689" w:type="dxa"/>
            <w:vAlign w:val="center"/>
          </w:tcPr>
          <w:p w14:paraId="15ACFB8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62</w:t>
            </w:r>
          </w:p>
        </w:tc>
        <w:tc>
          <w:tcPr>
            <w:tcW w:w="717" w:type="dxa"/>
            <w:vAlign w:val="center"/>
          </w:tcPr>
          <w:p w14:paraId="283A1CB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462</w:t>
            </w:r>
          </w:p>
        </w:tc>
      </w:tr>
      <w:tr w:rsidR="00D53EE1" w:rsidRPr="00CE357F" w14:paraId="4E52DB2A" w14:textId="77777777" w:rsidTr="00F45357">
        <w:trPr>
          <w:trHeight w:val="202"/>
          <w:jc w:val="center"/>
        </w:trPr>
        <w:tc>
          <w:tcPr>
            <w:tcW w:w="1555" w:type="dxa"/>
            <w:shd w:val="clear" w:color="auto" w:fill="D9E2F3" w:themeFill="accent1" w:themeFillTint="33"/>
            <w:vAlign w:val="center"/>
          </w:tcPr>
          <w:p w14:paraId="35755E81"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Brno-Tuřany</w:t>
            </w:r>
          </w:p>
        </w:tc>
        <w:tc>
          <w:tcPr>
            <w:tcW w:w="992" w:type="dxa"/>
            <w:vAlign w:val="center"/>
          </w:tcPr>
          <w:p w14:paraId="72B744F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5 585</w:t>
            </w:r>
          </w:p>
        </w:tc>
        <w:tc>
          <w:tcPr>
            <w:tcW w:w="992" w:type="dxa"/>
            <w:vAlign w:val="center"/>
          </w:tcPr>
          <w:p w14:paraId="7BDDAA3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439</w:t>
            </w:r>
          </w:p>
        </w:tc>
        <w:tc>
          <w:tcPr>
            <w:tcW w:w="1276" w:type="dxa"/>
            <w:vAlign w:val="center"/>
          </w:tcPr>
          <w:p w14:paraId="01D8152B" w14:textId="2F64B365"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7,9</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59B0B89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264</w:t>
            </w:r>
          </w:p>
        </w:tc>
        <w:tc>
          <w:tcPr>
            <w:tcW w:w="648" w:type="dxa"/>
            <w:vAlign w:val="center"/>
          </w:tcPr>
          <w:p w14:paraId="6BA7160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26</w:t>
            </w:r>
          </w:p>
        </w:tc>
        <w:tc>
          <w:tcPr>
            <w:tcW w:w="717" w:type="dxa"/>
            <w:vAlign w:val="center"/>
          </w:tcPr>
          <w:p w14:paraId="04052E3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238</w:t>
            </w:r>
          </w:p>
        </w:tc>
        <w:tc>
          <w:tcPr>
            <w:tcW w:w="683" w:type="dxa"/>
            <w:gridSpan w:val="2"/>
            <w:vAlign w:val="center"/>
          </w:tcPr>
          <w:p w14:paraId="55C9B5E3"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175</w:t>
            </w:r>
          </w:p>
        </w:tc>
        <w:tc>
          <w:tcPr>
            <w:tcW w:w="689" w:type="dxa"/>
            <w:vAlign w:val="center"/>
          </w:tcPr>
          <w:p w14:paraId="3653A62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26</w:t>
            </w:r>
          </w:p>
        </w:tc>
        <w:tc>
          <w:tcPr>
            <w:tcW w:w="717" w:type="dxa"/>
            <w:vAlign w:val="center"/>
          </w:tcPr>
          <w:p w14:paraId="4218D93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149</w:t>
            </w:r>
          </w:p>
        </w:tc>
      </w:tr>
      <w:tr w:rsidR="00D53EE1" w:rsidRPr="00CE357F" w14:paraId="1784E0AC" w14:textId="77777777" w:rsidTr="00F45357">
        <w:trPr>
          <w:trHeight w:val="202"/>
          <w:jc w:val="center"/>
        </w:trPr>
        <w:tc>
          <w:tcPr>
            <w:tcW w:w="1555" w:type="dxa"/>
            <w:shd w:val="clear" w:color="auto" w:fill="D9E2F3" w:themeFill="accent1" w:themeFillTint="33"/>
            <w:vAlign w:val="center"/>
          </w:tcPr>
          <w:p w14:paraId="5BAECA93"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Brno-Medlánky</w:t>
            </w:r>
          </w:p>
        </w:tc>
        <w:tc>
          <w:tcPr>
            <w:tcW w:w="992" w:type="dxa"/>
            <w:vAlign w:val="center"/>
          </w:tcPr>
          <w:p w14:paraId="5B9E4DF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5 721</w:t>
            </w:r>
          </w:p>
        </w:tc>
        <w:tc>
          <w:tcPr>
            <w:tcW w:w="992" w:type="dxa"/>
            <w:vAlign w:val="center"/>
          </w:tcPr>
          <w:p w14:paraId="632180B3"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424</w:t>
            </w:r>
          </w:p>
        </w:tc>
        <w:tc>
          <w:tcPr>
            <w:tcW w:w="1276" w:type="dxa"/>
            <w:vAlign w:val="center"/>
          </w:tcPr>
          <w:p w14:paraId="175344EC" w14:textId="4542FBE3"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7,4</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7087C8C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245</w:t>
            </w:r>
          </w:p>
        </w:tc>
        <w:tc>
          <w:tcPr>
            <w:tcW w:w="648" w:type="dxa"/>
            <w:vAlign w:val="center"/>
          </w:tcPr>
          <w:p w14:paraId="242F741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15</w:t>
            </w:r>
          </w:p>
        </w:tc>
        <w:tc>
          <w:tcPr>
            <w:tcW w:w="717" w:type="dxa"/>
            <w:vAlign w:val="center"/>
          </w:tcPr>
          <w:p w14:paraId="4B851D2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230</w:t>
            </w:r>
          </w:p>
        </w:tc>
        <w:tc>
          <w:tcPr>
            <w:tcW w:w="683" w:type="dxa"/>
            <w:gridSpan w:val="2"/>
            <w:vAlign w:val="center"/>
          </w:tcPr>
          <w:p w14:paraId="4CBD0F2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179</w:t>
            </w:r>
          </w:p>
        </w:tc>
        <w:tc>
          <w:tcPr>
            <w:tcW w:w="689" w:type="dxa"/>
            <w:vAlign w:val="center"/>
          </w:tcPr>
          <w:p w14:paraId="0BFA3F4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15</w:t>
            </w:r>
          </w:p>
        </w:tc>
        <w:tc>
          <w:tcPr>
            <w:tcW w:w="717" w:type="dxa"/>
            <w:vAlign w:val="center"/>
          </w:tcPr>
          <w:p w14:paraId="1A5A5BEA"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164</w:t>
            </w:r>
          </w:p>
        </w:tc>
      </w:tr>
      <w:tr w:rsidR="00D53EE1" w:rsidRPr="00CE357F" w14:paraId="3BC88044" w14:textId="77777777" w:rsidTr="00F45357">
        <w:trPr>
          <w:trHeight w:val="202"/>
          <w:jc w:val="center"/>
        </w:trPr>
        <w:tc>
          <w:tcPr>
            <w:tcW w:w="1555" w:type="dxa"/>
            <w:shd w:val="clear" w:color="auto" w:fill="D9E2F3" w:themeFill="accent1" w:themeFillTint="33"/>
            <w:vAlign w:val="center"/>
          </w:tcPr>
          <w:p w14:paraId="5FABF6F5"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Brno-Žabovřesky</w:t>
            </w:r>
          </w:p>
        </w:tc>
        <w:tc>
          <w:tcPr>
            <w:tcW w:w="992" w:type="dxa"/>
            <w:vAlign w:val="center"/>
          </w:tcPr>
          <w:p w14:paraId="632DF1F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20 884</w:t>
            </w:r>
          </w:p>
        </w:tc>
        <w:tc>
          <w:tcPr>
            <w:tcW w:w="992" w:type="dxa"/>
            <w:vAlign w:val="center"/>
          </w:tcPr>
          <w:p w14:paraId="74A960B5" w14:textId="682056A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F3523E">
              <w:rPr>
                <w:rFonts w:ascii="Arial Narrow" w:hAnsi="Arial Narrow"/>
                <w:color w:val="000000"/>
                <w:sz w:val="18"/>
                <w:szCs w:val="18"/>
              </w:rPr>
              <w:t xml:space="preserve"> </w:t>
            </w:r>
            <w:r w:rsidRPr="002B5014">
              <w:rPr>
                <w:rFonts w:ascii="Arial Narrow" w:hAnsi="Arial Narrow"/>
                <w:color w:val="000000"/>
                <w:sz w:val="18"/>
                <w:szCs w:val="18"/>
              </w:rPr>
              <w:t>529</w:t>
            </w:r>
          </w:p>
        </w:tc>
        <w:tc>
          <w:tcPr>
            <w:tcW w:w="1276" w:type="dxa"/>
            <w:vAlign w:val="center"/>
          </w:tcPr>
          <w:p w14:paraId="20EFEBE1" w14:textId="35C61745"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7,3</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2F38CE6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880</w:t>
            </w:r>
          </w:p>
        </w:tc>
        <w:tc>
          <w:tcPr>
            <w:tcW w:w="648" w:type="dxa"/>
            <w:vAlign w:val="center"/>
          </w:tcPr>
          <w:p w14:paraId="31536A6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51</w:t>
            </w:r>
          </w:p>
        </w:tc>
        <w:tc>
          <w:tcPr>
            <w:tcW w:w="717" w:type="dxa"/>
            <w:vAlign w:val="center"/>
          </w:tcPr>
          <w:p w14:paraId="682616E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829</w:t>
            </w:r>
          </w:p>
        </w:tc>
        <w:tc>
          <w:tcPr>
            <w:tcW w:w="683" w:type="dxa"/>
            <w:gridSpan w:val="2"/>
            <w:vAlign w:val="center"/>
          </w:tcPr>
          <w:p w14:paraId="184AB20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649</w:t>
            </w:r>
          </w:p>
        </w:tc>
        <w:tc>
          <w:tcPr>
            <w:tcW w:w="689" w:type="dxa"/>
            <w:vAlign w:val="center"/>
          </w:tcPr>
          <w:p w14:paraId="049CA34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70</w:t>
            </w:r>
          </w:p>
        </w:tc>
        <w:tc>
          <w:tcPr>
            <w:tcW w:w="717" w:type="dxa"/>
            <w:vAlign w:val="center"/>
          </w:tcPr>
          <w:p w14:paraId="083030B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579</w:t>
            </w:r>
          </w:p>
        </w:tc>
      </w:tr>
      <w:tr w:rsidR="00D53EE1" w:rsidRPr="00CE357F" w14:paraId="651ABFEB" w14:textId="77777777" w:rsidTr="00F45357">
        <w:trPr>
          <w:trHeight w:val="202"/>
          <w:jc w:val="center"/>
        </w:trPr>
        <w:tc>
          <w:tcPr>
            <w:tcW w:w="1555" w:type="dxa"/>
            <w:shd w:val="clear" w:color="auto" w:fill="D9E2F3" w:themeFill="accent1" w:themeFillTint="33"/>
            <w:vAlign w:val="center"/>
          </w:tcPr>
          <w:p w14:paraId="15ED909D"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Brno-Starý Lískovec</w:t>
            </w:r>
          </w:p>
        </w:tc>
        <w:tc>
          <w:tcPr>
            <w:tcW w:w="992" w:type="dxa"/>
            <w:vAlign w:val="center"/>
          </w:tcPr>
          <w:p w14:paraId="55D19DB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12 796</w:t>
            </w:r>
          </w:p>
        </w:tc>
        <w:tc>
          <w:tcPr>
            <w:tcW w:w="992" w:type="dxa"/>
            <w:vAlign w:val="center"/>
          </w:tcPr>
          <w:p w14:paraId="659B742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790</w:t>
            </w:r>
          </w:p>
        </w:tc>
        <w:tc>
          <w:tcPr>
            <w:tcW w:w="1276" w:type="dxa"/>
            <w:vAlign w:val="center"/>
          </w:tcPr>
          <w:p w14:paraId="17C3E8BE" w14:textId="0B7789D0"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6,2</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51C47C1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418</w:t>
            </w:r>
          </w:p>
        </w:tc>
        <w:tc>
          <w:tcPr>
            <w:tcW w:w="648" w:type="dxa"/>
            <w:vAlign w:val="center"/>
          </w:tcPr>
          <w:p w14:paraId="79D8771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53</w:t>
            </w:r>
          </w:p>
        </w:tc>
        <w:tc>
          <w:tcPr>
            <w:tcW w:w="717" w:type="dxa"/>
            <w:vAlign w:val="center"/>
          </w:tcPr>
          <w:p w14:paraId="005E4C5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365</w:t>
            </w:r>
          </w:p>
        </w:tc>
        <w:tc>
          <w:tcPr>
            <w:tcW w:w="683" w:type="dxa"/>
            <w:gridSpan w:val="2"/>
            <w:vAlign w:val="center"/>
          </w:tcPr>
          <w:p w14:paraId="3CA326B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372</w:t>
            </w:r>
          </w:p>
        </w:tc>
        <w:tc>
          <w:tcPr>
            <w:tcW w:w="689" w:type="dxa"/>
            <w:vAlign w:val="center"/>
          </w:tcPr>
          <w:p w14:paraId="5A11A33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56</w:t>
            </w:r>
          </w:p>
        </w:tc>
        <w:tc>
          <w:tcPr>
            <w:tcW w:w="717" w:type="dxa"/>
            <w:vAlign w:val="center"/>
          </w:tcPr>
          <w:p w14:paraId="71AF173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316</w:t>
            </w:r>
          </w:p>
        </w:tc>
      </w:tr>
      <w:tr w:rsidR="00D53EE1" w:rsidRPr="00CE357F" w14:paraId="3442FD2C" w14:textId="77777777" w:rsidTr="00F45357">
        <w:trPr>
          <w:trHeight w:val="202"/>
          <w:jc w:val="center"/>
        </w:trPr>
        <w:tc>
          <w:tcPr>
            <w:tcW w:w="1555" w:type="dxa"/>
            <w:shd w:val="clear" w:color="auto" w:fill="D9E2F3" w:themeFill="accent1" w:themeFillTint="33"/>
            <w:vAlign w:val="center"/>
          </w:tcPr>
          <w:p w14:paraId="4E418EE2"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Brno-Řečkovice a Mokrá Hora</w:t>
            </w:r>
          </w:p>
        </w:tc>
        <w:tc>
          <w:tcPr>
            <w:tcW w:w="992" w:type="dxa"/>
            <w:vAlign w:val="center"/>
          </w:tcPr>
          <w:p w14:paraId="44135F4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14 706</w:t>
            </w:r>
          </w:p>
        </w:tc>
        <w:tc>
          <w:tcPr>
            <w:tcW w:w="992" w:type="dxa"/>
            <w:vAlign w:val="center"/>
          </w:tcPr>
          <w:p w14:paraId="3639EA5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887</w:t>
            </w:r>
          </w:p>
        </w:tc>
        <w:tc>
          <w:tcPr>
            <w:tcW w:w="1276" w:type="dxa"/>
            <w:vAlign w:val="center"/>
          </w:tcPr>
          <w:p w14:paraId="66E038D6" w14:textId="03EE9894"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6,0</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42F1682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517</w:t>
            </w:r>
          </w:p>
        </w:tc>
        <w:tc>
          <w:tcPr>
            <w:tcW w:w="648" w:type="dxa"/>
            <w:vAlign w:val="center"/>
          </w:tcPr>
          <w:p w14:paraId="42353DB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35</w:t>
            </w:r>
          </w:p>
        </w:tc>
        <w:tc>
          <w:tcPr>
            <w:tcW w:w="717" w:type="dxa"/>
            <w:vAlign w:val="center"/>
          </w:tcPr>
          <w:p w14:paraId="0F8C788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482</w:t>
            </w:r>
          </w:p>
        </w:tc>
        <w:tc>
          <w:tcPr>
            <w:tcW w:w="683" w:type="dxa"/>
            <w:gridSpan w:val="2"/>
            <w:vAlign w:val="center"/>
          </w:tcPr>
          <w:p w14:paraId="1AF7D87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370</w:t>
            </w:r>
          </w:p>
        </w:tc>
        <w:tc>
          <w:tcPr>
            <w:tcW w:w="689" w:type="dxa"/>
            <w:vAlign w:val="center"/>
          </w:tcPr>
          <w:p w14:paraId="3137FA6A"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27</w:t>
            </w:r>
          </w:p>
        </w:tc>
        <w:tc>
          <w:tcPr>
            <w:tcW w:w="717" w:type="dxa"/>
            <w:vAlign w:val="center"/>
          </w:tcPr>
          <w:p w14:paraId="4B8E7C4A"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343</w:t>
            </w:r>
          </w:p>
        </w:tc>
      </w:tr>
      <w:tr w:rsidR="00D53EE1" w:rsidRPr="00CE357F" w14:paraId="71F2ECFD" w14:textId="77777777" w:rsidTr="00F45357">
        <w:trPr>
          <w:trHeight w:val="202"/>
          <w:jc w:val="center"/>
        </w:trPr>
        <w:tc>
          <w:tcPr>
            <w:tcW w:w="1555" w:type="dxa"/>
            <w:shd w:val="clear" w:color="auto" w:fill="D9E2F3" w:themeFill="accent1" w:themeFillTint="33"/>
            <w:vAlign w:val="center"/>
          </w:tcPr>
          <w:p w14:paraId="08F7561B"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Brno-Nový Lískovec</w:t>
            </w:r>
          </w:p>
        </w:tc>
        <w:tc>
          <w:tcPr>
            <w:tcW w:w="992" w:type="dxa"/>
            <w:vAlign w:val="center"/>
          </w:tcPr>
          <w:p w14:paraId="13AF0A7A"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10 311</w:t>
            </w:r>
          </w:p>
        </w:tc>
        <w:tc>
          <w:tcPr>
            <w:tcW w:w="992" w:type="dxa"/>
            <w:vAlign w:val="center"/>
          </w:tcPr>
          <w:p w14:paraId="3D31946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602</w:t>
            </w:r>
          </w:p>
        </w:tc>
        <w:tc>
          <w:tcPr>
            <w:tcW w:w="1276" w:type="dxa"/>
            <w:vAlign w:val="center"/>
          </w:tcPr>
          <w:p w14:paraId="32181CF3" w14:textId="73601917"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5,8</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621B59B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332</w:t>
            </w:r>
          </w:p>
        </w:tc>
        <w:tc>
          <w:tcPr>
            <w:tcW w:w="648" w:type="dxa"/>
            <w:vAlign w:val="center"/>
          </w:tcPr>
          <w:p w14:paraId="4E4D873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18</w:t>
            </w:r>
          </w:p>
        </w:tc>
        <w:tc>
          <w:tcPr>
            <w:tcW w:w="717" w:type="dxa"/>
            <w:vAlign w:val="center"/>
          </w:tcPr>
          <w:p w14:paraId="0F4A0D2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314</w:t>
            </w:r>
          </w:p>
        </w:tc>
        <w:tc>
          <w:tcPr>
            <w:tcW w:w="683" w:type="dxa"/>
            <w:gridSpan w:val="2"/>
            <w:vAlign w:val="center"/>
          </w:tcPr>
          <w:p w14:paraId="26E62F9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270</w:t>
            </w:r>
          </w:p>
        </w:tc>
        <w:tc>
          <w:tcPr>
            <w:tcW w:w="689" w:type="dxa"/>
            <w:vAlign w:val="center"/>
          </w:tcPr>
          <w:p w14:paraId="67BB5DD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32</w:t>
            </w:r>
          </w:p>
        </w:tc>
        <w:tc>
          <w:tcPr>
            <w:tcW w:w="717" w:type="dxa"/>
            <w:vAlign w:val="center"/>
          </w:tcPr>
          <w:p w14:paraId="1A0CA3C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238</w:t>
            </w:r>
          </w:p>
        </w:tc>
      </w:tr>
      <w:tr w:rsidR="00D53EE1" w:rsidRPr="00CE357F" w14:paraId="505AF9E2" w14:textId="77777777" w:rsidTr="00F45357">
        <w:trPr>
          <w:trHeight w:val="202"/>
          <w:jc w:val="center"/>
        </w:trPr>
        <w:tc>
          <w:tcPr>
            <w:tcW w:w="1555" w:type="dxa"/>
            <w:shd w:val="clear" w:color="auto" w:fill="D9E2F3" w:themeFill="accent1" w:themeFillTint="33"/>
            <w:vAlign w:val="center"/>
          </w:tcPr>
          <w:p w14:paraId="0F7AA9DD"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Brno-Bosonohy</w:t>
            </w:r>
          </w:p>
        </w:tc>
        <w:tc>
          <w:tcPr>
            <w:tcW w:w="992" w:type="dxa"/>
            <w:vAlign w:val="center"/>
          </w:tcPr>
          <w:p w14:paraId="6FD331D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2 580</w:t>
            </w:r>
          </w:p>
        </w:tc>
        <w:tc>
          <w:tcPr>
            <w:tcW w:w="992" w:type="dxa"/>
            <w:vAlign w:val="center"/>
          </w:tcPr>
          <w:p w14:paraId="142AF10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148</w:t>
            </w:r>
          </w:p>
        </w:tc>
        <w:tc>
          <w:tcPr>
            <w:tcW w:w="1276" w:type="dxa"/>
            <w:vAlign w:val="center"/>
          </w:tcPr>
          <w:p w14:paraId="4E6E3632" w14:textId="48AF7174"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5,7</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7521F80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89</w:t>
            </w:r>
          </w:p>
        </w:tc>
        <w:tc>
          <w:tcPr>
            <w:tcW w:w="648" w:type="dxa"/>
            <w:vAlign w:val="center"/>
          </w:tcPr>
          <w:p w14:paraId="3334F28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w:t>
            </w:r>
          </w:p>
        </w:tc>
        <w:tc>
          <w:tcPr>
            <w:tcW w:w="717" w:type="dxa"/>
            <w:vAlign w:val="center"/>
          </w:tcPr>
          <w:p w14:paraId="11499BC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80</w:t>
            </w:r>
          </w:p>
        </w:tc>
        <w:tc>
          <w:tcPr>
            <w:tcW w:w="683" w:type="dxa"/>
            <w:gridSpan w:val="2"/>
            <w:vAlign w:val="center"/>
          </w:tcPr>
          <w:p w14:paraId="4FEA26F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59</w:t>
            </w:r>
          </w:p>
        </w:tc>
        <w:tc>
          <w:tcPr>
            <w:tcW w:w="689" w:type="dxa"/>
            <w:vAlign w:val="center"/>
          </w:tcPr>
          <w:p w14:paraId="64E5AD5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w:t>
            </w:r>
          </w:p>
        </w:tc>
        <w:tc>
          <w:tcPr>
            <w:tcW w:w="717" w:type="dxa"/>
            <w:vAlign w:val="center"/>
          </w:tcPr>
          <w:p w14:paraId="5A38CE9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56</w:t>
            </w:r>
          </w:p>
        </w:tc>
      </w:tr>
      <w:tr w:rsidR="00D53EE1" w:rsidRPr="00CE357F" w14:paraId="63A9AB51" w14:textId="77777777" w:rsidTr="00F45357">
        <w:trPr>
          <w:trHeight w:val="202"/>
          <w:jc w:val="center"/>
        </w:trPr>
        <w:tc>
          <w:tcPr>
            <w:tcW w:w="1555" w:type="dxa"/>
            <w:shd w:val="clear" w:color="auto" w:fill="D9E2F3" w:themeFill="accent1" w:themeFillTint="33"/>
            <w:vAlign w:val="center"/>
          </w:tcPr>
          <w:p w14:paraId="4D312A51"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Brno-Maloměřice a Obřany</w:t>
            </w:r>
          </w:p>
        </w:tc>
        <w:tc>
          <w:tcPr>
            <w:tcW w:w="992" w:type="dxa"/>
            <w:vAlign w:val="center"/>
          </w:tcPr>
          <w:p w14:paraId="72314FB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5 844</w:t>
            </w:r>
          </w:p>
        </w:tc>
        <w:tc>
          <w:tcPr>
            <w:tcW w:w="992" w:type="dxa"/>
            <w:vAlign w:val="center"/>
          </w:tcPr>
          <w:p w14:paraId="68CD48E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334</w:t>
            </w:r>
          </w:p>
        </w:tc>
        <w:tc>
          <w:tcPr>
            <w:tcW w:w="1276" w:type="dxa"/>
            <w:vAlign w:val="center"/>
          </w:tcPr>
          <w:p w14:paraId="26736D5D" w14:textId="0DA050C7"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5,7</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3537444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185</w:t>
            </w:r>
          </w:p>
        </w:tc>
        <w:tc>
          <w:tcPr>
            <w:tcW w:w="648" w:type="dxa"/>
            <w:vAlign w:val="center"/>
          </w:tcPr>
          <w:p w14:paraId="24433A2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17</w:t>
            </w:r>
          </w:p>
        </w:tc>
        <w:tc>
          <w:tcPr>
            <w:tcW w:w="717" w:type="dxa"/>
            <w:vAlign w:val="center"/>
          </w:tcPr>
          <w:p w14:paraId="421B96C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168</w:t>
            </w:r>
          </w:p>
        </w:tc>
        <w:tc>
          <w:tcPr>
            <w:tcW w:w="683" w:type="dxa"/>
            <w:gridSpan w:val="2"/>
            <w:vAlign w:val="center"/>
          </w:tcPr>
          <w:p w14:paraId="3774469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149</w:t>
            </w:r>
          </w:p>
        </w:tc>
        <w:tc>
          <w:tcPr>
            <w:tcW w:w="689" w:type="dxa"/>
            <w:vAlign w:val="center"/>
          </w:tcPr>
          <w:p w14:paraId="02C57AE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w:t>
            </w:r>
          </w:p>
        </w:tc>
        <w:tc>
          <w:tcPr>
            <w:tcW w:w="717" w:type="dxa"/>
            <w:vAlign w:val="center"/>
          </w:tcPr>
          <w:p w14:paraId="6D07EA0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136</w:t>
            </w:r>
          </w:p>
        </w:tc>
      </w:tr>
      <w:tr w:rsidR="00D53EE1" w:rsidRPr="00CE357F" w14:paraId="3A08AF60" w14:textId="77777777" w:rsidTr="00F45357">
        <w:trPr>
          <w:trHeight w:val="202"/>
          <w:jc w:val="center"/>
        </w:trPr>
        <w:tc>
          <w:tcPr>
            <w:tcW w:w="1555" w:type="dxa"/>
            <w:shd w:val="clear" w:color="auto" w:fill="D9E2F3" w:themeFill="accent1" w:themeFillTint="33"/>
            <w:vAlign w:val="center"/>
          </w:tcPr>
          <w:p w14:paraId="7F1E29C0"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Brno-Líšeň</w:t>
            </w:r>
          </w:p>
        </w:tc>
        <w:tc>
          <w:tcPr>
            <w:tcW w:w="992" w:type="dxa"/>
            <w:vAlign w:val="center"/>
          </w:tcPr>
          <w:p w14:paraId="4334971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26 475</w:t>
            </w:r>
          </w:p>
        </w:tc>
        <w:tc>
          <w:tcPr>
            <w:tcW w:w="992" w:type="dxa"/>
            <w:vAlign w:val="center"/>
          </w:tcPr>
          <w:p w14:paraId="539566BC" w14:textId="12C9F09C"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F3523E">
              <w:rPr>
                <w:rFonts w:ascii="Arial Narrow" w:hAnsi="Arial Narrow"/>
                <w:color w:val="000000"/>
                <w:sz w:val="18"/>
                <w:szCs w:val="18"/>
              </w:rPr>
              <w:t xml:space="preserve"> </w:t>
            </w:r>
            <w:r w:rsidRPr="002B5014">
              <w:rPr>
                <w:rFonts w:ascii="Arial Narrow" w:hAnsi="Arial Narrow"/>
                <w:color w:val="000000"/>
                <w:sz w:val="18"/>
                <w:szCs w:val="18"/>
              </w:rPr>
              <w:t>496</w:t>
            </w:r>
          </w:p>
        </w:tc>
        <w:tc>
          <w:tcPr>
            <w:tcW w:w="1276" w:type="dxa"/>
            <w:vAlign w:val="center"/>
          </w:tcPr>
          <w:p w14:paraId="25930D2B" w14:textId="5A478967"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5,7</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156D006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860</w:t>
            </w:r>
          </w:p>
        </w:tc>
        <w:tc>
          <w:tcPr>
            <w:tcW w:w="648" w:type="dxa"/>
            <w:vAlign w:val="center"/>
          </w:tcPr>
          <w:p w14:paraId="11B5BB8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70</w:t>
            </w:r>
          </w:p>
        </w:tc>
        <w:tc>
          <w:tcPr>
            <w:tcW w:w="717" w:type="dxa"/>
            <w:vAlign w:val="center"/>
          </w:tcPr>
          <w:p w14:paraId="03E7D56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790</w:t>
            </w:r>
          </w:p>
        </w:tc>
        <w:tc>
          <w:tcPr>
            <w:tcW w:w="683" w:type="dxa"/>
            <w:gridSpan w:val="2"/>
            <w:vAlign w:val="center"/>
          </w:tcPr>
          <w:p w14:paraId="6FF396F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636</w:t>
            </w:r>
          </w:p>
        </w:tc>
        <w:tc>
          <w:tcPr>
            <w:tcW w:w="689" w:type="dxa"/>
            <w:vAlign w:val="center"/>
          </w:tcPr>
          <w:p w14:paraId="6EF2FF1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93</w:t>
            </w:r>
          </w:p>
        </w:tc>
        <w:tc>
          <w:tcPr>
            <w:tcW w:w="717" w:type="dxa"/>
            <w:vAlign w:val="center"/>
          </w:tcPr>
          <w:p w14:paraId="7B31A15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543</w:t>
            </w:r>
          </w:p>
        </w:tc>
      </w:tr>
      <w:tr w:rsidR="00D53EE1" w:rsidRPr="00CE357F" w14:paraId="7C78A6F3" w14:textId="77777777" w:rsidTr="00F45357">
        <w:trPr>
          <w:trHeight w:val="202"/>
          <w:jc w:val="center"/>
        </w:trPr>
        <w:tc>
          <w:tcPr>
            <w:tcW w:w="1555" w:type="dxa"/>
            <w:shd w:val="clear" w:color="auto" w:fill="D9E2F3" w:themeFill="accent1" w:themeFillTint="33"/>
            <w:vAlign w:val="center"/>
          </w:tcPr>
          <w:p w14:paraId="7A3CC512"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Brno-Komín</w:t>
            </w:r>
          </w:p>
        </w:tc>
        <w:tc>
          <w:tcPr>
            <w:tcW w:w="992" w:type="dxa"/>
            <w:vAlign w:val="center"/>
          </w:tcPr>
          <w:p w14:paraId="0861438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7 752</w:t>
            </w:r>
          </w:p>
        </w:tc>
        <w:tc>
          <w:tcPr>
            <w:tcW w:w="992" w:type="dxa"/>
            <w:vAlign w:val="center"/>
          </w:tcPr>
          <w:p w14:paraId="1668021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436</w:t>
            </w:r>
          </w:p>
        </w:tc>
        <w:tc>
          <w:tcPr>
            <w:tcW w:w="1276" w:type="dxa"/>
            <w:vAlign w:val="center"/>
          </w:tcPr>
          <w:p w14:paraId="2F24C562" w14:textId="056F2D95"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5,6</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30B50DB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250</w:t>
            </w:r>
          </w:p>
        </w:tc>
        <w:tc>
          <w:tcPr>
            <w:tcW w:w="648" w:type="dxa"/>
            <w:vAlign w:val="center"/>
          </w:tcPr>
          <w:p w14:paraId="2CDB88B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19</w:t>
            </w:r>
          </w:p>
        </w:tc>
        <w:tc>
          <w:tcPr>
            <w:tcW w:w="717" w:type="dxa"/>
            <w:vAlign w:val="center"/>
          </w:tcPr>
          <w:p w14:paraId="7D186B2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231</w:t>
            </w:r>
          </w:p>
        </w:tc>
        <w:tc>
          <w:tcPr>
            <w:tcW w:w="683" w:type="dxa"/>
            <w:gridSpan w:val="2"/>
            <w:vAlign w:val="center"/>
          </w:tcPr>
          <w:p w14:paraId="2CD4C55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186</w:t>
            </w:r>
          </w:p>
        </w:tc>
        <w:tc>
          <w:tcPr>
            <w:tcW w:w="689" w:type="dxa"/>
            <w:vAlign w:val="center"/>
          </w:tcPr>
          <w:p w14:paraId="79A3575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17</w:t>
            </w:r>
          </w:p>
        </w:tc>
        <w:tc>
          <w:tcPr>
            <w:tcW w:w="717" w:type="dxa"/>
            <w:vAlign w:val="center"/>
          </w:tcPr>
          <w:p w14:paraId="0A5BBD4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169</w:t>
            </w:r>
          </w:p>
        </w:tc>
      </w:tr>
      <w:tr w:rsidR="00D53EE1" w:rsidRPr="00CE357F" w14:paraId="0C1CFCF1" w14:textId="77777777" w:rsidTr="00F45357">
        <w:trPr>
          <w:trHeight w:val="202"/>
          <w:jc w:val="center"/>
        </w:trPr>
        <w:tc>
          <w:tcPr>
            <w:tcW w:w="1555" w:type="dxa"/>
            <w:shd w:val="clear" w:color="auto" w:fill="D9E2F3" w:themeFill="accent1" w:themeFillTint="33"/>
            <w:vAlign w:val="center"/>
          </w:tcPr>
          <w:p w14:paraId="3BA9C2E5"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Brno-Jundrov</w:t>
            </w:r>
          </w:p>
        </w:tc>
        <w:tc>
          <w:tcPr>
            <w:tcW w:w="992" w:type="dxa"/>
            <w:vAlign w:val="center"/>
          </w:tcPr>
          <w:p w14:paraId="7AA6A68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4 547</w:t>
            </w:r>
          </w:p>
        </w:tc>
        <w:tc>
          <w:tcPr>
            <w:tcW w:w="992" w:type="dxa"/>
            <w:vAlign w:val="center"/>
          </w:tcPr>
          <w:p w14:paraId="664F72F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255</w:t>
            </w:r>
          </w:p>
        </w:tc>
        <w:tc>
          <w:tcPr>
            <w:tcW w:w="1276" w:type="dxa"/>
            <w:vAlign w:val="center"/>
          </w:tcPr>
          <w:p w14:paraId="10FB4E1F" w14:textId="15345598"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5,6</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13F0B88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139</w:t>
            </w:r>
          </w:p>
        </w:tc>
        <w:tc>
          <w:tcPr>
            <w:tcW w:w="648" w:type="dxa"/>
            <w:vAlign w:val="center"/>
          </w:tcPr>
          <w:p w14:paraId="14E4E96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w:t>
            </w:r>
          </w:p>
        </w:tc>
        <w:tc>
          <w:tcPr>
            <w:tcW w:w="717" w:type="dxa"/>
            <w:vAlign w:val="center"/>
          </w:tcPr>
          <w:p w14:paraId="2CDA77F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132</w:t>
            </w:r>
          </w:p>
        </w:tc>
        <w:tc>
          <w:tcPr>
            <w:tcW w:w="683" w:type="dxa"/>
            <w:gridSpan w:val="2"/>
            <w:vAlign w:val="center"/>
          </w:tcPr>
          <w:p w14:paraId="543857DA"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116</w:t>
            </w:r>
          </w:p>
        </w:tc>
        <w:tc>
          <w:tcPr>
            <w:tcW w:w="689" w:type="dxa"/>
            <w:vAlign w:val="center"/>
          </w:tcPr>
          <w:p w14:paraId="108F375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9</w:t>
            </w:r>
          </w:p>
        </w:tc>
        <w:tc>
          <w:tcPr>
            <w:tcW w:w="717" w:type="dxa"/>
            <w:vAlign w:val="center"/>
          </w:tcPr>
          <w:p w14:paraId="614AC2B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107</w:t>
            </w:r>
          </w:p>
        </w:tc>
      </w:tr>
      <w:tr w:rsidR="00D53EE1" w:rsidRPr="00CE357F" w14:paraId="76641F12" w14:textId="77777777" w:rsidTr="00F45357">
        <w:trPr>
          <w:trHeight w:val="202"/>
          <w:jc w:val="center"/>
        </w:trPr>
        <w:tc>
          <w:tcPr>
            <w:tcW w:w="1555" w:type="dxa"/>
            <w:shd w:val="clear" w:color="auto" w:fill="D9E2F3" w:themeFill="accent1" w:themeFillTint="33"/>
            <w:vAlign w:val="center"/>
          </w:tcPr>
          <w:p w14:paraId="4F2052D6"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Brno-Žebětín</w:t>
            </w:r>
          </w:p>
        </w:tc>
        <w:tc>
          <w:tcPr>
            <w:tcW w:w="992" w:type="dxa"/>
            <w:vAlign w:val="center"/>
          </w:tcPr>
          <w:p w14:paraId="2616B8C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5 537</w:t>
            </w:r>
          </w:p>
        </w:tc>
        <w:tc>
          <w:tcPr>
            <w:tcW w:w="992" w:type="dxa"/>
            <w:vAlign w:val="center"/>
          </w:tcPr>
          <w:p w14:paraId="50BC813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290</w:t>
            </w:r>
          </w:p>
        </w:tc>
        <w:tc>
          <w:tcPr>
            <w:tcW w:w="1276" w:type="dxa"/>
            <w:vAlign w:val="center"/>
          </w:tcPr>
          <w:p w14:paraId="6AB6E929" w14:textId="13C45EFF"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5,2</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061BA83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145</w:t>
            </w:r>
          </w:p>
        </w:tc>
        <w:tc>
          <w:tcPr>
            <w:tcW w:w="648" w:type="dxa"/>
            <w:vAlign w:val="center"/>
          </w:tcPr>
          <w:p w14:paraId="6E11AD3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24</w:t>
            </w:r>
          </w:p>
        </w:tc>
        <w:tc>
          <w:tcPr>
            <w:tcW w:w="717" w:type="dxa"/>
            <w:vAlign w:val="center"/>
          </w:tcPr>
          <w:p w14:paraId="372EB8E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121</w:t>
            </w:r>
          </w:p>
        </w:tc>
        <w:tc>
          <w:tcPr>
            <w:tcW w:w="683" w:type="dxa"/>
            <w:gridSpan w:val="2"/>
            <w:vAlign w:val="center"/>
          </w:tcPr>
          <w:p w14:paraId="16791A8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145</w:t>
            </w:r>
          </w:p>
        </w:tc>
        <w:tc>
          <w:tcPr>
            <w:tcW w:w="689" w:type="dxa"/>
            <w:vAlign w:val="center"/>
          </w:tcPr>
          <w:p w14:paraId="3EFAF93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19</w:t>
            </w:r>
          </w:p>
        </w:tc>
        <w:tc>
          <w:tcPr>
            <w:tcW w:w="717" w:type="dxa"/>
            <w:vAlign w:val="center"/>
          </w:tcPr>
          <w:p w14:paraId="3D36B25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126</w:t>
            </w:r>
          </w:p>
        </w:tc>
      </w:tr>
      <w:tr w:rsidR="00D53EE1" w:rsidRPr="00CE357F" w14:paraId="744728C3" w14:textId="77777777" w:rsidTr="00F45357">
        <w:trPr>
          <w:trHeight w:val="202"/>
          <w:jc w:val="center"/>
        </w:trPr>
        <w:tc>
          <w:tcPr>
            <w:tcW w:w="1555" w:type="dxa"/>
            <w:shd w:val="clear" w:color="auto" w:fill="D9E2F3" w:themeFill="accent1" w:themeFillTint="33"/>
            <w:vAlign w:val="center"/>
          </w:tcPr>
          <w:p w14:paraId="7A08FE94"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Brno-Vinohrady</w:t>
            </w:r>
          </w:p>
        </w:tc>
        <w:tc>
          <w:tcPr>
            <w:tcW w:w="992" w:type="dxa"/>
            <w:vAlign w:val="center"/>
          </w:tcPr>
          <w:p w14:paraId="461B7C8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12 271</w:t>
            </w:r>
          </w:p>
        </w:tc>
        <w:tc>
          <w:tcPr>
            <w:tcW w:w="992" w:type="dxa"/>
            <w:vAlign w:val="center"/>
          </w:tcPr>
          <w:p w14:paraId="2784741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628</w:t>
            </w:r>
          </w:p>
        </w:tc>
        <w:tc>
          <w:tcPr>
            <w:tcW w:w="1276" w:type="dxa"/>
            <w:vAlign w:val="center"/>
          </w:tcPr>
          <w:p w14:paraId="1F66BA00" w14:textId="6F7D07A5"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5,1</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42FA6073"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333</w:t>
            </w:r>
          </w:p>
        </w:tc>
        <w:tc>
          <w:tcPr>
            <w:tcW w:w="648" w:type="dxa"/>
            <w:vAlign w:val="center"/>
          </w:tcPr>
          <w:p w14:paraId="1A52FC7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50</w:t>
            </w:r>
          </w:p>
        </w:tc>
        <w:tc>
          <w:tcPr>
            <w:tcW w:w="717" w:type="dxa"/>
            <w:vAlign w:val="center"/>
          </w:tcPr>
          <w:p w14:paraId="7CAB144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283</w:t>
            </w:r>
          </w:p>
        </w:tc>
        <w:tc>
          <w:tcPr>
            <w:tcW w:w="683" w:type="dxa"/>
            <w:gridSpan w:val="2"/>
            <w:vAlign w:val="center"/>
          </w:tcPr>
          <w:p w14:paraId="4A36AFF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295</w:t>
            </w:r>
          </w:p>
        </w:tc>
        <w:tc>
          <w:tcPr>
            <w:tcW w:w="689" w:type="dxa"/>
            <w:vAlign w:val="center"/>
          </w:tcPr>
          <w:p w14:paraId="2F09FA2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46</w:t>
            </w:r>
          </w:p>
        </w:tc>
        <w:tc>
          <w:tcPr>
            <w:tcW w:w="717" w:type="dxa"/>
            <w:vAlign w:val="center"/>
          </w:tcPr>
          <w:p w14:paraId="2CCDF54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249</w:t>
            </w:r>
          </w:p>
        </w:tc>
      </w:tr>
      <w:tr w:rsidR="00D53EE1" w:rsidRPr="00CE357F" w14:paraId="0513812E" w14:textId="77777777" w:rsidTr="00F45357">
        <w:trPr>
          <w:trHeight w:val="202"/>
          <w:jc w:val="center"/>
        </w:trPr>
        <w:tc>
          <w:tcPr>
            <w:tcW w:w="1555" w:type="dxa"/>
            <w:shd w:val="clear" w:color="auto" w:fill="D9E2F3" w:themeFill="accent1" w:themeFillTint="33"/>
            <w:vAlign w:val="center"/>
          </w:tcPr>
          <w:p w14:paraId="68F3B2BB"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Brno-Bystrc</w:t>
            </w:r>
          </w:p>
        </w:tc>
        <w:tc>
          <w:tcPr>
            <w:tcW w:w="992" w:type="dxa"/>
            <w:vAlign w:val="center"/>
          </w:tcPr>
          <w:p w14:paraId="681C8D5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24 279</w:t>
            </w:r>
          </w:p>
        </w:tc>
        <w:tc>
          <w:tcPr>
            <w:tcW w:w="992" w:type="dxa"/>
            <w:vAlign w:val="center"/>
          </w:tcPr>
          <w:p w14:paraId="2A683C65" w14:textId="493509E8"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r w:rsidR="00F3523E">
              <w:rPr>
                <w:rFonts w:ascii="Arial Narrow" w:hAnsi="Arial Narrow"/>
                <w:color w:val="000000"/>
                <w:sz w:val="18"/>
                <w:szCs w:val="18"/>
              </w:rPr>
              <w:t xml:space="preserve"> </w:t>
            </w:r>
            <w:r w:rsidRPr="002B5014">
              <w:rPr>
                <w:rFonts w:ascii="Arial Narrow" w:hAnsi="Arial Narrow"/>
                <w:color w:val="000000"/>
                <w:sz w:val="18"/>
                <w:szCs w:val="18"/>
              </w:rPr>
              <w:t>044</w:t>
            </w:r>
          </w:p>
        </w:tc>
        <w:tc>
          <w:tcPr>
            <w:tcW w:w="1276" w:type="dxa"/>
            <w:vAlign w:val="center"/>
          </w:tcPr>
          <w:p w14:paraId="7BE1C215" w14:textId="2A9B28D3"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4,3</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1EDFA63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554</w:t>
            </w:r>
          </w:p>
        </w:tc>
        <w:tc>
          <w:tcPr>
            <w:tcW w:w="648" w:type="dxa"/>
            <w:vAlign w:val="center"/>
          </w:tcPr>
          <w:p w14:paraId="04F7D51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63</w:t>
            </w:r>
          </w:p>
        </w:tc>
        <w:tc>
          <w:tcPr>
            <w:tcW w:w="717" w:type="dxa"/>
            <w:vAlign w:val="center"/>
          </w:tcPr>
          <w:p w14:paraId="32B574D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491</w:t>
            </w:r>
          </w:p>
        </w:tc>
        <w:tc>
          <w:tcPr>
            <w:tcW w:w="683" w:type="dxa"/>
            <w:gridSpan w:val="2"/>
            <w:vAlign w:val="center"/>
          </w:tcPr>
          <w:p w14:paraId="764F63F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490</w:t>
            </w:r>
          </w:p>
        </w:tc>
        <w:tc>
          <w:tcPr>
            <w:tcW w:w="689" w:type="dxa"/>
            <w:vAlign w:val="center"/>
          </w:tcPr>
          <w:p w14:paraId="5EBC00F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60</w:t>
            </w:r>
          </w:p>
        </w:tc>
        <w:tc>
          <w:tcPr>
            <w:tcW w:w="717" w:type="dxa"/>
            <w:vAlign w:val="center"/>
          </w:tcPr>
          <w:p w14:paraId="6D7D903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430</w:t>
            </w:r>
          </w:p>
        </w:tc>
      </w:tr>
      <w:tr w:rsidR="00D53EE1" w:rsidRPr="00CE357F" w14:paraId="57E40669" w14:textId="77777777" w:rsidTr="00F45357">
        <w:trPr>
          <w:trHeight w:val="202"/>
          <w:jc w:val="center"/>
        </w:trPr>
        <w:tc>
          <w:tcPr>
            <w:tcW w:w="1555" w:type="dxa"/>
            <w:shd w:val="clear" w:color="auto" w:fill="D9E2F3" w:themeFill="accent1" w:themeFillTint="33"/>
            <w:vAlign w:val="center"/>
          </w:tcPr>
          <w:p w14:paraId="584F6F7E"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Brno-Ivanovice</w:t>
            </w:r>
          </w:p>
        </w:tc>
        <w:tc>
          <w:tcPr>
            <w:tcW w:w="992" w:type="dxa"/>
            <w:vAlign w:val="center"/>
          </w:tcPr>
          <w:p w14:paraId="7A750DE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1 911</w:t>
            </w:r>
          </w:p>
        </w:tc>
        <w:tc>
          <w:tcPr>
            <w:tcW w:w="992" w:type="dxa"/>
            <w:vAlign w:val="center"/>
          </w:tcPr>
          <w:p w14:paraId="77A48FD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78</w:t>
            </w:r>
          </w:p>
        </w:tc>
        <w:tc>
          <w:tcPr>
            <w:tcW w:w="1276" w:type="dxa"/>
            <w:vAlign w:val="center"/>
          </w:tcPr>
          <w:p w14:paraId="7F303633" w14:textId="1D79DF13"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4,1</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779C3AC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49</w:t>
            </w:r>
          </w:p>
        </w:tc>
        <w:tc>
          <w:tcPr>
            <w:tcW w:w="648" w:type="dxa"/>
            <w:vAlign w:val="center"/>
          </w:tcPr>
          <w:p w14:paraId="3F881F6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w:t>
            </w:r>
          </w:p>
        </w:tc>
        <w:tc>
          <w:tcPr>
            <w:tcW w:w="717" w:type="dxa"/>
            <w:vAlign w:val="center"/>
          </w:tcPr>
          <w:p w14:paraId="6429083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42</w:t>
            </w:r>
          </w:p>
        </w:tc>
        <w:tc>
          <w:tcPr>
            <w:tcW w:w="683" w:type="dxa"/>
            <w:gridSpan w:val="2"/>
            <w:vAlign w:val="center"/>
          </w:tcPr>
          <w:p w14:paraId="152DB58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29</w:t>
            </w:r>
          </w:p>
        </w:tc>
        <w:tc>
          <w:tcPr>
            <w:tcW w:w="689" w:type="dxa"/>
            <w:vAlign w:val="center"/>
          </w:tcPr>
          <w:p w14:paraId="1599935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w:t>
            </w:r>
          </w:p>
        </w:tc>
        <w:tc>
          <w:tcPr>
            <w:tcW w:w="717" w:type="dxa"/>
            <w:vAlign w:val="center"/>
          </w:tcPr>
          <w:p w14:paraId="3FB6839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26</w:t>
            </w:r>
          </w:p>
        </w:tc>
      </w:tr>
      <w:tr w:rsidR="00D53EE1" w:rsidRPr="00CE357F" w14:paraId="5412266E" w14:textId="77777777" w:rsidTr="00F45357">
        <w:trPr>
          <w:trHeight w:val="202"/>
          <w:jc w:val="center"/>
        </w:trPr>
        <w:tc>
          <w:tcPr>
            <w:tcW w:w="1555" w:type="dxa"/>
            <w:shd w:val="clear" w:color="auto" w:fill="D9E2F3" w:themeFill="accent1" w:themeFillTint="33"/>
            <w:vAlign w:val="center"/>
          </w:tcPr>
          <w:p w14:paraId="61D6C4F5"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Brno-Jehnice</w:t>
            </w:r>
          </w:p>
        </w:tc>
        <w:tc>
          <w:tcPr>
            <w:tcW w:w="992" w:type="dxa"/>
            <w:vAlign w:val="center"/>
          </w:tcPr>
          <w:p w14:paraId="074ECA8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1 077</w:t>
            </w:r>
          </w:p>
        </w:tc>
        <w:tc>
          <w:tcPr>
            <w:tcW w:w="992" w:type="dxa"/>
            <w:vAlign w:val="center"/>
          </w:tcPr>
          <w:p w14:paraId="74BCDA4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38</w:t>
            </w:r>
          </w:p>
        </w:tc>
        <w:tc>
          <w:tcPr>
            <w:tcW w:w="1276" w:type="dxa"/>
            <w:vAlign w:val="center"/>
          </w:tcPr>
          <w:p w14:paraId="0C100229" w14:textId="676FAD1F"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3,5</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5D2FA34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25</w:t>
            </w:r>
          </w:p>
        </w:tc>
        <w:tc>
          <w:tcPr>
            <w:tcW w:w="648" w:type="dxa"/>
            <w:vAlign w:val="center"/>
          </w:tcPr>
          <w:p w14:paraId="0798BAF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0</w:t>
            </w:r>
          </w:p>
        </w:tc>
        <w:tc>
          <w:tcPr>
            <w:tcW w:w="717" w:type="dxa"/>
            <w:vAlign w:val="center"/>
          </w:tcPr>
          <w:p w14:paraId="094917C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25</w:t>
            </w:r>
          </w:p>
        </w:tc>
        <w:tc>
          <w:tcPr>
            <w:tcW w:w="683" w:type="dxa"/>
            <w:gridSpan w:val="2"/>
            <w:vAlign w:val="center"/>
          </w:tcPr>
          <w:p w14:paraId="54211D4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w:t>
            </w:r>
          </w:p>
        </w:tc>
        <w:tc>
          <w:tcPr>
            <w:tcW w:w="689" w:type="dxa"/>
            <w:vAlign w:val="center"/>
          </w:tcPr>
          <w:p w14:paraId="156D28A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w:t>
            </w:r>
          </w:p>
        </w:tc>
        <w:tc>
          <w:tcPr>
            <w:tcW w:w="717" w:type="dxa"/>
            <w:vAlign w:val="center"/>
          </w:tcPr>
          <w:p w14:paraId="17BD4BD0"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11</w:t>
            </w:r>
          </w:p>
        </w:tc>
      </w:tr>
      <w:tr w:rsidR="00D53EE1" w:rsidRPr="00CE357F" w14:paraId="5C56DC54" w14:textId="77777777" w:rsidTr="00F45357">
        <w:trPr>
          <w:trHeight w:val="202"/>
          <w:jc w:val="center"/>
        </w:trPr>
        <w:tc>
          <w:tcPr>
            <w:tcW w:w="1555" w:type="dxa"/>
            <w:shd w:val="clear" w:color="auto" w:fill="D9E2F3" w:themeFill="accent1" w:themeFillTint="33"/>
            <w:vAlign w:val="center"/>
          </w:tcPr>
          <w:p w14:paraId="575928D2"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Brno-Kohoutovice</w:t>
            </w:r>
          </w:p>
        </w:tc>
        <w:tc>
          <w:tcPr>
            <w:tcW w:w="992" w:type="dxa"/>
            <w:vAlign w:val="center"/>
          </w:tcPr>
          <w:p w14:paraId="127FD87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12 293</w:t>
            </w:r>
          </w:p>
        </w:tc>
        <w:tc>
          <w:tcPr>
            <w:tcW w:w="992" w:type="dxa"/>
            <w:vAlign w:val="center"/>
          </w:tcPr>
          <w:p w14:paraId="4DA0B88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381</w:t>
            </w:r>
          </w:p>
        </w:tc>
        <w:tc>
          <w:tcPr>
            <w:tcW w:w="1276" w:type="dxa"/>
            <w:vAlign w:val="center"/>
          </w:tcPr>
          <w:p w14:paraId="29D31431" w14:textId="42517A91"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3,1</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21BA61C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217</w:t>
            </w:r>
          </w:p>
        </w:tc>
        <w:tc>
          <w:tcPr>
            <w:tcW w:w="648" w:type="dxa"/>
            <w:vAlign w:val="center"/>
          </w:tcPr>
          <w:p w14:paraId="0646288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15</w:t>
            </w:r>
          </w:p>
        </w:tc>
        <w:tc>
          <w:tcPr>
            <w:tcW w:w="717" w:type="dxa"/>
            <w:vAlign w:val="center"/>
          </w:tcPr>
          <w:p w14:paraId="4C8D619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202</w:t>
            </w:r>
          </w:p>
        </w:tc>
        <w:tc>
          <w:tcPr>
            <w:tcW w:w="683" w:type="dxa"/>
            <w:gridSpan w:val="2"/>
            <w:vAlign w:val="center"/>
          </w:tcPr>
          <w:p w14:paraId="66E6A21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164</w:t>
            </w:r>
          </w:p>
        </w:tc>
        <w:tc>
          <w:tcPr>
            <w:tcW w:w="689" w:type="dxa"/>
            <w:vAlign w:val="center"/>
          </w:tcPr>
          <w:p w14:paraId="38E464CE"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14</w:t>
            </w:r>
          </w:p>
        </w:tc>
        <w:tc>
          <w:tcPr>
            <w:tcW w:w="717" w:type="dxa"/>
            <w:vAlign w:val="center"/>
          </w:tcPr>
          <w:p w14:paraId="2CFC0BA1"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150</w:t>
            </w:r>
          </w:p>
        </w:tc>
      </w:tr>
      <w:tr w:rsidR="00D53EE1" w:rsidRPr="00CE357F" w14:paraId="5D058A84" w14:textId="77777777" w:rsidTr="00F45357">
        <w:trPr>
          <w:trHeight w:val="202"/>
          <w:jc w:val="center"/>
        </w:trPr>
        <w:tc>
          <w:tcPr>
            <w:tcW w:w="1555" w:type="dxa"/>
            <w:shd w:val="clear" w:color="auto" w:fill="D9E2F3" w:themeFill="accent1" w:themeFillTint="33"/>
            <w:vAlign w:val="center"/>
          </w:tcPr>
          <w:p w14:paraId="0B4F6F3D"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Brno-Kníničky</w:t>
            </w:r>
          </w:p>
        </w:tc>
        <w:tc>
          <w:tcPr>
            <w:tcW w:w="992" w:type="dxa"/>
            <w:vAlign w:val="center"/>
          </w:tcPr>
          <w:p w14:paraId="016B4025"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1 087</w:t>
            </w:r>
          </w:p>
        </w:tc>
        <w:tc>
          <w:tcPr>
            <w:tcW w:w="992" w:type="dxa"/>
            <w:vAlign w:val="center"/>
          </w:tcPr>
          <w:p w14:paraId="0A887BC6"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28</w:t>
            </w:r>
          </w:p>
        </w:tc>
        <w:tc>
          <w:tcPr>
            <w:tcW w:w="1276" w:type="dxa"/>
            <w:vAlign w:val="center"/>
          </w:tcPr>
          <w:p w14:paraId="3101147A" w14:textId="4AD7F3A0"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2,6</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117B5E7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16</w:t>
            </w:r>
          </w:p>
        </w:tc>
        <w:tc>
          <w:tcPr>
            <w:tcW w:w="648" w:type="dxa"/>
            <w:vAlign w:val="center"/>
          </w:tcPr>
          <w:p w14:paraId="44E461D3"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0</w:t>
            </w:r>
          </w:p>
        </w:tc>
        <w:tc>
          <w:tcPr>
            <w:tcW w:w="717" w:type="dxa"/>
            <w:vAlign w:val="center"/>
          </w:tcPr>
          <w:p w14:paraId="0889A24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16</w:t>
            </w:r>
          </w:p>
        </w:tc>
        <w:tc>
          <w:tcPr>
            <w:tcW w:w="683" w:type="dxa"/>
            <w:gridSpan w:val="2"/>
            <w:vAlign w:val="center"/>
          </w:tcPr>
          <w:p w14:paraId="232325A8"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12</w:t>
            </w:r>
          </w:p>
        </w:tc>
        <w:tc>
          <w:tcPr>
            <w:tcW w:w="689" w:type="dxa"/>
            <w:vAlign w:val="center"/>
          </w:tcPr>
          <w:p w14:paraId="166869C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4</w:t>
            </w:r>
          </w:p>
        </w:tc>
        <w:tc>
          <w:tcPr>
            <w:tcW w:w="717" w:type="dxa"/>
            <w:vAlign w:val="center"/>
          </w:tcPr>
          <w:p w14:paraId="3EAF0FFF"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w:t>
            </w:r>
          </w:p>
        </w:tc>
      </w:tr>
      <w:tr w:rsidR="00D53EE1" w:rsidRPr="00CE357F" w14:paraId="2BEDDC62" w14:textId="77777777" w:rsidTr="00F45357">
        <w:trPr>
          <w:trHeight w:val="202"/>
          <w:jc w:val="center"/>
        </w:trPr>
        <w:tc>
          <w:tcPr>
            <w:tcW w:w="1555" w:type="dxa"/>
            <w:shd w:val="clear" w:color="auto" w:fill="D9E2F3" w:themeFill="accent1" w:themeFillTint="33"/>
            <w:vAlign w:val="center"/>
          </w:tcPr>
          <w:p w14:paraId="389FE4D6"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Brno-Ořešín</w:t>
            </w:r>
          </w:p>
        </w:tc>
        <w:tc>
          <w:tcPr>
            <w:tcW w:w="992" w:type="dxa"/>
            <w:vAlign w:val="center"/>
          </w:tcPr>
          <w:p w14:paraId="691ABB6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604</w:t>
            </w:r>
          </w:p>
        </w:tc>
        <w:tc>
          <w:tcPr>
            <w:tcW w:w="992" w:type="dxa"/>
            <w:vAlign w:val="center"/>
          </w:tcPr>
          <w:p w14:paraId="4193900B"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w:t>
            </w:r>
          </w:p>
        </w:tc>
        <w:tc>
          <w:tcPr>
            <w:tcW w:w="1276" w:type="dxa"/>
            <w:vAlign w:val="center"/>
          </w:tcPr>
          <w:p w14:paraId="5509CFFC" w14:textId="59AA30FE"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2,2</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747CD62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w:t>
            </w:r>
          </w:p>
        </w:tc>
        <w:tc>
          <w:tcPr>
            <w:tcW w:w="648" w:type="dxa"/>
            <w:vAlign w:val="center"/>
          </w:tcPr>
          <w:p w14:paraId="74308DA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0</w:t>
            </w:r>
          </w:p>
        </w:tc>
        <w:tc>
          <w:tcPr>
            <w:tcW w:w="717" w:type="dxa"/>
            <w:vAlign w:val="center"/>
          </w:tcPr>
          <w:p w14:paraId="05B81B4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w:t>
            </w:r>
          </w:p>
        </w:tc>
        <w:tc>
          <w:tcPr>
            <w:tcW w:w="683" w:type="dxa"/>
            <w:gridSpan w:val="2"/>
            <w:vAlign w:val="center"/>
          </w:tcPr>
          <w:p w14:paraId="02FAA519"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w:t>
            </w:r>
          </w:p>
        </w:tc>
        <w:tc>
          <w:tcPr>
            <w:tcW w:w="689" w:type="dxa"/>
            <w:vAlign w:val="center"/>
          </w:tcPr>
          <w:p w14:paraId="649C55B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0</w:t>
            </w:r>
          </w:p>
        </w:tc>
        <w:tc>
          <w:tcPr>
            <w:tcW w:w="717" w:type="dxa"/>
            <w:vAlign w:val="center"/>
          </w:tcPr>
          <w:p w14:paraId="5C906E8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w:t>
            </w:r>
          </w:p>
        </w:tc>
      </w:tr>
      <w:tr w:rsidR="00D53EE1" w:rsidRPr="00CE357F" w14:paraId="7C05EF66" w14:textId="77777777" w:rsidTr="00F45357">
        <w:trPr>
          <w:trHeight w:val="202"/>
          <w:jc w:val="center"/>
        </w:trPr>
        <w:tc>
          <w:tcPr>
            <w:tcW w:w="1555" w:type="dxa"/>
            <w:shd w:val="clear" w:color="auto" w:fill="D9E2F3" w:themeFill="accent1" w:themeFillTint="33"/>
            <w:vAlign w:val="center"/>
          </w:tcPr>
          <w:p w14:paraId="5F2C682D" w14:textId="77777777" w:rsidR="00D53EE1" w:rsidRPr="002B5014"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Brno-Útěchov</w:t>
            </w:r>
          </w:p>
        </w:tc>
        <w:tc>
          <w:tcPr>
            <w:tcW w:w="992" w:type="dxa"/>
            <w:vAlign w:val="center"/>
          </w:tcPr>
          <w:p w14:paraId="45A5789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840</w:t>
            </w:r>
          </w:p>
        </w:tc>
        <w:tc>
          <w:tcPr>
            <w:tcW w:w="992" w:type="dxa"/>
            <w:vAlign w:val="center"/>
          </w:tcPr>
          <w:p w14:paraId="7810F8F2"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13</w:t>
            </w:r>
          </w:p>
        </w:tc>
        <w:tc>
          <w:tcPr>
            <w:tcW w:w="1276" w:type="dxa"/>
            <w:vAlign w:val="center"/>
          </w:tcPr>
          <w:p w14:paraId="3E2B5AEB" w14:textId="71266161" w:rsidR="00D53EE1" w:rsidRPr="002B5014" w:rsidRDefault="00D53EE1" w:rsidP="00F45357">
            <w:pPr>
              <w:jc w:val="center"/>
              <w:rPr>
                <w:rFonts w:ascii="Arial Narrow" w:hAnsi="Arial Narrow"/>
                <w:color w:val="000000"/>
                <w:sz w:val="18"/>
                <w:szCs w:val="18"/>
              </w:rPr>
            </w:pPr>
            <w:r w:rsidRPr="00E6468A">
              <w:rPr>
                <w:rFonts w:ascii="Arial Narrow" w:hAnsi="Arial Narrow"/>
                <w:color w:val="000000"/>
                <w:sz w:val="18"/>
                <w:szCs w:val="18"/>
              </w:rPr>
              <w:t>1,5</w:t>
            </w:r>
            <w:r w:rsidR="00F45357">
              <w:rPr>
                <w:rFonts w:ascii="Arial Narrow" w:hAnsi="Arial Narrow"/>
                <w:color w:val="000000"/>
                <w:sz w:val="18"/>
                <w:szCs w:val="18"/>
              </w:rPr>
              <w:t xml:space="preserve"> </w:t>
            </w:r>
            <w:r w:rsidRPr="00E6468A">
              <w:rPr>
                <w:rFonts w:ascii="Arial Narrow" w:hAnsi="Arial Narrow"/>
                <w:color w:val="000000"/>
                <w:sz w:val="18"/>
                <w:szCs w:val="18"/>
              </w:rPr>
              <w:t>%</w:t>
            </w:r>
          </w:p>
        </w:tc>
        <w:tc>
          <w:tcPr>
            <w:tcW w:w="701" w:type="dxa"/>
            <w:vAlign w:val="center"/>
          </w:tcPr>
          <w:p w14:paraId="204BBEB7"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w:t>
            </w:r>
          </w:p>
        </w:tc>
        <w:tc>
          <w:tcPr>
            <w:tcW w:w="648" w:type="dxa"/>
            <w:vAlign w:val="center"/>
          </w:tcPr>
          <w:p w14:paraId="14E0480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0</w:t>
            </w:r>
          </w:p>
        </w:tc>
        <w:tc>
          <w:tcPr>
            <w:tcW w:w="717" w:type="dxa"/>
            <w:vAlign w:val="center"/>
          </w:tcPr>
          <w:p w14:paraId="7B38DED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7</w:t>
            </w:r>
          </w:p>
        </w:tc>
        <w:tc>
          <w:tcPr>
            <w:tcW w:w="683" w:type="dxa"/>
            <w:gridSpan w:val="2"/>
            <w:vAlign w:val="center"/>
          </w:tcPr>
          <w:p w14:paraId="4FC96F7D"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6</w:t>
            </w:r>
          </w:p>
        </w:tc>
        <w:tc>
          <w:tcPr>
            <w:tcW w:w="689" w:type="dxa"/>
            <w:vAlign w:val="center"/>
          </w:tcPr>
          <w:p w14:paraId="7DC6EDA4"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1</w:t>
            </w:r>
          </w:p>
        </w:tc>
        <w:tc>
          <w:tcPr>
            <w:tcW w:w="717" w:type="dxa"/>
            <w:vAlign w:val="center"/>
          </w:tcPr>
          <w:p w14:paraId="5397A79C" w14:textId="77777777" w:rsidR="00D53EE1" w:rsidRPr="00CE357F" w:rsidRDefault="00D53EE1" w:rsidP="00F45357">
            <w:pPr>
              <w:jc w:val="center"/>
              <w:rPr>
                <w:rFonts w:ascii="Arial Narrow" w:hAnsi="Arial Narrow"/>
                <w:color w:val="000000"/>
                <w:sz w:val="18"/>
                <w:szCs w:val="18"/>
              </w:rPr>
            </w:pPr>
            <w:r w:rsidRPr="002B5014">
              <w:rPr>
                <w:rFonts w:ascii="Arial Narrow" w:hAnsi="Arial Narrow"/>
                <w:color w:val="000000"/>
                <w:sz w:val="18"/>
                <w:szCs w:val="18"/>
              </w:rPr>
              <w:t>5</w:t>
            </w:r>
          </w:p>
        </w:tc>
      </w:tr>
      <w:tr w:rsidR="00D53EE1" w:rsidRPr="00CE357F" w14:paraId="6F120F30" w14:textId="77777777" w:rsidTr="00F45357">
        <w:trPr>
          <w:trHeight w:val="202"/>
          <w:jc w:val="center"/>
        </w:trPr>
        <w:tc>
          <w:tcPr>
            <w:tcW w:w="1555" w:type="dxa"/>
            <w:shd w:val="clear" w:color="auto" w:fill="D9E2F3" w:themeFill="accent1" w:themeFillTint="33"/>
            <w:vAlign w:val="center"/>
          </w:tcPr>
          <w:p w14:paraId="0ABE1332" w14:textId="77777777"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CELKEM:</w:t>
            </w:r>
          </w:p>
        </w:tc>
        <w:tc>
          <w:tcPr>
            <w:tcW w:w="992" w:type="dxa"/>
            <w:vAlign w:val="center"/>
          </w:tcPr>
          <w:p w14:paraId="38F31173" w14:textId="77777777"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413 592</w:t>
            </w:r>
          </w:p>
        </w:tc>
        <w:tc>
          <w:tcPr>
            <w:tcW w:w="992" w:type="dxa"/>
            <w:vAlign w:val="center"/>
          </w:tcPr>
          <w:p w14:paraId="5FF129AA" w14:textId="77777777"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38 741</w:t>
            </w:r>
          </w:p>
        </w:tc>
        <w:tc>
          <w:tcPr>
            <w:tcW w:w="1276" w:type="dxa"/>
            <w:vAlign w:val="center"/>
          </w:tcPr>
          <w:p w14:paraId="41D84423" w14:textId="6872AFA9"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9,4</w:t>
            </w:r>
            <w:r w:rsidR="00F45357">
              <w:rPr>
                <w:rFonts w:ascii="Arial Narrow" w:hAnsi="Arial Narrow"/>
                <w:b/>
                <w:bCs/>
                <w:color w:val="000000"/>
                <w:sz w:val="18"/>
                <w:szCs w:val="18"/>
              </w:rPr>
              <w:t xml:space="preserve"> </w:t>
            </w:r>
            <w:r w:rsidRPr="00E6468A">
              <w:rPr>
                <w:rFonts w:ascii="Arial Narrow" w:hAnsi="Arial Narrow"/>
                <w:b/>
                <w:bCs/>
                <w:color w:val="000000"/>
                <w:sz w:val="18"/>
                <w:szCs w:val="18"/>
              </w:rPr>
              <w:t>%</w:t>
            </w:r>
          </w:p>
        </w:tc>
        <w:tc>
          <w:tcPr>
            <w:tcW w:w="701" w:type="dxa"/>
            <w:vAlign w:val="center"/>
          </w:tcPr>
          <w:p w14:paraId="20BAC357" w14:textId="600CD7EE"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22</w:t>
            </w:r>
            <w:r w:rsidR="00F45357">
              <w:rPr>
                <w:rFonts w:ascii="Arial Narrow" w:hAnsi="Arial Narrow"/>
                <w:b/>
                <w:bCs/>
                <w:color w:val="000000"/>
                <w:sz w:val="18"/>
                <w:szCs w:val="18"/>
              </w:rPr>
              <w:t xml:space="preserve"> </w:t>
            </w:r>
            <w:r w:rsidRPr="00E6468A">
              <w:rPr>
                <w:rFonts w:ascii="Arial Narrow" w:hAnsi="Arial Narrow"/>
                <w:b/>
                <w:bCs/>
                <w:color w:val="000000"/>
                <w:sz w:val="18"/>
                <w:szCs w:val="18"/>
              </w:rPr>
              <w:t>404</w:t>
            </w:r>
          </w:p>
        </w:tc>
        <w:tc>
          <w:tcPr>
            <w:tcW w:w="648" w:type="dxa"/>
            <w:vAlign w:val="center"/>
          </w:tcPr>
          <w:p w14:paraId="37E4A52A" w14:textId="77777777"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1 494</w:t>
            </w:r>
          </w:p>
        </w:tc>
        <w:tc>
          <w:tcPr>
            <w:tcW w:w="717" w:type="dxa"/>
            <w:vAlign w:val="center"/>
          </w:tcPr>
          <w:p w14:paraId="59A11DD0" w14:textId="77777777"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20 910</w:t>
            </w:r>
          </w:p>
        </w:tc>
        <w:tc>
          <w:tcPr>
            <w:tcW w:w="683" w:type="dxa"/>
            <w:gridSpan w:val="2"/>
            <w:vAlign w:val="center"/>
          </w:tcPr>
          <w:p w14:paraId="1501A170" w14:textId="7A86B5EB"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16</w:t>
            </w:r>
            <w:r w:rsidR="00EE084C">
              <w:rPr>
                <w:rFonts w:ascii="Arial Narrow" w:hAnsi="Arial Narrow"/>
                <w:b/>
                <w:bCs/>
                <w:color w:val="000000"/>
                <w:sz w:val="18"/>
                <w:szCs w:val="18"/>
              </w:rPr>
              <w:t xml:space="preserve"> </w:t>
            </w:r>
            <w:r w:rsidRPr="00E6468A">
              <w:rPr>
                <w:rFonts w:ascii="Arial Narrow" w:hAnsi="Arial Narrow"/>
                <w:b/>
                <w:bCs/>
                <w:color w:val="000000"/>
                <w:sz w:val="18"/>
                <w:szCs w:val="18"/>
              </w:rPr>
              <w:t>333</w:t>
            </w:r>
          </w:p>
        </w:tc>
        <w:tc>
          <w:tcPr>
            <w:tcW w:w="689" w:type="dxa"/>
            <w:vAlign w:val="center"/>
          </w:tcPr>
          <w:p w14:paraId="7A9AF63D" w14:textId="77777777"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1 493</w:t>
            </w:r>
          </w:p>
        </w:tc>
        <w:tc>
          <w:tcPr>
            <w:tcW w:w="717" w:type="dxa"/>
            <w:vAlign w:val="center"/>
          </w:tcPr>
          <w:p w14:paraId="25E576FA" w14:textId="77777777" w:rsidR="00D53EE1" w:rsidRPr="00E6468A" w:rsidRDefault="00D53EE1" w:rsidP="00F45357">
            <w:pPr>
              <w:jc w:val="center"/>
              <w:rPr>
                <w:rFonts w:ascii="Arial Narrow" w:hAnsi="Arial Narrow"/>
                <w:b/>
                <w:bCs/>
                <w:color w:val="000000"/>
                <w:sz w:val="18"/>
                <w:szCs w:val="18"/>
              </w:rPr>
            </w:pPr>
            <w:r w:rsidRPr="00E6468A">
              <w:rPr>
                <w:rFonts w:ascii="Arial Narrow" w:hAnsi="Arial Narrow"/>
                <w:b/>
                <w:bCs/>
                <w:color w:val="000000"/>
                <w:sz w:val="18"/>
                <w:szCs w:val="18"/>
              </w:rPr>
              <w:t>14 840</w:t>
            </w:r>
          </w:p>
        </w:tc>
      </w:tr>
    </w:tbl>
    <w:p w14:paraId="4C7AA8BB" w14:textId="40891515" w:rsidR="00EA186A" w:rsidRPr="001333A8" w:rsidRDefault="00D53EE1" w:rsidP="001333A8">
      <w:pPr>
        <w:jc w:val="both"/>
        <w:rPr>
          <w:rFonts w:ascii="Arial Narrow" w:hAnsi="Arial Narrow"/>
          <w:sz w:val="20"/>
          <w:szCs w:val="20"/>
        </w:rPr>
      </w:pPr>
      <w:r w:rsidRPr="00CE357F">
        <w:rPr>
          <w:rFonts w:ascii="Arial Narrow" w:hAnsi="Arial Narrow"/>
          <w:color w:val="000000"/>
          <w:sz w:val="20"/>
          <w:szCs w:val="20"/>
          <w:lang w:eastAsia="cs-CZ"/>
        </w:rPr>
        <w:t xml:space="preserve">Zdroj: Ministerstvo </w:t>
      </w:r>
      <w:r w:rsidR="00AD3798">
        <w:rPr>
          <w:rFonts w:ascii="Arial Narrow" w:hAnsi="Arial Narrow"/>
          <w:color w:val="000000"/>
          <w:sz w:val="20"/>
          <w:szCs w:val="20"/>
          <w:lang w:eastAsia="cs-CZ"/>
        </w:rPr>
        <w:t>v</w:t>
      </w:r>
      <w:r w:rsidRPr="00CE357F">
        <w:rPr>
          <w:rFonts w:ascii="Arial Narrow" w:hAnsi="Arial Narrow"/>
          <w:color w:val="000000"/>
          <w:sz w:val="20"/>
          <w:szCs w:val="20"/>
          <w:lang w:eastAsia="cs-CZ"/>
        </w:rPr>
        <w:t>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78BC11E8" w14:textId="77777777" w:rsidR="00C41C33" w:rsidRPr="00C41C33" w:rsidRDefault="00C41C33" w:rsidP="00C41C33">
      <w:pPr>
        <w:spacing w:after="240" w:line="276" w:lineRule="auto"/>
        <w:rPr>
          <w:rFonts w:ascii="Arial Narrow" w:hAnsi="Arial Narrow"/>
          <w:b/>
          <w:bCs/>
        </w:rPr>
      </w:pPr>
      <w:r w:rsidRPr="00C41C33">
        <w:rPr>
          <w:rFonts w:ascii="Arial Narrow" w:hAnsi="Arial Narrow"/>
          <w:b/>
          <w:bCs/>
        </w:rPr>
        <w:lastRenderedPageBreak/>
        <w:t>Osoby s jinou než českou státní příslušností v ORP Brno k datu 1. 1. 2023</w:t>
      </w:r>
    </w:p>
    <w:p w14:paraId="7EC95D03" w14:textId="0FDED87D" w:rsidR="00C41C33" w:rsidRPr="001333A8" w:rsidRDefault="00C41C33" w:rsidP="001333A8">
      <w:pPr>
        <w:spacing w:after="120" w:line="276" w:lineRule="auto"/>
        <w:jc w:val="both"/>
        <w:rPr>
          <w:rFonts w:ascii="Arial Narrow" w:hAnsi="Arial Narrow"/>
          <w:color w:val="000000"/>
        </w:rPr>
      </w:pPr>
      <w:r w:rsidRPr="00C41C33">
        <w:rPr>
          <w:rFonts w:ascii="Arial Narrow" w:hAnsi="Arial Narrow"/>
          <w:color w:val="000000"/>
        </w:rPr>
        <w:t xml:space="preserve">V ORP Brno žilo k datu 1. 1. 2023 celkem 63 367 osob s jinou než českou státní příslušností, tedy o 24 626 osob více než k 1. 1. 2022. Osoby s jinou než českou státní příslušností tvořily k tomuto datu 14,5 % všech obyvatel ORP Brno. Nejvyšší podíl těchto osob na celkovém počtu obyvatel v dané městské části byl v městské části Brno-jih, kde osoby s jinou než českou státní příslušností tvořily 28,6 % všech obyvatel. </w:t>
      </w:r>
      <w:r w:rsidR="006D5F75">
        <w:rPr>
          <w:rFonts w:ascii="Arial Narrow" w:hAnsi="Arial Narrow"/>
          <w:color w:val="000000"/>
        </w:rPr>
        <w:t>Dále byl vysoký</w:t>
      </w:r>
      <w:r w:rsidRPr="00C41C33">
        <w:rPr>
          <w:rFonts w:ascii="Arial Narrow" w:hAnsi="Arial Narrow"/>
          <w:color w:val="000000"/>
        </w:rPr>
        <w:t xml:space="preserve"> podíl osob s jinou než českou státní příslušností evidován v městských částech Brno-Slatina (28,3 %) a Brno-Královo Pole </w:t>
      </w:r>
      <w:r w:rsidRPr="00C41C33">
        <w:rPr>
          <w:rFonts w:ascii="Arial Narrow" w:hAnsi="Arial Narrow"/>
          <w:color w:val="000000"/>
        </w:rPr>
        <w:br/>
        <w:t>(22,1 %).</w:t>
      </w:r>
      <w:r w:rsidR="006D5F75">
        <w:rPr>
          <w:rFonts w:ascii="Arial Narrow" w:hAnsi="Arial Narrow"/>
          <w:color w:val="000000"/>
        </w:rPr>
        <w:t xml:space="preserve"> Vysoký podíl osob s jinou než českou státní příslušností ve výše jmenovaných městských částech může mít spojitost s </w:t>
      </w:r>
      <w:r w:rsidR="006D5F75" w:rsidRPr="006D5F75">
        <w:rPr>
          <w:rFonts w:ascii="Arial Narrow" w:hAnsi="Arial Narrow"/>
          <w:color w:val="000000"/>
        </w:rPr>
        <w:t>rozsáhl</w:t>
      </w:r>
      <w:r w:rsidR="006D5F75">
        <w:rPr>
          <w:rFonts w:ascii="Arial Narrow" w:hAnsi="Arial Narrow"/>
          <w:color w:val="000000"/>
        </w:rPr>
        <w:t>ými</w:t>
      </w:r>
      <w:r w:rsidR="006D5F75" w:rsidRPr="006D5F75">
        <w:rPr>
          <w:rFonts w:ascii="Arial Narrow" w:hAnsi="Arial Narrow"/>
          <w:color w:val="000000"/>
        </w:rPr>
        <w:t xml:space="preserve"> průmyslov</w:t>
      </w:r>
      <w:r w:rsidR="006D5F75">
        <w:rPr>
          <w:rFonts w:ascii="Arial Narrow" w:hAnsi="Arial Narrow"/>
          <w:color w:val="000000"/>
        </w:rPr>
        <w:t>ými</w:t>
      </w:r>
      <w:r w:rsidR="006D5F75" w:rsidRPr="006D5F75">
        <w:rPr>
          <w:rFonts w:ascii="Arial Narrow" w:hAnsi="Arial Narrow"/>
          <w:color w:val="000000"/>
        </w:rPr>
        <w:t xml:space="preserve"> zón</w:t>
      </w:r>
      <w:r w:rsidR="006D5F75">
        <w:rPr>
          <w:rFonts w:ascii="Arial Narrow" w:hAnsi="Arial Narrow"/>
          <w:color w:val="000000"/>
        </w:rPr>
        <w:t>ami</w:t>
      </w:r>
      <w:r w:rsidR="006D5F75" w:rsidRPr="006D5F75">
        <w:rPr>
          <w:rFonts w:ascii="Arial Narrow" w:hAnsi="Arial Narrow"/>
          <w:color w:val="000000"/>
        </w:rPr>
        <w:t>,</w:t>
      </w:r>
      <w:r w:rsidR="006D5F75">
        <w:rPr>
          <w:rFonts w:ascii="Arial Narrow" w:hAnsi="Arial Narrow"/>
          <w:color w:val="000000"/>
        </w:rPr>
        <w:t xml:space="preserve"> které se zde nacházejí a </w:t>
      </w:r>
      <w:r w:rsidR="006D5F75" w:rsidRPr="006D5F75">
        <w:rPr>
          <w:rFonts w:ascii="Arial Narrow" w:hAnsi="Arial Narrow"/>
          <w:color w:val="000000"/>
        </w:rPr>
        <w:t xml:space="preserve">kde </w:t>
      </w:r>
      <w:r w:rsidR="006D5F75">
        <w:rPr>
          <w:rFonts w:ascii="Arial Narrow" w:hAnsi="Arial Narrow"/>
          <w:color w:val="000000"/>
        </w:rPr>
        <w:t>mohou osoby s jinou než českou státní příslušností hledat pracovní uplatnění. Z</w:t>
      </w:r>
      <w:r w:rsidR="006D5F75" w:rsidRPr="006D5F75">
        <w:rPr>
          <w:rFonts w:ascii="Arial Narrow" w:hAnsi="Arial Narrow"/>
          <w:color w:val="000000"/>
        </w:rPr>
        <w:t xml:space="preserve">aměstnavatel </w:t>
      </w:r>
      <w:r w:rsidR="006D5F75">
        <w:rPr>
          <w:rFonts w:ascii="Arial Narrow" w:hAnsi="Arial Narrow"/>
          <w:color w:val="000000"/>
        </w:rPr>
        <w:t xml:space="preserve">jim </w:t>
      </w:r>
      <w:r w:rsidR="006D5F75" w:rsidRPr="006D5F75">
        <w:rPr>
          <w:rFonts w:ascii="Arial Narrow" w:hAnsi="Arial Narrow"/>
          <w:color w:val="000000"/>
        </w:rPr>
        <w:t>může</w:t>
      </w:r>
      <w:r w:rsidR="006C5C26">
        <w:rPr>
          <w:rFonts w:ascii="Arial Narrow" w:hAnsi="Arial Narrow"/>
          <w:color w:val="000000"/>
        </w:rPr>
        <w:t xml:space="preserve"> případně</w:t>
      </w:r>
      <w:r w:rsidR="006D5F75" w:rsidRPr="006D5F75">
        <w:rPr>
          <w:rFonts w:ascii="Arial Narrow" w:hAnsi="Arial Narrow"/>
          <w:color w:val="000000"/>
        </w:rPr>
        <w:t xml:space="preserve"> poskytnout ubytování, pokud jsou v areálu zkolaudovány prostory k</w:t>
      </w:r>
      <w:r w:rsidR="006D5F75">
        <w:rPr>
          <w:rFonts w:ascii="Arial Narrow" w:hAnsi="Arial Narrow"/>
          <w:color w:val="000000"/>
        </w:rPr>
        <w:t> </w:t>
      </w:r>
      <w:r w:rsidR="006D5F75" w:rsidRPr="006D5F75">
        <w:rPr>
          <w:rFonts w:ascii="Arial Narrow" w:hAnsi="Arial Narrow"/>
          <w:color w:val="000000"/>
        </w:rPr>
        <w:t>bydlení</w:t>
      </w:r>
      <w:r w:rsidR="006D5F75">
        <w:rPr>
          <w:rFonts w:ascii="Arial Narrow" w:hAnsi="Arial Narrow"/>
          <w:color w:val="000000"/>
        </w:rPr>
        <w:t>.</w:t>
      </w:r>
      <w:r w:rsidR="00925A65">
        <w:rPr>
          <w:rFonts w:ascii="Arial Narrow" w:hAnsi="Arial Narrow"/>
          <w:color w:val="000000"/>
        </w:rPr>
        <w:t xml:space="preserve"> Naopak nejnižší podíl těchto osob v okrajových částech města může mít spojitost s typem zástavby typickým pro tyto oblasti, kterým jsou finančně náročné rodinné domy. </w:t>
      </w:r>
      <w:r w:rsidRPr="00C41C33">
        <w:rPr>
          <w:rFonts w:ascii="Arial Narrow" w:hAnsi="Arial Narrow"/>
          <w:color w:val="000000"/>
        </w:rPr>
        <w:t xml:space="preserve">Počty osob s jinou než českou státní příslušností na území jednotlivých městských částí ORP včetně rozdělení těchto osob podle pohlaví a věku </w:t>
      </w:r>
      <w:r w:rsidR="001333A8">
        <w:rPr>
          <w:rFonts w:ascii="Arial Narrow" w:hAnsi="Arial Narrow"/>
          <w:color w:val="000000"/>
        </w:rPr>
        <w:t xml:space="preserve">a jejich podíl na celkovém počtu obyvatel </w:t>
      </w:r>
      <w:r w:rsidRPr="00C41C33">
        <w:rPr>
          <w:rFonts w:ascii="Arial Narrow" w:hAnsi="Arial Narrow"/>
          <w:color w:val="000000"/>
        </w:rPr>
        <w:t>podrobně dokumentuj</w:t>
      </w:r>
      <w:r w:rsidR="001333A8">
        <w:rPr>
          <w:rFonts w:ascii="Arial Narrow" w:hAnsi="Arial Narrow"/>
          <w:color w:val="000000"/>
        </w:rPr>
        <w:t>í</w:t>
      </w:r>
      <w:r w:rsidRPr="00C41C33">
        <w:rPr>
          <w:rFonts w:ascii="Arial Narrow" w:hAnsi="Arial Narrow"/>
          <w:color w:val="000000"/>
        </w:rPr>
        <w:t xml:space="preserve"> následující tabulka</w:t>
      </w:r>
      <w:r w:rsidR="001333A8">
        <w:rPr>
          <w:rFonts w:ascii="Arial Narrow" w:hAnsi="Arial Narrow"/>
          <w:color w:val="000000"/>
        </w:rPr>
        <w:t xml:space="preserve"> č. 36, graf č. 104 a obrázek č. 14</w:t>
      </w:r>
      <w:r w:rsidRPr="00C41C33">
        <w:rPr>
          <w:rFonts w:ascii="Arial Narrow" w:hAnsi="Arial Narrow"/>
          <w:color w:val="000000"/>
        </w:rPr>
        <w:t>.</w:t>
      </w:r>
    </w:p>
    <w:p w14:paraId="0E023541" w14:textId="775BEB17" w:rsidR="00C41C33" w:rsidRPr="00CE357F" w:rsidRDefault="00B1789D" w:rsidP="00C41C33">
      <w:pPr>
        <w:jc w:val="both"/>
        <w:rPr>
          <w:rFonts w:ascii="Arial Narrow" w:hAnsi="Arial Narrow"/>
          <w:b/>
          <w:sz w:val="24"/>
        </w:rPr>
      </w:pPr>
      <w:bookmarkStart w:id="647" w:name="_Toc136429247"/>
      <w:r w:rsidRPr="00CE357F">
        <w:rPr>
          <w:rFonts w:ascii="Arial Narrow" w:hAnsi="Arial Narrow"/>
          <w:b/>
          <w:bCs/>
          <w:sz w:val="20"/>
          <w:szCs w:val="18"/>
        </w:rPr>
        <w:t xml:space="preserve">Tabulka </w:t>
      </w:r>
      <w:r w:rsidRPr="00CE357F">
        <w:rPr>
          <w:rFonts w:ascii="Arial Narrow" w:hAnsi="Arial Narrow"/>
          <w:b/>
          <w:bCs/>
          <w:sz w:val="20"/>
          <w:szCs w:val="18"/>
        </w:rPr>
        <w:fldChar w:fldCharType="begin"/>
      </w:r>
      <w:r w:rsidRPr="00CE357F">
        <w:rPr>
          <w:rFonts w:ascii="Arial Narrow" w:hAnsi="Arial Narrow"/>
          <w:b/>
          <w:bCs/>
          <w:sz w:val="20"/>
          <w:szCs w:val="18"/>
        </w:rPr>
        <w:instrText xml:space="preserve"> SEQ Tabulka \* ARABIC </w:instrText>
      </w:r>
      <w:r w:rsidRPr="00CE357F">
        <w:rPr>
          <w:rFonts w:ascii="Arial Narrow" w:hAnsi="Arial Narrow"/>
          <w:b/>
          <w:bCs/>
          <w:sz w:val="20"/>
          <w:szCs w:val="18"/>
        </w:rPr>
        <w:fldChar w:fldCharType="separate"/>
      </w:r>
      <w:r w:rsidR="00256C97">
        <w:rPr>
          <w:rFonts w:ascii="Arial Narrow" w:hAnsi="Arial Narrow"/>
          <w:b/>
          <w:bCs/>
          <w:noProof/>
          <w:sz w:val="20"/>
          <w:szCs w:val="18"/>
        </w:rPr>
        <w:t>36</w:t>
      </w:r>
      <w:r w:rsidRPr="00CE357F">
        <w:rPr>
          <w:rFonts w:ascii="Arial Narrow" w:hAnsi="Arial Narrow"/>
          <w:b/>
          <w:bCs/>
          <w:sz w:val="20"/>
          <w:szCs w:val="18"/>
        </w:rPr>
        <w:fldChar w:fldCharType="end"/>
      </w:r>
      <w:r w:rsidRPr="00CE357F">
        <w:rPr>
          <w:rFonts w:ascii="Arial Narrow" w:hAnsi="Arial Narrow"/>
          <w:b/>
          <w:bCs/>
          <w:sz w:val="20"/>
          <w:szCs w:val="18"/>
        </w:rPr>
        <w:t xml:space="preserve">:  </w:t>
      </w:r>
      <w:r w:rsidR="00C41C33" w:rsidRPr="00C41C33">
        <w:rPr>
          <w:rFonts w:ascii="Arial Narrow" w:eastAsia="Times New Roman" w:hAnsi="Arial Narrow" w:cs="Arial"/>
          <w:b/>
          <w:bCs/>
          <w:sz w:val="20"/>
          <w:szCs w:val="18"/>
          <w:lang w:eastAsia="cs-CZ"/>
        </w:rPr>
        <w:t xml:space="preserve">Podíl osob s jinou než českou státní příslušností na celkovém počtu obyvatel městských částí ORP Brno </w:t>
      </w:r>
      <w:r w:rsidR="00765AAA">
        <w:rPr>
          <w:rFonts w:ascii="Arial Narrow" w:eastAsia="Times New Roman" w:hAnsi="Arial Narrow" w:cs="Arial"/>
          <w:b/>
          <w:bCs/>
          <w:sz w:val="20"/>
          <w:szCs w:val="18"/>
          <w:lang w:eastAsia="cs-CZ"/>
        </w:rPr>
        <w:t>k datu 1. 1.</w:t>
      </w:r>
      <w:r w:rsidR="00765AAA" w:rsidRPr="00CE357F">
        <w:rPr>
          <w:rFonts w:ascii="Arial Narrow" w:eastAsia="Times New Roman" w:hAnsi="Arial Narrow" w:cs="Arial"/>
          <w:b/>
          <w:bCs/>
          <w:sz w:val="20"/>
          <w:szCs w:val="18"/>
          <w:lang w:eastAsia="cs-CZ"/>
        </w:rPr>
        <w:t xml:space="preserve"> 202</w:t>
      </w:r>
      <w:r w:rsidR="00765AAA">
        <w:rPr>
          <w:rFonts w:ascii="Arial Narrow" w:eastAsia="Times New Roman" w:hAnsi="Arial Narrow" w:cs="Arial"/>
          <w:b/>
          <w:bCs/>
          <w:sz w:val="20"/>
          <w:szCs w:val="18"/>
          <w:lang w:eastAsia="cs-CZ"/>
        </w:rPr>
        <w:t>3</w:t>
      </w:r>
      <w:bookmarkEnd w:id="647"/>
    </w:p>
    <w:tbl>
      <w:tblPr>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696"/>
        <w:gridCol w:w="851"/>
        <w:gridCol w:w="992"/>
        <w:gridCol w:w="1192"/>
        <w:gridCol w:w="824"/>
        <w:gridCol w:w="712"/>
        <w:gridCol w:w="717"/>
        <w:gridCol w:w="567"/>
        <w:gridCol w:w="109"/>
        <w:gridCol w:w="694"/>
        <w:gridCol w:w="708"/>
      </w:tblGrid>
      <w:tr w:rsidR="00C41C33" w:rsidRPr="00CE357F" w14:paraId="47D9D638" w14:textId="77777777" w:rsidTr="00C41C33">
        <w:trPr>
          <w:trHeight w:val="202"/>
          <w:jc w:val="center"/>
        </w:trPr>
        <w:tc>
          <w:tcPr>
            <w:tcW w:w="1696" w:type="dxa"/>
            <w:vMerge w:val="restart"/>
            <w:shd w:val="clear" w:color="auto" w:fill="D9E2F3" w:themeFill="accent1" w:themeFillTint="33"/>
            <w:vAlign w:val="center"/>
          </w:tcPr>
          <w:p w14:paraId="05C1A727" w14:textId="77777777" w:rsidR="00C41C33" w:rsidRPr="00CE357F" w:rsidRDefault="00C41C33" w:rsidP="00C41C33">
            <w:pPr>
              <w:jc w:val="center"/>
              <w:rPr>
                <w:rFonts w:ascii="Arial Narrow" w:hAnsi="Arial Narrow"/>
                <w:sz w:val="18"/>
                <w:szCs w:val="18"/>
              </w:rPr>
            </w:pPr>
            <w:r w:rsidRPr="00CE357F">
              <w:rPr>
                <w:rFonts w:ascii="Arial Narrow" w:eastAsia="Times New Roman" w:hAnsi="Arial Narrow" w:cs="Arial"/>
                <w:sz w:val="18"/>
                <w:szCs w:val="18"/>
                <w:lang w:eastAsia="cs-CZ"/>
              </w:rPr>
              <w:t>Název MČ</w:t>
            </w:r>
          </w:p>
        </w:tc>
        <w:tc>
          <w:tcPr>
            <w:tcW w:w="851" w:type="dxa"/>
            <w:vMerge w:val="restart"/>
            <w:shd w:val="clear" w:color="auto" w:fill="D9E2F3" w:themeFill="accent1" w:themeFillTint="33"/>
            <w:vAlign w:val="center"/>
          </w:tcPr>
          <w:p w14:paraId="713640E8" w14:textId="77777777" w:rsidR="00C41C33" w:rsidRPr="00CE357F" w:rsidRDefault="00C41C33" w:rsidP="00C41C33">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Celkem obyvatel</w:t>
            </w:r>
          </w:p>
        </w:tc>
        <w:tc>
          <w:tcPr>
            <w:tcW w:w="992" w:type="dxa"/>
            <w:vMerge w:val="restart"/>
            <w:shd w:val="clear" w:color="auto" w:fill="D9E2F3" w:themeFill="accent1" w:themeFillTint="33"/>
            <w:vAlign w:val="center"/>
          </w:tcPr>
          <w:p w14:paraId="4964F7E5" w14:textId="77777777" w:rsidR="00C41C33" w:rsidRPr="00CE357F" w:rsidRDefault="00C41C33" w:rsidP="00C41C33">
            <w:pPr>
              <w:jc w:val="center"/>
              <w:rPr>
                <w:rFonts w:ascii="Arial Narrow" w:hAnsi="Arial Narrow"/>
                <w:sz w:val="18"/>
                <w:szCs w:val="18"/>
              </w:rPr>
            </w:pPr>
            <w:r w:rsidRPr="00CE357F">
              <w:rPr>
                <w:rFonts w:ascii="Arial Narrow" w:hAnsi="Arial Narrow"/>
                <w:bCs/>
                <w:color w:val="000000"/>
                <w:sz w:val="18"/>
                <w:szCs w:val="18"/>
              </w:rPr>
              <w:t>Osoby s jinou než českou státní příslušností</w:t>
            </w:r>
            <w:r w:rsidRPr="00CE357F">
              <w:rPr>
                <w:rFonts w:ascii="Arial Narrow" w:eastAsia="Times New Roman" w:hAnsi="Arial Narrow" w:cs="Arial"/>
                <w:bCs/>
                <w:sz w:val="18"/>
                <w:szCs w:val="18"/>
                <w:lang w:eastAsia="cs-CZ"/>
              </w:rPr>
              <w:t xml:space="preserve"> celkem</w:t>
            </w:r>
          </w:p>
        </w:tc>
        <w:tc>
          <w:tcPr>
            <w:tcW w:w="1192" w:type="dxa"/>
            <w:vMerge w:val="restart"/>
            <w:shd w:val="clear" w:color="auto" w:fill="D9E2F3" w:themeFill="accent1" w:themeFillTint="33"/>
            <w:vAlign w:val="center"/>
          </w:tcPr>
          <w:p w14:paraId="4186F085" w14:textId="77777777" w:rsidR="00C41C33" w:rsidRPr="00CE357F" w:rsidRDefault="00C41C33" w:rsidP="00C41C33">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 xml:space="preserve">Podíl </w:t>
            </w:r>
            <w:r w:rsidRPr="00CE357F">
              <w:rPr>
                <w:rFonts w:ascii="Arial Narrow" w:hAnsi="Arial Narrow"/>
                <w:bCs/>
                <w:color w:val="000000"/>
                <w:sz w:val="18"/>
                <w:szCs w:val="18"/>
              </w:rPr>
              <w:t>osob s jinou než českou státní příslušností</w:t>
            </w:r>
            <w:r w:rsidRPr="00CE357F">
              <w:rPr>
                <w:rFonts w:ascii="Arial Narrow" w:eastAsia="Times New Roman" w:hAnsi="Arial Narrow" w:cs="Arial"/>
                <w:bCs/>
                <w:sz w:val="18"/>
                <w:szCs w:val="18"/>
                <w:lang w:eastAsia="cs-CZ"/>
              </w:rPr>
              <w:t xml:space="preserve"> na celkovém počtu obyvatel</w:t>
            </w:r>
          </w:p>
        </w:tc>
        <w:tc>
          <w:tcPr>
            <w:tcW w:w="2253" w:type="dxa"/>
            <w:gridSpan w:val="3"/>
            <w:shd w:val="clear" w:color="auto" w:fill="D9E2F3" w:themeFill="accent1" w:themeFillTint="33"/>
            <w:vAlign w:val="center"/>
          </w:tcPr>
          <w:p w14:paraId="70C60078" w14:textId="77777777" w:rsidR="00C41C33" w:rsidRPr="00CE357F" w:rsidRDefault="00C41C33" w:rsidP="00C41C33">
            <w:pPr>
              <w:jc w:val="center"/>
              <w:rPr>
                <w:rFonts w:ascii="Arial Narrow" w:hAnsi="Arial Narrow"/>
                <w:b/>
                <w:bCs/>
                <w:sz w:val="18"/>
                <w:szCs w:val="18"/>
              </w:rPr>
            </w:pPr>
            <w:r w:rsidRPr="00CE357F">
              <w:rPr>
                <w:rFonts w:ascii="Arial Narrow" w:eastAsia="Times New Roman" w:hAnsi="Arial Narrow" w:cs="Arial"/>
                <w:b/>
                <w:bCs/>
                <w:sz w:val="18"/>
                <w:szCs w:val="18"/>
                <w:lang w:eastAsia="cs-CZ"/>
              </w:rPr>
              <w:t>Muži</w:t>
            </w:r>
          </w:p>
        </w:tc>
        <w:tc>
          <w:tcPr>
            <w:tcW w:w="2078" w:type="dxa"/>
            <w:gridSpan w:val="4"/>
            <w:shd w:val="clear" w:color="auto" w:fill="D9E2F3" w:themeFill="accent1" w:themeFillTint="33"/>
            <w:vAlign w:val="center"/>
          </w:tcPr>
          <w:p w14:paraId="770CF9D8" w14:textId="77777777" w:rsidR="00C41C33" w:rsidRPr="00CE357F" w:rsidRDefault="00C41C33" w:rsidP="00C41C33">
            <w:pPr>
              <w:jc w:val="center"/>
              <w:rPr>
                <w:rFonts w:ascii="Arial Narrow" w:hAnsi="Arial Narrow"/>
                <w:b/>
                <w:bCs/>
                <w:sz w:val="18"/>
                <w:szCs w:val="18"/>
              </w:rPr>
            </w:pPr>
            <w:r w:rsidRPr="00CE357F">
              <w:rPr>
                <w:rFonts w:ascii="Arial Narrow" w:eastAsia="Times New Roman" w:hAnsi="Arial Narrow" w:cs="Arial"/>
                <w:b/>
                <w:bCs/>
                <w:sz w:val="18"/>
                <w:szCs w:val="18"/>
                <w:lang w:eastAsia="cs-CZ"/>
              </w:rPr>
              <w:t>Ženy</w:t>
            </w:r>
          </w:p>
        </w:tc>
      </w:tr>
      <w:tr w:rsidR="00C41C33" w:rsidRPr="00CE357F" w14:paraId="6CB9C1ED" w14:textId="77777777" w:rsidTr="00C41C33">
        <w:trPr>
          <w:trHeight w:val="202"/>
          <w:jc w:val="center"/>
        </w:trPr>
        <w:tc>
          <w:tcPr>
            <w:tcW w:w="1696" w:type="dxa"/>
            <w:vMerge/>
            <w:shd w:val="clear" w:color="auto" w:fill="D9E2F3" w:themeFill="accent1" w:themeFillTint="33"/>
            <w:vAlign w:val="center"/>
          </w:tcPr>
          <w:p w14:paraId="0AFBFAD6" w14:textId="77777777" w:rsidR="00C41C33" w:rsidRPr="00CE357F" w:rsidRDefault="00C41C33" w:rsidP="00C41C33">
            <w:pPr>
              <w:jc w:val="center"/>
              <w:rPr>
                <w:rFonts w:ascii="Arial Narrow" w:eastAsia="Times New Roman" w:hAnsi="Arial Narrow" w:cs="Arial"/>
                <w:b/>
                <w:bCs/>
                <w:sz w:val="18"/>
                <w:szCs w:val="18"/>
                <w:lang w:eastAsia="cs-CZ"/>
              </w:rPr>
            </w:pPr>
          </w:p>
        </w:tc>
        <w:tc>
          <w:tcPr>
            <w:tcW w:w="851" w:type="dxa"/>
            <w:vMerge/>
            <w:shd w:val="clear" w:color="auto" w:fill="D9E2F3" w:themeFill="accent1" w:themeFillTint="33"/>
            <w:vAlign w:val="center"/>
          </w:tcPr>
          <w:p w14:paraId="7FD2AB12" w14:textId="77777777" w:rsidR="00C41C33" w:rsidRPr="00CE357F" w:rsidRDefault="00C41C33" w:rsidP="00C41C33">
            <w:pPr>
              <w:jc w:val="center"/>
              <w:rPr>
                <w:rFonts w:ascii="Arial Narrow" w:eastAsia="Times New Roman" w:hAnsi="Arial Narrow" w:cs="Arial"/>
                <w:b/>
                <w:bCs/>
                <w:sz w:val="18"/>
                <w:szCs w:val="18"/>
                <w:lang w:eastAsia="cs-CZ"/>
              </w:rPr>
            </w:pPr>
          </w:p>
        </w:tc>
        <w:tc>
          <w:tcPr>
            <w:tcW w:w="992" w:type="dxa"/>
            <w:vMerge/>
            <w:shd w:val="clear" w:color="auto" w:fill="D9E2F3" w:themeFill="accent1" w:themeFillTint="33"/>
            <w:vAlign w:val="center"/>
          </w:tcPr>
          <w:p w14:paraId="4FF9CEBE" w14:textId="77777777" w:rsidR="00C41C33" w:rsidRPr="00CE357F" w:rsidRDefault="00C41C33" w:rsidP="00C41C33">
            <w:pPr>
              <w:jc w:val="center"/>
              <w:rPr>
                <w:rFonts w:ascii="Arial Narrow" w:eastAsia="Times New Roman" w:hAnsi="Arial Narrow" w:cs="Arial"/>
                <w:b/>
                <w:bCs/>
                <w:sz w:val="18"/>
                <w:szCs w:val="18"/>
                <w:lang w:eastAsia="cs-CZ"/>
              </w:rPr>
            </w:pPr>
          </w:p>
        </w:tc>
        <w:tc>
          <w:tcPr>
            <w:tcW w:w="1192" w:type="dxa"/>
            <w:vMerge/>
            <w:shd w:val="clear" w:color="auto" w:fill="D9E2F3" w:themeFill="accent1" w:themeFillTint="33"/>
            <w:vAlign w:val="center"/>
          </w:tcPr>
          <w:p w14:paraId="3D7D3CF2" w14:textId="77777777" w:rsidR="00C41C33" w:rsidRPr="00CE357F" w:rsidRDefault="00C41C33" w:rsidP="00C41C33">
            <w:pPr>
              <w:jc w:val="center"/>
              <w:rPr>
                <w:rFonts w:ascii="Arial Narrow" w:eastAsia="Times New Roman" w:hAnsi="Arial Narrow" w:cs="Arial"/>
                <w:bCs/>
                <w:sz w:val="18"/>
                <w:szCs w:val="18"/>
                <w:lang w:eastAsia="cs-CZ"/>
              </w:rPr>
            </w:pPr>
          </w:p>
        </w:tc>
        <w:tc>
          <w:tcPr>
            <w:tcW w:w="824" w:type="dxa"/>
            <w:shd w:val="clear" w:color="auto" w:fill="D9E2F3" w:themeFill="accent1" w:themeFillTint="33"/>
            <w:vAlign w:val="center"/>
          </w:tcPr>
          <w:p w14:paraId="0897D54D" w14:textId="77777777" w:rsidR="00C41C33" w:rsidRPr="00CE357F" w:rsidRDefault="00C41C33" w:rsidP="00C41C33">
            <w:pPr>
              <w:jc w:val="center"/>
              <w:rPr>
                <w:rFonts w:ascii="Arial Narrow" w:hAnsi="Arial Narrow"/>
                <w:sz w:val="18"/>
                <w:szCs w:val="18"/>
              </w:rPr>
            </w:pPr>
            <w:r w:rsidRPr="00CE357F">
              <w:rPr>
                <w:rFonts w:ascii="Arial Narrow" w:eastAsia="Times New Roman" w:hAnsi="Arial Narrow" w:cs="Arial"/>
                <w:bCs/>
                <w:sz w:val="18"/>
                <w:szCs w:val="18"/>
                <w:lang w:eastAsia="cs-CZ"/>
              </w:rPr>
              <w:t>Nad 15</w:t>
            </w:r>
          </w:p>
        </w:tc>
        <w:tc>
          <w:tcPr>
            <w:tcW w:w="712" w:type="dxa"/>
            <w:shd w:val="clear" w:color="auto" w:fill="D9E2F3" w:themeFill="accent1" w:themeFillTint="33"/>
            <w:vAlign w:val="center"/>
          </w:tcPr>
          <w:p w14:paraId="43DEA617" w14:textId="77777777" w:rsidR="00C41C33" w:rsidRPr="00CE357F" w:rsidRDefault="00C41C33" w:rsidP="00C41C33">
            <w:pPr>
              <w:jc w:val="center"/>
              <w:rPr>
                <w:rFonts w:ascii="Arial Narrow" w:hAnsi="Arial Narrow"/>
                <w:sz w:val="18"/>
                <w:szCs w:val="18"/>
              </w:rPr>
            </w:pPr>
            <w:r w:rsidRPr="00CE357F">
              <w:rPr>
                <w:rFonts w:ascii="Arial Narrow" w:eastAsia="Times New Roman" w:hAnsi="Arial Narrow" w:cs="Arial"/>
                <w:bCs/>
                <w:sz w:val="18"/>
                <w:szCs w:val="18"/>
                <w:lang w:eastAsia="cs-CZ"/>
              </w:rPr>
              <w:t>Do 15</w:t>
            </w:r>
          </w:p>
        </w:tc>
        <w:tc>
          <w:tcPr>
            <w:tcW w:w="717" w:type="dxa"/>
            <w:shd w:val="clear" w:color="auto" w:fill="D9E2F3" w:themeFill="accent1" w:themeFillTint="33"/>
            <w:vAlign w:val="center"/>
          </w:tcPr>
          <w:p w14:paraId="4F96A642" w14:textId="77777777" w:rsidR="00C41C33" w:rsidRPr="00CE357F" w:rsidRDefault="00C41C33" w:rsidP="00C41C33">
            <w:pPr>
              <w:jc w:val="center"/>
              <w:rPr>
                <w:rFonts w:ascii="Arial Narrow" w:hAnsi="Arial Narrow"/>
                <w:sz w:val="18"/>
                <w:szCs w:val="18"/>
              </w:rPr>
            </w:pPr>
            <w:r w:rsidRPr="00CE357F">
              <w:rPr>
                <w:rFonts w:ascii="Arial Narrow" w:eastAsia="Times New Roman" w:hAnsi="Arial Narrow" w:cs="Arial"/>
                <w:bCs/>
                <w:sz w:val="18"/>
                <w:szCs w:val="18"/>
                <w:lang w:eastAsia="cs-CZ"/>
              </w:rPr>
              <w:t>Celkem</w:t>
            </w:r>
          </w:p>
        </w:tc>
        <w:tc>
          <w:tcPr>
            <w:tcW w:w="567" w:type="dxa"/>
            <w:shd w:val="clear" w:color="auto" w:fill="D9E2F3" w:themeFill="accent1" w:themeFillTint="33"/>
            <w:vAlign w:val="center"/>
          </w:tcPr>
          <w:p w14:paraId="61750D03" w14:textId="77777777" w:rsidR="00C41C33" w:rsidRPr="00CE357F" w:rsidRDefault="00C41C33" w:rsidP="00C41C33">
            <w:pPr>
              <w:jc w:val="center"/>
              <w:rPr>
                <w:rFonts w:ascii="Arial Narrow" w:hAnsi="Arial Narrow"/>
                <w:sz w:val="18"/>
                <w:szCs w:val="18"/>
              </w:rPr>
            </w:pPr>
            <w:r w:rsidRPr="00CE357F">
              <w:rPr>
                <w:rFonts w:ascii="Arial Narrow" w:eastAsia="Times New Roman" w:hAnsi="Arial Narrow" w:cs="Arial"/>
                <w:bCs/>
                <w:sz w:val="18"/>
                <w:szCs w:val="18"/>
                <w:lang w:eastAsia="cs-CZ"/>
              </w:rPr>
              <w:t>Nad 15</w:t>
            </w:r>
          </w:p>
        </w:tc>
        <w:tc>
          <w:tcPr>
            <w:tcW w:w="803" w:type="dxa"/>
            <w:gridSpan w:val="2"/>
            <w:shd w:val="clear" w:color="auto" w:fill="D9E2F3" w:themeFill="accent1" w:themeFillTint="33"/>
            <w:vAlign w:val="center"/>
          </w:tcPr>
          <w:p w14:paraId="62812087" w14:textId="77777777" w:rsidR="00C41C33" w:rsidRPr="00CE357F" w:rsidRDefault="00C41C33" w:rsidP="00C41C33">
            <w:pPr>
              <w:jc w:val="center"/>
              <w:rPr>
                <w:rFonts w:ascii="Arial Narrow" w:hAnsi="Arial Narrow"/>
                <w:sz w:val="18"/>
                <w:szCs w:val="18"/>
              </w:rPr>
            </w:pPr>
            <w:r w:rsidRPr="00CE357F">
              <w:rPr>
                <w:rFonts w:ascii="Arial Narrow" w:eastAsia="Times New Roman" w:hAnsi="Arial Narrow" w:cs="Arial"/>
                <w:bCs/>
                <w:sz w:val="18"/>
                <w:szCs w:val="18"/>
                <w:lang w:eastAsia="cs-CZ"/>
              </w:rPr>
              <w:t>Do 15</w:t>
            </w:r>
          </w:p>
        </w:tc>
        <w:tc>
          <w:tcPr>
            <w:tcW w:w="708" w:type="dxa"/>
            <w:shd w:val="clear" w:color="auto" w:fill="D9E2F3" w:themeFill="accent1" w:themeFillTint="33"/>
            <w:vAlign w:val="center"/>
          </w:tcPr>
          <w:p w14:paraId="0EC9BF3A" w14:textId="77777777" w:rsidR="00C41C33" w:rsidRPr="00CE357F" w:rsidRDefault="00C41C33" w:rsidP="00C41C33">
            <w:pPr>
              <w:jc w:val="center"/>
              <w:rPr>
                <w:rFonts w:ascii="Arial Narrow" w:hAnsi="Arial Narrow"/>
                <w:sz w:val="18"/>
                <w:szCs w:val="18"/>
              </w:rPr>
            </w:pPr>
            <w:r w:rsidRPr="00CE357F">
              <w:rPr>
                <w:rFonts w:ascii="Arial Narrow" w:eastAsia="Times New Roman" w:hAnsi="Arial Narrow" w:cs="Arial"/>
                <w:bCs/>
                <w:sz w:val="18"/>
                <w:szCs w:val="18"/>
                <w:lang w:eastAsia="cs-CZ"/>
              </w:rPr>
              <w:t>Celkem</w:t>
            </w:r>
          </w:p>
        </w:tc>
      </w:tr>
      <w:tr w:rsidR="00C41C33" w:rsidRPr="00CE357F" w14:paraId="63E2AFD6" w14:textId="77777777" w:rsidTr="00C41C33">
        <w:trPr>
          <w:trHeight w:val="202"/>
          <w:jc w:val="center"/>
        </w:trPr>
        <w:tc>
          <w:tcPr>
            <w:tcW w:w="1696" w:type="dxa"/>
            <w:shd w:val="clear" w:color="auto" w:fill="D9E2F3" w:themeFill="accent1" w:themeFillTint="33"/>
            <w:vAlign w:val="center"/>
          </w:tcPr>
          <w:p w14:paraId="2D51813B"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Brno-jih</w:t>
            </w:r>
          </w:p>
        </w:tc>
        <w:tc>
          <w:tcPr>
            <w:tcW w:w="851" w:type="dxa"/>
            <w:vAlign w:val="center"/>
          </w:tcPr>
          <w:p w14:paraId="2AD79013"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10 585</w:t>
            </w:r>
          </w:p>
        </w:tc>
        <w:tc>
          <w:tcPr>
            <w:tcW w:w="992" w:type="dxa"/>
            <w:vAlign w:val="center"/>
          </w:tcPr>
          <w:p w14:paraId="2ABEE20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3 023</w:t>
            </w:r>
          </w:p>
        </w:tc>
        <w:tc>
          <w:tcPr>
            <w:tcW w:w="1192" w:type="dxa"/>
            <w:vAlign w:val="center"/>
          </w:tcPr>
          <w:p w14:paraId="77F0DD35" w14:textId="1AFB8E97" w:rsidR="00C41C33" w:rsidRPr="00E6468A" w:rsidRDefault="00C41C33" w:rsidP="00C41C33">
            <w:pPr>
              <w:jc w:val="center"/>
              <w:rPr>
                <w:rFonts w:ascii="Arial Narrow" w:hAnsi="Arial Narrow"/>
                <w:b/>
                <w:bCs/>
                <w:color w:val="C00000"/>
                <w:sz w:val="18"/>
                <w:szCs w:val="18"/>
              </w:rPr>
            </w:pPr>
            <w:r w:rsidRPr="00E6468A">
              <w:rPr>
                <w:rFonts w:ascii="Arial Narrow" w:hAnsi="Arial Narrow"/>
                <w:b/>
                <w:bCs/>
                <w:color w:val="C00000"/>
                <w:sz w:val="18"/>
                <w:szCs w:val="18"/>
              </w:rPr>
              <w:t>28,6</w:t>
            </w:r>
            <w:r>
              <w:rPr>
                <w:rFonts w:ascii="Arial Narrow" w:hAnsi="Arial Narrow"/>
                <w:b/>
                <w:bCs/>
                <w:color w:val="C00000"/>
                <w:sz w:val="18"/>
                <w:szCs w:val="18"/>
              </w:rPr>
              <w:t xml:space="preserve"> </w:t>
            </w:r>
            <w:r w:rsidRPr="00E6468A">
              <w:rPr>
                <w:rFonts w:ascii="Arial Narrow" w:hAnsi="Arial Narrow"/>
                <w:b/>
                <w:bCs/>
                <w:color w:val="C00000"/>
                <w:sz w:val="18"/>
                <w:szCs w:val="18"/>
              </w:rPr>
              <w:t>%</w:t>
            </w:r>
          </w:p>
        </w:tc>
        <w:tc>
          <w:tcPr>
            <w:tcW w:w="824" w:type="dxa"/>
            <w:vAlign w:val="center"/>
          </w:tcPr>
          <w:p w14:paraId="6E6337D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1 443</w:t>
            </w:r>
          </w:p>
        </w:tc>
        <w:tc>
          <w:tcPr>
            <w:tcW w:w="712" w:type="dxa"/>
            <w:vAlign w:val="center"/>
          </w:tcPr>
          <w:p w14:paraId="6F61D0B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158</w:t>
            </w:r>
          </w:p>
        </w:tc>
        <w:tc>
          <w:tcPr>
            <w:tcW w:w="717" w:type="dxa"/>
            <w:vAlign w:val="center"/>
          </w:tcPr>
          <w:p w14:paraId="169059A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1 601</w:t>
            </w:r>
          </w:p>
        </w:tc>
        <w:tc>
          <w:tcPr>
            <w:tcW w:w="676" w:type="dxa"/>
            <w:gridSpan w:val="2"/>
            <w:vAlign w:val="center"/>
          </w:tcPr>
          <w:p w14:paraId="3ACBB0B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1 277</w:t>
            </w:r>
          </w:p>
        </w:tc>
        <w:tc>
          <w:tcPr>
            <w:tcW w:w="694" w:type="dxa"/>
            <w:vAlign w:val="center"/>
          </w:tcPr>
          <w:p w14:paraId="3347F31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145</w:t>
            </w:r>
          </w:p>
        </w:tc>
        <w:tc>
          <w:tcPr>
            <w:tcW w:w="708" w:type="dxa"/>
            <w:vAlign w:val="center"/>
          </w:tcPr>
          <w:p w14:paraId="6A4493B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1 422</w:t>
            </w:r>
          </w:p>
        </w:tc>
      </w:tr>
      <w:tr w:rsidR="00C41C33" w:rsidRPr="00CE357F" w14:paraId="72454A46" w14:textId="77777777" w:rsidTr="00C41C33">
        <w:trPr>
          <w:trHeight w:val="202"/>
          <w:jc w:val="center"/>
        </w:trPr>
        <w:tc>
          <w:tcPr>
            <w:tcW w:w="1696" w:type="dxa"/>
            <w:shd w:val="clear" w:color="auto" w:fill="D9E2F3" w:themeFill="accent1" w:themeFillTint="33"/>
            <w:vAlign w:val="center"/>
          </w:tcPr>
          <w:p w14:paraId="0A8089F9"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Brno-Slatina</w:t>
            </w:r>
          </w:p>
        </w:tc>
        <w:tc>
          <w:tcPr>
            <w:tcW w:w="851" w:type="dxa"/>
            <w:vAlign w:val="center"/>
          </w:tcPr>
          <w:p w14:paraId="0039D826"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12 614</w:t>
            </w:r>
          </w:p>
        </w:tc>
        <w:tc>
          <w:tcPr>
            <w:tcW w:w="992" w:type="dxa"/>
            <w:vAlign w:val="center"/>
          </w:tcPr>
          <w:p w14:paraId="4625D03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3 566</w:t>
            </w:r>
          </w:p>
        </w:tc>
        <w:tc>
          <w:tcPr>
            <w:tcW w:w="1192" w:type="dxa"/>
            <w:vAlign w:val="center"/>
          </w:tcPr>
          <w:p w14:paraId="33B2BB55" w14:textId="30DCA03A" w:rsidR="00C41C33" w:rsidRPr="00E6468A" w:rsidRDefault="00C41C33" w:rsidP="00C41C33">
            <w:pPr>
              <w:jc w:val="center"/>
              <w:rPr>
                <w:rFonts w:ascii="Arial Narrow" w:hAnsi="Arial Narrow"/>
                <w:b/>
                <w:bCs/>
                <w:color w:val="C00000"/>
                <w:sz w:val="18"/>
                <w:szCs w:val="18"/>
              </w:rPr>
            </w:pPr>
            <w:r w:rsidRPr="00E6468A">
              <w:rPr>
                <w:rFonts w:ascii="Arial Narrow" w:hAnsi="Arial Narrow"/>
                <w:b/>
                <w:bCs/>
                <w:color w:val="C00000"/>
                <w:sz w:val="18"/>
                <w:szCs w:val="18"/>
              </w:rPr>
              <w:t>28,3</w:t>
            </w:r>
            <w:r>
              <w:rPr>
                <w:rFonts w:ascii="Arial Narrow" w:hAnsi="Arial Narrow"/>
                <w:b/>
                <w:bCs/>
                <w:color w:val="C00000"/>
                <w:sz w:val="18"/>
                <w:szCs w:val="18"/>
              </w:rPr>
              <w:t xml:space="preserve"> </w:t>
            </w:r>
            <w:r w:rsidRPr="00E6468A">
              <w:rPr>
                <w:rFonts w:ascii="Arial Narrow" w:hAnsi="Arial Narrow"/>
                <w:b/>
                <w:bCs/>
                <w:color w:val="C00000"/>
                <w:sz w:val="18"/>
                <w:szCs w:val="18"/>
              </w:rPr>
              <w:t>%</w:t>
            </w:r>
          </w:p>
        </w:tc>
        <w:tc>
          <w:tcPr>
            <w:tcW w:w="824" w:type="dxa"/>
            <w:vAlign w:val="center"/>
          </w:tcPr>
          <w:p w14:paraId="6AC987D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1 709</w:t>
            </w:r>
          </w:p>
        </w:tc>
        <w:tc>
          <w:tcPr>
            <w:tcW w:w="712" w:type="dxa"/>
            <w:vAlign w:val="center"/>
          </w:tcPr>
          <w:p w14:paraId="506C31E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244</w:t>
            </w:r>
          </w:p>
        </w:tc>
        <w:tc>
          <w:tcPr>
            <w:tcW w:w="717" w:type="dxa"/>
            <w:vAlign w:val="center"/>
          </w:tcPr>
          <w:p w14:paraId="61C2F76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1 953</w:t>
            </w:r>
          </w:p>
        </w:tc>
        <w:tc>
          <w:tcPr>
            <w:tcW w:w="676" w:type="dxa"/>
            <w:gridSpan w:val="2"/>
            <w:vAlign w:val="center"/>
          </w:tcPr>
          <w:p w14:paraId="0F9B1D9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1 338</w:t>
            </w:r>
          </w:p>
        </w:tc>
        <w:tc>
          <w:tcPr>
            <w:tcW w:w="694" w:type="dxa"/>
            <w:vAlign w:val="center"/>
          </w:tcPr>
          <w:p w14:paraId="4CCBE40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275</w:t>
            </w:r>
          </w:p>
        </w:tc>
        <w:tc>
          <w:tcPr>
            <w:tcW w:w="708" w:type="dxa"/>
            <w:vAlign w:val="center"/>
          </w:tcPr>
          <w:p w14:paraId="44F7D22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1 613</w:t>
            </w:r>
          </w:p>
        </w:tc>
      </w:tr>
      <w:tr w:rsidR="00C41C33" w:rsidRPr="00CE357F" w14:paraId="28C90A0F" w14:textId="77777777" w:rsidTr="00C41C33">
        <w:trPr>
          <w:trHeight w:val="202"/>
          <w:jc w:val="center"/>
        </w:trPr>
        <w:tc>
          <w:tcPr>
            <w:tcW w:w="1696" w:type="dxa"/>
            <w:shd w:val="clear" w:color="auto" w:fill="D9E2F3" w:themeFill="accent1" w:themeFillTint="33"/>
            <w:vAlign w:val="center"/>
          </w:tcPr>
          <w:p w14:paraId="673F5D28"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Brno-Královo Pole</w:t>
            </w:r>
          </w:p>
        </w:tc>
        <w:tc>
          <w:tcPr>
            <w:tcW w:w="851" w:type="dxa"/>
            <w:vAlign w:val="center"/>
          </w:tcPr>
          <w:p w14:paraId="04E5BFF2"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31 015</w:t>
            </w:r>
          </w:p>
        </w:tc>
        <w:tc>
          <w:tcPr>
            <w:tcW w:w="992" w:type="dxa"/>
            <w:vAlign w:val="center"/>
          </w:tcPr>
          <w:p w14:paraId="7D01566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6 846</w:t>
            </w:r>
          </w:p>
        </w:tc>
        <w:tc>
          <w:tcPr>
            <w:tcW w:w="1192" w:type="dxa"/>
            <w:vAlign w:val="center"/>
          </w:tcPr>
          <w:p w14:paraId="375D26DB" w14:textId="410D28A2" w:rsidR="00C41C33" w:rsidRPr="00E6468A" w:rsidRDefault="00C41C33" w:rsidP="00C41C33">
            <w:pPr>
              <w:jc w:val="center"/>
              <w:rPr>
                <w:rFonts w:ascii="Arial Narrow" w:hAnsi="Arial Narrow"/>
                <w:b/>
                <w:bCs/>
                <w:color w:val="C00000"/>
                <w:sz w:val="18"/>
                <w:szCs w:val="18"/>
              </w:rPr>
            </w:pPr>
            <w:r w:rsidRPr="00E6468A">
              <w:rPr>
                <w:rFonts w:ascii="Arial Narrow" w:hAnsi="Arial Narrow"/>
                <w:b/>
                <w:bCs/>
                <w:color w:val="C00000"/>
                <w:sz w:val="18"/>
                <w:szCs w:val="18"/>
              </w:rPr>
              <w:t>22,1</w:t>
            </w:r>
            <w:r>
              <w:rPr>
                <w:rFonts w:ascii="Arial Narrow" w:hAnsi="Arial Narrow"/>
                <w:b/>
                <w:bCs/>
                <w:color w:val="C00000"/>
                <w:sz w:val="18"/>
                <w:szCs w:val="18"/>
              </w:rPr>
              <w:t xml:space="preserve"> </w:t>
            </w:r>
            <w:r w:rsidRPr="00E6468A">
              <w:rPr>
                <w:rFonts w:ascii="Arial Narrow" w:hAnsi="Arial Narrow"/>
                <w:b/>
                <w:bCs/>
                <w:color w:val="C00000"/>
                <w:sz w:val="18"/>
                <w:szCs w:val="18"/>
              </w:rPr>
              <w:t>%</w:t>
            </w:r>
          </w:p>
        </w:tc>
        <w:tc>
          <w:tcPr>
            <w:tcW w:w="824" w:type="dxa"/>
            <w:vAlign w:val="center"/>
          </w:tcPr>
          <w:p w14:paraId="0BA86D4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3 173</w:t>
            </w:r>
          </w:p>
        </w:tc>
        <w:tc>
          <w:tcPr>
            <w:tcW w:w="712" w:type="dxa"/>
            <w:vAlign w:val="center"/>
          </w:tcPr>
          <w:p w14:paraId="577464A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396</w:t>
            </w:r>
          </w:p>
        </w:tc>
        <w:tc>
          <w:tcPr>
            <w:tcW w:w="717" w:type="dxa"/>
            <w:vAlign w:val="center"/>
          </w:tcPr>
          <w:p w14:paraId="274729A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3 569</w:t>
            </w:r>
          </w:p>
        </w:tc>
        <w:tc>
          <w:tcPr>
            <w:tcW w:w="676" w:type="dxa"/>
            <w:gridSpan w:val="2"/>
            <w:vAlign w:val="center"/>
          </w:tcPr>
          <w:p w14:paraId="701689B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2 932</w:t>
            </w:r>
          </w:p>
        </w:tc>
        <w:tc>
          <w:tcPr>
            <w:tcW w:w="694" w:type="dxa"/>
            <w:vAlign w:val="center"/>
          </w:tcPr>
          <w:p w14:paraId="2BAF2B3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345</w:t>
            </w:r>
          </w:p>
        </w:tc>
        <w:tc>
          <w:tcPr>
            <w:tcW w:w="708" w:type="dxa"/>
            <w:vAlign w:val="center"/>
          </w:tcPr>
          <w:p w14:paraId="7A18E9A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3 277</w:t>
            </w:r>
          </w:p>
        </w:tc>
      </w:tr>
      <w:tr w:rsidR="00C41C33" w:rsidRPr="00CE357F" w14:paraId="22BD7E21" w14:textId="77777777" w:rsidTr="00C41C33">
        <w:trPr>
          <w:trHeight w:val="202"/>
          <w:jc w:val="center"/>
        </w:trPr>
        <w:tc>
          <w:tcPr>
            <w:tcW w:w="1696" w:type="dxa"/>
            <w:shd w:val="clear" w:color="auto" w:fill="D9E2F3" w:themeFill="accent1" w:themeFillTint="33"/>
            <w:vAlign w:val="center"/>
          </w:tcPr>
          <w:p w14:paraId="4393991F"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Brno-Černovice</w:t>
            </w:r>
          </w:p>
        </w:tc>
        <w:tc>
          <w:tcPr>
            <w:tcW w:w="851" w:type="dxa"/>
            <w:vAlign w:val="center"/>
          </w:tcPr>
          <w:p w14:paraId="10661288"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8 487</w:t>
            </w:r>
          </w:p>
        </w:tc>
        <w:tc>
          <w:tcPr>
            <w:tcW w:w="992" w:type="dxa"/>
            <w:vAlign w:val="center"/>
          </w:tcPr>
          <w:p w14:paraId="36E19DD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1 847</w:t>
            </w:r>
          </w:p>
        </w:tc>
        <w:tc>
          <w:tcPr>
            <w:tcW w:w="1192" w:type="dxa"/>
            <w:vAlign w:val="center"/>
          </w:tcPr>
          <w:p w14:paraId="0870D796" w14:textId="2713E38C" w:rsidR="00C41C33" w:rsidRPr="002549C1" w:rsidRDefault="00C41C33" w:rsidP="00C41C33">
            <w:pPr>
              <w:jc w:val="center"/>
              <w:rPr>
                <w:rFonts w:ascii="Arial Narrow" w:hAnsi="Arial Narrow"/>
                <w:b/>
                <w:bCs/>
                <w:color w:val="000000"/>
                <w:sz w:val="18"/>
                <w:szCs w:val="18"/>
              </w:rPr>
            </w:pPr>
            <w:r w:rsidRPr="002549C1">
              <w:rPr>
                <w:rFonts w:ascii="Arial Narrow" w:hAnsi="Arial Narrow"/>
                <w:b/>
                <w:bCs/>
                <w:color w:val="C00000"/>
                <w:sz w:val="18"/>
                <w:szCs w:val="18"/>
              </w:rPr>
              <w:t>21,8 %</w:t>
            </w:r>
          </w:p>
        </w:tc>
        <w:tc>
          <w:tcPr>
            <w:tcW w:w="824" w:type="dxa"/>
            <w:vAlign w:val="center"/>
          </w:tcPr>
          <w:p w14:paraId="6C0B5BD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775</w:t>
            </w:r>
          </w:p>
        </w:tc>
        <w:tc>
          <w:tcPr>
            <w:tcW w:w="712" w:type="dxa"/>
            <w:vAlign w:val="center"/>
          </w:tcPr>
          <w:p w14:paraId="0ACF832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141</w:t>
            </w:r>
          </w:p>
        </w:tc>
        <w:tc>
          <w:tcPr>
            <w:tcW w:w="717" w:type="dxa"/>
            <w:vAlign w:val="center"/>
          </w:tcPr>
          <w:p w14:paraId="55E82C3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916</w:t>
            </w:r>
          </w:p>
        </w:tc>
        <w:tc>
          <w:tcPr>
            <w:tcW w:w="676" w:type="dxa"/>
            <w:gridSpan w:val="2"/>
            <w:vAlign w:val="center"/>
          </w:tcPr>
          <w:p w14:paraId="46F41B4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817</w:t>
            </w:r>
          </w:p>
        </w:tc>
        <w:tc>
          <w:tcPr>
            <w:tcW w:w="694" w:type="dxa"/>
            <w:vAlign w:val="center"/>
          </w:tcPr>
          <w:p w14:paraId="1DC77DF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114</w:t>
            </w:r>
          </w:p>
        </w:tc>
        <w:tc>
          <w:tcPr>
            <w:tcW w:w="708" w:type="dxa"/>
            <w:vAlign w:val="center"/>
          </w:tcPr>
          <w:p w14:paraId="09371F6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931</w:t>
            </w:r>
          </w:p>
        </w:tc>
      </w:tr>
      <w:tr w:rsidR="00C41C33" w:rsidRPr="00CE357F" w14:paraId="0CB91268" w14:textId="77777777" w:rsidTr="00C41C33">
        <w:trPr>
          <w:trHeight w:val="202"/>
          <w:jc w:val="center"/>
        </w:trPr>
        <w:tc>
          <w:tcPr>
            <w:tcW w:w="1696" w:type="dxa"/>
            <w:shd w:val="clear" w:color="auto" w:fill="D9E2F3" w:themeFill="accent1" w:themeFillTint="33"/>
            <w:vAlign w:val="center"/>
          </w:tcPr>
          <w:p w14:paraId="5A9C702F"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Brno-Židenice</w:t>
            </w:r>
          </w:p>
        </w:tc>
        <w:tc>
          <w:tcPr>
            <w:tcW w:w="851" w:type="dxa"/>
            <w:vAlign w:val="center"/>
          </w:tcPr>
          <w:p w14:paraId="3E889DC1"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23 083</w:t>
            </w:r>
          </w:p>
        </w:tc>
        <w:tc>
          <w:tcPr>
            <w:tcW w:w="992" w:type="dxa"/>
            <w:vAlign w:val="center"/>
          </w:tcPr>
          <w:p w14:paraId="1A18D76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4 249</w:t>
            </w:r>
          </w:p>
        </w:tc>
        <w:tc>
          <w:tcPr>
            <w:tcW w:w="1192" w:type="dxa"/>
            <w:vAlign w:val="center"/>
          </w:tcPr>
          <w:p w14:paraId="460D09B3" w14:textId="7D61AC17"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18,4</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7D39EC1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1 857</w:t>
            </w:r>
          </w:p>
        </w:tc>
        <w:tc>
          <w:tcPr>
            <w:tcW w:w="712" w:type="dxa"/>
            <w:vAlign w:val="center"/>
          </w:tcPr>
          <w:p w14:paraId="32234D4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324</w:t>
            </w:r>
          </w:p>
        </w:tc>
        <w:tc>
          <w:tcPr>
            <w:tcW w:w="717" w:type="dxa"/>
            <w:vAlign w:val="center"/>
          </w:tcPr>
          <w:p w14:paraId="0F5880A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2 181</w:t>
            </w:r>
          </w:p>
        </w:tc>
        <w:tc>
          <w:tcPr>
            <w:tcW w:w="676" w:type="dxa"/>
            <w:gridSpan w:val="2"/>
            <w:vAlign w:val="center"/>
          </w:tcPr>
          <w:p w14:paraId="514D253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1 733</w:t>
            </w:r>
          </w:p>
        </w:tc>
        <w:tc>
          <w:tcPr>
            <w:tcW w:w="694" w:type="dxa"/>
            <w:vAlign w:val="center"/>
          </w:tcPr>
          <w:p w14:paraId="1798B96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335</w:t>
            </w:r>
          </w:p>
        </w:tc>
        <w:tc>
          <w:tcPr>
            <w:tcW w:w="708" w:type="dxa"/>
            <w:vAlign w:val="center"/>
          </w:tcPr>
          <w:p w14:paraId="590E17E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2 068</w:t>
            </w:r>
          </w:p>
        </w:tc>
      </w:tr>
      <w:tr w:rsidR="00C41C33" w:rsidRPr="00CE357F" w14:paraId="53B4E303" w14:textId="77777777" w:rsidTr="00C41C33">
        <w:trPr>
          <w:trHeight w:val="346"/>
          <w:jc w:val="center"/>
        </w:trPr>
        <w:tc>
          <w:tcPr>
            <w:tcW w:w="1696" w:type="dxa"/>
            <w:shd w:val="clear" w:color="auto" w:fill="D9E2F3" w:themeFill="accent1" w:themeFillTint="33"/>
            <w:vAlign w:val="center"/>
          </w:tcPr>
          <w:p w14:paraId="3303C672"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Brno-střed</w:t>
            </w:r>
          </w:p>
        </w:tc>
        <w:tc>
          <w:tcPr>
            <w:tcW w:w="851" w:type="dxa"/>
            <w:vAlign w:val="center"/>
          </w:tcPr>
          <w:p w14:paraId="32E0D2C4"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102 547</w:t>
            </w:r>
          </w:p>
        </w:tc>
        <w:tc>
          <w:tcPr>
            <w:tcW w:w="992" w:type="dxa"/>
            <w:vAlign w:val="center"/>
          </w:tcPr>
          <w:p w14:paraId="76026A6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18 191</w:t>
            </w:r>
          </w:p>
        </w:tc>
        <w:tc>
          <w:tcPr>
            <w:tcW w:w="1192" w:type="dxa"/>
            <w:vAlign w:val="center"/>
          </w:tcPr>
          <w:p w14:paraId="55B85937" w14:textId="4F4AA325"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17,7</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1C43798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7 955</w:t>
            </w:r>
          </w:p>
        </w:tc>
        <w:tc>
          <w:tcPr>
            <w:tcW w:w="712" w:type="dxa"/>
            <w:vAlign w:val="center"/>
          </w:tcPr>
          <w:p w14:paraId="639B2FF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1 110</w:t>
            </w:r>
          </w:p>
        </w:tc>
        <w:tc>
          <w:tcPr>
            <w:tcW w:w="717" w:type="dxa"/>
            <w:vAlign w:val="center"/>
          </w:tcPr>
          <w:p w14:paraId="538C592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9 065</w:t>
            </w:r>
          </w:p>
        </w:tc>
        <w:tc>
          <w:tcPr>
            <w:tcW w:w="676" w:type="dxa"/>
            <w:gridSpan w:val="2"/>
            <w:vAlign w:val="center"/>
          </w:tcPr>
          <w:p w14:paraId="4A45AE2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8 032</w:t>
            </w:r>
          </w:p>
        </w:tc>
        <w:tc>
          <w:tcPr>
            <w:tcW w:w="694" w:type="dxa"/>
            <w:vAlign w:val="center"/>
          </w:tcPr>
          <w:p w14:paraId="6E37A8D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1 094</w:t>
            </w:r>
          </w:p>
        </w:tc>
        <w:tc>
          <w:tcPr>
            <w:tcW w:w="708" w:type="dxa"/>
            <w:vAlign w:val="center"/>
          </w:tcPr>
          <w:p w14:paraId="6856598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9 126</w:t>
            </w:r>
          </w:p>
        </w:tc>
      </w:tr>
      <w:tr w:rsidR="00C41C33" w:rsidRPr="00CE357F" w14:paraId="6E2F0401" w14:textId="77777777" w:rsidTr="00C41C33">
        <w:trPr>
          <w:trHeight w:val="202"/>
          <w:jc w:val="center"/>
        </w:trPr>
        <w:tc>
          <w:tcPr>
            <w:tcW w:w="1696" w:type="dxa"/>
            <w:shd w:val="clear" w:color="auto" w:fill="D9E2F3" w:themeFill="accent1" w:themeFillTint="33"/>
            <w:vAlign w:val="center"/>
          </w:tcPr>
          <w:p w14:paraId="5D75BD8F"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Brno-sever</w:t>
            </w:r>
          </w:p>
        </w:tc>
        <w:tc>
          <w:tcPr>
            <w:tcW w:w="851" w:type="dxa"/>
            <w:vAlign w:val="center"/>
          </w:tcPr>
          <w:p w14:paraId="08F5FE21"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49 782</w:t>
            </w:r>
          </w:p>
        </w:tc>
        <w:tc>
          <w:tcPr>
            <w:tcW w:w="992" w:type="dxa"/>
            <w:vAlign w:val="center"/>
          </w:tcPr>
          <w:p w14:paraId="6022F00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7 698</w:t>
            </w:r>
          </w:p>
        </w:tc>
        <w:tc>
          <w:tcPr>
            <w:tcW w:w="1192" w:type="dxa"/>
            <w:vAlign w:val="center"/>
          </w:tcPr>
          <w:p w14:paraId="375F5E04" w14:textId="01E52860"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15,5</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60A683A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3 413</w:t>
            </w:r>
          </w:p>
        </w:tc>
        <w:tc>
          <w:tcPr>
            <w:tcW w:w="712" w:type="dxa"/>
            <w:vAlign w:val="center"/>
          </w:tcPr>
          <w:p w14:paraId="6F14E94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489</w:t>
            </w:r>
          </w:p>
        </w:tc>
        <w:tc>
          <w:tcPr>
            <w:tcW w:w="717" w:type="dxa"/>
            <w:vAlign w:val="center"/>
          </w:tcPr>
          <w:p w14:paraId="1046BD5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3 902</w:t>
            </w:r>
          </w:p>
        </w:tc>
        <w:tc>
          <w:tcPr>
            <w:tcW w:w="676" w:type="dxa"/>
            <w:gridSpan w:val="2"/>
            <w:vAlign w:val="center"/>
          </w:tcPr>
          <w:p w14:paraId="04DB477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3 299</w:t>
            </w:r>
          </w:p>
        </w:tc>
        <w:tc>
          <w:tcPr>
            <w:tcW w:w="694" w:type="dxa"/>
            <w:vAlign w:val="center"/>
          </w:tcPr>
          <w:p w14:paraId="6B51804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497</w:t>
            </w:r>
          </w:p>
        </w:tc>
        <w:tc>
          <w:tcPr>
            <w:tcW w:w="708" w:type="dxa"/>
            <w:vAlign w:val="center"/>
          </w:tcPr>
          <w:p w14:paraId="30B36B7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3 796</w:t>
            </w:r>
          </w:p>
        </w:tc>
      </w:tr>
      <w:tr w:rsidR="00C41C33" w:rsidRPr="00CE357F" w14:paraId="66AF0B55" w14:textId="77777777" w:rsidTr="00C41C33">
        <w:trPr>
          <w:trHeight w:val="202"/>
          <w:jc w:val="center"/>
        </w:trPr>
        <w:tc>
          <w:tcPr>
            <w:tcW w:w="1696" w:type="dxa"/>
            <w:shd w:val="clear" w:color="auto" w:fill="D9E2F3" w:themeFill="accent1" w:themeFillTint="33"/>
            <w:vAlign w:val="center"/>
          </w:tcPr>
          <w:p w14:paraId="1CB98EA8"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Brno-Chrlice</w:t>
            </w:r>
          </w:p>
        </w:tc>
        <w:tc>
          <w:tcPr>
            <w:tcW w:w="851" w:type="dxa"/>
            <w:vAlign w:val="center"/>
          </w:tcPr>
          <w:p w14:paraId="15A272EA"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3 691</w:t>
            </w:r>
          </w:p>
        </w:tc>
        <w:tc>
          <w:tcPr>
            <w:tcW w:w="992" w:type="dxa"/>
            <w:vAlign w:val="center"/>
          </w:tcPr>
          <w:p w14:paraId="141F311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557</w:t>
            </w:r>
          </w:p>
        </w:tc>
        <w:tc>
          <w:tcPr>
            <w:tcW w:w="1192" w:type="dxa"/>
            <w:vAlign w:val="center"/>
          </w:tcPr>
          <w:p w14:paraId="0BABB832" w14:textId="09AE61A8"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15,1</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55C6126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267</w:t>
            </w:r>
          </w:p>
        </w:tc>
        <w:tc>
          <w:tcPr>
            <w:tcW w:w="712" w:type="dxa"/>
            <w:vAlign w:val="center"/>
          </w:tcPr>
          <w:p w14:paraId="2ABCFB1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44</w:t>
            </w:r>
          </w:p>
        </w:tc>
        <w:tc>
          <w:tcPr>
            <w:tcW w:w="717" w:type="dxa"/>
            <w:vAlign w:val="center"/>
          </w:tcPr>
          <w:p w14:paraId="2EFA97D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311</w:t>
            </w:r>
          </w:p>
        </w:tc>
        <w:tc>
          <w:tcPr>
            <w:tcW w:w="676" w:type="dxa"/>
            <w:gridSpan w:val="2"/>
            <w:vAlign w:val="center"/>
          </w:tcPr>
          <w:p w14:paraId="5EA03386"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205</w:t>
            </w:r>
          </w:p>
        </w:tc>
        <w:tc>
          <w:tcPr>
            <w:tcW w:w="694" w:type="dxa"/>
            <w:vAlign w:val="center"/>
          </w:tcPr>
          <w:p w14:paraId="42E597C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41</w:t>
            </w:r>
          </w:p>
        </w:tc>
        <w:tc>
          <w:tcPr>
            <w:tcW w:w="708" w:type="dxa"/>
            <w:vAlign w:val="center"/>
          </w:tcPr>
          <w:p w14:paraId="7CFBE5E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246</w:t>
            </w:r>
          </w:p>
        </w:tc>
      </w:tr>
      <w:tr w:rsidR="00C41C33" w:rsidRPr="00CE357F" w14:paraId="791FD2B9" w14:textId="77777777" w:rsidTr="00C41C33">
        <w:trPr>
          <w:trHeight w:val="202"/>
          <w:jc w:val="center"/>
        </w:trPr>
        <w:tc>
          <w:tcPr>
            <w:tcW w:w="1696" w:type="dxa"/>
            <w:shd w:val="clear" w:color="auto" w:fill="D9E2F3" w:themeFill="accent1" w:themeFillTint="33"/>
            <w:vAlign w:val="center"/>
          </w:tcPr>
          <w:p w14:paraId="64529C03"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Brno-Bosonohy</w:t>
            </w:r>
          </w:p>
        </w:tc>
        <w:tc>
          <w:tcPr>
            <w:tcW w:w="851" w:type="dxa"/>
            <w:vAlign w:val="center"/>
          </w:tcPr>
          <w:p w14:paraId="5037FAA7"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2 840</w:t>
            </w:r>
          </w:p>
        </w:tc>
        <w:tc>
          <w:tcPr>
            <w:tcW w:w="992" w:type="dxa"/>
            <w:vAlign w:val="center"/>
          </w:tcPr>
          <w:p w14:paraId="0E97B12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407</w:t>
            </w:r>
          </w:p>
        </w:tc>
        <w:tc>
          <w:tcPr>
            <w:tcW w:w="1192" w:type="dxa"/>
            <w:vAlign w:val="center"/>
          </w:tcPr>
          <w:p w14:paraId="6C743939" w14:textId="0442972E"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14,3</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41C43CE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160</w:t>
            </w:r>
          </w:p>
        </w:tc>
        <w:tc>
          <w:tcPr>
            <w:tcW w:w="712" w:type="dxa"/>
            <w:vAlign w:val="center"/>
          </w:tcPr>
          <w:p w14:paraId="2061A49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21</w:t>
            </w:r>
          </w:p>
        </w:tc>
        <w:tc>
          <w:tcPr>
            <w:tcW w:w="717" w:type="dxa"/>
            <w:vAlign w:val="center"/>
          </w:tcPr>
          <w:p w14:paraId="5CF3140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181</w:t>
            </w:r>
          </w:p>
        </w:tc>
        <w:tc>
          <w:tcPr>
            <w:tcW w:w="676" w:type="dxa"/>
            <w:gridSpan w:val="2"/>
            <w:vAlign w:val="center"/>
          </w:tcPr>
          <w:p w14:paraId="745564E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202</w:t>
            </w:r>
          </w:p>
        </w:tc>
        <w:tc>
          <w:tcPr>
            <w:tcW w:w="694" w:type="dxa"/>
            <w:vAlign w:val="center"/>
          </w:tcPr>
          <w:p w14:paraId="0B0DE45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24</w:t>
            </w:r>
          </w:p>
        </w:tc>
        <w:tc>
          <w:tcPr>
            <w:tcW w:w="708" w:type="dxa"/>
            <w:vAlign w:val="center"/>
          </w:tcPr>
          <w:p w14:paraId="2EFE9ED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226</w:t>
            </w:r>
          </w:p>
        </w:tc>
      </w:tr>
      <w:tr w:rsidR="00C41C33" w:rsidRPr="00CE357F" w14:paraId="78472339" w14:textId="77777777" w:rsidTr="00C41C33">
        <w:trPr>
          <w:trHeight w:val="202"/>
          <w:jc w:val="center"/>
        </w:trPr>
        <w:tc>
          <w:tcPr>
            <w:tcW w:w="1696" w:type="dxa"/>
            <w:shd w:val="clear" w:color="auto" w:fill="D9E2F3" w:themeFill="accent1" w:themeFillTint="33"/>
            <w:vAlign w:val="center"/>
          </w:tcPr>
          <w:p w14:paraId="54E40DC0"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Brno-Tuřany</w:t>
            </w:r>
          </w:p>
        </w:tc>
        <w:tc>
          <w:tcPr>
            <w:tcW w:w="851" w:type="dxa"/>
            <w:vAlign w:val="center"/>
          </w:tcPr>
          <w:p w14:paraId="4BF0530B"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5 954</w:t>
            </w:r>
          </w:p>
        </w:tc>
        <w:tc>
          <w:tcPr>
            <w:tcW w:w="992" w:type="dxa"/>
            <w:vAlign w:val="center"/>
          </w:tcPr>
          <w:p w14:paraId="5DAEB41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811</w:t>
            </w:r>
          </w:p>
        </w:tc>
        <w:tc>
          <w:tcPr>
            <w:tcW w:w="1192" w:type="dxa"/>
            <w:vAlign w:val="center"/>
          </w:tcPr>
          <w:p w14:paraId="123FFA87" w14:textId="33FCCC9E"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13,6</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3B7ABF8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353</w:t>
            </w:r>
          </w:p>
        </w:tc>
        <w:tc>
          <w:tcPr>
            <w:tcW w:w="712" w:type="dxa"/>
            <w:vAlign w:val="center"/>
          </w:tcPr>
          <w:p w14:paraId="6F1321A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73</w:t>
            </w:r>
          </w:p>
        </w:tc>
        <w:tc>
          <w:tcPr>
            <w:tcW w:w="717" w:type="dxa"/>
            <w:vAlign w:val="center"/>
          </w:tcPr>
          <w:p w14:paraId="4BFF85B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426</w:t>
            </w:r>
          </w:p>
        </w:tc>
        <w:tc>
          <w:tcPr>
            <w:tcW w:w="676" w:type="dxa"/>
            <w:gridSpan w:val="2"/>
            <w:vAlign w:val="center"/>
          </w:tcPr>
          <w:p w14:paraId="24B9D39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315</w:t>
            </w:r>
          </w:p>
        </w:tc>
        <w:tc>
          <w:tcPr>
            <w:tcW w:w="694" w:type="dxa"/>
            <w:vAlign w:val="center"/>
          </w:tcPr>
          <w:p w14:paraId="07F60E7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70</w:t>
            </w:r>
          </w:p>
        </w:tc>
        <w:tc>
          <w:tcPr>
            <w:tcW w:w="708" w:type="dxa"/>
            <w:vAlign w:val="center"/>
          </w:tcPr>
          <w:p w14:paraId="0596765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385</w:t>
            </w:r>
          </w:p>
        </w:tc>
      </w:tr>
      <w:tr w:rsidR="00C41C33" w:rsidRPr="00CE357F" w14:paraId="1AD927B2" w14:textId="77777777" w:rsidTr="00C41C33">
        <w:trPr>
          <w:trHeight w:val="202"/>
          <w:jc w:val="center"/>
        </w:trPr>
        <w:tc>
          <w:tcPr>
            <w:tcW w:w="1696" w:type="dxa"/>
            <w:shd w:val="clear" w:color="auto" w:fill="D9E2F3" w:themeFill="accent1" w:themeFillTint="33"/>
            <w:vAlign w:val="center"/>
          </w:tcPr>
          <w:p w14:paraId="5C1F3B50"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Brno-Maloměřice a Obřany</w:t>
            </w:r>
          </w:p>
        </w:tc>
        <w:tc>
          <w:tcPr>
            <w:tcW w:w="851" w:type="dxa"/>
            <w:vAlign w:val="center"/>
          </w:tcPr>
          <w:p w14:paraId="353364C6"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6 263</w:t>
            </w:r>
          </w:p>
        </w:tc>
        <w:tc>
          <w:tcPr>
            <w:tcW w:w="992" w:type="dxa"/>
            <w:vAlign w:val="center"/>
          </w:tcPr>
          <w:p w14:paraId="0FADCB5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710</w:t>
            </w:r>
          </w:p>
        </w:tc>
        <w:tc>
          <w:tcPr>
            <w:tcW w:w="1192" w:type="dxa"/>
            <w:vAlign w:val="center"/>
          </w:tcPr>
          <w:p w14:paraId="195D6533" w14:textId="439B32E8"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11,3</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2F0024A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306</w:t>
            </w:r>
          </w:p>
        </w:tc>
        <w:tc>
          <w:tcPr>
            <w:tcW w:w="712" w:type="dxa"/>
            <w:vAlign w:val="center"/>
          </w:tcPr>
          <w:p w14:paraId="338AED5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63</w:t>
            </w:r>
          </w:p>
        </w:tc>
        <w:tc>
          <w:tcPr>
            <w:tcW w:w="717" w:type="dxa"/>
            <w:vAlign w:val="center"/>
          </w:tcPr>
          <w:p w14:paraId="73BEFD5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369</w:t>
            </w:r>
          </w:p>
        </w:tc>
        <w:tc>
          <w:tcPr>
            <w:tcW w:w="676" w:type="dxa"/>
            <w:gridSpan w:val="2"/>
            <w:vAlign w:val="center"/>
          </w:tcPr>
          <w:p w14:paraId="0108CB7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292</w:t>
            </w:r>
          </w:p>
        </w:tc>
        <w:tc>
          <w:tcPr>
            <w:tcW w:w="694" w:type="dxa"/>
            <w:vAlign w:val="center"/>
          </w:tcPr>
          <w:p w14:paraId="49717EC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49</w:t>
            </w:r>
          </w:p>
        </w:tc>
        <w:tc>
          <w:tcPr>
            <w:tcW w:w="708" w:type="dxa"/>
            <w:vAlign w:val="center"/>
          </w:tcPr>
          <w:p w14:paraId="2218574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341</w:t>
            </w:r>
          </w:p>
        </w:tc>
      </w:tr>
      <w:tr w:rsidR="00C41C33" w:rsidRPr="00CE357F" w14:paraId="02C061B1" w14:textId="77777777" w:rsidTr="00C41C33">
        <w:trPr>
          <w:trHeight w:val="202"/>
          <w:jc w:val="center"/>
        </w:trPr>
        <w:tc>
          <w:tcPr>
            <w:tcW w:w="1696" w:type="dxa"/>
            <w:shd w:val="clear" w:color="auto" w:fill="D9E2F3" w:themeFill="accent1" w:themeFillTint="33"/>
            <w:vAlign w:val="center"/>
          </w:tcPr>
          <w:p w14:paraId="17D49688"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Brno-Medlánky</w:t>
            </w:r>
          </w:p>
        </w:tc>
        <w:tc>
          <w:tcPr>
            <w:tcW w:w="851" w:type="dxa"/>
            <w:vAlign w:val="center"/>
          </w:tcPr>
          <w:p w14:paraId="519FA217"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5 895</w:t>
            </w:r>
          </w:p>
        </w:tc>
        <w:tc>
          <w:tcPr>
            <w:tcW w:w="992" w:type="dxa"/>
            <w:vAlign w:val="center"/>
          </w:tcPr>
          <w:p w14:paraId="741A3F8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642</w:t>
            </w:r>
          </w:p>
        </w:tc>
        <w:tc>
          <w:tcPr>
            <w:tcW w:w="1192" w:type="dxa"/>
            <w:vAlign w:val="center"/>
          </w:tcPr>
          <w:p w14:paraId="2E03B220" w14:textId="6E6C162A"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10,9</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5ED5432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295</w:t>
            </w:r>
          </w:p>
        </w:tc>
        <w:tc>
          <w:tcPr>
            <w:tcW w:w="712" w:type="dxa"/>
            <w:vAlign w:val="center"/>
          </w:tcPr>
          <w:p w14:paraId="367EEF1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46</w:t>
            </w:r>
          </w:p>
        </w:tc>
        <w:tc>
          <w:tcPr>
            <w:tcW w:w="717" w:type="dxa"/>
            <w:vAlign w:val="center"/>
          </w:tcPr>
          <w:p w14:paraId="3EA7F63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341</w:t>
            </w:r>
          </w:p>
        </w:tc>
        <w:tc>
          <w:tcPr>
            <w:tcW w:w="676" w:type="dxa"/>
            <w:gridSpan w:val="2"/>
            <w:vAlign w:val="center"/>
          </w:tcPr>
          <w:p w14:paraId="4C9E5FA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258</w:t>
            </w:r>
          </w:p>
        </w:tc>
        <w:tc>
          <w:tcPr>
            <w:tcW w:w="694" w:type="dxa"/>
            <w:vAlign w:val="center"/>
          </w:tcPr>
          <w:p w14:paraId="72C9175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43</w:t>
            </w:r>
          </w:p>
        </w:tc>
        <w:tc>
          <w:tcPr>
            <w:tcW w:w="708" w:type="dxa"/>
            <w:vAlign w:val="center"/>
          </w:tcPr>
          <w:p w14:paraId="27910D8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301</w:t>
            </w:r>
          </w:p>
        </w:tc>
      </w:tr>
      <w:tr w:rsidR="00C41C33" w:rsidRPr="00CE357F" w14:paraId="08EC63CC" w14:textId="77777777" w:rsidTr="00C41C33">
        <w:trPr>
          <w:trHeight w:val="202"/>
          <w:jc w:val="center"/>
        </w:trPr>
        <w:tc>
          <w:tcPr>
            <w:tcW w:w="1696" w:type="dxa"/>
            <w:shd w:val="clear" w:color="auto" w:fill="D9E2F3" w:themeFill="accent1" w:themeFillTint="33"/>
            <w:vAlign w:val="center"/>
          </w:tcPr>
          <w:p w14:paraId="29706386"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Brno-Žabovřesky</w:t>
            </w:r>
          </w:p>
        </w:tc>
        <w:tc>
          <w:tcPr>
            <w:tcW w:w="851" w:type="dxa"/>
            <w:vAlign w:val="center"/>
          </w:tcPr>
          <w:p w14:paraId="57A6C334"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21 557</w:t>
            </w:r>
          </w:p>
        </w:tc>
        <w:tc>
          <w:tcPr>
            <w:tcW w:w="992" w:type="dxa"/>
            <w:vAlign w:val="center"/>
          </w:tcPr>
          <w:p w14:paraId="339B833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2 289</w:t>
            </w:r>
          </w:p>
        </w:tc>
        <w:tc>
          <w:tcPr>
            <w:tcW w:w="1192" w:type="dxa"/>
            <w:vAlign w:val="center"/>
          </w:tcPr>
          <w:p w14:paraId="7005F9AC" w14:textId="63988D28"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10,6</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30481EC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1 042</w:t>
            </w:r>
          </w:p>
        </w:tc>
        <w:tc>
          <w:tcPr>
            <w:tcW w:w="712" w:type="dxa"/>
            <w:vAlign w:val="center"/>
          </w:tcPr>
          <w:p w14:paraId="59D1129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142</w:t>
            </w:r>
          </w:p>
        </w:tc>
        <w:tc>
          <w:tcPr>
            <w:tcW w:w="717" w:type="dxa"/>
            <w:vAlign w:val="center"/>
          </w:tcPr>
          <w:p w14:paraId="44C3902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1 184</w:t>
            </w:r>
          </w:p>
        </w:tc>
        <w:tc>
          <w:tcPr>
            <w:tcW w:w="676" w:type="dxa"/>
            <w:gridSpan w:val="2"/>
            <w:vAlign w:val="center"/>
          </w:tcPr>
          <w:p w14:paraId="1D7D61A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949</w:t>
            </w:r>
          </w:p>
        </w:tc>
        <w:tc>
          <w:tcPr>
            <w:tcW w:w="694" w:type="dxa"/>
            <w:vAlign w:val="center"/>
          </w:tcPr>
          <w:p w14:paraId="6E186D2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156</w:t>
            </w:r>
          </w:p>
        </w:tc>
        <w:tc>
          <w:tcPr>
            <w:tcW w:w="708" w:type="dxa"/>
            <w:vAlign w:val="center"/>
          </w:tcPr>
          <w:p w14:paraId="3A206C6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1 105</w:t>
            </w:r>
          </w:p>
        </w:tc>
      </w:tr>
      <w:tr w:rsidR="00C41C33" w:rsidRPr="00CE357F" w14:paraId="7ADDC0F9" w14:textId="77777777" w:rsidTr="00C41C33">
        <w:trPr>
          <w:trHeight w:val="202"/>
          <w:jc w:val="center"/>
        </w:trPr>
        <w:tc>
          <w:tcPr>
            <w:tcW w:w="1696" w:type="dxa"/>
            <w:shd w:val="clear" w:color="auto" w:fill="D9E2F3" w:themeFill="accent1" w:themeFillTint="33"/>
            <w:vAlign w:val="center"/>
          </w:tcPr>
          <w:p w14:paraId="6FBD468C"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Brno-Bohunice</w:t>
            </w:r>
          </w:p>
        </w:tc>
        <w:tc>
          <w:tcPr>
            <w:tcW w:w="851" w:type="dxa"/>
            <w:vAlign w:val="center"/>
          </w:tcPr>
          <w:p w14:paraId="4B4866F7"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13 688</w:t>
            </w:r>
          </w:p>
        </w:tc>
        <w:tc>
          <w:tcPr>
            <w:tcW w:w="992" w:type="dxa"/>
            <w:vAlign w:val="center"/>
          </w:tcPr>
          <w:p w14:paraId="33A2E02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1 424</w:t>
            </w:r>
          </w:p>
        </w:tc>
        <w:tc>
          <w:tcPr>
            <w:tcW w:w="1192" w:type="dxa"/>
            <w:vAlign w:val="center"/>
          </w:tcPr>
          <w:p w14:paraId="0A7F255F" w14:textId="28085B05"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10,4</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4AC96D2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593</w:t>
            </w:r>
          </w:p>
        </w:tc>
        <w:tc>
          <w:tcPr>
            <w:tcW w:w="712" w:type="dxa"/>
            <w:vAlign w:val="center"/>
          </w:tcPr>
          <w:p w14:paraId="2C6C46A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95</w:t>
            </w:r>
          </w:p>
        </w:tc>
        <w:tc>
          <w:tcPr>
            <w:tcW w:w="717" w:type="dxa"/>
            <w:vAlign w:val="center"/>
          </w:tcPr>
          <w:p w14:paraId="50DE7EC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688</w:t>
            </w:r>
          </w:p>
        </w:tc>
        <w:tc>
          <w:tcPr>
            <w:tcW w:w="676" w:type="dxa"/>
            <w:gridSpan w:val="2"/>
            <w:vAlign w:val="center"/>
          </w:tcPr>
          <w:p w14:paraId="02B3896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634</w:t>
            </w:r>
          </w:p>
        </w:tc>
        <w:tc>
          <w:tcPr>
            <w:tcW w:w="694" w:type="dxa"/>
            <w:vAlign w:val="center"/>
          </w:tcPr>
          <w:p w14:paraId="3CAA920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102</w:t>
            </w:r>
          </w:p>
        </w:tc>
        <w:tc>
          <w:tcPr>
            <w:tcW w:w="708" w:type="dxa"/>
            <w:vAlign w:val="center"/>
          </w:tcPr>
          <w:p w14:paraId="76B0E21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736</w:t>
            </w:r>
          </w:p>
        </w:tc>
      </w:tr>
      <w:tr w:rsidR="00C41C33" w:rsidRPr="00CE357F" w14:paraId="696C047C" w14:textId="77777777" w:rsidTr="00C41C33">
        <w:trPr>
          <w:trHeight w:val="202"/>
          <w:jc w:val="center"/>
        </w:trPr>
        <w:tc>
          <w:tcPr>
            <w:tcW w:w="1696" w:type="dxa"/>
            <w:shd w:val="clear" w:color="auto" w:fill="D9E2F3" w:themeFill="accent1" w:themeFillTint="33"/>
            <w:vAlign w:val="center"/>
          </w:tcPr>
          <w:p w14:paraId="28411B27"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Brno-Řečkovice a Mokrá Hora</w:t>
            </w:r>
          </w:p>
        </w:tc>
        <w:tc>
          <w:tcPr>
            <w:tcW w:w="851" w:type="dxa"/>
            <w:vAlign w:val="center"/>
          </w:tcPr>
          <w:p w14:paraId="64BB6309"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15 056</w:t>
            </w:r>
          </w:p>
        </w:tc>
        <w:tc>
          <w:tcPr>
            <w:tcW w:w="992" w:type="dxa"/>
            <w:vAlign w:val="center"/>
          </w:tcPr>
          <w:p w14:paraId="03D32F2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1 411</w:t>
            </w:r>
          </w:p>
        </w:tc>
        <w:tc>
          <w:tcPr>
            <w:tcW w:w="1192" w:type="dxa"/>
            <w:vAlign w:val="center"/>
          </w:tcPr>
          <w:p w14:paraId="57C3DD2E" w14:textId="0E60862E"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9,4</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1008FF8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626</w:t>
            </w:r>
          </w:p>
        </w:tc>
        <w:tc>
          <w:tcPr>
            <w:tcW w:w="712" w:type="dxa"/>
            <w:vAlign w:val="center"/>
          </w:tcPr>
          <w:p w14:paraId="443FEBB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109</w:t>
            </w:r>
          </w:p>
        </w:tc>
        <w:tc>
          <w:tcPr>
            <w:tcW w:w="717" w:type="dxa"/>
            <w:vAlign w:val="center"/>
          </w:tcPr>
          <w:p w14:paraId="6343514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735</w:t>
            </w:r>
          </w:p>
        </w:tc>
        <w:tc>
          <w:tcPr>
            <w:tcW w:w="676" w:type="dxa"/>
            <w:gridSpan w:val="2"/>
            <w:vAlign w:val="center"/>
          </w:tcPr>
          <w:p w14:paraId="289203A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588</w:t>
            </w:r>
          </w:p>
        </w:tc>
        <w:tc>
          <w:tcPr>
            <w:tcW w:w="694" w:type="dxa"/>
            <w:vAlign w:val="center"/>
          </w:tcPr>
          <w:p w14:paraId="04A32F5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88</w:t>
            </w:r>
          </w:p>
        </w:tc>
        <w:tc>
          <w:tcPr>
            <w:tcW w:w="708" w:type="dxa"/>
            <w:vAlign w:val="center"/>
          </w:tcPr>
          <w:p w14:paraId="035B878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676</w:t>
            </w:r>
          </w:p>
        </w:tc>
      </w:tr>
      <w:tr w:rsidR="00C41C33" w:rsidRPr="00CE357F" w14:paraId="791FD7DE" w14:textId="77777777" w:rsidTr="00C41C33">
        <w:trPr>
          <w:trHeight w:val="202"/>
          <w:jc w:val="center"/>
        </w:trPr>
        <w:tc>
          <w:tcPr>
            <w:tcW w:w="1696" w:type="dxa"/>
            <w:shd w:val="clear" w:color="auto" w:fill="D9E2F3" w:themeFill="accent1" w:themeFillTint="33"/>
            <w:vAlign w:val="center"/>
          </w:tcPr>
          <w:p w14:paraId="6FF50833"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Brno-Komín</w:t>
            </w:r>
          </w:p>
        </w:tc>
        <w:tc>
          <w:tcPr>
            <w:tcW w:w="851" w:type="dxa"/>
            <w:vAlign w:val="center"/>
          </w:tcPr>
          <w:p w14:paraId="26486FBC"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8 021</w:t>
            </w:r>
          </w:p>
        </w:tc>
        <w:tc>
          <w:tcPr>
            <w:tcW w:w="992" w:type="dxa"/>
            <w:vAlign w:val="center"/>
          </w:tcPr>
          <w:p w14:paraId="43F345A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723</w:t>
            </w:r>
          </w:p>
        </w:tc>
        <w:tc>
          <w:tcPr>
            <w:tcW w:w="1192" w:type="dxa"/>
            <w:vAlign w:val="center"/>
          </w:tcPr>
          <w:p w14:paraId="66C40702" w14:textId="79AD74A3"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9,0</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094DD4C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311</w:t>
            </w:r>
          </w:p>
        </w:tc>
        <w:tc>
          <w:tcPr>
            <w:tcW w:w="712" w:type="dxa"/>
            <w:vAlign w:val="center"/>
          </w:tcPr>
          <w:p w14:paraId="09E8DC9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49</w:t>
            </w:r>
          </w:p>
        </w:tc>
        <w:tc>
          <w:tcPr>
            <w:tcW w:w="717" w:type="dxa"/>
            <w:vAlign w:val="center"/>
          </w:tcPr>
          <w:p w14:paraId="45626D5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360</w:t>
            </w:r>
          </w:p>
        </w:tc>
        <w:tc>
          <w:tcPr>
            <w:tcW w:w="676" w:type="dxa"/>
            <w:gridSpan w:val="2"/>
            <w:vAlign w:val="center"/>
          </w:tcPr>
          <w:p w14:paraId="6C093AB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312</w:t>
            </w:r>
          </w:p>
        </w:tc>
        <w:tc>
          <w:tcPr>
            <w:tcW w:w="694" w:type="dxa"/>
            <w:vAlign w:val="center"/>
          </w:tcPr>
          <w:p w14:paraId="391F048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51</w:t>
            </w:r>
          </w:p>
        </w:tc>
        <w:tc>
          <w:tcPr>
            <w:tcW w:w="708" w:type="dxa"/>
            <w:vAlign w:val="center"/>
          </w:tcPr>
          <w:p w14:paraId="75FCAA5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363</w:t>
            </w:r>
          </w:p>
        </w:tc>
      </w:tr>
      <w:tr w:rsidR="00C41C33" w:rsidRPr="00CE357F" w14:paraId="2239BD32" w14:textId="77777777" w:rsidTr="00C41C33">
        <w:trPr>
          <w:trHeight w:val="202"/>
          <w:jc w:val="center"/>
        </w:trPr>
        <w:tc>
          <w:tcPr>
            <w:tcW w:w="1696" w:type="dxa"/>
            <w:shd w:val="clear" w:color="auto" w:fill="D9E2F3" w:themeFill="accent1" w:themeFillTint="33"/>
            <w:vAlign w:val="center"/>
          </w:tcPr>
          <w:p w14:paraId="55A9610C"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Brno-Líšeň</w:t>
            </w:r>
          </w:p>
        </w:tc>
        <w:tc>
          <w:tcPr>
            <w:tcW w:w="851" w:type="dxa"/>
            <w:vAlign w:val="center"/>
          </w:tcPr>
          <w:p w14:paraId="5DFCFDDF"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27 237</w:t>
            </w:r>
          </w:p>
        </w:tc>
        <w:tc>
          <w:tcPr>
            <w:tcW w:w="992" w:type="dxa"/>
            <w:vAlign w:val="center"/>
          </w:tcPr>
          <w:p w14:paraId="4DA43F2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2 401</w:t>
            </w:r>
          </w:p>
        </w:tc>
        <w:tc>
          <w:tcPr>
            <w:tcW w:w="1192" w:type="dxa"/>
            <w:vAlign w:val="center"/>
          </w:tcPr>
          <w:p w14:paraId="3117D7FE" w14:textId="18CC88EC"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8,8</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7AC60BC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1 074</w:t>
            </w:r>
          </w:p>
        </w:tc>
        <w:tc>
          <w:tcPr>
            <w:tcW w:w="712" w:type="dxa"/>
            <w:vAlign w:val="center"/>
          </w:tcPr>
          <w:p w14:paraId="1ABECFB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164</w:t>
            </w:r>
          </w:p>
        </w:tc>
        <w:tc>
          <w:tcPr>
            <w:tcW w:w="717" w:type="dxa"/>
            <w:vAlign w:val="center"/>
          </w:tcPr>
          <w:p w14:paraId="2532C9F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1 238</w:t>
            </w:r>
          </w:p>
        </w:tc>
        <w:tc>
          <w:tcPr>
            <w:tcW w:w="676" w:type="dxa"/>
            <w:gridSpan w:val="2"/>
            <w:vAlign w:val="center"/>
          </w:tcPr>
          <w:p w14:paraId="287BBF16"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982</w:t>
            </w:r>
          </w:p>
        </w:tc>
        <w:tc>
          <w:tcPr>
            <w:tcW w:w="694" w:type="dxa"/>
            <w:vAlign w:val="center"/>
          </w:tcPr>
          <w:p w14:paraId="2E5E701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181</w:t>
            </w:r>
          </w:p>
        </w:tc>
        <w:tc>
          <w:tcPr>
            <w:tcW w:w="708" w:type="dxa"/>
            <w:vAlign w:val="center"/>
          </w:tcPr>
          <w:p w14:paraId="77FF8FB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1 163</w:t>
            </w:r>
          </w:p>
        </w:tc>
      </w:tr>
      <w:tr w:rsidR="00C41C33" w:rsidRPr="00CE357F" w14:paraId="09FA269A" w14:textId="77777777" w:rsidTr="00C41C33">
        <w:trPr>
          <w:trHeight w:val="202"/>
          <w:jc w:val="center"/>
        </w:trPr>
        <w:tc>
          <w:tcPr>
            <w:tcW w:w="1696" w:type="dxa"/>
            <w:shd w:val="clear" w:color="auto" w:fill="D9E2F3" w:themeFill="accent1" w:themeFillTint="33"/>
            <w:vAlign w:val="center"/>
          </w:tcPr>
          <w:p w14:paraId="1C1BECED"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Brno-Starý Lískovec</w:t>
            </w:r>
          </w:p>
        </w:tc>
        <w:tc>
          <w:tcPr>
            <w:tcW w:w="851" w:type="dxa"/>
            <w:vAlign w:val="center"/>
          </w:tcPr>
          <w:p w14:paraId="765CF7B1"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12 958</w:t>
            </w:r>
          </w:p>
        </w:tc>
        <w:tc>
          <w:tcPr>
            <w:tcW w:w="992" w:type="dxa"/>
            <w:vAlign w:val="center"/>
          </w:tcPr>
          <w:p w14:paraId="679738F6"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1 121</w:t>
            </w:r>
          </w:p>
        </w:tc>
        <w:tc>
          <w:tcPr>
            <w:tcW w:w="1192" w:type="dxa"/>
            <w:vAlign w:val="center"/>
          </w:tcPr>
          <w:p w14:paraId="2F71125B" w14:textId="4707FEF3"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8,7</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1FD9F07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446</w:t>
            </w:r>
          </w:p>
        </w:tc>
        <w:tc>
          <w:tcPr>
            <w:tcW w:w="712" w:type="dxa"/>
            <w:vAlign w:val="center"/>
          </w:tcPr>
          <w:p w14:paraId="06EBFDE6"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95</w:t>
            </w:r>
          </w:p>
        </w:tc>
        <w:tc>
          <w:tcPr>
            <w:tcW w:w="717" w:type="dxa"/>
            <w:vAlign w:val="center"/>
          </w:tcPr>
          <w:p w14:paraId="2678182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541</w:t>
            </w:r>
          </w:p>
        </w:tc>
        <w:tc>
          <w:tcPr>
            <w:tcW w:w="676" w:type="dxa"/>
            <w:gridSpan w:val="2"/>
            <w:vAlign w:val="center"/>
          </w:tcPr>
          <w:p w14:paraId="6843617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487</w:t>
            </w:r>
          </w:p>
        </w:tc>
        <w:tc>
          <w:tcPr>
            <w:tcW w:w="694" w:type="dxa"/>
            <w:vAlign w:val="center"/>
          </w:tcPr>
          <w:p w14:paraId="7BFEEF2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93</w:t>
            </w:r>
          </w:p>
        </w:tc>
        <w:tc>
          <w:tcPr>
            <w:tcW w:w="708" w:type="dxa"/>
            <w:vAlign w:val="center"/>
          </w:tcPr>
          <w:p w14:paraId="7E291AE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580</w:t>
            </w:r>
          </w:p>
        </w:tc>
      </w:tr>
      <w:tr w:rsidR="00C41C33" w:rsidRPr="00CE357F" w14:paraId="79C527F5" w14:textId="77777777" w:rsidTr="00C41C33">
        <w:trPr>
          <w:trHeight w:val="202"/>
          <w:jc w:val="center"/>
        </w:trPr>
        <w:tc>
          <w:tcPr>
            <w:tcW w:w="1696" w:type="dxa"/>
            <w:shd w:val="clear" w:color="auto" w:fill="D9E2F3" w:themeFill="accent1" w:themeFillTint="33"/>
            <w:vAlign w:val="center"/>
          </w:tcPr>
          <w:p w14:paraId="5CA7A036"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Brno-Jundrov</w:t>
            </w:r>
          </w:p>
        </w:tc>
        <w:tc>
          <w:tcPr>
            <w:tcW w:w="851" w:type="dxa"/>
            <w:vAlign w:val="center"/>
          </w:tcPr>
          <w:p w14:paraId="25BA0F49"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4 736</w:t>
            </w:r>
          </w:p>
        </w:tc>
        <w:tc>
          <w:tcPr>
            <w:tcW w:w="992" w:type="dxa"/>
            <w:vAlign w:val="center"/>
          </w:tcPr>
          <w:p w14:paraId="6DE92AE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394</w:t>
            </w:r>
          </w:p>
        </w:tc>
        <w:tc>
          <w:tcPr>
            <w:tcW w:w="1192" w:type="dxa"/>
            <w:vAlign w:val="center"/>
          </w:tcPr>
          <w:p w14:paraId="2520A3E9" w14:textId="5E3C369D"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8,3</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703CE50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161</w:t>
            </w:r>
          </w:p>
        </w:tc>
        <w:tc>
          <w:tcPr>
            <w:tcW w:w="712" w:type="dxa"/>
            <w:vAlign w:val="center"/>
          </w:tcPr>
          <w:p w14:paraId="6B2A3C8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29</w:t>
            </w:r>
          </w:p>
        </w:tc>
        <w:tc>
          <w:tcPr>
            <w:tcW w:w="717" w:type="dxa"/>
            <w:vAlign w:val="center"/>
          </w:tcPr>
          <w:p w14:paraId="4E60762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190</w:t>
            </w:r>
          </w:p>
        </w:tc>
        <w:tc>
          <w:tcPr>
            <w:tcW w:w="676" w:type="dxa"/>
            <w:gridSpan w:val="2"/>
            <w:vAlign w:val="center"/>
          </w:tcPr>
          <w:p w14:paraId="65A2C80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163</w:t>
            </w:r>
          </w:p>
        </w:tc>
        <w:tc>
          <w:tcPr>
            <w:tcW w:w="694" w:type="dxa"/>
            <w:vAlign w:val="center"/>
          </w:tcPr>
          <w:p w14:paraId="30DFD3E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41</w:t>
            </w:r>
          </w:p>
        </w:tc>
        <w:tc>
          <w:tcPr>
            <w:tcW w:w="708" w:type="dxa"/>
            <w:vAlign w:val="center"/>
          </w:tcPr>
          <w:p w14:paraId="15D0792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204</w:t>
            </w:r>
          </w:p>
        </w:tc>
      </w:tr>
      <w:tr w:rsidR="00C41C33" w:rsidRPr="00CE357F" w14:paraId="43A1BFA3" w14:textId="77777777" w:rsidTr="00C41C33">
        <w:trPr>
          <w:trHeight w:val="202"/>
          <w:jc w:val="center"/>
        </w:trPr>
        <w:tc>
          <w:tcPr>
            <w:tcW w:w="1696" w:type="dxa"/>
            <w:shd w:val="clear" w:color="auto" w:fill="D9E2F3" w:themeFill="accent1" w:themeFillTint="33"/>
            <w:vAlign w:val="center"/>
          </w:tcPr>
          <w:p w14:paraId="1B9ACAD5"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Brno-Nový Lískovec</w:t>
            </w:r>
          </w:p>
        </w:tc>
        <w:tc>
          <w:tcPr>
            <w:tcW w:w="851" w:type="dxa"/>
            <w:vAlign w:val="center"/>
          </w:tcPr>
          <w:p w14:paraId="1C64055A"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10 438</w:t>
            </w:r>
          </w:p>
        </w:tc>
        <w:tc>
          <w:tcPr>
            <w:tcW w:w="992" w:type="dxa"/>
            <w:vAlign w:val="center"/>
          </w:tcPr>
          <w:p w14:paraId="442E1B7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854</w:t>
            </w:r>
          </w:p>
        </w:tc>
        <w:tc>
          <w:tcPr>
            <w:tcW w:w="1192" w:type="dxa"/>
            <w:vAlign w:val="center"/>
          </w:tcPr>
          <w:p w14:paraId="37E0B943" w14:textId="07763E2F"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8,2</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4330240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384</w:t>
            </w:r>
          </w:p>
        </w:tc>
        <w:tc>
          <w:tcPr>
            <w:tcW w:w="712" w:type="dxa"/>
            <w:vAlign w:val="center"/>
          </w:tcPr>
          <w:p w14:paraId="28E398A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53</w:t>
            </w:r>
          </w:p>
        </w:tc>
        <w:tc>
          <w:tcPr>
            <w:tcW w:w="717" w:type="dxa"/>
            <w:vAlign w:val="center"/>
          </w:tcPr>
          <w:p w14:paraId="3E63422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437</w:t>
            </w:r>
          </w:p>
        </w:tc>
        <w:tc>
          <w:tcPr>
            <w:tcW w:w="676" w:type="dxa"/>
            <w:gridSpan w:val="2"/>
            <w:vAlign w:val="center"/>
          </w:tcPr>
          <w:p w14:paraId="00ED16E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356</w:t>
            </w:r>
          </w:p>
        </w:tc>
        <w:tc>
          <w:tcPr>
            <w:tcW w:w="694" w:type="dxa"/>
            <w:vAlign w:val="center"/>
          </w:tcPr>
          <w:p w14:paraId="22945BC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61</w:t>
            </w:r>
          </w:p>
        </w:tc>
        <w:tc>
          <w:tcPr>
            <w:tcW w:w="708" w:type="dxa"/>
            <w:vAlign w:val="center"/>
          </w:tcPr>
          <w:p w14:paraId="3090F20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417</w:t>
            </w:r>
          </w:p>
        </w:tc>
      </w:tr>
      <w:tr w:rsidR="00C41C33" w:rsidRPr="00CE357F" w14:paraId="19F09F58" w14:textId="77777777" w:rsidTr="00C41C33">
        <w:trPr>
          <w:trHeight w:val="202"/>
          <w:jc w:val="center"/>
        </w:trPr>
        <w:tc>
          <w:tcPr>
            <w:tcW w:w="1696" w:type="dxa"/>
            <w:shd w:val="clear" w:color="auto" w:fill="D9E2F3" w:themeFill="accent1" w:themeFillTint="33"/>
            <w:vAlign w:val="center"/>
          </w:tcPr>
          <w:p w14:paraId="2F419E2E"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Brno-Kohoutovice</w:t>
            </w:r>
          </w:p>
        </w:tc>
        <w:tc>
          <w:tcPr>
            <w:tcW w:w="851" w:type="dxa"/>
            <w:vAlign w:val="center"/>
          </w:tcPr>
          <w:p w14:paraId="035E114C"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12 845</w:t>
            </w:r>
          </w:p>
        </w:tc>
        <w:tc>
          <w:tcPr>
            <w:tcW w:w="992" w:type="dxa"/>
            <w:vAlign w:val="center"/>
          </w:tcPr>
          <w:p w14:paraId="4ACA482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981</w:t>
            </w:r>
          </w:p>
        </w:tc>
        <w:tc>
          <w:tcPr>
            <w:tcW w:w="1192" w:type="dxa"/>
            <w:vAlign w:val="center"/>
          </w:tcPr>
          <w:p w14:paraId="4D3E0AAE" w14:textId="0E55AA63"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7,6</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602C963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301</w:t>
            </w:r>
          </w:p>
        </w:tc>
        <w:tc>
          <w:tcPr>
            <w:tcW w:w="712" w:type="dxa"/>
            <w:vAlign w:val="center"/>
          </w:tcPr>
          <w:p w14:paraId="298CAAF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114</w:t>
            </w:r>
          </w:p>
        </w:tc>
        <w:tc>
          <w:tcPr>
            <w:tcW w:w="717" w:type="dxa"/>
            <w:vAlign w:val="center"/>
          </w:tcPr>
          <w:p w14:paraId="14882C96"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415</w:t>
            </w:r>
          </w:p>
        </w:tc>
        <w:tc>
          <w:tcPr>
            <w:tcW w:w="676" w:type="dxa"/>
            <w:gridSpan w:val="2"/>
            <w:vAlign w:val="center"/>
          </w:tcPr>
          <w:p w14:paraId="4723425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468</w:t>
            </w:r>
          </w:p>
        </w:tc>
        <w:tc>
          <w:tcPr>
            <w:tcW w:w="694" w:type="dxa"/>
            <w:vAlign w:val="center"/>
          </w:tcPr>
          <w:p w14:paraId="2EB416B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98</w:t>
            </w:r>
          </w:p>
        </w:tc>
        <w:tc>
          <w:tcPr>
            <w:tcW w:w="708" w:type="dxa"/>
            <w:vAlign w:val="center"/>
          </w:tcPr>
          <w:p w14:paraId="4DD9070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566</w:t>
            </w:r>
          </w:p>
        </w:tc>
      </w:tr>
      <w:tr w:rsidR="00C41C33" w:rsidRPr="00CE357F" w14:paraId="6DA352F3" w14:textId="77777777" w:rsidTr="00C41C33">
        <w:trPr>
          <w:trHeight w:val="202"/>
          <w:jc w:val="center"/>
        </w:trPr>
        <w:tc>
          <w:tcPr>
            <w:tcW w:w="1696" w:type="dxa"/>
            <w:shd w:val="clear" w:color="auto" w:fill="D9E2F3" w:themeFill="accent1" w:themeFillTint="33"/>
            <w:vAlign w:val="center"/>
          </w:tcPr>
          <w:p w14:paraId="3F1DC517"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Brno-Vinohrady</w:t>
            </w:r>
          </w:p>
        </w:tc>
        <w:tc>
          <w:tcPr>
            <w:tcW w:w="851" w:type="dxa"/>
            <w:vAlign w:val="center"/>
          </w:tcPr>
          <w:p w14:paraId="741EE030"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12 342</w:t>
            </w:r>
          </w:p>
        </w:tc>
        <w:tc>
          <w:tcPr>
            <w:tcW w:w="992" w:type="dxa"/>
            <w:vAlign w:val="center"/>
          </w:tcPr>
          <w:p w14:paraId="5F8B93A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893</w:t>
            </w:r>
          </w:p>
        </w:tc>
        <w:tc>
          <w:tcPr>
            <w:tcW w:w="1192" w:type="dxa"/>
            <w:vAlign w:val="center"/>
          </w:tcPr>
          <w:p w14:paraId="08ACAEE9" w14:textId="34BE948D"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7,2</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63BEE56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353</w:t>
            </w:r>
          </w:p>
        </w:tc>
        <w:tc>
          <w:tcPr>
            <w:tcW w:w="712" w:type="dxa"/>
            <w:vAlign w:val="center"/>
          </w:tcPr>
          <w:p w14:paraId="2D747D10"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84</w:t>
            </w:r>
          </w:p>
        </w:tc>
        <w:tc>
          <w:tcPr>
            <w:tcW w:w="717" w:type="dxa"/>
            <w:vAlign w:val="center"/>
          </w:tcPr>
          <w:p w14:paraId="68EE88F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437</w:t>
            </w:r>
          </w:p>
        </w:tc>
        <w:tc>
          <w:tcPr>
            <w:tcW w:w="676" w:type="dxa"/>
            <w:gridSpan w:val="2"/>
            <w:vAlign w:val="center"/>
          </w:tcPr>
          <w:p w14:paraId="2208F70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377</w:t>
            </w:r>
          </w:p>
        </w:tc>
        <w:tc>
          <w:tcPr>
            <w:tcW w:w="694" w:type="dxa"/>
            <w:vAlign w:val="center"/>
          </w:tcPr>
          <w:p w14:paraId="4CFA4B3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79</w:t>
            </w:r>
          </w:p>
        </w:tc>
        <w:tc>
          <w:tcPr>
            <w:tcW w:w="708" w:type="dxa"/>
            <w:vAlign w:val="center"/>
          </w:tcPr>
          <w:p w14:paraId="3925791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456</w:t>
            </w:r>
          </w:p>
        </w:tc>
      </w:tr>
      <w:tr w:rsidR="00C41C33" w:rsidRPr="00CE357F" w14:paraId="1F962A53" w14:textId="77777777" w:rsidTr="00C41C33">
        <w:trPr>
          <w:trHeight w:val="202"/>
          <w:jc w:val="center"/>
        </w:trPr>
        <w:tc>
          <w:tcPr>
            <w:tcW w:w="1696" w:type="dxa"/>
            <w:shd w:val="clear" w:color="auto" w:fill="D9E2F3" w:themeFill="accent1" w:themeFillTint="33"/>
            <w:vAlign w:val="center"/>
          </w:tcPr>
          <w:p w14:paraId="2DB22E30"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Brno-Žebětín</w:t>
            </w:r>
          </w:p>
        </w:tc>
        <w:tc>
          <w:tcPr>
            <w:tcW w:w="851" w:type="dxa"/>
            <w:vAlign w:val="center"/>
          </w:tcPr>
          <w:p w14:paraId="27A2AF4C"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5 751</w:t>
            </w:r>
          </w:p>
        </w:tc>
        <w:tc>
          <w:tcPr>
            <w:tcW w:w="992" w:type="dxa"/>
            <w:vAlign w:val="center"/>
          </w:tcPr>
          <w:p w14:paraId="272BB18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406</w:t>
            </w:r>
          </w:p>
        </w:tc>
        <w:tc>
          <w:tcPr>
            <w:tcW w:w="1192" w:type="dxa"/>
            <w:vAlign w:val="center"/>
          </w:tcPr>
          <w:p w14:paraId="524572DC" w14:textId="30E0A249"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7,1</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4D54495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151</w:t>
            </w:r>
          </w:p>
        </w:tc>
        <w:tc>
          <w:tcPr>
            <w:tcW w:w="712" w:type="dxa"/>
            <w:vAlign w:val="center"/>
          </w:tcPr>
          <w:p w14:paraId="358DC21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38</w:t>
            </w:r>
          </w:p>
        </w:tc>
        <w:tc>
          <w:tcPr>
            <w:tcW w:w="717" w:type="dxa"/>
            <w:vAlign w:val="center"/>
          </w:tcPr>
          <w:p w14:paraId="1A5C4E3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189</w:t>
            </w:r>
          </w:p>
        </w:tc>
        <w:tc>
          <w:tcPr>
            <w:tcW w:w="676" w:type="dxa"/>
            <w:gridSpan w:val="2"/>
            <w:vAlign w:val="center"/>
          </w:tcPr>
          <w:p w14:paraId="6230731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187</w:t>
            </w:r>
          </w:p>
        </w:tc>
        <w:tc>
          <w:tcPr>
            <w:tcW w:w="694" w:type="dxa"/>
            <w:vAlign w:val="center"/>
          </w:tcPr>
          <w:p w14:paraId="77BCD3A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30</w:t>
            </w:r>
          </w:p>
        </w:tc>
        <w:tc>
          <w:tcPr>
            <w:tcW w:w="708" w:type="dxa"/>
            <w:vAlign w:val="center"/>
          </w:tcPr>
          <w:p w14:paraId="2211CA9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217</w:t>
            </w:r>
          </w:p>
        </w:tc>
      </w:tr>
      <w:tr w:rsidR="00C41C33" w:rsidRPr="00CE357F" w14:paraId="0225E3C5" w14:textId="77777777" w:rsidTr="00C41C33">
        <w:trPr>
          <w:trHeight w:val="202"/>
          <w:jc w:val="center"/>
        </w:trPr>
        <w:tc>
          <w:tcPr>
            <w:tcW w:w="1696" w:type="dxa"/>
            <w:shd w:val="clear" w:color="auto" w:fill="D9E2F3" w:themeFill="accent1" w:themeFillTint="33"/>
            <w:vAlign w:val="center"/>
          </w:tcPr>
          <w:p w14:paraId="5EE2645A"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Brno-Bystrc</w:t>
            </w:r>
          </w:p>
        </w:tc>
        <w:tc>
          <w:tcPr>
            <w:tcW w:w="851" w:type="dxa"/>
            <w:vAlign w:val="center"/>
          </w:tcPr>
          <w:p w14:paraId="2E30C55C"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24 665</w:t>
            </w:r>
          </w:p>
        </w:tc>
        <w:tc>
          <w:tcPr>
            <w:tcW w:w="992" w:type="dxa"/>
            <w:vAlign w:val="center"/>
          </w:tcPr>
          <w:p w14:paraId="20102D2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1 623</w:t>
            </w:r>
          </w:p>
        </w:tc>
        <w:tc>
          <w:tcPr>
            <w:tcW w:w="1192" w:type="dxa"/>
            <w:vAlign w:val="center"/>
          </w:tcPr>
          <w:p w14:paraId="27A0AC4D" w14:textId="57353FE2"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6,6</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59FEC0D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604</w:t>
            </w:r>
          </w:p>
        </w:tc>
        <w:tc>
          <w:tcPr>
            <w:tcW w:w="712" w:type="dxa"/>
            <w:vAlign w:val="center"/>
          </w:tcPr>
          <w:p w14:paraId="1D39D5A6"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142</w:t>
            </w:r>
          </w:p>
        </w:tc>
        <w:tc>
          <w:tcPr>
            <w:tcW w:w="717" w:type="dxa"/>
            <w:vAlign w:val="center"/>
          </w:tcPr>
          <w:p w14:paraId="4EC6025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746</w:t>
            </w:r>
          </w:p>
        </w:tc>
        <w:tc>
          <w:tcPr>
            <w:tcW w:w="676" w:type="dxa"/>
            <w:gridSpan w:val="2"/>
            <w:vAlign w:val="center"/>
          </w:tcPr>
          <w:p w14:paraId="1D54B6EC"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738</w:t>
            </w:r>
          </w:p>
        </w:tc>
        <w:tc>
          <w:tcPr>
            <w:tcW w:w="694" w:type="dxa"/>
            <w:vAlign w:val="center"/>
          </w:tcPr>
          <w:p w14:paraId="55FA441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139</w:t>
            </w:r>
          </w:p>
        </w:tc>
        <w:tc>
          <w:tcPr>
            <w:tcW w:w="708" w:type="dxa"/>
            <w:vAlign w:val="center"/>
          </w:tcPr>
          <w:p w14:paraId="7D13F83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877</w:t>
            </w:r>
          </w:p>
        </w:tc>
      </w:tr>
      <w:tr w:rsidR="00C41C33" w:rsidRPr="00CE357F" w14:paraId="2AE6DED3" w14:textId="77777777" w:rsidTr="00C41C33">
        <w:trPr>
          <w:trHeight w:val="202"/>
          <w:jc w:val="center"/>
        </w:trPr>
        <w:tc>
          <w:tcPr>
            <w:tcW w:w="1696" w:type="dxa"/>
            <w:shd w:val="clear" w:color="auto" w:fill="D9E2F3" w:themeFill="accent1" w:themeFillTint="33"/>
            <w:vAlign w:val="center"/>
          </w:tcPr>
          <w:p w14:paraId="029FC03B"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Brno-Kníničky</w:t>
            </w:r>
          </w:p>
        </w:tc>
        <w:tc>
          <w:tcPr>
            <w:tcW w:w="851" w:type="dxa"/>
            <w:vAlign w:val="center"/>
          </w:tcPr>
          <w:p w14:paraId="459E4BBC"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1 138</w:t>
            </w:r>
          </w:p>
        </w:tc>
        <w:tc>
          <w:tcPr>
            <w:tcW w:w="992" w:type="dxa"/>
            <w:vAlign w:val="center"/>
          </w:tcPr>
          <w:p w14:paraId="64CC53E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74</w:t>
            </w:r>
          </w:p>
        </w:tc>
        <w:tc>
          <w:tcPr>
            <w:tcW w:w="1192" w:type="dxa"/>
            <w:vAlign w:val="center"/>
          </w:tcPr>
          <w:p w14:paraId="0DBB39E8" w14:textId="2255F8C4"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6,5</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62A9383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33</w:t>
            </w:r>
          </w:p>
        </w:tc>
        <w:tc>
          <w:tcPr>
            <w:tcW w:w="712" w:type="dxa"/>
            <w:vAlign w:val="center"/>
          </w:tcPr>
          <w:p w14:paraId="10DEAC5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w:t>
            </w:r>
          </w:p>
        </w:tc>
        <w:tc>
          <w:tcPr>
            <w:tcW w:w="717" w:type="dxa"/>
            <w:vAlign w:val="center"/>
          </w:tcPr>
          <w:p w14:paraId="4987347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41</w:t>
            </w:r>
          </w:p>
        </w:tc>
        <w:tc>
          <w:tcPr>
            <w:tcW w:w="676" w:type="dxa"/>
            <w:gridSpan w:val="2"/>
            <w:vAlign w:val="center"/>
          </w:tcPr>
          <w:p w14:paraId="62F49A6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25</w:t>
            </w:r>
          </w:p>
        </w:tc>
        <w:tc>
          <w:tcPr>
            <w:tcW w:w="694" w:type="dxa"/>
            <w:vAlign w:val="center"/>
          </w:tcPr>
          <w:p w14:paraId="5CD49E8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w:t>
            </w:r>
          </w:p>
        </w:tc>
        <w:tc>
          <w:tcPr>
            <w:tcW w:w="708" w:type="dxa"/>
            <w:vAlign w:val="center"/>
          </w:tcPr>
          <w:p w14:paraId="63D2D94A"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33</w:t>
            </w:r>
          </w:p>
        </w:tc>
      </w:tr>
      <w:tr w:rsidR="00C41C33" w:rsidRPr="00CE357F" w14:paraId="13E33BB0" w14:textId="77777777" w:rsidTr="00C41C33">
        <w:trPr>
          <w:trHeight w:val="202"/>
          <w:jc w:val="center"/>
        </w:trPr>
        <w:tc>
          <w:tcPr>
            <w:tcW w:w="1696" w:type="dxa"/>
            <w:shd w:val="clear" w:color="auto" w:fill="D9E2F3" w:themeFill="accent1" w:themeFillTint="33"/>
            <w:vAlign w:val="center"/>
          </w:tcPr>
          <w:p w14:paraId="75FF108D"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Brno-Jehnice</w:t>
            </w:r>
          </w:p>
        </w:tc>
        <w:tc>
          <w:tcPr>
            <w:tcW w:w="851" w:type="dxa"/>
            <w:vAlign w:val="center"/>
          </w:tcPr>
          <w:p w14:paraId="552AF180"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1 137</w:t>
            </w:r>
          </w:p>
        </w:tc>
        <w:tc>
          <w:tcPr>
            <w:tcW w:w="992" w:type="dxa"/>
            <w:vAlign w:val="center"/>
          </w:tcPr>
          <w:p w14:paraId="6B7F942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67</w:t>
            </w:r>
          </w:p>
        </w:tc>
        <w:tc>
          <w:tcPr>
            <w:tcW w:w="1192" w:type="dxa"/>
            <w:vAlign w:val="center"/>
          </w:tcPr>
          <w:p w14:paraId="1862FE59" w14:textId="225141CC"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5,9</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28C46B15"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36</w:t>
            </w:r>
          </w:p>
        </w:tc>
        <w:tc>
          <w:tcPr>
            <w:tcW w:w="712" w:type="dxa"/>
            <w:vAlign w:val="center"/>
          </w:tcPr>
          <w:p w14:paraId="124CDAC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w:t>
            </w:r>
          </w:p>
        </w:tc>
        <w:tc>
          <w:tcPr>
            <w:tcW w:w="717" w:type="dxa"/>
            <w:vAlign w:val="center"/>
          </w:tcPr>
          <w:p w14:paraId="2972999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39</w:t>
            </w:r>
          </w:p>
        </w:tc>
        <w:tc>
          <w:tcPr>
            <w:tcW w:w="676" w:type="dxa"/>
            <w:gridSpan w:val="2"/>
            <w:vAlign w:val="center"/>
          </w:tcPr>
          <w:p w14:paraId="2C7B8C7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24</w:t>
            </w:r>
          </w:p>
        </w:tc>
        <w:tc>
          <w:tcPr>
            <w:tcW w:w="694" w:type="dxa"/>
            <w:vAlign w:val="center"/>
          </w:tcPr>
          <w:p w14:paraId="1AC7FA0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w:t>
            </w:r>
          </w:p>
        </w:tc>
        <w:tc>
          <w:tcPr>
            <w:tcW w:w="708" w:type="dxa"/>
            <w:vAlign w:val="center"/>
          </w:tcPr>
          <w:p w14:paraId="04CEFD9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28</w:t>
            </w:r>
          </w:p>
        </w:tc>
      </w:tr>
      <w:tr w:rsidR="00C41C33" w:rsidRPr="00CE357F" w14:paraId="366A6D52" w14:textId="77777777" w:rsidTr="00C41C33">
        <w:trPr>
          <w:trHeight w:val="202"/>
          <w:jc w:val="center"/>
        </w:trPr>
        <w:tc>
          <w:tcPr>
            <w:tcW w:w="1696" w:type="dxa"/>
            <w:shd w:val="clear" w:color="auto" w:fill="D9E2F3" w:themeFill="accent1" w:themeFillTint="33"/>
            <w:vAlign w:val="center"/>
          </w:tcPr>
          <w:p w14:paraId="0F757A66"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Brno-Ořešín</w:t>
            </w:r>
          </w:p>
        </w:tc>
        <w:tc>
          <w:tcPr>
            <w:tcW w:w="851" w:type="dxa"/>
            <w:vAlign w:val="center"/>
          </w:tcPr>
          <w:p w14:paraId="28E55C05"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638</w:t>
            </w:r>
          </w:p>
        </w:tc>
        <w:tc>
          <w:tcPr>
            <w:tcW w:w="992" w:type="dxa"/>
            <w:vAlign w:val="center"/>
          </w:tcPr>
          <w:p w14:paraId="0207F1C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37</w:t>
            </w:r>
          </w:p>
        </w:tc>
        <w:tc>
          <w:tcPr>
            <w:tcW w:w="1192" w:type="dxa"/>
            <w:vAlign w:val="center"/>
          </w:tcPr>
          <w:p w14:paraId="05D411FA" w14:textId="79D959A7"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5,8</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33C268C2"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13</w:t>
            </w:r>
          </w:p>
        </w:tc>
        <w:tc>
          <w:tcPr>
            <w:tcW w:w="712" w:type="dxa"/>
            <w:vAlign w:val="center"/>
          </w:tcPr>
          <w:p w14:paraId="4439A92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3</w:t>
            </w:r>
          </w:p>
        </w:tc>
        <w:tc>
          <w:tcPr>
            <w:tcW w:w="717" w:type="dxa"/>
            <w:vAlign w:val="center"/>
          </w:tcPr>
          <w:p w14:paraId="731AB06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16</w:t>
            </w:r>
          </w:p>
        </w:tc>
        <w:tc>
          <w:tcPr>
            <w:tcW w:w="676" w:type="dxa"/>
            <w:gridSpan w:val="2"/>
            <w:vAlign w:val="center"/>
          </w:tcPr>
          <w:p w14:paraId="61EDDA7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19</w:t>
            </w:r>
          </w:p>
        </w:tc>
        <w:tc>
          <w:tcPr>
            <w:tcW w:w="694" w:type="dxa"/>
            <w:vAlign w:val="center"/>
          </w:tcPr>
          <w:p w14:paraId="7CE32E64"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w:t>
            </w:r>
          </w:p>
        </w:tc>
        <w:tc>
          <w:tcPr>
            <w:tcW w:w="708" w:type="dxa"/>
            <w:vAlign w:val="center"/>
          </w:tcPr>
          <w:p w14:paraId="3277BBB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21</w:t>
            </w:r>
          </w:p>
        </w:tc>
      </w:tr>
      <w:tr w:rsidR="00C41C33" w:rsidRPr="00CE357F" w14:paraId="1FE5485D" w14:textId="77777777" w:rsidTr="00C41C33">
        <w:trPr>
          <w:trHeight w:val="202"/>
          <w:jc w:val="center"/>
        </w:trPr>
        <w:tc>
          <w:tcPr>
            <w:tcW w:w="1696" w:type="dxa"/>
            <w:shd w:val="clear" w:color="auto" w:fill="D9E2F3" w:themeFill="accent1" w:themeFillTint="33"/>
            <w:vAlign w:val="center"/>
          </w:tcPr>
          <w:p w14:paraId="2BF0C1F3"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Brno-Ivanovice</w:t>
            </w:r>
          </w:p>
        </w:tc>
        <w:tc>
          <w:tcPr>
            <w:tcW w:w="851" w:type="dxa"/>
            <w:vAlign w:val="center"/>
          </w:tcPr>
          <w:p w14:paraId="4E4D54FA"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2 000</w:t>
            </w:r>
          </w:p>
        </w:tc>
        <w:tc>
          <w:tcPr>
            <w:tcW w:w="992" w:type="dxa"/>
            <w:vAlign w:val="center"/>
          </w:tcPr>
          <w:p w14:paraId="07C1E286"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107</w:t>
            </w:r>
          </w:p>
        </w:tc>
        <w:tc>
          <w:tcPr>
            <w:tcW w:w="1192" w:type="dxa"/>
            <w:vAlign w:val="center"/>
          </w:tcPr>
          <w:p w14:paraId="341BF124" w14:textId="0996D0EA"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5,4</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2EFED05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47</w:t>
            </w:r>
          </w:p>
        </w:tc>
        <w:tc>
          <w:tcPr>
            <w:tcW w:w="712" w:type="dxa"/>
            <w:vAlign w:val="center"/>
          </w:tcPr>
          <w:p w14:paraId="008B606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10</w:t>
            </w:r>
          </w:p>
        </w:tc>
        <w:tc>
          <w:tcPr>
            <w:tcW w:w="717" w:type="dxa"/>
            <w:vAlign w:val="center"/>
          </w:tcPr>
          <w:p w14:paraId="7DFE8EEE"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57</w:t>
            </w:r>
          </w:p>
        </w:tc>
        <w:tc>
          <w:tcPr>
            <w:tcW w:w="676" w:type="dxa"/>
            <w:gridSpan w:val="2"/>
            <w:vAlign w:val="center"/>
          </w:tcPr>
          <w:p w14:paraId="29BE4B28"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40</w:t>
            </w:r>
          </w:p>
        </w:tc>
        <w:tc>
          <w:tcPr>
            <w:tcW w:w="694" w:type="dxa"/>
            <w:vAlign w:val="center"/>
          </w:tcPr>
          <w:p w14:paraId="045604F1"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10</w:t>
            </w:r>
          </w:p>
        </w:tc>
        <w:tc>
          <w:tcPr>
            <w:tcW w:w="708" w:type="dxa"/>
            <w:vAlign w:val="center"/>
          </w:tcPr>
          <w:p w14:paraId="730848F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50</w:t>
            </w:r>
          </w:p>
        </w:tc>
      </w:tr>
      <w:tr w:rsidR="00C41C33" w:rsidRPr="00CE357F" w14:paraId="00ED8855" w14:textId="77777777" w:rsidTr="00C41C33">
        <w:trPr>
          <w:trHeight w:val="202"/>
          <w:jc w:val="center"/>
        </w:trPr>
        <w:tc>
          <w:tcPr>
            <w:tcW w:w="1696" w:type="dxa"/>
            <w:shd w:val="clear" w:color="auto" w:fill="D9E2F3" w:themeFill="accent1" w:themeFillTint="33"/>
            <w:vAlign w:val="center"/>
          </w:tcPr>
          <w:p w14:paraId="3A15D6A7"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Brno-Útěchov</w:t>
            </w:r>
          </w:p>
        </w:tc>
        <w:tc>
          <w:tcPr>
            <w:tcW w:w="851" w:type="dxa"/>
            <w:vAlign w:val="center"/>
          </w:tcPr>
          <w:p w14:paraId="72D8875A" w14:textId="77777777" w:rsidR="00C41C33" w:rsidRPr="00CE2804"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852</w:t>
            </w:r>
          </w:p>
        </w:tc>
        <w:tc>
          <w:tcPr>
            <w:tcW w:w="992" w:type="dxa"/>
            <w:vAlign w:val="center"/>
          </w:tcPr>
          <w:p w14:paraId="77CD7AD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15</w:t>
            </w:r>
          </w:p>
        </w:tc>
        <w:tc>
          <w:tcPr>
            <w:tcW w:w="1192" w:type="dxa"/>
            <w:vAlign w:val="center"/>
          </w:tcPr>
          <w:p w14:paraId="20EF2ACE" w14:textId="544F8464" w:rsidR="00C41C33" w:rsidRPr="00E6468A" w:rsidRDefault="00C41C33" w:rsidP="00C41C33">
            <w:pPr>
              <w:jc w:val="center"/>
              <w:rPr>
                <w:rFonts w:ascii="Arial Narrow" w:hAnsi="Arial Narrow"/>
                <w:color w:val="000000"/>
                <w:sz w:val="18"/>
                <w:szCs w:val="18"/>
              </w:rPr>
            </w:pPr>
            <w:r w:rsidRPr="00E6468A">
              <w:rPr>
                <w:rFonts w:ascii="Arial Narrow" w:hAnsi="Arial Narrow"/>
                <w:color w:val="000000"/>
                <w:sz w:val="18"/>
                <w:szCs w:val="18"/>
              </w:rPr>
              <w:t>1,8</w:t>
            </w:r>
            <w:r>
              <w:rPr>
                <w:rFonts w:ascii="Arial Narrow" w:hAnsi="Arial Narrow"/>
                <w:color w:val="000000"/>
                <w:sz w:val="18"/>
                <w:szCs w:val="18"/>
              </w:rPr>
              <w:t xml:space="preserve"> </w:t>
            </w:r>
            <w:r w:rsidRPr="00E6468A">
              <w:rPr>
                <w:rFonts w:ascii="Arial Narrow" w:hAnsi="Arial Narrow"/>
                <w:color w:val="000000"/>
                <w:sz w:val="18"/>
                <w:szCs w:val="18"/>
              </w:rPr>
              <w:t>%</w:t>
            </w:r>
          </w:p>
        </w:tc>
        <w:tc>
          <w:tcPr>
            <w:tcW w:w="824" w:type="dxa"/>
            <w:vAlign w:val="center"/>
          </w:tcPr>
          <w:p w14:paraId="1249F56F"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w:t>
            </w:r>
          </w:p>
        </w:tc>
        <w:tc>
          <w:tcPr>
            <w:tcW w:w="712" w:type="dxa"/>
            <w:vAlign w:val="center"/>
          </w:tcPr>
          <w:p w14:paraId="3A595993"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0</w:t>
            </w:r>
          </w:p>
        </w:tc>
        <w:tc>
          <w:tcPr>
            <w:tcW w:w="717" w:type="dxa"/>
            <w:vAlign w:val="center"/>
          </w:tcPr>
          <w:p w14:paraId="10CE235D"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7</w:t>
            </w:r>
          </w:p>
        </w:tc>
        <w:tc>
          <w:tcPr>
            <w:tcW w:w="676" w:type="dxa"/>
            <w:gridSpan w:val="2"/>
            <w:vAlign w:val="center"/>
          </w:tcPr>
          <w:p w14:paraId="4F2F5AC9"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6</w:t>
            </w:r>
          </w:p>
        </w:tc>
        <w:tc>
          <w:tcPr>
            <w:tcW w:w="694" w:type="dxa"/>
            <w:vAlign w:val="center"/>
          </w:tcPr>
          <w:p w14:paraId="66BAAD1B"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2</w:t>
            </w:r>
          </w:p>
        </w:tc>
        <w:tc>
          <w:tcPr>
            <w:tcW w:w="708" w:type="dxa"/>
            <w:vAlign w:val="center"/>
          </w:tcPr>
          <w:p w14:paraId="228FC7B7" w14:textId="77777777" w:rsidR="00C41C33" w:rsidRPr="00CE357F" w:rsidRDefault="00C41C33" w:rsidP="00C41C33">
            <w:pPr>
              <w:jc w:val="center"/>
              <w:rPr>
                <w:rFonts w:ascii="Arial Narrow" w:hAnsi="Arial Narrow"/>
                <w:color w:val="000000"/>
                <w:sz w:val="18"/>
                <w:szCs w:val="18"/>
              </w:rPr>
            </w:pPr>
            <w:r w:rsidRPr="00CE2804">
              <w:rPr>
                <w:rFonts w:ascii="Arial Narrow" w:hAnsi="Arial Narrow"/>
                <w:color w:val="000000"/>
                <w:sz w:val="18"/>
                <w:szCs w:val="18"/>
              </w:rPr>
              <w:t>8</w:t>
            </w:r>
          </w:p>
        </w:tc>
      </w:tr>
      <w:tr w:rsidR="00C41C33" w:rsidRPr="00CE357F" w14:paraId="5324EFD6" w14:textId="77777777" w:rsidTr="00C41C33">
        <w:trPr>
          <w:trHeight w:val="142"/>
          <w:jc w:val="center"/>
        </w:trPr>
        <w:tc>
          <w:tcPr>
            <w:tcW w:w="1696" w:type="dxa"/>
            <w:shd w:val="clear" w:color="auto" w:fill="D9E2F3" w:themeFill="accent1" w:themeFillTint="33"/>
            <w:vAlign w:val="center"/>
          </w:tcPr>
          <w:p w14:paraId="3393D7FB"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CELKEM:</w:t>
            </w:r>
          </w:p>
        </w:tc>
        <w:tc>
          <w:tcPr>
            <w:tcW w:w="851" w:type="dxa"/>
            <w:vAlign w:val="center"/>
          </w:tcPr>
          <w:p w14:paraId="49D18D61"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437 815</w:t>
            </w:r>
          </w:p>
        </w:tc>
        <w:tc>
          <w:tcPr>
            <w:tcW w:w="992" w:type="dxa"/>
            <w:vAlign w:val="center"/>
          </w:tcPr>
          <w:p w14:paraId="07299560"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63 367</w:t>
            </w:r>
          </w:p>
        </w:tc>
        <w:tc>
          <w:tcPr>
            <w:tcW w:w="1192" w:type="dxa"/>
            <w:vAlign w:val="center"/>
          </w:tcPr>
          <w:p w14:paraId="61543879" w14:textId="4C903BB6" w:rsidR="00C41C33" w:rsidRPr="00E6468A" w:rsidRDefault="00C41C33" w:rsidP="00C41C33">
            <w:pPr>
              <w:jc w:val="center"/>
              <w:rPr>
                <w:rFonts w:ascii="Arial Narrow" w:hAnsi="Arial Narrow"/>
                <w:b/>
                <w:bCs/>
                <w:color w:val="000000"/>
                <w:sz w:val="18"/>
                <w:szCs w:val="18"/>
              </w:rPr>
            </w:pPr>
            <w:r w:rsidRPr="00E6468A">
              <w:rPr>
                <w:rFonts w:ascii="Arial Narrow" w:hAnsi="Arial Narrow"/>
                <w:b/>
                <w:bCs/>
                <w:color w:val="000000"/>
                <w:sz w:val="18"/>
                <w:szCs w:val="18"/>
              </w:rPr>
              <w:t>14,5</w:t>
            </w:r>
            <w:r>
              <w:rPr>
                <w:rFonts w:ascii="Arial Narrow" w:hAnsi="Arial Narrow"/>
                <w:b/>
                <w:bCs/>
                <w:color w:val="000000"/>
                <w:sz w:val="18"/>
                <w:szCs w:val="18"/>
              </w:rPr>
              <w:t xml:space="preserve"> </w:t>
            </w:r>
            <w:r w:rsidRPr="00E6468A">
              <w:rPr>
                <w:rFonts w:ascii="Arial Narrow" w:hAnsi="Arial Narrow"/>
                <w:b/>
                <w:bCs/>
                <w:color w:val="000000"/>
                <w:sz w:val="18"/>
                <w:szCs w:val="18"/>
              </w:rPr>
              <w:t>%</w:t>
            </w:r>
          </w:p>
        </w:tc>
        <w:tc>
          <w:tcPr>
            <w:tcW w:w="824" w:type="dxa"/>
            <w:vAlign w:val="center"/>
          </w:tcPr>
          <w:p w14:paraId="7707676D"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27 888</w:t>
            </w:r>
          </w:p>
        </w:tc>
        <w:tc>
          <w:tcPr>
            <w:tcW w:w="712" w:type="dxa"/>
            <w:vAlign w:val="center"/>
          </w:tcPr>
          <w:p w14:paraId="7217A8E5"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4 247</w:t>
            </w:r>
          </w:p>
        </w:tc>
        <w:tc>
          <w:tcPr>
            <w:tcW w:w="717" w:type="dxa"/>
            <w:vAlign w:val="center"/>
          </w:tcPr>
          <w:p w14:paraId="10B75367"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32 135</w:t>
            </w:r>
          </w:p>
        </w:tc>
        <w:tc>
          <w:tcPr>
            <w:tcW w:w="676" w:type="dxa"/>
            <w:gridSpan w:val="2"/>
            <w:vAlign w:val="center"/>
          </w:tcPr>
          <w:p w14:paraId="640753C8"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27 055</w:t>
            </w:r>
          </w:p>
        </w:tc>
        <w:tc>
          <w:tcPr>
            <w:tcW w:w="694" w:type="dxa"/>
            <w:vAlign w:val="center"/>
          </w:tcPr>
          <w:p w14:paraId="082616CC"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4 177</w:t>
            </w:r>
          </w:p>
        </w:tc>
        <w:tc>
          <w:tcPr>
            <w:tcW w:w="708" w:type="dxa"/>
            <w:vAlign w:val="center"/>
          </w:tcPr>
          <w:p w14:paraId="38453C3E" w14:textId="77777777" w:rsidR="00C41C33" w:rsidRPr="00CE2804" w:rsidRDefault="00C41C33" w:rsidP="00C41C33">
            <w:pPr>
              <w:jc w:val="center"/>
              <w:rPr>
                <w:rFonts w:ascii="Arial Narrow" w:hAnsi="Arial Narrow"/>
                <w:b/>
                <w:bCs/>
                <w:color w:val="000000"/>
                <w:sz w:val="18"/>
                <w:szCs w:val="18"/>
              </w:rPr>
            </w:pPr>
            <w:r w:rsidRPr="00CE2804">
              <w:rPr>
                <w:rFonts w:ascii="Arial Narrow" w:hAnsi="Arial Narrow"/>
                <w:b/>
                <w:bCs/>
                <w:color w:val="000000"/>
                <w:sz w:val="18"/>
                <w:szCs w:val="18"/>
              </w:rPr>
              <w:t>31 232</w:t>
            </w:r>
          </w:p>
        </w:tc>
      </w:tr>
    </w:tbl>
    <w:p w14:paraId="4B11D25D" w14:textId="551A0E2D" w:rsidR="00C41C33" w:rsidRPr="00CE357F" w:rsidRDefault="00C41C33" w:rsidP="00C41C33">
      <w:pPr>
        <w:rPr>
          <w:rFonts w:ascii="Arial Narrow" w:hAnsi="Arial Narrow"/>
          <w:sz w:val="20"/>
          <w:szCs w:val="20"/>
        </w:rPr>
      </w:pPr>
      <w:r w:rsidRPr="00CE357F">
        <w:rPr>
          <w:rFonts w:ascii="Arial Narrow" w:hAnsi="Arial Narrow"/>
          <w:color w:val="000000"/>
          <w:sz w:val="20"/>
          <w:szCs w:val="20"/>
          <w:lang w:eastAsia="cs-CZ"/>
        </w:rPr>
        <w:lastRenderedPageBreak/>
        <w:t xml:space="preserve">Zdroj: Ministerstvo </w:t>
      </w:r>
      <w:r w:rsidR="00AD3798">
        <w:rPr>
          <w:rFonts w:ascii="Arial Narrow" w:hAnsi="Arial Narrow"/>
          <w:color w:val="000000"/>
          <w:sz w:val="20"/>
          <w:szCs w:val="20"/>
          <w:lang w:eastAsia="cs-CZ"/>
        </w:rPr>
        <w:t>v</w:t>
      </w:r>
      <w:r w:rsidRPr="00CE357F">
        <w:rPr>
          <w:rFonts w:ascii="Arial Narrow" w:hAnsi="Arial Narrow"/>
          <w:color w:val="000000"/>
          <w:sz w:val="20"/>
          <w:szCs w:val="20"/>
          <w:lang w:eastAsia="cs-CZ"/>
        </w:rPr>
        <w:t>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21EC120B" w14:textId="090D5C28" w:rsidR="00C41C33" w:rsidRPr="00CE357F" w:rsidRDefault="00C41C33" w:rsidP="00C41C33">
      <w:pPr>
        <w:spacing w:before="240" w:line="276" w:lineRule="auto"/>
        <w:jc w:val="both"/>
        <w:rPr>
          <w:rFonts w:ascii="Arial Narrow" w:hAnsi="Arial Narrow"/>
          <w:b/>
          <w:bCs/>
          <w:sz w:val="20"/>
          <w:szCs w:val="20"/>
        </w:rPr>
      </w:pPr>
      <w:bookmarkStart w:id="648" w:name="_Toc136428948"/>
      <w:r w:rsidRPr="00B1789D">
        <w:rPr>
          <w:rFonts w:ascii="Arial Narrow" w:hAnsi="Arial Narrow"/>
          <w:b/>
          <w:sz w:val="20"/>
          <w:szCs w:val="20"/>
        </w:rPr>
        <w:t xml:space="preserve">Graf </w:t>
      </w:r>
      <w:r w:rsidRPr="00B1789D">
        <w:rPr>
          <w:rFonts w:ascii="Arial Narrow" w:hAnsi="Arial Narrow"/>
          <w:b/>
          <w:sz w:val="20"/>
          <w:szCs w:val="20"/>
        </w:rPr>
        <w:fldChar w:fldCharType="begin"/>
      </w:r>
      <w:r w:rsidRPr="00B1789D">
        <w:rPr>
          <w:rFonts w:ascii="Arial Narrow" w:hAnsi="Arial Narrow"/>
          <w:b/>
          <w:sz w:val="20"/>
          <w:szCs w:val="20"/>
        </w:rPr>
        <w:instrText xml:space="preserve"> SEQ Graf \* ARABIC </w:instrText>
      </w:r>
      <w:r w:rsidRPr="00B1789D">
        <w:rPr>
          <w:rFonts w:ascii="Arial Narrow" w:hAnsi="Arial Narrow"/>
          <w:b/>
          <w:sz w:val="20"/>
          <w:szCs w:val="20"/>
        </w:rPr>
        <w:fldChar w:fldCharType="separate"/>
      </w:r>
      <w:r w:rsidR="009F49C8">
        <w:rPr>
          <w:rFonts w:ascii="Arial Narrow" w:hAnsi="Arial Narrow"/>
          <w:b/>
          <w:noProof/>
          <w:sz w:val="20"/>
          <w:szCs w:val="20"/>
        </w:rPr>
        <w:t>104</w:t>
      </w:r>
      <w:r w:rsidRPr="00B1789D">
        <w:rPr>
          <w:rFonts w:ascii="Arial Narrow" w:hAnsi="Arial Narrow"/>
          <w:b/>
          <w:sz w:val="20"/>
          <w:szCs w:val="20"/>
        </w:rPr>
        <w:fldChar w:fldCharType="end"/>
      </w:r>
      <w:r w:rsidRPr="00B1789D">
        <w:rPr>
          <w:rFonts w:ascii="Arial Narrow" w:hAnsi="Arial Narrow"/>
          <w:b/>
          <w:sz w:val="20"/>
          <w:szCs w:val="20"/>
        </w:rPr>
        <w:t>:</w:t>
      </w:r>
      <w:r w:rsidRPr="00B1789D">
        <w:rPr>
          <w:rFonts w:ascii="Arial Narrow" w:eastAsiaTheme="minorEastAsia" w:hAnsi="Arial Narrow" w:cstheme="minorBidi"/>
          <w:b/>
          <w:bCs/>
          <w:color w:val="000000" w:themeColor="text1"/>
          <w:kern w:val="24"/>
          <w:sz w:val="20"/>
          <w:szCs w:val="20"/>
          <w:lang w:eastAsia="cs-CZ"/>
        </w:rPr>
        <w:t xml:space="preserve"> </w:t>
      </w:r>
      <w:r w:rsidRPr="00B1789D">
        <w:rPr>
          <w:rFonts w:ascii="Arial Narrow" w:hAnsi="Arial Narrow"/>
          <w:b/>
          <w:bCs/>
          <w:sz w:val="20"/>
          <w:szCs w:val="20"/>
        </w:rPr>
        <w:t>Podíl osob s jinou než českou státní příslušností na celkovém počtu obyvatel k 1. 1. 202</w:t>
      </w:r>
      <w:r w:rsidR="00B1789D" w:rsidRPr="00B1789D">
        <w:rPr>
          <w:rFonts w:ascii="Arial Narrow" w:hAnsi="Arial Narrow"/>
          <w:b/>
          <w:bCs/>
          <w:sz w:val="20"/>
          <w:szCs w:val="20"/>
        </w:rPr>
        <w:t>3</w:t>
      </w:r>
      <w:bookmarkEnd w:id="648"/>
    </w:p>
    <w:p w14:paraId="787CF2C1" w14:textId="77777777" w:rsidR="00C41C33" w:rsidRPr="00CE357F" w:rsidRDefault="00C41C33" w:rsidP="00C41C33">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1836DDBA" wp14:editId="732B1854">
            <wp:extent cx="5760720" cy="5231218"/>
            <wp:effectExtent l="0" t="0" r="11430" b="7620"/>
            <wp:docPr id="63" name="Graf 63">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6C79D03E" w14:textId="5D308F35" w:rsidR="00C41C33" w:rsidRPr="00CE357F" w:rsidRDefault="00C41C33" w:rsidP="00C41C33">
      <w:pPr>
        <w:rPr>
          <w:rFonts w:ascii="Arial Narrow" w:hAnsi="Arial Narrow"/>
          <w:b/>
          <w:bCs/>
          <w:sz w:val="32"/>
          <w:szCs w:val="32"/>
        </w:rPr>
      </w:pPr>
      <w:r w:rsidRPr="00CE357F">
        <w:rPr>
          <w:rFonts w:ascii="Arial Narrow" w:hAnsi="Arial Narrow"/>
          <w:color w:val="000000"/>
          <w:sz w:val="20"/>
          <w:szCs w:val="20"/>
          <w:lang w:eastAsia="cs-CZ"/>
        </w:rPr>
        <w:t xml:space="preserve">Zdroj: Ministerstvo </w:t>
      </w:r>
      <w:r w:rsidR="00AD3798">
        <w:rPr>
          <w:rFonts w:ascii="Arial Narrow" w:hAnsi="Arial Narrow"/>
          <w:color w:val="000000"/>
          <w:sz w:val="20"/>
          <w:szCs w:val="20"/>
          <w:lang w:eastAsia="cs-CZ"/>
        </w:rPr>
        <w:t>v</w:t>
      </w:r>
      <w:r w:rsidRPr="00CE357F">
        <w:rPr>
          <w:rFonts w:ascii="Arial Narrow" w:hAnsi="Arial Narrow"/>
          <w:color w:val="000000"/>
          <w:sz w:val="20"/>
          <w:szCs w:val="20"/>
          <w:lang w:eastAsia="cs-CZ"/>
        </w:rPr>
        <w:t>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0C959E06" w14:textId="77777777" w:rsidR="001333A8" w:rsidRDefault="001333A8" w:rsidP="001C5C26">
      <w:pPr>
        <w:pStyle w:val="Titulek"/>
        <w:rPr>
          <w:rFonts w:ascii="Arial Narrow" w:hAnsi="Arial Narrow"/>
          <w:color w:val="auto"/>
          <w:highlight w:val="yellow"/>
        </w:rPr>
      </w:pPr>
      <w:bookmarkStart w:id="649" w:name="_Toc136429298"/>
    </w:p>
    <w:p w14:paraId="2F052985" w14:textId="77777777" w:rsidR="001333A8" w:rsidRDefault="001333A8" w:rsidP="001C5C26">
      <w:pPr>
        <w:pStyle w:val="Titulek"/>
        <w:rPr>
          <w:rFonts w:ascii="Arial Narrow" w:hAnsi="Arial Narrow"/>
          <w:color w:val="auto"/>
          <w:highlight w:val="yellow"/>
        </w:rPr>
      </w:pPr>
    </w:p>
    <w:p w14:paraId="246B0FCD" w14:textId="77777777" w:rsidR="001333A8" w:rsidRDefault="001333A8" w:rsidP="001C5C26">
      <w:pPr>
        <w:pStyle w:val="Titulek"/>
        <w:rPr>
          <w:rFonts w:ascii="Arial Narrow" w:hAnsi="Arial Narrow"/>
          <w:color w:val="auto"/>
          <w:highlight w:val="yellow"/>
        </w:rPr>
      </w:pPr>
    </w:p>
    <w:p w14:paraId="41ACC2E9" w14:textId="77777777" w:rsidR="001333A8" w:rsidRDefault="001333A8" w:rsidP="001C5C26">
      <w:pPr>
        <w:pStyle w:val="Titulek"/>
        <w:rPr>
          <w:rFonts w:ascii="Arial Narrow" w:hAnsi="Arial Narrow"/>
          <w:color w:val="auto"/>
          <w:highlight w:val="yellow"/>
        </w:rPr>
      </w:pPr>
    </w:p>
    <w:p w14:paraId="6DA09F02" w14:textId="77777777" w:rsidR="001333A8" w:rsidRDefault="001333A8" w:rsidP="001C5C26">
      <w:pPr>
        <w:pStyle w:val="Titulek"/>
        <w:rPr>
          <w:rFonts w:ascii="Arial Narrow" w:hAnsi="Arial Narrow"/>
          <w:color w:val="auto"/>
          <w:highlight w:val="yellow"/>
        </w:rPr>
      </w:pPr>
    </w:p>
    <w:p w14:paraId="2F828997" w14:textId="77777777" w:rsidR="001333A8" w:rsidRDefault="001333A8" w:rsidP="001C5C26">
      <w:pPr>
        <w:pStyle w:val="Titulek"/>
        <w:rPr>
          <w:rFonts w:ascii="Arial Narrow" w:hAnsi="Arial Narrow"/>
          <w:color w:val="auto"/>
          <w:highlight w:val="yellow"/>
        </w:rPr>
      </w:pPr>
    </w:p>
    <w:p w14:paraId="1F44FBC7" w14:textId="77777777" w:rsidR="001333A8" w:rsidRDefault="001333A8" w:rsidP="001C5C26">
      <w:pPr>
        <w:pStyle w:val="Titulek"/>
        <w:rPr>
          <w:rFonts w:ascii="Arial Narrow" w:hAnsi="Arial Narrow"/>
          <w:color w:val="auto"/>
          <w:highlight w:val="yellow"/>
        </w:rPr>
      </w:pPr>
    </w:p>
    <w:p w14:paraId="0AF202CD" w14:textId="77777777" w:rsidR="001333A8" w:rsidRDefault="001333A8" w:rsidP="001C5C26">
      <w:pPr>
        <w:pStyle w:val="Titulek"/>
        <w:rPr>
          <w:rFonts w:ascii="Arial Narrow" w:hAnsi="Arial Narrow"/>
          <w:color w:val="auto"/>
          <w:highlight w:val="yellow"/>
        </w:rPr>
      </w:pPr>
    </w:p>
    <w:p w14:paraId="2B87E1C6" w14:textId="77777777" w:rsidR="001333A8" w:rsidRDefault="001333A8" w:rsidP="001C5C26">
      <w:pPr>
        <w:pStyle w:val="Titulek"/>
        <w:rPr>
          <w:rFonts w:ascii="Arial Narrow" w:hAnsi="Arial Narrow"/>
          <w:color w:val="auto"/>
          <w:highlight w:val="yellow"/>
        </w:rPr>
      </w:pPr>
    </w:p>
    <w:p w14:paraId="573745D6" w14:textId="016219E4" w:rsidR="001C5C26" w:rsidRPr="001C5C26" w:rsidRDefault="001C5C26" w:rsidP="001C5C26">
      <w:pPr>
        <w:pStyle w:val="Titulek"/>
        <w:rPr>
          <w:rFonts w:ascii="Arial Narrow" w:hAnsi="Arial Narrow"/>
          <w:noProof/>
        </w:rPr>
      </w:pPr>
      <w:r w:rsidRPr="007B59C4">
        <w:rPr>
          <w:rFonts w:ascii="Arial Narrow" w:hAnsi="Arial Narrow"/>
          <w:color w:val="auto"/>
        </w:rPr>
        <w:lastRenderedPageBreak/>
        <w:t xml:space="preserve">Obrázek </w:t>
      </w:r>
      <w:r w:rsidRPr="007B59C4">
        <w:rPr>
          <w:rFonts w:ascii="Arial Narrow" w:hAnsi="Arial Narrow"/>
          <w:color w:val="auto"/>
        </w:rPr>
        <w:fldChar w:fldCharType="begin"/>
      </w:r>
      <w:r w:rsidRPr="007B59C4">
        <w:rPr>
          <w:rFonts w:ascii="Arial Narrow" w:hAnsi="Arial Narrow"/>
          <w:color w:val="auto"/>
        </w:rPr>
        <w:instrText xml:space="preserve"> SEQ Obrázek \* ARABIC </w:instrText>
      </w:r>
      <w:r w:rsidRPr="007B59C4">
        <w:rPr>
          <w:rFonts w:ascii="Arial Narrow" w:hAnsi="Arial Narrow"/>
          <w:color w:val="auto"/>
        </w:rPr>
        <w:fldChar w:fldCharType="separate"/>
      </w:r>
      <w:r w:rsidR="00A23327" w:rsidRPr="007B59C4">
        <w:rPr>
          <w:rFonts w:ascii="Arial Narrow" w:hAnsi="Arial Narrow"/>
          <w:noProof/>
          <w:color w:val="auto"/>
        </w:rPr>
        <w:t>14</w:t>
      </w:r>
      <w:r w:rsidRPr="007B59C4">
        <w:rPr>
          <w:rFonts w:ascii="Arial Narrow" w:hAnsi="Arial Narrow"/>
          <w:color w:val="auto"/>
        </w:rPr>
        <w:fldChar w:fldCharType="end"/>
      </w:r>
      <w:r w:rsidRPr="007B59C4">
        <w:rPr>
          <w:rFonts w:ascii="Arial Narrow" w:hAnsi="Arial Narrow"/>
          <w:color w:val="auto"/>
        </w:rPr>
        <w:t xml:space="preserve">: </w:t>
      </w:r>
      <w:r w:rsidRPr="007B59C4">
        <w:rPr>
          <w:rFonts w:ascii="Arial Narrow" w:hAnsi="Arial Narrow"/>
          <w:color w:val="auto"/>
          <w:sz w:val="20"/>
          <w:szCs w:val="20"/>
        </w:rPr>
        <w:t>Podíl osob s jinou než českou státní příslušností na celkovém počtu obyvatel jednotlivých městských částí ORP Brno-město k 1. 1. 2023</w:t>
      </w:r>
      <w:bookmarkEnd w:id="649"/>
    </w:p>
    <w:p w14:paraId="14349F9E" w14:textId="3CF62730" w:rsidR="001C5C26" w:rsidRDefault="009F375B" w:rsidP="003C78BC">
      <w:pPr>
        <w:spacing w:after="120" w:line="276" w:lineRule="auto"/>
        <w:jc w:val="both"/>
        <w:rPr>
          <w:rFonts w:ascii="Arial Narrow" w:hAnsi="Arial Narrow"/>
          <w:szCs w:val="20"/>
        </w:rPr>
      </w:pPr>
      <w:r>
        <w:rPr>
          <w:rFonts w:ascii="Times New Roman" w:hAnsi="Times New Roman" w:cs="Times New Roman"/>
          <w:noProof/>
          <w:sz w:val="24"/>
          <w:szCs w:val="24"/>
          <w:lang w:eastAsia="cs-CZ"/>
        </w:rPr>
        <mc:AlternateContent>
          <mc:Choice Requires="wpg">
            <w:drawing>
              <wp:anchor distT="0" distB="0" distL="114300" distR="114300" simplePos="0" relativeHeight="251728384" behindDoc="0" locked="0" layoutInCell="1" allowOverlap="1" wp14:anchorId="17261428" wp14:editId="73E3D47B">
                <wp:simplePos x="0" y="0"/>
                <wp:positionH relativeFrom="column">
                  <wp:posOffset>524560</wp:posOffset>
                </wp:positionH>
                <wp:positionV relativeFrom="paragraph">
                  <wp:posOffset>3760470</wp:posOffset>
                </wp:positionV>
                <wp:extent cx="1448789" cy="1040724"/>
                <wp:effectExtent l="0" t="0" r="0" b="7620"/>
                <wp:wrapNone/>
                <wp:docPr id="580608313" name="Skupina 1"/>
                <wp:cNvGraphicFramePr/>
                <a:graphic xmlns:a="http://schemas.openxmlformats.org/drawingml/2006/main">
                  <a:graphicData uri="http://schemas.microsoft.com/office/word/2010/wordprocessingGroup">
                    <wpg:wgp>
                      <wpg:cNvGrpSpPr/>
                      <wpg:grpSpPr>
                        <a:xfrm>
                          <a:off x="0" y="0"/>
                          <a:ext cx="1448789" cy="1040724"/>
                          <a:chOff x="0" y="0"/>
                          <a:chExt cx="1249444" cy="720258"/>
                        </a:xfrm>
                      </wpg:grpSpPr>
                      <wps:wsp>
                        <wps:cNvPr id="827230013" name="Textové pole 3"/>
                        <wps:cNvSpPr txBox="1"/>
                        <wps:spPr>
                          <a:xfrm>
                            <a:off x="71252" y="0"/>
                            <a:ext cx="1178192" cy="203682"/>
                          </a:xfrm>
                          <a:prstGeom prst="rect">
                            <a:avLst/>
                          </a:prstGeom>
                          <a:solidFill>
                            <a:schemeClr val="lt1"/>
                          </a:solidFill>
                          <a:ln w="6350">
                            <a:noFill/>
                          </a:ln>
                        </wps:spPr>
                        <wps:txbx>
                          <w:txbxContent>
                            <w:p w14:paraId="2AE00837" w14:textId="77777777" w:rsidR="00BC1C0D" w:rsidRDefault="00BC1C0D" w:rsidP="009F375B">
                              <w:pPr>
                                <w:rPr>
                                  <w:sz w:val="16"/>
                                  <w:szCs w:val="16"/>
                                </w:rPr>
                              </w:pPr>
                              <w:r>
                                <w:rPr>
                                  <w:sz w:val="16"/>
                                  <w:szCs w:val="16"/>
                                </w:rPr>
                                <w:t>Podíl &lt; 6,6 %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5947024" name="Textové pole 3"/>
                        <wps:cNvSpPr txBox="1"/>
                        <wps:spPr>
                          <a:xfrm>
                            <a:off x="71252" y="166254"/>
                            <a:ext cx="1178192" cy="203682"/>
                          </a:xfrm>
                          <a:prstGeom prst="rect">
                            <a:avLst/>
                          </a:prstGeom>
                          <a:solidFill>
                            <a:schemeClr val="lt1"/>
                          </a:solidFill>
                          <a:ln w="6350">
                            <a:noFill/>
                          </a:ln>
                        </wps:spPr>
                        <wps:txbx>
                          <w:txbxContent>
                            <w:p w14:paraId="1AA0B1E1" w14:textId="77777777" w:rsidR="00BC1C0D" w:rsidRDefault="00BC1C0D" w:rsidP="009F375B">
                              <w:pPr>
                                <w:rPr>
                                  <w:sz w:val="16"/>
                                  <w:szCs w:val="16"/>
                                </w:rPr>
                              </w:pPr>
                              <w:r>
                                <w:rPr>
                                  <w:sz w:val="16"/>
                                  <w:szCs w:val="16"/>
                                </w:rPr>
                                <w:t>Podíl 7,1 % až 9,4 %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050519" name="Textové pole 3"/>
                        <wps:cNvSpPr txBox="1"/>
                        <wps:spPr>
                          <a:xfrm>
                            <a:off x="65314" y="338446"/>
                            <a:ext cx="1178192" cy="203682"/>
                          </a:xfrm>
                          <a:prstGeom prst="rect">
                            <a:avLst/>
                          </a:prstGeom>
                          <a:solidFill>
                            <a:schemeClr val="lt1"/>
                          </a:solidFill>
                          <a:ln w="6350">
                            <a:noFill/>
                          </a:ln>
                        </wps:spPr>
                        <wps:txbx>
                          <w:txbxContent>
                            <w:p w14:paraId="791362FE" w14:textId="77777777" w:rsidR="00BC1C0D" w:rsidRDefault="00BC1C0D" w:rsidP="009F375B">
                              <w:pPr>
                                <w:rPr>
                                  <w:sz w:val="16"/>
                                  <w:szCs w:val="16"/>
                                </w:rPr>
                              </w:pPr>
                              <w:r>
                                <w:rPr>
                                  <w:sz w:val="16"/>
                                  <w:szCs w:val="16"/>
                                </w:rPr>
                                <w:t>Podíl 10,4 % až 17,7 %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8594560" name="Textové pole 3"/>
                        <wps:cNvSpPr txBox="1"/>
                        <wps:spPr>
                          <a:xfrm>
                            <a:off x="71252" y="516576"/>
                            <a:ext cx="1178192" cy="203682"/>
                          </a:xfrm>
                          <a:prstGeom prst="rect">
                            <a:avLst/>
                          </a:prstGeom>
                          <a:solidFill>
                            <a:schemeClr val="lt1"/>
                          </a:solidFill>
                          <a:ln w="6350">
                            <a:noFill/>
                          </a:ln>
                        </wps:spPr>
                        <wps:txbx>
                          <w:txbxContent>
                            <w:p w14:paraId="0F50140D" w14:textId="77777777" w:rsidR="00BC1C0D" w:rsidRDefault="00BC1C0D" w:rsidP="009F375B">
                              <w:pPr>
                                <w:rPr>
                                  <w:sz w:val="16"/>
                                  <w:szCs w:val="16"/>
                                </w:rPr>
                              </w:pPr>
                              <w:r>
                                <w:rPr>
                                  <w:sz w:val="16"/>
                                  <w:szCs w:val="16"/>
                                </w:rPr>
                                <w:t>Podíl &gt; 22,1 %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79339338" name="Skupina 1079339338"/>
                        <wpg:cNvGrpSpPr/>
                        <wpg:grpSpPr>
                          <a:xfrm>
                            <a:off x="0" y="65314"/>
                            <a:ext cx="112143" cy="601928"/>
                            <a:chOff x="0" y="65314"/>
                            <a:chExt cx="112143" cy="601928"/>
                          </a:xfrm>
                        </wpg:grpSpPr>
                        <wps:wsp>
                          <wps:cNvPr id="1322240764" name="Obdélník 1322240764"/>
                          <wps:cNvSpPr/>
                          <wps:spPr>
                            <a:xfrm>
                              <a:off x="0" y="65314"/>
                              <a:ext cx="112143" cy="94891"/>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057019" name="Obdélník 585057019"/>
                          <wps:cNvSpPr/>
                          <wps:spPr>
                            <a:xfrm>
                              <a:off x="0" y="234326"/>
                              <a:ext cx="112143" cy="94891"/>
                            </a:xfrm>
                            <a:prstGeom prst="rect">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794178" name="Obdélník 431794178"/>
                          <wps:cNvSpPr/>
                          <wps:spPr>
                            <a:xfrm>
                              <a:off x="0" y="407672"/>
                              <a:ext cx="112143" cy="94891"/>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544143" name="Obdélník 338544143"/>
                          <wps:cNvSpPr/>
                          <wps:spPr>
                            <a:xfrm>
                              <a:off x="0" y="572351"/>
                              <a:ext cx="112143" cy="94891"/>
                            </a:xfrm>
                            <a:prstGeom prst="rect">
                              <a:avLst/>
                            </a:prstGeom>
                            <a:solidFill>
                              <a:srgbClr val="26922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7261428" id="Skupina 1" o:spid="_x0000_s1035" style="position:absolute;left:0;text-align:left;margin-left:41.3pt;margin-top:296.1pt;width:114.1pt;height:81.95pt;z-index:251728384" coordsize="1249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">
                <v:shape id="Textové pole 3" o:spid="_x0000_s1036" type="#_x0000_t202" style="position:absolute;left:712;width:11782;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" fillcolor="white [3201]" stroked="f" strokeweight=".5pt">
                  <v:textbox>
                    <w:txbxContent>
                      <w:p w14:paraId="2AE00837" w14:textId="77777777" w:rsidR="00BC1C0D" w:rsidRDefault="00BC1C0D" w:rsidP="009F375B">
                        <w:pPr>
                          <w:rPr>
                            <w:sz w:val="16"/>
                            <w:szCs w:val="16"/>
                          </w:rPr>
                        </w:pPr>
                        <w:r>
                          <w:rPr>
                            <w:sz w:val="16"/>
                            <w:szCs w:val="16"/>
                          </w:rPr>
                          <w:t>Podíl &lt; 6,6 %</w:t>
                        </w:r>
                      </w:p>
                    </w:txbxContent>
                  </v:textbox>
                </v:shape>
                <v:shape id="Textové pole 3" o:spid="_x0000_s1037" type="#_x0000_t202" style="position:absolute;left:712;top:1662;width:11782;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" fillcolor="white [3201]" stroked="f" strokeweight=".5pt">
                  <v:textbox>
                    <w:txbxContent>
                      <w:p w14:paraId="1AA0B1E1" w14:textId="77777777" w:rsidR="00BC1C0D" w:rsidRDefault="00BC1C0D" w:rsidP="009F375B">
                        <w:pPr>
                          <w:rPr>
                            <w:sz w:val="16"/>
                            <w:szCs w:val="16"/>
                          </w:rPr>
                        </w:pPr>
                        <w:r>
                          <w:rPr>
                            <w:sz w:val="16"/>
                            <w:szCs w:val="16"/>
                          </w:rPr>
                          <w:t>Podíl 7,1 % až 9,4 %</w:t>
                        </w:r>
                      </w:p>
                    </w:txbxContent>
                  </v:textbox>
                </v:shape>
                <v:shape id="Textové pole 3" o:spid="_x0000_s1038" type="#_x0000_t202" style="position:absolute;left:653;top:3384;width:11782;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" fillcolor="white [3201]" stroked="f" strokeweight=".5pt">
                  <v:textbox>
                    <w:txbxContent>
                      <w:p w14:paraId="791362FE" w14:textId="77777777" w:rsidR="00BC1C0D" w:rsidRDefault="00BC1C0D" w:rsidP="009F375B">
                        <w:pPr>
                          <w:rPr>
                            <w:sz w:val="16"/>
                            <w:szCs w:val="16"/>
                          </w:rPr>
                        </w:pPr>
                        <w:r>
                          <w:rPr>
                            <w:sz w:val="16"/>
                            <w:szCs w:val="16"/>
                          </w:rPr>
                          <w:t>Podíl 10,4 % až 17,7 %</w:t>
                        </w:r>
                      </w:p>
                    </w:txbxContent>
                  </v:textbox>
                </v:shape>
                <v:shape id="Textové pole 3" o:spid="_x0000_s1039" type="#_x0000_t202" style="position:absolute;left:712;top:5165;width:11782;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" fillcolor="white [3201]" stroked="f" strokeweight=".5pt">
                  <v:textbox>
                    <w:txbxContent>
                      <w:p w14:paraId="0F50140D" w14:textId="77777777" w:rsidR="00BC1C0D" w:rsidRDefault="00BC1C0D" w:rsidP="009F375B">
                        <w:pPr>
                          <w:rPr>
                            <w:sz w:val="16"/>
                            <w:szCs w:val="16"/>
                          </w:rPr>
                        </w:pPr>
                        <w:r>
                          <w:rPr>
                            <w:sz w:val="16"/>
                            <w:szCs w:val="16"/>
                          </w:rPr>
                          <w:t>Podíl &gt; 22,1 %</w:t>
                        </w:r>
                      </w:p>
                    </w:txbxContent>
                  </v:textbox>
                </v:shape>
                <v:group id="Skupina 1079339338" o:spid="_x0000_s1040" style="position:absolute;top:653;width:1121;height:6019" coordorigin=",653" coordsize="1121,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">
                  <v:rect id="Obdélník 1322240764" o:spid="_x0000_s1041" style="position:absolute;top:653;width:1121;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" fillcolor="#ed7d31 [3205]" strokecolor="black [3213]" strokeweight="1pt"/>
                  <v:rect id="Obdélník 585057019" o:spid="_x0000_s1042" style="position:absolute;top:2343;width:1121;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" fillcolor="#ffc000 [3207]" strokecolor="black [3213]" strokeweight="1pt"/>
                  <v:rect id="Obdélník 431794178" o:spid="_x0000_s1043" style="position:absolute;top:4076;width:1121;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" fillcolor="#92d050" strokecolor="black [3213]" strokeweight="1pt"/>
                  <v:rect id="Obdélník 338544143" o:spid="_x0000_s1044" style="position:absolute;top:5723;width:1121;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" fillcolor="#269229" strokecolor="black [3213]" strokeweight="1pt"/>
                </v:group>
              </v:group>
            </w:pict>
          </mc:Fallback>
        </mc:AlternateContent>
      </w:r>
      <w:r>
        <w:rPr>
          <w:noProof/>
          <w:lang w:eastAsia="cs-CZ"/>
        </w:rPr>
        <w:drawing>
          <wp:inline distT="0" distB="0" distL="0" distR="0" wp14:anchorId="7590711C" wp14:editId="42F028E1">
            <wp:extent cx="5760720" cy="5431155"/>
            <wp:effectExtent l="0" t="0" r="0" b="0"/>
            <wp:docPr id="1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brázek 194"/>
                    <pic:cNvPicPr>
                      <a:picLocks noChangeAspect="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720" cy="5431155"/>
                    </a:xfrm>
                    <a:prstGeom prst="rect">
                      <a:avLst/>
                    </a:prstGeom>
                    <a:noFill/>
                    <a:ln>
                      <a:noFill/>
                    </a:ln>
                  </pic:spPr>
                </pic:pic>
              </a:graphicData>
            </a:graphic>
          </wp:inline>
        </w:drawing>
      </w:r>
    </w:p>
    <w:p w14:paraId="6EB28B12" w14:textId="436E2D3F" w:rsidR="001C5C26" w:rsidRPr="00CE357F" w:rsidRDefault="001C5C26" w:rsidP="001C5C26">
      <w:pPr>
        <w:rPr>
          <w:rFonts w:ascii="Arial Narrow" w:hAnsi="Arial Narrow"/>
          <w:b/>
          <w:bCs/>
          <w:sz w:val="32"/>
          <w:szCs w:val="32"/>
        </w:rPr>
      </w:pPr>
      <w:r w:rsidRPr="00CE357F">
        <w:rPr>
          <w:rFonts w:ascii="Arial Narrow" w:hAnsi="Arial Narrow"/>
          <w:color w:val="000000"/>
          <w:sz w:val="20"/>
          <w:szCs w:val="20"/>
          <w:lang w:eastAsia="cs-CZ"/>
        </w:rPr>
        <w:t xml:space="preserve">Zdroj: Ministerstvo </w:t>
      </w:r>
      <w:r w:rsidR="00AD3798">
        <w:rPr>
          <w:rFonts w:ascii="Arial Narrow" w:hAnsi="Arial Narrow"/>
          <w:color w:val="000000"/>
          <w:sz w:val="20"/>
          <w:szCs w:val="20"/>
          <w:lang w:eastAsia="cs-CZ"/>
        </w:rPr>
        <w:t>v</w:t>
      </w:r>
      <w:r w:rsidRPr="00CE357F">
        <w:rPr>
          <w:rFonts w:ascii="Arial Narrow" w:hAnsi="Arial Narrow"/>
          <w:color w:val="000000"/>
          <w:sz w:val="20"/>
          <w:szCs w:val="20"/>
          <w:lang w:eastAsia="cs-CZ"/>
        </w:rPr>
        <w:t>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Pr>
          <w:rFonts w:ascii="Arial Narrow" w:hAnsi="Arial Narrow"/>
          <w:sz w:val="20"/>
          <w:szCs w:val="20"/>
        </w:rPr>
        <w:t>Mapa</w:t>
      </w:r>
      <w:r w:rsidRPr="00CE357F">
        <w:rPr>
          <w:rFonts w:ascii="Arial Narrow" w:hAnsi="Arial Narrow"/>
          <w:sz w:val="20"/>
          <w:szCs w:val="20"/>
        </w:rPr>
        <w:t xml:space="preserve">: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279D85B9" w14:textId="77777777" w:rsidR="001C5C26" w:rsidRDefault="001C5C26" w:rsidP="003C78BC">
      <w:pPr>
        <w:spacing w:after="120" w:line="276" w:lineRule="auto"/>
        <w:jc w:val="both"/>
        <w:rPr>
          <w:rFonts w:ascii="Arial Narrow" w:hAnsi="Arial Narrow"/>
          <w:szCs w:val="20"/>
        </w:rPr>
      </w:pPr>
    </w:p>
    <w:p w14:paraId="39A91615" w14:textId="01AA1949" w:rsidR="008D0E3E" w:rsidRDefault="008764AD" w:rsidP="003C78BC">
      <w:pPr>
        <w:spacing w:after="120" w:line="276" w:lineRule="auto"/>
        <w:jc w:val="both"/>
        <w:rPr>
          <w:rFonts w:ascii="Arial Narrow" w:hAnsi="Arial Narrow"/>
          <w:szCs w:val="20"/>
        </w:rPr>
      </w:pPr>
      <w:r w:rsidRPr="008764AD">
        <w:rPr>
          <w:rFonts w:ascii="Arial Narrow" w:hAnsi="Arial Narrow"/>
          <w:szCs w:val="20"/>
        </w:rPr>
        <w:t xml:space="preserve">Pokud </w:t>
      </w:r>
      <w:r>
        <w:rPr>
          <w:rFonts w:ascii="Arial Narrow" w:hAnsi="Arial Narrow"/>
          <w:szCs w:val="20"/>
        </w:rPr>
        <w:t xml:space="preserve">porovnáme výše uvedené údaje k datu 1. 1. 2022 a 1. 1. 2023, je patrné, že ve všech městských částech Statutárního města Brna byl zaznamenán nárůst počtu i podílu osob s jinou než českou státní příslušností. Největší meziroční nárůst podílu osob s jinou než českou státní příslušností byl evidován v MČ Brno-jih (nárůst o </w:t>
      </w:r>
      <w:r>
        <w:rPr>
          <w:rFonts w:ascii="Arial Narrow" w:hAnsi="Arial Narrow"/>
          <w:szCs w:val="20"/>
        </w:rPr>
        <w:br/>
        <w:t xml:space="preserve">11,8 %), v MČ Brno-Bosonohy (nárůst o 8,6 %) a v MČ Brno-Slatina (nárůst o 7,7 %). Naopak nejmenší nárůst podílu osob s jinou než českou státní příslušností byl evidován v MČ Brno-Útěchov (nárůst o 0,3 %), v MČ Brno-Ivanovice (nárůst o 1,3 %) a v MČ Brno-Žebětín (nárůst o 1,9 %).  </w:t>
      </w:r>
    </w:p>
    <w:p w14:paraId="5A7117A7" w14:textId="5133E2DC" w:rsidR="00302CA0" w:rsidRDefault="003C78BC" w:rsidP="003C78BC">
      <w:pPr>
        <w:spacing w:after="120" w:line="276" w:lineRule="auto"/>
        <w:jc w:val="both"/>
        <w:rPr>
          <w:rFonts w:ascii="Arial Narrow" w:hAnsi="Arial Narrow"/>
          <w:szCs w:val="20"/>
        </w:rPr>
      </w:pPr>
      <w:r>
        <w:rPr>
          <w:rFonts w:ascii="Arial Narrow" w:hAnsi="Arial Narrow"/>
          <w:szCs w:val="20"/>
        </w:rPr>
        <w:t xml:space="preserve">Největší meziroční nárůst počtu osob s jinou než českou státní příslušností byl zaznamenán v MČ </w:t>
      </w:r>
      <w:r w:rsidR="00F2412E">
        <w:rPr>
          <w:rFonts w:ascii="Arial Narrow" w:hAnsi="Arial Narrow"/>
          <w:szCs w:val="20"/>
        </w:rPr>
        <w:t xml:space="preserve">Brno-střed (nárůst o 7 199 osob), v MČ Brno-sever (nárůst o 3 202 osob) a v MČ Brno-Královo Pole (nárůst o 2 229 osob). Naopak nejmenší meziroční nárůst počtu osob s jinou než českou státní příslušností byl zaznamenán v MČ </w:t>
      </w:r>
      <w:r w:rsidR="00302CA0">
        <w:rPr>
          <w:rFonts w:ascii="Arial Narrow" w:hAnsi="Arial Narrow"/>
          <w:szCs w:val="20"/>
        </w:rPr>
        <w:t xml:space="preserve">Brno-Útěchov (nárůst o 2 osoby), v MČ Brno-Ořešín (nárůst o 24 osob), v MČ Brno-Ivanovice (nárůst o 29 osob) a v MČ Brno-Jehnice (nárůst o 29 osob). </w:t>
      </w:r>
    </w:p>
    <w:p w14:paraId="7B8DF4BC" w14:textId="41E5FED5" w:rsidR="003C78BC" w:rsidRDefault="00302CA0" w:rsidP="7CC7BF57">
      <w:pPr>
        <w:rPr>
          <w:rFonts w:ascii="Arial Narrow" w:hAnsi="Arial Narrow"/>
        </w:rPr>
      </w:pPr>
      <w:bookmarkStart w:id="650" w:name="_Toc136428949"/>
      <w:r w:rsidRPr="7CC7BF57">
        <w:rPr>
          <w:rFonts w:ascii="Arial Narrow" w:hAnsi="Arial Narrow"/>
          <w:b/>
          <w:bCs/>
          <w:sz w:val="20"/>
          <w:szCs w:val="20"/>
        </w:rPr>
        <w:lastRenderedPageBreak/>
        <w:t xml:space="preserve">Graf </w:t>
      </w:r>
      <w:r w:rsidRPr="7CC7BF57">
        <w:rPr>
          <w:rFonts w:ascii="Arial Narrow" w:hAnsi="Arial Narrow"/>
          <w:b/>
          <w:bCs/>
          <w:sz w:val="20"/>
          <w:szCs w:val="20"/>
        </w:rPr>
        <w:fldChar w:fldCharType="begin"/>
      </w:r>
      <w:r w:rsidRPr="7CC7BF57">
        <w:rPr>
          <w:rFonts w:ascii="Arial Narrow" w:hAnsi="Arial Narrow"/>
          <w:b/>
          <w:bCs/>
          <w:sz w:val="20"/>
          <w:szCs w:val="20"/>
        </w:rPr>
        <w:instrText xml:space="preserve"> SEQ Graf \* ARABIC </w:instrText>
      </w:r>
      <w:r w:rsidRPr="7CC7BF57">
        <w:rPr>
          <w:rFonts w:ascii="Arial Narrow" w:hAnsi="Arial Narrow"/>
          <w:b/>
          <w:bCs/>
          <w:sz w:val="20"/>
          <w:szCs w:val="20"/>
        </w:rPr>
        <w:fldChar w:fldCharType="separate"/>
      </w:r>
      <w:r w:rsidR="009F49C8">
        <w:rPr>
          <w:rFonts w:ascii="Arial Narrow" w:hAnsi="Arial Narrow"/>
          <w:b/>
          <w:bCs/>
          <w:noProof/>
          <w:sz w:val="20"/>
          <w:szCs w:val="20"/>
        </w:rPr>
        <w:t>105</w:t>
      </w:r>
      <w:r w:rsidRPr="7CC7BF57">
        <w:rPr>
          <w:rFonts w:ascii="Arial Narrow" w:hAnsi="Arial Narrow"/>
          <w:b/>
          <w:bCs/>
          <w:sz w:val="20"/>
          <w:szCs w:val="20"/>
        </w:rPr>
        <w:fldChar w:fldCharType="end"/>
      </w:r>
      <w:r w:rsidRPr="7CC7BF57">
        <w:rPr>
          <w:rFonts w:ascii="Arial Narrow" w:hAnsi="Arial Narrow"/>
          <w:b/>
          <w:bCs/>
          <w:sz w:val="20"/>
          <w:szCs w:val="20"/>
        </w:rPr>
        <w:t>:</w:t>
      </w:r>
      <w:r w:rsidRPr="7CC7BF57">
        <w:rPr>
          <w:rFonts w:ascii="Arial Narrow" w:eastAsiaTheme="minorEastAsia" w:hAnsi="Arial Narrow" w:cstheme="minorBidi"/>
          <w:b/>
          <w:bCs/>
          <w:color w:val="000000" w:themeColor="text1"/>
          <w:kern w:val="24"/>
          <w:sz w:val="20"/>
          <w:szCs w:val="20"/>
          <w:lang w:eastAsia="cs-CZ"/>
        </w:rPr>
        <w:t xml:space="preserve"> </w:t>
      </w:r>
      <w:r w:rsidRPr="00302CA0">
        <w:rPr>
          <w:rFonts w:ascii="Arial Narrow" w:hAnsi="Arial Narrow"/>
          <w:b/>
          <w:bCs/>
          <w:sz w:val="20"/>
          <w:szCs w:val="20"/>
        </w:rPr>
        <w:t>Meziroční nárůst podílu osob s jinou než českou státní příslušností na celkovém počtu obyvatel (k 1. 1. 2023)</w:t>
      </w:r>
      <w:r w:rsidRPr="7CC7BF57">
        <w:rPr>
          <w:rFonts w:ascii="Arial Narrow" w:hAnsi="Arial Narrow"/>
        </w:rPr>
        <w:t xml:space="preserve"> </w:t>
      </w:r>
      <w:r w:rsidRPr="00CE357F">
        <w:rPr>
          <w:rFonts w:ascii="Arial Narrow" w:hAnsi="Arial Narrow"/>
          <w:b/>
          <w:noProof/>
          <w:color w:val="2F5496" w:themeColor="accent1" w:themeShade="BF"/>
          <w:lang w:eastAsia="cs-CZ"/>
        </w:rPr>
        <w:drawing>
          <wp:inline distT="0" distB="0" distL="0" distR="0" wp14:anchorId="109A5511" wp14:editId="68E325E5">
            <wp:extent cx="5760720" cy="5316279"/>
            <wp:effectExtent l="0" t="0" r="11430" b="17780"/>
            <wp:docPr id="193" name="Graf 193">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bookmarkEnd w:id="650"/>
    </w:p>
    <w:p w14:paraId="30D746B0" w14:textId="77777777" w:rsidR="00302CA0" w:rsidRPr="00CE357F" w:rsidRDefault="00302CA0" w:rsidP="00302CA0">
      <w:pPr>
        <w:rPr>
          <w:rFonts w:ascii="Arial Narrow" w:hAnsi="Arial Narrow"/>
          <w:b/>
          <w:bCs/>
          <w:sz w:val="32"/>
          <w:szCs w:val="32"/>
        </w:rPr>
      </w:pPr>
      <w:r w:rsidRPr="00CE357F">
        <w:rPr>
          <w:rFonts w:ascii="Arial Narrow" w:hAnsi="Arial Narrow"/>
          <w:color w:val="000000"/>
          <w:sz w:val="20"/>
          <w:szCs w:val="20"/>
          <w:lang w:eastAsia="cs-CZ"/>
        </w:rPr>
        <w:t>Zdroj: Ministerstvo Vnitra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4FECC70F" w14:textId="499D5A8C" w:rsidR="00302CA0" w:rsidRDefault="00302CA0" w:rsidP="00302CA0">
      <w:pPr>
        <w:rPr>
          <w:rFonts w:ascii="Arial Narrow" w:hAnsi="Arial Narrow"/>
          <w:szCs w:val="20"/>
        </w:rPr>
      </w:pPr>
    </w:p>
    <w:p w14:paraId="6CBBB9D0" w14:textId="77777777" w:rsidR="008D0E3E" w:rsidRDefault="008D0E3E" w:rsidP="00EA186A">
      <w:pPr>
        <w:spacing w:line="276" w:lineRule="auto"/>
        <w:jc w:val="both"/>
        <w:rPr>
          <w:rFonts w:ascii="Arial Narrow" w:hAnsi="Arial Narrow"/>
          <w:b/>
          <w:bCs/>
          <w:color w:val="C00000"/>
        </w:rPr>
      </w:pPr>
    </w:p>
    <w:p w14:paraId="7E679218" w14:textId="3C42E0ED" w:rsidR="00EA186A" w:rsidRPr="00CE357F" w:rsidRDefault="00EA186A" w:rsidP="00EA186A">
      <w:pPr>
        <w:spacing w:line="276" w:lineRule="auto"/>
        <w:jc w:val="both"/>
        <w:rPr>
          <w:rFonts w:ascii="Arial Narrow" w:hAnsi="Arial Narrow"/>
          <w:b/>
          <w:bCs/>
          <w:color w:val="C00000"/>
        </w:rPr>
      </w:pPr>
      <w:r w:rsidRPr="00CE357F">
        <w:rPr>
          <w:rFonts w:ascii="Arial Narrow" w:hAnsi="Arial Narrow"/>
          <w:b/>
          <w:bCs/>
          <w:color w:val="C00000"/>
        </w:rPr>
        <w:t>Vývoj podílu osob s jinou než českou státní příslušností ve vybraných městských částech ORP Brno mezi lety 2006</w:t>
      </w:r>
      <w:r w:rsidR="00D62C17" w:rsidRPr="00CE357F">
        <w:rPr>
          <w:rFonts w:ascii="Arial Narrow" w:hAnsi="Arial Narrow"/>
          <w:b/>
          <w:bCs/>
          <w:color w:val="C00000"/>
        </w:rPr>
        <w:t>–</w:t>
      </w:r>
      <w:r w:rsidRPr="00CE357F">
        <w:rPr>
          <w:rFonts w:ascii="Arial Narrow" w:hAnsi="Arial Narrow"/>
          <w:b/>
          <w:bCs/>
          <w:color w:val="C00000"/>
        </w:rPr>
        <w:t>202</w:t>
      </w:r>
      <w:r w:rsidR="00B1789D">
        <w:rPr>
          <w:rFonts w:ascii="Arial Narrow" w:hAnsi="Arial Narrow"/>
          <w:b/>
          <w:bCs/>
          <w:color w:val="C00000"/>
        </w:rPr>
        <w:t>3</w:t>
      </w:r>
    </w:p>
    <w:p w14:paraId="665CAE4F" w14:textId="77777777" w:rsidR="00EA186A" w:rsidRPr="00CE357F" w:rsidRDefault="00EA186A" w:rsidP="00EA186A">
      <w:pPr>
        <w:spacing w:line="276" w:lineRule="auto"/>
        <w:rPr>
          <w:rFonts w:ascii="Arial Narrow" w:hAnsi="Arial Narrow"/>
          <w:b/>
          <w:bCs/>
          <w:color w:val="C00000"/>
        </w:rPr>
      </w:pPr>
    </w:p>
    <w:p w14:paraId="3CBE736C" w14:textId="0AD6524E" w:rsidR="00EA186A" w:rsidRPr="001333A8" w:rsidRDefault="00EA186A" w:rsidP="000658E3">
      <w:pPr>
        <w:spacing w:after="120" w:line="276" w:lineRule="auto"/>
        <w:jc w:val="both"/>
        <w:rPr>
          <w:rFonts w:ascii="Arial Narrow" w:hAnsi="Arial Narrow"/>
          <w:color w:val="000000"/>
        </w:rPr>
      </w:pPr>
      <w:r w:rsidRPr="7CC7BF57">
        <w:rPr>
          <w:rFonts w:ascii="Arial Narrow" w:hAnsi="Arial Narrow"/>
          <w:color w:val="000000" w:themeColor="text1"/>
        </w:rPr>
        <w:t xml:space="preserve">Podíváme-li se na městské části s nejvyšším podílem osob s jinou než českou státní příslušností na celkovém počtu obyvatel </w:t>
      </w:r>
      <w:r w:rsidR="000D04BB" w:rsidRPr="7CC7BF57">
        <w:rPr>
          <w:rFonts w:ascii="Arial Narrow" w:hAnsi="Arial Narrow"/>
          <w:color w:val="000000" w:themeColor="text1"/>
        </w:rPr>
        <w:t>MČ</w:t>
      </w:r>
      <w:r w:rsidRPr="7CC7BF57">
        <w:rPr>
          <w:rFonts w:ascii="Arial Narrow" w:hAnsi="Arial Narrow"/>
          <w:color w:val="000000" w:themeColor="text1"/>
        </w:rPr>
        <w:t xml:space="preserve"> k 1. 1. 202</w:t>
      </w:r>
      <w:r w:rsidR="000D04BB" w:rsidRPr="7CC7BF57">
        <w:rPr>
          <w:rFonts w:ascii="Arial Narrow" w:hAnsi="Arial Narrow"/>
          <w:color w:val="000000" w:themeColor="text1"/>
        </w:rPr>
        <w:t>3</w:t>
      </w:r>
      <w:r w:rsidRPr="7CC7BF57">
        <w:rPr>
          <w:rFonts w:ascii="Arial Narrow" w:hAnsi="Arial Narrow"/>
          <w:color w:val="000000" w:themeColor="text1"/>
        </w:rPr>
        <w:t>, tedy na městské části Brno-jih, Brno-slatina</w:t>
      </w:r>
      <w:r w:rsidR="000D04BB" w:rsidRPr="7CC7BF57">
        <w:rPr>
          <w:rFonts w:ascii="Arial Narrow" w:hAnsi="Arial Narrow"/>
          <w:color w:val="000000" w:themeColor="text1"/>
        </w:rPr>
        <w:t>,</w:t>
      </w:r>
      <w:r w:rsidRPr="7CC7BF57">
        <w:rPr>
          <w:rFonts w:ascii="Arial Narrow" w:hAnsi="Arial Narrow"/>
          <w:color w:val="000000" w:themeColor="text1"/>
        </w:rPr>
        <w:t xml:space="preserve"> Brno-Černovice</w:t>
      </w:r>
      <w:r w:rsidR="000D04BB" w:rsidRPr="7CC7BF57">
        <w:rPr>
          <w:rFonts w:ascii="Arial Narrow" w:hAnsi="Arial Narrow"/>
          <w:color w:val="000000" w:themeColor="text1"/>
        </w:rPr>
        <w:t xml:space="preserve"> a Brno-Královo Pole</w:t>
      </w:r>
      <w:r w:rsidRPr="7CC7BF57">
        <w:rPr>
          <w:rFonts w:ascii="Arial Narrow" w:hAnsi="Arial Narrow"/>
          <w:color w:val="000000" w:themeColor="text1"/>
        </w:rPr>
        <w:t xml:space="preserve"> z hlediska vývoje podílu osob s jinou než českou státní příslušností v letech 2006</w:t>
      </w:r>
      <w:r w:rsidR="000658E3" w:rsidRPr="7CC7BF57">
        <w:rPr>
          <w:rFonts w:ascii="Arial Narrow" w:hAnsi="Arial Narrow"/>
          <w:color w:val="000000" w:themeColor="text1"/>
        </w:rPr>
        <w:t>–</w:t>
      </w:r>
      <w:r w:rsidRPr="7CC7BF57">
        <w:rPr>
          <w:rFonts w:ascii="Arial Narrow" w:hAnsi="Arial Narrow"/>
          <w:color w:val="000000" w:themeColor="text1"/>
        </w:rPr>
        <w:t>202</w:t>
      </w:r>
      <w:r w:rsidR="000D04BB" w:rsidRPr="7CC7BF57">
        <w:rPr>
          <w:rFonts w:ascii="Arial Narrow" w:hAnsi="Arial Narrow"/>
          <w:color w:val="000000" w:themeColor="text1"/>
        </w:rPr>
        <w:t>3</w:t>
      </w:r>
      <w:r w:rsidRPr="7CC7BF57">
        <w:rPr>
          <w:rFonts w:ascii="Arial Narrow" w:hAnsi="Arial Narrow"/>
          <w:color w:val="000000" w:themeColor="text1"/>
        </w:rPr>
        <w:t xml:space="preserve">, ve všech těchto městských částech lze zaznamenat poměrně dynamický nárůst podílu osob s jinou než českou státní příslušností na celkovém počtu obyvatel mezi lety 2006 a 2010. Podíl osob s jinou než českou státní příslušností na celkovém počtu obyvatel těchto městských částí se mezi lety 2006 a 2010 více než zdvojnásobil. Vývoj v dalším období je ve všech </w:t>
      </w:r>
      <w:r w:rsidR="000D04BB" w:rsidRPr="7CC7BF57">
        <w:rPr>
          <w:rFonts w:ascii="Arial Narrow" w:hAnsi="Arial Narrow"/>
          <w:color w:val="000000" w:themeColor="text1"/>
        </w:rPr>
        <w:t>čtyřech</w:t>
      </w:r>
      <w:r w:rsidRPr="7CC7BF57">
        <w:rPr>
          <w:rFonts w:ascii="Arial Narrow" w:hAnsi="Arial Narrow"/>
          <w:color w:val="000000" w:themeColor="text1"/>
        </w:rPr>
        <w:t xml:space="preserve"> městských částech srovnatelný. Podíl osob s jinou než českou státní příslušností na celkovém počtu obyvatel se v rámci všech zmíněných městských částí </w:t>
      </w:r>
      <w:r w:rsidR="000D04BB" w:rsidRPr="7CC7BF57">
        <w:rPr>
          <w:rFonts w:ascii="Arial Narrow" w:hAnsi="Arial Narrow"/>
          <w:color w:val="000000" w:themeColor="text1"/>
        </w:rPr>
        <w:t xml:space="preserve">výrazně zvýšil v roce 2022, a to v důsledku příchodu ukrajinských </w:t>
      </w:r>
      <w:r w:rsidR="001E1B48">
        <w:rPr>
          <w:rFonts w:ascii="Arial Narrow" w:hAnsi="Arial Narrow"/>
          <w:color w:val="000000" w:themeColor="text1"/>
        </w:rPr>
        <w:t>občanů</w:t>
      </w:r>
      <w:r w:rsidR="000D04BB" w:rsidRPr="7CC7BF57">
        <w:rPr>
          <w:rFonts w:ascii="Arial Narrow" w:hAnsi="Arial Narrow"/>
          <w:color w:val="000000" w:themeColor="text1"/>
        </w:rPr>
        <w:t xml:space="preserve">, kteří se do Statutárního města Brna přesunuli z důvodu rusko-ukrajinského ozbrojeného konfliktu. </w:t>
      </w:r>
      <w:r w:rsidRPr="00CE357F">
        <w:rPr>
          <w:rFonts w:ascii="Arial Narrow" w:hAnsi="Arial Narrow"/>
          <w:color w:val="000000"/>
        </w:rPr>
        <w:t xml:space="preserve">Vývoj </w:t>
      </w:r>
      <w:r w:rsidRPr="00CE357F">
        <w:rPr>
          <w:rFonts w:ascii="Arial Narrow" w:hAnsi="Arial Narrow"/>
          <w:color w:val="000000"/>
        </w:rPr>
        <w:lastRenderedPageBreak/>
        <w:t>podílu osob s jinou než českou státní příslušností na celkovém počtu obyvatel městských částí Brno-jih, Brno-slatina</w:t>
      </w:r>
      <w:r w:rsidR="000D04BB">
        <w:rPr>
          <w:rFonts w:ascii="Arial Narrow" w:hAnsi="Arial Narrow"/>
          <w:color w:val="000000"/>
        </w:rPr>
        <w:t xml:space="preserve">, </w:t>
      </w:r>
      <w:r w:rsidRPr="00CE357F">
        <w:rPr>
          <w:rFonts w:ascii="Arial Narrow" w:hAnsi="Arial Narrow"/>
          <w:color w:val="000000"/>
        </w:rPr>
        <w:t xml:space="preserve">Brno-Černovice </w:t>
      </w:r>
      <w:r w:rsidR="000D04BB">
        <w:rPr>
          <w:rFonts w:ascii="Arial Narrow" w:hAnsi="Arial Narrow"/>
          <w:color w:val="000000"/>
        </w:rPr>
        <w:t>a Brno-Královo Pole</w:t>
      </w:r>
      <w:r w:rsidRPr="00CE357F">
        <w:rPr>
          <w:rFonts w:ascii="Arial Narrow" w:hAnsi="Arial Narrow"/>
          <w:color w:val="000000"/>
        </w:rPr>
        <w:t xml:space="preserve"> dokumentují grafy</w:t>
      </w:r>
      <w:r w:rsidR="001333A8">
        <w:rPr>
          <w:rFonts w:ascii="Arial Narrow" w:hAnsi="Arial Narrow"/>
          <w:color w:val="000000"/>
        </w:rPr>
        <w:t xml:space="preserve"> č. 106–109</w:t>
      </w:r>
      <w:r w:rsidRPr="00CE357F">
        <w:rPr>
          <w:rFonts w:ascii="Arial Narrow" w:hAnsi="Arial Narrow"/>
          <w:color w:val="000000"/>
        </w:rPr>
        <w:t xml:space="preserve">. </w:t>
      </w:r>
    </w:p>
    <w:p w14:paraId="492B2A30" w14:textId="770304CB" w:rsidR="000D04BB" w:rsidRPr="000D04BB" w:rsidRDefault="000D04BB" w:rsidP="000D04BB">
      <w:pPr>
        <w:spacing w:before="240" w:line="276" w:lineRule="auto"/>
        <w:jc w:val="both"/>
        <w:rPr>
          <w:rFonts w:ascii="Arial Narrow" w:hAnsi="Arial Narrow"/>
          <w:color w:val="000000"/>
        </w:rPr>
      </w:pPr>
      <w:bookmarkStart w:id="651" w:name="_Toc94443801"/>
      <w:bookmarkStart w:id="652" w:name="_Toc136428950"/>
      <w:r w:rsidRPr="000D04BB">
        <w:rPr>
          <w:rFonts w:ascii="Arial Narrow" w:hAnsi="Arial Narrow"/>
          <w:b/>
          <w:sz w:val="20"/>
          <w:szCs w:val="20"/>
        </w:rPr>
        <w:t xml:space="preserve">Graf </w:t>
      </w:r>
      <w:r w:rsidRPr="000D04BB">
        <w:rPr>
          <w:rFonts w:ascii="Arial Narrow" w:hAnsi="Arial Narrow"/>
          <w:b/>
          <w:sz w:val="20"/>
          <w:szCs w:val="20"/>
        </w:rPr>
        <w:fldChar w:fldCharType="begin"/>
      </w:r>
      <w:r w:rsidRPr="000D04BB">
        <w:rPr>
          <w:rFonts w:ascii="Arial Narrow" w:hAnsi="Arial Narrow"/>
          <w:b/>
          <w:sz w:val="20"/>
          <w:szCs w:val="20"/>
        </w:rPr>
        <w:instrText xml:space="preserve"> SEQ Graf \* ARABIC </w:instrText>
      </w:r>
      <w:r w:rsidRPr="000D04BB">
        <w:rPr>
          <w:rFonts w:ascii="Arial Narrow" w:hAnsi="Arial Narrow"/>
          <w:b/>
          <w:sz w:val="20"/>
          <w:szCs w:val="20"/>
        </w:rPr>
        <w:fldChar w:fldCharType="separate"/>
      </w:r>
      <w:r w:rsidR="009F49C8">
        <w:rPr>
          <w:rFonts w:ascii="Arial Narrow" w:hAnsi="Arial Narrow"/>
          <w:b/>
          <w:noProof/>
          <w:sz w:val="20"/>
          <w:szCs w:val="20"/>
        </w:rPr>
        <w:t>106</w:t>
      </w:r>
      <w:r w:rsidRPr="000D04BB">
        <w:rPr>
          <w:rFonts w:ascii="Arial Narrow" w:hAnsi="Arial Narrow"/>
          <w:b/>
          <w:sz w:val="20"/>
          <w:szCs w:val="20"/>
        </w:rPr>
        <w:fldChar w:fldCharType="end"/>
      </w:r>
      <w:r w:rsidRPr="000D04BB">
        <w:rPr>
          <w:rFonts w:ascii="Arial Narrow" w:hAnsi="Arial Narrow"/>
          <w:b/>
          <w:sz w:val="20"/>
          <w:szCs w:val="20"/>
        </w:rPr>
        <w:t>:</w:t>
      </w:r>
      <w:r w:rsidRPr="000D04BB">
        <w:rPr>
          <w:rFonts w:ascii="Arial Narrow" w:eastAsiaTheme="minorEastAsia" w:hAnsi="Arial Narrow" w:cstheme="minorBidi"/>
          <w:b/>
          <w:bCs/>
          <w:color w:val="000000" w:themeColor="text1"/>
          <w:kern w:val="24"/>
          <w:sz w:val="20"/>
          <w:szCs w:val="20"/>
          <w:lang w:eastAsia="cs-CZ"/>
        </w:rPr>
        <w:t xml:space="preserve"> </w:t>
      </w:r>
      <w:r w:rsidRPr="000D04BB">
        <w:rPr>
          <w:rFonts w:ascii="Arial Narrow" w:hAnsi="Arial Narrow"/>
          <w:b/>
          <w:bCs/>
          <w:sz w:val="20"/>
          <w:szCs w:val="20"/>
        </w:rPr>
        <w:t xml:space="preserve">Vývoj podílu osob s jinou než českou státní příslušností na celkovém počtu obyvatel městské části </w:t>
      </w:r>
      <w:r w:rsidRPr="000D04BB">
        <w:rPr>
          <w:rFonts w:ascii="Arial Narrow" w:hAnsi="Arial Narrow"/>
          <w:b/>
          <w:bCs/>
          <w:sz w:val="20"/>
          <w:szCs w:val="20"/>
        </w:rPr>
        <w:br/>
        <w:t>Brno-jih v letech 2006-202</w:t>
      </w:r>
      <w:bookmarkEnd w:id="651"/>
      <w:r w:rsidRPr="000D04BB">
        <w:rPr>
          <w:rFonts w:ascii="Arial Narrow" w:hAnsi="Arial Narrow"/>
          <w:b/>
          <w:bCs/>
          <w:sz w:val="20"/>
          <w:szCs w:val="20"/>
        </w:rPr>
        <w:t>3</w:t>
      </w:r>
      <w:bookmarkEnd w:id="652"/>
    </w:p>
    <w:p w14:paraId="17FE41BE" w14:textId="77777777" w:rsidR="000D04BB" w:rsidRPr="000D04BB" w:rsidRDefault="000D04BB" w:rsidP="000D04BB">
      <w:pPr>
        <w:rPr>
          <w:rFonts w:ascii="Arial Narrow" w:hAnsi="Arial Narrow"/>
          <w:b/>
          <w:bCs/>
          <w:color w:val="C00000"/>
        </w:rPr>
      </w:pPr>
      <w:r w:rsidRPr="000D04BB">
        <w:rPr>
          <w:rFonts w:ascii="Arial Narrow" w:hAnsi="Arial Narrow"/>
          <w:b/>
          <w:noProof/>
          <w:color w:val="2F5496" w:themeColor="accent1" w:themeShade="BF"/>
          <w:lang w:eastAsia="cs-CZ"/>
        </w:rPr>
        <w:drawing>
          <wp:inline distT="0" distB="0" distL="0" distR="0" wp14:anchorId="2029F176" wp14:editId="035BDEF2">
            <wp:extent cx="5765800" cy="1818167"/>
            <wp:effectExtent l="0" t="0" r="6350" b="10795"/>
            <wp:docPr id="2049" name="Graf 2049">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02CC262" w14:textId="77777777" w:rsidR="000D04BB" w:rsidRPr="000D04BB" w:rsidRDefault="000D04BB" w:rsidP="000D04BB">
      <w:pPr>
        <w:spacing w:after="240" w:line="276" w:lineRule="auto"/>
        <w:rPr>
          <w:rFonts w:ascii="Arial Narrow" w:hAnsi="Arial Narrow"/>
          <w:color w:val="000000"/>
          <w:sz w:val="20"/>
          <w:szCs w:val="20"/>
          <w:lang w:eastAsia="cs-CZ"/>
        </w:rPr>
      </w:pPr>
      <w:r w:rsidRPr="000D04BB">
        <w:rPr>
          <w:rFonts w:ascii="Arial Narrow" w:hAnsi="Arial Narrow"/>
          <w:color w:val="000000"/>
          <w:sz w:val="20"/>
          <w:szCs w:val="20"/>
          <w:lang w:eastAsia="cs-CZ"/>
        </w:rPr>
        <w:t>Zdroj: Ministerstvo Vnitra České republiky</w:t>
      </w:r>
      <w:r w:rsidRPr="000D04BB">
        <w:rPr>
          <w:rFonts w:ascii="Arial Narrow" w:hAnsi="Arial Narrow"/>
          <w:sz w:val="20"/>
          <w:szCs w:val="20"/>
        </w:rPr>
        <w:tab/>
      </w:r>
      <w:r w:rsidRPr="000D04BB">
        <w:rPr>
          <w:rFonts w:ascii="Arial Narrow" w:hAnsi="Arial Narrow"/>
          <w:sz w:val="20"/>
          <w:szCs w:val="20"/>
        </w:rPr>
        <w:tab/>
      </w:r>
      <w:r w:rsidRPr="000D04BB">
        <w:rPr>
          <w:rFonts w:ascii="Arial Narrow" w:hAnsi="Arial Narrow"/>
          <w:sz w:val="20"/>
          <w:szCs w:val="20"/>
        </w:rPr>
        <w:tab/>
      </w:r>
      <w:r w:rsidRPr="000D04BB">
        <w:rPr>
          <w:rFonts w:ascii="Arial Narrow" w:hAnsi="Arial Narrow"/>
          <w:sz w:val="20"/>
          <w:szCs w:val="20"/>
        </w:rPr>
        <w:tab/>
        <w:t xml:space="preserve">                 Graf: AUGUR </w:t>
      </w:r>
      <w:proofErr w:type="spellStart"/>
      <w:r w:rsidRPr="000D04BB">
        <w:rPr>
          <w:rFonts w:ascii="Arial Narrow" w:hAnsi="Arial Narrow"/>
          <w:sz w:val="20"/>
          <w:szCs w:val="20"/>
        </w:rPr>
        <w:t>Consulting</w:t>
      </w:r>
      <w:proofErr w:type="spellEnd"/>
      <w:r w:rsidRPr="000D04BB">
        <w:rPr>
          <w:rFonts w:ascii="Arial Narrow" w:hAnsi="Arial Narrow"/>
          <w:sz w:val="20"/>
          <w:szCs w:val="20"/>
        </w:rPr>
        <w:t>, s.r.o.</w:t>
      </w:r>
    </w:p>
    <w:p w14:paraId="2AE204A8" w14:textId="5D9043CE" w:rsidR="000D04BB" w:rsidRPr="000D04BB" w:rsidRDefault="000D04BB" w:rsidP="000D04BB">
      <w:pPr>
        <w:spacing w:line="276" w:lineRule="auto"/>
        <w:jc w:val="both"/>
        <w:rPr>
          <w:rFonts w:ascii="Arial Narrow" w:hAnsi="Arial Narrow"/>
          <w:b/>
          <w:bCs/>
          <w:sz w:val="20"/>
          <w:szCs w:val="20"/>
        </w:rPr>
      </w:pPr>
      <w:bookmarkStart w:id="653" w:name="_Toc94443802"/>
      <w:bookmarkStart w:id="654" w:name="_Toc136428951"/>
      <w:r w:rsidRPr="000D04BB">
        <w:rPr>
          <w:rFonts w:ascii="Arial Narrow" w:hAnsi="Arial Narrow"/>
          <w:b/>
          <w:sz w:val="20"/>
          <w:szCs w:val="20"/>
        </w:rPr>
        <w:t xml:space="preserve">Graf </w:t>
      </w:r>
      <w:r w:rsidRPr="000D04BB">
        <w:rPr>
          <w:rFonts w:ascii="Arial Narrow" w:hAnsi="Arial Narrow"/>
          <w:b/>
          <w:sz w:val="20"/>
          <w:szCs w:val="20"/>
        </w:rPr>
        <w:fldChar w:fldCharType="begin"/>
      </w:r>
      <w:r w:rsidRPr="000D04BB">
        <w:rPr>
          <w:rFonts w:ascii="Arial Narrow" w:hAnsi="Arial Narrow"/>
          <w:b/>
          <w:sz w:val="20"/>
          <w:szCs w:val="20"/>
        </w:rPr>
        <w:instrText xml:space="preserve"> SEQ Graf \* ARABIC </w:instrText>
      </w:r>
      <w:r w:rsidRPr="000D04BB">
        <w:rPr>
          <w:rFonts w:ascii="Arial Narrow" w:hAnsi="Arial Narrow"/>
          <w:b/>
          <w:sz w:val="20"/>
          <w:szCs w:val="20"/>
        </w:rPr>
        <w:fldChar w:fldCharType="separate"/>
      </w:r>
      <w:r w:rsidR="009F49C8">
        <w:rPr>
          <w:rFonts w:ascii="Arial Narrow" w:hAnsi="Arial Narrow"/>
          <w:b/>
          <w:noProof/>
          <w:sz w:val="20"/>
          <w:szCs w:val="20"/>
        </w:rPr>
        <w:t>107</w:t>
      </w:r>
      <w:r w:rsidRPr="000D04BB">
        <w:rPr>
          <w:rFonts w:ascii="Arial Narrow" w:hAnsi="Arial Narrow"/>
          <w:b/>
          <w:sz w:val="20"/>
          <w:szCs w:val="20"/>
        </w:rPr>
        <w:fldChar w:fldCharType="end"/>
      </w:r>
      <w:r w:rsidRPr="000D04BB">
        <w:rPr>
          <w:rFonts w:ascii="Arial Narrow" w:hAnsi="Arial Narrow"/>
          <w:b/>
          <w:sz w:val="20"/>
          <w:szCs w:val="20"/>
        </w:rPr>
        <w:t>:</w:t>
      </w:r>
      <w:r w:rsidRPr="000D04BB">
        <w:rPr>
          <w:rFonts w:ascii="Arial Narrow" w:eastAsiaTheme="minorEastAsia" w:hAnsi="Arial Narrow" w:cstheme="minorBidi"/>
          <w:b/>
          <w:bCs/>
          <w:color w:val="000000" w:themeColor="text1"/>
          <w:kern w:val="24"/>
          <w:sz w:val="20"/>
          <w:szCs w:val="20"/>
          <w:lang w:eastAsia="cs-CZ"/>
        </w:rPr>
        <w:t xml:space="preserve"> </w:t>
      </w:r>
      <w:r w:rsidRPr="000D04BB">
        <w:rPr>
          <w:rFonts w:ascii="Arial Narrow" w:hAnsi="Arial Narrow"/>
          <w:b/>
          <w:bCs/>
          <w:sz w:val="20"/>
          <w:szCs w:val="20"/>
        </w:rPr>
        <w:t xml:space="preserve">Vývoj podílu osob s jinou než českou státní příslušností na celkovém počtu obyvatel městské části </w:t>
      </w:r>
      <w:r w:rsidRPr="000D04BB">
        <w:rPr>
          <w:rFonts w:ascii="Arial Narrow" w:hAnsi="Arial Narrow"/>
          <w:b/>
          <w:bCs/>
          <w:sz w:val="20"/>
          <w:szCs w:val="20"/>
        </w:rPr>
        <w:br/>
        <w:t>Brno-</w:t>
      </w:r>
      <w:r w:rsidR="002549C1">
        <w:rPr>
          <w:rFonts w:ascii="Arial Narrow" w:hAnsi="Arial Narrow"/>
          <w:b/>
          <w:bCs/>
          <w:sz w:val="20"/>
          <w:szCs w:val="20"/>
        </w:rPr>
        <w:t>S</w:t>
      </w:r>
      <w:r w:rsidRPr="000D04BB">
        <w:rPr>
          <w:rFonts w:ascii="Arial Narrow" w:hAnsi="Arial Narrow"/>
          <w:b/>
          <w:bCs/>
          <w:sz w:val="20"/>
          <w:szCs w:val="20"/>
        </w:rPr>
        <w:t>latina v letech 2006-202</w:t>
      </w:r>
      <w:bookmarkEnd w:id="653"/>
      <w:r w:rsidRPr="000D04BB">
        <w:rPr>
          <w:rFonts w:ascii="Arial Narrow" w:hAnsi="Arial Narrow"/>
          <w:b/>
          <w:bCs/>
          <w:sz w:val="20"/>
          <w:szCs w:val="20"/>
        </w:rPr>
        <w:t>3</w:t>
      </w:r>
      <w:bookmarkEnd w:id="654"/>
    </w:p>
    <w:p w14:paraId="3BD975C7" w14:textId="77777777" w:rsidR="000D04BB" w:rsidRPr="000D04BB" w:rsidRDefault="000D04BB" w:rsidP="000D04BB">
      <w:pPr>
        <w:rPr>
          <w:rFonts w:ascii="Arial Narrow" w:hAnsi="Arial Narrow"/>
          <w:b/>
          <w:bCs/>
          <w:color w:val="C00000"/>
        </w:rPr>
      </w:pPr>
      <w:r w:rsidRPr="000D04BB">
        <w:rPr>
          <w:rFonts w:ascii="Arial Narrow" w:hAnsi="Arial Narrow"/>
          <w:b/>
          <w:noProof/>
          <w:color w:val="2F5496" w:themeColor="accent1" w:themeShade="BF"/>
          <w:lang w:eastAsia="cs-CZ"/>
        </w:rPr>
        <w:drawing>
          <wp:inline distT="0" distB="0" distL="0" distR="0" wp14:anchorId="1FF98867" wp14:editId="6FBF1FAB">
            <wp:extent cx="5765800" cy="1935125"/>
            <wp:effectExtent l="0" t="0" r="6350" b="8255"/>
            <wp:docPr id="2051" name="Graf 2051">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088177B" w14:textId="77777777" w:rsidR="000D04BB" w:rsidRPr="00CE357F" w:rsidRDefault="000D04BB" w:rsidP="000D04BB">
      <w:pPr>
        <w:spacing w:after="240" w:line="276" w:lineRule="auto"/>
        <w:rPr>
          <w:rFonts w:ascii="Arial Narrow" w:hAnsi="Arial Narrow"/>
          <w:color w:val="000000"/>
          <w:sz w:val="20"/>
          <w:szCs w:val="20"/>
          <w:lang w:eastAsia="cs-CZ"/>
        </w:rPr>
      </w:pPr>
      <w:r w:rsidRPr="000D04BB">
        <w:rPr>
          <w:rFonts w:ascii="Arial Narrow" w:hAnsi="Arial Narrow"/>
          <w:color w:val="000000"/>
          <w:sz w:val="20"/>
          <w:szCs w:val="20"/>
          <w:lang w:eastAsia="cs-CZ"/>
        </w:rPr>
        <w:t>Zdroj: Ministerstvo Vnitra České republiky</w:t>
      </w:r>
      <w:r w:rsidRPr="000D04BB">
        <w:rPr>
          <w:rFonts w:ascii="Arial Narrow" w:hAnsi="Arial Narrow"/>
          <w:sz w:val="20"/>
          <w:szCs w:val="20"/>
        </w:rPr>
        <w:tab/>
      </w:r>
      <w:r w:rsidRPr="000D04BB">
        <w:rPr>
          <w:rFonts w:ascii="Arial Narrow" w:hAnsi="Arial Narrow"/>
          <w:sz w:val="20"/>
          <w:szCs w:val="20"/>
        </w:rPr>
        <w:tab/>
      </w:r>
      <w:r w:rsidRPr="000D04BB">
        <w:rPr>
          <w:rFonts w:ascii="Arial Narrow" w:hAnsi="Arial Narrow"/>
          <w:sz w:val="20"/>
          <w:szCs w:val="20"/>
        </w:rPr>
        <w:tab/>
      </w:r>
      <w:r w:rsidRPr="000D04BB">
        <w:rPr>
          <w:rFonts w:ascii="Arial Narrow" w:hAnsi="Arial Narrow"/>
          <w:sz w:val="20"/>
          <w:szCs w:val="20"/>
        </w:rPr>
        <w:tab/>
        <w:t xml:space="preserve">                 Graf: AUGUR </w:t>
      </w:r>
      <w:proofErr w:type="spellStart"/>
      <w:r w:rsidRPr="000D04BB">
        <w:rPr>
          <w:rFonts w:ascii="Arial Narrow" w:hAnsi="Arial Narrow"/>
          <w:sz w:val="20"/>
          <w:szCs w:val="20"/>
        </w:rPr>
        <w:t>Consulting</w:t>
      </w:r>
      <w:proofErr w:type="spellEnd"/>
      <w:r w:rsidRPr="000D04BB">
        <w:rPr>
          <w:rFonts w:ascii="Arial Narrow" w:hAnsi="Arial Narrow"/>
          <w:sz w:val="20"/>
          <w:szCs w:val="20"/>
        </w:rPr>
        <w:t>, s.r.o.</w:t>
      </w:r>
    </w:p>
    <w:p w14:paraId="6D3B4669" w14:textId="6D3C90F6" w:rsidR="00EA186A" w:rsidRPr="00CE357F" w:rsidRDefault="00EA186A" w:rsidP="00EA186A">
      <w:pPr>
        <w:spacing w:line="276" w:lineRule="auto"/>
        <w:jc w:val="both"/>
        <w:rPr>
          <w:rFonts w:ascii="Arial Narrow" w:hAnsi="Arial Narrow"/>
          <w:b/>
          <w:bCs/>
          <w:sz w:val="20"/>
          <w:szCs w:val="20"/>
        </w:rPr>
      </w:pPr>
      <w:bookmarkStart w:id="655" w:name="_Toc94443803"/>
      <w:bookmarkStart w:id="656" w:name="_Toc136428952"/>
      <w:r w:rsidRPr="00CE357F">
        <w:rPr>
          <w:rFonts w:ascii="Arial Narrow" w:hAnsi="Arial Narrow"/>
          <w:b/>
          <w:sz w:val="20"/>
          <w:szCs w:val="20"/>
        </w:rPr>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108</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Vývoj podílu osob s jinou než českou státní příslušností na celkovém počtu obyvatel městské části Brno-Černovice v letech 2006-202</w:t>
      </w:r>
      <w:bookmarkEnd w:id="655"/>
      <w:r w:rsidR="000D04BB">
        <w:rPr>
          <w:rFonts w:ascii="Arial Narrow" w:hAnsi="Arial Narrow"/>
          <w:b/>
          <w:bCs/>
          <w:sz w:val="20"/>
          <w:szCs w:val="20"/>
        </w:rPr>
        <w:t>3</w:t>
      </w:r>
      <w:bookmarkEnd w:id="656"/>
    </w:p>
    <w:p w14:paraId="16091DFD" w14:textId="77777777" w:rsidR="00EA186A" w:rsidRPr="00CE357F" w:rsidRDefault="00EA186A" w:rsidP="00EA186A">
      <w:pPr>
        <w:rPr>
          <w:rFonts w:ascii="Arial Narrow" w:hAnsi="Arial Narrow"/>
          <w:b/>
          <w:bCs/>
          <w:color w:val="C00000"/>
          <w:highlight w:val="yellow"/>
        </w:rPr>
      </w:pPr>
      <w:r w:rsidRPr="00CE357F">
        <w:rPr>
          <w:rFonts w:ascii="Arial Narrow" w:hAnsi="Arial Narrow"/>
          <w:b/>
          <w:noProof/>
          <w:color w:val="2F5496" w:themeColor="accent1" w:themeShade="BF"/>
          <w:lang w:eastAsia="cs-CZ"/>
        </w:rPr>
        <w:drawing>
          <wp:inline distT="0" distB="0" distL="0" distR="0" wp14:anchorId="04B62163" wp14:editId="127AC783">
            <wp:extent cx="5765800" cy="2083982"/>
            <wp:effectExtent l="0" t="0" r="6350" b="12065"/>
            <wp:docPr id="2052" name="Graf 2052">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75F86A1E" w14:textId="2C82CB97" w:rsidR="00B835F6" w:rsidRDefault="00EA186A" w:rsidP="00EA186A">
      <w:pPr>
        <w:spacing w:after="240" w:line="276" w:lineRule="auto"/>
        <w:rPr>
          <w:rFonts w:ascii="Arial Narrow" w:hAnsi="Arial Narrow"/>
          <w:sz w:val="20"/>
          <w:szCs w:val="20"/>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5A78A956" w14:textId="30A9F994" w:rsidR="000E7C06" w:rsidRPr="00CE357F" w:rsidRDefault="000E7C06" w:rsidP="000E7C06">
      <w:pPr>
        <w:spacing w:line="276" w:lineRule="auto"/>
        <w:jc w:val="both"/>
        <w:rPr>
          <w:rFonts w:ascii="Arial Narrow" w:hAnsi="Arial Narrow"/>
          <w:b/>
          <w:bCs/>
          <w:sz w:val="20"/>
          <w:szCs w:val="20"/>
        </w:rPr>
      </w:pPr>
      <w:bookmarkStart w:id="657" w:name="_Toc136428953"/>
      <w:r w:rsidRPr="000E7C06">
        <w:rPr>
          <w:rFonts w:ascii="Arial Narrow" w:hAnsi="Arial Narrow"/>
          <w:b/>
          <w:sz w:val="20"/>
          <w:szCs w:val="20"/>
        </w:rPr>
        <w:lastRenderedPageBreak/>
        <w:t xml:space="preserve">Graf </w:t>
      </w:r>
      <w:r w:rsidRPr="000E7C06">
        <w:rPr>
          <w:rFonts w:ascii="Arial Narrow" w:hAnsi="Arial Narrow"/>
          <w:b/>
          <w:sz w:val="20"/>
          <w:szCs w:val="20"/>
        </w:rPr>
        <w:fldChar w:fldCharType="begin"/>
      </w:r>
      <w:r w:rsidRPr="000E7C06">
        <w:rPr>
          <w:rFonts w:ascii="Arial Narrow" w:hAnsi="Arial Narrow"/>
          <w:b/>
          <w:sz w:val="20"/>
          <w:szCs w:val="20"/>
        </w:rPr>
        <w:instrText xml:space="preserve"> SEQ Graf \* ARABIC </w:instrText>
      </w:r>
      <w:r w:rsidRPr="000E7C06">
        <w:rPr>
          <w:rFonts w:ascii="Arial Narrow" w:hAnsi="Arial Narrow"/>
          <w:b/>
          <w:sz w:val="20"/>
          <w:szCs w:val="20"/>
        </w:rPr>
        <w:fldChar w:fldCharType="separate"/>
      </w:r>
      <w:r w:rsidR="009F49C8">
        <w:rPr>
          <w:rFonts w:ascii="Arial Narrow" w:hAnsi="Arial Narrow"/>
          <w:b/>
          <w:noProof/>
          <w:sz w:val="20"/>
          <w:szCs w:val="20"/>
        </w:rPr>
        <w:t>109</w:t>
      </w:r>
      <w:r w:rsidRPr="000E7C06">
        <w:rPr>
          <w:rFonts w:ascii="Arial Narrow" w:hAnsi="Arial Narrow"/>
          <w:b/>
          <w:sz w:val="20"/>
          <w:szCs w:val="20"/>
        </w:rPr>
        <w:fldChar w:fldCharType="end"/>
      </w:r>
      <w:r w:rsidRPr="000E7C06">
        <w:rPr>
          <w:rFonts w:ascii="Arial Narrow" w:hAnsi="Arial Narrow"/>
          <w:b/>
          <w:sz w:val="20"/>
          <w:szCs w:val="20"/>
        </w:rPr>
        <w:t>:</w:t>
      </w:r>
      <w:r w:rsidRPr="000E7C06">
        <w:rPr>
          <w:rFonts w:ascii="Arial Narrow" w:eastAsiaTheme="minorEastAsia" w:hAnsi="Arial Narrow" w:cstheme="minorBidi"/>
          <w:b/>
          <w:bCs/>
          <w:color w:val="000000" w:themeColor="text1"/>
          <w:kern w:val="24"/>
          <w:sz w:val="20"/>
          <w:szCs w:val="20"/>
          <w:lang w:eastAsia="cs-CZ"/>
        </w:rPr>
        <w:t xml:space="preserve"> </w:t>
      </w:r>
      <w:r w:rsidRPr="000E7C06">
        <w:rPr>
          <w:rFonts w:ascii="Arial Narrow" w:hAnsi="Arial Narrow"/>
          <w:b/>
          <w:bCs/>
          <w:sz w:val="20"/>
          <w:szCs w:val="20"/>
        </w:rPr>
        <w:t xml:space="preserve">Vývoj podílu osob s jinou než českou státní příslušností na celkovém počtu obyvatel městské části </w:t>
      </w:r>
      <w:r w:rsidRPr="000E7C06">
        <w:rPr>
          <w:rFonts w:ascii="Arial Narrow" w:hAnsi="Arial Narrow"/>
          <w:b/>
          <w:bCs/>
          <w:sz w:val="20"/>
          <w:szCs w:val="20"/>
        </w:rPr>
        <w:br/>
        <w:t>Brno-Královo Pole v letech 2006-2023</w:t>
      </w:r>
      <w:bookmarkEnd w:id="657"/>
    </w:p>
    <w:p w14:paraId="62053004" w14:textId="77777777" w:rsidR="000E7C06" w:rsidRPr="00CE357F" w:rsidRDefault="000E7C06" w:rsidP="000E7C06">
      <w:pPr>
        <w:rPr>
          <w:rFonts w:ascii="Arial Narrow" w:hAnsi="Arial Narrow"/>
          <w:b/>
          <w:bCs/>
          <w:color w:val="C00000"/>
          <w:highlight w:val="yellow"/>
        </w:rPr>
      </w:pPr>
      <w:r w:rsidRPr="00CE357F">
        <w:rPr>
          <w:rFonts w:ascii="Arial Narrow" w:hAnsi="Arial Narrow"/>
          <w:b/>
          <w:noProof/>
          <w:color w:val="2F5496" w:themeColor="accent1" w:themeShade="BF"/>
          <w:lang w:eastAsia="cs-CZ"/>
        </w:rPr>
        <w:drawing>
          <wp:inline distT="0" distB="0" distL="0" distR="0" wp14:anchorId="0BD9C007" wp14:editId="18272F3C">
            <wp:extent cx="5765800" cy="1403497"/>
            <wp:effectExtent l="0" t="0" r="6350" b="6350"/>
            <wp:docPr id="192" name="Graf 192">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7C0FF93E" w14:textId="77777777" w:rsidR="000E7C06" w:rsidRDefault="000E7C06" w:rsidP="000E7C06">
      <w:pPr>
        <w:spacing w:after="240" w:line="276" w:lineRule="auto"/>
        <w:rPr>
          <w:rFonts w:ascii="Arial Narrow" w:hAnsi="Arial Narrow"/>
          <w:sz w:val="20"/>
          <w:szCs w:val="20"/>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30C9399F" w14:textId="77777777" w:rsidR="0091654E" w:rsidRPr="0091654E" w:rsidRDefault="0091654E" w:rsidP="00EA186A">
      <w:pPr>
        <w:spacing w:after="240" w:line="276" w:lineRule="auto"/>
        <w:rPr>
          <w:rFonts w:ascii="Arial Narrow" w:hAnsi="Arial Narrow"/>
          <w:sz w:val="20"/>
          <w:szCs w:val="20"/>
        </w:rPr>
      </w:pPr>
    </w:p>
    <w:p w14:paraId="294F41CC" w14:textId="77777777" w:rsidR="00EA186A" w:rsidRPr="00CE357F" w:rsidRDefault="00EA186A" w:rsidP="00EA186A">
      <w:pPr>
        <w:pStyle w:val="Nadpis3"/>
      </w:pPr>
      <w:bookmarkStart w:id="658" w:name="_Toc94215414"/>
      <w:bookmarkStart w:id="659" w:name="_Toc136876115"/>
      <w:r w:rsidRPr="00CE357F">
        <w:t>Zaměstnanost v ORP Brno</w:t>
      </w:r>
      <w:bookmarkEnd w:id="658"/>
      <w:bookmarkEnd w:id="659"/>
    </w:p>
    <w:p w14:paraId="609BE5E1" w14:textId="77777777" w:rsidR="00EA186A" w:rsidRPr="00CE357F" w:rsidRDefault="00EA186A" w:rsidP="00EA186A">
      <w:pPr>
        <w:rPr>
          <w:rFonts w:ascii="Arial Narrow" w:hAnsi="Arial Narrow"/>
          <w:b/>
          <w:bCs/>
          <w:color w:val="C00000"/>
          <w:sz w:val="24"/>
          <w:szCs w:val="24"/>
        </w:rPr>
      </w:pPr>
    </w:p>
    <w:p w14:paraId="655D1A74" w14:textId="446993CA" w:rsidR="00F24241" w:rsidRPr="00F24241" w:rsidRDefault="00F24241" w:rsidP="004A0C47">
      <w:pPr>
        <w:spacing w:after="120" w:line="276" w:lineRule="auto"/>
        <w:jc w:val="both"/>
        <w:rPr>
          <w:rFonts w:ascii="Arial Narrow" w:hAnsi="Arial Narrow"/>
        </w:rPr>
      </w:pPr>
      <w:r w:rsidRPr="00F24241">
        <w:rPr>
          <w:rFonts w:ascii="Arial Narrow" w:hAnsi="Arial Narrow"/>
        </w:rPr>
        <w:t xml:space="preserve">Za měsíci prosinec roku 2022 bylo v ORP Brno evidováno celkem 13 304 uchazečů o zaměstnání. Podíl nezaměstnanosti v ORP Brno od roku 2014 klesal, nárůst lze, podobně jako v dalších ORP, zaznamenat v letech 2020 a 2021, což může souviset s dopady celosvětové pandemie viru SARS-CoV-2. V roce 2022 podíl nezaměstnaných zůstává na podobné úrovni jako za období pandemie. </w:t>
      </w:r>
      <w:r w:rsidRPr="00F24241">
        <w:rPr>
          <w:rFonts w:ascii="Arial Narrow" w:hAnsi="Arial Narrow"/>
          <w:b/>
          <w:bCs/>
        </w:rPr>
        <w:t xml:space="preserve">Výrazně však oproti předchozímu roku kleslo množství volných pracovních míst. K největšímu úbytku došlo dle dat MPSV mezi 31. srpnem a </w:t>
      </w:r>
      <w:r w:rsidRPr="00F24241">
        <w:rPr>
          <w:rFonts w:ascii="Arial Narrow" w:hAnsi="Arial Narrow"/>
          <w:b/>
          <w:bCs/>
        </w:rPr>
        <w:br/>
        <w:t>30. listopadem 2022. V tomto období na trhu práce kleslo množství poptávaných pozic o 10 000, což tvoří polovinu celkového počtu. Je pravděpodobné, že za tímto poklesem stojí vysoká migrační vlna v prvním a druhém čtvrtletí roku 2022 spojená s válkou na Ukrajině.</w:t>
      </w:r>
      <w:r w:rsidRPr="00F24241">
        <w:rPr>
          <w:rFonts w:ascii="Arial Narrow" w:hAnsi="Arial Narrow"/>
        </w:rPr>
        <w:t xml:space="preserve"> </w:t>
      </w:r>
    </w:p>
    <w:p w14:paraId="3FCCB34D" w14:textId="77777777" w:rsidR="00F24241" w:rsidRPr="00F24241" w:rsidRDefault="00F24241" w:rsidP="004A0C47">
      <w:pPr>
        <w:spacing w:after="120" w:line="276" w:lineRule="auto"/>
        <w:jc w:val="both"/>
        <w:rPr>
          <w:rFonts w:ascii="Arial Narrow" w:hAnsi="Arial Narrow"/>
          <w:color w:val="FF0000"/>
        </w:rPr>
      </w:pPr>
      <w:r w:rsidRPr="00F24241">
        <w:rPr>
          <w:rFonts w:ascii="Arial Narrow" w:hAnsi="Arial Narrow"/>
        </w:rPr>
        <w:t>Podíváme-li se na vývoj počtu uchazečů o zaměstnání v ORP Brno v letech 2005–2021, mezi lety 2009–2011 je patrný výrazný nárůst počtu uchazečů o zaměstnání, který může v tomto období souviset s dopady celosvětové ekonomické krize. Nejnižší počet uchazečů o zaměstnání v ORP Brno byl zaznamenán v roce 2013 (5 623 uchazečů), následoval jejich prudký nárůst, a to na 21 905 uchazečů</w:t>
      </w:r>
      <w:r w:rsidRPr="00CE357F">
        <w:rPr>
          <w:rFonts w:ascii="Arial Narrow" w:hAnsi="Arial Narrow"/>
        </w:rPr>
        <w:t xml:space="preserve"> v prosinci roku 2014. Do roku 2019 počet uchazečů o zaměstnání v ORP mírně klesal a nárůst počtu uchazečů je patrný opět až v roce 2020, což může souviset s dopady celosvětové pandemie viru SARS-CoV-2. Tento trend vývoje v ORP Brno mezi lety 2013 a 2021 </w:t>
      </w:r>
      <w:r w:rsidRPr="00F24241">
        <w:rPr>
          <w:rFonts w:ascii="Arial Narrow" w:hAnsi="Arial Narrow"/>
        </w:rPr>
        <w:t>je charakteristický i pro další ORP v Jihomoravském kraji. V roce 2022 se počet uchazečů o zaměstnání pohyboval na úrovni srovnatelné s rokem 2020.</w:t>
      </w:r>
    </w:p>
    <w:p w14:paraId="54C7D42F" w14:textId="1366A37B" w:rsidR="00F24241" w:rsidRPr="00F24241" w:rsidRDefault="00F24241" w:rsidP="004A0C47">
      <w:pPr>
        <w:spacing w:after="120" w:line="276" w:lineRule="auto"/>
        <w:jc w:val="both"/>
        <w:rPr>
          <w:rFonts w:ascii="Arial Narrow" w:hAnsi="Arial Narrow"/>
        </w:rPr>
      </w:pPr>
      <w:r w:rsidRPr="00F24241">
        <w:rPr>
          <w:rFonts w:ascii="Arial Narrow" w:hAnsi="Arial Narrow"/>
        </w:rPr>
        <w:t>Nejvyšší počet evidovaných uchazečů o zaměstnání připadajících na 1 volné pracovní místo v ORP Brno byl zaznamenán v roce 2011 (25,6 uchazečů na 1 volné místo). Vysoký počet uchazečů o zaměstnání připadajících na 1 volné pracovní místo byl zaznamenán také v roce 2012 (22,3). V období celosvětové pandemie viru SARS-CoV-2 se počet uchazečů o zaměstnání připadajících na 1 volné pracovní místo v ORP Brno nadále snižoval a v prosinci 2021 dosáhl hodnoty 0,7. V roce 2022 byl počet uchazečů na hodnotě 1,3 uchazeče na jedno pracovní místo. Za takto výraznou proměnu oproti roku 2021 může především zmiňovaný pokles volných pracovních pozic v třetím čtvrtletí roku 2022.</w:t>
      </w:r>
      <w:r w:rsidR="001333A8">
        <w:rPr>
          <w:rFonts w:ascii="Arial Narrow" w:hAnsi="Arial Narrow"/>
        </w:rPr>
        <w:t xml:space="preserve"> </w:t>
      </w:r>
      <w:r w:rsidRPr="00F24241">
        <w:rPr>
          <w:rFonts w:ascii="Arial Narrow" w:hAnsi="Arial Narrow"/>
        </w:rPr>
        <w:t>Vývoj počtu uchazečů o zaměstnání a volných pracovních míst v ORP Brno v letech 2005–2021 podrobně dokumentují tabulka</w:t>
      </w:r>
      <w:r w:rsidR="001333A8">
        <w:rPr>
          <w:rFonts w:ascii="Arial Narrow" w:hAnsi="Arial Narrow"/>
        </w:rPr>
        <w:t xml:space="preserve"> č. 37</w:t>
      </w:r>
      <w:r w:rsidRPr="00F24241">
        <w:rPr>
          <w:rFonts w:ascii="Arial Narrow" w:hAnsi="Arial Narrow"/>
        </w:rPr>
        <w:t xml:space="preserve">. </w:t>
      </w:r>
    </w:p>
    <w:p w14:paraId="1123F7E7" w14:textId="05E41086" w:rsidR="00F24241" w:rsidRPr="00CE357F" w:rsidRDefault="00F24241" w:rsidP="00F24241">
      <w:pPr>
        <w:spacing w:line="276" w:lineRule="auto"/>
        <w:jc w:val="both"/>
        <w:rPr>
          <w:rFonts w:ascii="Arial Narrow" w:hAnsi="Arial Narrow"/>
          <w:b/>
          <w:bCs/>
          <w:sz w:val="24"/>
          <w:szCs w:val="24"/>
        </w:rPr>
      </w:pPr>
      <w:bookmarkStart w:id="660" w:name="_Toc136429248"/>
      <w:r w:rsidRPr="00F24241">
        <w:rPr>
          <w:rFonts w:ascii="Arial Narrow" w:hAnsi="Arial Narrow"/>
          <w:b/>
          <w:bCs/>
          <w:sz w:val="20"/>
          <w:szCs w:val="20"/>
        </w:rPr>
        <w:t xml:space="preserve">Tabulka </w:t>
      </w:r>
      <w:r w:rsidRPr="00F24241">
        <w:rPr>
          <w:rFonts w:ascii="Arial Narrow" w:hAnsi="Arial Narrow"/>
          <w:b/>
          <w:bCs/>
          <w:sz w:val="20"/>
          <w:szCs w:val="20"/>
        </w:rPr>
        <w:fldChar w:fldCharType="begin"/>
      </w:r>
      <w:r w:rsidRPr="00F24241">
        <w:rPr>
          <w:rFonts w:ascii="Arial Narrow" w:hAnsi="Arial Narrow"/>
          <w:b/>
          <w:bCs/>
          <w:sz w:val="20"/>
          <w:szCs w:val="20"/>
        </w:rPr>
        <w:instrText xml:space="preserve"> SEQ Tabulka \* ARABIC </w:instrText>
      </w:r>
      <w:r w:rsidRPr="00F24241">
        <w:rPr>
          <w:rFonts w:ascii="Arial Narrow" w:hAnsi="Arial Narrow"/>
          <w:b/>
          <w:bCs/>
          <w:sz w:val="20"/>
          <w:szCs w:val="20"/>
        </w:rPr>
        <w:fldChar w:fldCharType="separate"/>
      </w:r>
      <w:r w:rsidR="00256C97">
        <w:rPr>
          <w:rFonts w:ascii="Arial Narrow" w:hAnsi="Arial Narrow"/>
          <w:b/>
          <w:bCs/>
          <w:noProof/>
          <w:sz w:val="20"/>
          <w:szCs w:val="20"/>
        </w:rPr>
        <w:t>37</w:t>
      </w:r>
      <w:r w:rsidRPr="00F24241">
        <w:rPr>
          <w:rFonts w:ascii="Arial Narrow" w:hAnsi="Arial Narrow"/>
          <w:b/>
          <w:bCs/>
          <w:sz w:val="20"/>
          <w:szCs w:val="20"/>
        </w:rPr>
        <w:fldChar w:fldCharType="end"/>
      </w:r>
      <w:r w:rsidRPr="00F24241">
        <w:rPr>
          <w:rFonts w:ascii="Arial Narrow" w:hAnsi="Arial Narrow"/>
          <w:b/>
          <w:bCs/>
          <w:sz w:val="20"/>
          <w:szCs w:val="20"/>
        </w:rPr>
        <w:t xml:space="preserve">:  </w:t>
      </w:r>
      <w:r w:rsidRPr="00F24241">
        <w:rPr>
          <w:rFonts w:ascii="Arial Narrow" w:eastAsia="Times New Roman" w:hAnsi="Arial Narrow" w:cs="Arial"/>
          <w:b/>
          <w:bCs/>
          <w:sz w:val="20"/>
          <w:szCs w:val="20"/>
          <w:lang w:eastAsia="cs-CZ"/>
        </w:rPr>
        <w:t>Vývoj počtu uchazečů o zaměstnání a volných pracovních míst v ORP Brno v letech 2005-2022</w:t>
      </w:r>
      <w:bookmarkEnd w:id="660"/>
    </w:p>
    <w:tbl>
      <w:tblPr>
        <w:tblW w:w="4942" w:type="pct"/>
        <w:tblInd w:w="108"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918"/>
        <w:gridCol w:w="1033"/>
        <w:gridCol w:w="1501"/>
        <w:gridCol w:w="1128"/>
        <w:gridCol w:w="1410"/>
        <w:gridCol w:w="1229"/>
        <w:gridCol w:w="1738"/>
      </w:tblGrid>
      <w:tr w:rsidR="00EA186A" w:rsidRPr="00CE357F" w14:paraId="2BCB8C5A" w14:textId="77777777" w:rsidTr="00F24241">
        <w:trPr>
          <w:trHeight w:val="711"/>
        </w:trPr>
        <w:tc>
          <w:tcPr>
            <w:tcW w:w="918" w:type="dxa"/>
            <w:shd w:val="clear" w:color="auto" w:fill="D9E2F3" w:themeFill="accent1" w:themeFillTint="33"/>
            <w:vAlign w:val="center"/>
          </w:tcPr>
          <w:p w14:paraId="2AA50FB1" w14:textId="77777777" w:rsidR="00EA186A" w:rsidRPr="00CE357F" w:rsidRDefault="00EA186A" w:rsidP="00EA186A">
            <w:pPr>
              <w:spacing w:after="46"/>
              <w:jc w:val="center"/>
              <w:rPr>
                <w:rFonts w:ascii="Arial Narrow" w:hAnsi="Arial Narrow"/>
                <w:sz w:val="18"/>
                <w:szCs w:val="18"/>
              </w:rPr>
            </w:pPr>
            <w:r w:rsidRPr="00CE357F">
              <w:rPr>
                <w:rFonts w:ascii="Arial Narrow" w:hAnsi="Arial Narrow"/>
                <w:sz w:val="18"/>
                <w:szCs w:val="18"/>
              </w:rPr>
              <w:t xml:space="preserve">ORP BRNO </w:t>
            </w:r>
          </w:p>
        </w:tc>
        <w:tc>
          <w:tcPr>
            <w:tcW w:w="1033" w:type="dxa"/>
            <w:shd w:val="clear" w:color="auto" w:fill="D9E2F3" w:themeFill="accent1" w:themeFillTint="33"/>
            <w:vAlign w:val="center"/>
          </w:tcPr>
          <w:p w14:paraId="1957C654" w14:textId="77777777" w:rsidR="00EA186A" w:rsidRPr="00CE357F" w:rsidRDefault="00EA186A" w:rsidP="00EA186A">
            <w:pPr>
              <w:spacing w:after="46"/>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Uchazeči o zaměstnání</w:t>
            </w:r>
          </w:p>
        </w:tc>
        <w:tc>
          <w:tcPr>
            <w:tcW w:w="1501" w:type="dxa"/>
            <w:shd w:val="clear" w:color="auto" w:fill="D9E2F3" w:themeFill="accent1" w:themeFillTint="33"/>
            <w:vAlign w:val="center"/>
          </w:tcPr>
          <w:p w14:paraId="576053DD" w14:textId="78A1A3E0" w:rsidR="00EA186A" w:rsidRPr="00CE357F" w:rsidRDefault="00EA186A" w:rsidP="00EA186A">
            <w:pPr>
              <w:spacing w:after="46"/>
              <w:jc w:val="center"/>
              <w:rPr>
                <w:rFonts w:ascii="Arial Narrow" w:hAnsi="Arial Narrow"/>
                <w:sz w:val="18"/>
                <w:szCs w:val="18"/>
              </w:rPr>
            </w:pPr>
            <w:r w:rsidRPr="00CE357F">
              <w:rPr>
                <w:rFonts w:ascii="Arial Narrow" w:hAnsi="Arial Narrow"/>
                <w:sz w:val="18"/>
                <w:szCs w:val="18"/>
              </w:rPr>
              <w:t xml:space="preserve">Dosažitelní uchazeči </w:t>
            </w:r>
            <w:r w:rsidR="00F24241" w:rsidRPr="00CE357F">
              <w:rPr>
                <w:rFonts w:ascii="Arial Narrow" w:hAnsi="Arial Narrow"/>
                <w:sz w:val="18"/>
                <w:szCs w:val="18"/>
              </w:rPr>
              <w:t>15–64</w:t>
            </w:r>
            <w:r w:rsidRPr="00CE357F">
              <w:rPr>
                <w:rFonts w:ascii="Arial Narrow" w:hAnsi="Arial Narrow"/>
                <w:sz w:val="18"/>
                <w:szCs w:val="18"/>
              </w:rPr>
              <w:t xml:space="preserve"> let</w:t>
            </w:r>
          </w:p>
        </w:tc>
        <w:tc>
          <w:tcPr>
            <w:tcW w:w="1128" w:type="dxa"/>
            <w:shd w:val="clear" w:color="auto" w:fill="D9E2F3" w:themeFill="accent1" w:themeFillTint="33"/>
            <w:vAlign w:val="center"/>
          </w:tcPr>
          <w:p w14:paraId="257E2CD7" w14:textId="70A38B90" w:rsidR="00EA186A" w:rsidRPr="00CE357F" w:rsidRDefault="00EA186A" w:rsidP="00EA186A">
            <w:pPr>
              <w:spacing w:after="46"/>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 xml:space="preserve">Obyvatelstvo </w:t>
            </w:r>
            <w:r w:rsidR="00F24241" w:rsidRPr="00CE357F">
              <w:rPr>
                <w:rFonts w:ascii="Arial Narrow" w:eastAsia="Times New Roman" w:hAnsi="Arial Narrow" w:cs="Arial"/>
                <w:bCs/>
                <w:sz w:val="18"/>
                <w:szCs w:val="18"/>
                <w:lang w:eastAsia="cs-CZ"/>
              </w:rPr>
              <w:t>15–64</w:t>
            </w:r>
            <w:r w:rsidRPr="00CE357F">
              <w:rPr>
                <w:rFonts w:ascii="Arial Narrow" w:eastAsia="Times New Roman" w:hAnsi="Arial Narrow" w:cs="Arial"/>
                <w:bCs/>
                <w:sz w:val="18"/>
                <w:szCs w:val="18"/>
                <w:lang w:eastAsia="cs-CZ"/>
              </w:rPr>
              <w:t xml:space="preserve"> let</w:t>
            </w:r>
          </w:p>
        </w:tc>
        <w:tc>
          <w:tcPr>
            <w:tcW w:w="1410" w:type="dxa"/>
            <w:shd w:val="clear" w:color="auto" w:fill="D9E2F3" w:themeFill="accent1" w:themeFillTint="33"/>
            <w:vAlign w:val="center"/>
          </w:tcPr>
          <w:p w14:paraId="748AE8A1" w14:textId="77777777" w:rsidR="00EA186A" w:rsidRPr="00CE357F" w:rsidRDefault="00EA186A" w:rsidP="00EA186A">
            <w:pPr>
              <w:spacing w:after="46"/>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Podíl nezaměstnanosti osob (v %)</w:t>
            </w:r>
          </w:p>
        </w:tc>
        <w:tc>
          <w:tcPr>
            <w:tcW w:w="1229" w:type="dxa"/>
            <w:shd w:val="clear" w:color="auto" w:fill="D9E2F3" w:themeFill="accent1" w:themeFillTint="33"/>
            <w:vAlign w:val="center"/>
          </w:tcPr>
          <w:p w14:paraId="100B4EFE" w14:textId="77777777" w:rsidR="00EA186A" w:rsidRPr="00CE357F" w:rsidRDefault="00EA186A" w:rsidP="00EA186A">
            <w:pPr>
              <w:spacing w:after="46"/>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Volná pracovní místa</w:t>
            </w:r>
          </w:p>
        </w:tc>
        <w:tc>
          <w:tcPr>
            <w:tcW w:w="1738" w:type="dxa"/>
            <w:shd w:val="clear" w:color="auto" w:fill="D9E2F3" w:themeFill="accent1" w:themeFillTint="33"/>
          </w:tcPr>
          <w:p w14:paraId="1CE22C55" w14:textId="77777777" w:rsidR="00EA186A" w:rsidRPr="00CE357F" w:rsidRDefault="00EA186A" w:rsidP="00EA186A">
            <w:pPr>
              <w:spacing w:after="46"/>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Počet uchazečů připadajících na 1 volné pracovní místo</w:t>
            </w:r>
          </w:p>
        </w:tc>
      </w:tr>
      <w:tr w:rsidR="00F24241" w:rsidRPr="00CE357F" w14:paraId="79B19A23" w14:textId="77777777" w:rsidTr="00F24241">
        <w:trPr>
          <w:trHeight w:val="204"/>
        </w:trPr>
        <w:tc>
          <w:tcPr>
            <w:tcW w:w="918" w:type="dxa"/>
            <w:shd w:val="clear" w:color="auto" w:fill="D9E2F3" w:themeFill="accent1" w:themeFillTint="33"/>
            <w:vAlign w:val="center"/>
          </w:tcPr>
          <w:p w14:paraId="58721DFF" w14:textId="432FF1FE" w:rsidR="00F24241" w:rsidRPr="00CE357F" w:rsidRDefault="00F24241" w:rsidP="00F24241">
            <w:pPr>
              <w:jc w:val="center"/>
              <w:rPr>
                <w:rFonts w:ascii="Arial Narrow" w:hAnsi="Arial Narrow" w:cs="Arial"/>
                <w:b/>
                <w:sz w:val="18"/>
                <w:szCs w:val="18"/>
              </w:rPr>
            </w:pPr>
            <w:r>
              <w:rPr>
                <w:rFonts w:ascii="Arial Narrow" w:hAnsi="Arial Narrow" w:cs="Arial"/>
                <w:b/>
                <w:sz w:val="18"/>
                <w:szCs w:val="18"/>
              </w:rPr>
              <w:t>2022</w:t>
            </w:r>
          </w:p>
        </w:tc>
        <w:tc>
          <w:tcPr>
            <w:tcW w:w="1033" w:type="dxa"/>
            <w:vAlign w:val="center"/>
          </w:tcPr>
          <w:p w14:paraId="2CF5B32D" w14:textId="216362A9" w:rsidR="00F24241" w:rsidRPr="00CE357F" w:rsidRDefault="00F24241" w:rsidP="00F24241">
            <w:pPr>
              <w:jc w:val="center"/>
              <w:rPr>
                <w:rFonts w:ascii="Arial Narrow" w:hAnsi="Arial Narrow"/>
                <w:bCs/>
                <w:sz w:val="18"/>
                <w:szCs w:val="18"/>
              </w:rPr>
            </w:pPr>
            <w:r>
              <w:rPr>
                <w:rFonts w:ascii="Arial Narrow" w:hAnsi="Arial Narrow"/>
                <w:bCs/>
                <w:sz w:val="18"/>
                <w:szCs w:val="18"/>
              </w:rPr>
              <w:t>13 304</w:t>
            </w:r>
          </w:p>
        </w:tc>
        <w:tc>
          <w:tcPr>
            <w:tcW w:w="1501" w:type="dxa"/>
            <w:vAlign w:val="center"/>
          </w:tcPr>
          <w:p w14:paraId="68E7A2A2" w14:textId="7CCCA882" w:rsidR="00F24241" w:rsidRPr="00CE357F" w:rsidRDefault="00F24241" w:rsidP="00F24241">
            <w:pPr>
              <w:jc w:val="center"/>
              <w:rPr>
                <w:rFonts w:ascii="Arial Narrow" w:hAnsi="Arial Narrow"/>
                <w:sz w:val="18"/>
                <w:szCs w:val="18"/>
              </w:rPr>
            </w:pPr>
            <w:r>
              <w:rPr>
                <w:rFonts w:ascii="Arial Narrow" w:hAnsi="Arial Narrow"/>
                <w:sz w:val="18"/>
                <w:szCs w:val="18"/>
              </w:rPr>
              <w:t>12 137</w:t>
            </w:r>
          </w:p>
        </w:tc>
        <w:tc>
          <w:tcPr>
            <w:tcW w:w="1128" w:type="dxa"/>
            <w:vAlign w:val="center"/>
          </w:tcPr>
          <w:p w14:paraId="1957002A" w14:textId="52698F7E" w:rsidR="00F24241" w:rsidRPr="00CE357F" w:rsidRDefault="00F24241" w:rsidP="00F24241">
            <w:pPr>
              <w:jc w:val="center"/>
              <w:rPr>
                <w:rFonts w:ascii="Arial Narrow" w:hAnsi="Arial Narrow"/>
                <w:sz w:val="18"/>
                <w:szCs w:val="18"/>
              </w:rPr>
            </w:pPr>
            <w:r>
              <w:rPr>
                <w:rFonts w:ascii="Arial Narrow" w:hAnsi="Arial Narrow"/>
                <w:sz w:val="18"/>
                <w:szCs w:val="18"/>
              </w:rPr>
              <w:t>-</w:t>
            </w:r>
          </w:p>
        </w:tc>
        <w:tc>
          <w:tcPr>
            <w:tcW w:w="1410" w:type="dxa"/>
          </w:tcPr>
          <w:p w14:paraId="39AE0088" w14:textId="36B2AFD0" w:rsidR="00F24241" w:rsidRPr="00CE357F" w:rsidRDefault="00F24241" w:rsidP="00F24241">
            <w:pPr>
              <w:jc w:val="center"/>
              <w:rPr>
                <w:rFonts w:ascii="Arial Narrow" w:hAnsi="Arial Narrow"/>
                <w:sz w:val="18"/>
                <w:szCs w:val="18"/>
              </w:rPr>
            </w:pPr>
            <w:r>
              <w:rPr>
                <w:rFonts w:ascii="Arial Narrow" w:hAnsi="Arial Narrow"/>
                <w:sz w:val="18"/>
                <w:szCs w:val="18"/>
              </w:rPr>
              <w:t>5,1</w:t>
            </w:r>
          </w:p>
        </w:tc>
        <w:tc>
          <w:tcPr>
            <w:tcW w:w="1229" w:type="dxa"/>
          </w:tcPr>
          <w:p w14:paraId="635740DD" w14:textId="000F8CA4" w:rsidR="00F24241" w:rsidRPr="00CE357F" w:rsidRDefault="00F24241" w:rsidP="00F24241">
            <w:pPr>
              <w:jc w:val="center"/>
              <w:rPr>
                <w:rFonts w:ascii="Arial Narrow" w:hAnsi="Arial Narrow"/>
                <w:sz w:val="18"/>
                <w:szCs w:val="18"/>
              </w:rPr>
            </w:pPr>
            <w:r>
              <w:rPr>
                <w:rFonts w:ascii="Arial Narrow" w:hAnsi="Arial Narrow"/>
                <w:sz w:val="18"/>
                <w:szCs w:val="18"/>
              </w:rPr>
              <w:t>10 618</w:t>
            </w:r>
          </w:p>
        </w:tc>
        <w:tc>
          <w:tcPr>
            <w:tcW w:w="1738" w:type="dxa"/>
          </w:tcPr>
          <w:p w14:paraId="256047DC" w14:textId="6F932D64" w:rsidR="00F24241" w:rsidRPr="00CE357F" w:rsidRDefault="00F24241" w:rsidP="00F24241">
            <w:pPr>
              <w:jc w:val="center"/>
              <w:rPr>
                <w:rFonts w:ascii="Arial Narrow" w:hAnsi="Arial Narrow"/>
                <w:sz w:val="18"/>
                <w:szCs w:val="18"/>
              </w:rPr>
            </w:pPr>
            <w:r>
              <w:rPr>
                <w:rFonts w:ascii="Arial Narrow" w:hAnsi="Arial Narrow"/>
                <w:sz w:val="18"/>
                <w:szCs w:val="18"/>
              </w:rPr>
              <w:t>1,3</w:t>
            </w:r>
          </w:p>
        </w:tc>
      </w:tr>
      <w:tr w:rsidR="00F24241" w:rsidRPr="00CE357F" w14:paraId="769DD4B2" w14:textId="77777777" w:rsidTr="00F24241">
        <w:trPr>
          <w:trHeight w:val="204"/>
        </w:trPr>
        <w:tc>
          <w:tcPr>
            <w:tcW w:w="918" w:type="dxa"/>
            <w:shd w:val="clear" w:color="auto" w:fill="D9E2F3" w:themeFill="accent1" w:themeFillTint="33"/>
            <w:vAlign w:val="center"/>
          </w:tcPr>
          <w:p w14:paraId="3AD41982"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2021</w:t>
            </w:r>
          </w:p>
        </w:tc>
        <w:tc>
          <w:tcPr>
            <w:tcW w:w="1033" w:type="dxa"/>
            <w:vAlign w:val="center"/>
          </w:tcPr>
          <w:p w14:paraId="75E36EA2"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11 762</w:t>
            </w:r>
          </w:p>
        </w:tc>
        <w:tc>
          <w:tcPr>
            <w:tcW w:w="1501" w:type="dxa"/>
            <w:vAlign w:val="center"/>
          </w:tcPr>
          <w:p w14:paraId="311837F6"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10 648</w:t>
            </w:r>
          </w:p>
        </w:tc>
        <w:tc>
          <w:tcPr>
            <w:tcW w:w="1128" w:type="dxa"/>
            <w:vAlign w:val="center"/>
          </w:tcPr>
          <w:p w14:paraId="09279CA1"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236 955</w:t>
            </w:r>
          </w:p>
        </w:tc>
        <w:tc>
          <w:tcPr>
            <w:tcW w:w="1410" w:type="dxa"/>
          </w:tcPr>
          <w:p w14:paraId="4FB0922C"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4,5</w:t>
            </w:r>
          </w:p>
        </w:tc>
        <w:tc>
          <w:tcPr>
            <w:tcW w:w="1229" w:type="dxa"/>
          </w:tcPr>
          <w:p w14:paraId="43E478FA"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17 924</w:t>
            </w:r>
          </w:p>
        </w:tc>
        <w:tc>
          <w:tcPr>
            <w:tcW w:w="1738" w:type="dxa"/>
          </w:tcPr>
          <w:p w14:paraId="2F01E43D"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0,7</w:t>
            </w:r>
          </w:p>
        </w:tc>
      </w:tr>
      <w:tr w:rsidR="00F24241" w:rsidRPr="00CE357F" w14:paraId="059E4F1F" w14:textId="77777777" w:rsidTr="00F24241">
        <w:trPr>
          <w:trHeight w:val="204"/>
        </w:trPr>
        <w:tc>
          <w:tcPr>
            <w:tcW w:w="918" w:type="dxa"/>
            <w:shd w:val="clear" w:color="auto" w:fill="D9E2F3" w:themeFill="accent1" w:themeFillTint="33"/>
            <w:vAlign w:val="center"/>
          </w:tcPr>
          <w:p w14:paraId="1FF59705"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2020</w:t>
            </w:r>
          </w:p>
        </w:tc>
        <w:tc>
          <w:tcPr>
            <w:tcW w:w="1033" w:type="dxa"/>
            <w:vAlign w:val="center"/>
          </w:tcPr>
          <w:p w14:paraId="2BAF52F0"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13 194</w:t>
            </w:r>
          </w:p>
        </w:tc>
        <w:tc>
          <w:tcPr>
            <w:tcW w:w="1501" w:type="dxa"/>
            <w:vAlign w:val="center"/>
          </w:tcPr>
          <w:p w14:paraId="000D9CE7"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12 136</w:t>
            </w:r>
          </w:p>
        </w:tc>
        <w:tc>
          <w:tcPr>
            <w:tcW w:w="1128" w:type="dxa"/>
            <w:vAlign w:val="center"/>
          </w:tcPr>
          <w:p w14:paraId="254909FC"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234 296</w:t>
            </w:r>
          </w:p>
        </w:tc>
        <w:tc>
          <w:tcPr>
            <w:tcW w:w="1410" w:type="dxa"/>
          </w:tcPr>
          <w:p w14:paraId="7E10C7A2"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5,2</w:t>
            </w:r>
          </w:p>
        </w:tc>
        <w:tc>
          <w:tcPr>
            <w:tcW w:w="1229" w:type="dxa"/>
          </w:tcPr>
          <w:p w14:paraId="64C79D71"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14 482</w:t>
            </w:r>
          </w:p>
        </w:tc>
        <w:tc>
          <w:tcPr>
            <w:tcW w:w="1738" w:type="dxa"/>
          </w:tcPr>
          <w:p w14:paraId="58EFE12D"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0,9</w:t>
            </w:r>
          </w:p>
        </w:tc>
      </w:tr>
      <w:tr w:rsidR="00F24241" w:rsidRPr="00CE357F" w14:paraId="46CA2210" w14:textId="77777777" w:rsidTr="00F24241">
        <w:trPr>
          <w:trHeight w:val="204"/>
        </w:trPr>
        <w:tc>
          <w:tcPr>
            <w:tcW w:w="918" w:type="dxa"/>
            <w:shd w:val="clear" w:color="auto" w:fill="D9E2F3" w:themeFill="accent1" w:themeFillTint="33"/>
            <w:vAlign w:val="center"/>
          </w:tcPr>
          <w:p w14:paraId="254E0E96"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lastRenderedPageBreak/>
              <w:t>2019</w:t>
            </w:r>
          </w:p>
        </w:tc>
        <w:tc>
          <w:tcPr>
            <w:tcW w:w="1033" w:type="dxa"/>
            <w:vAlign w:val="center"/>
          </w:tcPr>
          <w:p w14:paraId="3E925E6B"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9 885</w:t>
            </w:r>
          </w:p>
        </w:tc>
        <w:tc>
          <w:tcPr>
            <w:tcW w:w="1501" w:type="dxa"/>
            <w:vAlign w:val="center"/>
          </w:tcPr>
          <w:p w14:paraId="103D051E"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8 724</w:t>
            </w:r>
          </w:p>
        </w:tc>
        <w:tc>
          <w:tcPr>
            <w:tcW w:w="1128" w:type="dxa"/>
            <w:vAlign w:val="center"/>
          </w:tcPr>
          <w:p w14:paraId="0FFA0600"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259 317</w:t>
            </w:r>
          </w:p>
        </w:tc>
        <w:tc>
          <w:tcPr>
            <w:tcW w:w="1410" w:type="dxa"/>
          </w:tcPr>
          <w:p w14:paraId="05C4E706"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3,4</w:t>
            </w:r>
          </w:p>
        </w:tc>
        <w:tc>
          <w:tcPr>
            <w:tcW w:w="1229" w:type="dxa"/>
          </w:tcPr>
          <w:p w14:paraId="6DDF8D6B"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10 323</w:t>
            </w:r>
          </w:p>
        </w:tc>
        <w:tc>
          <w:tcPr>
            <w:tcW w:w="1738" w:type="dxa"/>
          </w:tcPr>
          <w:p w14:paraId="34414393"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1,0</w:t>
            </w:r>
          </w:p>
        </w:tc>
      </w:tr>
      <w:tr w:rsidR="00F24241" w:rsidRPr="00CE357F" w14:paraId="76D0BF42" w14:textId="77777777" w:rsidTr="00F24241">
        <w:trPr>
          <w:trHeight w:val="204"/>
        </w:trPr>
        <w:tc>
          <w:tcPr>
            <w:tcW w:w="918" w:type="dxa"/>
            <w:shd w:val="clear" w:color="auto" w:fill="D9E2F3" w:themeFill="accent1" w:themeFillTint="33"/>
            <w:vAlign w:val="center"/>
          </w:tcPr>
          <w:p w14:paraId="53899A7A"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2018</w:t>
            </w:r>
          </w:p>
        </w:tc>
        <w:tc>
          <w:tcPr>
            <w:tcW w:w="1033" w:type="dxa"/>
            <w:vAlign w:val="center"/>
          </w:tcPr>
          <w:p w14:paraId="60F80BEA"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11 211</w:t>
            </w:r>
          </w:p>
        </w:tc>
        <w:tc>
          <w:tcPr>
            <w:tcW w:w="1501" w:type="dxa"/>
            <w:vAlign w:val="center"/>
          </w:tcPr>
          <w:p w14:paraId="26EE08CB"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10 097</w:t>
            </w:r>
          </w:p>
        </w:tc>
        <w:tc>
          <w:tcPr>
            <w:tcW w:w="1128" w:type="dxa"/>
            <w:vAlign w:val="center"/>
          </w:tcPr>
          <w:p w14:paraId="14D42618"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259 210</w:t>
            </w:r>
          </w:p>
        </w:tc>
        <w:tc>
          <w:tcPr>
            <w:tcW w:w="1410" w:type="dxa"/>
          </w:tcPr>
          <w:p w14:paraId="29C63219"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3,9</w:t>
            </w:r>
          </w:p>
        </w:tc>
        <w:tc>
          <w:tcPr>
            <w:tcW w:w="1229" w:type="dxa"/>
          </w:tcPr>
          <w:p w14:paraId="337CB895"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7 882</w:t>
            </w:r>
          </w:p>
        </w:tc>
        <w:tc>
          <w:tcPr>
            <w:tcW w:w="1738" w:type="dxa"/>
          </w:tcPr>
          <w:p w14:paraId="52C1FB41"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1,4</w:t>
            </w:r>
          </w:p>
        </w:tc>
      </w:tr>
      <w:tr w:rsidR="00F24241" w:rsidRPr="00CE357F" w14:paraId="364746C9" w14:textId="77777777" w:rsidTr="00F24241">
        <w:trPr>
          <w:trHeight w:val="204"/>
        </w:trPr>
        <w:tc>
          <w:tcPr>
            <w:tcW w:w="918" w:type="dxa"/>
            <w:shd w:val="clear" w:color="auto" w:fill="D9E2F3" w:themeFill="accent1" w:themeFillTint="33"/>
            <w:vAlign w:val="center"/>
          </w:tcPr>
          <w:p w14:paraId="41462E3A"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2017</w:t>
            </w:r>
          </w:p>
        </w:tc>
        <w:tc>
          <w:tcPr>
            <w:tcW w:w="1033" w:type="dxa"/>
            <w:vAlign w:val="center"/>
          </w:tcPr>
          <w:p w14:paraId="3C684C73"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12 932</w:t>
            </w:r>
          </w:p>
        </w:tc>
        <w:tc>
          <w:tcPr>
            <w:tcW w:w="1501" w:type="dxa"/>
            <w:vAlign w:val="center"/>
          </w:tcPr>
          <w:p w14:paraId="0849A867"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11 794</w:t>
            </w:r>
          </w:p>
        </w:tc>
        <w:tc>
          <w:tcPr>
            <w:tcW w:w="1128" w:type="dxa"/>
            <w:vAlign w:val="center"/>
          </w:tcPr>
          <w:p w14:paraId="0CCE3BFB"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259 422</w:t>
            </w:r>
          </w:p>
        </w:tc>
        <w:tc>
          <w:tcPr>
            <w:tcW w:w="1410" w:type="dxa"/>
          </w:tcPr>
          <w:p w14:paraId="5EDFC760"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4,5</w:t>
            </w:r>
          </w:p>
        </w:tc>
        <w:tc>
          <w:tcPr>
            <w:tcW w:w="1229" w:type="dxa"/>
          </w:tcPr>
          <w:p w14:paraId="49F09ABF"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6 060</w:t>
            </w:r>
          </w:p>
        </w:tc>
        <w:tc>
          <w:tcPr>
            <w:tcW w:w="1738" w:type="dxa"/>
          </w:tcPr>
          <w:p w14:paraId="2E6D684E"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2,1</w:t>
            </w:r>
          </w:p>
        </w:tc>
      </w:tr>
      <w:tr w:rsidR="00F24241" w:rsidRPr="00CE357F" w14:paraId="4F0449A8" w14:textId="77777777" w:rsidTr="00F24241">
        <w:trPr>
          <w:trHeight w:val="204"/>
        </w:trPr>
        <w:tc>
          <w:tcPr>
            <w:tcW w:w="918" w:type="dxa"/>
            <w:shd w:val="clear" w:color="auto" w:fill="D9E2F3" w:themeFill="accent1" w:themeFillTint="33"/>
            <w:vAlign w:val="center"/>
          </w:tcPr>
          <w:p w14:paraId="67736DAD"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2016</w:t>
            </w:r>
          </w:p>
        </w:tc>
        <w:tc>
          <w:tcPr>
            <w:tcW w:w="1033" w:type="dxa"/>
            <w:vAlign w:val="center"/>
          </w:tcPr>
          <w:p w14:paraId="52436BD3"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17 023</w:t>
            </w:r>
          </w:p>
        </w:tc>
        <w:tc>
          <w:tcPr>
            <w:tcW w:w="1501" w:type="dxa"/>
            <w:vAlign w:val="center"/>
          </w:tcPr>
          <w:p w14:paraId="7F8C5FA8"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16 033</w:t>
            </w:r>
          </w:p>
        </w:tc>
        <w:tc>
          <w:tcPr>
            <w:tcW w:w="1128" w:type="dxa"/>
            <w:vAlign w:val="center"/>
          </w:tcPr>
          <w:p w14:paraId="473EA059"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251 000</w:t>
            </w:r>
          </w:p>
        </w:tc>
        <w:tc>
          <w:tcPr>
            <w:tcW w:w="1410" w:type="dxa"/>
          </w:tcPr>
          <w:p w14:paraId="489A5AF6"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6,4</w:t>
            </w:r>
          </w:p>
        </w:tc>
        <w:tc>
          <w:tcPr>
            <w:tcW w:w="1229" w:type="dxa"/>
          </w:tcPr>
          <w:p w14:paraId="64A06708"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3 651</w:t>
            </w:r>
          </w:p>
        </w:tc>
        <w:tc>
          <w:tcPr>
            <w:tcW w:w="1738" w:type="dxa"/>
          </w:tcPr>
          <w:p w14:paraId="789D8BAC"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4,7</w:t>
            </w:r>
          </w:p>
        </w:tc>
      </w:tr>
      <w:tr w:rsidR="00F24241" w:rsidRPr="00CE357F" w14:paraId="4FF2AB65" w14:textId="77777777" w:rsidTr="00F24241">
        <w:trPr>
          <w:trHeight w:val="204"/>
        </w:trPr>
        <w:tc>
          <w:tcPr>
            <w:tcW w:w="918" w:type="dxa"/>
            <w:shd w:val="clear" w:color="auto" w:fill="D9E2F3" w:themeFill="accent1" w:themeFillTint="33"/>
            <w:vAlign w:val="center"/>
          </w:tcPr>
          <w:p w14:paraId="728A9BC1"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2015</w:t>
            </w:r>
          </w:p>
        </w:tc>
        <w:tc>
          <w:tcPr>
            <w:tcW w:w="1033" w:type="dxa"/>
            <w:vAlign w:val="center"/>
          </w:tcPr>
          <w:p w14:paraId="4A862044"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18 989</w:t>
            </w:r>
          </w:p>
        </w:tc>
        <w:tc>
          <w:tcPr>
            <w:tcW w:w="1501" w:type="dxa"/>
            <w:vAlign w:val="center"/>
          </w:tcPr>
          <w:p w14:paraId="1690B2CA"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18 197</w:t>
            </w:r>
          </w:p>
        </w:tc>
        <w:tc>
          <w:tcPr>
            <w:tcW w:w="1128" w:type="dxa"/>
            <w:vAlign w:val="center"/>
          </w:tcPr>
          <w:p w14:paraId="482799F1"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251 000</w:t>
            </w:r>
          </w:p>
        </w:tc>
        <w:tc>
          <w:tcPr>
            <w:tcW w:w="1410" w:type="dxa"/>
          </w:tcPr>
          <w:p w14:paraId="324992FC"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7,3</w:t>
            </w:r>
          </w:p>
        </w:tc>
        <w:tc>
          <w:tcPr>
            <w:tcW w:w="1229" w:type="dxa"/>
          </w:tcPr>
          <w:p w14:paraId="4B989E9E"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3 165</w:t>
            </w:r>
          </w:p>
        </w:tc>
        <w:tc>
          <w:tcPr>
            <w:tcW w:w="1738" w:type="dxa"/>
          </w:tcPr>
          <w:p w14:paraId="390A01C5"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6,0</w:t>
            </w:r>
          </w:p>
        </w:tc>
      </w:tr>
      <w:tr w:rsidR="00F24241" w:rsidRPr="00CE357F" w14:paraId="02733DBA" w14:textId="77777777" w:rsidTr="00F24241">
        <w:trPr>
          <w:trHeight w:val="204"/>
        </w:trPr>
        <w:tc>
          <w:tcPr>
            <w:tcW w:w="918" w:type="dxa"/>
            <w:shd w:val="clear" w:color="auto" w:fill="D9E2F3" w:themeFill="accent1" w:themeFillTint="33"/>
            <w:vAlign w:val="center"/>
          </w:tcPr>
          <w:p w14:paraId="2BA630D0"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2014</w:t>
            </w:r>
          </w:p>
        </w:tc>
        <w:tc>
          <w:tcPr>
            <w:tcW w:w="1033" w:type="dxa"/>
            <w:vAlign w:val="center"/>
          </w:tcPr>
          <w:p w14:paraId="21AB5D5A"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21 905</w:t>
            </w:r>
          </w:p>
        </w:tc>
        <w:tc>
          <w:tcPr>
            <w:tcW w:w="1501" w:type="dxa"/>
            <w:vAlign w:val="center"/>
          </w:tcPr>
          <w:p w14:paraId="46290B9A"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21 110</w:t>
            </w:r>
          </w:p>
        </w:tc>
        <w:tc>
          <w:tcPr>
            <w:tcW w:w="1128" w:type="dxa"/>
            <w:vAlign w:val="center"/>
          </w:tcPr>
          <w:p w14:paraId="2FAEFED8"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251 000</w:t>
            </w:r>
          </w:p>
        </w:tc>
        <w:tc>
          <w:tcPr>
            <w:tcW w:w="1410" w:type="dxa"/>
          </w:tcPr>
          <w:p w14:paraId="67736D86"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8,4</w:t>
            </w:r>
          </w:p>
        </w:tc>
        <w:tc>
          <w:tcPr>
            <w:tcW w:w="1229" w:type="dxa"/>
          </w:tcPr>
          <w:p w14:paraId="523D8B57"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1 456</w:t>
            </w:r>
          </w:p>
        </w:tc>
        <w:tc>
          <w:tcPr>
            <w:tcW w:w="1738" w:type="dxa"/>
          </w:tcPr>
          <w:p w14:paraId="1E176465"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15,0</w:t>
            </w:r>
          </w:p>
        </w:tc>
      </w:tr>
      <w:tr w:rsidR="00F24241" w:rsidRPr="00CE357F" w14:paraId="1FDC453B" w14:textId="77777777" w:rsidTr="00F24241">
        <w:trPr>
          <w:trHeight w:val="204"/>
        </w:trPr>
        <w:tc>
          <w:tcPr>
            <w:tcW w:w="918" w:type="dxa"/>
            <w:shd w:val="clear" w:color="auto" w:fill="D9E2F3" w:themeFill="accent1" w:themeFillTint="33"/>
            <w:vAlign w:val="center"/>
          </w:tcPr>
          <w:p w14:paraId="1A13C38B"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2013</w:t>
            </w:r>
          </w:p>
        </w:tc>
        <w:tc>
          <w:tcPr>
            <w:tcW w:w="1033" w:type="dxa"/>
            <w:vAlign w:val="center"/>
          </w:tcPr>
          <w:p w14:paraId="03415D1B"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5 623</w:t>
            </w:r>
          </w:p>
        </w:tc>
        <w:tc>
          <w:tcPr>
            <w:tcW w:w="1501" w:type="dxa"/>
            <w:vAlign w:val="center"/>
          </w:tcPr>
          <w:p w14:paraId="7D9D825D"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1E9F146A"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57DEDCD4"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1BCAA54F"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359</w:t>
            </w:r>
          </w:p>
        </w:tc>
        <w:tc>
          <w:tcPr>
            <w:tcW w:w="1738" w:type="dxa"/>
          </w:tcPr>
          <w:p w14:paraId="48347794"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15,7</w:t>
            </w:r>
          </w:p>
        </w:tc>
      </w:tr>
      <w:tr w:rsidR="00F24241" w:rsidRPr="00CE357F" w14:paraId="1159DAD5" w14:textId="77777777" w:rsidTr="00F24241">
        <w:trPr>
          <w:trHeight w:val="204"/>
        </w:trPr>
        <w:tc>
          <w:tcPr>
            <w:tcW w:w="918" w:type="dxa"/>
            <w:shd w:val="clear" w:color="auto" w:fill="D9E2F3" w:themeFill="accent1" w:themeFillTint="33"/>
            <w:vAlign w:val="center"/>
          </w:tcPr>
          <w:p w14:paraId="6058A174"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2012</w:t>
            </w:r>
          </w:p>
        </w:tc>
        <w:tc>
          <w:tcPr>
            <w:tcW w:w="1033" w:type="dxa"/>
            <w:vAlign w:val="center"/>
          </w:tcPr>
          <w:p w14:paraId="4336C1BF"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7 968</w:t>
            </w:r>
          </w:p>
        </w:tc>
        <w:tc>
          <w:tcPr>
            <w:tcW w:w="1501" w:type="dxa"/>
            <w:vAlign w:val="center"/>
          </w:tcPr>
          <w:p w14:paraId="26B397BA"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52D07E28"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2384983A"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30D0BECA"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357</w:t>
            </w:r>
          </w:p>
        </w:tc>
        <w:tc>
          <w:tcPr>
            <w:tcW w:w="1738" w:type="dxa"/>
          </w:tcPr>
          <w:p w14:paraId="53341D6E" w14:textId="77777777" w:rsidR="00F24241" w:rsidRPr="00CE357F" w:rsidRDefault="00F24241" w:rsidP="00F24241">
            <w:pPr>
              <w:jc w:val="center"/>
              <w:rPr>
                <w:rFonts w:ascii="Arial Narrow" w:hAnsi="Arial Narrow"/>
                <w:b/>
                <w:bCs/>
                <w:color w:val="C00000"/>
                <w:sz w:val="18"/>
                <w:szCs w:val="18"/>
              </w:rPr>
            </w:pPr>
            <w:r w:rsidRPr="00CE357F">
              <w:rPr>
                <w:rFonts w:ascii="Arial Narrow" w:hAnsi="Arial Narrow"/>
                <w:b/>
                <w:bCs/>
                <w:color w:val="C00000"/>
                <w:sz w:val="18"/>
                <w:szCs w:val="18"/>
              </w:rPr>
              <w:t>22,3</w:t>
            </w:r>
          </w:p>
        </w:tc>
      </w:tr>
      <w:tr w:rsidR="00F24241" w:rsidRPr="00CE357F" w14:paraId="68964810" w14:textId="77777777" w:rsidTr="00F24241">
        <w:trPr>
          <w:trHeight w:val="204"/>
        </w:trPr>
        <w:tc>
          <w:tcPr>
            <w:tcW w:w="918" w:type="dxa"/>
            <w:shd w:val="clear" w:color="auto" w:fill="D9E2F3" w:themeFill="accent1" w:themeFillTint="33"/>
            <w:vAlign w:val="center"/>
          </w:tcPr>
          <w:p w14:paraId="3F2CD700"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2011</w:t>
            </w:r>
          </w:p>
        </w:tc>
        <w:tc>
          <w:tcPr>
            <w:tcW w:w="1033" w:type="dxa"/>
            <w:vAlign w:val="center"/>
          </w:tcPr>
          <w:p w14:paraId="3640E8A0" w14:textId="77777777" w:rsidR="00F24241" w:rsidRPr="00CE357F" w:rsidRDefault="00F24241" w:rsidP="00F24241">
            <w:pPr>
              <w:jc w:val="center"/>
              <w:rPr>
                <w:rFonts w:ascii="Arial Narrow" w:hAnsi="Arial Narrow"/>
                <w:b/>
                <w:color w:val="C00000"/>
                <w:sz w:val="18"/>
                <w:szCs w:val="18"/>
              </w:rPr>
            </w:pPr>
            <w:r w:rsidRPr="00CE357F">
              <w:rPr>
                <w:rFonts w:ascii="Arial Narrow" w:hAnsi="Arial Narrow"/>
                <w:b/>
                <w:color w:val="C00000"/>
                <w:sz w:val="18"/>
                <w:szCs w:val="18"/>
              </w:rPr>
              <w:t>18 590</w:t>
            </w:r>
          </w:p>
        </w:tc>
        <w:tc>
          <w:tcPr>
            <w:tcW w:w="1501" w:type="dxa"/>
            <w:vAlign w:val="center"/>
          </w:tcPr>
          <w:p w14:paraId="732922DB"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0C2B1882"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6C57EABF"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03D59215"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727</w:t>
            </w:r>
          </w:p>
        </w:tc>
        <w:tc>
          <w:tcPr>
            <w:tcW w:w="1738" w:type="dxa"/>
          </w:tcPr>
          <w:p w14:paraId="3351EA4D" w14:textId="77777777" w:rsidR="00F24241" w:rsidRPr="00CE357F" w:rsidRDefault="00F24241" w:rsidP="00F24241">
            <w:pPr>
              <w:jc w:val="center"/>
              <w:rPr>
                <w:rFonts w:ascii="Arial Narrow" w:hAnsi="Arial Narrow"/>
                <w:b/>
                <w:bCs/>
                <w:color w:val="C00000"/>
                <w:sz w:val="18"/>
                <w:szCs w:val="18"/>
              </w:rPr>
            </w:pPr>
            <w:r w:rsidRPr="00CE357F">
              <w:rPr>
                <w:rFonts w:ascii="Arial Narrow" w:hAnsi="Arial Narrow"/>
                <w:b/>
                <w:bCs/>
                <w:color w:val="C00000"/>
                <w:sz w:val="18"/>
                <w:szCs w:val="18"/>
              </w:rPr>
              <w:t>25,6</w:t>
            </w:r>
          </w:p>
        </w:tc>
      </w:tr>
      <w:tr w:rsidR="00F24241" w:rsidRPr="00CE357F" w14:paraId="4008F367" w14:textId="77777777" w:rsidTr="00F24241">
        <w:trPr>
          <w:trHeight w:val="204"/>
        </w:trPr>
        <w:tc>
          <w:tcPr>
            <w:tcW w:w="918" w:type="dxa"/>
            <w:shd w:val="clear" w:color="auto" w:fill="D9E2F3" w:themeFill="accent1" w:themeFillTint="33"/>
            <w:vAlign w:val="center"/>
          </w:tcPr>
          <w:p w14:paraId="68578193"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2010</w:t>
            </w:r>
          </w:p>
        </w:tc>
        <w:tc>
          <w:tcPr>
            <w:tcW w:w="1033" w:type="dxa"/>
            <w:vAlign w:val="center"/>
          </w:tcPr>
          <w:p w14:paraId="0012D699" w14:textId="77777777" w:rsidR="00F24241" w:rsidRPr="00CE357F" w:rsidRDefault="00F24241" w:rsidP="00F24241">
            <w:pPr>
              <w:jc w:val="center"/>
              <w:rPr>
                <w:rFonts w:ascii="Arial Narrow" w:hAnsi="Arial Narrow"/>
                <w:b/>
                <w:color w:val="C00000"/>
                <w:sz w:val="18"/>
                <w:szCs w:val="18"/>
              </w:rPr>
            </w:pPr>
            <w:r w:rsidRPr="00CE357F">
              <w:rPr>
                <w:rFonts w:ascii="Arial Narrow" w:hAnsi="Arial Narrow"/>
                <w:b/>
                <w:color w:val="C00000"/>
                <w:sz w:val="18"/>
                <w:szCs w:val="18"/>
              </w:rPr>
              <w:t>19 711</w:t>
            </w:r>
          </w:p>
        </w:tc>
        <w:tc>
          <w:tcPr>
            <w:tcW w:w="1501" w:type="dxa"/>
            <w:vAlign w:val="center"/>
          </w:tcPr>
          <w:p w14:paraId="6DBF5829"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60A62005"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60274258"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5D2924B3"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1 368</w:t>
            </w:r>
          </w:p>
        </w:tc>
        <w:tc>
          <w:tcPr>
            <w:tcW w:w="1738" w:type="dxa"/>
          </w:tcPr>
          <w:p w14:paraId="0E71D51A"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14,4</w:t>
            </w:r>
          </w:p>
        </w:tc>
      </w:tr>
      <w:tr w:rsidR="00F24241" w:rsidRPr="00CE357F" w14:paraId="7608F96F" w14:textId="77777777" w:rsidTr="00F24241">
        <w:trPr>
          <w:trHeight w:val="204"/>
        </w:trPr>
        <w:tc>
          <w:tcPr>
            <w:tcW w:w="918" w:type="dxa"/>
            <w:shd w:val="clear" w:color="auto" w:fill="D9E2F3" w:themeFill="accent1" w:themeFillTint="33"/>
            <w:vAlign w:val="center"/>
          </w:tcPr>
          <w:p w14:paraId="326E8FA9"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2009</w:t>
            </w:r>
          </w:p>
        </w:tc>
        <w:tc>
          <w:tcPr>
            <w:tcW w:w="1033" w:type="dxa"/>
            <w:vAlign w:val="center"/>
          </w:tcPr>
          <w:p w14:paraId="568A06AF" w14:textId="77777777" w:rsidR="00F24241" w:rsidRPr="00CE357F" w:rsidRDefault="00F24241" w:rsidP="00F24241">
            <w:pPr>
              <w:jc w:val="center"/>
              <w:rPr>
                <w:rFonts w:ascii="Arial Narrow" w:hAnsi="Arial Narrow"/>
                <w:b/>
                <w:color w:val="C00000"/>
                <w:sz w:val="18"/>
                <w:szCs w:val="18"/>
              </w:rPr>
            </w:pPr>
            <w:r w:rsidRPr="00CE357F">
              <w:rPr>
                <w:rFonts w:ascii="Arial Narrow" w:hAnsi="Arial Narrow"/>
                <w:b/>
                <w:color w:val="C00000"/>
                <w:sz w:val="18"/>
                <w:szCs w:val="18"/>
              </w:rPr>
              <w:t>17 725</w:t>
            </w:r>
          </w:p>
        </w:tc>
        <w:tc>
          <w:tcPr>
            <w:tcW w:w="1501" w:type="dxa"/>
            <w:vAlign w:val="center"/>
          </w:tcPr>
          <w:p w14:paraId="082F3B93"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170D1B45"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6CDBE7A0"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4B51E2DB"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1 422</w:t>
            </w:r>
          </w:p>
        </w:tc>
        <w:tc>
          <w:tcPr>
            <w:tcW w:w="1738" w:type="dxa"/>
          </w:tcPr>
          <w:p w14:paraId="1F78BD75"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12,5</w:t>
            </w:r>
          </w:p>
        </w:tc>
      </w:tr>
      <w:tr w:rsidR="00F24241" w:rsidRPr="00CE357F" w14:paraId="213F5D3E" w14:textId="77777777" w:rsidTr="00F24241">
        <w:trPr>
          <w:trHeight w:val="204"/>
        </w:trPr>
        <w:tc>
          <w:tcPr>
            <w:tcW w:w="918" w:type="dxa"/>
            <w:shd w:val="clear" w:color="auto" w:fill="D9E2F3" w:themeFill="accent1" w:themeFillTint="33"/>
            <w:vAlign w:val="center"/>
          </w:tcPr>
          <w:p w14:paraId="5155FF8C"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2008</w:t>
            </w:r>
          </w:p>
        </w:tc>
        <w:tc>
          <w:tcPr>
            <w:tcW w:w="1033" w:type="dxa"/>
            <w:vAlign w:val="center"/>
          </w:tcPr>
          <w:p w14:paraId="6B39912C"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12 478</w:t>
            </w:r>
          </w:p>
        </w:tc>
        <w:tc>
          <w:tcPr>
            <w:tcW w:w="1501" w:type="dxa"/>
            <w:vAlign w:val="center"/>
          </w:tcPr>
          <w:p w14:paraId="1A8333BB"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3664523E"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41B3EF09"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2EE6164B"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2 952</w:t>
            </w:r>
          </w:p>
        </w:tc>
        <w:tc>
          <w:tcPr>
            <w:tcW w:w="1738" w:type="dxa"/>
          </w:tcPr>
          <w:p w14:paraId="4BF215E9"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4,2</w:t>
            </w:r>
          </w:p>
        </w:tc>
      </w:tr>
      <w:tr w:rsidR="00F24241" w:rsidRPr="00CE357F" w14:paraId="28BB79A6" w14:textId="77777777" w:rsidTr="00F24241">
        <w:trPr>
          <w:trHeight w:val="204"/>
        </w:trPr>
        <w:tc>
          <w:tcPr>
            <w:tcW w:w="918" w:type="dxa"/>
            <w:shd w:val="clear" w:color="auto" w:fill="D9E2F3" w:themeFill="accent1" w:themeFillTint="33"/>
            <w:vAlign w:val="center"/>
          </w:tcPr>
          <w:p w14:paraId="16E8E5F3"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2007</w:t>
            </w:r>
          </w:p>
        </w:tc>
        <w:tc>
          <w:tcPr>
            <w:tcW w:w="1033" w:type="dxa"/>
            <w:vAlign w:val="center"/>
          </w:tcPr>
          <w:p w14:paraId="7FCA4742"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13 100</w:t>
            </w:r>
          </w:p>
        </w:tc>
        <w:tc>
          <w:tcPr>
            <w:tcW w:w="1501" w:type="dxa"/>
            <w:vAlign w:val="center"/>
          </w:tcPr>
          <w:p w14:paraId="0E1CA0B9"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7B4E8257"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0DEB3919"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13FA205E"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5 749</w:t>
            </w:r>
          </w:p>
        </w:tc>
        <w:tc>
          <w:tcPr>
            <w:tcW w:w="1738" w:type="dxa"/>
          </w:tcPr>
          <w:p w14:paraId="7DB87708"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2,3</w:t>
            </w:r>
          </w:p>
        </w:tc>
      </w:tr>
      <w:tr w:rsidR="00F24241" w:rsidRPr="00CE357F" w14:paraId="4F808DD2" w14:textId="77777777" w:rsidTr="00F24241">
        <w:trPr>
          <w:trHeight w:val="204"/>
        </w:trPr>
        <w:tc>
          <w:tcPr>
            <w:tcW w:w="918" w:type="dxa"/>
            <w:shd w:val="clear" w:color="auto" w:fill="D9E2F3" w:themeFill="accent1" w:themeFillTint="33"/>
            <w:vAlign w:val="center"/>
          </w:tcPr>
          <w:p w14:paraId="3B36A601"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2006</w:t>
            </w:r>
          </w:p>
        </w:tc>
        <w:tc>
          <w:tcPr>
            <w:tcW w:w="1033" w:type="dxa"/>
            <w:vAlign w:val="center"/>
          </w:tcPr>
          <w:p w14:paraId="3A8B3FE4"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16 923</w:t>
            </w:r>
          </w:p>
        </w:tc>
        <w:tc>
          <w:tcPr>
            <w:tcW w:w="1501" w:type="dxa"/>
            <w:vAlign w:val="center"/>
          </w:tcPr>
          <w:p w14:paraId="0B1EEB44"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3C345696"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3EEA8BE3"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470563AC"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1 986</w:t>
            </w:r>
          </w:p>
        </w:tc>
        <w:tc>
          <w:tcPr>
            <w:tcW w:w="1738" w:type="dxa"/>
          </w:tcPr>
          <w:p w14:paraId="34CDA004"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8,5</w:t>
            </w:r>
          </w:p>
        </w:tc>
      </w:tr>
      <w:tr w:rsidR="00F24241" w:rsidRPr="00CE357F" w14:paraId="300A913E" w14:textId="77777777" w:rsidTr="00F24241">
        <w:trPr>
          <w:trHeight w:val="204"/>
        </w:trPr>
        <w:tc>
          <w:tcPr>
            <w:tcW w:w="918" w:type="dxa"/>
            <w:shd w:val="clear" w:color="auto" w:fill="D9E2F3" w:themeFill="accent1" w:themeFillTint="33"/>
            <w:vAlign w:val="center"/>
          </w:tcPr>
          <w:p w14:paraId="11CD9F5D" w14:textId="77777777" w:rsidR="00F24241" w:rsidRPr="00CE357F" w:rsidRDefault="00F24241" w:rsidP="00F24241">
            <w:pPr>
              <w:jc w:val="center"/>
              <w:rPr>
                <w:rFonts w:ascii="Arial Narrow" w:hAnsi="Arial Narrow" w:cs="Arial"/>
                <w:b/>
                <w:sz w:val="18"/>
                <w:szCs w:val="18"/>
              </w:rPr>
            </w:pPr>
            <w:r w:rsidRPr="00CE357F">
              <w:rPr>
                <w:rFonts w:ascii="Arial Narrow" w:hAnsi="Arial Narrow" w:cs="Arial"/>
                <w:b/>
                <w:sz w:val="18"/>
                <w:szCs w:val="18"/>
              </w:rPr>
              <w:t>2005</w:t>
            </w:r>
          </w:p>
        </w:tc>
        <w:tc>
          <w:tcPr>
            <w:tcW w:w="1033" w:type="dxa"/>
            <w:vAlign w:val="center"/>
          </w:tcPr>
          <w:p w14:paraId="18675FBF" w14:textId="77777777" w:rsidR="00F24241" w:rsidRPr="00CE357F" w:rsidRDefault="00F24241" w:rsidP="00F24241">
            <w:pPr>
              <w:jc w:val="center"/>
              <w:rPr>
                <w:rFonts w:ascii="Arial Narrow" w:hAnsi="Arial Narrow"/>
                <w:bCs/>
                <w:sz w:val="18"/>
                <w:szCs w:val="18"/>
              </w:rPr>
            </w:pPr>
            <w:r w:rsidRPr="00CE357F">
              <w:rPr>
                <w:rFonts w:ascii="Arial Narrow" w:hAnsi="Arial Narrow"/>
                <w:bCs/>
                <w:sz w:val="18"/>
                <w:szCs w:val="18"/>
              </w:rPr>
              <w:t>19 604</w:t>
            </w:r>
          </w:p>
        </w:tc>
        <w:tc>
          <w:tcPr>
            <w:tcW w:w="1501" w:type="dxa"/>
            <w:vAlign w:val="center"/>
          </w:tcPr>
          <w:p w14:paraId="50D0D543"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128" w:type="dxa"/>
            <w:vAlign w:val="center"/>
          </w:tcPr>
          <w:p w14:paraId="769251FD"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410" w:type="dxa"/>
          </w:tcPr>
          <w:p w14:paraId="66605144"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w:t>
            </w:r>
          </w:p>
        </w:tc>
        <w:tc>
          <w:tcPr>
            <w:tcW w:w="1229" w:type="dxa"/>
          </w:tcPr>
          <w:p w14:paraId="181A8F5F"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2 259</w:t>
            </w:r>
          </w:p>
        </w:tc>
        <w:tc>
          <w:tcPr>
            <w:tcW w:w="1738" w:type="dxa"/>
          </w:tcPr>
          <w:p w14:paraId="4DFAF80B" w14:textId="77777777" w:rsidR="00F24241" w:rsidRPr="00CE357F" w:rsidRDefault="00F24241" w:rsidP="00F24241">
            <w:pPr>
              <w:jc w:val="center"/>
              <w:rPr>
                <w:rFonts w:ascii="Arial Narrow" w:hAnsi="Arial Narrow"/>
                <w:sz w:val="18"/>
                <w:szCs w:val="18"/>
              </w:rPr>
            </w:pPr>
            <w:r w:rsidRPr="00CE357F">
              <w:rPr>
                <w:rFonts w:ascii="Arial Narrow" w:hAnsi="Arial Narrow"/>
                <w:sz w:val="18"/>
                <w:szCs w:val="18"/>
              </w:rPr>
              <w:t>8,7</w:t>
            </w:r>
          </w:p>
        </w:tc>
      </w:tr>
    </w:tbl>
    <w:p w14:paraId="6EB45B84" w14:textId="639A62AC" w:rsidR="00EA186A" w:rsidRPr="001333A8" w:rsidRDefault="00C475C3" w:rsidP="001333A8">
      <w:pPr>
        <w:spacing w:after="240" w:line="276" w:lineRule="auto"/>
        <w:rPr>
          <w:rFonts w:ascii="Arial Narrow" w:hAnsi="Arial Narrow"/>
          <w:sz w:val="20"/>
        </w:rPr>
      </w:pPr>
      <w:r w:rsidRPr="00CE357F">
        <w:rPr>
          <w:rFonts w:ascii="Arial Narrow" w:hAnsi="Arial Narrow"/>
          <w:color w:val="000000"/>
          <w:sz w:val="20"/>
          <w:lang w:eastAsia="cs-CZ"/>
        </w:rPr>
        <w:t>Zdroj: Ministerstvo práce a sociálních věcí (data za měsíc prosinec daného roku)</w:t>
      </w:r>
      <w:r w:rsidRPr="00CE357F">
        <w:rPr>
          <w:rFonts w:ascii="Arial Narrow" w:hAnsi="Arial Narrow"/>
          <w:color w:val="000000"/>
          <w:sz w:val="20"/>
          <w:lang w:eastAsia="cs-CZ"/>
        </w:rPr>
        <w:tab/>
        <w:t xml:space="preserve">    </w:t>
      </w:r>
      <w:r w:rsidRPr="00CE357F">
        <w:rPr>
          <w:rFonts w:ascii="Arial Narrow" w:hAnsi="Arial Narrow"/>
          <w:sz w:val="20"/>
        </w:rPr>
        <w:t xml:space="preserve">Tabulka: AUGUR </w:t>
      </w:r>
      <w:proofErr w:type="spellStart"/>
      <w:r w:rsidRPr="00CE357F">
        <w:rPr>
          <w:rFonts w:ascii="Arial Narrow" w:hAnsi="Arial Narrow"/>
          <w:sz w:val="20"/>
        </w:rPr>
        <w:t>Consulting</w:t>
      </w:r>
      <w:proofErr w:type="spellEnd"/>
      <w:r w:rsidRPr="00CE357F">
        <w:rPr>
          <w:rFonts w:ascii="Arial Narrow" w:hAnsi="Arial Narrow"/>
          <w:sz w:val="20"/>
        </w:rPr>
        <w:t xml:space="preserve"> s.r.o.</w:t>
      </w:r>
    </w:p>
    <w:p w14:paraId="1827D0F0" w14:textId="0091FEAA" w:rsidR="00EA186A" w:rsidRPr="00CE357F" w:rsidRDefault="000600CC" w:rsidP="00EA186A">
      <w:pPr>
        <w:pStyle w:val="Nadpis3"/>
      </w:pPr>
      <w:bookmarkStart w:id="661" w:name="_Toc94215415"/>
      <w:bookmarkStart w:id="662" w:name="_Toc136876116"/>
      <w:r w:rsidRPr="00CE357F">
        <w:t>Osoby s jinou než českou státní příslušností</w:t>
      </w:r>
      <w:r w:rsidR="00EA186A" w:rsidRPr="00CE357F">
        <w:t xml:space="preserve"> zaměstnan</w:t>
      </w:r>
      <w:r w:rsidRPr="00CE357F">
        <w:t>é</w:t>
      </w:r>
      <w:r w:rsidR="00EA186A" w:rsidRPr="00CE357F">
        <w:t xml:space="preserve"> v roce 2020 ve firmách na území ORP</w:t>
      </w:r>
      <w:bookmarkEnd w:id="661"/>
      <w:bookmarkEnd w:id="662"/>
      <w:r w:rsidR="00EA186A" w:rsidRPr="00CE357F">
        <w:t xml:space="preserve"> </w:t>
      </w:r>
    </w:p>
    <w:p w14:paraId="4A8755F0" w14:textId="77777777" w:rsidR="00EA186A" w:rsidRPr="00CE357F" w:rsidRDefault="00EA186A" w:rsidP="00EA186A">
      <w:pPr>
        <w:spacing w:line="276" w:lineRule="auto"/>
        <w:rPr>
          <w:rFonts w:ascii="Arial Narrow" w:hAnsi="Arial Narrow"/>
          <w:b/>
          <w:color w:val="2F5496" w:themeColor="accent1" w:themeShade="BF"/>
        </w:rPr>
      </w:pPr>
    </w:p>
    <w:p w14:paraId="44F8AE5B" w14:textId="0502AB77" w:rsidR="00EA186A" w:rsidRPr="00CE357F" w:rsidRDefault="00EA186A" w:rsidP="00EA186A">
      <w:pPr>
        <w:spacing w:line="276" w:lineRule="auto"/>
        <w:rPr>
          <w:rFonts w:ascii="Arial Narrow" w:hAnsi="Arial Narrow"/>
          <w:b/>
          <w:bCs/>
          <w:color w:val="C00000"/>
        </w:rPr>
      </w:pPr>
      <w:r w:rsidRPr="00CE357F">
        <w:rPr>
          <w:rFonts w:ascii="Arial Narrow" w:hAnsi="Arial Narrow"/>
          <w:b/>
          <w:bCs/>
          <w:color w:val="C00000"/>
        </w:rPr>
        <w:t xml:space="preserve">Soupis </w:t>
      </w:r>
      <w:r w:rsidR="000A03F1">
        <w:rPr>
          <w:rFonts w:ascii="Arial Narrow" w:hAnsi="Arial Narrow"/>
          <w:b/>
          <w:bCs/>
          <w:color w:val="C00000"/>
        </w:rPr>
        <w:t>významných</w:t>
      </w:r>
      <w:r w:rsidRPr="00CE357F">
        <w:rPr>
          <w:rFonts w:ascii="Arial Narrow" w:hAnsi="Arial Narrow"/>
          <w:b/>
          <w:bCs/>
          <w:color w:val="C00000"/>
        </w:rPr>
        <w:t xml:space="preserve"> zaměstnavatelů </w:t>
      </w:r>
      <w:r w:rsidR="000600CC" w:rsidRPr="00CE357F">
        <w:rPr>
          <w:rFonts w:ascii="Arial Narrow" w:hAnsi="Arial Narrow"/>
          <w:b/>
          <w:bCs/>
          <w:color w:val="C00000"/>
        </w:rPr>
        <w:t>osob s jinou než českou státní příslušností</w:t>
      </w:r>
      <w:r w:rsidRPr="00CE357F">
        <w:rPr>
          <w:rFonts w:ascii="Arial Narrow" w:hAnsi="Arial Narrow"/>
          <w:b/>
          <w:bCs/>
          <w:color w:val="C00000"/>
        </w:rPr>
        <w:t xml:space="preserve"> v ORP Brno </w:t>
      </w:r>
    </w:p>
    <w:p w14:paraId="1345AE8E" w14:textId="77777777" w:rsidR="00EA186A" w:rsidRPr="00CE357F" w:rsidRDefault="00EA186A" w:rsidP="00EA186A">
      <w:pPr>
        <w:spacing w:line="276" w:lineRule="auto"/>
        <w:rPr>
          <w:rFonts w:ascii="Arial Narrow" w:hAnsi="Arial Narrow"/>
          <w:b/>
          <w:bCs/>
          <w:color w:val="C00000"/>
        </w:rPr>
      </w:pPr>
    </w:p>
    <w:p w14:paraId="73463ABA" w14:textId="77777777" w:rsidR="00EA186A" w:rsidRPr="00CE357F" w:rsidRDefault="00EA186A" w:rsidP="000600CC">
      <w:pPr>
        <w:spacing w:after="120" w:line="276" w:lineRule="auto"/>
        <w:jc w:val="both"/>
        <w:rPr>
          <w:rFonts w:ascii="Arial Narrow" w:hAnsi="Arial Narrow"/>
        </w:rPr>
      </w:pPr>
      <w:r w:rsidRPr="00CE357F">
        <w:rPr>
          <w:rFonts w:ascii="Arial Narrow" w:hAnsi="Arial Narrow"/>
        </w:rPr>
        <w:t>Níže uvedená tabulka dokumentuje přehled zaměstnavatelů v ORP Brno, u nichž bylo v rámci Průzkumu zaměstnanosti v Jihomoravském kraji prokazatelně identifikované, že v roce 2020 zaměstnávali alespoň 50 osob s jinou než českou státní příslušností. Přehled všech zaměstnavatelů, u nichž bylo prokazatelně identifikované, že v roce 2020 zaměstnávali alespoň 1 osobu s jinou než českou státní příslušností je z důvodu rozsahu součástí přílohy této zprávy.</w:t>
      </w:r>
    </w:p>
    <w:p w14:paraId="6847D3CD" w14:textId="1E36177E" w:rsidR="00EA186A" w:rsidRPr="00CE357F" w:rsidRDefault="00EA186A" w:rsidP="000600CC">
      <w:pPr>
        <w:spacing w:after="120" w:line="276" w:lineRule="auto"/>
        <w:jc w:val="both"/>
        <w:rPr>
          <w:rFonts w:ascii="Arial Narrow" w:hAnsi="Arial Narrow"/>
          <w:color w:val="000000"/>
        </w:rPr>
      </w:pPr>
      <w:r w:rsidRPr="00CE357F">
        <w:rPr>
          <w:rFonts w:ascii="Arial Narrow" w:hAnsi="Arial Narrow"/>
        </w:rPr>
        <w:t xml:space="preserve">Dle těchto údajů byl v ORP Brno v roce 2020 </w:t>
      </w:r>
      <w:r w:rsidR="000A03F1">
        <w:rPr>
          <w:rFonts w:ascii="Arial Narrow" w:hAnsi="Arial Narrow"/>
        </w:rPr>
        <w:t>významný</w:t>
      </w:r>
      <w:r w:rsidRPr="00CE357F">
        <w:rPr>
          <w:rFonts w:ascii="Arial Narrow" w:hAnsi="Arial Narrow"/>
        </w:rPr>
        <w:t xml:space="preserve"> zaměstnavatel osob s jinou než českou státní příslušností firma </w:t>
      </w:r>
      <w:r w:rsidRPr="00CE357F">
        <w:rPr>
          <w:rFonts w:ascii="Arial Narrow" w:hAnsi="Arial Narrow"/>
          <w:b/>
          <w:color w:val="000000"/>
        </w:rPr>
        <w:t xml:space="preserve">IBM </w:t>
      </w:r>
      <w:proofErr w:type="spellStart"/>
      <w:r w:rsidRPr="00CE357F">
        <w:rPr>
          <w:rFonts w:ascii="Arial Narrow" w:hAnsi="Arial Narrow"/>
          <w:b/>
          <w:color w:val="000000"/>
        </w:rPr>
        <w:t>Global</w:t>
      </w:r>
      <w:proofErr w:type="spellEnd"/>
      <w:r w:rsidRPr="00CE357F">
        <w:rPr>
          <w:rFonts w:ascii="Arial Narrow" w:hAnsi="Arial Narrow"/>
          <w:b/>
          <w:color w:val="000000"/>
        </w:rPr>
        <w:t xml:space="preserve"> </w:t>
      </w:r>
      <w:proofErr w:type="spellStart"/>
      <w:r w:rsidRPr="00CE357F">
        <w:rPr>
          <w:rFonts w:ascii="Arial Narrow" w:hAnsi="Arial Narrow"/>
          <w:b/>
          <w:color w:val="000000"/>
        </w:rPr>
        <w:t>Services</w:t>
      </w:r>
      <w:proofErr w:type="spellEnd"/>
      <w:r w:rsidRPr="00CE357F">
        <w:rPr>
          <w:rFonts w:ascii="Arial Narrow" w:hAnsi="Arial Narrow"/>
          <w:b/>
          <w:color w:val="000000"/>
        </w:rPr>
        <w:t xml:space="preserve"> </w:t>
      </w:r>
      <w:proofErr w:type="spellStart"/>
      <w:r w:rsidRPr="00CE357F">
        <w:rPr>
          <w:rFonts w:ascii="Arial Narrow" w:hAnsi="Arial Narrow"/>
          <w:b/>
          <w:color w:val="000000"/>
        </w:rPr>
        <w:t>Delivery</w:t>
      </w:r>
      <w:proofErr w:type="spellEnd"/>
      <w:r w:rsidRPr="00CE357F">
        <w:rPr>
          <w:rFonts w:ascii="Arial Narrow" w:hAnsi="Arial Narrow"/>
          <w:b/>
          <w:color w:val="000000"/>
        </w:rPr>
        <w:t xml:space="preserve"> Center Czech Republic, s.r.o.,</w:t>
      </w:r>
      <w:r w:rsidRPr="00CE357F">
        <w:rPr>
          <w:rFonts w:ascii="Arial Narrow" w:hAnsi="Arial Narrow"/>
          <w:color w:val="000000"/>
        </w:rPr>
        <w:t xml:space="preserve"> </w:t>
      </w:r>
      <w:r w:rsidRPr="00CE357F">
        <w:rPr>
          <w:rFonts w:ascii="Arial Narrow" w:hAnsi="Arial Narrow"/>
        </w:rPr>
        <w:t xml:space="preserve">která jich v roce 2020 zaměstnávala celkem 1 844, přičemž bylo 370 občanů SK, 650 občanů ze zemí EU/EHP a Švýcarska a 824 občanů třetích zemí. Druhým </w:t>
      </w:r>
      <w:r w:rsidR="000A03F1">
        <w:rPr>
          <w:rFonts w:ascii="Arial Narrow" w:hAnsi="Arial Narrow"/>
        </w:rPr>
        <w:t>významným</w:t>
      </w:r>
      <w:r w:rsidRPr="00CE357F">
        <w:rPr>
          <w:rFonts w:ascii="Arial Narrow" w:hAnsi="Arial Narrow"/>
        </w:rPr>
        <w:t xml:space="preserve"> zaměstnavatelem byla podle těchto údajů firma </w:t>
      </w:r>
      <w:r w:rsidRPr="00CE357F">
        <w:rPr>
          <w:rFonts w:ascii="Arial Narrow" w:hAnsi="Arial Narrow"/>
          <w:b/>
          <w:color w:val="000000"/>
        </w:rPr>
        <w:t xml:space="preserve">AT&amp;T </w:t>
      </w:r>
      <w:proofErr w:type="spellStart"/>
      <w:r w:rsidRPr="00CE357F">
        <w:rPr>
          <w:rFonts w:ascii="Arial Narrow" w:hAnsi="Arial Narrow"/>
          <w:b/>
          <w:color w:val="000000"/>
        </w:rPr>
        <w:t>Global</w:t>
      </w:r>
      <w:proofErr w:type="spellEnd"/>
      <w:r w:rsidRPr="00CE357F">
        <w:rPr>
          <w:rFonts w:ascii="Arial Narrow" w:hAnsi="Arial Narrow"/>
          <w:b/>
          <w:color w:val="000000"/>
        </w:rPr>
        <w:t xml:space="preserve"> Network </w:t>
      </w:r>
      <w:proofErr w:type="spellStart"/>
      <w:r w:rsidRPr="00CE357F">
        <w:rPr>
          <w:rFonts w:ascii="Arial Narrow" w:hAnsi="Arial Narrow"/>
          <w:b/>
          <w:color w:val="000000"/>
        </w:rPr>
        <w:t>Services</w:t>
      </w:r>
      <w:proofErr w:type="spellEnd"/>
      <w:r w:rsidRPr="00CE357F">
        <w:rPr>
          <w:rFonts w:ascii="Arial Narrow" w:hAnsi="Arial Narrow"/>
          <w:b/>
          <w:color w:val="000000"/>
        </w:rPr>
        <w:t xml:space="preserve"> Czech Republic s.r.o.</w:t>
      </w:r>
      <w:r w:rsidRPr="00CE357F">
        <w:rPr>
          <w:rFonts w:ascii="Arial Narrow" w:hAnsi="Arial Narrow"/>
          <w:b/>
        </w:rPr>
        <w:t>,</w:t>
      </w:r>
      <w:r w:rsidRPr="00CE357F">
        <w:rPr>
          <w:rFonts w:ascii="Arial Narrow" w:hAnsi="Arial Narrow"/>
        </w:rPr>
        <w:t xml:space="preserve"> která v roce 2020 zaměstnávala 1 045 osob s jinou než českou státní příslušností, přičemž 150 z nich bylo občany SK, 520 občany některého státu EU/EHP nebo Švýcarska a 375 bylo občany třetí země. Mezi další významné zaměstnavatele osob s jinou než českou státní příslušností v ORP Brno patřil</w:t>
      </w:r>
      <w:r w:rsidR="000600CC" w:rsidRPr="00CE357F">
        <w:rPr>
          <w:rFonts w:ascii="Arial Narrow" w:hAnsi="Arial Narrow"/>
        </w:rPr>
        <w:t>y</w:t>
      </w:r>
      <w:r w:rsidRPr="00CE357F">
        <w:rPr>
          <w:rFonts w:ascii="Arial Narrow" w:hAnsi="Arial Narrow"/>
        </w:rPr>
        <w:t xml:space="preserve"> v roce 2020 </w:t>
      </w:r>
      <w:r w:rsidRPr="00CE357F">
        <w:rPr>
          <w:rFonts w:ascii="Arial Narrow" w:hAnsi="Arial Narrow"/>
          <w:color w:val="000000"/>
        </w:rPr>
        <w:t>Masarykova univerzita, Fakultní nemocnice Brno, či Kiwi.com s.r.o.</w:t>
      </w:r>
    </w:p>
    <w:p w14:paraId="26953E69" w14:textId="02784636" w:rsidR="00EA186A" w:rsidRPr="00CE357F" w:rsidRDefault="00EA186A" w:rsidP="00C50D20">
      <w:pPr>
        <w:jc w:val="both"/>
        <w:rPr>
          <w:rFonts w:ascii="Arial Narrow" w:hAnsi="Arial Narrow"/>
          <w:b/>
          <w:bCs/>
          <w:sz w:val="24"/>
          <w:szCs w:val="24"/>
        </w:rPr>
      </w:pPr>
      <w:bookmarkStart w:id="663" w:name="_Toc136429249"/>
      <w:bookmarkStart w:id="664" w:name="_Hlk98157515"/>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38</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 xml:space="preserve">Soupis </w:t>
      </w:r>
      <w:r w:rsidR="000A03F1">
        <w:rPr>
          <w:rFonts w:ascii="Arial Narrow" w:eastAsia="Times New Roman" w:hAnsi="Arial Narrow" w:cs="Arial"/>
          <w:b/>
          <w:bCs/>
          <w:sz w:val="20"/>
          <w:szCs w:val="20"/>
          <w:lang w:eastAsia="cs-CZ"/>
        </w:rPr>
        <w:t>významných</w:t>
      </w:r>
      <w:r w:rsidRPr="00CE357F">
        <w:rPr>
          <w:rFonts w:ascii="Arial Narrow" w:eastAsia="Times New Roman" w:hAnsi="Arial Narrow" w:cs="Arial"/>
          <w:b/>
          <w:bCs/>
          <w:sz w:val="20"/>
          <w:szCs w:val="20"/>
          <w:lang w:eastAsia="cs-CZ"/>
        </w:rPr>
        <w:t xml:space="preserve"> zaměstnavatelů osob s jinou než českou státní příslušností v ORP </w:t>
      </w:r>
      <w:r w:rsidR="000600CC" w:rsidRPr="00CE357F">
        <w:rPr>
          <w:rFonts w:ascii="Arial Narrow" w:eastAsia="Times New Roman" w:hAnsi="Arial Narrow" w:cs="Arial"/>
          <w:b/>
          <w:bCs/>
          <w:sz w:val="20"/>
          <w:szCs w:val="20"/>
          <w:lang w:eastAsia="cs-CZ"/>
        </w:rPr>
        <w:t>Brno</w:t>
      </w:r>
      <w:r w:rsidRPr="00CE357F">
        <w:rPr>
          <w:rFonts w:ascii="Arial Narrow" w:eastAsia="Times New Roman" w:hAnsi="Arial Narrow" w:cs="Arial"/>
          <w:b/>
          <w:bCs/>
          <w:sz w:val="20"/>
          <w:szCs w:val="20"/>
          <w:lang w:eastAsia="cs-CZ"/>
        </w:rPr>
        <w:t xml:space="preserve"> v roce 2020</w:t>
      </w:r>
      <w:bookmarkEnd w:id="663"/>
    </w:p>
    <w:tbl>
      <w:tblPr>
        <w:tblStyle w:val="Svtltabulkasmkou1zvraznn11"/>
        <w:tblW w:w="9001" w:type="dxa"/>
        <w:jc w:val="center"/>
        <w:tblLook w:val="04A0" w:firstRow="1" w:lastRow="0" w:firstColumn="1" w:lastColumn="0" w:noHBand="0" w:noVBand="1"/>
      </w:tblPr>
      <w:tblGrid>
        <w:gridCol w:w="840"/>
        <w:gridCol w:w="2689"/>
        <w:gridCol w:w="758"/>
        <w:gridCol w:w="2287"/>
        <w:gridCol w:w="1587"/>
        <w:gridCol w:w="840"/>
      </w:tblGrid>
      <w:tr w:rsidR="00EA186A" w:rsidRPr="00CE357F" w14:paraId="3EF07E1A" w14:textId="77777777" w:rsidTr="000600C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0" w:type="dxa"/>
            <w:vMerge w:val="restart"/>
            <w:shd w:val="clear" w:color="auto" w:fill="D9E2F3" w:themeFill="accent1" w:themeFillTint="33"/>
            <w:vAlign w:val="center"/>
            <w:hideMark/>
          </w:tcPr>
          <w:p w14:paraId="4687FAF1"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Obec</w:t>
            </w:r>
          </w:p>
        </w:tc>
        <w:tc>
          <w:tcPr>
            <w:tcW w:w="2689" w:type="dxa"/>
            <w:vMerge w:val="restart"/>
            <w:shd w:val="clear" w:color="auto" w:fill="D9E2F3" w:themeFill="accent1" w:themeFillTint="33"/>
            <w:vAlign w:val="center"/>
            <w:hideMark/>
          </w:tcPr>
          <w:p w14:paraId="69B2BD40" w14:textId="77777777" w:rsidR="00EA186A" w:rsidRPr="00CE357F" w:rsidRDefault="00EA186A" w:rsidP="000600C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Název zaměstnavatele</w:t>
            </w:r>
          </w:p>
        </w:tc>
        <w:tc>
          <w:tcPr>
            <w:tcW w:w="5472" w:type="dxa"/>
            <w:gridSpan w:val="4"/>
            <w:shd w:val="clear" w:color="auto" w:fill="D9E2F3" w:themeFill="accent1" w:themeFillTint="33"/>
            <w:vAlign w:val="center"/>
          </w:tcPr>
          <w:p w14:paraId="091327F4" w14:textId="1A43585E" w:rsidR="00EA186A" w:rsidRPr="00CE357F" w:rsidRDefault="00EA186A" w:rsidP="000600C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cs-CZ"/>
              </w:rPr>
            </w:pPr>
            <w:r w:rsidRPr="00CE357F">
              <w:rPr>
                <w:rFonts w:ascii="Arial Narrow" w:eastAsia="Times New Roman" w:hAnsi="Arial Narrow" w:cs="Arial"/>
                <w:sz w:val="18"/>
                <w:szCs w:val="18"/>
                <w:lang w:eastAsia="cs-CZ"/>
              </w:rPr>
              <w:t>Zaměstnan</w:t>
            </w:r>
            <w:r w:rsidR="000600CC" w:rsidRPr="00CE357F">
              <w:rPr>
                <w:rFonts w:ascii="Arial Narrow" w:eastAsia="Times New Roman" w:hAnsi="Arial Narrow" w:cs="Arial"/>
                <w:sz w:val="18"/>
                <w:szCs w:val="18"/>
                <w:lang w:eastAsia="cs-CZ"/>
              </w:rPr>
              <w:t>é osoby s jinou než českou státní příslušností</w:t>
            </w:r>
          </w:p>
        </w:tc>
      </w:tr>
      <w:tr w:rsidR="00EA186A" w:rsidRPr="00CE357F" w14:paraId="25790F61" w14:textId="77777777" w:rsidTr="000600CC">
        <w:trPr>
          <w:trHeight w:val="20"/>
          <w:jc w:val="center"/>
        </w:trPr>
        <w:tc>
          <w:tcPr>
            <w:cnfStyle w:val="001000000000" w:firstRow="0" w:lastRow="0" w:firstColumn="1" w:lastColumn="0" w:oddVBand="0" w:evenVBand="0" w:oddHBand="0" w:evenHBand="0" w:firstRowFirstColumn="0" w:firstRowLastColumn="0" w:lastRowFirstColumn="0" w:lastRowLastColumn="0"/>
            <w:tcW w:w="840" w:type="dxa"/>
            <w:vMerge/>
            <w:shd w:val="clear" w:color="auto" w:fill="D9E2F3" w:themeFill="accent1" w:themeFillTint="33"/>
            <w:vAlign w:val="center"/>
            <w:hideMark/>
          </w:tcPr>
          <w:p w14:paraId="2B2289B5" w14:textId="77777777" w:rsidR="00EA186A" w:rsidRPr="00CE357F" w:rsidRDefault="00EA186A" w:rsidP="000600CC">
            <w:pPr>
              <w:jc w:val="center"/>
              <w:rPr>
                <w:rFonts w:ascii="Arial Narrow" w:eastAsia="Times New Roman" w:hAnsi="Arial Narrow" w:cs="Arial"/>
                <w:b w:val="0"/>
                <w:bCs w:val="0"/>
                <w:sz w:val="18"/>
                <w:szCs w:val="18"/>
                <w:lang w:eastAsia="cs-CZ"/>
              </w:rPr>
            </w:pPr>
          </w:p>
        </w:tc>
        <w:tc>
          <w:tcPr>
            <w:tcW w:w="2689" w:type="dxa"/>
            <w:vMerge/>
            <w:shd w:val="clear" w:color="auto" w:fill="D9E2F3" w:themeFill="accent1" w:themeFillTint="33"/>
            <w:vAlign w:val="center"/>
            <w:hideMark/>
          </w:tcPr>
          <w:p w14:paraId="6709AB8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p>
        </w:tc>
        <w:tc>
          <w:tcPr>
            <w:tcW w:w="758" w:type="dxa"/>
            <w:shd w:val="clear" w:color="auto" w:fill="D9E2F3" w:themeFill="accent1" w:themeFillTint="33"/>
            <w:vAlign w:val="center"/>
          </w:tcPr>
          <w:p w14:paraId="79077FB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SK</w:t>
            </w:r>
          </w:p>
        </w:tc>
        <w:tc>
          <w:tcPr>
            <w:tcW w:w="2287" w:type="dxa"/>
            <w:shd w:val="clear" w:color="auto" w:fill="D9E2F3" w:themeFill="accent1" w:themeFillTint="33"/>
            <w:vAlign w:val="center"/>
          </w:tcPr>
          <w:p w14:paraId="2FBC59FE" w14:textId="3698D079" w:rsidR="00EA186A" w:rsidRPr="00CE357F" w:rsidRDefault="000600CC"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ze zemí</w:t>
            </w:r>
            <w:r w:rsidR="00EA186A" w:rsidRPr="00CE357F">
              <w:rPr>
                <w:rFonts w:ascii="Arial Narrow" w:eastAsia="Times New Roman" w:hAnsi="Arial Narrow" w:cs="Arial"/>
                <w:sz w:val="18"/>
                <w:szCs w:val="18"/>
                <w:lang w:eastAsia="cs-CZ"/>
              </w:rPr>
              <w:t> EU/EHP a Švýcarska (mimo občanů SK)</w:t>
            </w:r>
          </w:p>
        </w:tc>
        <w:tc>
          <w:tcPr>
            <w:tcW w:w="1587" w:type="dxa"/>
            <w:shd w:val="clear" w:color="auto" w:fill="D9E2F3" w:themeFill="accent1" w:themeFillTint="33"/>
            <w:vAlign w:val="center"/>
          </w:tcPr>
          <w:p w14:paraId="67D52124" w14:textId="4AA2FCA9" w:rsidR="00EA186A" w:rsidRPr="00CE357F" w:rsidRDefault="000600CC"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w:t>
            </w:r>
            <w:r w:rsidR="00EA186A" w:rsidRPr="00CE357F">
              <w:rPr>
                <w:rFonts w:ascii="Arial Narrow" w:eastAsia="Times New Roman" w:hAnsi="Arial Narrow" w:cs="Arial"/>
                <w:sz w:val="18"/>
                <w:szCs w:val="18"/>
                <w:lang w:eastAsia="cs-CZ"/>
              </w:rPr>
              <w:t xml:space="preserve"> z ostatních zemí (celkem)</w:t>
            </w:r>
          </w:p>
        </w:tc>
        <w:tc>
          <w:tcPr>
            <w:tcW w:w="840" w:type="dxa"/>
            <w:shd w:val="clear" w:color="auto" w:fill="D9E2F3" w:themeFill="accent1" w:themeFillTint="33"/>
            <w:vAlign w:val="center"/>
          </w:tcPr>
          <w:p w14:paraId="766540E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w:t>
            </w:r>
          </w:p>
        </w:tc>
      </w:tr>
      <w:tr w:rsidR="00EA186A" w:rsidRPr="00CE357F" w14:paraId="12941E0C"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304FCE23"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00A3DCA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 xml:space="preserve">  IBM </w:t>
            </w:r>
            <w:proofErr w:type="spellStart"/>
            <w:r w:rsidRPr="00CE357F">
              <w:rPr>
                <w:rFonts w:ascii="Arial Narrow" w:hAnsi="Arial Narrow"/>
                <w:color w:val="000000"/>
                <w:sz w:val="18"/>
                <w:szCs w:val="18"/>
              </w:rPr>
              <w:t>Global</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Services</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Delivery</w:t>
            </w:r>
            <w:proofErr w:type="spellEnd"/>
            <w:r w:rsidRPr="00CE357F">
              <w:rPr>
                <w:rFonts w:ascii="Arial Narrow" w:hAnsi="Arial Narrow"/>
                <w:color w:val="000000"/>
                <w:sz w:val="18"/>
                <w:szCs w:val="18"/>
              </w:rPr>
              <w:t xml:space="preserve"> Center Czech Republic, s.r.o.</w:t>
            </w:r>
          </w:p>
        </w:tc>
        <w:tc>
          <w:tcPr>
            <w:tcW w:w="758" w:type="dxa"/>
            <w:vAlign w:val="bottom"/>
          </w:tcPr>
          <w:p w14:paraId="29548E2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olor w:val="000000"/>
                <w:sz w:val="18"/>
                <w:szCs w:val="18"/>
              </w:rPr>
              <w:t>370</w:t>
            </w:r>
          </w:p>
        </w:tc>
        <w:tc>
          <w:tcPr>
            <w:tcW w:w="2287" w:type="dxa"/>
            <w:vAlign w:val="bottom"/>
          </w:tcPr>
          <w:p w14:paraId="2BDED48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olor w:val="000000"/>
                <w:sz w:val="18"/>
                <w:szCs w:val="18"/>
              </w:rPr>
              <w:t>650</w:t>
            </w:r>
          </w:p>
        </w:tc>
        <w:tc>
          <w:tcPr>
            <w:tcW w:w="1587" w:type="dxa"/>
            <w:vAlign w:val="bottom"/>
          </w:tcPr>
          <w:p w14:paraId="1E8AFF6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8"/>
                <w:szCs w:val="18"/>
              </w:rPr>
            </w:pPr>
            <w:r w:rsidRPr="00CE357F">
              <w:rPr>
                <w:rFonts w:ascii="Arial Narrow" w:hAnsi="Arial Narrow"/>
                <w:color w:val="000000"/>
                <w:sz w:val="18"/>
                <w:szCs w:val="18"/>
              </w:rPr>
              <w:t>824</w:t>
            </w:r>
          </w:p>
        </w:tc>
        <w:tc>
          <w:tcPr>
            <w:tcW w:w="840" w:type="dxa"/>
            <w:vAlign w:val="bottom"/>
          </w:tcPr>
          <w:p w14:paraId="55755D9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C00000"/>
                <w:sz w:val="18"/>
                <w:szCs w:val="18"/>
              </w:rPr>
            </w:pPr>
            <w:r w:rsidRPr="00CE357F">
              <w:rPr>
                <w:rFonts w:ascii="Arial Narrow" w:hAnsi="Arial Narrow"/>
                <w:b/>
                <w:color w:val="C00000"/>
                <w:sz w:val="18"/>
                <w:szCs w:val="18"/>
              </w:rPr>
              <w:t>1844</w:t>
            </w:r>
          </w:p>
        </w:tc>
      </w:tr>
      <w:tr w:rsidR="00EA186A" w:rsidRPr="00CE357F" w14:paraId="23431B3A"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5751665C"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68D0B38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 xml:space="preserve">AT&amp;T </w:t>
            </w:r>
            <w:proofErr w:type="spellStart"/>
            <w:r w:rsidRPr="00CE357F">
              <w:rPr>
                <w:rFonts w:ascii="Arial Narrow" w:hAnsi="Arial Narrow"/>
                <w:color w:val="000000"/>
                <w:sz w:val="18"/>
                <w:szCs w:val="18"/>
              </w:rPr>
              <w:t>Global</w:t>
            </w:r>
            <w:proofErr w:type="spellEnd"/>
            <w:r w:rsidRPr="00CE357F">
              <w:rPr>
                <w:rFonts w:ascii="Arial Narrow" w:hAnsi="Arial Narrow"/>
                <w:color w:val="000000"/>
                <w:sz w:val="18"/>
                <w:szCs w:val="18"/>
              </w:rPr>
              <w:t xml:space="preserve"> Network </w:t>
            </w:r>
            <w:proofErr w:type="spellStart"/>
            <w:r w:rsidRPr="00CE357F">
              <w:rPr>
                <w:rFonts w:ascii="Arial Narrow" w:hAnsi="Arial Narrow"/>
                <w:color w:val="000000"/>
                <w:sz w:val="18"/>
                <w:szCs w:val="18"/>
              </w:rPr>
              <w:t>Services</w:t>
            </w:r>
            <w:proofErr w:type="spellEnd"/>
            <w:r w:rsidRPr="00CE357F">
              <w:rPr>
                <w:rFonts w:ascii="Arial Narrow" w:hAnsi="Arial Narrow"/>
                <w:color w:val="000000"/>
                <w:sz w:val="18"/>
                <w:szCs w:val="18"/>
              </w:rPr>
              <w:t xml:space="preserve"> Czech Republic s.r.o.</w:t>
            </w:r>
          </w:p>
        </w:tc>
        <w:tc>
          <w:tcPr>
            <w:tcW w:w="758" w:type="dxa"/>
            <w:vAlign w:val="bottom"/>
          </w:tcPr>
          <w:p w14:paraId="2983652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150</w:t>
            </w:r>
          </w:p>
        </w:tc>
        <w:tc>
          <w:tcPr>
            <w:tcW w:w="2287" w:type="dxa"/>
            <w:vAlign w:val="bottom"/>
          </w:tcPr>
          <w:p w14:paraId="30CB9A3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520</w:t>
            </w:r>
          </w:p>
        </w:tc>
        <w:tc>
          <w:tcPr>
            <w:tcW w:w="1587" w:type="dxa"/>
            <w:vAlign w:val="bottom"/>
          </w:tcPr>
          <w:p w14:paraId="0DE76FF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375</w:t>
            </w:r>
          </w:p>
        </w:tc>
        <w:tc>
          <w:tcPr>
            <w:tcW w:w="840" w:type="dxa"/>
            <w:vAlign w:val="bottom"/>
          </w:tcPr>
          <w:p w14:paraId="02C0387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1045</w:t>
            </w:r>
          </w:p>
        </w:tc>
      </w:tr>
      <w:tr w:rsidR="00EA186A" w:rsidRPr="00CE357F" w14:paraId="3B61CBA8"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60784C6C"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0218BF9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Masarykova univerzita</w:t>
            </w:r>
          </w:p>
        </w:tc>
        <w:tc>
          <w:tcPr>
            <w:tcW w:w="758" w:type="dxa"/>
            <w:vAlign w:val="bottom"/>
          </w:tcPr>
          <w:p w14:paraId="0A7B2DC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479</w:t>
            </w:r>
          </w:p>
        </w:tc>
        <w:tc>
          <w:tcPr>
            <w:tcW w:w="2287" w:type="dxa"/>
            <w:vAlign w:val="bottom"/>
          </w:tcPr>
          <w:p w14:paraId="32989D1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222</w:t>
            </w:r>
          </w:p>
        </w:tc>
        <w:tc>
          <w:tcPr>
            <w:tcW w:w="1587" w:type="dxa"/>
            <w:vAlign w:val="bottom"/>
          </w:tcPr>
          <w:p w14:paraId="23CF4BB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207</w:t>
            </w:r>
          </w:p>
        </w:tc>
        <w:tc>
          <w:tcPr>
            <w:tcW w:w="840" w:type="dxa"/>
            <w:vAlign w:val="bottom"/>
          </w:tcPr>
          <w:p w14:paraId="6299A52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908</w:t>
            </w:r>
          </w:p>
        </w:tc>
      </w:tr>
      <w:tr w:rsidR="00EA186A" w:rsidRPr="00CE357F" w14:paraId="3B827D6E"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31CEBF47"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638CD91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Fakultní nemocnice Brno</w:t>
            </w:r>
          </w:p>
        </w:tc>
        <w:tc>
          <w:tcPr>
            <w:tcW w:w="758" w:type="dxa"/>
            <w:vAlign w:val="bottom"/>
          </w:tcPr>
          <w:p w14:paraId="2D70259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397</w:t>
            </w:r>
          </w:p>
        </w:tc>
        <w:tc>
          <w:tcPr>
            <w:tcW w:w="2287" w:type="dxa"/>
            <w:vAlign w:val="bottom"/>
          </w:tcPr>
          <w:p w14:paraId="425EBF1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3</w:t>
            </w:r>
          </w:p>
        </w:tc>
        <w:tc>
          <w:tcPr>
            <w:tcW w:w="1587" w:type="dxa"/>
            <w:vAlign w:val="bottom"/>
          </w:tcPr>
          <w:p w14:paraId="47D68A4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43</w:t>
            </w:r>
          </w:p>
        </w:tc>
        <w:tc>
          <w:tcPr>
            <w:tcW w:w="840" w:type="dxa"/>
            <w:vAlign w:val="bottom"/>
          </w:tcPr>
          <w:p w14:paraId="0C83E8B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443</w:t>
            </w:r>
          </w:p>
        </w:tc>
      </w:tr>
      <w:tr w:rsidR="00EA186A" w:rsidRPr="00CE357F" w14:paraId="445EBA46"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1812C878"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23A15F7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Kiwi.com s.r.o.</w:t>
            </w:r>
          </w:p>
        </w:tc>
        <w:tc>
          <w:tcPr>
            <w:tcW w:w="758" w:type="dxa"/>
            <w:vAlign w:val="bottom"/>
          </w:tcPr>
          <w:p w14:paraId="00D810B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189</w:t>
            </w:r>
          </w:p>
        </w:tc>
        <w:tc>
          <w:tcPr>
            <w:tcW w:w="2287" w:type="dxa"/>
            <w:vAlign w:val="bottom"/>
          </w:tcPr>
          <w:p w14:paraId="7C0687C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99</w:t>
            </w:r>
          </w:p>
        </w:tc>
        <w:tc>
          <w:tcPr>
            <w:tcW w:w="1587" w:type="dxa"/>
            <w:vAlign w:val="bottom"/>
          </w:tcPr>
          <w:p w14:paraId="219315A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133</w:t>
            </w:r>
          </w:p>
        </w:tc>
        <w:tc>
          <w:tcPr>
            <w:tcW w:w="840" w:type="dxa"/>
            <w:vAlign w:val="bottom"/>
          </w:tcPr>
          <w:p w14:paraId="22B2E74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421</w:t>
            </w:r>
          </w:p>
        </w:tc>
      </w:tr>
      <w:tr w:rsidR="00EA186A" w:rsidRPr="00CE357F" w14:paraId="572CD7A8"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011CED78"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4DCEC67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ABB s.r.o.</w:t>
            </w:r>
          </w:p>
        </w:tc>
        <w:tc>
          <w:tcPr>
            <w:tcW w:w="758" w:type="dxa"/>
            <w:vAlign w:val="bottom"/>
          </w:tcPr>
          <w:p w14:paraId="10A1CEE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117</w:t>
            </w:r>
          </w:p>
        </w:tc>
        <w:tc>
          <w:tcPr>
            <w:tcW w:w="2287" w:type="dxa"/>
            <w:vAlign w:val="bottom"/>
          </w:tcPr>
          <w:p w14:paraId="2A8C48C5"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5</w:t>
            </w:r>
          </w:p>
        </w:tc>
        <w:tc>
          <w:tcPr>
            <w:tcW w:w="1587" w:type="dxa"/>
            <w:vAlign w:val="bottom"/>
          </w:tcPr>
          <w:p w14:paraId="62D06BE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213</w:t>
            </w:r>
          </w:p>
        </w:tc>
        <w:tc>
          <w:tcPr>
            <w:tcW w:w="840" w:type="dxa"/>
            <w:vAlign w:val="bottom"/>
          </w:tcPr>
          <w:p w14:paraId="70C881E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335</w:t>
            </w:r>
          </w:p>
        </w:tc>
      </w:tr>
      <w:tr w:rsidR="00EA186A" w:rsidRPr="00CE357F" w14:paraId="5DB40FFB"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6E5A2637"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1378F23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Vysoké učení technické v Brně</w:t>
            </w:r>
          </w:p>
        </w:tc>
        <w:tc>
          <w:tcPr>
            <w:tcW w:w="758" w:type="dxa"/>
            <w:vAlign w:val="bottom"/>
          </w:tcPr>
          <w:p w14:paraId="21EFC5A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179</w:t>
            </w:r>
          </w:p>
        </w:tc>
        <w:tc>
          <w:tcPr>
            <w:tcW w:w="2287" w:type="dxa"/>
            <w:vAlign w:val="bottom"/>
          </w:tcPr>
          <w:p w14:paraId="067D48B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44</w:t>
            </w:r>
          </w:p>
        </w:tc>
        <w:tc>
          <w:tcPr>
            <w:tcW w:w="1587" w:type="dxa"/>
            <w:vAlign w:val="bottom"/>
          </w:tcPr>
          <w:p w14:paraId="0F5B7A2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110</w:t>
            </w:r>
          </w:p>
        </w:tc>
        <w:tc>
          <w:tcPr>
            <w:tcW w:w="840" w:type="dxa"/>
            <w:vAlign w:val="bottom"/>
          </w:tcPr>
          <w:p w14:paraId="436A3D0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333</w:t>
            </w:r>
          </w:p>
        </w:tc>
      </w:tr>
      <w:tr w:rsidR="00EA186A" w:rsidRPr="00CE357F" w14:paraId="55F215E7"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5FD5F33D"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2DE149F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 xml:space="preserve">Nová </w:t>
            </w:r>
            <w:proofErr w:type="spellStart"/>
            <w:r w:rsidRPr="00CE357F">
              <w:rPr>
                <w:rFonts w:ascii="Arial Narrow" w:hAnsi="Arial Narrow"/>
                <w:color w:val="000000"/>
                <w:sz w:val="18"/>
                <w:szCs w:val="18"/>
              </w:rPr>
              <w:t>Mosilana</w:t>
            </w:r>
            <w:proofErr w:type="spellEnd"/>
            <w:r w:rsidRPr="00CE357F">
              <w:rPr>
                <w:rFonts w:ascii="Arial Narrow" w:hAnsi="Arial Narrow"/>
                <w:color w:val="000000"/>
                <w:sz w:val="18"/>
                <w:szCs w:val="18"/>
              </w:rPr>
              <w:t>, a. s.</w:t>
            </w:r>
          </w:p>
        </w:tc>
        <w:tc>
          <w:tcPr>
            <w:tcW w:w="758" w:type="dxa"/>
            <w:vAlign w:val="bottom"/>
          </w:tcPr>
          <w:p w14:paraId="36DE9A2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10</w:t>
            </w:r>
          </w:p>
        </w:tc>
        <w:tc>
          <w:tcPr>
            <w:tcW w:w="2287" w:type="dxa"/>
            <w:vAlign w:val="bottom"/>
          </w:tcPr>
          <w:p w14:paraId="14CC06A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5</w:t>
            </w:r>
          </w:p>
        </w:tc>
        <w:tc>
          <w:tcPr>
            <w:tcW w:w="1587" w:type="dxa"/>
            <w:vAlign w:val="bottom"/>
          </w:tcPr>
          <w:p w14:paraId="722841F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249</w:t>
            </w:r>
          </w:p>
        </w:tc>
        <w:tc>
          <w:tcPr>
            <w:tcW w:w="840" w:type="dxa"/>
            <w:vAlign w:val="bottom"/>
          </w:tcPr>
          <w:p w14:paraId="0D782A0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264</w:t>
            </w:r>
          </w:p>
        </w:tc>
      </w:tr>
      <w:tr w:rsidR="00EA186A" w:rsidRPr="00CE357F" w14:paraId="2D4A01AF"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433F2F4F"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6A06D53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 xml:space="preserve">Zebra </w:t>
            </w:r>
            <w:proofErr w:type="spellStart"/>
            <w:r w:rsidRPr="00CE357F">
              <w:rPr>
                <w:rFonts w:ascii="Arial Narrow" w:hAnsi="Arial Narrow"/>
                <w:color w:val="000000"/>
                <w:sz w:val="18"/>
                <w:szCs w:val="18"/>
              </w:rPr>
              <w:t>Technoloiges</w:t>
            </w:r>
            <w:proofErr w:type="spellEnd"/>
            <w:r w:rsidRPr="00CE357F">
              <w:rPr>
                <w:rFonts w:ascii="Arial Narrow" w:hAnsi="Arial Narrow"/>
                <w:color w:val="000000"/>
                <w:sz w:val="18"/>
                <w:szCs w:val="18"/>
              </w:rPr>
              <w:t xml:space="preserve"> CZ s.r.o.</w:t>
            </w:r>
          </w:p>
        </w:tc>
        <w:tc>
          <w:tcPr>
            <w:tcW w:w="758" w:type="dxa"/>
            <w:vAlign w:val="bottom"/>
          </w:tcPr>
          <w:p w14:paraId="232EB84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47</w:t>
            </w:r>
          </w:p>
        </w:tc>
        <w:tc>
          <w:tcPr>
            <w:tcW w:w="2287" w:type="dxa"/>
            <w:vAlign w:val="bottom"/>
          </w:tcPr>
          <w:p w14:paraId="5260946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49</w:t>
            </w:r>
          </w:p>
        </w:tc>
        <w:tc>
          <w:tcPr>
            <w:tcW w:w="1587" w:type="dxa"/>
            <w:vAlign w:val="bottom"/>
          </w:tcPr>
          <w:p w14:paraId="5E2ACD2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160</w:t>
            </w:r>
          </w:p>
        </w:tc>
        <w:tc>
          <w:tcPr>
            <w:tcW w:w="840" w:type="dxa"/>
            <w:vAlign w:val="bottom"/>
          </w:tcPr>
          <w:p w14:paraId="2B0D037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256</w:t>
            </w:r>
          </w:p>
        </w:tc>
      </w:tr>
      <w:tr w:rsidR="00EA186A" w:rsidRPr="00CE357F" w14:paraId="0FB48B6F"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0B2F652D"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3449379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Fakultní nemocnice u sv. Anny v Brně</w:t>
            </w:r>
          </w:p>
        </w:tc>
        <w:tc>
          <w:tcPr>
            <w:tcW w:w="758" w:type="dxa"/>
            <w:vAlign w:val="bottom"/>
          </w:tcPr>
          <w:p w14:paraId="77E6067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169</w:t>
            </w:r>
          </w:p>
        </w:tc>
        <w:tc>
          <w:tcPr>
            <w:tcW w:w="2287" w:type="dxa"/>
            <w:vAlign w:val="bottom"/>
          </w:tcPr>
          <w:p w14:paraId="4E943F4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41</w:t>
            </w:r>
          </w:p>
        </w:tc>
        <w:tc>
          <w:tcPr>
            <w:tcW w:w="1587" w:type="dxa"/>
            <w:vAlign w:val="bottom"/>
          </w:tcPr>
          <w:p w14:paraId="284B89E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45</w:t>
            </w:r>
          </w:p>
        </w:tc>
        <w:tc>
          <w:tcPr>
            <w:tcW w:w="840" w:type="dxa"/>
            <w:vAlign w:val="bottom"/>
          </w:tcPr>
          <w:p w14:paraId="74F5AB2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255</w:t>
            </w:r>
          </w:p>
        </w:tc>
      </w:tr>
      <w:tr w:rsidR="00EA186A" w:rsidRPr="00CE357F" w14:paraId="6F9D4967"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1C55C9B7"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lastRenderedPageBreak/>
              <w:t>BM</w:t>
            </w:r>
          </w:p>
        </w:tc>
        <w:tc>
          <w:tcPr>
            <w:tcW w:w="2689" w:type="dxa"/>
            <w:vAlign w:val="bottom"/>
          </w:tcPr>
          <w:p w14:paraId="2228214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 xml:space="preserve">KBC Group, </w:t>
            </w:r>
            <w:proofErr w:type="spellStart"/>
            <w:r w:rsidRPr="00CE357F">
              <w:rPr>
                <w:rFonts w:ascii="Arial Narrow" w:hAnsi="Arial Narrow"/>
                <w:color w:val="000000"/>
                <w:sz w:val="18"/>
                <w:szCs w:val="18"/>
              </w:rPr>
              <w:t>Shared</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Service</w:t>
            </w:r>
            <w:proofErr w:type="spellEnd"/>
            <w:r w:rsidRPr="00CE357F">
              <w:rPr>
                <w:rFonts w:ascii="Arial Narrow" w:hAnsi="Arial Narrow"/>
                <w:color w:val="000000"/>
                <w:sz w:val="18"/>
                <w:szCs w:val="18"/>
              </w:rPr>
              <w:t xml:space="preserve"> Center CZ</w:t>
            </w:r>
          </w:p>
        </w:tc>
        <w:tc>
          <w:tcPr>
            <w:tcW w:w="758" w:type="dxa"/>
            <w:vAlign w:val="bottom"/>
          </w:tcPr>
          <w:p w14:paraId="7891C30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160</w:t>
            </w:r>
          </w:p>
        </w:tc>
        <w:tc>
          <w:tcPr>
            <w:tcW w:w="2287" w:type="dxa"/>
            <w:vAlign w:val="bottom"/>
          </w:tcPr>
          <w:p w14:paraId="0AF32D9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29</w:t>
            </w:r>
          </w:p>
        </w:tc>
        <w:tc>
          <w:tcPr>
            <w:tcW w:w="1587" w:type="dxa"/>
            <w:vAlign w:val="bottom"/>
          </w:tcPr>
          <w:p w14:paraId="2E29027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35</w:t>
            </w:r>
          </w:p>
        </w:tc>
        <w:tc>
          <w:tcPr>
            <w:tcW w:w="840" w:type="dxa"/>
            <w:vAlign w:val="bottom"/>
          </w:tcPr>
          <w:p w14:paraId="764FD4A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224</w:t>
            </w:r>
          </w:p>
        </w:tc>
      </w:tr>
      <w:tr w:rsidR="00EA186A" w:rsidRPr="00CE357F" w14:paraId="7963D335"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0015ECAF"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6425973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proofErr w:type="spellStart"/>
            <w:r w:rsidRPr="00CE357F">
              <w:rPr>
                <w:rFonts w:ascii="Arial Narrow" w:hAnsi="Arial Narrow"/>
                <w:color w:val="000000"/>
                <w:sz w:val="18"/>
                <w:szCs w:val="18"/>
              </w:rPr>
              <w:t>Global</w:t>
            </w:r>
            <w:proofErr w:type="spellEnd"/>
            <w:r w:rsidRPr="00CE357F">
              <w:rPr>
                <w:rFonts w:ascii="Arial Narrow" w:hAnsi="Arial Narrow"/>
                <w:color w:val="000000"/>
                <w:sz w:val="18"/>
                <w:szCs w:val="18"/>
              </w:rPr>
              <w:t xml:space="preserve"> Tele Sales Brno s.r.o.</w:t>
            </w:r>
          </w:p>
        </w:tc>
        <w:tc>
          <w:tcPr>
            <w:tcW w:w="758" w:type="dxa"/>
            <w:vAlign w:val="bottom"/>
          </w:tcPr>
          <w:p w14:paraId="1127082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13</w:t>
            </w:r>
          </w:p>
        </w:tc>
        <w:tc>
          <w:tcPr>
            <w:tcW w:w="2287" w:type="dxa"/>
            <w:vAlign w:val="bottom"/>
          </w:tcPr>
          <w:p w14:paraId="21717CB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85</w:t>
            </w:r>
          </w:p>
        </w:tc>
        <w:tc>
          <w:tcPr>
            <w:tcW w:w="1587" w:type="dxa"/>
            <w:vAlign w:val="bottom"/>
          </w:tcPr>
          <w:p w14:paraId="19CB491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104</w:t>
            </w:r>
          </w:p>
        </w:tc>
        <w:tc>
          <w:tcPr>
            <w:tcW w:w="840" w:type="dxa"/>
            <w:vAlign w:val="bottom"/>
          </w:tcPr>
          <w:p w14:paraId="26BE9B9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202</w:t>
            </w:r>
          </w:p>
        </w:tc>
      </w:tr>
      <w:tr w:rsidR="00EA186A" w:rsidRPr="00CE357F" w14:paraId="7A8AB325"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05AA92EA"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7BD2DBD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proofErr w:type="spellStart"/>
            <w:r w:rsidRPr="00CE357F">
              <w:rPr>
                <w:rFonts w:ascii="Arial Narrow" w:hAnsi="Arial Narrow"/>
                <w:color w:val="000000"/>
                <w:sz w:val="18"/>
                <w:szCs w:val="18"/>
              </w:rPr>
              <w:t>Dixons</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Carphone</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CoE</w:t>
            </w:r>
            <w:proofErr w:type="spellEnd"/>
            <w:r w:rsidRPr="00CE357F">
              <w:rPr>
                <w:rFonts w:ascii="Arial Narrow" w:hAnsi="Arial Narrow"/>
                <w:color w:val="000000"/>
                <w:sz w:val="18"/>
                <w:szCs w:val="18"/>
              </w:rPr>
              <w:t>, s.r.o.</w:t>
            </w:r>
          </w:p>
        </w:tc>
        <w:tc>
          <w:tcPr>
            <w:tcW w:w="758" w:type="dxa"/>
            <w:vAlign w:val="bottom"/>
          </w:tcPr>
          <w:p w14:paraId="6347E5B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105</w:t>
            </w:r>
          </w:p>
        </w:tc>
        <w:tc>
          <w:tcPr>
            <w:tcW w:w="2287" w:type="dxa"/>
            <w:vAlign w:val="bottom"/>
          </w:tcPr>
          <w:p w14:paraId="5843D8C5"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43</w:t>
            </w:r>
          </w:p>
        </w:tc>
        <w:tc>
          <w:tcPr>
            <w:tcW w:w="1587" w:type="dxa"/>
            <w:vAlign w:val="bottom"/>
          </w:tcPr>
          <w:p w14:paraId="3DDFE81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36</w:t>
            </w:r>
          </w:p>
        </w:tc>
        <w:tc>
          <w:tcPr>
            <w:tcW w:w="840" w:type="dxa"/>
            <w:vAlign w:val="bottom"/>
          </w:tcPr>
          <w:p w14:paraId="51D8859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184</w:t>
            </w:r>
          </w:p>
        </w:tc>
      </w:tr>
      <w:tr w:rsidR="00EA186A" w:rsidRPr="00CE357F" w14:paraId="48A5A361"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36078DD9"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5AD99DF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 xml:space="preserve">FNZ (UK) Ltd - Czech </w:t>
            </w:r>
            <w:proofErr w:type="spellStart"/>
            <w:r w:rsidRPr="00CE357F">
              <w:rPr>
                <w:rFonts w:ascii="Arial Narrow" w:hAnsi="Arial Narrow"/>
                <w:color w:val="000000"/>
                <w:sz w:val="18"/>
                <w:szCs w:val="18"/>
              </w:rPr>
              <w:t>Branch</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odstěpný</w:t>
            </w:r>
            <w:proofErr w:type="spellEnd"/>
            <w:r w:rsidRPr="00CE357F">
              <w:rPr>
                <w:rFonts w:ascii="Arial Narrow" w:hAnsi="Arial Narrow"/>
                <w:color w:val="000000"/>
                <w:sz w:val="18"/>
                <w:szCs w:val="18"/>
              </w:rPr>
              <w:t xml:space="preserve"> závod</w:t>
            </w:r>
          </w:p>
        </w:tc>
        <w:tc>
          <w:tcPr>
            <w:tcW w:w="758" w:type="dxa"/>
            <w:vAlign w:val="bottom"/>
          </w:tcPr>
          <w:p w14:paraId="698DE84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62</w:t>
            </w:r>
          </w:p>
        </w:tc>
        <w:tc>
          <w:tcPr>
            <w:tcW w:w="2287" w:type="dxa"/>
            <w:vAlign w:val="bottom"/>
          </w:tcPr>
          <w:p w14:paraId="04155DB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51</w:t>
            </w:r>
          </w:p>
        </w:tc>
        <w:tc>
          <w:tcPr>
            <w:tcW w:w="1587" w:type="dxa"/>
            <w:vAlign w:val="bottom"/>
          </w:tcPr>
          <w:p w14:paraId="42B9E2F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62</w:t>
            </w:r>
          </w:p>
        </w:tc>
        <w:tc>
          <w:tcPr>
            <w:tcW w:w="840" w:type="dxa"/>
            <w:vAlign w:val="bottom"/>
          </w:tcPr>
          <w:p w14:paraId="7046011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175</w:t>
            </w:r>
          </w:p>
        </w:tc>
      </w:tr>
      <w:tr w:rsidR="00EA186A" w:rsidRPr="00CE357F" w14:paraId="43693AF4"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1579A505"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76BC700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proofErr w:type="spellStart"/>
            <w:r w:rsidRPr="00CE357F">
              <w:rPr>
                <w:rFonts w:ascii="Arial Narrow" w:hAnsi="Arial Narrow"/>
                <w:color w:val="000000"/>
                <w:sz w:val="18"/>
                <w:szCs w:val="18"/>
              </w:rPr>
              <w:t>Notino</w:t>
            </w:r>
            <w:proofErr w:type="spellEnd"/>
            <w:r w:rsidRPr="00CE357F">
              <w:rPr>
                <w:rFonts w:ascii="Arial Narrow" w:hAnsi="Arial Narrow"/>
                <w:color w:val="000000"/>
                <w:sz w:val="18"/>
                <w:szCs w:val="18"/>
              </w:rPr>
              <w:t>, s.r.o.</w:t>
            </w:r>
          </w:p>
        </w:tc>
        <w:tc>
          <w:tcPr>
            <w:tcW w:w="758" w:type="dxa"/>
            <w:vAlign w:val="bottom"/>
          </w:tcPr>
          <w:p w14:paraId="3623AE9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78</w:t>
            </w:r>
          </w:p>
        </w:tc>
        <w:tc>
          <w:tcPr>
            <w:tcW w:w="2287" w:type="dxa"/>
            <w:vAlign w:val="bottom"/>
          </w:tcPr>
          <w:p w14:paraId="11EE9BA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43</w:t>
            </w:r>
          </w:p>
        </w:tc>
        <w:tc>
          <w:tcPr>
            <w:tcW w:w="1587" w:type="dxa"/>
            <w:vAlign w:val="bottom"/>
          </w:tcPr>
          <w:p w14:paraId="09D6D8C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36</w:t>
            </w:r>
          </w:p>
        </w:tc>
        <w:tc>
          <w:tcPr>
            <w:tcW w:w="840" w:type="dxa"/>
            <w:vAlign w:val="bottom"/>
          </w:tcPr>
          <w:p w14:paraId="1246DBC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157</w:t>
            </w:r>
          </w:p>
        </w:tc>
      </w:tr>
      <w:tr w:rsidR="00EA186A" w:rsidRPr="00CE357F" w14:paraId="328C0D1B"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37077330"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33DADC65"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Moravia IT s.r.o.</w:t>
            </w:r>
          </w:p>
        </w:tc>
        <w:tc>
          <w:tcPr>
            <w:tcW w:w="758" w:type="dxa"/>
            <w:vAlign w:val="bottom"/>
          </w:tcPr>
          <w:p w14:paraId="6E45CE0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110</w:t>
            </w:r>
          </w:p>
        </w:tc>
        <w:tc>
          <w:tcPr>
            <w:tcW w:w="2287" w:type="dxa"/>
            <w:vAlign w:val="bottom"/>
          </w:tcPr>
          <w:p w14:paraId="06FCE8D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28</w:t>
            </w:r>
          </w:p>
        </w:tc>
        <w:tc>
          <w:tcPr>
            <w:tcW w:w="1587" w:type="dxa"/>
            <w:vAlign w:val="bottom"/>
          </w:tcPr>
          <w:p w14:paraId="2F7E1A5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14</w:t>
            </w:r>
          </w:p>
        </w:tc>
        <w:tc>
          <w:tcPr>
            <w:tcW w:w="840" w:type="dxa"/>
            <w:vAlign w:val="bottom"/>
          </w:tcPr>
          <w:p w14:paraId="13C61E7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152</w:t>
            </w:r>
          </w:p>
        </w:tc>
      </w:tr>
      <w:tr w:rsidR="00EA186A" w:rsidRPr="00CE357F" w14:paraId="357C14B2"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41DF9608"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398B86D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Honeywell International s.r.o.</w:t>
            </w:r>
          </w:p>
        </w:tc>
        <w:tc>
          <w:tcPr>
            <w:tcW w:w="758" w:type="dxa"/>
            <w:vAlign w:val="bottom"/>
          </w:tcPr>
          <w:p w14:paraId="38C119C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116</w:t>
            </w:r>
          </w:p>
        </w:tc>
        <w:tc>
          <w:tcPr>
            <w:tcW w:w="2287" w:type="dxa"/>
            <w:vAlign w:val="bottom"/>
          </w:tcPr>
          <w:p w14:paraId="6306FD8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14</w:t>
            </w:r>
          </w:p>
        </w:tc>
        <w:tc>
          <w:tcPr>
            <w:tcW w:w="1587" w:type="dxa"/>
            <w:vAlign w:val="bottom"/>
          </w:tcPr>
          <w:p w14:paraId="1E38DEC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12</w:t>
            </w:r>
          </w:p>
        </w:tc>
        <w:tc>
          <w:tcPr>
            <w:tcW w:w="840" w:type="dxa"/>
            <w:vAlign w:val="bottom"/>
          </w:tcPr>
          <w:p w14:paraId="06C7AE7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142</w:t>
            </w:r>
          </w:p>
        </w:tc>
      </w:tr>
      <w:tr w:rsidR="00EA186A" w:rsidRPr="00CE357F" w14:paraId="499602BB"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7432BCDD"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5984601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proofErr w:type="spellStart"/>
            <w:r w:rsidRPr="00CE357F">
              <w:rPr>
                <w:rFonts w:ascii="Arial Narrow" w:hAnsi="Arial Narrow"/>
                <w:color w:val="000000"/>
                <w:sz w:val="18"/>
                <w:szCs w:val="18"/>
              </w:rPr>
              <w:t>Thermo</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Fisher</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Scientific</w:t>
            </w:r>
            <w:proofErr w:type="spellEnd"/>
            <w:r w:rsidRPr="00CE357F">
              <w:rPr>
                <w:rFonts w:ascii="Arial Narrow" w:hAnsi="Arial Narrow"/>
                <w:color w:val="000000"/>
                <w:sz w:val="18"/>
                <w:szCs w:val="18"/>
              </w:rPr>
              <w:t xml:space="preserve"> Brno s.r.o.</w:t>
            </w:r>
          </w:p>
        </w:tc>
        <w:tc>
          <w:tcPr>
            <w:tcW w:w="758" w:type="dxa"/>
            <w:vAlign w:val="bottom"/>
          </w:tcPr>
          <w:p w14:paraId="4666810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115</w:t>
            </w:r>
          </w:p>
        </w:tc>
        <w:tc>
          <w:tcPr>
            <w:tcW w:w="2287" w:type="dxa"/>
            <w:vAlign w:val="bottom"/>
          </w:tcPr>
          <w:p w14:paraId="6571F33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w:t>
            </w:r>
          </w:p>
        </w:tc>
        <w:tc>
          <w:tcPr>
            <w:tcW w:w="1587" w:type="dxa"/>
            <w:vAlign w:val="bottom"/>
          </w:tcPr>
          <w:p w14:paraId="5F8C6BD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22</w:t>
            </w:r>
          </w:p>
        </w:tc>
        <w:tc>
          <w:tcPr>
            <w:tcW w:w="840" w:type="dxa"/>
            <w:vAlign w:val="bottom"/>
          </w:tcPr>
          <w:p w14:paraId="2912997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139</w:t>
            </w:r>
          </w:p>
        </w:tc>
      </w:tr>
      <w:tr w:rsidR="00EA186A" w:rsidRPr="00CE357F" w14:paraId="7FE04BEF"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1AF3A8FC"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10A6985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Mendelova univerzita v Brně</w:t>
            </w:r>
          </w:p>
        </w:tc>
        <w:tc>
          <w:tcPr>
            <w:tcW w:w="758" w:type="dxa"/>
            <w:vAlign w:val="bottom"/>
          </w:tcPr>
          <w:p w14:paraId="622F6F2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81</w:t>
            </w:r>
          </w:p>
        </w:tc>
        <w:tc>
          <w:tcPr>
            <w:tcW w:w="2287" w:type="dxa"/>
            <w:vAlign w:val="bottom"/>
          </w:tcPr>
          <w:p w14:paraId="50C785A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20</w:t>
            </w:r>
          </w:p>
        </w:tc>
        <w:tc>
          <w:tcPr>
            <w:tcW w:w="1587" w:type="dxa"/>
            <w:vAlign w:val="bottom"/>
          </w:tcPr>
          <w:p w14:paraId="115E4B4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35</w:t>
            </w:r>
          </w:p>
        </w:tc>
        <w:tc>
          <w:tcPr>
            <w:tcW w:w="840" w:type="dxa"/>
            <w:vAlign w:val="bottom"/>
          </w:tcPr>
          <w:p w14:paraId="6979C75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136</w:t>
            </w:r>
          </w:p>
        </w:tc>
      </w:tr>
      <w:tr w:rsidR="00EA186A" w:rsidRPr="00CE357F" w14:paraId="284FE87B"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5ACE0409"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2C7DC2F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 xml:space="preserve">Atlas </w:t>
            </w:r>
            <w:proofErr w:type="spellStart"/>
            <w:r w:rsidRPr="00CE357F">
              <w:rPr>
                <w:rFonts w:ascii="Arial Narrow" w:hAnsi="Arial Narrow"/>
                <w:color w:val="000000"/>
                <w:sz w:val="18"/>
                <w:szCs w:val="18"/>
              </w:rPr>
              <w:t>Copco</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Services</w:t>
            </w:r>
            <w:proofErr w:type="spellEnd"/>
            <w:r w:rsidRPr="00CE357F">
              <w:rPr>
                <w:rFonts w:ascii="Arial Narrow" w:hAnsi="Arial Narrow"/>
                <w:color w:val="000000"/>
                <w:sz w:val="18"/>
                <w:szCs w:val="18"/>
              </w:rPr>
              <w:t xml:space="preserve"> s.r.o.</w:t>
            </w:r>
          </w:p>
        </w:tc>
        <w:tc>
          <w:tcPr>
            <w:tcW w:w="758" w:type="dxa"/>
            <w:vAlign w:val="bottom"/>
          </w:tcPr>
          <w:p w14:paraId="6FADFEB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69</w:t>
            </w:r>
          </w:p>
        </w:tc>
        <w:tc>
          <w:tcPr>
            <w:tcW w:w="2287" w:type="dxa"/>
            <w:vAlign w:val="bottom"/>
          </w:tcPr>
          <w:p w14:paraId="01124D3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20</w:t>
            </w:r>
          </w:p>
        </w:tc>
        <w:tc>
          <w:tcPr>
            <w:tcW w:w="1587" w:type="dxa"/>
            <w:vAlign w:val="bottom"/>
          </w:tcPr>
          <w:p w14:paraId="3627EAA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32</w:t>
            </w:r>
          </w:p>
        </w:tc>
        <w:tc>
          <w:tcPr>
            <w:tcW w:w="840" w:type="dxa"/>
            <w:vAlign w:val="bottom"/>
          </w:tcPr>
          <w:p w14:paraId="3461D5B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121</w:t>
            </w:r>
          </w:p>
        </w:tc>
      </w:tr>
      <w:tr w:rsidR="00EA186A" w:rsidRPr="00CE357F" w14:paraId="0A3AC1FE"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1C966FDB"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524DEEB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proofErr w:type="spellStart"/>
            <w:r w:rsidRPr="00CE357F">
              <w:rPr>
                <w:rFonts w:ascii="Arial Narrow" w:hAnsi="Arial Narrow"/>
                <w:color w:val="000000"/>
                <w:sz w:val="18"/>
                <w:szCs w:val="18"/>
              </w:rPr>
              <w:t>Ademco</w:t>
            </w:r>
            <w:proofErr w:type="spellEnd"/>
            <w:r w:rsidRPr="00CE357F">
              <w:rPr>
                <w:rFonts w:ascii="Arial Narrow" w:hAnsi="Arial Narrow"/>
                <w:color w:val="000000"/>
                <w:sz w:val="18"/>
                <w:szCs w:val="18"/>
              </w:rPr>
              <w:t xml:space="preserve"> CZ s.r.o.</w:t>
            </w:r>
          </w:p>
        </w:tc>
        <w:tc>
          <w:tcPr>
            <w:tcW w:w="758" w:type="dxa"/>
            <w:vAlign w:val="bottom"/>
          </w:tcPr>
          <w:p w14:paraId="12CC9BC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71</w:t>
            </w:r>
          </w:p>
        </w:tc>
        <w:tc>
          <w:tcPr>
            <w:tcW w:w="2287" w:type="dxa"/>
            <w:vAlign w:val="bottom"/>
          </w:tcPr>
          <w:p w14:paraId="4E8025D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14</w:t>
            </w:r>
          </w:p>
        </w:tc>
        <w:tc>
          <w:tcPr>
            <w:tcW w:w="1587" w:type="dxa"/>
            <w:vAlign w:val="bottom"/>
          </w:tcPr>
          <w:p w14:paraId="2537693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20</w:t>
            </w:r>
          </w:p>
        </w:tc>
        <w:tc>
          <w:tcPr>
            <w:tcW w:w="840" w:type="dxa"/>
            <w:vAlign w:val="bottom"/>
          </w:tcPr>
          <w:p w14:paraId="59CC35D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105</w:t>
            </w:r>
          </w:p>
        </w:tc>
      </w:tr>
      <w:tr w:rsidR="00EA186A" w:rsidRPr="00CE357F" w14:paraId="7410B94B"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0B30DFEE"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6D0B58D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SAP ČR spol. s r.o.</w:t>
            </w:r>
          </w:p>
        </w:tc>
        <w:tc>
          <w:tcPr>
            <w:tcW w:w="758" w:type="dxa"/>
            <w:vAlign w:val="bottom"/>
          </w:tcPr>
          <w:p w14:paraId="675C36D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66</w:t>
            </w:r>
          </w:p>
        </w:tc>
        <w:tc>
          <w:tcPr>
            <w:tcW w:w="2287" w:type="dxa"/>
            <w:vAlign w:val="bottom"/>
          </w:tcPr>
          <w:p w14:paraId="57B02D1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8</w:t>
            </w:r>
          </w:p>
        </w:tc>
        <w:tc>
          <w:tcPr>
            <w:tcW w:w="1587" w:type="dxa"/>
            <w:vAlign w:val="bottom"/>
          </w:tcPr>
          <w:p w14:paraId="1CBFCA6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18</w:t>
            </w:r>
          </w:p>
        </w:tc>
        <w:tc>
          <w:tcPr>
            <w:tcW w:w="840" w:type="dxa"/>
            <w:vAlign w:val="bottom"/>
          </w:tcPr>
          <w:p w14:paraId="04C426C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92</w:t>
            </w:r>
          </w:p>
        </w:tc>
      </w:tr>
      <w:tr w:rsidR="00EA186A" w:rsidRPr="00CE357F" w14:paraId="6CFF615A"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40A16F01"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0C2C3D7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proofErr w:type="spellStart"/>
            <w:r w:rsidRPr="00CE357F">
              <w:rPr>
                <w:rFonts w:ascii="Arial Narrow" w:hAnsi="Arial Narrow"/>
                <w:color w:val="000000"/>
                <w:sz w:val="18"/>
                <w:szCs w:val="18"/>
              </w:rPr>
              <w:t>SolarWinds</w:t>
            </w:r>
            <w:proofErr w:type="spellEnd"/>
            <w:r w:rsidRPr="00CE357F">
              <w:rPr>
                <w:rFonts w:ascii="Arial Narrow" w:hAnsi="Arial Narrow"/>
                <w:color w:val="000000"/>
                <w:sz w:val="18"/>
                <w:szCs w:val="18"/>
              </w:rPr>
              <w:t xml:space="preserve"> Czech s.r.o.</w:t>
            </w:r>
          </w:p>
        </w:tc>
        <w:tc>
          <w:tcPr>
            <w:tcW w:w="758" w:type="dxa"/>
            <w:vAlign w:val="bottom"/>
          </w:tcPr>
          <w:p w14:paraId="183F291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77</w:t>
            </w:r>
          </w:p>
        </w:tc>
        <w:tc>
          <w:tcPr>
            <w:tcW w:w="2287" w:type="dxa"/>
            <w:vAlign w:val="bottom"/>
          </w:tcPr>
          <w:p w14:paraId="4A17506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2</w:t>
            </w:r>
          </w:p>
        </w:tc>
        <w:tc>
          <w:tcPr>
            <w:tcW w:w="1587" w:type="dxa"/>
            <w:vAlign w:val="bottom"/>
          </w:tcPr>
          <w:p w14:paraId="7B74A0C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10</w:t>
            </w:r>
          </w:p>
        </w:tc>
        <w:tc>
          <w:tcPr>
            <w:tcW w:w="840" w:type="dxa"/>
            <w:vAlign w:val="bottom"/>
          </w:tcPr>
          <w:p w14:paraId="444A2F2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89</w:t>
            </w:r>
          </w:p>
        </w:tc>
      </w:tr>
      <w:tr w:rsidR="00EA186A" w:rsidRPr="00CE357F" w14:paraId="144690D8"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1C469B68"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5BC492D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 xml:space="preserve">Konica Minolta Business </w:t>
            </w:r>
            <w:proofErr w:type="spellStart"/>
            <w:r w:rsidRPr="00CE357F">
              <w:rPr>
                <w:rFonts w:ascii="Arial Narrow" w:hAnsi="Arial Narrow"/>
                <w:color w:val="000000"/>
                <w:sz w:val="18"/>
                <w:szCs w:val="18"/>
              </w:rPr>
              <w:t>Solutions</w:t>
            </w:r>
            <w:proofErr w:type="spellEnd"/>
            <w:r w:rsidRPr="00CE357F">
              <w:rPr>
                <w:rFonts w:ascii="Arial Narrow" w:hAnsi="Arial Narrow"/>
                <w:color w:val="000000"/>
                <w:sz w:val="18"/>
                <w:szCs w:val="18"/>
              </w:rPr>
              <w:t xml:space="preserve"> Czech, spol. s r.o.</w:t>
            </w:r>
          </w:p>
        </w:tc>
        <w:tc>
          <w:tcPr>
            <w:tcW w:w="758" w:type="dxa"/>
            <w:vAlign w:val="bottom"/>
          </w:tcPr>
          <w:p w14:paraId="1F42F6F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54</w:t>
            </w:r>
          </w:p>
        </w:tc>
        <w:tc>
          <w:tcPr>
            <w:tcW w:w="2287" w:type="dxa"/>
            <w:vAlign w:val="bottom"/>
          </w:tcPr>
          <w:p w14:paraId="67090A9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5</w:t>
            </w:r>
          </w:p>
        </w:tc>
        <w:tc>
          <w:tcPr>
            <w:tcW w:w="1587" w:type="dxa"/>
            <w:vAlign w:val="bottom"/>
          </w:tcPr>
          <w:p w14:paraId="60E7364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19</w:t>
            </w:r>
          </w:p>
        </w:tc>
        <w:tc>
          <w:tcPr>
            <w:tcW w:w="840" w:type="dxa"/>
            <w:vAlign w:val="bottom"/>
          </w:tcPr>
          <w:p w14:paraId="211A980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C00000"/>
                <w:sz w:val="18"/>
                <w:szCs w:val="18"/>
                <w:lang w:eastAsia="cs-CZ"/>
              </w:rPr>
            </w:pPr>
            <w:r w:rsidRPr="00CE357F">
              <w:rPr>
                <w:rFonts w:ascii="Arial Narrow" w:hAnsi="Arial Narrow"/>
                <w:b/>
                <w:color w:val="C00000"/>
                <w:sz w:val="18"/>
                <w:szCs w:val="18"/>
              </w:rPr>
              <w:t>78</w:t>
            </w:r>
          </w:p>
        </w:tc>
      </w:tr>
      <w:tr w:rsidR="00EA186A" w:rsidRPr="00CE357F" w14:paraId="7A7AEDB3"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722F7B91"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22A4665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Honeywell, spol. s r.o.</w:t>
            </w:r>
          </w:p>
        </w:tc>
        <w:tc>
          <w:tcPr>
            <w:tcW w:w="758" w:type="dxa"/>
            <w:vAlign w:val="bottom"/>
          </w:tcPr>
          <w:p w14:paraId="17F7947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12</w:t>
            </w:r>
          </w:p>
        </w:tc>
        <w:tc>
          <w:tcPr>
            <w:tcW w:w="2287" w:type="dxa"/>
            <w:vAlign w:val="bottom"/>
          </w:tcPr>
          <w:p w14:paraId="10085AA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11</w:t>
            </w:r>
          </w:p>
        </w:tc>
        <w:tc>
          <w:tcPr>
            <w:tcW w:w="1587" w:type="dxa"/>
            <w:vAlign w:val="bottom"/>
          </w:tcPr>
          <w:p w14:paraId="2B8B5B7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54</w:t>
            </w:r>
          </w:p>
        </w:tc>
        <w:tc>
          <w:tcPr>
            <w:tcW w:w="840" w:type="dxa"/>
            <w:vAlign w:val="bottom"/>
          </w:tcPr>
          <w:p w14:paraId="1C40BC0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77</w:t>
            </w:r>
          </w:p>
        </w:tc>
      </w:tr>
      <w:tr w:rsidR="00EA186A" w:rsidRPr="00CE357F" w14:paraId="03974135"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58FDE7F5"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1FB88C7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MKH komora s.r.o.</w:t>
            </w:r>
          </w:p>
        </w:tc>
        <w:tc>
          <w:tcPr>
            <w:tcW w:w="758" w:type="dxa"/>
            <w:vAlign w:val="bottom"/>
          </w:tcPr>
          <w:p w14:paraId="05F2026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1</w:t>
            </w:r>
          </w:p>
        </w:tc>
        <w:tc>
          <w:tcPr>
            <w:tcW w:w="2287" w:type="dxa"/>
            <w:vAlign w:val="bottom"/>
          </w:tcPr>
          <w:p w14:paraId="3054153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0</w:t>
            </w:r>
          </w:p>
        </w:tc>
        <w:tc>
          <w:tcPr>
            <w:tcW w:w="1587" w:type="dxa"/>
            <w:vAlign w:val="bottom"/>
          </w:tcPr>
          <w:p w14:paraId="24BDF3D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cs-CZ"/>
              </w:rPr>
            </w:pPr>
            <w:r w:rsidRPr="00CE357F">
              <w:rPr>
                <w:rFonts w:ascii="Arial Narrow" w:hAnsi="Arial Narrow"/>
                <w:color w:val="000000"/>
                <w:sz w:val="18"/>
                <w:szCs w:val="18"/>
              </w:rPr>
              <w:t>75</w:t>
            </w:r>
          </w:p>
        </w:tc>
        <w:tc>
          <w:tcPr>
            <w:tcW w:w="840" w:type="dxa"/>
            <w:vAlign w:val="bottom"/>
          </w:tcPr>
          <w:p w14:paraId="264015F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76</w:t>
            </w:r>
          </w:p>
        </w:tc>
      </w:tr>
      <w:tr w:rsidR="00EA186A" w:rsidRPr="00CE357F" w14:paraId="7092B5A3"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5CAD42A1" w14:textId="77777777" w:rsidR="00EA186A" w:rsidRPr="00CE357F" w:rsidRDefault="00EA186A" w:rsidP="000600CC">
            <w:pPr>
              <w:jc w:val="center"/>
              <w:rPr>
                <w:rFonts w:ascii="Arial Narrow" w:eastAsia="Times New Roman" w:hAnsi="Arial Narrow" w:cs="Arial"/>
                <w:b w:val="0"/>
                <w:bCs w:val="0"/>
                <w:sz w:val="18"/>
                <w:szCs w:val="18"/>
                <w:lang w:eastAsia="cs-CZ"/>
              </w:rPr>
            </w:pPr>
            <w:r w:rsidRPr="00CE357F">
              <w:rPr>
                <w:rFonts w:ascii="Arial Narrow" w:eastAsia="Times New Roman" w:hAnsi="Arial Narrow" w:cs="Arial"/>
                <w:b w:val="0"/>
                <w:bCs w:val="0"/>
                <w:sz w:val="18"/>
                <w:szCs w:val="18"/>
                <w:lang w:eastAsia="cs-CZ"/>
              </w:rPr>
              <w:t>BM</w:t>
            </w:r>
          </w:p>
        </w:tc>
        <w:tc>
          <w:tcPr>
            <w:tcW w:w="2689" w:type="dxa"/>
            <w:vAlign w:val="bottom"/>
          </w:tcPr>
          <w:p w14:paraId="7DE1F30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18"/>
                <w:szCs w:val="18"/>
                <w:lang w:eastAsia="cs-CZ"/>
              </w:rPr>
            </w:pPr>
            <w:r w:rsidRPr="00CE357F">
              <w:rPr>
                <w:rFonts w:ascii="Arial Narrow" w:hAnsi="Arial Narrow"/>
                <w:color w:val="000000"/>
                <w:sz w:val="18"/>
                <w:szCs w:val="18"/>
              </w:rPr>
              <w:t>PPG INDUSTRIES CZECH REPUBLIC, s.r.o.</w:t>
            </w:r>
          </w:p>
        </w:tc>
        <w:tc>
          <w:tcPr>
            <w:tcW w:w="758" w:type="dxa"/>
            <w:vAlign w:val="bottom"/>
          </w:tcPr>
          <w:p w14:paraId="60362E6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olor w:val="000000"/>
                <w:sz w:val="18"/>
                <w:szCs w:val="18"/>
              </w:rPr>
              <w:t>56</w:t>
            </w:r>
          </w:p>
        </w:tc>
        <w:tc>
          <w:tcPr>
            <w:tcW w:w="2287" w:type="dxa"/>
            <w:vAlign w:val="bottom"/>
          </w:tcPr>
          <w:p w14:paraId="199E5EC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olor w:val="000000"/>
                <w:sz w:val="18"/>
                <w:szCs w:val="18"/>
              </w:rPr>
              <w:t>7</w:t>
            </w:r>
          </w:p>
        </w:tc>
        <w:tc>
          <w:tcPr>
            <w:tcW w:w="1587" w:type="dxa"/>
            <w:vAlign w:val="bottom"/>
          </w:tcPr>
          <w:p w14:paraId="6BA62DA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E357F">
              <w:rPr>
                <w:rFonts w:ascii="Arial Narrow" w:hAnsi="Arial Narrow"/>
                <w:color w:val="000000"/>
                <w:sz w:val="18"/>
                <w:szCs w:val="18"/>
              </w:rPr>
              <w:t>11</w:t>
            </w:r>
          </w:p>
        </w:tc>
        <w:tc>
          <w:tcPr>
            <w:tcW w:w="840" w:type="dxa"/>
            <w:vAlign w:val="bottom"/>
          </w:tcPr>
          <w:p w14:paraId="6132AFE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C00000"/>
                <w:sz w:val="18"/>
                <w:szCs w:val="18"/>
              </w:rPr>
            </w:pPr>
            <w:r w:rsidRPr="00CE357F">
              <w:rPr>
                <w:rFonts w:ascii="Arial Narrow" w:hAnsi="Arial Narrow"/>
                <w:b/>
                <w:color w:val="C00000"/>
                <w:sz w:val="18"/>
                <w:szCs w:val="18"/>
              </w:rPr>
              <w:t>74</w:t>
            </w:r>
          </w:p>
        </w:tc>
      </w:tr>
      <w:tr w:rsidR="00EA186A" w:rsidRPr="00CE357F" w14:paraId="53C294AC"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474F1910"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4081556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CE357F">
              <w:rPr>
                <w:rFonts w:ascii="Arial Narrow" w:hAnsi="Arial Narrow"/>
                <w:color w:val="000000"/>
                <w:sz w:val="18"/>
                <w:szCs w:val="18"/>
              </w:rPr>
              <w:t>Deutsche</w:t>
            </w:r>
            <w:proofErr w:type="spellEnd"/>
            <w:r w:rsidRPr="00CE357F">
              <w:rPr>
                <w:rFonts w:ascii="Arial Narrow" w:hAnsi="Arial Narrow"/>
                <w:color w:val="000000"/>
                <w:sz w:val="18"/>
                <w:szCs w:val="18"/>
              </w:rPr>
              <w:t xml:space="preserve"> Telekom </w:t>
            </w:r>
            <w:proofErr w:type="spellStart"/>
            <w:r w:rsidRPr="00CE357F">
              <w:rPr>
                <w:rFonts w:ascii="Arial Narrow" w:hAnsi="Arial Narrow"/>
                <w:color w:val="000000"/>
                <w:sz w:val="18"/>
                <w:szCs w:val="18"/>
              </w:rPr>
              <w:t>Servicer</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Europe</w:t>
            </w:r>
            <w:proofErr w:type="spellEnd"/>
            <w:r w:rsidRPr="00CE357F">
              <w:rPr>
                <w:rFonts w:ascii="Arial Narrow" w:hAnsi="Arial Narrow"/>
                <w:color w:val="000000"/>
                <w:sz w:val="18"/>
                <w:szCs w:val="18"/>
              </w:rPr>
              <w:t xml:space="preserve"> Czech Republic s.r.o.</w:t>
            </w:r>
          </w:p>
        </w:tc>
        <w:tc>
          <w:tcPr>
            <w:tcW w:w="758" w:type="dxa"/>
            <w:vAlign w:val="bottom"/>
          </w:tcPr>
          <w:p w14:paraId="3CB61B0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28</w:t>
            </w:r>
          </w:p>
        </w:tc>
        <w:tc>
          <w:tcPr>
            <w:tcW w:w="2287" w:type="dxa"/>
            <w:vAlign w:val="bottom"/>
          </w:tcPr>
          <w:p w14:paraId="313871E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26</w:t>
            </w:r>
          </w:p>
        </w:tc>
        <w:tc>
          <w:tcPr>
            <w:tcW w:w="1587" w:type="dxa"/>
            <w:vAlign w:val="bottom"/>
          </w:tcPr>
          <w:p w14:paraId="5D767CE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14</w:t>
            </w:r>
          </w:p>
        </w:tc>
        <w:tc>
          <w:tcPr>
            <w:tcW w:w="840" w:type="dxa"/>
            <w:vAlign w:val="bottom"/>
          </w:tcPr>
          <w:p w14:paraId="25A205B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68</w:t>
            </w:r>
          </w:p>
        </w:tc>
      </w:tr>
      <w:tr w:rsidR="00EA186A" w:rsidRPr="00CE357F" w14:paraId="727F797B"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6ACE7E19"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0EC8695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CE357F">
              <w:rPr>
                <w:rFonts w:ascii="Arial Narrow" w:hAnsi="Arial Narrow"/>
                <w:color w:val="000000"/>
                <w:sz w:val="18"/>
                <w:szCs w:val="18"/>
              </w:rPr>
              <w:t>Garett</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Motion</w:t>
            </w:r>
            <w:proofErr w:type="spellEnd"/>
            <w:r w:rsidRPr="00CE357F">
              <w:rPr>
                <w:rFonts w:ascii="Arial Narrow" w:hAnsi="Arial Narrow"/>
                <w:color w:val="000000"/>
                <w:sz w:val="18"/>
                <w:szCs w:val="18"/>
              </w:rPr>
              <w:t xml:space="preserve"> Czech Republic s.r.o.</w:t>
            </w:r>
          </w:p>
        </w:tc>
        <w:tc>
          <w:tcPr>
            <w:tcW w:w="758" w:type="dxa"/>
            <w:vAlign w:val="bottom"/>
          </w:tcPr>
          <w:p w14:paraId="397DE36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36</w:t>
            </w:r>
          </w:p>
        </w:tc>
        <w:tc>
          <w:tcPr>
            <w:tcW w:w="2287" w:type="dxa"/>
            <w:vAlign w:val="bottom"/>
          </w:tcPr>
          <w:p w14:paraId="2D8ACEF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17</w:t>
            </w:r>
          </w:p>
        </w:tc>
        <w:tc>
          <w:tcPr>
            <w:tcW w:w="1587" w:type="dxa"/>
            <w:vAlign w:val="bottom"/>
          </w:tcPr>
          <w:p w14:paraId="41330265"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13</w:t>
            </w:r>
          </w:p>
        </w:tc>
        <w:tc>
          <w:tcPr>
            <w:tcW w:w="840" w:type="dxa"/>
            <w:vAlign w:val="bottom"/>
          </w:tcPr>
          <w:p w14:paraId="5CEFB1A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66</w:t>
            </w:r>
          </w:p>
        </w:tc>
      </w:tr>
      <w:tr w:rsidR="00EA186A" w:rsidRPr="00CE357F" w14:paraId="6080F72C"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1F6462C4"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692DAF1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Národní divadlo Brno, příspěvková organizace</w:t>
            </w:r>
          </w:p>
        </w:tc>
        <w:tc>
          <w:tcPr>
            <w:tcW w:w="758" w:type="dxa"/>
            <w:vAlign w:val="bottom"/>
          </w:tcPr>
          <w:p w14:paraId="18A25CB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22</w:t>
            </w:r>
          </w:p>
        </w:tc>
        <w:tc>
          <w:tcPr>
            <w:tcW w:w="2287" w:type="dxa"/>
            <w:vAlign w:val="bottom"/>
          </w:tcPr>
          <w:p w14:paraId="27CCD3F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19</w:t>
            </w:r>
          </w:p>
        </w:tc>
        <w:tc>
          <w:tcPr>
            <w:tcW w:w="1587" w:type="dxa"/>
            <w:vAlign w:val="bottom"/>
          </w:tcPr>
          <w:p w14:paraId="77ED917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23</w:t>
            </w:r>
          </w:p>
        </w:tc>
        <w:tc>
          <w:tcPr>
            <w:tcW w:w="840" w:type="dxa"/>
            <w:vAlign w:val="bottom"/>
          </w:tcPr>
          <w:p w14:paraId="6FF3368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64</w:t>
            </w:r>
          </w:p>
        </w:tc>
      </w:tr>
      <w:tr w:rsidR="00EA186A" w:rsidRPr="00CE357F" w14:paraId="4BB5D34A"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4E972A20"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1837F0F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CE357F">
              <w:rPr>
                <w:rFonts w:ascii="Arial Narrow" w:hAnsi="Arial Narrow"/>
                <w:color w:val="000000"/>
                <w:sz w:val="18"/>
                <w:szCs w:val="18"/>
              </w:rPr>
              <w:t>Mavenir</w:t>
            </w:r>
            <w:proofErr w:type="spellEnd"/>
            <w:r w:rsidRPr="00CE357F">
              <w:rPr>
                <w:rFonts w:ascii="Arial Narrow" w:hAnsi="Arial Narrow"/>
                <w:color w:val="000000"/>
                <w:sz w:val="18"/>
                <w:szCs w:val="18"/>
              </w:rPr>
              <w:t xml:space="preserve"> s.r.o.</w:t>
            </w:r>
          </w:p>
        </w:tc>
        <w:tc>
          <w:tcPr>
            <w:tcW w:w="758" w:type="dxa"/>
            <w:vAlign w:val="bottom"/>
          </w:tcPr>
          <w:p w14:paraId="3524A17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48</w:t>
            </w:r>
          </w:p>
        </w:tc>
        <w:tc>
          <w:tcPr>
            <w:tcW w:w="2287" w:type="dxa"/>
            <w:vAlign w:val="bottom"/>
          </w:tcPr>
          <w:p w14:paraId="5953AC6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8</w:t>
            </w:r>
          </w:p>
        </w:tc>
        <w:tc>
          <w:tcPr>
            <w:tcW w:w="1587" w:type="dxa"/>
            <w:vAlign w:val="bottom"/>
          </w:tcPr>
          <w:p w14:paraId="7A0A82A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6</w:t>
            </w:r>
          </w:p>
        </w:tc>
        <w:tc>
          <w:tcPr>
            <w:tcW w:w="840" w:type="dxa"/>
            <w:vAlign w:val="bottom"/>
          </w:tcPr>
          <w:p w14:paraId="0043FFB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62</w:t>
            </w:r>
          </w:p>
        </w:tc>
      </w:tr>
      <w:tr w:rsidR="00EA186A" w:rsidRPr="00CE357F" w14:paraId="168E35C8"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1977A67D"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1E3ABAC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Masarykův onkologický ústav</w:t>
            </w:r>
          </w:p>
        </w:tc>
        <w:tc>
          <w:tcPr>
            <w:tcW w:w="758" w:type="dxa"/>
            <w:vAlign w:val="bottom"/>
          </w:tcPr>
          <w:p w14:paraId="4E1CA5C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52</w:t>
            </w:r>
          </w:p>
        </w:tc>
        <w:tc>
          <w:tcPr>
            <w:tcW w:w="2287" w:type="dxa"/>
            <w:vAlign w:val="bottom"/>
          </w:tcPr>
          <w:p w14:paraId="3C0FDD2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5</w:t>
            </w:r>
          </w:p>
        </w:tc>
        <w:tc>
          <w:tcPr>
            <w:tcW w:w="1587" w:type="dxa"/>
            <w:vAlign w:val="bottom"/>
          </w:tcPr>
          <w:p w14:paraId="47A47E5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4</w:t>
            </w:r>
          </w:p>
        </w:tc>
        <w:tc>
          <w:tcPr>
            <w:tcW w:w="840" w:type="dxa"/>
            <w:vAlign w:val="bottom"/>
          </w:tcPr>
          <w:p w14:paraId="0C904AB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61</w:t>
            </w:r>
          </w:p>
        </w:tc>
      </w:tr>
      <w:tr w:rsidR="00EA186A" w:rsidRPr="00CE357F" w14:paraId="0EEA420D"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68B1E616"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0BD4CF2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CE357F">
              <w:rPr>
                <w:rFonts w:ascii="Arial Narrow" w:hAnsi="Arial Narrow"/>
                <w:color w:val="000000"/>
                <w:sz w:val="18"/>
                <w:szCs w:val="18"/>
              </w:rPr>
              <w:t>Daikin</w:t>
            </w:r>
            <w:proofErr w:type="spellEnd"/>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Device</w:t>
            </w:r>
            <w:proofErr w:type="spellEnd"/>
            <w:r w:rsidRPr="00CE357F">
              <w:rPr>
                <w:rFonts w:ascii="Arial Narrow" w:hAnsi="Arial Narrow"/>
                <w:color w:val="000000"/>
                <w:sz w:val="18"/>
                <w:szCs w:val="18"/>
              </w:rPr>
              <w:t xml:space="preserve"> Czech Republic s.r.o.</w:t>
            </w:r>
          </w:p>
        </w:tc>
        <w:tc>
          <w:tcPr>
            <w:tcW w:w="758" w:type="dxa"/>
            <w:vAlign w:val="bottom"/>
          </w:tcPr>
          <w:p w14:paraId="7E1CF4D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34</w:t>
            </w:r>
          </w:p>
        </w:tc>
        <w:tc>
          <w:tcPr>
            <w:tcW w:w="2287" w:type="dxa"/>
            <w:vAlign w:val="bottom"/>
          </w:tcPr>
          <w:p w14:paraId="37E9FA3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9</w:t>
            </w:r>
          </w:p>
        </w:tc>
        <w:tc>
          <w:tcPr>
            <w:tcW w:w="1587" w:type="dxa"/>
            <w:vAlign w:val="bottom"/>
          </w:tcPr>
          <w:p w14:paraId="263080C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16</w:t>
            </w:r>
          </w:p>
        </w:tc>
        <w:tc>
          <w:tcPr>
            <w:tcW w:w="840" w:type="dxa"/>
            <w:vAlign w:val="bottom"/>
          </w:tcPr>
          <w:p w14:paraId="2DC8E447"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59</w:t>
            </w:r>
          </w:p>
        </w:tc>
      </w:tr>
      <w:tr w:rsidR="00EA186A" w:rsidRPr="00CE357F" w14:paraId="670E5A1F"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4BF4A06C"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02BB35D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STEEL Brno s.r.o.</w:t>
            </w:r>
          </w:p>
        </w:tc>
        <w:tc>
          <w:tcPr>
            <w:tcW w:w="758" w:type="dxa"/>
            <w:vAlign w:val="bottom"/>
          </w:tcPr>
          <w:p w14:paraId="630C399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 -</w:t>
            </w:r>
          </w:p>
        </w:tc>
        <w:tc>
          <w:tcPr>
            <w:tcW w:w="2287" w:type="dxa"/>
            <w:vAlign w:val="bottom"/>
          </w:tcPr>
          <w:p w14:paraId="670A253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 </w:t>
            </w:r>
          </w:p>
        </w:tc>
        <w:tc>
          <w:tcPr>
            <w:tcW w:w="1587" w:type="dxa"/>
            <w:vAlign w:val="bottom"/>
          </w:tcPr>
          <w:p w14:paraId="0B423A7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59</w:t>
            </w:r>
          </w:p>
        </w:tc>
        <w:tc>
          <w:tcPr>
            <w:tcW w:w="840" w:type="dxa"/>
            <w:vAlign w:val="bottom"/>
          </w:tcPr>
          <w:p w14:paraId="06C8F93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59</w:t>
            </w:r>
          </w:p>
        </w:tc>
      </w:tr>
      <w:tr w:rsidR="00EA186A" w:rsidRPr="00CE357F" w14:paraId="6B4859EF"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2CA4439C"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34C2842D"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CE357F">
              <w:rPr>
                <w:rFonts w:ascii="Arial Narrow" w:hAnsi="Arial Narrow"/>
                <w:color w:val="000000"/>
                <w:sz w:val="18"/>
                <w:szCs w:val="18"/>
              </w:rPr>
              <w:t>Natim</w:t>
            </w:r>
            <w:proofErr w:type="spellEnd"/>
            <w:r w:rsidRPr="00CE357F">
              <w:rPr>
                <w:rFonts w:ascii="Arial Narrow" w:hAnsi="Arial Narrow"/>
                <w:color w:val="000000"/>
                <w:sz w:val="18"/>
                <w:szCs w:val="18"/>
              </w:rPr>
              <w:t>, s.r.o.</w:t>
            </w:r>
          </w:p>
        </w:tc>
        <w:tc>
          <w:tcPr>
            <w:tcW w:w="758" w:type="dxa"/>
            <w:vAlign w:val="bottom"/>
          </w:tcPr>
          <w:p w14:paraId="2555774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57</w:t>
            </w:r>
          </w:p>
        </w:tc>
        <w:tc>
          <w:tcPr>
            <w:tcW w:w="2287" w:type="dxa"/>
            <w:vAlign w:val="bottom"/>
          </w:tcPr>
          <w:p w14:paraId="5ACDE33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w:t>
            </w:r>
          </w:p>
        </w:tc>
        <w:tc>
          <w:tcPr>
            <w:tcW w:w="1587" w:type="dxa"/>
            <w:vAlign w:val="bottom"/>
          </w:tcPr>
          <w:p w14:paraId="2791A71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w:t>
            </w:r>
          </w:p>
        </w:tc>
        <w:tc>
          <w:tcPr>
            <w:tcW w:w="840" w:type="dxa"/>
            <w:vAlign w:val="bottom"/>
          </w:tcPr>
          <w:p w14:paraId="19C30FF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59</w:t>
            </w:r>
          </w:p>
        </w:tc>
      </w:tr>
      <w:tr w:rsidR="00EA186A" w:rsidRPr="00CE357F" w14:paraId="11C989C1"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51AF128B"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44674DE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 xml:space="preserve">SMS </w:t>
            </w:r>
            <w:proofErr w:type="spellStart"/>
            <w:r w:rsidRPr="00CE357F">
              <w:rPr>
                <w:rFonts w:ascii="Arial Narrow" w:hAnsi="Arial Narrow"/>
                <w:color w:val="000000"/>
                <w:sz w:val="18"/>
                <w:szCs w:val="18"/>
              </w:rPr>
              <w:t>InfoComm</w:t>
            </w:r>
            <w:proofErr w:type="spellEnd"/>
            <w:r w:rsidRPr="00CE357F">
              <w:rPr>
                <w:rFonts w:ascii="Arial Narrow" w:hAnsi="Arial Narrow"/>
                <w:color w:val="000000"/>
                <w:sz w:val="18"/>
                <w:szCs w:val="18"/>
              </w:rPr>
              <w:t xml:space="preserve"> (Czech) s.r.o., Vlastimila Pecha 1269/10, 627 00 Brno</w:t>
            </w:r>
          </w:p>
        </w:tc>
        <w:tc>
          <w:tcPr>
            <w:tcW w:w="758" w:type="dxa"/>
            <w:vAlign w:val="bottom"/>
          </w:tcPr>
          <w:p w14:paraId="4A24E7A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12</w:t>
            </w:r>
          </w:p>
        </w:tc>
        <w:tc>
          <w:tcPr>
            <w:tcW w:w="2287" w:type="dxa"/>
            <w:vAlign w:val="bottom"/>
          </w:tcPr>
          <w:p w14:paraId="04D866E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w:t>
            </w:r>
          </w:p>
        </w:tc>
        <w:tc>
          <w:tcPr>
            <w:tcW w:w="1587" w:type="dxa"/>
            <w:vAlign w:val="bottom"/>
          </w:tcPr>
          <w:p w14:paraId="7CF0BFA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45</w:t>
            </w:r>
          </w:p>
        </w:tc>
        <w:tc>
          <w:tcPr>
            <w:tcW w:w="840" w:type="dxa"/>
            <w:vAlign w:val="bottom"/>
          </w:tcPr>
          <w:p w14:paraId="3AF6312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59</w:t>
            </w:r>
          </w:p>
        </w:tc>
      </w:tr>
      <w:tr w:rsidR="00EA186A" w:rsidRPr="00CE357F" w14:paraId="5A31C42F"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7BB674FF"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21B34A35"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2K Czech, s.r.o.</w:t>
            </w:r>
          </w:p>
        </w:tc>
        <w:tc>
          <w:tcPr>
            <w:tcW w:w="758" w:type="dxa"/>
            <w:vAlign w:val="bottom"/>
          </w:tcPr>
          <w:p w14:paraId="7632988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15</w:t>
            </w:r>
          </w:p>
        </w:tc>
        <w:tc>
          <w:tcPr>
            <w:tcW w:w="2287" w:type="dxa"/>
            <w:vAlign w:val="bottom"/>
          </w:tcPr>
          <w:p w14:paraId="0E13A6D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28</w:t>
            </w:r>
          </w:p>
        </w:tc>
        <w:tc>
          <w:tcPr>
            <w:tcW w:w="1587" w:type="dxa"/>
            <w:vAlign w:val="bottom"/>
          </w:tcPr>
          <w:p w14:paraId="22F3D6A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16</w:t>
            </w:r>
          </w:p>
        </w:tc>
        <w:tc>
          <w:tcPr>
            <w:tcW w:w="840" w:type="dxa"/>
            <w:vAlign w:val="bottom"/>
          </w:tcPr>
          <w:p w14:paraId="7F7F858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59</w:t>
            </w:r>
          </w:p>
        </w:tc>
      </w:tr>
      <w:tr w:rsidR="00EA186A" w:rsidRPr="00CE357F" w14:paraId="2D74570B"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424037EF"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34AEA52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Veterinární a farmaceutická univerzita Brno</w:t>
            </w:r>
          </w:p>
        </w:tc>
        <w:tc>
          <w:tcPr>
            <w:tcW w:w="758" w:type="dxa"/>
            <w:vAlign w:val="bottom"/>
          </w:tcPr>
          <w:p w14:paraId="2B021D5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45</w:t>
            </w:r>
          </w:p>
        </w:tc>
        <w:tc>
          <w:tcPr>
            <w:tcW w:w="2287" w:type="dxa"/>
            <w:vAlign w:val="bottom"/>
          </w:tcPr>
          <w:p w14:paraId="0B2C3C1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6</w:t>
            </w:r>
          </w:p>
        </w:tc>
        <w:tc>
          <w:tcPr>
            <w:tcW w:w="1587" w:type="dxa"/>
            <w:vAlign w:val="bottom"/>
          </w:tcPr>
          <w:p w14:paraId="3B0B168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7</w:t>
            </w:r>
          </w:p>
        </w:tc>
        <w:tc>
          <w:tcPr>
            <w:tcW w:w="840" w:type="dxa"/>
            <w:vAlign w:val="bottom"/>
          </w:tcPr>
          <w:p w14:paraId="336B10E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58</w:t>
            </w:r>
          </w:p>
        </w:tc>
      </w:tr>
      <w:tr w:rsidR="00EA186A" w:rsidRPr="00CE357F" w14:paraId="28632487"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633C14C4"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12F57FE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CE357F">
              <w:rPr>
                <w:rFonts w:ascii="Arial Narrow" w:hAnsi="Arial Narrow"/>
                <w:color w:val="000000"/>
                <w:sz w:val="18"/>
                <w:szCs w:val="18"/>
              </w:rPr>
              <w:t>Kompan</w:t>
            </w:r>
            <w:proofErr w:type="spellEnd"/>
            <w:r w:rsidRPr="00CE357F">
              <w:rPr>
                <w:rFonts w:ascii="Arial Narrow" w:hAnsi="Arial Narrow"/>
                <w:color w:val="000000"/>
                <w:sz w:val="18"/>
                <w:szCs w:val="18"/>
              </w:rPr>
              <w:t xml:space="preserve"> Czech </w:t>
            </w:r>
            <w:proofErr w:type="spellStart"/>
            <w:r w:rsidRPr="00CE357F">
              <w:rPr>
                <w:rFonts w:ascii="Arial Narrow" w:hAnsi="Arial Narrow"/>
                <w:color w:val="000000"/>
                <w:sz w:val="18"/>
                <w:szCs w:val="18"/>
              </w:rPr>
              <w:t>Republic,s.r.o</w:t>
            </w:r>
            <w:proofErr w:type="spellEnd"/>
            <w:r w:rsidRPr="00CE357F">
              <w:rPr>
                <w:rFonts w:ascii="Arial Narrow" w:hAnsi="Arial Narrow"/>
                <w:color w:val="000000"/>
                <w:sz w:val="18"/>
                <w:szCs w:val="18"/>
              </w:rPr>
              <w:t>.</w:t>
            </w:r>
          </w:p>
        </w:tc>
        <w:tc>
          <w:tcPr>
            <w:tcW w:w="758" w:type="dxa"/>
            <w:vAlign w:val="bottom"/>
          </w:tcPr>
          <w:p w14:paraId="6F381BC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36</w:t>
            </w:r>
          </w:p>
        </w:tc>
        <w:tc>
          <w:tcPr>
            <w:tcW w:w="2287" w:type="dxa"/>
            <w:vAlign w:val="bottom"/>
          </w:tcPr>
          <w:p w14:paraId="568D915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21</w:t>
            </w:r>
          </w:p>
        </w:tc>
        <w:tc>
          <w:tcPr>
            <w:tcW w:w="1587" w:type="dxa"/>
            <w:vAlign w:val="bottom"/>
          </w:tcPr>
          <w:p w14:paraId="100E2C9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 -</w:t>
            </w:r>
          </w:p>
        </w:tc>
        <w:tc>
          <w:tcPr>
            <w:tcW w:w="840" w:type="dxa"/>
            <w:vAlign w:val="bottom"/>
          </w:tcPr>
          <w:p w14:paraId="0AD1A99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57</w:t>
            </w:r>
          </w:p>
        </w:tc>
      </w:tr>
      <w:tr w:rsidR="00EA186A" w:rsidRPr="00CE357F" w14:paraId="6ED4F276"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7E7D0463"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1D1E56C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 xml:space="preserve"> </w:t>
            </w:r>
            <w:proofErr w:type="spellStart"/>
            <w:r w:rsidRPr="00CE357F">
              <w:rPr>
                <w:rFonts w:ascii="Arial Narrow" w:hAnsi="Arial Narrow"/>
                <w:color w:val="000000"/>
                <w:sz w:val="18"/>
                <w:szCs w:val="18"/>
              </w:rPr>
              <w:t>Kentico</w:t>
            </w:r>
            <w:proofErr w:type="spellEnd"/>
            <w:r w:rsidRPr="00CE357F">
              <w:rPr>
                <w:rFonts w:ascii="Arial Narrow" w:hAnsi="Arial Narrow"/>
                <w:color w:val="000000"/>
                <w:sz w:val="18"/>
                <w:szCs w:val="18"/>
              </w:rPr>
              <w:t xml:space="preserve"> software s.r.o.</w:t>
            </w:r>
          </w:p>
        </w:tc>
        <w:tc>
          <w:tcPr>
            <w:tcW w:w="758" w:type="dxa"/>
            <w:vAlign w:val="bottom"/>
          </w:tcPr>
          <w:p w14:paraId="2FF30FA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51</w:t>
            </w:r>
          </w:p>
        </w:tc>
        <w:tc>
          <w:tcPr>
            <w:tcW w:w="2287" w:type="dxa"/>
            <w:vAlign w:val="bottom"/>
          </w:tcPr>
          <w:p w14:paraId="1AABE52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0</w:t>
            </w:r>
          </w:p>
        </w:tc>
        <w:tc>
          <w:tcPr>
            <w:tcW w:w="1587" w:type="dxa"/>
            <w:vAlign w:val="bottom"/>
          </w:tcPr>
          <w:p w14:paraId="4F825265"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3</w:t>
            </w:r>
          </w:p>
        </w:tc>
        <w:tc>
          <w:tcPr>
            <w:tcW w:w="840" w:type="dxa"/>
            <w:vAlign w:val="bottom"/>
          </w:tcPr>
          <w:p w14:paraId="559FCEFF"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54</w:t>
            </w:r>
          </w:p>
        </w:tc>
      </w:tr>
      <w:tr w:rsidR="00EA186A" w:rsidRPr="00CE357F" w14:paraId="5BF3A67A"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7A66934C"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4C2DC32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OHL ŽS, a.s.</w:t>
            </w:r>
          </w:p>
        </w:tc>
        <w:tc>
          <w:tcPr>
            <w:tcW w:w="758" w:type="dxa"/>
            <w:vAlign w:val="bottom"/>
          </w:tcPr>
          <w:p w14:paraId="12A52C8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39</w:t>
            </w:r>
          </w:p>
        </w:tc>
        <w:tc>
          <w:tcPr>
            <w:tcW w:w="2287" w:type="dxa"/>
            <w:vAlign w:val="bottom"/>
          </w:tcPr>
          <w:p w14:paraId="65A90935"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4</w:t>
            </w:r>
          </w:p>
        </w:tc>
        <w:tc>
          <w:tcPr>
            <w:tcW w:w="1587" w:type="dxa"/>
            <w:vAlign w:val="bottom"/>
          </w:tcPr>
          <w:p w14:paraId="20D326E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11</w:t>
            </w:r>
          </w:p>
        </w:tc>
        <w:tc>
          <w:tcPr>
            <w:tcW w:w="840" w:type="dxa"/>
            <w:vAlign w:val="bottom"/>
          </w:tcPr>
          <w:p w14:paraId="5F87131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54</w:t>
            </w:r>
          </w:p>
        </w:tc>
      </w:tr>
      <w:tr w:rsidR="00EA186A" w:rsidRPr="00CE357F" w14:paraId="36C657EC"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2D4689B6"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061DDA7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CE357F">
              <w:rPr>
                <w:rFonts w:ascii="Arial Narrow" w:hAnsi="Arial Narrow"/>
                <w:color w:val="000000"/>
                <w:sz w:val="18"/>
                <w:szCs w:val="18"/>
              </w:rPr>
              <w:t>Webnode</w:t>
            </w:r>
            <w:proofErr w:type="spellEnd"/>
            <w:r w:rsidRPr="00CE357F">
              <w:rPr>
                <w:rFonts w:ascii="Arial Narrow" w:hAnsi="Arial Narrow"/>
                <w:color w:val="000000"/>
                <w:sz w:val="18"/>
                <w:szCs w:val="18"/>
              </w:rPr>
              <w:t xml:space="preserve"> CZ s.r.o.</w:t>
            </w:r>
          </w:p>
        </w:tc>
        <w:tc>
          <w:tcPr>
            <w:tcW w:w="758" w:type="dxa"/>
            <w:vAlign w:val="bottom"/>
          </w:tcPr>
          <w:p w14:paraId="4252EEC8"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11</w:t>
            </w:r>
          </w:p>
        </w:tc>
        <w:tc>
          <w:tcPr>
            <w:tcW w:w="2287" w:type="dxa"/>
            <w:vAlign w:val="bottom"/>
          </w:tcPr>
          <w:p w14:paraId="029F498C"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31</w:t>
            </w:r>
          </w:p>
        </w:tc>
        <w:tc>
          <w:tcPr>
            <w:tcW w:w="1587" w:type="dxa"/>
            <w:vAlign w:val="bottom"/>
          </w:tcPr>
          <w:p w14:paraId="33D5400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9</w:t>
            </w:r>
          </w:p>
        </w:tc>
        <w:tc>
          <w:tcPr>
            <w:tcW w:w="840" w:type="dxa"/>
            <w:vAlign w:val="bottom"/>
          </w:tcPr>
          <w:p w14:paraId="17050610"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51</w:t>
            </w:r>
          </w:p>
        </w:tc>
      </w:tr>
      <w:tr w:rsidR="00EA186A" w:rsidRPr="00CE357F" w14:paraId="28B8F8FB"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bottom"/>
          </w:tcPr>
          <w:p w14:paraId="7227D6D7" w14:textId="77777777" w:rsidR="00EA186A" w:rsidRPr="00CE357F" w:rsidRDefault="00EA186A" w:rsidP="000600CC">
            <w:pPr>
              <w:jc w:val="center"/>
              <w:rPr>
                <w:rFonts w:ascii="Arial Narrow" w:hAnsi="Arial Narrow"/>
                <w:b w:val="0"/>
                <w:bCs w:val="0"/>
                <w:color w:val="000000"/>
                <w:sz w:val="18"/>
                <w:szCs w:val="18"/>
              </w:rPr>
            </w:pPr>
            <w:r w:rsidRPr="00CE357F">
              <w:rPr>
                <w:rFonts w:ascii="Arial Narrow" w:eastAsia="Times New Roman" w:hAnsi="Arial Narrow" w:cs="Arial"/>
                <w:b w:val="0"/>
                <w:bCs w:val="0"/>
                <w:sz w:val="18"/>
                <w:szCs w:val="18"/>
                <w:lang w:eastAsia="cs-CZ"/>
              </w:rPr>
              <w:t>BM</w:t>
            </w:r>
          </w:p>
        </w:tc>
        <w:tc>
          <w:tcPr>
            <w:tcW w:w="2689" w:type="dxa"/>
            <w:vAlign w:val="bottom"/>
          </w:tcPr>
          <w:p w14:paraId="7D69FBB3"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 xml:space="preserve">MANN+HUMMEL </w:t>
            </w:r>
            <w:proofErr w:type="spellStart"/>
            <w:r w:rsidRPr="00CE357F">
              <w:rPr>
                <w:rFonts w:ascii="Arial Narrow" w:hAnsi="Arial Narrow"/>
                <w:color w:val="000000"/>
                <w:sz w:val="18"/>
                <w:szCs w:val="18"/>
              </w:rPr>
              <w:t>Service</w:t>
            </w:r>
            <w:proofErr w:type="spellEnd"/>
            <w:r w:rsidRPr="00CE357F">
              <w:rPr>
                <w:rFonts w:ascii="Arial Narrow" w:hAnsi="Arial Narrow"/>
                <w:color w:val="000000"/>
                <w:sz w:val="18"/>
                <w:szCs w:val="18"/>
              </w:rPr>
              <w:t>, s.r.o.</w:t>
            </w:r>
          </w:p>
        </w:tc>
        <w:tc>
          <w:tcPr>
            <w:tcW w:w="758" w:type="dxa"/>
            <w:vAlign w:val="bottom"/>
          </w:tcPr>
          <w:p w14:paraId="65E9FD2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28</w:t>
            </w:r>
          </w:p>
        </w:tc>
        <w:tc>
          <w:tcPr>
            <w:tcW w:w="2287" w:type="dxa"/>
            <w:vAlign w:val="bottom"/>
          </w:tcPr>
          <w:p w14:paraId="5CA0EBF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12</w:t>
            </w:r>
          </w:p>
        </w:tc>
        <w:tc>
          <w:tcPr>
            <w:tcW w:w="1587" w:type="dxa"/>
            <w:vAlign w:val="bottom"/>
          </w:tcPr>
          <w:p w14:paraId="24899B81"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11</w:t>
            </w:r>
          </w:p>
        </w:tc>
        <w:tc>
          <w:tcPr>
            <w:tcW w:w="840" w:type="dxa"/>
            <w:vAlign w:val="bottom"/>
          </w:tcPr>
          <w:p w14:paraId="4E1F7ADB"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18"/>
                <w:szCs w:val="18"/>
              </w:rPr>
            </w:pPr>
            <w:r w:rsidRPr="00CE357F">
              <w:rPr>
                <w:rFonts w:ascii="Arial Narrow" w:hAnsi="Arial Narrow"/>
                <w:b/>
                <w:color w:val="C00000"/>
                <w:sz w:val="18"/>
                <w:szCs w:val="18"/>
              </w:rPr>
              <w:t>51</w:t>
            </w:r>
          </w:p>
        </w:tc>
      </w:tr>
      <w:tr w:rsidR="00EA186A" w:rsidRPr="00CE357F" w14:paraId="03B29650"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center"/>
          </w:tcPr>
          <w:p w14:paraId="5B346B5B" w14:textId="77777777" w:rsidR="00EA186A" w:rsidRPr="00CE357F" w:rsidRDefault="00EA186A" w:rsidP="000600CC">
            <w:pPr>
              <w:jc w:val="center"/>
              <w:rPr>
                <w:rFonts w:ascii="Arial Narrow" w:hAnsi="Arial Narrow"/>
                <w:color w:val="000000"/>
                <w:sz w:val="18"/>
                <w:szCs w:val="18"/>
              </w:rPr>
            </w:pPr>
          </w:p>
        </w:tc>
        <w:tc>
          <w:tcPr>
            <w:tcW w:w="2689" w:type="dxa"/>
            <w:vAlign w:val="center"/>
          </w:tcPr>
          <w:p w14:paraId="0507686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Ostatní zaměstnavatelé s méně než 10 zaměstnanci s jinou než českou státní příslušností</w:t>
            </w:r>
          </w:p>
        </w:tc>
        <w:tc>
          <w:tcPr>
            <w:tcW w:w="758" w:type="dxa"/>
            <w:vAlign w:val="center"/>
          </w:tcPr>
          <w:p w14:paraId="083D62A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2193</w:t>
            </w:r>
          </w:p>
        </w:tc>
        <w:tc>
          <w:tcPr>
            <w:tcW w:w="2287" w:type="dxa"/>
            <w:vAlign w:val="center"/>
          </w:tcPr>
          <w:p w14:paraId="35FD963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419</w:t>
            </w:r>
          </w:p>
        </w:tc>
        <w:tc>
          <w:tcPr>
            <w:tcW w:w="1587" w:type="dxa"/>
            <w:vAlign w:val="center"/>
          </w:tcPr>
          <w:p w14:paraId="5C7808F4"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CE357F">
              <w:rPr>
                <w:rFonts w:ascii="Arial Narrow" w:hAnsi="Arial Narrow"/>
                <w:color w:val="000000"/>
                <w:sz w:val="18"/>
                <w:szCs w:val="18"/>
              </w:rPr>
              <w:t>1 068</w:t>
            </w:r>
          </w:p>
        </w:tc>
        <w:tc>
          <w:tcPr>
            <w:tcW w:w="840" w:type="dxa"/>
            <w:vAlign w:val="center"/>
          </w:tcPr>
          <w:p w14:paraId="03FC5E19"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C00000"/>
                <w:sz w:val="18"/>
                <w:szCs w:val="18"/>
              </w:rPr>
            </w:pPr>
            <w:r w:rsidRPr="00CE357F">
              <w:rPr>
                <w:rFonts w:ascii="Arial Narrow" w:hAnsi="Arial Narrow"/>
                <w:b/>
                <w:bCs/>
                <w:color w:val="C00000"/>
                <w:sz w:val="18"/>
                <w:szCs w:val="18"/>
              </w:rPr>
              <w:t>3 680</w:t>
            </w:r>
          </w:p>
        </w:tc>
      </w:tr>
      <w:tr w:rsidR="00EA186A" w:rsidRPr="00CE357F" w14:paraId="2DF845AF" w14:textId="77777777" w:rsidTr="000600CC">
        <w:trPr>
          <w:trHeight w:val="227"/>
          <w:jc w:val="center"/>
        </w:trPr>
        <w:tc>
          <w:tcPr>
            <w:cnfStyle w:val="001000000000" w:firstRow="0" w:lastRow="0" w:firstColumn="1" w:lastColumn="0" w:oddVBand="0" w:evenVBand="0" w:oddHBand="0" w:evenHBand="0" w:firstRowFirstColumn="0" w:firstRowLastColumn="0" w:lastRowFirstColumn="0" w:lastRowLastColumn="0"/>
            <w:tcW w:w="840" w:type="dxa"/>
            <w:shd w:val="clear" w:color="auto" w:fill="D9E2F3" w:themeFill="accent1" w:themeFillTint="33"/>
            <w:vAlign w:val="center"/>
          </w:tcPr>
          <w:p w14:paraId="753D3B7F" w14:textId="77777777" w:rsidR="00EA186A" w:rsidRPr="00CE357F" w:rsidRDefault="00EA186A" w:rsidP="000600CC">
            <w:pPr>
              <w:jc w:val="center"/>
              <w:rPr>
                <w:rFonts w:ascii="Arial Narrow" w:hAnsi="Arial Narrow"/>
                <w:color w:val="000000"/>
                <w:sz w:val="18"/>
                <w:szCs w:val="18"/>
              </w:rPr>
            </w:pPr>
            <w:r w:rsidRPr="00CE357F">
              <w:rPr>
                <w:rFonts w:ascii="Arial Narrow" w:hAnsi="Arial Narrow"/>
                <w:sz w:val="18"/>
                <w:szCs w:val="18"/>
              </w:rPr>
              <w:t>ORP CELKEM</w:t>
            </w:r>
          </w:p>
        </w:tc>
        <w:tc>
          <w:tcPr>
            <w:tcW w:w="2689" w:type="dxa"/>
            <w:shd w:val="clear" w:color="auto" w:fill="D9E2F3" w:themeFill="accent1" w:themeFillTint="33"/>
            <w:vAlign w:val="center"/>
          </w:tcPr>
          <w:p w14:paraId="49207F6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8"/>
                <w:szCs w:val="18"/>
              </w:rPr>
            </w:pPr>
          </w:p>
        </w:tc>
        <w:tc>
          <w:tcPr>
            <w:tcW w:w="758" w:type="dxa"/>
            <w:shd w:val="clear" w:color="auto" w:fill="D9E2F3" w:themeFill="accent1" w:themeFillTint="33"/>
            <w:vAlign w:val="center"/>
          </w:tcPr>
          <w:p w14:paraId="7EC58862"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8"/>
                <w:szCs w:val="18"/>
              </w:rPr>
            </w:pPr>
            <w:r w:rsidRPr="00CE357F">
              <w:rPr>
                <w:rFonts w:ascii="Arial Narrow" w:hAnsi="Arial Narrow"/>
                <w:b/>
                <w:color w:val="000000"/>
                <w:sz w:val="18"/>
                <w:szCs w:val="18"/>
              </w:rPr>
              <w:t>6 060</w:t>
            </w:r>
          </w:p>
        </w:tc>
        <w:tc>
          <w:tcPr>
            <w:tcW w:w="2287" w:type="dxa"/>
            <w:shd w:val="clear" w:color="auto" w:fill="D9E2F3" w:themeFill="accent1" w:themeFillTint="33"/>
            <w:vAlign w:val="center"/>
          </w:tcPr>
          <w:p w14:paraId="7B0E073E"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8"/>
                <w:szCs w:val="18"/>
              </w:rPr>
            </w:pPr>
            <w:r w:rsidRPr="00CE357F">
              <w:rPr>
                <w:rFonts w:ascii="Arial Narrow" w:hAnsi="Arial Narrow"/>
                <w:b/>
                <w:color w:val="000000"/>
                <w:sz w:val="18"/>
                <w:szCs w:val="18"/>
              </w:rPr>
              <w:t>2 628</w:t>
            </w:r>
          </w:p>
        </w:tc>
        <w:tc>
          <w:tcPr>
            <w:tcW w:w="1587" w:type="dxa"/>
            <w:shd w:val="clear" w:color="auto" w:fill="D9E2F3" w:themeFill="accent1" w:themeFillTint="33"/>
            <w:vAlign w:val="center"/>
          </w:tcPr>
          <w:p w14:paraId="6438C816"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8"/>
                <w:szCs w:val="18"/>
              </w:rPr>
            </w:pPr>
            <w:r w:rsidRPr="00CE357F">
              <w:rPr>
                <w:rFonts w:ascii="Arial Narrow" w:hAnsi="Arial Narrow"/>
                <w:b/>
                <w:color w:val="000000"/>
                <w:sz w:val="18"/>
                <w:szCs w:val="18"/>
              </w:rPr>
              <w:t>4 260</w:t>
            </w:r>
          </w:p>
        </w:tc>
        <w:tc>
          <w:tcPr>
            <w:tcW w:w="840" w:type="dxa"/>
            <w:shd w:val="clear" w:color="auto" w:fill="D9E2F3" w:themeFill="accent1" w:themeFillTint="33"/>
            <w:vAlign w:val="center"/>
          </w:tcPr>
          <w:p w14:paraId="7160E9DA" w14:textId="77777777" w:rsidR="00EA186A" w:rsidRPr="00CE357F" w:rsidRDefault="00EA186A" w:rsidP="000600C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8"/>
                <w:szCs w:val="18"/>
              </w:rPr>
            </w:pPr>
            <w:r w:rsidRPr="00CE357F">
              <w:rPr>
                <w:rFonts w:ascii="Arial Narrow" w:hAnsi="Arial Narrow"/>
                <w:b/>
                <w:color w:val="000000"/>
                <w:sz w:val="18"/>
                <w:szCs w:val="18"/>
              </w:rPr>
              <w:t>12 948</w:t>
            </w:r>
          </w:p>
        </w:tc>
      </w:tr>
    </w:tbl>
    <w:p w14:paraId="0882F787" w14:textId="34C85B25" w:rsidR="00FC26BE" w:rsidRDefault="00EA186A" w:rsidP="001333A8">
      <w:pPr>
        <w:spacing w:after="240" w:line="276" w:lineRule="auto"/>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697FCB26" w14:textId="77777777" w:rsidR="001333A8" w:rsidRDefault="001333A8" w:rsidP="001333A8">
      <w:pPr>
        <w:spacing w:after="240" w:line="276" w:lineRule="auto"/>
        <w:rPr>
          <w:rFonts w:ascii="Arial Narrow" w:hAnsi="Arial Narrow"/>
          <w:sz w:val="20"/>
        </w:rPr>
      </w:pPr>
    </w:p>
    <w:p w14:paraId="5A53CD14" w14:textId="77777777" w:rsidR="001333A8" w:rsidRDefault="001333A8" w:rsidP="001333A8">
      <w:pPr>
        <w:spacing w:after="240" w:line="276" w:lineRule="auto"/>
        <w:rPr>
          <w:rFonts w:ascii="Arial Narrow" w:hAnsi="Arial Narrow"/>
          <w:sz w:val="20"/>
        </w:rPr>
      </w:pPr>
    </w:p>
    <w:p w14:paraId="0963EE02" w14:textId="77777777" w:rsidR="001333A8" w:rsidRDefault="001333A8" w:rsidP="001333A8">
      <w:pPr>
        <w:spacing w:after="240" w:line="276" w:lineRule="auto"/>
        <w:rPr>
          <w:rFonts w:ascii="Arial Narrow" w:hAnsi="Arial Narrow"/>
          <w:sz w:val="20"/>
        </w:rPr>
      </w:pPr>
    </w:p>
    <w:p w14:paraId="13F9A613" w14:textId="77777777" w:rsidR="001333A8" w:rsidRPr="001333A8" w:rsidRDefault="001333A8" w:rsidP="001333A8">
      <w:pPr>
        <w:spacing w:after="240" w:line="276" w:lineRule="auto"/>
        <w:rPr>
          <w:rFonts w:ascii="Arial Narrow" w:hAnsi="Arial Narrow"/>
          <w:sz w:val="20"/>
        </w:rPr>
      </w:pPr>
    </w:p>
    <w:p w14:paraId="6582176D" w14:textId="02441269" w:rsidR="00EA186A" w:rsidRPr="00CE357F" w:rsidRDefault="00EA186A" w:rsidP="00EA186A">
      <w:pPr>
        <w:spacing w:before="240" w:after="240" w:line="276" w:lineRule="auto"/>
        <w:jc w:val="both"/>
        <w:rPr>
          <w:rFonts w:ascii="Arial Narrow" w:eastAsia="Times New Roman" w:hAnsi="Arial Narrow" w:cs="Arial"/>
          <w:b/>
          <w:bCs/>
          <w:color w:val="C00000"/>
          <w:szCs w:val="18"/>
          <w:lang w:eastAsia="cs-CZ"/>
        </w:rPr>
      </w:pPr>
      <w:r w:rsidRPr="00CE357F">
        <w:rPr>
          <w:rFonts w:ascii="Arial Narrow" w:hAnsi="Arial Narrow"/>
          <w:b/>
          <w:bCs/>
          <w:color w:val="C00000"/>
          <w:szCs w:val="18"/>
        </w:rPr>
        <w:lastRenderedPageBreak/>
        <w:t xml:space="preserve">Zaměstnané </w:t>
      </w:r>
      <w:r w:rsidRPr="00CE357F">
        <w:rPr>
          <w:rFonts w:ascii="Arial Narrow" w:eastAsia="Times New Roman" w:hAnsi="Arial Narrow" w:cs="Arial"/>
          <w:b/>
          <w:bCs/>
          <w:color w:val="C00000"/>
          <w:szCs w:val="18"/>
          <w:lang w:eastAsia="cs-CZ"/>
        </w:rPr>
        <w:t>osoby s jinou než českou státní příslušností v ORP Brno podle klasifikace ekonomické činnosti</w:t>
      </w:r>
    </w:p>
    <w:p w14:paraId="33D8D971" w14:textId="31E576AD" w:rsidR="00EA186A" w:rsidRPr="00CE357F" w:rsidRDefault="00EA186A" w:rsidP="001333A8">
      <w:pPr>
        <w:spacing w:after="240" w:line="276" w:lineRule="auto"/>
        <w:jc w:val="both"/>
        <w:rPr>
          <w:rFonts w:ascii="Arial Narrow" w:hAnsi="Arial Narrow"/>
        </w:rPr>
      </w:pPr>
      <w:r w:rsidRPr="00CE357F">
        <w:rPr>
          <w:rFonts w:ascii="Arial Narrow" w:hAnsi="Arial Narrow"/>
        </w:rPr>
        <w:t>Dle klasifikace ekonomických činností CZ-NACE</w:t>
      </w:r>
      <w:r w:rsidRPr="00CE357F">
        <w:rPr>
          <w:rStyle w:val="Znakapoznpodarou"/>
          <w:rFonts w:ascii="Arial Narrow" w:hAnsi="Arial Narrow"/>
        </w:rPr>
        <w:footnoteReference w:id="80"/>
      </w:r>
      <w:r w:rsidRPr="00CE357F">
        <w:rPr>
          <w:rFonts w:ascii="Arial Narrow" w:hAnsi="Arial Narrow"/>
        </w:rPr>
        <w:t xml:space="preserve">  bylo nejvíce zaměstnaných osob s jinou než českou státní příslušností v ORP B</w:t>
      </w:r>
      <w:r w:rsidR="00853D66">
        <w:rPr>
          <w:rFonts w:ascii="Arial Narrow" w:hAnsi="Arial Narrow"/>
        </w:rPr>
        <w:t>rno</w:t>
      </w:r>
      <w:r w:rsidRPr="00CE357F">
        <w:rPr>
          <w:rFonts w:ascii="Arial Narrow" w:hAnsi="Arial Narrow"/>
        </w:rPr>
        <w:t xml:space="preserve"> k datu 31. 12. 2020 zaměstnáno v oblasti informací a komunikace (33,8 %). Druhou oblastí, ve které bylo zaměstnáno nejvíce osob s jinou než českou státní příslušností, byl zpracovatelský průmysl (14,4 %). Významnější počet osob s jinou než českou státní příslušností byl zaměstnán také ve vzdělávání (12,7 %), administrativě (9,1 %) a v oblasti vědy, výzkumu a techniky (9,0 %).</w:t>
      </w:r>
      <w:r w:rsidR="001333A8">
        <w:rPr>
          <w:rFonts w:ascii="Arial Narrow" w:hAnsi="Arial Narrow"/>
        </w:rPr>
        <w:t xml:space="preserve"> </w:t>
      </w:r>
      <w:r w:rsidRPr="00CE357F">
        <w:rPr>
          <w:rFonts w:ascii="Arial Narrow" w:hAnsi="Arial Narrow"/>
        </w:rPr>
        <w:t>Zaměstnané osoby s jinou než českou státní příslušností v ORP Brno k 31. 12. 2020 podle klasifikace ekonomických činností CZ-NACE podrobně dokumentuje následující tabulka</w:t>
      </w:r>
      <w:r w:rsidR="002A7F57">
        <w:rPr>
          <w:rFonts w:ascii="Arial Narrow" w:hAnsi="Arial Narrow"/>
        </w:rPr>
        <w:t xml:space="preserve"> č. 39</w:t>
      </w:r>
      <w:r w:rsidRPr="00CE357F">
        <w:rPr>
          <w:rFonts w:ascii="Arial Narrow" w:hAnsi="Arial Narrow"/>
        </w:rPr>
        <w:t xml:space="preserve">. </w:t>
      </w:r>
    </w:p>
    <w:p w14:paraId="1CD1F86C" w14:textId="06528D5F" w:rsidR="00E77A6B" w:rsidRPr="00CE357F" w:rsidRDefault="00EA186A" w:rsidP="00E77A6B">
      <w:pPr>
        <w:jc w:val="both"/>
        <w:rPr>
          <w:rFonts w:ascii="Arial Narrow" w:hAnsi="Arial Narrow"/>
          <w:b/>
          <w:bCs/>
          <w:sz w:val="24"/>
          <w:szCs w:val="24"/>
        </w:rPr>
      </w:pPr>
      <w:bookmarkStart w:id="665" w:name="_Toc136429250"/>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39</w:t>
      </w:r>
      <w:r w:rsidRPr="00CE357F">
        <w:rPr>
          <w:rFonts w:ascii="Arial Narrow" w:hAnsi="Arial Narrow"/>
          <w:b/>
          <w:bCs/>
          <w:sz w:val="20"/>
          <w:szCs w:val="20"/>
        </w:rPr>
        <w:fldChar w:fldCharType="end"/>
      </w:r>
      <w:r w:rsidRPr="00CE357F">
        <w:rPr>
          <w:rFonts w:ascii="Arial Narrow" w:hAnsi="Arial Narrow"/>
          <w:b/>
          <w:bCs/>
          <w:sz w:val="20"/>
          <w:szCs w:val="20"/>
        </w:rPr>
        <w:t xml:space="preserve">:  Zaměstnané </w:t>
      </w:r>
      <w:r w:rsidRPr="00CE357F">
        <w:rPr>
          <w:rFonts w:ascii="Arial Narrow" w:eastAsia="Times New Roman" w:hAnsi="Arial Narrow" w:cs="Arial"/>
          <w:b/>
          <w:bCs/>
          <w:sz w:val="20"/>
          <w:szCs w:val="20"/>
          <w:lang w:eastAsia="cs-CZ"/>
        </w:rPr>
        <w:t>osoby s jinou než českou státní příslušností v ORP B</w:t>
      </w:r>
      <w:r w:rsidR="00853D66">
        <w:rPr>
          <w:rFonts w:ascii="Arial Narrow" w:eastAsia="Times New Roman" w:hAnsi="Arial Narrow" w:cs="Arial"/>
          <w:b/>
          <w:bCs/>
          <w:sz w:val="20"/>
          <w:szCs w:val="20"/>
          <w:lang w:eastAsia="cs-CZ"/>
        </w:rPr>
        <w:t>rn</w:t>
      </w:r>
      <w:r w:rsidRPr="00CE357F">
        <w:rPr>
          <w:rFonts w:ascii="Arial Narrow" w:eastAsia="Times New Roman" w:hAnsi="Arial Narrow" w:cs="Arial"/>
          <w:b/>
          <w:bCs/>
          <w:sz w:val="20"/>
          <w:szCs w:val="20"/>
          <w:lang w:eastAsia="cs-CZ"/>
        </w:rPr>
        <w:t>o podle klasifikace ekonomické činnosti</w:t>
      </w:r>
      <w:bookmarkEnd w:id="665"/>
    </w:p>
    <w:tbl>
      <w:tblPr>
        <w:tblW w:w="9008"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5969"/>
        <w:gridCol w:w="3039"/>
      </w:tblGrid>
      <w:tr w:rsidR="00E77A6B" w:rsidRPr="00CE357F" w14:paraId="73E8EB0A" w14:textId="77777777" w:rsidTr="00EA7129">
        <w:trPr>
          <w:trHeight w:val="509"/>
          <w:jc w:val="center"/>
        </w:trPr>
        <w:tc>
          <w:tcPr>
            <w:tcW w:w="5969" w:type="dxa"/>
            <w:vMerge w:val="restart"/>
            <w:shd w:val="clear" w:color="auto" w:fill="D9E2F3" w:themeFill="accent1" w:themeFillTint="33"/>
            <w:vAlign w:val="center"/>
            <w:hideMark/>
          </w:tcPr>
          <w:p w14:paraId="3FBF9784" w14:textId="77777777" w:rsidR="00E77A6B" w:rsidRPr="00CE357F" w:rsidRDefault="00E77A6B" w:rsidP="00EA7129">
            <w:pPr>
              <w:jc w:val="center"/>
              <w:rPr>
                <w:rFonts w:ascii="Arial Narrow" w:eastAsia="Times New Roman" w:hAnsi="Arial Narrow" w:cs="Arial"/>
                <w:b/>
                <w:sz w:val="18"/>
                <w:szCs w:val="18"/>
                <w:lang w:eastAsia="cs-CZ"/>
              </w:rPr>
            </w:pPr>
            <w:r w:rsidRPr="00CE357F">
              <w:rPr>
                <w:rFonts w:ascii="Arial Narrow" w:eastAsia="Times New Roman" w:hAnsi="Arial Narrow" w:cs="Arial"/>
                <w:b/>
                <w:sz w:val="18"/>
                <w:szCs w:val="18"/>
                <w:lang w:eastAsia="cs-CZ"/>
              </w:rPr>
              <w:t>Klasifikace ekonomické činnosti</w:t>
            </w:r>
          </w:p>
        </w:tc>
        <w:tc>
          <w:tcPr>
            <w:tcW w:w="3039" w:type="dxa"/>
            <w:vMerge w:val="restart"/>
            <w:shd w:val="clear" w:color="auto" w:fill="D9E2F3" w:themeFill="accent1" w:themeFillTint="33"/>
            <w:vAlign w:val="center"/>
            <w:hideMark/>
          </w:tcPr>
          <w:p w14:paraId="34246950" w14:textId="77777777" w:rsidR="00E77A6B" w:rsidRPr="00CE357F" w:rsidRDefault="00E77A6B" w:rsidP="00EA7129">
            <w:pPr>
              <w:jc w:val="center"/>
              <w:rPr>
                <w:rFonts w:ascii="Arial Narrow" w:eastAsia="Times New Roman" w:hAnsi="Arial Narrow" w:cs="Arial"/>
                <w:bCs/>
                <w:sz w:val="18"/>
                <w:szCs w:val="18"/>
                <w:lang w:eastAsia="cs-CZ"/>
              </w:rPr>
            </w:pPr>
            <w:r w:rsidRPr="00CE357F">
              <w:rPr>
                <w:rFonts w:ascii="Arial Narrow" w:eastAsia="Times New Roman" w:hAnsi="Arial Narrow" w:cs="Arial"/>
                <w:b/>
                <w:bCs/>
                <w:sz w:val="18"/>
                <w:szCs w:val="18"/>
                <w:lang w:eastAsia="cs-CZ"/>
              </w:rPr>
              <w:t>Počet osob s jinou než českou státní příslušností pracujících v daném oboru</w:t>
            </w:r>
          </w:p>
        </w:tc>
      </w:tr>
      <w:tr w:rsidR="00E77A6B" w:rsidRPr="00CE357F" w14:paraId="2BDC015D" w14:textId="77777777" w:rsidTr="007504A4">
        <w:trPr>
          <w:trHeight w:val="450"/>
          <w:jc w:val="center"/>
        </w:trPr>
        <w:tc>
          <w:tcPr>
            <w:tcW w:w="5969" w:type="dxa"/>
            <w:vMerge/>
            <w:shd w:val="clear" w:color="auto" w:fill="D9E2F3" w:themeFill="accent1" w:themeFillTint="33"/>
            <w:hideMark/>
          </w:tcPr>
          <w:p w14:paraId="498DDBB0" w14:textId="77777777" w:rsidR="00E77A6B" w:rsidRPr="00CE357F" w:rsidRDefault="00E77A6B" w:rsidP="00EA7129">
            <w:pPr>
              <w:jc w:val="center"/>
              <w:rPr>
                <w:rFonts w:ascii="Arial Narrow" w:eastAsia="Times New Roman" w:hAnsi="Arial Narrow" w:cs="Arial"/>
                <w:b/>
                <w:bCs/>
                <w:sz w:val="18"/>
                <w:szCs w:val="18"/>
                <w:lang w:eastAsia="cs-CZ"/>
              </w:rPr>
            </w:pPr>
          </w:p>
        </w:tc>
        <w:tc>
          <w:tcPr>
            <w:tcW w:w="3039" w:type="dxa"/>
            <w:vMerge/>
            <w:shd w:val="clear" w:color="auto" w:fill="D9E2F3" w:themeFill="accent1" w:themeFillTint="33"/>
            <w:hideMark/>
          </w:tcPr>
          <w:p w14:paraId="6231CEEB" w14:textId="77777777" w:rsidR="00E77A6B" w:rsidRPr="00CE357F" w:rsidRDefault="00E77A6B" w:rsidP="00EA7129">
            <w:pPr>
              <w:jc w:val="center"/>
              <w:rPr>
                <w:rFonts w:ascii="Arial Narrow" w:eastAsia="Times New Roman" w:hAnsi="Arial Narrow" w:cs="Arial"/>
                <w:b/>
                <w:bCs/>
                <w:sz w:val="18"/>
                <w:szCs w:val="18"/>
                <w:lang w:eastAsia="cs-CZ"/>
              </w:rPr>
            </w:pPr>
          </w:p>
        </w:tc>
      </w:tr>
      <w:tr w:rsidR="00E77A6B" w:rsidRPr="00CE357F" w14:paraId="16A6466C" w14:textId="77777777" w:rsidTr="00EA7129">
        <w:trPr>
          <w:trHeight w:val="227"/>
          <w:jc w:val="center"/>
        </w:trPr>
        <w:tc>
          <w:tcPr>
            <w:tcW w:w="5969" w:type="dxa"/>
            <w:shd w:val="clear" w:color="auto" w:fill="D9E2F3" w:themeFill="accent1" w:themeFillTint="33"/>
          </w:tcPr>
          <w:p w14:paraId="322D0728"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A – Zemědělství, lesnictví, rybářství</w:t>
            </w:r>
          </w:p>
        </w:tc>
        <w:tc>
          <w:tcPr>
            <w:tcW w:w="3039" w:type="dxa"/>
            <w:vAlign w:val="center"/>
          </w:tcPr>
          <w:p w14:paraId="0478501E" w14:textId="6E9112ED"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14</w:t>
            </w:r>
          </w:p>
        </w:tc>
      </w:tr>
      <w:tr w:rsidR="00E77A6B" w:rsidRPr="00CE357F" w14:paraId="1280726D" w14:textId="77777777" w:rsidTr="00EA7129">
        <w:trPr>
          <w:trHeight w:val="227"/>
          <w:jc w:val="center"/>
        </w:trPr>
        <w:tc>
          <w:tcPr>
            <w:tcW w:w="5969" w:type="dxa"/>
            <w:shd w:val="clear" w:color="auto" w:fill="D9E2F3" w:themeFill="accent1" w:themeFillTint="33"/>
          </w:tcPr>
          <w:p w14:paraId="03E86791"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 – Těžba a dobývání</w:t>
            </w:r>
          </w:p>
        </w:tc>
        <w:tc>
          <w:tcPr>
            <w:tcW w:w="3039" w:type="dxa"/>
            <w:vAlign w:val="center"/>
          </w:tcPr>
          <w:p w14:paraId="05D9E059" w14:textId="06847D1B"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E77A6B" w:rsidRPr="00CE357F" w14:paraId="6A3E0BF6" w14:textId="77777777" w:rsidTr="00EA7129">
        <w:trPr>
          <w:trHeight w:val="227"/>
          <w:jc w:val="center"/>
        </w:trPr>
        <w:tc>
          <w:tcPr>
            <w:tcW w:w="5969" w:type="dxa"/>
            <w:shd w:val="clear" w:color="auto" w:fill="D9E2F3" w:themeFill="accent1" w:themeFillTint="33"/>
          </w:tcPr>
          <w:p w14:paraId="64B28CFF" w14:textId="77777777"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C – Zpracovatelský průmysl</w:t>
            </w:r>
          </w:p>
        </w:tc>
        <w:tc>
          <w:tcPr>
            <w:tcW w:w="3039" w:type="dxa"/>
            <w:vAlign w:val="center"/>
          </w:tcPr>
          <w:p w14:paraId="30D804D4" w14:textId="34D15AD7"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1 859</w:t>
            </w:r>
          </w:p>
        </w:tc>
      </w:tr>
      <w:tr w:rsidR="00E77A6B" w:rsidRPr="00CE357F" w14:paraId="0732DF3A" w14:textId="77777777" w:rsidTr="00EA7129">
        <w:trPr>
          <w:trHeight w:val="227"/>
          <w:jc w:val="center"/>
        </w:trPr>
        <w:tc>
          <w:tcPr>
            <w:tcW w:w="5969" w:type="dxa"/>
            <w:shd w:val="clear" w:color="auto" w:fill="D9E2F3" w:themeFill="accent1" w:themeFillTint="33"/>
          </w:tcPr>
          <w:p w14:paraId="695DB920"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D – Výroba a rozvod elektřiny, plynu, tepla a klimatizovaného vzduchu</w:t>
            </w:r>
          </w:p>
        </w:tc>
        <w:tc>
          <w:tcPr>
            <w:tcW w:w="3039" w:type="dxa"/>
            <w:vAlign w:val="center"/>
          </w:tcPr>
          <w:p w14:paraId="4B93FBE2" w14:textId="4C0995E4"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w:t>
            </w:r>
          </w:p>
        </w:tc>
      </w:tr>
      <w:tr w:rsidR="00E77A6B" w:rsidRPr="00CE357F" w14:paraId="0F86C16D" w14:textId="77777777" w:rsidTr="00EA7129">
        <w:trPr>
          <w:trHeight w:val="227"/>
          <w:jc w:val="center"/>
        </w:trPr>
        <w:tc>
          <w:tcPr>
            <w:tcW w:w="5969" w:type="dxa"/>
            <w:shd w:val="clear" w:color="auto" w:fill="D9E2F3" w:themeFill="accent1" w:themeFillTint="33"/>
          </w:tcPr>
          <w:p w14:paraId="45AA6A8B"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E – Zásobování vodou; činnosti související s odpadními vodami, odpady a sanacemi</w:t>
            </w:r>
          </w:p>
        </w:tc>
        <w:tc>
          <w:tcPr>
            <w:tcW w:w="3039" w:type="dxa"/>
            <w:vAlign w:val="center"/>
          </w:tcPr>
          <w:p w14:paraId="35C6325C" w14:textId="695C6BA4"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33</w:t>
            </w:r>
          </w:p>
        </w:tc>
      </w:tr>
      <w:tr w:rsidR="00E77A6B" w:rsidRPr="00CE357F" w14:paraId="3D4B15DF" w14:textId="77777777" w:rsidTr="00EA7129">
        <w:trPr>
          <w:trHeight w:val="227"/>
          <w:jc w:val="center"/>
        </w:trPr>
        <w:tc>
          <w:tcPr>
            <w:tcW w:w="5969" w:type="dxa"/>
            <w:shd w:val="clear" w:color="auto" w:fill="D9E2F3" w:themeFill="accent1" w:themeFillTint="33"/>
          </w:tcPr>
          <w:p w14:paraId="3FB72972"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F – Stavebnictví</w:t>
            </w:r>
          </w:p>
        </w:tc>
        <w:tc>
          <w:tcPr>
            <w:tcW w:w="3039" w:type="dxa"/>
            <w:vAlign w:val="center"/>
          </w:tcPr>
          <w:p w14:paraId="70BDD2C0" w14:textId="53D0A43C"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507</w:t>
            </w:r>
          </w:p>
        </w:tc>
      </w:tr>
      <w:tr w:rsidR="00E77A6B" w:rsidRPr="00CE357F" w14:paraId="2450BF2B" w14:textId="77777777" w:rsidTr="00EA7129">
        <w:trPr>
          <w:trHeight w:val="227"/>
          <w:jc w:val="center"/>
        </w:trPr>
        <w:tc>
          <w:tcPr>
            <w:tcW w:w="5969" w:type="dxa"/>
            <w:shd w:val="clear" w:color="auto" w:fill="D9E2F3" w:themeFill="accent1" w:themeFillTint="33"/>
          </w:tcPr>
          <w:p w14:paraId="0492EB40"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G – Velkoobchod a maloobchod; opravy a údržba motorových vozidel</w:t>
            </w:r>
          </w:p>
        </w:tc>
        <w:tc>
          <w:tcPr>
            <w:tcW w:w="3039" w:type="dxa"/>
            <w:vAlign w:val="center"/>
          </w:tcPr>
          <w:p w14:paraId="1357A48F" w14:textId="650B3090"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461</w:t>
            </w:r>
          </w:p>
        </w:tc>
      </w:tr>
      <w:tr w:rsidR="00E77A6B" w:rsidRPr="00CE357F" w14:paraId="6B15A916" w14:textId="77777777" w:rsidTr="00EA7129">
        <w:trPr>
          <w:trHeight w:val="227"/>
          <w:jc w:val="center"/>
        </w:trPr>
        <w:tc>
          <w:tcPr>
            <w:tcW w:w="5969" w:type="dxa"/>
            <w:shd w:val="clear" w:color="auto" w:fill="D9E2F3" w:themeFill="accent1" w:themeFillTint="33"/>
          </w:tcPr>
          <w:p w14:paraId="48C29775"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H – Doprava a skladování</w:t>
            </w:r>
          </w:p>
        </w:tc>
        <w:tc>
          <w:tcPr>
            <w:tcW w:w="3039" w:type="dxa"/>
            <w:vAlign w:val="center"/>
          </w:tcPr>
          <w:p w14:paraId="6C393E3D" w14:textId="0070F2AC"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152</w:t>
            </w:r>
          </w:p>
        </w:tc>
      </w:tr>
      <w:tr w:rsidR="00E77A6B" w:rsidRPr="00CE357F" w14:paraId="45D7979F" w14:textId="77777777" w:rsidTr="00EA7129">
        <w:trPr>
          <w:trHeight w:val="227"/>
          <w:jc w:val="center"/>
        </w:trPr>
        <w:tc>
          <w:tcPr>
            <w:tcW w:w="5969" w:type="dxa"/>
            <w:shd w:val="clear" w:color="auto" w:fill="D9E2F3" w:themeFill="accent1" w:themeFillTint="33"/>
          </w:tcPr>
          <w:p w14:paraId="3904A5CE"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I – Ubytování, stravování a pohostinství</w:t>
            </w:r>
          </w:p>
        </w:tc>
        <w:tc>
          <w:tcPr>
            <w:tcW w:w="3039" w:type="dxa"/>
            <w:vAlign w:val="center"/>
          </w:tcPr>
          <w:p w14:paraId="0259B093" w14:textId="78821A24"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157</w:t>
            </w:r>
          </w:p>
        </w:tc>
      </w:tr>
      <w:tr w:rsidR="00E77A6B" w:rsidRPr="00CE357F" w14:paraId="482C4E41" w14:textId="77777777" w:rsidTr="00EA7129">
        <w:trPr>
          <w:trHeight w:val="227"/>
          <w:jc w:val="center"/>
        </w:trPr>
        <w:tc>
          <w:tcPr>
            <w:tcW w:w="5969" w:type="dxa"/>
            <w:shd w:val="clear" w:color="auto" w:fill="D9E2F3" w:themeFill="accent1" w:themeFillTint="33"/>
          </w:tcPr>
          <w:p w14:paraId="7AE08CA5" w14:textId="77777777"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J – Informační a komunikační činnosti</w:t>
            </w:r>
          </w:p>
        </w:tc>
        <w:tc>
          <w:tcPr>
            <w:tcW w:w="3039" w:type="dxa"/>
            <w:vAlign w:val="center"/>
          </w:tcPr>
          <w:p w14:paraId="13809DA4" w14:textId="5E96B75B"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4 377</w:t>
            </w:r>
          </w:p>
        </w:tc>
      </w:tr>
      <w:tr w:rsidR="00E77A6B" w:rsidRPr="00CE357F" w14:paraId="31F83702" w14:textId="77777777" w:rsidTr="00EA7129">
        <w:trPr>
          <w:trHeight w:val="227"/>
          <w:jc w:val="center"/>
        </w:trPr>
        <w:tc>
          <w:tcPr>
            <w:tcW w:w="5969" w:type="dxa"/>
            <w:shd w:val="clear" w:color="auto" w:fill="D9E2F3" w:themeFill="accent1" w:themeFillTint="33"/>
          </w:tcPr>
          <w:p w14:paraId="66C2FDDC"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K – Peněžnictví a pojišťovnictví</w:t>
            </w:r>
          </w:p>
        </w:tc>
        <w:tc>
          <w:tcPr>
            <w:tcW w:w="3039" w:type="dxa"/>
            <w:vAlign w:val="center"/>
          </w:tcPr>
          <w:p w14:paraId="6191D07D" w14:textId="0AD2E91B"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124</w:t>
            </w:r>
          </w:p>
        </w:tc>
      </w:tr>
      <w:tr w:rsidR="00E77A6B" w:rsidRPr="00CE357F" w14:paraId="6E8635E7" w14:textId="77777777" w:rsidTr="00EA7129">
        <w:trPr>
          <w:trHeight w:val="227"/>
          <w:jc w:val="center"/>
        </w:trPr>
        <w:tc>
          <w:tcPr>
            <w:tcW w:w="5969" w:type="dxa"/>
            <w:shd w:val="clear" w:color="auto" w:fill="D9E2F3" w:themeFill="accent1" w:themeFillTint="33"/>
          </w:tcPr>
          <w:p w14:paraId="1A631B46"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L – Činnosti v oblasti nemovitostí</w:t>
            </w:r>
          </w:p>
        </w:tc>
        <w:tc>
          <w:tcPr>
            <w:tcW w:w="3039" w:type="dxa"/>
            <w:vAlign w:val="center"/>
          </w:tcPr>
          <w:p w14:paraId="671A1435" w14:textId="76D7D0B3"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6</w:t>
            </w:r>
          </w:p>
        </w:tc>
      </w:tr>
      <w:tr w:rsidR="00E77A6B" w:rsidRPr="00CE357F" w14:paraId="77C89019" w14:textId="77777777" w:rsidTr="00EA7129">
        <w:trPr>
          <w:trHeight w:val="227"/>
          <w:jc w:val="center"/>
        </w:trPr>
        <w:tc>
          <w:tcPr>
            <w:tcW w:w="5969" w:type="dxa"/>
            <w:shd w:val="clear" w:color="auto" w:fill="D9E2F3" w:themeFill="accent1" w:themeFillTint="33"/>
          </w:tcPr>
          <w:p w14:paraId="2DCEDA67" w14:textId="77777777"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M – Profesní, vědecké a technické činnosti</w:t>
            </w:r>
          </w:p>
        </w:tc>
        <w:tc>
          <w:tcPr>
            <w:tcW w:w="3039" w:type="dxa"/>
            <w:vAlign w:val="center"/>
          </w:tcPr>
          <w:p w14:paraId="739D6214" w14:textId="57050250"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1 159</w:t>
            </w:r>
          </w:p>
        </w:tc>
      </w:tr>
      <w:tr w:rsidR="00E77A6B" w:rsidRPr="00CE357F" w14:paraId="43328540" w14:textId="77777777" w:rsidTr="00EA7129">
        <w:trPr>
          <w:trHeight w:val="227"/>
          <w:jc w:val="center"/>
        </w:trPr>
        <w:tc>
          <w:tcPr>
            <w:tcW w:w="5969" w:type="dxa"/>
            <w:shd w:val="clear" w:color="auto" w:fill="D9E2F3" w:themeFill="accent1" w:themeFillTint="33"/>
          </w:tcPr>
          <w:p w14:paraId="644D1294" w14:textId="77777777"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N – Administrativní a podpůrné činnosti</w:t>
            </w:r>
          </w:p>
        </w:tc>
        <w:tc>
          <w:tcPr>
            <w:tcW w:w="3039" w:type="dxa"/>
            <w:vAlign w:val="center"/>
          </w:tcPr>
          <w:p w14:paraId="7BCEAF93" w14:textId="7636923F"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1 178</w:t>
            </w:r>
          </w:p>
        </w:tc>
      </w:tr>
      <w:tr w:rsidR="00E77A6B" w:rsidRPr="00CE357F" w14:paraId="114BE2A0" w14:textId="77777777" w:rsidTr="00EA7129">
        <w:trPr>
          <w:trHeight w:val="227"/>
          <w:jc w:val="center"/>
        </w:trPr>
        <w:tc>
          <w:tcPr>
            <w:tcW w:w="5969" w:type="dxa"/>
            <w:shd w:val="clear" w:color="auto" w:fill="D9E2F3" w:themeFill="accent1" w:themeFillTint="33"/>
          </w:tcPr>
          <w:p w14:paraId="042EC2FE"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 – Veřejná správa a obrana; povinné sociální zabezpečení</w:t>
            </w:r>
          </w:p>
        </w:tc>
        <w:tc>
          <w:tcPr>
            <w:tcW w:w="3039" w:type="dxa"/>
            <w:vAlign w:val="center"/>
          </w:tcPr>
          <w:p w14:paraId="10FB3C7B" w14:textId="3B867529"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46</w:t>
            </w:r>
          </w:p>
        </w:tc>
      </w:tr>
      <w:tr w:rsidR="00E77A6B" w:rsidRPr="00CE357F" w14:paraId="3A9BAB2D" w14:textId="77777777" w:rsidTr="00EA7129">
        <w:trPr>
          <w:trHeight w:val="227"/>
          <w:jc w:val="center"/>
        </w:trPr>
        <w:tc>
          <w:tcPr>
            <w:tcW w:w="5969" w:type="dxa"/>
            <w:shd w:val="clear" w:color="auto" w:fill="D9E2F3" w:themeFill="accent1" w:themeFillTint="33"/>
          </w:tcPr>
          <w:p w14:paraId="2741C07C" w14:textId="77777777"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P – Vzdělávání</w:t>
            </w:r>
          </w:p>
        </w:tc>
        <w:tc>
          <w:tcPr>
            <w:tcW w:w="3039" w:type="dxa"/>
            <w:vAlign w:val="center"/>
          </w:tcPr>
          <w:p w14:paraId="20821CE8" w14:textId="26957D44" w:rsidR="00E77A6B" w:rsidRPr="00CE357F" w:rsidRDefault="00E77A6B" w:rsidP="00E77A6B">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1 645</w:t>
            </w:r>
          </w:p>
        </w:tc>
      </w:tr>
      <w:tr w:rsidR="00E77A6B" w:rsidRPr="00CE357F" w14:paraId="6A900276" w14:textId="77777777" w:rsidTr="00EA7129">
        <w:trPr>
          <w:trHeight w:val="227"/>
          <w:jc w:val="center"/>
        </w:trPr>
        <w:tc>
          <w:tcPr>
            <w:tcW w:w="5969" w:type="dxa"/>
            <w:shd w:val="clear" w:color="auto" w:fill="D9E2F3" w:themeFill="accent1" w:themeFillTint="33"/>
          </w:tcPr>
          <w:p w14:paraId="0102AE59"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Q – Zdravotní a sociální péče</w:t>
            </w:r>
          </w:p>
        </w:tc>
        <w:tc>
          <w:tcPr>
            <w:tcW w:w="3039" w:type="dxa"/>
            <w:vAlign w:val="center"/>
          </w:tcPr>
          <w:p w14:paraId="5EE74D5E" w14:textId="0503CEDE"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984</w:t>
            </w:r>
          </w:p>
        </w:tc>
      </w:tr>
      <w:tr w:rsidR="00E77A6B" w:rsidRPr="00CE357F" w14:paraId="06F93EC2" w14:textId="77777777" w:rsidTr="00EA7129">
        <w:trPr>
          <w:trHeight w:val="227"/>
          <w:jc w:val="center"/>
        </w:trPr>
        <w:tc>
          <w:tcPr>
            <w:tcW w:w="5969" w:type="dxa"/>
            <w:shd w:val="clear" w:color="auto" w:fill="D9E2F3" w:themeFill="accent1" w:themeFillTint="33"/>
          </w:tcPr>
          <w:p w14:paraId="31BB6314"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 – Kulturní, zábavní a rekreační činnosti</w:t>
            </w:r>
          </w:p>
        </w:tc>
        <w:tc>
          <w:tcPr>
            <w:tcW w:w="3039" w:type="dxa"/>
            <w:vAlign w:val="center"/>
          </w:tcPr>
          <w:p w14:paraId="7CD4B38E" w14:textId="3BF2B2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123</w:t>
            </w:r>
          </w:p>
        </w:tc>
      </w:tr>
      <w:tr w:rsidR="00E77A6B" w:rsidRPr="00CE357F" w14:paraId="5392F40B" w14:textId="77777777" w:rsidTr="00EA7129">
        <w:trPr>
          <w:trHeight w:val="227"/>
          <w:jc w:val="center"/>
        </w:trPr>
        <w:tc>
          <w:tcPr>
            <w:tcW w:w="5969" w:type="dxa"/>
            <w:shd w:val="clear" w:color="auto" w:fill="D9E2F3" w:themeFill="accent1" w:themeFillTint="33"/>
          </w:tcPr>
          <w:p w14:paraId="22E948CF"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 – Ostatní činnosti</w:t>
            </w:r>
          </w:p>
        </w:tc>
        <w:tc>
          <w:tcPr>
            <w:tcW w:w="3039" w:type="dxa"/>
            <w:vAlign w:val="center"/>
          </w:tcPr>
          <w:p w14:paraId="6A9AE6BE" w14:textId="0F74A13B"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108</w:t>
            </w:r>
          </w:p>
        </w:tc>
      </w:tr>
      <w:tr w:rsidR="00E77A6B" w:rsidRPr="00CE357F" w14:paraId="362F7BD3" w14:textId="77777777" w:rsidTr="00EA7129">
        <w:trPr>
          <w:trHeight w:val="227"/>
          <w:jc w:val="center"/>
        </w:trPr>
        <w:tc>
          <w:tcPr>
            <w:tcW w:w="5969" w:type="dxa"/>
            <w:shd w:val="clear" w:color="auto" w:fill="D9E2F3" w:themeFill="accent1" w:themeFillTint="33"/>
          </w:tcPr>
          <w:p w14:paraId="47A92ED9"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T – Činnosti domácností</w:t>
            </w:r>
          </w:p>
        </w:tc>
        <w:tc>
          <w:tcPr>
            <w:tcW w:w="3039" w:type="dxa"/>
            <w:vAlign w:val="center"/>
          </w:tcPr>
          <w:p w14:paraId="40772767" w14:textId="04A89C62"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E77A6B" w:rsidRPr="00CE357F" w14:paraId="2F6FB55F" w14:textId="77777777" w:rsidTr="00EA7129">
        <w:trPr>
          <w:trHeight w:val="227"/>
          <w:jc w:val="center"/>
        </w:trPr>
        <w:tc>
          <w:tcPr>
            <w:tcW w:w="5969" w:type="dxa"/>
            <w:shd w:val="clear" w:color="auto" w:fill="D9E2F3" w:themeFill="accent1" w:themeFillTint="33"/>
          </w:tcPr>
          <w:p w14:paraId="56AE2C96"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 – Činnosti exteritoriálních organizací a orgánů</w:t>
            </w:r>
          </w:p>
        </w:tc>
        <w:tc>
          <w:tcPr>
            <w:tcW w:w="3039" w:type="dxa"/>
            <w:vAlign w:val="center"/>
          </w:tcPr>
          <w:p w14:paraId="72F155A6" w14:textId="0E206E79"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E77A6B" w:rsidRPr="00CE357F" w14:paraId="00AB3C30" w14:textId="77777777" w:rsidTr="00EA7129">
        <w:trPr>
          <w:trHeight w:val="227"/>
          <w:jc w:val="center"/>
        </w:trPr>
        <w:tc>
          <w:tcPr>
            <w:tcW w:w="5969" w:type="dxa"/>
            <w:shd w:val="clear" w:color="auto" w:fill="D9E2F3" w:themeFill="accent1" w:themeFillTint="33"/>
          </w:tcPr>
          <w:p w14:paraId="6B8DBEEC" w14:textId="7777777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neuvedeno</w:t>
            </w:r>
          </w:p>
        </w:tc>
        <w:tc>
          <w:tcPr>
            <w:tcW w:w="3039" w:type="dxa"/>
            <w:vAlign w:val="center"/>
          </w:tcPr>
          <w:p w14:paraId="37E25387" w14:textId="248128A7" w:rsidR="00E77A6B" w:rsidRPr="00CE357F" w:rsidRDefault="00E77A6B" w:rsidP="00E77A6B">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E77A6B" w:rsidRPr="00CE357F" w14:paraId="20C5434B" w14:textId="77777777" w:rsidTr="00EA7129">
        <w:trPr>
          <w:trHeight w:val="272"/>
          <w:jc w:val="center"/>
        </w:trPr>
        <w:tc>
          <w:tcPr>
            <w:tcW w:w="5969" w:type="dxa"/>
            <w:shd w:val="clear" w:color="auto" w:fill="D9E2F3" w:themeFill="accent1" w:themeFillTint="33"/>
            <w:vAlign w:val="center"/>
          </w:tcPr>
          <w:p w14:paraId="44309E42" w14:textId="77777777" w:rsidR="00E77A6B" w:rsidRPr="00CE357F" w:rsidRDefault="00E77A6B" w:rsidP="00E77A6B">
            <w:pPr>
              <w:jc w:val="center"/>
              <w:rPr>
                <w:rFonts w:ascii="Arial Narrow" w:hAnsi="Arial Narrow"/>
                <w:b/>
                <w:bCs/>
                <w:sz w:val="18"/>
                <w:szCs w:val="18"/>
              </w:rPr>
            </w:pPr>
            <w:r w:rsidRPr="00CE357F">
              <w:rPr>
                <w:rFonts w:ascii="Arial Narrow" w:hAnsi="Arial Narrow"/>
                <w:b/>
                <w:bCs/>
                <w:sz w:val="18"/>
                <w:szCs w:val="18"/>
              </w:rPr>
              <w:t>Počet pracujících osob s jinou než českou státní příslušností v ORP celkem</w:t>
            </w:r>
          </w:p>
        </w:tc>
        <w:tc>
          <w:tcPr>
            <w:tcW w:w="3039" w:type="dxa"/>
            <w:vAlign w:val="center"/>
          </w:tcPr>
          <w:p w14:paraId="183412E3" w14:textId="6F97FCFD" w:rsidR="00E77A6B" w:rsidRPr="00CE357F" w:rsidRDefault="00E77A6B" w:rsidP="00E77A6B">
            <w:pPr>
              <w:jc w:val="center"/>
              <w:rPr>
                <w:rFonts w:ascii="Arial Narrow" w:hAnsi="Arial Narrow"/>
                <w:b/>
                <w:bCs/>
                <w:sz w:val="18"/>
                <w:szCs w:val="18"/>
              </w:rPr>
            </w:pPr>
            <w:r w:rsidRPr="00CE357F">
              <w:rPr>
                <w:rFonts w:ascii="Arial Narrow" w:hAnsi="Arial Narrow"/>
                <w:b/>
                <w:bCs/>
                <w:sz w:val="18"/>
                <w:szCs w:val="18"/>
              </w:rPr>
              <w:t>12 948</w:t>
            </w:r>
          </w:p>
        </w:tc>
      </w:tr>
    </w:tbl>
    <w:p w14:paraId="46DCB0EE" w14:textId="105B6196" w:rsidR="00E77A6B" w:rsidRPr="00CE357F" w:rsidRDefault="00E77A6B" w:rsidP="00E77A6B">
      <w:pPr>
        <w:spacing w:after="240"/>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bookmarkEnd w:id="664"/>
    <w:p w14:paraId="76B721C1" w14:textId="235E9E0F" w:rsidR="008A4868" w:rsidRDefault="008A4868" w:rsidP="00EA186A">
      <w:pPr>
        <w:spacing w:line="276" w:lineRule="auto"/>
        <w:rPr>
          <w:rFonts w:ascii="Arial Narrow" w:hAnsi="Arial Narrow"/>
          <w:b/>
          <w:color w:val="2F5496" w:themeColor="accent1" w:themeShade="BF"/>
        </w:rPr>
      </w:pPr>
    </w:p>
    <w:p w14:paraId="7FE26FC4" w14:textId="2CE6AA5A" w:rsidR="00FC26BE" w:rsidRDefault="00FC26BE" w:rsidP="00EA186A">
      <w:pPr>
        <w:spacing w:line="276" w:lineRule="auto"/>
        <w:rPr>
          <w:rFonts w:ascii="Arial Narrow" w:hAnsi="Arial Narrow"/>
          <w:b/>
          <w:color w:val="2F5496" w:themeColor="accent1" w:themeShade="BF"/>
        </w:rPr>
      </w:pPr>
    </w:p>
    <w:p w14:paraId="28220F65" w14:textId="77777777" w:rsidR="00FC26BE" w:rsidRDefault="00FC26BE" w:rsidP="00EA186A">
      <w:pPr>
        <w:spacing w:line="276" w:lineRule="auto"/>
        <w:rPr>
          <w:rFonts w:ascii="Arial Narrow" w:hAnsi="Arial Narrow"/>
          <w:b/>
          <w:color w:val="2F5496" w:themeColor="accent1" w:themeShade="BF"/>
        </w:rPr>
      </w:pPr>
    </w:p>
    <w:p w14:paraId="566AA252" w14:textId="77777777" w:rsidR="002A7F57" w:rsidRDefault="002A7F57" w:rsidP="00EA186A">
      <w:pPr>
        <w:spacing w:line="276" w:lineRule="auto"/>
        <w:rPr>
          <w:rFonts w:ascii="Arial Narrow" w:hAnsi="Arial Narrow"/>
          <w:b/>
          <w:color w:val="2F5496" w:themeColor="accent1" w:themeShade="BF"/>
        </w:rPr>
      </w:pPr>
    </w:p>
    <w:p w14:paraId="79530D4F" w14:textId="77777777" w:rsidR="00855D95" w:rsidRPr="00855D95" w:rsidRDefault="00855D95" w:rsidP="008B3D36">
      <w:pPr>
        <w:pStyle w:val="Odstavecseseznamem"/>
        <w:keepNext/>
        <w:keepLines/>
        <w:numPr>
          <w:ilvl w:val="2"/>
          <w:numId w:val="27"/>
        </w:numPr>
        <w:spacing w:before="200"/>
        <w:contextualSpacing w:val="0"/>
        <w:jc w:val="both"/>
        <w:outlineLvl w:val="2"/>
        <w:rPr>
          <w:rFonts w:ascii="Arial Narrow" w:eastAsiaTheme="majorEastAsia" w:hAnsi="Arial Narrow" w:cs="Arial"/>
          <w:b/>
          <w:bCs/>
          <w:vanish/>
          <w:color w:val="002060"/>
          <w:sz w:val="26"/>
          <w:szCs w:val="26"/>
          <w:u w:val="single"/>
        </w:rPr>
      </w:pPr>
      <w:bookmarkStart w:id="666" w:name="_Toc95986736"/>
      <w:bookmarkStart w:id="667" w:name="_Toc125635463"/>
      <w:bookmarkStart w:id="668" w:name="_Toc132629170"/>
      <w:bookmarkStart w:id="669" w:name="_Toc136876117"/>
      <w:bookmarkEnd w:id="666"/>
      <w:bookmarkEnd w:id="667"/>
      <w:bookmarkEnd w:id="668"/>
      <w:bookmarkEnd w:id="669"/>
    </w:p>
    <w:p w14:paraId="691D9EC8" w14:textId="77777777" w:rsidR="00855D95" w:rsidRPr="00855D95" w:rsidRDefault="00855D95" w:rsidP="008B3D36">
      <w:pPr>
        <w:pStyle w:val="Odstavecseseznamem"/>
        <w:keepNext/>
        <w:keepLines/>
        <w:numPr>
          <w:ilvl w:val="2"/>
          <w:numId w:val="27"/>
        </w:numPr>
        <w:spacing w:before="200"/>
        <w:contextualSpacing w:val="0"/>
        <w:jc w:val="both"/>
        <w:outlineLvl w:val="2"/>
        <w:rPr>
          <w:rFonts w:ascii="Arial Narrow" w:eastAsiaTheme="majorEastAsia" w:hAnsi="Arial Narrow" w:cs="Arial"/>
          <w:b/>
          <w:bCs/>
          <w:vanish/>
          <w:color w:val="002060"/>
          <w:sz w:val="26"/>
          <w:szCs w:val="26"/>
          <w:u w:val="single"/>
        </w:rPr>
      </w:pPr>
      <w:bookmarkStart w:id="670" w:name="_Toc95986737"/>
      <w:bookmarkStart w:id="671" w:name="_Toc125635464"/>
      <w:bookmarkStart w:id="672" w:name="_Toc132629171"/>
      <w:bookmarkStart w:id="673" w:name="_Toc136876118"/>
      <w:bookmarkEnd w:id="670"/>
      <w:bookmarkEnd w:id="671"/>
      <w:bookmarkEnd w:id="672"/>
      <w:bookmarkEnd w:id="673"/>
    </w:p>
    <w:p w14:paraId="22336A17" w14:textId="77777777" w:rsidR="00855D95" w:rsidRPr="00855D95" w:rsidRDefault="00855D95" w:rsidP="008B3D36">
      <w:pPr>
        <w:pStyle w:val="Odstavecseseznamem"/>
        <w:keepNext/>
        <w:keepLines/>
        <w:numPr>
          <w:ilvl w:val="2"/>
          <w:numId w:val="27"/>
        </w:numPr>
        <w:spacing w:before="200"/>
        <w:contextualSpacing w:val="0"/>
        <w:jc w:val="both"/>
        <w:outlineLvl w:val="2"/>
        <w:rPr>
          <w:rFonts w:ascii="Arial Narrow" w:eastAsiaTheme="majorEastAsia" w:hAnsi="Arial Narrow" w:cs="Arial"/>
          <w:b/>
          <w:bCs/>
          <w:vanish/>
          <w:color w:val="002060"/>
          <w:sz w:val="26"/>
          <w:szCs w:val="26"/>
          <w:u w:val="single"/>
        </w:rPr>
      </w:pPr>
      <w:bookmarkStart w:id="674" w:name="_Toc95986738"/>
      <w:bookmarkStart w:id="675" w:name="_Toc125635465"/>
      <w:bookmarkStart w:id="676" w:name="_Toc132629172"/>
      <w:bookmarkStart w:id="677" w:name="_Toc136876119"/>
      <w:bookmarkEnd w:id="674"/>
      <w:bookmarkEnd w:id="675"/>
      <w:bookmarkEnd w:id="676"/>
      <w:bookmarkEnd w:id="677"/>
    </w:p>
    <w:p w14:paraId="3EE87CDB" w14:textId="77777777" w:rsidR="00855D95" w:rsidRPr="00855D95" w:rsidRDefault="00855D95" w:rsidP="008B3D36">
      <w:pPr>
        <w:pStyle w:val="Odstavecseseznamem"/>
        <w:keepNext/>
        <w:keepLines/>
        <w:numPr>
          <w:ilvl w:val="2"/>
          <w:numId w:val="27"/>
        </w:numPr>
        <w:spacing w:before="200"/>
        <w:contextualSpacing w:val="0"/>
        <w:jc w:val="both"/>
        <w:outlineLvl w:val="2"/>
        <w:rPr>
          <w:rFonts w:ascii="Arial Narrow" w:eastAsiaTheme="majorEastAsia" w:hAnsi="Arial Narrow" w:cs="Arial"/>
          <w:b/>
          <w:bCs/>
          <w:vanish/>
          <w:color w:val="002060"/>
          <w:sz w:val="26"/>
          <w:szCs w:val="26"/>
          <w:u w:val="single"/>
        </w:rPr>
      </w:pPr>
      <w:bookmarkStart w:id="678" w:name="_Toc95986739"/>
      <w:bookmarkStart w:id="679" w:name="_Toc125635466"/>
      <w:bookmarkStart w:id="680" w:name="_Toc132629173"/>
      <w:bookmarkStart w:id="681" w:name="_Toc136876120"/>
      <w:bookmarkEnd w:id="678"/>
      <w:bookmarkEnd w:id="679"/>
      <w:bookmarkEnd w:id="680"/>
      <w:bookmarkEnd w:id="681"/>
    </w:p>
    <w:p w14:paraId="38984464" w14:textId="4ABA6A61" w:rsidR="00855D95" w:rsidRPr="00E7005B" w:rsidRDefault="00855D95" w:rsidP="008B3D36">
      <w:pPr>
        <w:pStyle w:val="Nadpis3"/>
        <w:numPr>
          <w:ilvl w:val="2"/>
          <w:numId w:val="27"/>
        </w:numPr>
        <w:spacing w:line="276" w:lineRule="auto"/>
      </w:pPr>
      <w:bookmarkStart w:id="682" w:name="_Toc136876121"/>
      <w:r w:rsidRPr="00E7005B">
        <w:t>Shrnutí poznatků ORP Brno</w:t>
      </w:r>
      <w:bookmarkEnd w:id="682"/>
    </w:p>
    <w:p w14:paraId="6C8FE5D3" w14:textId="6770C0A4" w:rsidR="00855D95" w:rsidRDefault="00855D95" w:rsidP="00855D95"/>
    <w:p w14:paraId="35F7DE87" w14:textId="7C2B84AA" w:rsidR="00855D95" w:rsidRPr="000477F1" w:rsidRDefault="00855D95" w:rsidP="00855D95">
      <w:pPr>
        <w:pStyle w:val="Tex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Arial Narrow" w:hAnsi="Arial Narrow" w:cs="Arial Narrow"/>
          <w:sz w:val="22"/>
          <w:szCs w:val="22"/>
          <w:shd w:val="clear" w:color="auto" w:fill="FFFFFF"/>
          <w:lang w:val="cs-CZ"/>
        </w:rPr>
      </w:pPr>
      <w:r w:rsidRPr="000477F1">
        <w:rPr>
          <w:rFonts w:ascii="Arial Narrow" w:hAnsi="Arial Narrow"/>
          <w:sz w:val="22"/>
          <w:szCs w:val="22"/>
          <w:lang w:val="cs-CZ"/>
        </w:rPr>
        <w:t xml:space="preserve">Závěrem této kapitoly si dovolujeme uvést stručné shrnutí základních poznatků, které vyplývají ze sekundární analýzy dat k osobám s jinou než českou státní příslušností v ORP Brno. Tyto údaje jsou součástí projektu </w:t>
      </w:r>
      <w:r w:rsidRPr="000477F1">
        <w:rPr>
          <w:rFonts w:ascii="Arial Narrow" w:hAnsi="Arial Narrow"/>
          <w:sz w:val="22"/>
          <w:szCs w:val="22"/>
          <w:shd w:val="clear" w:color="auto" w:fill="FFFFFF"/>
          <w:lang w:val="cs-CZ"/>
        </w:rPr>
        <w:t>„Analýza potřeb klíčových aktérů v</w:t>
      </w:r>
      <w:r w:rsidRPr="000477F1">
        <w:rPr>
          <w:rFonts w:ascii="Arial" w:hAnsi="Arial"/>
          <w:sz w:val="22"/>
          <w:szCs w:val="22"/>
          <w:shd w:val="clear" w:color="auto" w:fill="FFFFFF"/>
          <w:lang w:val="cs-CZ"/>
        </w:rPr>
        <w:t> </w:t>
      </w:r>
      <w:r w:rsidRPr="000477F1">
        <w:rPr>
          <w:rFonts w:ascii="Arial Narrow" w:hAnsi="Arial Narrow"/>
          <w:sz w:val="22"/>
          <w:szCs w:val="22"/>
          <w:shd w:val="clear" w:color="auto" w:fill="FFFFFF"/>
          <w:lang w:val="cs-CZ"/>
        </w:rPr>
        <w:t>oblasti zaměstnávání cizinců v JMK“.</w:t>
      </w:r>
    </w:p>
    <w:p w14:paraId="3AD4A339" w14:textId="13CD34C4" w:rsidR="009730AB" w:rsidRPr="000477F1" w:rsidRDefault="009730AB" w:rsidP="009730AB">
      <w:pPr>
        <w:spacing w:after="120" w:line="276" w:lineRule="auto"/>
        <w:jc w:val="both"/>
        <w:rPr>
          <w:rFonts w:ascii="Arial Narrow" w:hAnsi="Arial Narrow"/>
        </w:rPr>
      </w:pPr>
      <w:r w:rsidRPr="000477F1">
        <w:rPr>
          <w:rFonts w:ascii="Arial Narrow" w:hAnsi="Arial Narrow"/>
        </w:rPr>
        <w:t xml:space="preserve">K 31. 12. 2021 žilo na území ORP </w:t>
      </w:r>
      <w:r w:rsidRPr="000477F1">
        <w:rPr>
          <w:rFonts w:ascii="Arial Narrow" w:eastAsia="Calibri" w:hAnsi="Arial Narrow"/>
          <w:color w:val="000000"/>
          <w:u w:color="000000"/>
        </w:rPr>
        <w:t>Brno</w:t>
      </w:r>
      <w:r w:rsidRPr="000477F1">
        <w:rPr>
          <w:rFonts w:ascii="Arial Narrow" w:hAnsi="Arial Narrow"/>
        </w:rPr>
        <w:t xml:space="preserve"> celkem </w:t>
      </w:r>
      <w:r w:rsidRPr="000477F1">
        <w:rPr>
          <w:rFonts w:ascii="Arial Narrow" w:eastAsia="Calibri" w:hAnsi="Arial Narrow"/>
          <w:color w:val="000000"/>
          <w:u w:color="000000"/>
        </w:rPr>
        <w:t xml:space="preserve">63 367 </w:t>
      </w:r>
      <w:r w:rsidRPr="000477F1">
        <w:rPr>
          <w:rFonts w:ascii="Arial Narrow" w:hAnsi="Arial Narrow"/>
        </w:rPr>
        <w:t>obyvatel, což představovalo zhruba 14</w:t>
      </w:r>
      <w:r w:rsidRPr="000477F1">
        <w:rPr>
          <w:rFonts w:ascii="Arial Narrow" w:eastAsia="Calibri" w:hAnsi="Arial Narrow"/>
          <w:color w:val="000000"/>
          <w:u w:color="000000"/>
        </w:rPr>
        <w:t xml:space="preserve">,5 % </w:t>
      </w:r>
      <w:r w:rsidRPr="000477F1">
        <w:rPr>
          <w:rFonts w:ascii="Arial Narrow" w:hAnsi="Arial Narrow"/>
        </w:rPr>
        <w:t xml:space="preserve">všech obyvatel Jihomoravského kraje. Mezi obyvateli ORP </w:t>
      </w:r>
      <w:r w:rsidRPr="000477F1">
        <w:rPr>
          <w:rFonts w:ascii="Arial Narrow" w:eastAsia="Calibri" w:hAnsi="Arial Narrow"/>
          <w:color w:val="000000"/>
          <w:u w:color="000000"/>
        </w:rPr>
        <w:t>Brno</w:t>
      </w:r>
      <w:r w:rsidRPr="000477F1">
        <w:rPr>
          <w:rFonts w:ascii="Arial Narrow" w:hAnsi="Arial Narrow"/>
        </w:rPr>
        <w:t xml:space="preserve"> byli k tomuto datu muži a ženy téměř rovnoměrně zastoupeni (50,7 % mužů a 49,3 % žen).  Zastoupení mužů a žen mezi obyvateli ORP </w:t>
      </w:r>
      <w:r w:rsidRPr="000477F1">
        <w:rPr>
          <w:rFonts w:ascii="Arial Narrow" w:eastAsia="Calibri" w:hAnsi="Arial Narrow"/>
          <w:color w:val="000000"/>
          <w:u w:color="000000"/>
        </w:rPr>
        <w:t>Brno</w:t>
      </w:r>
      <w:r w:rsidRPr="000477F1">
        <w:rPr>
          <w:rFonts w:ascii="Arial Narrow" w:hAnsi="Arial Narrow"/>
        </w:rPr>
        <w:t xml:space="preserve"> zůstáv</w:t>
      </w:r>
      <w:r w:rsidR="0056780C">
        <w:rPr>
          <w:rFonts w:ascii="Arial Narrow" w:hAnsi="Arial Narrow"/>
        </w:rPr>
        <w:t>al</w:t>
      </w:r>
      <w:r w:rsidRPr="000477F1">
        <w:rPr>
          <w:rFonts w:ascii="Arial Narrow" w:hAnsi="Arial Narrow"/>
        </w:rPr>
        <w:t xml:space="preserve">, stejně jako podíl obyvatel na celkovém počtu obyvatel JMK, </w:t>
      </w:r>
      <w:r w:rsidR="0056780C">
        <w:rPr>
          <w:rFonts w:ascii="Arial Narrow" w:hAnsi="Arial Narrow"/>
        </w:rPr>
        <w:t xml:space="preserve">koncem roku 2021 </w:t>
      </w:r>
      <w:r w:rsidRPr="000477F1">
        <w:rPr>
          <w:rFonts w:ascii="Arial Narrow" w:hAnsi="Arial Narrow"/>
        </w:rPr>
        <w:t xml:space="preserve">dlouhodobě stabilní. Meziročně vzrůstá pouze průměrný věk obyvatel. Zatímco v roce 2005 byl průměrný věk obyvatel ORP </w:t>
      </w:r>
      <w:r w:rsidRPr="000477F1">
        <w:rPr>
          <w:rFonts w:ascii="Arial Narrow" w:eastAsia="Calibri" w:hAnsi="Arial Narrow"/>
          <w:color w:val="000000"/>
          <w:u w:color="000000"/>
        </w:rPr>
        <w:t>Brno</w:t>
      </w:r>
      <w:r w:rsidRPr="000477F1">
        <w:rPr>
          <w:rFonts w:ascii="Arial Narrow" w:hAnsi="Arial Narrow"/>
        </w:rPr>
        <w:t xml:space="preserve"> 41,5 let, v roce 2021 to bylo 42,9 let. Jedná se ale o trend, který je charakteristický pro území celé České republiky</w:t>
      </w:r>
      <w:r w:rsidRPr="000477F1">
        <w:rPr>
          <w:rStyle w:val="Znakapoznpodarou"/>
          <w:rFonts w:ascii="Arial Narrow" w:eastAsia="Times New Roman" w:hAnsi="Arial Narrow" w:cs="Arial"/>
          <w:sz w:val="18"/>
          <w:szCs w:val="18"/>
          <w:lang w:eastAsia="cs-CZ"/>
        </w:rPr>
        <w:footnoteReference w:id="81"/>
      </w:r>
      <w:r w:rsidRPr="000477F1">
        <w:rPr>
          <w:rFonts w:ascii="Arial Narrow" w:hAnsi="Arial Narrow"/>
        </w:rPr>
        <w:t xml:space="preserve">. </w:t>
      </w:r>
    </w:p>
    <w:p w14:paraId="100F65D9" w14:textId="78119345" w:rsidR="00855D95" w:rsidRPr="000477F1" w:rsidRDefault="00855D95" w:rsidP="00855D95">
      <w:pPr>
        <w:pStyle w:val="Tex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hAnsi="Arial Narrow"/>
          <w:b/>
          <w:bCs/>
          <w:sz w:val="22"/>
          <w:szCs w:val="22"/>
          <w:lang w:val="cs-CZ"/>
        </w:rPr>
      </w:pPr>
      <w:r w:rsidRPr="000477F1">
        <w:rPr>
          <w:rFonts w:ascii="Arial Narrow" w:hAnsi="Arial Narrow"/>
          <w:sz w:val="22"/>
          <w:szCs w:val="22"/>
          <w:lang w:val="cs-CZ"/>
        </w:rPr>
        <w:t xml:space="preserve">ORP Brno představuje ve srovnání s jinými ORP Jihomoravského kraje </w:t>
      </w:r>
      <w:r w:rsidRPr="000477F1">
        <w:rPr>
          <w:rFonts w:ascii="Arial Narrow" w:hAnsi="Arial Narrow"/>
          <w:b/>
          <w:bCs/>
          <w:sz w:val="22"/>
          <w:szCs w:val="22"/>
          <w:lang w:val="cs-CZ"/>
        </w:rPr>
        <w:t>oblast s nejvyšším podílem osob s jinou než českou příslušností.</w:t>
      </w:r>
      <w:r w:rsidRPr="000477F1">
        <w:rPr>
          <w:rFonts w:ascii="Arial Narrow" w:hAnsi="Arial Narrow"/>
          <w:sz w:val="22"/>
          <w:szCs w:val="22"/>
          <w:lang w:val="cs-CZ"/>
        </w:rPr>
        <w:t xml:space="preserve">  V ORP Brno žilo k datu 1. 1. 2021 celkem 34 203 osob s jinou než českou státní příslušností, tedy téměř 60 % všech osob s jinou než českou státní příslušností v Jihomoravském kraji. Osoby s jinou než českou státní příslušností tvořily k tomuto datu 9,1 % všech obyvatel ORP Brno. Podíl občanů s jinou než českou státní příslušností na celkovém počtu obyvatel v posledních letech </w:t>
      </w:r>
      <w:r w:rsidRPr="000477F1">
        <w:rPr>
          <w:rFonts w:ascii="Arial Narrow" w:hAnsi="Arial Narrow"/>
          <w:b/>
          <w:bCs/>
          <w:sz w:val="22"/>
          <w:szCs w:val="22"/>
          <w:lang w:val="cs-CZ"/>
        </w:rPr>
        <w:t xml:space="preserve">narůstá. </w:t>
      </w:r>
      <w:r w:rsidRPr="000477F1">
        <w:rPr>
          <w:rFonts w:ascii="Arial Narrow" w:hAnsi="Arial Narrow"/>
          <w:sz w:val="22"/>
          <w:szCs w:val="22"/>
          <w:lang w:val="cs-CZ"/>
        </w:rPr>
        <w:t xml:space="preserve"> Od roku 2006 do současnosti se podíl těchto osob na celkovém počtu obyvatel ORP téměř </w:t>
      </w:r>
      <w:r w:rsidRPr="000477F1">
        <w:rPr>
          <w:rFonts w:ascii="Arial Narrow" w:hAnsi="Arial Narrow"/>
          <w:b/>
          <w:bCs/>
          <w:sz w:val="22"/>
          <w:szCs w:val="22"/>
          <w:lang w:val="cs-CZ"/>
        </w:rPr>
        <w:t xml:space="preserve">ztrojnásobil (3,4 % v roce 2006 a </w:t>
      </w:r>
      <w:r w:rsidR="000477F1">
        <w:rPr>
          <w:rFonts w:ascii="Arial Narrow" w:hAnsi="Arial Narrow"/>
          <w:b/>
          <w:bCs/>
          <w:sz w:val="22"/>
          <w:szCs w:val="22"/>
          <w:lang w:val="cs-CZ"/>
        </w:rPr>
        <w:br/>
      </w:r>
      <w:r w:rsidRPr="000477F1">
        <w:rPr>
          <w:rFonts w:ascii="Arial Narrow" w:hAnsi="Arial Narrow"/>
          <w:b/>
          <w:bCs/>
          <w:sz w:val="22"/>
          <w:szCs w:val="22"/>
          <w:lang w:val="cs-CZ"/>
        </w:rPr>
        <w:t xml:space="preserve">9,1 % v roce 2021). </w:t>
      </w:r>
    </w:p>
    <w:p w14:paraId="158BEA6D" w14:textId="5E08961B" w:rsidR="009730AB" w:rsidRPr="000477F1" w:rsidRDefault="009730AB" w:rsidP="009730AB">
      <w:pPr>
        <w:spacing w:after="120" w:line="276" w:lineRule="auto"/>
        <w:jc w:val="both"/>
        <w:rPr>
          <w:rFonts w:ascii="Arial Narrow" w:hAnsi="Arial Narrow"/>
        </w:rPr>
      </w:pPr>
      <w:r w:rsidRPr="000477F1">
        <w:rPr>
          <w:rFonts w:ascii="Arial Narrow" w:eastAsia="Calibri" w:hAnsi="Arial Narrow"/>
          <w:color w:val="000000"/>
          <w:u w:color="000000"/>
        </w:rPr>
        <w:t xml:space="preserve">Od roku 2009 do počátku roku 2022 zůstával podíl osob s jinou než českou příslušností v ORP Brno poměrně stabilní a pohyboval se okolo 9 %. </w:t>
      </w:r>
      <w:r w:rsidRPr="000477F1">
        <w:rPr>
          <w:rFonts w:ascii="Arial Narrow" w:eastAsia="Calibri" w:hAnsi="Arial Narrow"/>
          <w:b/>
          <w:bCs/>
          <w:color w:val="000000"/>
          <w:u w:color="000000"/>
        </w:rPr>
        <w:t xml:space="preserve">V posledním roce se však podíl osob s jinou než českou státní příslušností skokově </w:t>
      </w:r>
      <w:r w:rsidRPr="000477F1">
        <w:rPr>
          <w:rFonts w:ascii="Arial Narrow" w:hAnsi="Arial Narrow"/>
          <w:b/>
          <w:bCs/>
        </w:rPr>
        <w:t>zvýšil, což bylo pravděpodobně způsobeno především válečným konfliktem na Ukrajině.</w:t>
      </w:r>
      <w:r w:rsidRPr="000477F1">
        <w:rPr>
          <w:rFonts w:ascii="Arial Narrow" w:eastAsia="Calibri" w:hAnsi="Arial Narrow"/>
          <w:b/>
          <w:bCs/>
          <w:color w:val="000000"/>
          <w:u w:color="000000"/>
        </w:rPr>
        <w:t xml:space="preserve"> </w:t>
      </w:r>
      <w:r w:rsidRPr="000477F1">
        <w:rPr>
          <w:rFonts w:ascii="Arial Narrow" w:eastAsia="Calibri" w:hAnsi="Arial Narrow"/>
          <w:color w:val="000000"/>
          <w:u w:color="000000"/>
        </w:rPr>
        <w:t xml:space="preserve">Zatímco k datu 1. 1. 2022 žilo v ORP Brno celkem 38 741 osob s jinou než českou státní příslušností, což bylo zhruba </w:t>
      </w:r>
      <w:r w:rsidRPr="000477F1">
        <w:rPr>
          <w:rFonts w:ascii="Arial Narrow" w:eastAsia="Calibri" w:hAnsi="Arial Narrow"/>
          <w:color w:val="000000"/>
          <w:u w:color="000000"/>
        </w:rPr>
        <w:br/>
        <w:t xml:space="preserve">9,4 % všech obyvatel ORP Brno, k 1. 1. 2023 v ORP Brno žilo </w:t>
      </w:r>
      <w:r w:rsidRPr="000477F1">
        <w:rPr>
          <w:rFonts w:ascii="Arial Narrow" w:hAnsi="Arial Narrow"/>
          <w:color w:val="000000"/>
        </w:rPr>
        <w:t xml:space="preserve">celkem 63 367 osob s jinou než českou státní příslušností, což bylo 14,5 % všech obyvatel ORP </w:t>
      </w:r>
      <w:r w:rsidRPr="000477F1">
        <w:rPr>
          <w:rFonts w:ascii="Arial Narrow" w:eastAsia="Calibri" w:hAnsi="Arial Narrow"/>
          <w:color w:val="000000"/>
          <w:u w:color="000000"/>
        </w:rPr>
        <w:t>Brno</w:t>
      </w:r>
      <w:r w:rsidRPr="000477F1">
        <w:rPr>
          <w:rFonts w:ascii="Arial Narrow" w:hAnsi="Arial Narrow"/>
          <w:color w:val="000000"/>
        </w:rPr>
        <w:t xml:space="preserve">.  </w:t>
      </w:r>
    </w:p>
    <w:p w14:paraId="2AB05162" w14:textId="2C8BF07E" w:rsidR="009730AB" w:rsidRPr="000477F1" w:rsidRDefault="009730AB" w:rsidP="009730AB">
      <w:pPr>
        <w:spacing w:after="120" w:line="276" w:lineRule="auto"/>
        <w:jc w:val="both"/>
        <w:rPr>
          <w:rFonts w:ascii="Arial Narrow" w:hAnsi="Arial Narrow"/>
          <w:color w:val="000000"/>
        </w:rPr>
      </w:pPr>
      <w:r w:rsidRPr="000477F1">
        <w:rPr>
          <w:rFonts w:ascii="Arial Narrow" w:hAnsi="Arial Narrow"/>
          <w:color w:val="000000"/>
        </w:rPr>
        <w:t xml:space="preserve">Nejvyšší podíl </w:t>
      </w:r>
      <w:r w:rsidRPr="000477F1">
        <w:rPr>
          <w:rFonts w:ascii="Arial Narrow" w:eastAsia="Calibri" w:hAnsi="Arial Narrow"/>
          <w:color w:val="000000"/>
          <w:u w:color="000000"/>
        </w:rPr>
        <w:t xml:space="preserve">osob s jinou než českou příslušností </w:t>
      </w:r>
      <w:r w:rsidRPr="000477F1">
        <w:rPr>
          <w:rFonts w:ascii="Arial Narrow" w:hAnsi="Arial Narrow"/>
          <w:color w:val="000000"/>
        </w:rPr>
        <w:t xml:space="preserve">na celkovém počtu obyvatel v dané městské části byl </w:t>
      </w:r>
      <w:r w:rsidR="008D0E3E" w:rsidRPr="000477F1">
        <w:rPr>
          <w:rFonts w:ascii="Arial Narrow" w:hAnsi="Arial Narrow"/>
          <w:color w:val="000000"/>
        </w:rPr>
        <w:t xml:space="preserve">k datu </w:t>
      </w:r>
      <w:r w:rsidR="000477F1" w:rsidRPr="000477F1">
        <w:rPr>
          <w:rFonts w:ascii="Arial Narrow" w:hAnsi="Arial Narrow"/>
          <w:color w:val="000000"/>
        </w:rPr>
        <w:br/>
      </w:r>
      <w:r w:rsidR="008D0E3E" w:rsidRPr="000477F1">
        <w:rPr>
          <w:rFonts w:ascii="Arial Narrow" w:hAnsi="Arial Narrow"/>
          <w:color w:val="000000"/>
        </w:rPr>
        <w:t xml:space="preserve">1. 1. 2023 </w:t>
      </w:r>
      <w:r w:rsidRPr="000477F1">
        <w:rPr>
          <w:rFonts w:ascii="Arial Narrow" w:hAnsi="Arial Narrow"/>
          <w:color w:val="000000"/>
        </w:rPr>
        <w:t>v městské části Brno-</w:t>
      </w:r>
      <w:r w:rsidR="00765AAA" w:rsidRPr="000477F1">
        <w:rPr>
          <w:rFonts w:ascii="Arial Narrow" w:hAnsi="Arial Narrow"/>
          <w:color w:val="000000"/>
        </w:rPr>
        <w:t>j</w:t>
      </w:r>
      <w:r w:rsidRPr="000477F1">
        <w:rPr>
          <w:rFonts w:ascii="Arial Narrow" w:hAnsi="Arial Narrow"/>
          <w:color w:val="000000"/>
        </w:rPr>
        <w:t xml:space="preserve">ih, kde osoby s jinou než českou státní příslušností tvořily 28,6 % všech obyvatel. Druhý až čtvrtý nejvyšší podíl osob s jinou než českou státní příslušností byl evidován v městských částech Brno-Slatina (28,3 %), Brno-Královo Pole (22,1 %) a Brno-Černovice (21,8 %). </w:t>
      </w:r>
    </w:p>
    <w:p w14:paraId="724A4BBB" w14:textId="6425769A" w:rsidR="000477F1" w:rsidRPr="000477F1" w:rsidRDefault="000477F1" w:rsidP="000477F1">
      <w:pPr>
        <w:spacing w:after="120" w:line="276" w:lineRule="auto"/>
        <w:jc w:val="both"/>
        <w:rPr>
          <w:rFonts w:ascii="Arial Narrow" w:hAnsi="Arial Narrow"/>
        </w:rPr>
      </w:pPr>
      <w:r w:rsidRPr="000477F1">
        <w:rPr>
          <w:rFonts w:ascii="Arial Narrow" w:hAnsi="Arial Narrow"/>
        </w:rPr>
        <w:t xml:space="preserve">V populaci osob s jinou než českou státní příslušností v ORP Brno dlouhodobě převažoval počet mužů nad počtem žen. Podíl mužů v celkové populaci těchto osob byl dlouhodobě vyšší než podíl žen, meziročně se nicméně tento podíl mírně snižoval a k 1. 1. 2023 počet žen převážil nad počtem mužů. V roce 2006 bylo procentuální zastoupení osob s jinou než českou státní příslušností 65,5 % mužů oproti 34,5 % žen. </w:t>
      </w:r>
      <w:r w:rsidRPr="000477F1">
        <w:rPr>
          <w:rFonts w:ascii="Arial Narrow" w:hAnsi="Arial Narrow"/>
          <w:b/>
          <w:bCs/>
        </w:rPr>
        <w:t xml:space="preserve">K 1. 1. 2023 byl podíl </w:t>
      </w:r>
      <w:r w:rsidRPr="000477F1">
        <w:rPr>
          <w:rFonts w:ascii="Arial Narrow" w:hAnsi="Arial Narrow"/>
          <w:b/>
          <w:bCs/>
        </w:rPr>
        <w:br/>
        <w:t>50,7 % žen a 49,3 % mužů.</w:t>
      </w:r>
      <w:r w:rsidRPr="000477F1">
        <w:rPr>
          <w:rFonts w:ascii="Arial Narrow" w:hAnsi="Arial Narrow"/>
        </w:rPr>
        <w:t xml:space="preserve">  Mezi lety 2007 a 2023 se podíl žen s jinou než českou státní příslušností na celkovém počtu těchto osob v OPR Brno zvýšil o 14,8 %. </w:t>
      </w:r>
    </w:p>
    <w:p w14:paraId="27483900" w14:textId="50E67A20" w:rsidR="000477F1" w:rsidRPr="000477F1" w:rsidRDefault="000477F1" w:rsidP="000477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u w:color="000000"/>
        </w:rPr>
      </w:pPr>
      <w:r w:rsidRPr="000477F1">
        <w:rPr>
          <w:rFonts w:ascii="Arial Narrow" w:eastAsia="Calibri" w:hAnsi="Arial Narrow"/>
          <w:color w:val="000000"/>
          <w:u w:color="000000"/>
        </w:rPr>
        <w:t xml:space="preserve">Stejně jako roste podíl žen s jinou než českou státní příslušností na celkovém počtu těchto osob v ORP Brno se </w:t>
      </w:r>
      <w:r w:rsidRPr="000477F1">
        <w:rPr>
          <w:rFonts w:ascii="Arial Narrow" w:eastAsia="Calibri" w:hAnsi="Arial Narrow"/>
          <w:b/>
          <w:bCs/>
          <w:color w:val="000000"/>
          <w:u w:color="000000"/>
        </w:rPr>
        <w:t>v posledním roce výrazně zvýšil také podíl dětí do 15 let</w:t>
      </w:r>
      <w:r w:rsidRPr="000477F1">
        <w:rPr>
          <w:rFonts w:ascii="Arial Narrow" w:eastAsia="Calibri" w:hAnsi="Arial Narrow"/>
          <w:color w:val="000000"/>
          <w:u w:color="000000"/>
        </w:rPr>
        <w:t xml:space="preserve"> na celkovém počtu osob s jinou než českou státní příslušností. Zatímco k 1. 1. 2008 tvořily děti do 15 let celkem 5,2 % všech osob s jinou než českou státní příslušností, k 1. 1. 2023 to </w:t>
      </w:r>
      <w:r w:rsidRPr="000477F1">
        <w:rPr>
          <w:rFonts w:ascii="Arial Narrow" w:eastAsia="Calibri" w:hAnsi="Arial Narrow"/>
          <w:u w:color="000000"/>
        </w:rPr>
        <w:t xml:space="preserve">bylo již </w:t>
      </w:r>
      <w:r w:rsidR="00F71F72">
        <w:rPr>
          <w:rFonts w:ascii="Arial Narrow" w:eastAsia="Calibri" w:hAnsi="Arial Narrow"/>
          <w:u w:color="000000"/>
        </w:rPr>
        <w:t>13,3</w:t>
      </w:r>
      <w:r w:rsidRPr="000477F1">
        <w:rPr>
          <w:rFonts w:ascii="Arial Narrow" w:eastAsia="Calibri" w:hAnsi="Arial Narrow"/>
          <w:u w:color="000000"/>
        </w:rPr>
        <w:t xml:space="preserve"> %. </w:t>
      </w:r>
      <w:r w:rsidRPr="000477F1">
        <w:rPr>
          <w:rFonts w:ascii="Arial Narrow" w:hAnsi="Arial Narrow"/>
        </w:rPr>
        <w:t>Ve srovnání s jinými vybranými ORP Jihomoravského kraje mělo</w:t>
      </w:r>
      <w:r w:rsidRPr="000477F1">
        <w:rPr>
          <w:rFonts w:ascii="Arial Narrow" w:hAnsi="Arial Narrow"/>
          <w:b/>
          <w:bCs/>
        </w:rPr>
        <w:t xml:space="preserve"> </w:t>
      </w:r>
      <w:r w:rsidRPr="000477F1">
        <w:rPr>
          <w:rFonts w:ascii="Arial Narrow" w:hAnsi="Arial Narrow"/>
        </w:rPr>
        <w:t xml:space="preserve">ORP Brno mírně nižší podíl dětí ve věku do 15 let, což se nicméně v roce 2022 změnilo. </w:t>
      </w:r>
    </w:p>
    <w:p w14:paraId="569E07A8" w14:textId="280AA300" w:rsidR="00D80F97" w:rsidRPr="000477F1" w:rsidRDefault="00D80F97" w:rsidP="00D80F97">
      <w:pPr>
        <w:pStyle w:val="Tex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Arial Narrow" w:hAnsi="Arial Narrow" w:cs="Arial Narrow"/>
          <w:color w:val="auto"/>
          <w:sz w:val="22"/>
          <w:szCs w:val="22"/>
          <w:lang w:val="cs-CZ"/>
        </w:rPr>
      </w:pPr>
      <w:r w:rsidRPr="000477F1">
        <w:rPr>
          <w:rFonts w:ascii="Arial Narrow" w:hAnsi="Arial Narrow"/>
          <w:color w:val="auto"/>
          <w:sz w:val="22"/>
          <w:szCs w:val="22"/>
          <w:lang w:val="cs-CZ"/>
        </w:rPr>
        <w:lastRenderedPageBreak/>
        <w:t xml:space="preserve">V rámci průzkumu zaměstnanosti k 31. 12. 2020 byly za </w:t>
      </w:r>
      <w:r w:rsidR="00E7005B" w:rsidRPr="000477F1">
        <w:rPr>
          <w:rFonts w:ascii="Arial Narrow" w:hAnsi="Arial Narrow"/>
          <w:color w:val="auto"/>
          <w:sz w:val="22"/>
          <w:szCs w:val="22"/>
          <w:lang w:val="cs-CZ"/>
        </w:rPr>
        <w:t xml:space="preserve">ORP </w:t>
      </w:r>
      <w:r w:rsidRPr="000477F1">
        <w:rPr>
          <w:rFonts w:ascii="Arial Narrow" w:hAnsi="Arial Narrow"/>
          <w:color w:val="auto"/>
          <w:sz w:val="22"/>
          <w:szCs w:val="22"/>
          <w:lang w:val="cs-CZ"/>
        </w:rPr>
        <w:t xml:space="preserve">Brno získány údaje od 1 514 subjektů a bylo sečteno 77 686 zaměstnaných. Z nich v primárním sektoru </w:t>
      </w:r>
      <w:r w:rsidR="0071035B" w:rsidRPr="000477F1">
        <w:rPr>
          <w:rFonts w:ascii="Arial Narrow" w:hAnsi="Arial Narrow"/>
          <w:color w:val="auto"/>
          <w:sz w:val="22"/>
          <w:szCs w:val="22"/>
          <w:lang w:val="cs-CZ"/>
        </w:rPr>
        <w:t>bylo v ORP Brno k tomuto datu</w:t>
      </w:r>
      <w:r w:rsidRPr="000477F1">
        <w:rPr>
          <w:rFonts w:ascii="Arial Narrow" w:hAnsi="Arial Narrow"/>
          <w:color w:val="auto"/>
          <w:sz w:val="22"/>
          <w:szCs w:val="22"/>
          <w:lang w:val="cs-CZ"/>
        </w:rPr>
        <w:t xml:space="preserve"> zaměstnáno </w:t>
      </w:r>
      <w:r w:rsidR="0071035B" w:rsidRPr="000477F1">
        <w:rPr>
          <w:rFonts w:ascii="Arial Narrow" w:hAnsi="Arial Narrow"/>
          <w:color w:val="auto"/>
          <w:sz w:val="22"/>
          <w:szCs w:val="22"/>
          <w:lang w:val="cs-CZ"/>
        </w:rPr>
        <w:t>pouze</w:t>
      </w:r>
      <w:r w:rsidRPr="000477F1">
        <w:rPr>
          <w:rFonts w:ascii="Arial Narrow" w:hAnsi="Arial Narrow"/>
          <w:color w:val="auto"/>
          <w:sz w:val="22"/>
          <w:szCs w:val="22"/>
          <w:lang w:val="cs-CZ"/>
        </w:rPr>
        <w:t xml:space="preserve">0,3 % zaměstnanců. V sekundárním sektoru bylo zaměstnáno 23,2 % všech zaměstnanců. Nejčastěji </w:t>
      </w:r>
      <w:r w:rsidR="0071035B" w:rsidRPr="000477F1">
        <w:rPr>
          <w:rFonts w:ascii="Arial Narrow" w:hAnsi="Arial Narrow"/>
          <w:color w:val="auto"/>
          <w:sz w:val="22"/>
          <w:szCs w:val="22"/>
          <w:lang w:val="cs-CZ"/>
        </w:rPr>
        <w:t xml:space="preserve">byli </w:t>
      </w:r>
      <w:r w:rsidRPr="000477F1">
        <w:rPr>
          <w:rFonts w:ascii="Arial Narrow" w:hAnsi="Arial Narrow"/>
          <w:color w:val="auto"/>
          <w:sz w:val="22"/>
          <w:szCs w:val="22"/>
          <w:lang w:val="cs-CZ"/>
        </w:rPr>
        <w:t>pracovníci zaměstn</w:t>
      </w:r>
      <w:r w:rsidR="0071035B" w:rsidRPr="000477F1">
        <w:rPr>
          <w:rFonts w:ascii="Arial Narrow" w:hAnsi="Arial Narrow"/>
          <w:color w:val="auto"/>
          <w:sz w:val="22"/>
          <w:szCs w:val="22"/>
          <w:lang w:val="cs-CZ"/>
        </w:rPr>
        <w:t>áni</w:t>
      </w:r>
      <w:r w:rsidRPr="000477F1">
        <w:rPr>
          <w:rFonts w:ascii="Arial Narrow" w:hAnsi="Arial Narrow"/>
          <w:color w:val="auto"/>
          <w:sz w:val="22"/>
          <w:szCs w:val="22"/>
          <w:lang w:val="cs-CZ"/>
        </w:rPr>
        <w:t xml:space="preserve"> v elektrotechnickém průmyslu (6,1 %), v strojírenském průmyslu (5,1 %) a v hutnickém a kovozpracujícím průmyslu (1,8 %). V terciéru </w:t>
      </w:r>
      <w:r w:rsidR="0071035B" w:rsidRPr="000477F1">
        <w:rPr>
          <w:rFonts w:ascii="Arial Narrow" w:hAnsi="Arial Narrow"/>
          <w:color w:val="auto"/>
          <w:sz w:val="22"/>
          <w:szCs w:val="22"/>
          <w:lang w:val="cs-CZ"/>
        </w:rPr>
        <w:t>bylo</w:t>
      </w:r>
      <w:r w:rsidRPr="000477F1">
        <w:rPr>
          <w:rFonts w:ascii="Arial Narrow" w:hAnsi="Arial Narrow"/>
          <w:color w:val="auto"/>
          <w:sz w:val="22"/>
          <w:szCs w:val="22"/>
          <w:lang w:val="cs-CZ"/>
        </w:rPr>
        <w:t xml:space="preserve"> zaměstnáno </w:t>
      </w:r>
      <w:r w:rsidR="0071035B" w:rsidRPr="000477F1">
        <w:rPr>
          <w:rFonts w:ascii="Arial Narrow" w:hAnsi="Arial Narrow"/>
          <w:color w:val="auto"/>
          <w:sz w:val="22"/>
          <w:szCs w:val="22"/>
          <w:lang w:val="cs-CZ"/>
        </w:rPr>
        <w:t xml:space="preserve">nejvíce pracovní, celkem </w:t>
      </w:r>
      <w:r w:rsidRPr="000477F1">
        <w:rPr>
          <w:rFonts w:ascii="Arial Narrow" w:hAnsi="Arial Narrow"/>
          <w:color w:val="auto"/>
          <w:sz w:val="22"/>
          <w:szCs w:val="22"/>
          <w:lang w:val="cs-CZ"/>
        </w:rPr>
        <w:t>76,4 %</w:t>
      </w:r>
      <w:r w:rsidR="0071035B" w:rsidRPr="000477F1">
        <w:rPr>
          <w:rFonts w:ascii="Arial Narrow" w:hAnsi="Arial Narrow"/>
          <w:color w:val="auto"/>
          <w:sz w:val="22"/>
          <w:szCs w:val="22"/>
          <w:lang w:val="cs-CZ"/>
        </w:rPr>
        <w:t xml:space="preserve"> z nich</w:t>
      </w:r>
      <w:r w:rsidRPr="000477F1">
        <w:rPr>
          <w:rFonts w:ascii="Arial Narrow" w:hAnsi="Arial Narrow"/>
          <w:color w:val="auto"/>
          <w:sz w:val="22"/>
          <w:szCs w:val="22"/>
          <w:lang w:val="cs-CZ"/>
        </w:rPr>
        <w:t xml:space="preserve">. Nejčastěji zaměstnanci pracovali v odvětví zdravotní a sociální péče (18,1 %), vzdělání (16,3 %) a ve velkoobchodě a maloobchodě (8,5 %). </w:t>
      </w:r>
      <w:r w:rsidRPr="000477F1">
        <w:rPr>
          <w:rStyle w:val="Znakapoznpodarou"/>
          <w:rFonts w:ascii="Arial Narrow" w:hAnsi="Arial Narrow"/>
          <w:color w:val="auto"/>
          <w:sz w:val="22"/>
          <w:szCs w:val="22"/>
          <w:lang w:val="cs-CZ"/>
        </w:rPr>
        <w:footnoteReference w:id="82"/>
      </w:r>
    </w:p>
    <w:p w14:paraId="680FC7FA" w14:textId="77777777" w:rsidR="000477F1" w:rsidRPr="000477F1" w:rsidRDefault="000477F1" w:rsidP="000477F1">
      <w:pPr>
        <w:pStyle w:val="Tex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Arial Narrow" w:hAnsi="Arial Narrow" w:cs="Arial Narrow"/>
          <w:sz w:val="22"/>
          <w:szCs w:val="22"/>
          <w:lang w:val="cs-CZ"/>
        </w:rPr>
      </w:pPr>
      <w:r w:rsidRPr="000477F1">
        <w:rPr>
          <w:rFonts w:ascii="Arial Narrow" w:hAnsi="Arial Narrow"/>
          <w:sz w:val="22"/>
          <w:szCs w:val="22"/>
          <w:lang w:val="cs-CZ"/>
        </w:rPr>
        <w:t>Za měsíc prosinec roku 2022 bylo v ORP Brno evidováno celkem 12 137 uchazečů o zaměstnání. Podíl nezaměstnanosti v ORP Brno od roku 2014 klesal, mírný nárůst lze, podobně jako v dalších ORP, zaznamenat v letech 2020 a 2021, což může souviset s dopady celosvětové pandemie viru SARS-CoV-2. Navzdory mírnému nárůstu počtu uchazečů v letech 2020 a 2021 se v tomto období počet uchazečů o zaměstnání připadajících na 1 volné pracovní místo v ORP Brno nadále snižoval a v prosinci 2021 dosáhl hodnoty 0,7. V prosinci 2022 byl počet uchazečů na jedno pracovní místo už 1,3, což je nejvyšší číslo od roku 2018. Podíl nezaměstnaných v tomto období je zhruba na stejné úrovni jako v roce 2020 (5,1 %).</w:t>
      </w:r>
    </w:p>
    <w:p w14:paraId="6B9B507B" w14:textId="46166010" w:rsidR="00855D95" w:rsidRPr="00572269" w:rsidRDefault="00855D95" w:rsidP="00572269">
      <w:pPr>
        <w:pStyle w:val="Tex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lang w:val="cs-CZ"/>
        </w:rPr>
      </w:pPr>
      <w:r w:rsidRPr="000477F1">
        <w:rPr>
          <w:rFonts w:ascii="Arial Narrow" w:hAnsi="Arial Narrow"/>
          <w:sz w:val="22"/>
          <w:szCs w:val="22"/>
          <w:lang w:val="cs-CZ"/>
        </w:rPr>
        <w:t xml:space="preserve">V OPR Brno byla evidována řada zaměstnavatelů, u nichž bylo prokazatelně identifikované, že v roce 2020 zaměstnávali osoby s jinou než českou státní příslušností. Mezi významné zaměstnavatele těchto osob v ORP Brno patřila v roce 2020 například firma </w:t>
      </w:r>
      <w:r w:rsidRPr="000477F1">
        <w:rPr>
          <w:rFonts w:ascii="Arial Narrow" w:hAnsi="Arial Narrow"/>
          <w:b/>
          <w:bCs/>
          <w:sz w:val="22"/>
          <w:szCs w:val="22"/>
          <w:lang w:val="cs-CZ"/>
        </w:rPr>
        <w:t xml:space="preserve">IBM </w:t>
      </w:r>
      <w:proofErr w:type="spellStart"/>
      <w:r w:rsidRPr="000477F1">
        <w:rPr>
          <w:rFonts w:ascii="Arial Narrow" w:hAnsi="Arial Narrow"/>
          <w:b/>
          <w:bCs/>
          <w:sz w:val="22"/>
          <w:szCs w:val="22"/>
          <w:lang w:val="cs-CZ"/>
        </w:rPr>
        <w:t>Global</w:t>
      </w:r>
      <w:proofErr w:type="spellEnd"/>
      <w:r w:rsidRPr="000477F1">
        <w:rPr>
          <w:rFonts w:ascii="Arial Narrow" w:hAnsi="Arial Narrow"/>
          <w:b/>
          <w:bCs/>
          <w:sz w:val="22"/>
          <w:szCs w:val="22"/>
          <w:lang w:val="cs-CZ"/>
        </w:rPr>
        <w:t xml:space="preserve"> </w:t>
      </w:r>
      <w:proofErr w:type="spellStart"/>
      <w:r w:rsidRPr="000477F1">
        <w:rPr>
          <w:rFonts w:ascii="Arial Narrow" w:hAnsi="Arial Narrow"/>
          <w:b/>
          <w:bCs/>
          <w:sz w:val="22"/>
          <w:szCs w:val="22"/>
          <w:lang w:val="cs-CZ"/>
        </w:rPr>
        <w:t>Services</w:t>
      </w:r>
      <w:proofErr w:type="spellEnd"/>
      <w:r w:rsidRPr="000477F1">
        <w:rPr>
          <w:rFonts w:ascii="Arial Narrow" w:hAnsi="Arial Narrow"/>
          <w:b/>
          <w:bCs/>
          <w:sz w:val="22"/>
          <w:szCs w:val="22"/>
          <w:lang w:val="cs-CZ"/>
        </w:rPr>
        <w:t xml:space="preserve"> </w:t>
      </w:r>
      <w:proofErr w:type="spellStart"/>
      <w:r w:rsidRPr="000477F1">
        <w:rPr>
          <w:rFonts w:ascii="Arial Narrow" w:hAnsi="Arial Narrow"/>
          <w:b/>
          <w:bCs/>
          <w:sz w:val="22"/>
          <w:szCs w:val="22"/>
          <w:lang w:val="cs-CZ"/>
        </w:rPr>
        <w:t>Delivery</w:t>
      </w:r>
      <w:proofErr w:type="spellEnd"/>
      <w:r w:rsidRPr="000477F1">
        <w:rPr>
          <w:rFonts w:ascii="Arial Narrow" w:hAnsi="Arial Narrow"/>
          <w:b/>
          <w:bCs/>
          <w:sz w:val="22"/>
          <w:szCs w:val="22"/>
          <w:lang w:val="cs-CZ"/>
        </w:rPr>
        <w:t xml:space="preserve"> Center Czech Republic, s.r.o. </w:t>
      </w:r>
      <w:r w:rsidRPr="000477F1">
        <w:rPr>
          <w:rFonts w:ascii="Arial Narrow" w:hAnsi="Arial Narrow"/>
          <w:sz w:val="22"/>
          <w:szCs w:val="22"/>
          <w:lang w:val="cs-CZ"/>
        </w:rPr>
        <w:t>(1 844 zaměstnanců s jinou než českou státní příslušností),</w:t>
      </w:r>
      <w:r w:rsidRPr="000477F1">
        <w:rPr>
          <w:rFonts w:ascii="Arial Narrow" w:hAnsi="Arial Narrow"/>
          <w:b/>
          <w:bCs/>
          <w:sz w:val="22"/>
          <w:szCs w:val="22"/>
          <w:lang w:val="cs-CZ"/>
        </w:rPr>
        <w:t xml:space="preserve"> </w:t>
      </w:r>
      <w:r w:rsidRPr="000477F1">
        <w:rPr>
          <w:rFonts w:ascii="Arial Narrow" w:hAnsi="Arial Narrow"/>
          <w:sz w:val="22"/>
          <w:szCs w:val="22"/>
          <w:lang w:val="cs-CZ"/>
        </w:rPr>
        <w:t xml:space="preserve">firma </w:t>
      </w:r>
      <w:r w:rsidRPr="000477F1">
        <w:rPr>
          <w:rFonts w:ascii="Arial Narrow" w:hAnsi="Arial Narrow"/>
          <w:b/>
          <w:bCs/>
          <w:sz w:val="22"/>
          <w:szCs w:val="22"/>
          <w:lang w:val="cs-CZ"/>
        </w:rPr>
        <w:t xml:space="preserve">AT&amp;T </w:t>
      </w:r>
      <w:proofErr w:type="spellStart"/>
      <w:r w:rsidRPr="000477F1">
        <w:rPr>
          <w:rFonts w:ascii="Arial Narrow" w:hAnsi="Arial Narrow"/>
          <w:b/>
          <w:bCs/>
          <w:sz w:val="22"/>
          <w:szCs w:val="22"/>
          <w:lang w:val="cs-CZ"/>
        </w:rPr>
        <w:t>Global</w:t>
      </w:r>
      <w:proofErr w:type="spellEnd"/>
      <w:r w:rsidRPr="000477F1">
        <w:rPr>
          <w:rFonts w:ascii="Arial Narrow" w:hAnsi="Arial Narrow"/>
          <w:b/>
          <w:bCs/>
          <w:sz w:val="22"/>
          <w:szCs w:val="22"/>
          <w:lang w:val="cs-CZ"/>
        </w:rPr>
        <w:t xml:space="preserve"> Network </w:t>
      </w:r>
      <w:proofErr w:type="spellStart"/>
      <w:r w:rsidRPr="000477F1">
        <w:rPr>
          <w:rFonts w:ascii="Arial Narrow" w:hAnsi="Arial Narrow"/>
          <w:b/>
          <w:bCs/>
          <w:sz w:val="22"/>
          <w:szCs w:val="22"/>
          <w:lang w:val="cs-CZ"/>
        </w:rPr>
        <w:t>Services</w:t>
      </w:r>
      <w:proofErr w:type="spellEnd"/>
      <w:r w:rsidRPr="000477F1">
        <w:rPr>
          <w:rFonts w:ascii="Arial Narrow" w:hAnsi="Arial Narrow"/>
          <w:b/>
          <w:bCs/>
          <w:sz w:val="22"/>
          <w:szCs w:val="22"/>
          <w:lang w:val="cs-CZ"/>
        </w:rPr>
        <w:t xml:space="preserve"> Czech Republic s.r.o. (</w:t>
      </w:r>
      <w:r w:rsidRPr="000477F1">
        <w:rPr>
          <w:rFonts w:ascii="Arial Narrow" w:hAnsi="Arial Narrow"/>
          <w:sz w:val="22"/>
          <w:szCs w:val="22"/>
          <w:lang w:val="cs-CZ"/>
        </w:rPr>
        <w:t>1 045 zaměstnanců s jinou než českou státní příslušností). Mezi další významné zaměstnavatele osob s jinou než českou státní příslušností v ORP Brno patřily v roce 2020 Fakultní nemocnice Brno, Kiwi.com s.r.o., či ABB s.r.o. Nejvíce osob s jinou než českou státní příslušností v ORP Brno bylo v roce 2020 zaměstnáno v oblasti informací a komunikace (33,8 %) a ve zpracovatelském průmyslu (14,4 %).</w:t>
      </w:r>
    </w:p>
    <w:p w14:paraId="5A7F55F3" w14:textId="77777777" w:rsidR="000477F1" w:rsidRPr="009931FE" w:rsidRDefault="000477F1" w:rsidP="000477F1">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sz w:val="20"/>
          <w:szCs w:val="20"/>
        </w:rPr>
      </w:pPr>
      <w:r w:rsidRPr="000477F1">
        <w:rPr>
          <w:rFonts w:ascii="Arial Narrow" w:hAnsi="Arial Narrow"/>
          <w:sz w:val="22"/>
          <w:szCs w:val="22"/>
        </w:rPr>
        <w:t>Je pravděpodobné, že z důvodu výraznějších změn v</w:t>
      </w:r>
      <w:r w:rsidRPr="000477F1">
        <w:rPr>
          <w:rFonts w:ascii="Arial Narrow" w:eastAsia="Calibri" w:hAnsi="Arial Narrow"/>
          <w:sz w:val="22"/>
          <w:szCs w:val="22"/>
        </w:rPr>
        <w:t> populaci osob s jinou než českou státní příslušností v ORP Brno během roku 2022 a 2023, především v návaznosti na rusko-ukrajinský konflikt, se změní také struktura zaměstnanosti v ORP Brno. Změny budou patrné také po ukončení konfliktu, kdy je očekáván návrat části osob s ukrajinskou státní příslušností zpět do země původu.</w:t>
      </w:r>
    </w:p>
    <w:p w14:paraId="407A649F" w14:textId="3272F563" w:rsidR="00E77A6B" w:rsidRPr="00CE357F" w:rsidRDefault="00E77A6B" w:rsidP="00EA186A">
      <w:pPr>
        <w:spacing w:line="276" w:lineRule="auto"/>
        <w:rPr>
          <w:rFonts w:ascii="Arial Narrow" w:hAnsi="Arial Narrow"/>
          <w:b/>
          <w:color w:val="2F5496" w:themeColor="accent1" w:themeShade="BF"/>
        </w:rPr>
      </w:pPr>
    </w:p>
    <w:p w14:paraId="7F3CB7B2" w14:textId="5760149C" w:rsidR="00E77A6B" w:rsidRPr="00CE357F" w:rsidRDefault="00E77A6B" w:rsidP="00EA186A">
      <w:pPr>
        <w:spacing w:line="276" w:lineRule="auto"/>
        <w:rPr>
          <w:rFonts w:ascii="Arial Narrow" w:hAnsi="Arial Narrow"/>
          <w:b/>
          <w:color w:val="2F5496" w:themeColor="accent1" w:themeShade="BF"/>
        </w:rPr>
      </w:pPr>
    </w:p>
    <w:p w14:paraId="1C0382B6" w14:textId="09265F50" w:rsidR="00E77A6B" w:rsidRDefault="00E77A6B" w:rsidP="00EA186A">
      <w:pPr>
        <w:spacing w:line="276" w:lineRule="auto"/>
        <w:rPr>
          <w:rFonts w:ascii="Arial Narrow" w:hAnsi="Arial Narrow"/>
          <w:b/>
          <w:color w:val="2F5496" w:themeColor="accent1" w:themeShade="BF"/>
        </w:rPr>
      </w:pPr>
    </w:p>
    <w:p w14:paraId="20233A6F" w14:textId="02857AE9" w:rsidR="00855D95" w:rsidRDefault="00855D95" w:rsidP="00EA186A">
      <w:pPr>
        <w:spacing w:line="276" w:lineRule="auto"/>
        <w:rPr>
          <w:rFonts w:ascii="Arial Narrow" w:hAnsi="Arial Narrow"/>
          <w:b/>
          <w:color w:val="2F5496" w:themeColor="accent1" w:themeShade="BF"/>
        </w:rPr>
      </w:pPr>
    </w:p>
    <w:p w14:paraId="55C8F42A" w14:textId="11CA8775" w:rsidR="00855D95" w:rsidRDefault="00855D95" w:rsidP="00EA186A">
      <w:pPr>
        <w:spacing w:line="276" w:lineRule="auto"/>
        <w:rPr>
          <w:rFonts w:ascii="Arial Narrow" w:hAnsi="Arial Narrow"/>
          <w:b/>
          <w:color w:val="2F5496" w:themeColor="accent1" w:themeShade="BF"/>
        </w:rPr>
      </w:pPr>
    </w:p>
    <w:p w14:paraId="21BB3B5E" w14:textId="13F62714" w:rsidR="00855D95" w:rsidRDefault="00855D95" w:rsidP="00EA186A">
      <w:pPr>
        <w:spacing w:line="276" w:lineRule="auto"/>
        <w:rPr>
          <w:rFonts w:ascii="Arial Narrow" w:hAnsi="Arial Narrow"/>
          <w:b/>
          <w:color w:val="2F5496" w:themeColor="accent1" w:themeShade="BF"/>
        </w:rPr>
      </w:pPr>
    </w:p>
    <w:p w14:paraId="6545D86B" w14:textId="2736C1EB" w:rsidR="00855D95" w:rsidRDefault="00855D95" w:rsidP="00EA186A">
      <w:pPr>
        <w:spacing w:line="276" w:lineRule="auto"/>
        <w:rPr>
          <w:rFonts w:ascii="Arial Narrow" w:hAnsi="Arial Narrow"/>
          <w:b/>
          <w:color w:val="2F5496" w:themeColor="accent1" w:themeShade="BF"/>
        </w:rPr>
      </w:pPr>
    </w:p>
    <w:p w14:paraId="7ABA0DB0" w14:textId="370C5AA8" w:rsidR="00855D95" w:rsidRDefault="00855D95" w:rsidP="00EA186A">
      <w:pPr>
        <w:spacing w:line="276" w:lineRule="auto"/>
        <w:rPr>
          <w:rFonts w:ascii="Arial Narrow" w:hAnsi="Arial Narrow"/>
          <w:b/>
          <w:color w:val="2F5496" w:themeColor="accent1" w:themeShade="BF"/>
        </w:rPr>
      </w:pPr>
    </w:p>
    <w:p w14:paraId="6FFEA4A3" w14:textId="5FE57935" w:rsidR="00855D95" w:rsidRDefault="00855D95" w:rsidP="00EA186A">
      <w:pPr>
        <w:spacing w:line="276" w:lineRule="auto"/>
        <w:rPr>
          <w:rFonts w:ascii="Arial Narrow" w:hAnsi="Arial Narrow"/>
          <w:b/>
          <w:color w:val="2F5496" w:themeColor="accent1" w:themeShade="BF"/>
        </w:rPr>
      </w:pPr>
    </w:p>
    <w:p w14:paraId="0167D022" w14:textId="20D9D2F6" w:rsidR="00855D95" w:rsidRDefault="00855D95" w:rsidP="00EA186A">
      <w:pPr>
        <w:spacing w:line="276" w:lineRule="auto"/>
        <w:rPr>
          <w:rFonts w:ascii="Arial Narrow" w:hAnsi="Arial Narrow"/>
          <w:b/>
          <w:color w:val="2F5496" w:themeColor="accent1" w:themeShade="BF"/>
        </w:rPr>
      </w:pPr>
    </w:p>
    <w:p w14:paraId="5F7EE16A" w14:textId="2D315DA7" w:rsidR="00855D95" w:rsidRDefault="00855D95" w:rsidP="00EA186A">
      <w:pPr>
        <w:spacing w:line="276" w:lineRule="auto"/>
        <w:rPr>
          <w:rFonts w:ascii="Arial Narrow" w:hAnsi="Arial Narrow"/>
          <w:b/>
          <w:color w:val="2F5496" w:themeColor="accent1" w:themeShade="BF"/>
        </w:rPr>
      </w:pPr>
    </w:p>
    <w:p w14:paraId="59E29979" w14:textId="38630FBF" w:rsidR="00855D95" w:rsidRDefault="00855D95" w:rsidP="00EA186A">
      <w:pPr>
        <w:spacing w:line="276" w:lineRule="auto"/>
        <w:rPr>
          <w:rFonts w:ascii="Arial Narrow" w:hAnsi="Arial Narrow"/>
          <w:b/>
          <w:color w:val="2F5496" w:themeColor="accent1" w:themeShade="BF"/>
        </w:rPr>
      </w:pPr>
    </w:p>
    <w:p w14:paraId="0DD5114F" w14:textId="77777777" w:rsidR="00B835F6" w:rsidRPr="00CE357F" w:rsidRDefault="00B835F6" w:rsidP="00B835F6">
      <w:pPr>
        <w:pStyle w:val="Nadpis2"/>
        <w:ind w:left="426"/>
        <w:rPr>
          <w:rFonts w:ascii="Arial Narrow" w:hAnsi="Arial Narrow"/>
          <w:sz w:val="28"/>
          <w:szCs w:val="30"/>
        </w:rPr>
      </w:pPr>
      <w:bookmarkStart w:id="683" w:name="_Toc94215416"/>
      <w:bookmarkStart w:id="684" w:name="_Toc136876122"/>
      <w:r w:rsidRPr="00CE357F">
        <w:rPr>
          <w:rFonts w:ascii="Arial Narrow" w:hAnsi="Arial Narrow"/>
          <w:sz w:val="28"/>
          <w:szCs w:val="30"/>
        </w:rPr>
        <w:lastRenderedPageBreak/>
        <w:t>OSOBY S JINOU NEŽ ČESKOU STÁTNÍ PŘÍSLUŠNOSTÍ V ORP BŘECLAV</w:t>
      </w:r>
      <w:bookmarkEnd w:id="683"/>
      <w:bookmarkEnd w:id="684"/>
    </w:p>
    <w:p w14:paraId="73000C1C" w14:textId="77777777" w:rsidR="00B835F6" w:rsidRPr="00CE357F" w:rsidRDefault="00B835F6" w:rsidP="00B835F6">
      <w:pPr>
        <w:rPr>
          <w:rFonts w:ascii="Arial Narrow" w:hAnsi="Arial Narrow"/>
        </w:rPr>
      </w:pPr>
    </w:p>
    <w:p w14:paraId="63DD7413" w14:textId="77777777" w:rsidR="00B835F6" w:rsidRPr="00CE357F" w:rsidRDefault="00B835F6" w:rsidP="00C52011">
      <w:pPr>
        <w:pStyle w:val="Nadpis3"/>
        <w:ind w:left="1276" w:hanging="567"/>
      </w:pPr>
      <w:bookmarkStart w:id="685" w:name="_Toc136876123"/>
      <w:r w:rsidRPr="00CE357F">
        <w:t>Základní demografické údaje o ORP Břeclav</w:t>
      </w:r>
      <w:bookmarkEnd w:id="685"/>
    </w:p>
    <w:p w14:paraId="41BAD7F1" w14:textId="77777777" w:rsidR="00B835F6" w:rsidRPr="00CE357F" w:rsidRDefault="00B835F6" w:rsidP="00B835F6">
      <w:pPr>
        <w:spacing w:line="276" w:lineRule="auto"/>
        <w:rPr>
          <w:rFonts w:ascii="Arial Narrow" w:hAnsi="Arial Narrow"/>
          <w:b/>
          <w:color w:val="2F5496" w:themeColor="accent1" w:themeShade="BF"/>
        </w:rPr>
      </w:pPr>
    </w:p>
    <w:p w14:paraId="3B3123F6" w14:textId="36FB7048" w:rsidR="00572269" w:rsidRDefault="00C52011" w:rsidP="00572269">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40" w:line="276" w:lineRule="auto"/>
        <w:jc w:val="both"/>
        <w:rPr>
          <w:rFonts w:ascii="Arial Narrow" w:hAnsi="Arial Narrow"/>
          <w:b/>
          <w:sz w:val="20"/>
          <w:szCs w:val="20"/>
        </w:rPr>
      </w:pPr>
      <w:r w:rsidRPr="00C52011">
        <w:rPr>
          <w:rFonts w:ascii="Arial Narrow" w:hAnsi="Arial Narrow"/>
        </w:rPr>
        <w:t>K 31. 12. 2021</w:t>
      </w:r>
      <w:r w:rsidRPr="00C52011">
        <w:rPr>
          <w:rStyle w:val="Znakapoznpodarou"/>
          <w:rFonts w:ascii="Arial Narrow" w:hAnsi="Arial Narrow"/>
        </w:rPr>
        <w:footnoteReference w:id="83"/>
      </w:r>
      <w:r w:rsidRPr="00C52011">
        <w:rPr>
          <w:rFonts w:ascii="Arial Narrow" w:hAnsi="Arial Narrow"/>
        </w:rPr>
        <w:t xml:space="preserve"> žilo na území ORP Břeclav celkem 58 281 obyvatel, což představovalo zhruba 4,9 % všech obyvatel Jihomoravského kraje. Mezi obyvateli ORP Břeclav byli k tomuto datu muži a ženy téměř rovnoměrně zastoupeni (49 % mužů a 51 % žen). Zastoupení mužů a žen mezi obyvateli ORP Břeclav zůstává, stejně jako podíl obyvatel na celkovém počtu obyvatel JMK, dlouhodobě stabilní.</w:t>
      </w:r>
      <w:r w:rsidR="0056780C" w:rsidRPr="0056780C">
        <w:rPr>
          <w:rStyle w:val="Znakapoznpodarou"/>
          <w:rFonts w:ascii="Arial Narrow" w:eastAsia="Times New Roman" w:hAnsi="Arial Narrow" w:cs="Arial"/>
          <w:sz w:val="18"/>
          <w:szCs w:val="18"/>
        </w:rPr>
        <w:t xml:space="preserve"> </w:t>
      </w:r>
      <w:r w:rsidR="0056780C" w:rsidRPr="00855D95">
        <w:rPr>
          <w:rFonts w:ascii="Arial Narrow" w:eastAsia="Calibri" w:hAnsi="Arial Narrow" w:cs="Calibri"/>
          <w:sz w:val="22"/>
          <w:szCs w:val="22"/>
        </w:rPr>
        <w:t>Meziročně vzrůstá pouze průměrný věk obyvatel. Zatímco v roce 2005 byl průměrný věk obyvatel ORP Břeclav 39,6 let, v roce 202</w:t>
      </w:r>
      <w:r w:rsidR="0056780C">
        <w:rPr>
          <w:rFonts w:ascii="Arial Narrow" w:eastAsia="Calibri" w:hAnsi="Arial Narrow" w:cs="Calibri"/>
          <w:sz w:val="22"/>
          <w:szCs w:val="22"/>
        </w:rPr>
        <w:t>1</w:t>
      </w:r>
      <w:r w:rsidR="0056780C" w:rsidRPr="00855D95">
        <w:rPr>
          <w:rFonts w:ascii="Arial Narrow" w:eastAsia="Calibri" w:hAnsi="Arial Narrow" w:cs="Calibri"/>
          <w:sz w:val="22"/>
          <w:szCs w:val="22"/>
        </w:rPr>
        <w:t xml:space="preserve"> to bylo 4</w:t>
      </w:r>
      <w:r w:rsidR="0056780C">
        <w:rPr>
          <w:rFonts w:ascii="Arial Narrow" w:eastAsia="Calibri" w:hAnsi="Arial Narrow" w:cs="Calibri"/>
          <w:sz w:val="22"/>
          <w:szCs w:val="22"/>
        </w:rPr>
        <w:t>2</w:t>
      </w:r>
      <w:r w:rsidR="0056780C" w:rsidRPr="00855D95">
        <w:rPr>
          <w:rFonts w:ascii="Arial Narrow" w:eastAsia="Calibri" w:hAnsi="Arial Narrow" w:cs="Calibri"/>
          <w:sz w:val="22"/>
          <w:szCs w:val="22"/>
        </w:rPr>
        <w:t>,</w:t>
      </w:r>
      <w:r w:rsidR="0056780C">
        <w:rPr>
          <w:rFonts w:ascii="Arial Narrow" w:eastAsia="Calibri" w:hAnsi="Arial Narrow" w:cs="Calibri"/>
          <w:sz w:val="22"/>
          <w:szCs w:val="22"/>
        </w:rPr>
        <w:t>9</w:t>
      </w:r>
      <w:r w:rsidR="0056780C" w:rsidRPr="00855D95">
        <w:rPr>
          <w:rFonts w:ascii="Arial Narrow" w:eastAsia="Calibri" w:hAnsi="Arial Narrow" w:cs="Calibri"/>
          <w:sz w:val="22"/>
          <w:szCs w:val="22"/>
        </w:rPr>
        <w:t xml:space="preserve"> let. Jedná se ale o trend, který je charakteristický pro území celé České republiky</w:t>
      </w:r>
      <w:r w:rsidR="00572269">
        <w:rPr>
          <w:rFonts w:ascii="Arial Narrow" w:eastAsia="Calibri" w:hAnsi="Arial Narrow" w:cs="Calibri"/>
          <w:sz w:val="22"/>
          <w:szCs w:val="22"/>
        </w:rPr>
        <w:t>.</w:t>
      </w:r>
      <w:r w:rsidR="0056780C" w:rsidRPr="000477F1">
        <w:rPr>
          <w:rStyle w:val="Znakapoznpodarou"/>
          <w:rFonts w:ascii="Arial Narrow" w:eastAsia="Times New Roman" w:hAnsi="Arial Narrow" w:cs="Arial"/>
          <w:sz w:val="18"/>
          <w:szCs w:val="18"/>
        </w:rPr>
        <w:footnoteReference w:id="84"/>
      </w:r>
      <w:bookmarkStart w:id="686" w:name="_Toc136429251"/>
    </w:p>
    <w:p w14:paraId="343A0C4E" w14:textId="51761C86" w:rsidR="00B835F6" w:rsidRPr="00572269" w:rsidRDefault="00B835F6" w:rsidP="00572269">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76" w:lineRule="auto"/>
        <w:jc w:val="both"/>
        <w:rPr>
          <w:rFonts w:ascii="Arial Narrow" w:hAnsi="Arial Narrow"/>
        </w:rPr>
      </w:pPr>
      <w:r w:rsidRPr="00CE357F">
        <w:rPr>
          <w:rFonts w:ascii="Arial Narrow" w:hAnsi="Arial Narrow"/>
          <w:b/>
          <w:sz w:val="20"/>
          <w:szCs w:val="20"/>
        </w:rPr>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40</w:t>
      </w:r>
      <w:r w:rsidRPr="00CE357F">
        <w:rPr>
          <w:rFonts w:ascii="Arial Narrow" w:hAnsi="Arial Narrow"/>
          <w:b/>
          <w:sz w:val="20"/>
          <w:szCs w:val="20"/>
        </w:rPr>
        <w:fldChar w:fldCharType="end"/>
      </w:r>
      <w:r w:rsidRPr="00CE357F">
        <w:rPr>
          <w:rFonts w:ascii="Arial Narrow" w:hAnsi="Arial Narrow"/>
          <w:b/>
          <w:sz w:val="20"/>
          <w:szCs w:val="20"/>
        </w:rPr>
        <w:t>: Vývoj počtu obyvatel v ORP Břeclav v letech 2005-202</w:t>
      </w:r>
      <w:r w:rsidR="00C52011">
        <w:rPr>
          <w:rFonts w:ascii="Arial Narrow" w:hAnsi="Arial Narrow"/>
          <w:b/>
          <w:sz w:val="20"/>
          <w:szCs w:val="20"/>
        </w:rPr>
        <w:t>2</w:t>
      </w:r>
      <w:bookmarkEnd w:id="686"/>
    </w:p>
    <w:tbl>
      <w:tblPr>
        <w:tblpPr w:leftFromText="141" w:rightFromText="141" w:vertAnchor="text" w:tblpX="108" w:tblpY="1"/>
        <w:tblW w:w="4945" w:type="pct"/>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1447"/>
        <w:gridCol w:w="1838"/>
        <w:gridCol w:w="2398"/>
        <w:gridCol w:w="1134"/>
        <w:gridCol w:w="858"/>
        <w:gridCol w:w="1287"/>
      </w:tblGrid>
      <w:tr w:rsidR="00B835F6" w:rsidRPr="00CE357F" w14:paraId="0A40C70F" w14:textId="77777777" w:rsidTr="7CC7BF57">
        <w:trPr>
          <w:trHeight w:val="20"/>
        </w:trPr>
        <w:tc>
          <w:tcPr>
            <w:tcW w:w="1447" w:type="dxa"/>
            <w:vMerge w:val="restart"/>
            <w:shd w:val="clear" w:color="auto" w:fill="D9E2F3" w:themeFill="accent1" w:themeFillTint="33"/>
            <w:vAlign w:val="center"/>
            <w:hideMark/>
          </w:tcPr>
          <w:p w14:paraId="31F6E08E" w14:textId="77777777" w:rsidR="00B835F6" w:rsidRPr="00CE357F" w:rsidRDefault="00B835F6" w:rsidP="00B835F6">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Rok</w:t>
            </w:r>
          </w:p>
          <w:p w14:paraId="671187B8" w14:textId="4CA17A20" w:rsidR="00B835F6" w:rsidRPr="00CE357F" w:rsidRDefault="00B835F6" w:rsidP="00B835F6">
            <w:pPr>
              <w:jc w:val="center"/>
              <w:rPr>
                <w:rFonts w:ascii="Arial Narrow" w:hAnsi="Arial Narrow" w:cstheme="minorBidi"/>
                <w:b/>
                <w:bCs/>
                <w:sz w:val="18"/>
                <w:szCs w:val="18"/>
              </w:rPr>
            </w:pPr>
            <w:r w:rsidRPr="00CE357F">
              <w:rPr>
                <w:rFonts w:ascii="Arial Narrow" w:eastAsia="Times New Roman" w:hAnsi="Arial Narrow" w:cs="Arial"/>
                <w:b/>
                <w:bCs/>
                <w:sz w:val="18"/>
                <w:szCs w:val="18"/>
                <w:lang w:eastAsia="cs-CZ"/>
              </w:rPr>
              <w:t>(vždy k 31. 12.)</w:t>
            </w:r>
            <w:r w:rsidR="00C52011" w:rsidRPr="00F951BF">
              <w:rPr>
                <w:rStyle w:val="Znakapoznpodarou"/>
                <w:rFonts w:ascii="Arial Narrow" w:eastAsia="Times New Roman" w:hAnsi="Arial Narrow" w:cs="Arial"/>
                <w:sz w:val="18"/>
                <w:szCs w:val="18"/>
                <w:lang w:eastAsia="cs-CZ"/>
              </w:rPr>
              <w:footnoteReference w:id="85"/>
            </w:r>
          </w:p>
        </w:tc>
        <w:tc>
          <w:tcPr>
            <w:tcW w:w="1838" w:type="dxa"/>
            <w:vMerge w:val="restart"/>
            <w:shd w:val="clear" w:color="auto" w:fill="D9E2F3" w:themeFill="accent1" w:themeFillTint="33"/>
            <w:vAlign w:val="center"/>
            <w:hideMark/>
          </w:tcPr>
          <w:p w14:paraId="26907968"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Počet obyvatel celkem</w:t>
            </w:r>
          </w:p>
        </w:tc>
        <w:tc>
          <w:tcPr>
            <w:tcW w:w="2398" w:type="dxa"/>
            <w:vMerge w:val="restart"/>
            <w:shd w:val="clear" w:color="auto" w:fill="D9E2F3" w:themeFill="accent1" w:themeFillTint="33"/>
            <w:vAlign w:val="center"/>
          </w:tcPr>
          <w:p w14:paraId="0F8E6346" w14:textId="77777777" w:rsidR="00B835F6" w:rsidRPr="00CE357F" w:rsidRDefault="00B835F6" w:rsidP="00B835F6">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Podíl obyvatel na celkovém počtu obyvatel v JMK</w:t>
            </w:r>
          </w:p>
        </w:tc>
        <w:tc>
          <w:tcPr>
            <w:tcW w:w="1992" w:type="dxa"/>
            <w:gridSpan w:val="2"/>
            <w:shd w:val="clear" w:color="auto" w:fill="D9E2F3" w:themeFill="accent1" w:themeFillTint="33"/>
            <w:vAlign w:val="center"/>
          </w:tcPr>
          <w:p w14:paraId="64833BC2" w14:textId="77777777" w:rsidR="00B835F6" w:rsidRPr="00CE357F" w:rsidRDefault="00B835F6" w:rsidP="00B835F6">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w:t>
            </w:r>
          </w:p>
        </w:tc>
        <w:tc>
          <w:tcPr>
            <w:tcW w:w="1287" w:type="dxa"/>
            <w:vMerge w:val="restart"/>
            <w:shd w:val="clear" w:color="auto" w:fill="D9E2F3" w:themeFill="accent1" w:themeFillTint="33"/>
            <w:vAlign w:val="center"/>
          </w:tcPr>
          <w:p w14:paraId="19987EAF" w14:textId="77777777" w:rsidR="00B835F6" w:rsidRPr="00CE357F" w:rsidRDefault="00B835F6" w:rsidP="00B835F6">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Průměrný věk</w:t>
            </w:r>
          </w:p>
        </w:tc>
      </w:tr>
      <w:tr w:rsidR="00B835F6" w:rsidRPr="00CE357F" w14:paraId="4BCA3760" w14:textId="77777777" w:rsidTr="7CC7BF57">
        <w:trPr>
          <w:trHeight w:val="113"/>
        </w:trPr>
        <w:tc>
          <w:tcPr>
            <w:tcW w:w="1447" w:type="dxa"/>
            <w:vMerge/>
            <w:vAlign w:val="center"/>
            <w:hideMark/>
          </w:tcPr>
          <w:p w14:paraId="722148DD" w14:textId="77777777" w:rsidR="00B835F6" w:rsidRPr="00CE357F" w:rsidRDefault="00B835F6" w:rsidP="00B835F6">
            <w:pPr>
              <w:jc w:val="center"/>
              <w:rPr>
                <w:rFonts w:ascii="Arial Narrow" w:hAnsi="Arial Narrow"/>
                <w:sz w:val="18"/>
                <w:szCs w:val="18"/>
              </w:rPr>
            </w:pPr>
          </w:p>
        </w:tc>
        <w:tc>
          <w:tcPr>
            <w:tcW w:w="1838" w:type="dxa"/>
            <w:vMerge/>
            <w:vAlign w:val="center"/>
            <w:hideMark/>
          </w:tcPr>
          <w:p w14:paraId="01F52BE4" w14:textId="77777777" w:rsidR="00B835F6" w:rsidRPr="00CE357F" w:rsidRDefault="00B835F6" w:rsidP="00B835F6">
            <w:pPr>
              <w:jc w:val="center"/>
              <w:rPr>
                <w:rFonts w:ascii="Arial Narrow" w:hAnsi="Arial Narrow"/>
                <w:sz w:val="18"/>
                <w:szCs w:val="18"/>
              </w:rPr>
            </w:pPr>
          </w:p>
        </w:tc>
        <w:tc>
          <w:tcPr>
            <w:tcW w:w="2398" w:type="dxa"/>
            <w:vMerge/>
            <w:vAlign w:val="center"/>
          </w:tcPr>
          <w:p w14:paraId="35A188FE" w14:textId="77777777" w:rsidR="00B835F6" w:rsidRPr="00CE357F" w:rsidRDefault="00B835F6" w:rsidP="00B835F6">
            <w:pPr>
              <w:jc w:val="center"/>
              <w:rPr>
                <w:rFonts w:ascii="Arial Narrow" w:hAnsi="Arial Narrow"/>
                <w:b/>
                <w:bCs/>
                <w:sz w:val="18"/>
                <w:szCs w:val="18"/>
              </w:rPr>
            </w:pPr>
          </w:p>
        </w:tc>
        <w:tc>
          <w:tcPr>
            <w:tcW w:w="1134" w:type="dxa"/>
            <w:shd w:val="clear" w:color="auto" w:fill="D9E2F3" w:themeFill="accent1" w:themeFillTint="33"/>
            <w:vAlign w:val="center"/>
          </w:tcPr>
          <w:p w14:paraId="111156D7" w14:textId="77777777" w:rsidR="00B835F6" w:rsidRPr="00CE357F" w:rsidRDefault="00B835F6" w:rsidP="00B835F6">
            <w:pPr>
              <w:jc w:val="center"/>
              <w:rPr>
                <w:rFonts w:ascii="Arial Narrow" w:hAnsi="Arial Narrow"/>
                <w:b/>
                <w:bCs/>
                <w:sz w:val="18"/>
                <w:szCs w:val="18"/>
              </w:rPr>
            </w:pPr>
            <w:r w:rsidRPr="00CE357F">
              <w:rPr>
                <w:rFonts w:ascii="Arial Narrow" w:hAnsi="Arial Narrow"/>
                <w:b/>
                <w:bCs/>
                <w:sz w:val="18"/>
                <w:szCs w:val="18"/>
              </w:rPr>
              <w:t>Muži</w:t>
            </w:r>
          </w:p>
        </w:tc>
        <w:tc>
          <w:tcPr>
            <w:tcW w:w="858" w:type="dxa"/>
            <w:shd w:val="clear" w:color="auto" w:fill="D9E2F3" w:themeFill="accent1" w:themeFillTint="33"/>
            <w:vAlign w:val="center"/>
          </w:tcPr>
          <w:p w14:paraId="613D2310" w14:textId="77777777" w:rsidR="00B835F6" w:rsidRPr="00CE357F" w:rsidRDefault="00B835F6" w:rsidP="00B835F6">
            <w:pPr>
              <w:jc w:val="center"/>
              <w:rPr>
                <w:rFonts w:ascii="Arial Narrow" w:hAnsi="Arial Narrow"/>
                <w:b/>
                <w:bCs/>
                <w:sz w:val="18"/>
                <w:szCs w:val="18"/>
              </w:rPr>
            </w:pPr>
            <w:r w:rsidRPr="00CE357F">
              <w:rPr>
                <w:rFonts w:ascii="Arial Narrow" w:hAnsi="Arial Narrow"/>
                <w:b/>
                <w:bCs/>
                <w:sz w:val="18"/>
                <w:szCs w:val="18"/>
              </w:rPr>
              <w:t>Ženy</w:t>
            </w:r>
          </w:p>
        </w:tc>
        <w:tc>
          <w:tcPr>
            <w:tcW w:w="1287" w:type="dxa"/>
            <w:vMerge/>
            <w:vAlign w:val="center"/>
          </w:tcPr>
          <w:p w14:paraId="0176F60E" w14:textId="77777777" w:rsidR="00B835F6" w:rsidRPr="00CE357F" w:rsidRDefault="00B835F6" w:rsidP="00B835F6">
            <w:pPr>
              <w:jc w:val="center"/>
              <w:rPr>
                <w:rFonts w:ascii="Arial Narrow" w:hAnsi="Arial Narrow"/>
                <w:b/>
                <w:bCs/>
                <w:color w:val="FFFFFF" w:themeColor="background1"/>
                <w:sz w:val="18"/>
                <w:szCs w:val="18"/>
              </w:rPr>
            </w:pPr>
          </w:p>
        </w:tc>
      </w:tr>
      <w:tr w:rsidR="00C52011" w:rsidRPr="00CE357F" w14:paraId="0F128697" w14:textId="77777777" w:rsidTr="7CC7BF57">
        <w:trPr>
          <w:trHeight w:val="20"/>
        </w:trPr>
        <w:tc>
          <w:tcPr>
            <w:tcW w:w="1447" w:type="dxa"/>
            <w:shd w:val="clear" w:color="auto" w:fill="D9E2F3" w:themeFill="accent1" w:themeFillTint="33"/>
            <w:vAlign w:val="center"/>
          </w:tcPr>
          <w:p w14:paraId="2988BA86" w14:textId="2431EF30" w:rsidR="00C52011" w:rsidRPr="00CE357F" w:rsidRDefault="00C52011" w:rsidP="00C52011">
            <w:pPr>
              <w:jc w:val="center"/>
              <w:rPr>
                <w:rFonts w:ascii="Arial Narrow" w:hAnsi="Arial Narrow"/>
                <w:sz w:val="18"/>
                <w:szCs w:val="18"/>
              </w:rPr>
            </w:pPr>
            <w:r>
              <w:rPr>
                <w:rFonts w:ascii="Arial Narrow" w:hAnsi="Arial Narrow"/>
                <w:sz w:val="18"/>
                <w:szCs w:val="18"/>
              </w:rPr>
              <w:t>2021</w:t>
            </w:r>
          </w:p>
        </w:tc>
        <w:tc>
          <w:tcPr>
            <w:tcW w:w="1838" w:type="dxa"/>
            <w:vAlign w:val="center"/>
          </w:tcPr>
          <w:p w14:paraId="7D68774D" w14:textId="230DAB72" w:rsidR="00C52011" w:rsidRPr="00C52011" w:rsidRDefault="009F375B" w:rsidP="00C52011">
            <w:pPr>
              <w:jc w:val="center"/>
              <w:rPr>
                <w:rFonts w:ascii="Arial Narrow" w:hAnsi="Arial Narrow" w:cs="Arial"/>
                <w:color w:val="000000"/>
                <w:sz w:val="18"/>
                <w:szCs w:val="18"/>
              </w:rPr>
            </w:pPr>
            <w:r w:rsidRPr="007B59C4">
              <w:rPr>
                <w:rFonts w:ascii="Arial Narrow" w:hAnsi="Arial Narrow"/>
                <w:color w:val="000000" w:themeColor="text1"/>
                <w:sz w:val="18"/>
                <w:szCs w:val="18"/>
              </w:rPr>
              <w:t>58 281</w:t>
            </w:r>
          </w:p>
        </w:tc>
        <w:tc>
          <w:tcPr>
            <w:tcW w:w="2398" w:type="dxa"/>
            <w:vAlign w:val="center"/>
          </w:tcPr>
          <w:p w14:paraId="2BB5AFE6" w14:textId="70FF6AC7" w:rsidR="00C52011" w:rsidRPr="00C52011" w:rsidRDefault="00C52011" w:rsidP="00C52011">
            <w:pPr>
              <w:jc w:val="center"/>
              <w:rPr>
                <w:rFonts w:ascii="Arial Narrow" w:eastAsia="Times New Roman" w:hAnsi="Arial Narrow" w:cs="Arial"/>
                <w:color w:val="000000"/>
                <w:sz w:val="18"/>
                <w:szCs w:val="18"/>
                <w:lang w:eastAsia="cs-CZ"/>
              </w:rPr>
            </w:pPr>
            <w:r w:rsidRPr="00C52011">
              <w:rPr>
                <w:rFonts w:ascii="Arial Narrow" w:hAnsi="Arial Narrow"/>
                <w:color w:val="000000"/>
                <w:sz w:val="18"/>
                <w:szCs w:val="18"/>
              </w:rPr>
              <w:t>32</w:t>
            </w:r>
            <w:r w:rsidR="0065058F">
              <w:rPr>
                <w:rFonts w:ascii="Arial Narrow" w:hAnsi="Arial Narrow"/>
                <w:color w:val="000000"/>
                <w:sz w:val="18"/>
                <w:szCs w:val="18"/>
              </w:rPr>
              <w:t>,0</w:t>
            </w:r>
            <w:r w:rsidRPr="00C52011">
              <w:rPr>
                <w:rFonts w:ascii="Arial Narrow" w:hAnsi="Arial Narrow"/>
                <w:color w:val="000000"/>
                <w:sz w:val="18"/>
                <w:szCs w:val="18"/>
              </w:rPr>
              <w:t xml:space="preserve"> %</w:t>
            </w:r>
          </w:p>
        </w:tc>
        <w:tc>
          <w:tcPr>
            <w:tcW w:w="1134" w:type="dxa"/>
            <w:vAlign w:val="center"/>
          </w:tcPr>
          <w:p w14:paraId="7429C5D2" w14:textId="5B070821" w:rsidR="00C52011" w:rsidRPr="00C52011" w:rsidRDefault="00C52011" w:rsidP="00C52011">
            <w:pPr>
              <w:jc w:val="center"/>
              <w:rPr>
                <w:rFonts w:ascii="Arial Narrow" w:hAnsi="Arial Narrow"/>
                <w:sz w:val="18"/>
                <w:szCs w:val="18"/>
              </w:rPr>
            </w:pPr>
            <w:r w:rsidRPr="00C52011">
              <w:rPr>
                <w:rFonts w:ascii="Arial Narrow" w:hAnsi="Arial Narrow"/>
                <w:color w:val="000000"/>
                <w:sz w:val="18"/>
                <w:szCs w:val="18"/>
              </w:rPr>
              <w:t>184 748</w:t>
            </w:r>
          </w:p>
        </w:tc>
        <w:tc>
          <w:tcPr>
            <w:tcW w:w="858" w:type="dxa"/>
            <w:vAlign w:val="center"/>
          </w:tcPr>
          <w:p w14:paraId="0196FD22" w14:textId="37CFBC5F" w:rsidR="00C52011" w:rsidRPr="00C52011" w:rsidRDefault="00C52011" w:rsidP="00C52011">
            <w:pPr>
              <w:jc w:val="center"/>
              <w:rPr>
                <w:rFonts w:ascii="Arial Narrow" w:hAnsi="Arial Narrow"/>
                <w:sz w:val="18"/>
                <w:szCs w:val="18"/>
              </w:rPr>
            </w:pPr>
            <w:r w:rsidRPr="00C52011">
              <w:rPr>
                <w:rFonts w:ascii="Arial Narrow" w:hAnsi="Arial Narrow"/>
                <w:color w:val="000000"/>
                <w:sz w:val="18"/>
                <w:szCs w:val="18"/>
              </w:rPr>
              <w:t>194 718</w:t>
            </w:r>
          </w:p>
        </w:tc>
        <w:tc>
          <w:tcPr>
            <w:tcW w:w="1287" w:type="dxa"/>
            <w:vAlign w:val="center"/>
          </w:tcPr>
          <w:p w14:paraId="1879ADF0" w14:textId="377A65F3" w:rsidR="00C52011" w:rsidRPr="00C52011" w:rsidRDefault="00C52011" w:rsidP="00C52011">
            <w:pPr>
              <w:jc w:val="center"/>
              <w:rPr>
                <w:rFonts w:ascii="Arial Narrow" w:hAnsi="Arial Narrow"/>
                <w:sz w:val="18"/>
                <w:szCs w:val="18"/>
              </w:rPr>
            </w:pPr>
            <w:r w:rsidRPr="00C52011">
              <w:rPr>
                <w:rFonts w:ascii="Arial Narrow" w:hAnsi="Arial Narrow"/>
                <w:color w:val="000000"/>
                <w:sz w:val="18"/>
                <w:szCs w:val="18"/>
              </w:rPr>
              <w:t>42,9</w:t>
            </w:r>
          </w:p>
        </w:tc>
      </w:tr>
      <w:tr w:rsidR="00C52011" w:rsidRPr="00CE357F" w14:paraId="353E99C1" w14:textId="77777777" w:rsidTr="7CC7BF57">
        <w:trPr>
          <w:trHeight w:val="20"/>
        </w:trPr>
        <w:tc>
          <w:tcPr>
            <w:tcW w:w="1447" w:type="dxa"/>
            <w:shd w:val="clear" w:color="auto" w:fill="D9E2F3" w:themeFill="accent1" w:themeFillTint="33"/>
            <w:vAlign w:val="center"/>
          </w:tcPr>
          <w:p w14:paraId="27BB31DF"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2020</w:t>
            </w:r>
          </w:p>
        </w:tc>
        <w:tc>
          <w:tcPr>
            <w:tcW w:w="1838" w:type="dxa"/>
            <w:vAlign w:val="center"/>
          </w:tcPr>
          <w:p w14:paraId="53750EB4" w14:textId="77777777" w:rsidR="00C52011" w:rsidRPr="00CE357F" w:rsidRDefault="00C52011" w:rsidP="00C52011">
            <w:pPr>
              <w:jc w:val="center"/>
              <w:rPr>
                <w:rFonts w:ascii="Arial Narrow" w:hAnsi="Arial Narrow"/>
                <w:sz w:val="18"/>
                <w:szCs w:val="18"/>
              </w:rPr>
            </w:pPr>
            <w:r w:rsidRPr="00CE357F">
              <w:rPr>
                <w:rFonts w:ascii="Arial Narrow" w:hAnsi="Arial Narrow" w:cs="Arial"/>
                <w:color w:val="000000"/>
                <w:sz w:val="18"/>
                <w:szCs w:val="18"/>
              </w:rPr>
              <w:t>59 604</w:t>
            </w:r>
          </w:p>
        </w:tc>
        <w:tc>
          <w:tcPr>
            <w:tcW w:w="2398" w:type="dxa"/>
            <w:vAlign w:val="center"/>
          </w:tcPr>
          <w:p w14:paraId="4CC1EF4C" w14:textId="4A85420C" w:rsidR="00C52011" w:rsidRPr="00CE357F" w:rsidRDefault="00C52011" w:rsidP="00C52011">
            <w:pPr>
              <w:jc w:val="center"/>
              <w:rPr>
                <w:rFonts w:ascii="Arial Narrow" w:hAnsi="Arial Narrow"/>
                <w:color w:val="000000"/>
                <w:sz w:val="18"/>
                <w:szCs w:val="18"/>
              </w:rPr>
            </w:pPr>
            <w:r>
              <w:rPr>
                <w:rFonts w:ascii="Arial Narrow" w:eastAsia="Times New Roman" w:hAnsi="Arial Narrow" w:cs="Arial"/>
                <w:color w:val="000000"/>
                <w:sz w:val="18"/>
                <w:szCs w:val="18"/>
                <w:lang w:eastAsia="cs-CZ"/>
              </w:rPr>
              <w:t>5,0 %</w:t>
            </w:r>
          </w:p>
        </w:tc>
        <w:tc>
          <w:tcPr>
            <w:tcW w:w="1134" w:type="dxa"/>
            <w:vAlign w:val="center"/>
          </w:tcPr>
          <w:p w14:paraId="470623A1"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29 186</w:t>
            </w:r>
          </w:p>
        </w:tc>
        <w:tc>
          <w:tcPr>
            <w:tcW w:w="858" w:type="dxa"/>
            <w:vAlign w:val="center"/>
          </w:tcPr>
          <w:p w14:paraId="5191BC57"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30 418</w:t>
            </w:r>
          </w:p>
        </w:tc>
        <w:tc>
          <w:tcPr>
            <w:tcW w:w="1287" w:type="dxa"/>
            <w:vAlign w:val="center"/>
          </w:tcPr>
          <w:p w14:paraId="5EF3422D"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43,5</w:t>
            </w:r>
          </w:p>
        </w:tc>
      </w:tr>
      <w:tr w:rsidR="00C52011" w:rsidRPr="00CE357F" w14:paraId="6C5E3493" w14:textId="77777777" w:rsidTr="7CC7BF57">
        <w:trPr>
          <w:trHeight w:val="20"/>
        </w:trPr>
        <w:tc>
          <w:tcPr>
            <w:tcW w:w="1447" w:type="dxa"/>
            <w:shd w:val="clear" w:color="auto" w:fill="D9E2F3" w:themeFill="accent1" w:themeFillTint="33"/>
            <w:vAlign w:val="center"/>
          </w:tcPr>
          <w:p w14:paraId="3D9D600C"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2019</w:t>
            </w:r>
          </w:p>
        </w:tc>
        <w:tc>
          <w:tcPr>
            <w:tcW w:w="1838" w:type="dxa"/>
            <w:vAlign w:val="center"/>
          </w:tcPr>
          <w:p w14:paraId="597A8B84" w14:textId="77777777" w:rsidR="00C52011" w:rsidRPr="00CE357F" w:rsidRDefault="00C52011" w:rsidP="00C52011">
            <w:pPr>
              <w:jc w:val="center"/>
              <w:rPr>
                <w:rFonts w:ascii="Arial Narrow" w:hAnsi="Arial Narrow"/>
                <w:sz w:val="18"/>
                <w:szCs w:val="18"/>
              </w:rPr>
            </w:pPr>
            <w:r w:rsidRPr="00CE357F">
              <w:rPr>
                <w:rFonts w:ascii="Arial Narrow" w:hAnsi="Arial Narrow" w:cs="Arial"/>
                <w:color w:val="000000"/>
                <w:sz w:val="18"/>
                <w:szCs w:val="18"/>
              </w:rPr>
              <w:t>59 715</w:t>
            </w:r>
          </w:p>
        </w:tc>
        <w:tc>
          <w:tcPr>
            <w:tcW w:w="2398" w:type="dxa"/>
            <w:vAlign w:val="center"/>
          </w:tcPr>
          <w:p w14:paraId="4D473B04" w14:textId="4F29FFA5" w:rsidR="00C52011" w:rsidRPr="00CE357F" w:rsidRDefault="00C52011" w:rsidP="00C52011">
            <w:pPr>
              <w:jc w:val="center"/>
              <w:rPr>
                <w:rFonts w:ascii="Arial Narrow" w:hAnsi="Arial Narrow"/>
                <w:color w:val="000000"/>
                <w:sz w:val="18"/>
                <w:szCs w:val="18"/>
              </w:rPr>
            </w:pPr>
            <w:r>
              <w:rPr>
                <w:rFonts w:ascii="Arial Narrow" w:eastAsia="Times New Roman" w:hAnsi="Arial Narrow" w:cs="Arial"/>
                <w:color w:val="000000"/>
                <w:sz w:val="18"/>
                <w:szCs w:val="18"/>
                <w:lang w:eastAsia="cs-CZ"/>
              </w:rPr>
              <w:t>5,0 %</w:t>
            </w:r>
          </w:p>
        </w:tc>
        <w:tc>
          <w:tcPr>
            <w:tcW w:w="1134" w:type="dxa"/>
            <w:vAlign w:val="center"/>
          </w:tcPr>
          <w:p w14:paraId="40AFF027"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29 212</w:t>
            </w:r>
          </w:p>
        </w:tc>
        <w:tc>
          <w:tcPr>
            <w:tcW w:w="858" w:type="dxa"/>
            <w:vAlign w:val="center"/>
          </w:tcPr>
          <w:p w14:paraId="389CF0FE"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30 503</w:t>
            </w:r>
          </w:p>
        </w:tc>
        <w:tc>
          <w:tcPr>
            <w:tcW w:w="1287" w:type="dxa"/>
            <w:vAlign w:val="center"/>
          </w:tcPr>
          <w:p w14:paraId="77D61E88"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43,3</w:t>
            </w:r>
          </w:p>
        </w:tc>
      </w:tr>
      <w:tr w:rsidR="00C52011" w:rsidRPr="00CE357F" w14:paraId="70537929" w14:textId="77777777" w:rsidTr="7CC7BF57">
        <w:trPr>
          <w:trHeight w:val="20"/>
        </w:trPr>
        <w:tc>
          <w:tcPr>
            <w:tcW w:w="1447" w:type="dxa"/>
            <w:shd w:val="clear" w:color="auto" w:fill="D9E2F3" w:themeFill="accent1" w:themeFillTint="33"/>
            <w:vAlign w:val="center"/>
          </w:tcPr>
          <w:p w14:paraId="7513DE44"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2018</w:t>
            </w:r>
          </w:p>
        </w:tc>
        <w:tc>
          <w:tcPr>
            <w:tcW w:w="1838" w:type="dxa"/>
            <w:vAlign w:val="center"/>
          </w:tcPr>
          <w:p w14:paraId="1642C214" w14:textId="77777777" w:rsidR="00C52011" w:rsidRPr="00CE357F" w:rsidRDefault="00C52011" w:rsidP="00C52011">
            <w:pPr>
              <w:jc w:val="center"/>
              <w:rPr>
                <w:rFonts w:ascii="Arial Narrow" w:hAnsi="Arial Narrow"/>
                <w:sz w:val="18"/>
                <w:szCs w:val="18"/>
              </w:rPr>
            </w:pPr>
            <w:r w:rsidRPr="00CE357F">
              <w:rPr>
                <w:rFonts w:ascii="Arial Narrow" w:hAnsi="Arial Narrow" w:cs="Arial"/>
                <w:color w:val="000000"/>
                <w:sz w:val="18"/>
                <w:szCs w:val="18"/>
              </w:rPr>
              <w:t>59 668</w:t>
            </w:r>
          </w:p>
        </w:tc>
        <w:tc>
          <w:tcPr>
            <w:tcW w:w="2398" w:type="dxa"/>
            <w:vAlign w:val="center"/>
          </w:tcPr>
          <w:p w14:paraId="1A1C37FC" w14:textId="09DA5D18"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5,0 %</w:t>
            </w:r>
          </w:p>
        </w:tc>
        <w:tc>
          <w:tcPr>
            <w:tcW w:w="1134" w:type="dxa"/>
            <w:vAlign w:val="center"/>
          </w:tcPr>
          <w:p w14:paraId="479C734C"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29 129</w:t>
            </w:r>
          </w:p>
        </w:tc>
        <w:tc>
          <w:tcPr>
            <w:tcW w:w="858" w:type="dxa"/>
            <w:vAlign w:val="center"/>
          </w:tcPr>
          <w:p w14:paraId="57FFFFA7"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30 539</w:t>
            </w:r>
          </w:p>
        </w:tc>
        <w:tc>
          <w:tcPr>
            <w:tcW w:w="1287" w:type="dxa"/>
            <w:vAlign w:val="center"/>
          </w:tcPr>
          <w:p w14:paraId="12FF89BB"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43,1</w:t>
            </w:r>
          </w:p>
        </w:tc>
      </w:tr>
      <w:tr w:rsidR="00C52011" w:rsidRPr="00CE357F" w14:paraId="424BF43D" w14:textId="77777777" w:rsidTr="7CC7BF57">
        <w:trPr>
          <w:trHeight w:val="20"/>
        </w:trPr>
        <w:tc>
          <w:tcPr>
            <w:tcW w:w="1447" w:type="dxa"/>
            <w:shd w:val="clear" w:color="auto" w:fill="D9E2F3" w:themeFill="accent1" w:themeFillTint="33"/>
            <w:vAlign w:val="center"/>
          </w:tcPr>
          <w:p w14:paraId="4D5C1CDE"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2017</w:t>
            </w:r>
          </w:p>
        </w:tc>
        <w:tc>
          <w:tcPr>
            <w:tcW w:w="1838" w:type="dxa"/>
            <w:vAlign w:val="center"/>
          </w:tcPr>
          <w:p w14:paraId="61CC5DF8"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59 726</w:t>
            </w:r>
          </w:p>
        </w:tc>
        <w:tc>
          <w:tcPr>
            <w:tcW w:w="2398" w:type="dxa"/>
            <w:vAlign w:val="center"/>
          </w:tcPr>
          <w:p w14:paraId="783DCD74" w14:textId="52E38EE2"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5,0 %</w:t>
            </w:r>
          </w:p>
        </w:tc>
        <w:tc>
          <w:tcPr>
            <w:tcW w:w="1134" w:type="dxa"/>
            <w:vAlign w:val="center"/>
          </w:tcPr>
          <w:p w14:paraId="75FFDD96"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29 138</w:t>
            </w:r>
          </w:p>
        </w:tc>
        <w:tc>
          <w:tcPr>
            <w:tcW w:w="858" w:type="dxa"/>
            <w:vAlign w:val="center"/>
          </w:tcPr>
          <w:p w14:paraId="73E4CCD5"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30 588</w:t>
            </w:r>
          </w:p>
        </w:tc>
        <w:tc>
          <w:tcPr>
            <w:tcW w:w="1287" w:type="dxa"/>
            <w:vAlign w:val="center"/>
          </w:tcPr>
          <w:p w14:paraId="2B9305A2"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42,8</w:t>
            </w:r>
          </w:p>
        </w:tc>
      </w:tr>
      <w:tr w:rsidR="00C52011" w:rsidRPr="00CE357F" w14:paraId="69F66EAD" w14:textId="77777777" w:rsidTr="7CC7BF57">
        <w:trPr>
          <w:trHeight w:val="20"/>
        </w:trPr>
        <w:tc>
          <w:tcPr>
            <w:tcW w:w="1447" w:type="dxa"/>
            <w:shd w:val="clear" w:color="auto" w:fill="D9E2F3" w:themeFill="accent1" w:themeFillTint="33"/>
            <w:vAlign w:val="center"/>
          </w:tcPr>
          <w:p w14:paraId="76E5A093"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2016</w:t>
            </w:r>
          </w:p>
        </w:tc>
        <w:tc>
          <w:tcPr>
            <w:tcW w:w="1838" w:type="dxa"/>
            <w:vAlign w:val="center"/>
          </w:tcPr>
          <w:p w14:paraId="624E0E21"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59 743</w:t>
            </w:r>
          </w:p>
        </w:tc>
        <w:tc>
          <w:tcPr>
            <w:tcW w:w="2398" w:type="dxa"/>
            <w:vAlign w:val="center"/>
          </w:tcPr>
          <w:p w14:paraId="6780E306" w14:textId="699E897D"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5692519E"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29 118</w:t>
            </w:r>
          </w:p>
        </w:tc>
        <w:tc>
          <w:tcPr>
            <w:tcW w:w="858" w:type="dxa"/>
            <w:vAlign w:val="center"/>
          </w:tcPr>
          <w:p w14:paraId="4651FE94"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30 625</w:t>
            </w:r>
          </w:p>
        </w:tc>
        <w:tc>
          <w:tcPr>
            <w:tcW w:w="1287" w:type="dxa"/>
            <w:vAlign w:val="center"/>
          </w:tcPr>
          <w:p w14:paraId="52A047FC" w14:textId="77777777" w:rsidR="00C52011" w:rsidRPr="00CE357F" w:rsidRDefault="00C52011" w:rsidP="00C52011">
            <w:pPr>
              <w:jc w:val="center"/>
              <w:rPr>
                <w:rFonts w:ascii="Arial Narrow" w:hAnsi="Arial Narrow"/>
                <w:sz w:val="18"/>
                <w:szCs w:val="18"/>
              </w:rPr>
            </w:pPr>
            <w:r w:rsidRPr="00CE357F">
              <w:rPr>
                <w:rFonts w:ascii="Arial Narrow" w:hAnsi="Arial Narrow" w:cs="Arial"/>
                <w:color w:val="000000"/>
                <w:sz w:val="18"/>
                <w:szCs w:val="18"/>
              </w:rPr>
              <w:t>42,6</w:t>
            </w:r>
          </w:p>
        </w:tc>
      </w:tr>
      <w:tr w:rsidR="00C52011" w:rsidRPr="00CE357F" w14:paraId="43020811" w14:textId="77777777" w:rsidTr="7CC7BF57">
        <w:trPr>
          <w:trHeight w:val="20"/>
        </w:trPr>
        <w:tc>
          <w:tcPr>
            <w:tcW w:w="1447" w:type="dxa"/>
            <w:shd w:val="clear" w:color="auto" w:fill="D9E2F3" w:themeFill="accent1" w:themeFillTint="33"/>
            <w:vAlign w:val="center"/>
          </w:tcPr>
          <w:p w14:paraId="2E00E4C6"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2015</w:t>
            </w:r>
          </w:p>
        </w:tc>
        <w:tc>
          <w:tcPr>
            <w:tcW w:w="1838" w:type="dxa"/>
            <w:vAlign w:val="center"/>
          </w:tcPr>
          <w:p w14:paraId="7355586B"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59 854</w:t>
            </w:r>
          </w:p>
        </w:tc>
        <w:tc>
          <w:tcPr>
            <w:tcW w:w="2398" w:type="dxa"/>
            <w:vAlign w:val="center"/>
          </w:tcPr>
          <w:p w14:paraId="2C2DEE91" w14:textId="413898AF"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79260784"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29 204</w:t>
            </w:r>
          </w:p>
        </w:tc>
        <w:tc>
          <w:tcPr>
            <w:tcW w:w="858" w:type="dxa"/>
            <w:vAlign w:val="center"/>
          </w:tcPr>
          <w:p w14:paraId="42FB40CC"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30 650</w:t>
            </w:r>
          </w:p>
        </w:tc>
        <w:tc>
          <w:tcPr>
            <w:tcW w:w="1287" w:type="dxa"/>
            <w:vAlign w:val="center"/>
          </w:tcPr>
          <w:p w14:paraId="3BF1B6E3"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42,3</w:t>
            </w:r>
          </w:p>
        </w:tc>
      </w:tr>
      <w:tr w:rsidR="00C52011" w:rsidRPr="00CE357F" w14:paraId="2392FEBC" w14:textId="77777777" w:rsidTr="7CC7BF57">
        <w:trPr>
          <w:trHeight w:val="20"/>
        </w:trPr>
        <w:tc>
          <w:tcPr>
            <w:tcW w:w="1447" w:type="dxa"/>
            <w:shd w:val="clear" w:color="auto" w:fill="D9E2F3" w:themeFill="accent1" w:themeFillTint="33"/>
            <w:vAlign w:val="center"/>
          </w:tcPr>
          <w:p w14:paraId="3FFC59B4"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2014</w:t>
            </w:r>
          </w:p>
        </w:tc>
        <w:tc>
          <w:tcPr>
            <w:tcW w:w="1838" w:type="dxa"/>
            <w:vAlign w:val="center"/>
          </w:tcPr>
          <w:p w14:paraId="4F0A2CF3"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59 722</w:t>
            </w:r>
          </w:p>
        </w:tc>
        <w:tc>
          <w:tcPr>
            <w:tcW w:w="2398" w:type="dxa"/>
            <w:vAlign w:val="center"/>
          </w:tcPr>
          <w:p w14:paraId="546B48F5" w14:textId="0C564131"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32DAC150"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29 174</w:t>
            </w:r>
          </w:p>
        </w:tc>
        <w:tc>
          <w:tcPr>
            <w:tcW w:w="858" w:type="dxa"/>
            <w:vAlign w:val="center"/>
          </w:tcPr>
          <w:p w14:paraId="0D36D988"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30 548</w:t>
            </w:r>
          </w:p>
        </w:tc>
        <w:tc>
          <w:tcPr>
            <w:tcW w:w="1287" w:type="dxa"/>
            <w:vAlign w:val="center"/>
          </w:tcPr>
          <w:p w14:paraId="0C43E41E"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42,1</w:t>
            </w:r>
          </w:p>
        </w:tc>
      </w:tr>
      <w:tr w:rsidR="00C52011" w:rsidRPr="00CE357F" w14:paraId="33CDB666" w14:textId="77777777" w:rsidTr="7CC7BF57">
        <w:trPr>
          <w:trHeight w:val="20"/>
        </w:trPr>
        <w:tc>
          <w:tcPr>
            <w:tcW w:w="1447" w:type="dxa"/>
            <w:shd w:val="clear" w:color="auto" w:fill="D9E2F3" w:themeFill="accent1" w:themeFillTint="33"/>
            <w:vAlign w:val="center"/>
          </w:tcPr>
          <w:p w14:paraId="59432FBD"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2013</w:t>
            </w:r>
          </w:p>
        </w:tc>
        <w:tc>
          <w:tcPr>
            <w:tcW w:w="1838" w:type="dxa"/>
            <w:vAlign w:val="center"/>
          </w:tcPr>
          <w:p w14:paraId="018B3D68"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59 682</w:t>
            </w:r>
          </w:p>
        </w:tc>
        <w:tc>
          <w:tcPr>
            <w:tcW w:w="2398" w:type="dxa"/>
            <w:vAlign w:val="center"/>
          </w:tcPr>
          <w:p w14:paraId="55BF66CB" w14:textId="00C5529C"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2AD75370"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29 126</w:t>
            </w:r>
          </w:p>
        </w:tc>
        <w:tc>
          <w:tcPr>
            <w:tcW w:w="858" w:type="dxa"/>
            <w:vAlign w:val="center"/>
          </w:tcPr>
          <w:p w14:paraId="21A8BEE4"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30 556</w:t>
            </w:r>
          </w:p>
        </w:tc>
        <w:tc>
          <w:tcPr>
            <w:tcW w:w="1287" w:type="dxa"/>
            <w:vAlign w:val="center"/>
          </w:tcPr>
          <w:p w14:paraId="61AFE414"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41,8</w:t>
            </w:r>
          </w:p>
        </w:tc>
      </w:tr>
      <w:tr w:rsidR="00C52011" w:rsidRPr="00CE357F" w14:paraId="583F9FA8" w14:textId="77777777" w:rsidTr="7CC7BF57">
        <w:trPr>
          <w:trHeight w:val="20"/>
        </w:trPr>
        <w:tc>
          <w:tcPr>
            <w:tcW w:w="1447" w:type="dxa"/>
            <w:shd w:val="clear" w:color="auto" w:fill="D9E2F3" w:themeFill="accent1" w:themeFillTint="33"/>
            <w:vAlign w:val="center"/>
          </w:tcPr>
          <w:p w14:paraId="75DB2671"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2012</w:t>
            </w:r>
          </w:p>
        </w:tc>
        <w:tc>
          <w:tcPr>
            <w:tcW w:w="1838" w:type="dxa"/>
            <w:vAlign w:val="center"/>
          </w:tcPr>
          <w:p w14:paraId="735EB083"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59 742</w:t>
            </w:r>
          </w:p>
        </w:tc>
        <w:tc>
          <w:tcPr>
            <w:tcW w:w="2398" w:type="dxa"/>
            <w:vAlign w:val="center"/>
          </w:tcPr>
          <w:p w14:paraId="12A68E59" w14:textId="5B4E494C"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1AAFB072"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29 169</w:t>
            </w:r>
          </w:p>
        </w:tc>
        <w:tc>
          <w:tcPr>
            <w:tcW w:w="858" w:type="dxa"/>
            <w:vAlign w:val="center"/>
          </w:tcPr>
          <w:p w14:paraId="6110BD29"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30 573</w:t>
            </w:r>
          </w:p>
        </w:tc>
        <w:tc>
          <w:tcPr>
            <w:tcW w:w="1287" w:type="dxa"/>
            <w:vAlign w:val="center"/>
          </w:tcPr>
          <w:p w14:paraId="5A35AD21"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41,5</w:t>
            </w:r>
          </w:p>
        </w:tc>
      </w:tr>
      <w:tr w:rsidR="00C52011" w:rsidRPr="00CE357F" w14:paraId="1C3D7F8A" w14:textId="77777777" w:rsidTr="7CC7BF57">
        <w:trPr>
          <w:trHeight w:val="20"/>
        </w:trPr>
        <w:tc>
          <w:tcPr>
            <w:tcW w:w="1447" w:type="dxa"/>
            <w:shd w:val="clear" w:color="auto" w:fill="D9E2F3" w:themeFill="accent1" w:themeFillTint="33"/>
            <w:vAlign w:val="center"/>
          </w:tcPr>
          <w:p w14:paraId="1BDCD39D"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2011</w:t>
            </w:r>
          </w:p>
        </w:tc>
        <w:tc>
          <w:tcPr>
            <w:tcW w:w="1838" w:type="dxa"/>
            <w:vAlign w:val="center"/>
          </w:tcPr>
          <w:p w14:paraId="01AEF0E0"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59 797</w:t>
            </w:r>
          </w:p>
        </w:tc>
        <w:tc>
          <w:tcPr>
            <w:tcW w:w="2398" w:type="dxa"/>
            <w:vAlign w:val="center"/>
          </w:tcPr>
          <w:p w14:paraId="2F5B75C0" w14:textId="54909832"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62C11F51"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29 189</w:t>
            </w:r>
          </w:p>
        </w:tc>
        <w:tc>
          <w:tcPr>
            <w:tcW w:w="858" w:type="dxa"/>
            <w:vAlign w:val="center"/>
          </w:tcPr>
          <w:p w14:paraId="25DB4BBB"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30 608</w:t>
            </w:r>
          </w:p>
        </w:tc>
        <w:tc>
          <w:tcPr>
            <w:tcW w:w="1287" w:type="dxa"/>
            <w:vAlign w:val="center"/>
          </w:tcPr>
          <w:p w14:paraId="68F50E96"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41,2</w:t>
            </w:r>
          </w:p>
        </w:tc>
      </w:tr>
      <w:tr w:rsidR="00C52011" w:rsidRPr="00CE357F" w14:paraId="609E4A9E" w14:textId="77777777" w:rsidTr="7CC7BF57">
        <w:trPr>
          <w:trHeight w:val="20"/>
        </w:trPr>
        <w:tc>
          <w:tcPr>
            <w:tcW w:w="1447" w:type="dxa"/>
            <w:shd w:val="clear" w:color="auto" w:fill="D9E2F3" w:themeFill="accent1" w:themeFillTint="33"/>
            <w:vAlign w:val="center"/>
          </w:tcPr>
          <w:p w14:paraId="7E528BF3"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2010</w:t>
            </w:r>
          </w:p>
        </w:tc>
        <w:tc>
          <w:tcPr>
            <w:tcW w:w="1838" w:type="dxa"/>
            <w:vAlign w:val="center"/>
          </w:tcPr>
          <w:p w14:paraId="3FCFD9AC"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58 781</w:t>
            </w:r>
          </w:p>
        </w:tc>
        <w:tc>
          <w:tcPr>
            <w:tcW w:w="2398" w:type="dxa"/>
            <w:vAlign w:val="center"/>
          </w:tcPr>
          <w:p w14:paraId="23DE60A5" w14:textId="1C1DDF25"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252E6685"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28 543</w:t>
            </w:r>
          </w:p>
        </w:tc>
        <w:tc>
          <w:tcPr>
            <w:tcW w:w="858" w:type="dxa"/>
            <w:vAlign w:val="center"/>
          </w:tcPr>
          <w:p w14:paraId="001FC839"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30 238</w:t>
            </w:r>
          </w:p>
        </w:tc>
        <w:tc>
          <w:tcPr>
            <w:tcW w:w="1287" w:type="dxa"/>
            <w:vAlign w:val="center"/>
          </w:tcPr>
          <w:p w14:paraId="5E50E642"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40,9</w:t>
            </w:r>
          </w:p>
        </w:tc>
      </w:tr>
      <w:tr w:rsidR="00C52011" w:rsidRPr="00CE357F" w14:paraId="20673370" w14:textId="77777777" w:rsidTr="7CC7BF57">
        <w:trPr>
          <w:trHeight w:val="20"/>
        </w:trPr>
        <w:tc>
          <w:tcPr>
            <w:tcW w:w="1447" w:type="dxa"/>
            <w:shd w:val="clear" w:color="auto" w:fill="D9E2F3" w:themeFill="accent1" w:themeFillTint="33"/>
            <w:vAlign w:val="center"/>
          </w:tcPr>
          <w:p w14:paraId="33A1730E"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2009</w:t>
            </w:r>
          </w:p>
        </w:tc>
        <w:tc>
          <w:tcPr>
            <w:tcW w:w="1838" w:type="dxa"/>
            <w:vAlign w:val="center"/>
          </w:tcPr>
          <w:p w14:paraId="53C7A9E4"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58 829</w:t>
            </w:r>
          </w:p>
        </w:tc>
        <w:tc>
          <w:tcPr>
            <w:tcW w:w="2398" w:type="dxa"/>
            <w:vAlign w:val="center"/>
          </w:tcPr>
          <w:p w14:paraId="2DCD6672" w14:textId="6E0667FF"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3BDFFC5B"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28 590</w:t>
            </w:r>
          </w:p>
        </w:tc>
        <w:tc>
          <w:tcPr>
            <w:tcW w:w="858" w:type="dxa"/>
            <w:vAlign w:val="center"/>
          </w:tcPr>
          <w:p w14:paraId="1AE0F9D7"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30 239</w:t>
            </w:r>
          </w:p>
        </w:tc>
        <w:tc>
          <w:tcPr>
            <w:tcW w:w="1287" w:type="dxa"/>
            <w:vAlign w:val="center"/>
          </w:tcPr>
          <w:p w14:paraId="43DD6B39"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40,6</w:t>
            </w:r>
          </w:p>
        </w:tc>
      </w:tr>
      <w:tr w:rsidR="00C52011" w:rsidRPr="00CE357F" w14:paraId="0816B16D" w14:textId="77777777" w:rsidTr="7CC7BF57">
        <w:trPr>
          <w:trHeight w:val="20"/>
        </w:trPr>
        <w:tc>
          <w:tcPr>
            <w:tcW w:w="1447" w:type="dxa"/>
            <w:shd w:val="clear" w:color="auto" w:fill="D9E2F3" w:themeFill="accent1" w:themeFillTint="33"/>
            <w:vAlign w:val="center"/>
          </w:tcPr>
          <w:p w14:paraId="322D1F56"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2008</w:t>
            </w:r>
          </w:p>
        </w:tc>
        <w:tc>
          <w:tcPr>
            <w:tcW w:w="1838" w:type="dxa"/>
            <w:vAlign w:val="center"/>
          </w:tcPr>
          <w:p w14:paraId="0818034F"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58 832</w:t>
            </w:r>
          </w:p>
        </w:tc>
        <w:tc>
          <w:tcPr>
            <w:tcW w:w="2398" w:type="dxa"/>
            <w:vAlign w:val="center"/>
          </w:tcPr>
          <w:p w14:paraId="1C4391BE" w14:textId="0CAE8702"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673AE7A9"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28 569</w:t>
            </w:r>
          </w:p>
        </w:tc>
        <w:tc>
          <w:tcPr>
            <w:tcW w:w="858" w:type="dxa"/>
            <w:vAlign w:val="center"/>
          </w:tcPr>
          <w:p w14:paraId="59D61CBA"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30 263</w:t>
            </w:r>
          </w:p>
        </w:tc>
        <w:tc>
          <w:tcPr>
            <w:tcW w:w="1287" w:type="dxa"/>
            <w:vAlign w:val="center"/>
          </w:tcPr>
          <w:p w14:paraId="0618FFB7"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40,4</w:t>
            </w:r>
          </w:p>
        </w:tc>
      </w:tr>
      <w:tr w:rsidR="00C52011" w:rsidRPr="00CE357F" w14:paraId="136A2064" w14:textId="77777777" w:rsidTr="7CC7BF57">
        <w:trPr>
          <w:trHeight w:val="20"/>
        </w:trPr>
        <w:tc>
          <w:tcPr>
            <w:tcW w:w="1447" w:type="dxa"/>
            <w:shd w:val="clear" w:color="auto" w:fill="D9E2F3" w:themeFill="accent1" w:themeFillTint="33"/>
            <w:vAlign w:val="center"/>
          </w:tcPr>
          <w:p w14:paraId="69A160F0"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2007</w:t>
            </w:r>
          </w:p>
        </w:tc>
        <w:tc>
          <w:tcPr>
            <w:tcW w:w="1838" w:type="dxa"/>
            <w:vAlign w:val="center"/>
          </w:tcPr>
          <w:p w14:paraId="6F10B5D2"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58 716</w:t>
            </w:r>
          </w:p>
        </w:tc>
        <w:tc>
          <w:tcPr>
            <w:tcW w:w="2398" w:type="dxa"/>
            <w:vAlign w:val="center"/>
          </w:tcPr>
          <w:p w14:paraId="6F1C22EF" w14:textId="7139E2C2"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5,1 %</w:t>
            </w:r>
          </w:p>
        </w:tc>
        <w:tc>
          <w:tcPr>
            <w:tcW w:w="1134" w:type="dxa"/>
            <w:vAlign w:val="center"/>
          </w:tcPr>
          <w:p w14:paraId="25752F60"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28 505</w:t>
            </w:r>
          </w:p>
        </w:tc>
        <w:tc>
          <w:tcPr>
            <w:tcW w:w="858" w:type="dxa"/>
            <w:vAlign w:val="center"/>
          </w:tcPr>
          <w:p w14:paraId="1BA735CB"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30 211</w:t>
            </w:r>
          </w:p>
        </w:tc>
        <w:tc>
          <w:tcPr>
            <w:tcW w:w="1287" w:type="dxa"/>
            <w:vAlign w:val="center"/>
          </w:tcPr>
          <w:p w14:paraId="78C75DE5"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40,1</w:t>
            </w:r>
          </w:p>
        </w:tc>
      </w:tr>
      <w:tr w:rsidR="00C52011" w:rsidRPr="00CE357F" w14:paraId="7F444CB1" w14:textId="77777777" w:rsidTr="7CC7BF57">
        <w:trPr>
          <w:trHeight w:val="20"/>
        </w:trPr>
        <w:tc>
          <w:tcPr>
            <w:tcW w:w="1447" w:type="dxa"/>
            <w:shd w:val="clear" w:color="auto" w:fill="D9E2F3" w:themeFill="accent1" w:themeFillTint="33"/>
            <w:vAlign w:val="center"/>
          </w:tcPr>
          <w:p w14:paraId="69695C17"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2006</w:t>
            </w:r>
          </w:p>
        </w:tc>
        <w:tc>
          <w:tcPr>
            <w:tcW w:w="1838" w:type="dxa"/>
            <w:vAlign w:val="center"/>
          </w:tcPr>
          <w:p w14:paraId="09FECE4D"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58 651</w:t>
            </w:r>
          </w:p>
        </w:tc>
        <w:tc>
          <w:tcPr>
            <w:tcW w:w="2398" w:type="dxa"/>
            <w:vAlign w:val="center"/>
          </w:tcPr>
          <w:p w14:paraId="0F3D21B0" w14:textId="2391CABE" w:rsidR="00C52011" w:rsidRPr="00CE357F" w:rsidRDefault="00C52011" w:rsidP="00C52011">
            <w:pPr>
              <w:jc w:val="center"/>
              <w:rPr>
                <w:rFonts w:ascii="Arial Narrow" w:hAnsi="Arial Narrow"/>
                <w:color w:val="000000"/>
                <w:sz w:val="18"/>
                <w:szCs w:val="18"/>
              </w:rPr>
            </w:pPr>
            <w:r>
              <w:rPr>
                <w:rFonts w:ascii="Arial Narrow" w:hAnsi="Arial Narrow"/>
                <w:color w:val="000000"/>
                <w:sz w:val="18"/>
                <w:szCs w:val="18"/>
              </w:rPr>
              <w:t>5,2 %</w:t>
            </w:r>
          </w:p>
        </w:tc>
        <w:tc>
          <w:tcPr>
            <w:tcW w:w="1134" w:type="dxa"/>
            <w:vAlign w:val="center"/>
          </w:tcPr>
          <w:p w14:paraId="37421BE1"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28 504</w:t>
            </w:r>
          </w:p>
        </w:tc>
        <w:tc>
          <w:tcPr>
            <w:tcW w:w="858" w:type="dxa"/>
            <w:vAlign w:val="center"/>
          </w:tcPr>
          <w:p w14:paraId="7E345064"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30 147</w:t>
            </w:r>
          </w:p>
        </w:tc>
        <w:tc>
          <w:tcPr>
            <w:tcW w:w="1287" w:type="dxa"/>
            <w:vAlign w:val="center"/>
          </w:tcPr>
          <w:p w14:paraId="37FCFB5F"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39,9</w:t>
            </w:r>
          </w:p>
        </w:tc>
      </w:tr>
      <w:tr w:rsidR="00C52011" w:rsidRPr="00CE357F" w14:paraId="3591AD9F" w14:textId="77777777" w:rsidTr="7CC7BF57">
        <w:trPr>
          <w:trHeight w:val="20"/>
        </w:trPr>
        <w:tc>
          <w:tcPr>
            <w:tcW w:w="1447" w:type="dxa"/>
            <w:shd w:val="clear" w:color="auto" w:fill="D9E2F3" w:themeFill="accent1" w:themeFillTint="33"/>
            <w:vAlign w:val="center"/>
          </w:tcPr>
          <w:p w14:paraId="7A3F12B1"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2005</w:t>
            </w:r>
          </w:p>
        </w:tc>
        <w:tc>
          <w:tcPr>
            <w:tcW w:w="1838" w:type="dxa"/>
            <w:vAlign w:val="center"/>
          </w:tcPr>
          <w:p w14:paraId="60BCFBD2"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58 664</w:t>
            </w:r>
          </w:p>
        </w:tc>
        <w:tc>
          <w:tcPr>
            <w:tcW w:w="2398" w:type="dxa"/>
            <w:vAlign w:val="center"/>
          </w:tcPr>
          <w:p w14:paraId="4D159A4E" w14:textId="3A3822F4" w:rsidR="00C52011" w:rsidRPr="00CE357F" w:rsidRDefault="00C52011" w:rsidP="00C52011">
            <w:pPr>
              <w:jc w:val="center"/>
              <w:rPr>
                <w:rFonts w:ascii="Arial Narrow" w:hAnsi="Arial Narrow"/>
                <w:sz w:val="18"/>
                <w:szCs w:val="18"/>
              </w:rPr>
            </w:pPr>
            <w:r>
              <w:rPr>
                <w:rFonts w:ascii="Arial Narrow" w:hAnsi="Arial Narrow"/>
                <w:sz w:val="18"/>
                <w:szCs w:val="18"/>
              </w:rPr>
              <w:t>5,2 %</w:t>
            </w:r>
          </w:p>
        </w:tc>
        <w:tc>
          <w:tcPr>
            <w:tcW w:w="1134" w:type="dxa"/>
            <w:vAlign w:val="center"/>
          </w:tcPr>
          <w:p w14:paraId="50CD7535"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28 513</w:t>
            </w:r>
          </w:p>
        </w:tc>
        <w:tc>
          <w:tcPr>
            <w:tcW w:w="858" w:type="dxa"/>
            <w:vAlign w:val="center"/>
          </w:tcPr>
          <w:p w14:paraId="7516480B"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30 151</w:t>
            </w:r>
          </w:p>
        </w:tc>
        <w:tc>
          <w:tcPr>
            <w:tcW w:w="1287" w:type="dxa"/>
            <w:vAlign w:val="center"/>
          </w:tcPr>
          <w:p w14:paraId="72D6CD5F" w14:textId="77777777" w:rsidR="00C52011" w:rsidRPr="00CE357F" w:rsidRDefault="00C52011" w:rsidP="00C52011">
            <w:pPr>
              <w:jc w:val="center"/>
              <w:rPr>
                <w:rFonts w:ascii="Arial Narrow" w:hAnsi="Arial Narrow"/>
                <w:sz w:val="18"/>
                <w:szCs w:val="18"/>
              </w:rPr>
            </w:pPr>
            <w:r w:rsidRPr="00CE357F">
              <w:rPr>
                <w:rFonts w:ascii="Arial Narrow" w:hAnsi="Arial Narrow"/>
                <w:sz w:val="18"/>
                <w:szCs w:val="18"/>
              </w:rPr>
              <w:t>39,6</w:t>
            </w:r>
          </w:p>
        </w:tc>
      </w:tr>
    </w:tbl>
    <w:p w14:paraId="30BE8D32" w14:textId="7A304280" w:rsidR="00B835F6" w:rsidRPr="00CE357F" w:rsidRDefault="00F44E6E" w:rsidP="00B835F6">
      <w:pPr>
        <w:rPr>
          <w:rFonts w:ascii="Arial Narrow" w:hAnsi="Arial Narrow"/>
          <w:b/>
          <w:bCs/>
          <w:sz w:val="28"/>
          <w:szCs w:val="28"/>
        </w:rPr>
      </w:pPr>
      <w:r>
        <w:rPr>
          <w:rFonts w:ascii="Arial Narrow" w:hAnsi="Arial Narrow"/>
          <w:sz w:val="20"/>
          <w:szCs w:val="20"/>
        </w:rPr>
        <w:t>Zdroj: Český statistický úřad</w:t>
      </w:r>
      <w:r w:rsidR="00B835F6" w:rsidRPr="00CE357F">
        <w:rPr>
          <w:rFonts w:ascii="Arial Narrow" w:hAnsi="Arial Narrow"/>
          <w:sz w:val="20"/>
          <w:szCs w:val="20"/>
        </w:rPr>
        <w:tab/>
      </w:r>
      <w:r w:rsidR="00B835F6" w:rsidRPr="00CE357F">
        <w:rPr>
          <w:rFonts w:ascii="Arial Narrow" w:hAnsi="Arial Narrow"/>
          <w:sz w:val="20"/>
          <w:szCs w:val="20"/>
        </w:rPr>
        <w:tab/>
      </w:r>
      <w:r w:rsidR="00B835F6" w:rsidRPr="00CE357F">
        <w:rPr>
          <w:rFonts w:ascii="Arial Narrow" w:hAnsi="Arial Narrow"/>
          <w:sz w:val="20"/>
          <w:szCs w:val="20"/>
        </w:rPr>
        <w:tab/>
      </w:r>
      <w:r w:rsidR="00B835F6" w:rsidRPr="00CE357F">
        <w:rPr>
          <w:rFonts w:ascii="Arial Narrow" w:hAnsi="Arial Narrow"/>
          <w:sz w:val="20"/>
          <w:szCs w:val="20"/>
        </w:rPr>
        <w:tab/>
      </w:r>
      <w:r w:rsidR="00B835F6" w:rsidRPr="00CE357F">
        <w:rPr>
          <w:rFonts w:ascii="Arial Narrow" w:hAnsi="Arial Narrow"/>
          <w:sz w:val="20"/>
          <w:szCs w:val="20"/>
        </w:rPr>
        <w:tab/>
      </w:r>
      <w:r w:rsidR="007504A4" w:rsidRPr="00CE357F">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sidR="007504A4" w:rsidRPr="00CE357F">
        <w:rPr>
          <w:rFonts w:ascii="Arial Narrow" w:hAnsi="Arial Narrow"/>
          <w:sz w:val="20"/>
          <w:szCs w:val="20"/>
        </w:rPr>
        <w:t xml:space="preserve">   </w:t>
      </w:r>
      <w:r w:rsidR="00B835F6" w:rsidRPr="00CE357F">
        <w:rPr>
          <w:rFonts w:ascii="Arial Narrow" w:hAnsi="Arial Narrow"/>
          <w:sz w:val="20"/>
          <w:szCs w:val="20"/>
        </w:rPr>
        <w:t xml:space="preserve">Tabulka: AUGUR </w:t>
      </w:r>
      <w:proofErr w:type="spellStart"/>
      <w:r w:rsidR="00B835F6" w:rsidRPr="00CE357F">
        <w:rPr>
          <w:rFonts w:ascii="Arial Narrow" w:hAnsi="Arial Narrow"/>
          <w:sz w:val="20"/>
          <w:szCs w:val="20"/>
        </w:rPr>
        <w:t>Consulting</w:t>
      </w:r>
      <w:proofErr w:type="spellEnd"/>
      <w:r w:rsidR="007504A4" w:rsidRPr="00CE357F">
        <w:rPr>
          <w:rFonts w:ascii="Arial Narrow" w:hAnsi="Arial Narrow"/>
          <w:sz w:val="20"/>
          <w:szCs w:val="20"/>
        </w:rPr>
        <w:t xml:space="preserve"> s.r.o.</w:t>
      </w:r>
    </w:p>
    <w:p w14:paraId="193B883D" w14:textId="77777777" w:rsidR="00B835F6" w:rsidRPr="00CE357F" w:rsidRDefault="00B835F6" w:rsidP="00B835F6">
      <w:pPr>
        <w:rPr>
          <w:rFonts w:ascii="Arial Narrow" w:hAnsi="Arial Narrow"/>
          <w:b/>
          <w:bCs/>
          <w:color w:val="C00000"/>
          <w:sz w:val="24"/>
          <w:szCs w:val="24"/>
        </w:rPr>
      </w:pPr>
    </w:p>
    <w:p w14:paraId="1BE6542B" w14:textId="646795D3" w:rsidR="00B835F6" w:rsidRPr="00CE357F" w:rsidRDefault="00B835F6" w:rsidP="00B835F6">
      <w:pPr>
        <w:pStyle w:val="Nadpis3"/>
        <w:ind w:left="709"/>
      </w:pPr>
      <w:bookmarkStart w:id="687" w:name="_Toc94215417"/>
      <w:bookmarkStart w:id="688" w:name="_Toc136876124"/>
      <w:r w:rsidRPr="00CE357F">
        <w:t>Počet osob s jinou než českou státní příslušností v ORP Břeclav v letech 2006–202</w:t>
      </w:r>
      <w:bookmarkEnd w:id="687"/>
      <w:r w:rsidR="0099474E">
        <w:t>3</w:t>
      </w:r>
      <w:bookmarkEnd w:id="688"/>
    </w:p>
    <w:p w14:paraId="6E37BE73" w14:textId="77777777" w:rsidR="00B835F6" w:rsidRPr="00CE357F" w:rsidRDefault="00B835F6" w:rsidP="00B835F6">
      <w:pPr>
        <w:rPr>
          <w:rFonts w:ascii="Arial Narrow" w:hAnsi="Arial Narrow"/>
          <w:b/>
          <w:bCs/>
          <w:color w:val="C00000"/>
        </w:rPr>
      </w:pPr>
    </w:p>
    <w:p w14:paraId="42D7BC6D" w14:textId="492EBD14" w:rsidR="0099474E" w:rsidRPr="00572269" w:rsidRDefault="0099474E" w:rsidP="0099474E">
      <w:pPr>
        <w:spacing w:after="120" w:line="276" w:lineRule="auto"/>
        <w:jc w:val="both"/>
        <w:rPr>
          <w:rFonts w:ascii="Arial Narrow" w:hAnsi="Arial Narrow"/>
        </w:rPr>
      </w:pPr>
      <w:r w:rsidRPr="0099474E">
        <w:rPr>
          <w:rFonts w:ascii="Arial Narrow" w:hAnsi="Arial Narrow"/>
        </w:rPr>
        <w:t>K 1.1 2023 žilo na území ORP Břeclav celkem 4 328 osob s jinou než českou státní, což představuje zhruba 6,9 % všech obyvatel ORP Břeclav. Pro srovnání, ještě v roce 2022 žilo v ORP Břeclav pouze 1 971 osob s jinou než českou státní příslušností, jedná se tedy o více než dvojnásobný meziroční nárust. Důvodem je migrační vlna</w:t>
      </w:r>
      <w:r w:rsidR="007A5B21">
        <w:rPr>
          <w:rFonts w:ascii="Arial Narrow" w:hAnsi="Arial Narrow"/>
        </w:rPr>
        <w:t xml:space="preserve"> </w:t>
      </w:r>
      <w:r w:rsidRPr="0099474E">
        <w:rPr>
          <w:rFonts w:ascii="Arial Narrow" w:hAnsi="Arial Narrow"/>
        </w:rPr>
        <w:t>z důvodu rusko-ukrajinského konfliktu. Vývoj podílu osob s jinou než českou státní příslušností na celkovém počtu obyvatel ORP Břeclav v letech 2006</w:t>
      </w:r>
      <w:r w:rsidRPr="0099474E">
        <w:rPr>
          <w:rFonts w:ascii="Arial Narrow" w:hAnsi="Arial Narrow"/>
        </w:rPr>
        <w:noBreakHyphen/>
        <w:t xml:space="preserve">2023 podrobně dokumentuje </w:t>
      </w:r>
      <w:r w:rsidRPr="00CE357F">
        <w:rPr>
          <w:rFonts w:ascii="Arial Narrow" w:hAnsi="Arial Narrow"/>
        </w:rPr>
        <w:t>graf</w:t>
      </w:r>
      <w:r w:rsidR="00572269">
        <w:rPr>
          <w:rFonts w:ascii="Arial Narrow" w:hAnsi="Arial Narrow"/>
        </w:rPr>
        <w:t xml:space="preserve"> č. 110</w:t>
      </w:r>
      <w:r w:rsidRPr="00CE357F">
        <w:rPr>
          <w:rFonts w:ascii="Arial Narrow" w:hAnsi="Arial Narrow"/>
        </w:rPr>
        <w:t>.</w:t>
      </w:r>
    </w:p>
    <w:p w14:paraId="30F23AD3" w14:textId="77777777" w:rsidR="00B835F6" w:rsidRDefault="00B835F6" w:rsidP="00B835F6">
      <w:pPr>
        <w:jc w:val="both"/>
        <w:rPr>
          <w:rFonts w:ascii="Arial Narrow" w:hAnsi="Arial Narrow"/>
          <w:b/>
          <w:sz w:val="20"/>
          <w:szCs w:val="20"/>
        </w:rPr>
      </w:pPr>
    </w:p>
    <w:p w14:paraId="4754D42D" w14:textId="77777777" w:rsidR="00572269" w:rsidRDefault="00572269" w:rsidP="00B835F6">
      <w:pPr>
        <w:jc w:val="both"/>
        <w:rPr>
          <w:rFonts w:ascii="Arial Narrow" w:hAnsi="Arial Narrow"/>
          <w:b/>
          <w:sz w:val="20"/>
          <w:szCs w:val="20"/>
        </w:rPr>
      </w:pPr>
    </w:p>
    <w:p w14:paraId="25EF657C" w14:textId="77777777" w:rsidR="00572269" w:rsidRPr="00CE357F" w:rsidRDefault="00572269" w:rsidP="00B835F6">
      <w:pPr>
        <w:jc w:val="both"/>
        <w:rPr>
          <w:rFonts w:ascii="Arial Narrow" w:hAnsi="Arial Narrow"/>
          <w:b/>
          <w:sz w:val="20"/>
          <w:szCs w:val="20"/>
        </w:rPr>
      </w:pPr>
    </w:p>
    <w:p w14:paraId="10ABC3B5" w14:textId="454191D4" w:rsidR="00B835F6" w:rsidRPr="00CE357F" w:rsidRDefault="00B835F6" w:rsidP="00B835F6">
      <w:pPr>
        <w:jc w:val="both"/>
        <w:rPr>
          <w:rFonts w:ascii="Arial Narrow" w:hAnsi="Arial Narrow"/>
          <w:b/>
          <w:sz w:val="20"/>
          <w:szCs w:val="20"/>
        </w:rPr>
      </w:pPr>
      <w:bookmarkStart w:id="689" w:name="_Toc94443804"/>
      <w:bookmarkStart w:id="690" w:name="_Toc136428954"/>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110</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 ORP Břeclav v letech 2006-202</w:t>
      </w:r>
      <w:bookmarkEnd w:id="689"/>
      <w:r w:rsidR="0099474E">
        <w:rPr>
          <w:rFonts w:ascii="Arial Narrow" w:hAnsi="Arial Narrow"/>
          <w:b/>
          <w:bCs/>
          <w:sz w:val="20"/>
          <w:szCs w:val="20"/>
        </w:rPr>
        <w:t>3</w:t>
      </w:r>
      <w:bookmarkEnd w:id="690"/>
    </w:p>
    <w:p w14:paraId="287FB326" w14:textId="2584927D" w:rsidR="00B835F6" w:rsidRPr="00CE357F" w:rsidRDefault="0099474E" w:rsidP="00B835F6">
      <w:pPr>
        <w:spacing w:line="276" w:lineRule="auto"/>
        <w:rPr>
          <w:rFonts w:ascii="Arial Narrow" w:hAnsi="Arial Narrow"/>
        </w:rPr>
      </w:pPr>
      <w:r w:rsidRPr="00CE357F">
        <w:rPr>
          <w:rFonts w:ascii="Arial Narrow" w:hAnsi="Arial Narrow"/>
          <w:bCs/>
          <w:noProof/>
          <w:lang w:eastAsia="cs-CZ"/>
        </w:rPr>
        <w:drawing>
          <wp:inline distT="0" distB="0" distL="0" distR="0" wp14:anchorId="69F48998" wp14:editId="6CACEDE5">
            <wp:extent cx="5737860" cy="4125433"/>
            <wp:effectExtent l="0" t="0" r="0" b="8890"/>
            <wp:docPr id="2148" name="Graf 2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46087BB7" w14:textId="77777777" w:rsidR="00B835F6" w:rsidRPr="00CE357F" w:rsidRDefault="00B835F6" w:rsidP="00B835F6">
      <w:pPr>
        <w:spacing w:line="276" w:lineRule="auto"/>
        <w:rPr>
          <w:rFonts w:ascii="Arial Narrow" w:hAnsi="Arial Narrow"/>
          <w:sz w:val="20"/>
          <w:szCs w:val="20"/>
        </w:rPr>
      </w:pPr>
      <w:r w:rsidRPr="00CE357F">
        <w:rPr>
          <w:rFonts w:ascii="Arial Narrow" w:hAnsi="Arial Narrow"/>
          <w:sz w:val="20"/>
          <w:szCs w:val="20"/>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4E7EFD30" w14:textId="77777777" w:rsidR="00B835F6" w:rsidRPr="00CE357F" w:rsidRDefault="00B835F6" w:rsidP="00B835F6">
      <w:pPr>
        <w:spacing w:line="276" w:lineRule="auto"/>
        <w:rPr>
          <w:rFonts w:ascii="Arial Narrow" w:hAnsi="Arial Narrow"/>
        </w:rPr>
      </w:pPr>
    </w:p>
    <w:p w14:paraId="27795B9C" w14:textId="4CD94651" w:rsidR="006C7D55" w:rsidRPr="00CE357F" w:rsidRDefault="006C7D55" w:rsidP="006C7D55">
      <w:pPr>
        <w:spacing w:after="120" w:line="276" w:lineRule="auto"/>
        <w:jc w:val="both"/>
        <w:rPr>
          <w:rFonts w:ascii="Arial Narrow" w:hAnsi="Arial Narrow"/>
        </w:rPr>
      </w:pPr>
      <w:r w:rsidRPr="00CE357F">
        <w:rPr>
          <w:rFonts w:ascii="Arial Narrow" w:hAnsi="Arial Narrow"/>
        </w:rPr>
        <w:t xml:space="preserve">V populaci osob s jinou </w:t>
      </w:r>
      <w:r w:rsidRPr="00493A7B">
        <w:rPr>
          <w:rFonts w:ascii="Arial Narrow" w:hAnsi="Arial Narrow"/>
        </w:rPr>
        <w:t>než českou státní příslušností v ORP Břeclav dlouhodobě převažoval počet mužů nad počtem žen. V roce 2006 bylo například procento zastoupení mužů s jinou než českou státní příslušností 68,6 % oproti 41,4 % ženám. V roce 2022 je již podíl obou pohlaví téměř vyrovnaný (46,1 % žen a 53,9 % mužů). Mezi lety 2006 a 202</w:t>
      </w:r>
      <w:r w:rsidR="00493A7B" w:rsidRPr="00493A7B">
        <w:rPr>
          <w:rFonts w:ascii="Arial Narrow" w:hAnsi="Arial Narrow"/>
        </w:rPr>
        <w:t>3</w:t>
      </w:r>
      <w:r w:rsidRPr="00493A7B">
        <w:rPr>
          <w:rFonts w:ascii="Arial Narrow" w:hAnsi="Arial Narrow"/>
        </w:rPr>
        <w:t xml:space="preserve"> se podíl žen na celkovém počtu osob s jinou než českou státní příslušností v OPR Břeclav zvýšil o 4,7 %. V souvislosti s výše uvedeným výrazným nárůstem počtu osob s jinou než českou státní příslušností </w:t>
      </w:r>
      <w:r w:rsidR="00493A7B" w:rsidRPr="00493A7B">
        <w:rPr>
          <w:rFonts w:ascii="Arial Narrow" w:hAnsi="Arial Narrow"/>
        </w:rPr>
        <w:t>v průběhu roku</w:t>
      </w:r>
      <w:r w:rsidRPr="00493A7B">
        <w:rPr>
          <w:rFonts w:ascii="Arial Narrow" w:hAnsi="Arial Narrow"/>
        </w:rPr>
        <w:t xml:space="preserve"> 2022 došlo i ke změnám v podílu žen a mužů </w:t>
      </w:r>
      <w:r w:rsidR="00493A7B" w:rsidRPr="00493A7B">
        <w:rPr>
          <w:rFonts w:ascii="Arial Narrow" w:hAnsi="Arial Narrow"/>
        </w:rPr>
        <w:t>v rámci</w:t>
      </w:r>
      <w:r w:rsidRPr="00493A7B">
        <w:rPr>
          <w:rFonts w:ascii="Arial Narrow" w:hAnsi="Arial Narrow"/>
        </w:rPr>
        <w:t xml:space="preserve"> této skupiny osob. Podíl žen oproti minulým </w:t>
      </w:r>
      <w:r w:rsidR="00493A7B" w:rsidRPr="00493A7B">
        <w:rPr>
          <w:rFonts w:ascii="Arial Narrow" w:hAnsi="Arial Narrow"/>
        </w:rPr>
        <w:t>obdobím</w:t>
      </w:r>
      <w:r w:rsidRPr="00493A7B">
        <w:rPr>
          <w:rFonts w:ascii="Arial Narrow" w:hAnsi="Arial Narrow"/>
        </w:rPr>
        <w:t xml:space="preserve"> vzrostl a k 1. 1. 2023 </w:t>
      </w:r>
      <w:r w:rsidR="00493A7B" w:rsidRPr="00493A7B">
        <w:rPr>
          <w:rFonts w:ascii="Arial Narrow" w:hAnsi="Arial Narrow"/>
        </w:rPr>
        <w:t>činil</w:t>
      </w:r>
      <w:r w:rsidRPr="00493A7B">
        <w:rPr>
          <w:rFonts w:ascii="Arial Narrow" w:hAnsi="Arial Narrow"/>
        </w:rPr>
        <w:t xml:space="preserve"> 59,6 %. T</w:t>
      </w:r>
      <w:r w:rsidR="00493A7B" w:rsidRPr="00493A7B">
        <w:rPr>
          <w:rFonts w:ascii="Arial Narrow" w:hAnsi="Arial Narrow"/>
        </w:rPr>
        <w:t xml:space="preserve">ento vývoj </w:t>
      </w:r>
      <w:r w:rsidRPr="00493A7B">
        <w:rPr>
          <w:rFonts w:ascii="Arial Narrow" w:hAnsi="Arial Narrow"/>
        </w:rPr>
        <w:t xml:space="preserve">je způsoben strukturou skupiny osob přicházející do </w:t>
      </w:r>
      <w:r w:rsidR="00493A7B" w:rsidRPr="00493A7B">
        <w:rPr>
          <w:rFonts w:ascii="Arial Narrow" w:hAnsi="Arial Narrow"/>
        </w:rPr>
        <w:t>Jihomoravského kraje</w:t>
      </w:r>
      <w:r w:rsidRPr="00493A7B">
        <w:rPr>
          <w:rFonts w:ascii="Arial Narrow" w:hAnsi="Arial Narrow"/>
        </w:rPr>
        <w:t xml:space="preserve"> </w:t>
      </w:r>
      <w:r w:rsidR="00493A7B" w:rsidRPr="00493A7B">
        <w:rPr>
          <w:rFonts w:ascii="Arial Narrow" w:hAnsi="Arial Narrow"/>
        </w:rPr>
        <w:t>v důsledku rusko-ukrajinského ozbrojeného konfliktu</w:t>
      </w:r>
      <w:r w:rsidRPr="00493A7B">
        <w:rPr>
          <w:rFonts w:ascii="Arial Narrow" w:hAnsi="Arial Narrow"/>
        </w:rPr>
        <w:t>. Vývoj podílu mužů a žen na celkovém počtu osob s jinou než českou státní příslušností v ORP Břeclav podrobně znázorňuje graf</w:t>
      </w:r>
      <w:r w:rsidR="00572269">
        <w:rPr>
          <w:rFonts w:ascii="Arial Narrow" w:hAnsi="Arial Narrow"/>
        </w:rPr>
        <w:t xml:space="preserve"> č. 111</w:t>
      </w:r>
      <w:r w:rsidRPr="00493A7B">
        <w:rPr>
          <w:rFonts w:ascii="Arial Narrow" w:hAnsi="Arial Narrow"/>
        </w:rPr>
        <w:t>.</w:t>
      </w:r>
    </w:p>
    <w:p w14:paraId="55D950C7" w14:textId="77777777" w:rsidR="00760E26" w:rsidRPr="00CE357F" w:rsidRDefault="00760E26" w:rsidP="00B835F6">
      <w:pPr>
        <w:spacing w:after="120" w:line="276" w:lineRule="auto"/>
        <w:jc w:val="both"/>
        <w:rPr>
          <w:rFonts w:ascii="Arial Narrow" w:hAnsi="Arial Narrow"/>
        </w:rPr>
      </w:pPr>
    </w:p>
    <w:p w14:paraId="0CFCC414" w14:textId="77777777" w:rsidR="00760E26" w:rsidRPr="00CE357F" w:rsidRDefault="00760E26" w:rsidP="00B835F6">
      <w:pPr>
        <w:spacing w:after="120" w:line="276" w:lineRule="auto"/>
        <w:jc w:val="both"/>
        <w:rPr>
          <w:rFonts w:ascii="Arial Narrow" w:hAnsi="Arial Narrow"/>
        </w:rPr>
      </w:pPr>
    </w:p>
    <w:p w14:paraId="159E97F1" w14:textId="77777777" w:rsidR="00760E26" w:rsidRPr="00CE357F" w:rsidRDefault="00760E26" w:rsidP="00B835F6">
      <w:pPr>
        <w:spacing w:after="120" w:line="276" w:lineRule="auto"/>
        <w:jc w:val="both"/>
        <w:rPr>
          <w:rFonts w:ascii="Arial Narrow" w:hAnsi="Arial Narrow"/>
        </w:rPr>
      </w:pPr>
    </w:p>
    <w:p w14:paraId="0037B41F" w14:textId="77777777" w:rsidR="00760E26" w:rsidRPr="00CE357F" w:rsidRDefault="00760E26" w:rsidP="00B835F6">
      <w:pPr>
        <w:spacing w:after="120" w:line="276" w:lineRule="auto"/>
        <w:jc w:val="both"/>
        <w:rPr>
          <w:rFonts w:ascii="Arial Narrow" w:hAnsi="Arial Narrow"/>
        </w:rPr>
      </w:pPr>
    </w:p>
    <w:p w14:paraId="7405CC3F" w14:textId="77777777" w:rsidR="00760E26" w:rsidRPr="00CE357F" w:rsidRDefault="00760E26" w:rsidP="00B835F6">
      <w:pPr>
        <w:spacing w:after="120" w:line="276" w:lineRule="auto"/>
        <w:jc w:val="both"/>
        <w:rPr>
          <w:rFonts w:ascii="Arial Narrow" w:hAnsi="Arial Narrow"/>
        </w:rPr>
      </w:pPr>
    </w:p>
    <w:p w14:paraId="1D797591" w14:textId="77777777" w:rsidR="00760E26" w:rsidRDefault="00760E26" w:rsidP="00B835F6">
      <w:pPr>
        <w:spacing w:after="120" w:line="276" w:lineRule="auto"/>
        <w:jc w:val="both"/>
        <w:rPr>
          <w:rFonts w:ascii="Arial Narrow" w:hAnsi="Arial Narrow"/>
        </w:rPr>
      </w:pPr>
    </w:p>
    <w:p w14:paraId="24324807" w14:textId="77777777" w:rsidR="00572269" w:rsidRPr="00CE357F" w:rsidRDefault="00572269" w:rsidP="00B835F6">
      <w:pPr>
        <w:spacing w:after="120" w:line="276" w:lineRule="auto"/>
        <w:jc w:val="both"/>
        <w:rPr>
          <w:rFonts w:ascii="Arial Narrow" w:hAnsi="Arial Narrow"/>
        </w:rPr>
      </w:pPr>
    </w:p>
    <w:p w14:paraId="7332FB7D" w14:textId="2BE23D03" w:rsidR="00B835F6" w:rsidRPr="00CE357F" w:rsidRDefault="00B835F6" w:rsidP="00B835F6">
      <w:pPr>
        <w:spacing w:before="240" w:line="276" w:lineRule="auto"/>
        <w:jc w:val="both"/>
        <w:rPr>
          <w:rFonts w:ascii="Arial Narrow" w:hAnsi="Arial Narrow"/>
          <w:b/>
          <w:sz w:val="20"/>
          <w:szCs w:val="20"/>
        </w:rPr>
      </w:pPr>
      <w:bookmarkStart w:id="691" w:name="_Toc94443805"/>
      <w:bookmarkStart w:id="692" w:name="_Toc136428955"/>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111</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Osoby s jinou než českou státní příslušností v ORP Břeclav podle pohlaví</w:t>
      </w:r>
      <w:bookmarkEnd w:id="691"/>
      <w:r w:rsidR="00493A7B">
        <w:rPr>
          <w:rFonts w:ascii="Arial Narrow" w:hAnsi="Arial Narrow"/>
          <w:b/>
          <w:bCs/>
          <w:sz w:val="20"/>
          <w:szCs w:val="20"/>
        </w:rPr>
        <w:t xml:space="preserve"> (k 1. 1. daného roku)</w:t>
      </w:r>
      <w:bookmarkEnd w:id="692"/>
    </w:p>
    <w:p w14:paraId="05E6EA64" w14:textId="10A1EB0F" w:rsidR="00B835F6" w:rsidRPr="00CE357F" w:rsidRDefault="00E1441C" w:rsidP="00B835F6">
      <w:pPr>
        <w:spacing w:line="276" w:lineRule="auto"/>
        <w:jc w:val="both"/>
        <w:rPr>
          <w:rFonts w:ascii="Arial Narrow" w:hAnsi="Arial Narrow"/>
        </w:rPr>
      </w:pPr>
      <w:r w:rsidRPr="00CE357F">
        <w:rPr>
          <w:rFonts w:ascii="Arial Narrow" w:hAnsi="Arial Narrow"/>
          <w:bCs/>
          <w:noProof/>
          <w:lang w:eastAsia="cs-CZ"/>
        </w:rPr>
        <w:drawing>
          <wp:inline distT="0" distB="0" distL="0" distR="0" wp14:anchorId="2EC35453" wp14:editId="729369EB">
            <wp:extent cx="5756910" cy="3508744"/>
            <wp:effectExtent l="0" t="0" r="0" b="0"/>
            <wp:docPr id="2149" name="Graf 2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06BABB19" w14:textId="326F15DF" w:rsidR="00B835F6" w:rsidRPr="00CE357F" w:rsidRDefault="00B835F6" w:rsidP="00B835F6">
      <w:pPr>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w:t>
      </w:r>
      <w:r w:rsidR="007504A4" w:rsidRPr="00CE357F">
        <w:rPr>
          <w:rFonts w:ascii="Arial Narrow" w:hAnsi="Arial Narrow"/>
          <w:sz w:val="20"/>
          <w:szCs w:val="20"/>
        </w:rPr>
        <w:t>publiky</w:t>
      </w:r>
      <w:r w:rsidR="007504A4" w:rsidRPr="00CE357F">
        <w:rPr>
          <w:rFonts w:ascii="Arial Narrow" w:hAnsi="Arial Narrow"/>
          <w:sz w:val="20"/>
          <w:szCs w:val="20"/>
        </w:rPr>
        <w:tab/>
      </w:r>
      <w:r w:rsidR="007504A4" w:rsidRPr="00CE357F">
        <w:rPr>
          <w:rFonts w:ascii="Arial Narrow" w:hAnsi="Arial Narrow"/>
          <w:sz w:val="20"/>
          <w:szCs w:val="20"/>
        </w:rPr>
        <w:tab/>
      </w:r>
      <w:r w:rsidR="007504A4" w:rsidRPr="00CE357F">
        <w:rPr>
          <w:rFonts w:ascii="Arial Narrow" w:hAnsi="Arial Narrow"/>
          <w:sz w:val="20"/>
          <w:szCs w:val="20"/>
        </w:rPr>
        <w:tab/>
      </w:r>
      <w:r w:rsidR="007504A4" w:rsidRPr="00CE357F">
        <w:rPr>
          <w:rFonts w:ascii="Arial Narrow" w:hAnsi="Arial Narrow"/>
          <w:sz w:val="20"/>
          <w:szCs w:val="20"/>
        </w:rPr>
        <w:tab/>
      </w:r>
      <w:r w:rsidR="007504A4" w:rsidRPr="00CE357F">
        <w:rPr>
          <w:rFonts w:ascii="Arial Narrow" w:hAnsi="Arial Narrow"/>
          <w:sz w:val="20"/>
          <w:szCs w:val="20"/>
        </w:rPr>
        <w:tab/>
        <w:t xml:space="preserve">       </w:t>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007504A4" w:rsidRPr="00CE357F">
        <w:rPr>
          <w:rFonts w:ascii="Arial Narrow" w:hAnsi="Arial Narrow"/>
          <w:sz w:val="20"/>
          <w:szCs w:val="20"/>
        </w:rPr>
        <w:t xml:space="preserve"> s.r.o.</w:t>
      </w:r>
    </w:p>
    <w:p w14:paraId="44A86D79" w14:textId="77777777" w:rsidR="00B835F6" w:rsidRPr="00CE357F" w:rsidRDefault="00B835F6" w:rsidP="00B835F6">
      <w:pPr>
        <w:spacing w:line="276" w:lineRule="auto"/>
        <w:jc w:val="both"/>
        <w:rPr>
          <w:rFonts w:ascii="Arial Narrow" w:hAnsi="Arial Narrow"/>
        </w:rPr>
      </w:pPr>
    </w:p>
    <w:p w14:paraId="021760FE" w14:textId="0533FAEF" w:rsidR="005C4492" w:rsidRPr="00CE357F" w:rsidRDefault="005C4492" w:rsidP="005C4492">
      <w:pPr>
        <w:spacing w:line="276" w:lineRule="auto"/>
        <w:jc w:val="both"/>
        <w:rPr>
          <w:rFonts w:ascii="Arial Narrow" w:hAnsi="Arial Narrow"/>
        </w:rPr>
      </w:pPr>
      <w:r w:rsidRPr="005C4492">
        <w:rPr>
          <w:rFonts w:ascii="Arial Narrow" w:hAnsi="Arial Narrow"/>
        </w:rPr>
        <w:t xml:space="preserve">Stejně skokově, jako vzrostl podíl žen s jinou než českou státní příslušností na celkovém počtu těchto osob v ORP Břeclav, se meziročně navýšil také podíl dětí do 15 let. Zatímco k 1. 1. 2008 tvořily děti do 15 let celkem 3,4 % všech osob s jinou než českou státní příslušností, k 1. 1. 2022 to bylo 9,1 %. </w:t>
      </w:r>
      <w:r>
        <w:rPr>
          <w:rFonts w:ascii="Arial Narrow" w:hAnsi="Arial Narrow"/>
        </w:rPr>
        <w:t>V průběhu roku 2022</w:t>
      </w:r>
      <w:r w:rsidRPr="005C4492">
        <w:rPr>
          <w:rFonts w:ascii="Arial Narrow" w:hAnsi="Arial Narrow"/>
        </w:rPr>
        <w:t xml:space="preserve"> pak podíl dětí do 15 let s jinou než českou státní příslušností vzrost na 16,8 %</w:t>
      </w:r>
      <w:r>
        <w:rPr>
          <w:rFonts w:ascii="Arial Narrow" w:hAnsi="Arial Narrow"/>
        </w:rPr>
        <w:t xml:space="preserve"> k datu 1. 1. 2023</w:t>
      </w:r>
      <w:r w:rsidRPr="005C4492">
        <w:rPr>
          <w:rFonts w:ascii="Arial Narrow" w:hAnsi="Arial Narrow"/>
        </w:rPr>
        <w:t>. Vývoj počtu dětí dle pohlaví a jejich podílu na celkovém počtu těchto osob v ORP Břeclav podrobně znázorňuje tabulka</w:t>
      </w:r>
      <w:r w:rsidR="00572269">
        <w:rPr>
          <w:rFonts w:ascii="Arial Narrow" w:hAnsi="Arial Narrow"/>
        </w:rPr>
        <w:t xml:space="preserve"> č. 41</w:t>
      </w:r>
      <w:r w:rsidRPr="005C4492">
        <w:rPr>
          <w:rFonts w:ascii="Arial Narrow" w:hAnsi="Arial Narrow"/>
        </w:rPr>
        <w:t>.</w:t>
      </w:r>
    </w:p>
    <w:p w14:paraId="62F1ABA2" w14:textId="599DAFF9" w:rsidR="00B835F6" w:rsidRPr="00CE357F" w:rsidRDefault="00B835F6" w:rsidP="00B835F6">
      <w:pPr>
        <w:jc w:val="both"/>
        <w:rPr>
          <w:rFonts w:ascii="Arial Narrow" w:hAnsi="Arial Narrow"/>
          <w:b/>
          <w:sz w:val="24"/>
          <w:szCs w:val="24"/>
        </w:rPr>
      </w:pPr>
      <w:r w:rsidRPr="00CE357F">
        <w:rPr>
          <w:rFonts w:ascii="Arial Narrow" w:hAnsi="Arial Narrow"/>
          <w:b/>
          <w:bCs/>
          <w:sz w:val="20"/>
          <w:szCs w:val="20"/>
        </w:rPr>
        <w:br/>
      </w:r>
      <w:bookmarkStart w:id="693" w:name="_Toc136429252"/>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41</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dětí ve věku do 15 let na celkovém počtu osob s jinou než českou státní příslušností v ORP Břeclav v letech 2006-202</w:t>
      </w:r>
      <w:r w:rsidR="005C4492">
        <w:rPr>
          <w:rFonts w:ascii="Arial Narrow" w:eastAsia="Times New Roman" w:hAnsi="Arial Narrow" w:cs="Arial"/>
          <w:b/>
          <w:bCs/>
          <w:sz w:val="20"/>
          <w:szCs w:val="20"/>
          <w:lang w:eastAsia="cs-CZ"/>
        </w:rPr>
        <w:t>3</w:t>
      </w:r>
      <w:bookmarkEnd w:id="693"/>
    </w:p>
    <w:tbl>
      <w:tblPr>
        <w:tblpPr w:leftFromText="141" w:rightFromText="141" w:vertAnchor="text" w:tblpX="98" w:tblpY="1"/>
        <w:tblW w:w="4942"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801"/>
        <w:gridCol w:w="1910"/>
        <w:gridCol w:w="711"/>
        <w:gridCol w:w="702"/>
        <w:gridCol w:w="734"/>
        <w:gridCol w:w="710"/>
        <w:gridCol w:w="694"/>
        <w:gridCol w:w="737"/>
        <w:gridCol w:w="1958"/>
      </w:tblGrid>
      <w:tr w:rsidR="00B835F6" w:rsidRPr="00CE357F" w14:paraId="5104F90E" w14:textId="77777777" w:rsidTr="005C4492">
        <w:trPr>
          <w:trHeight w:val="132"/>
        </w:trPr>
        <w:tc>
          <w:tcPr>
            <w:tcW w:w="801" w:type="dxa"/>
            <w:vMerge w:val="restart"/>
            <w:shd w:val="clear" w:color="auto" w:fill="D9E2F3" w:themeFill="accent1" w:themeFillTint="33"/>
            <w:vAlign w:val="center"/>
            <w:hideMark/>
          </w:tcPr>
          <w:p w14:paraId="6C52411D" w14:textId="77777777" w:rsidR="00B835F6" w:rsidRPr="00CE357F" w:rsidRDefault="00B835F6" w:rsidP="00B835F6">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Rok</w:t>
            </w:r>
          </w:p>
          <w:p w14:paraId="2A98D884" w14:textId="06160275" w:rsidR="00B835F6" w:rsidRPr="00CE357F" w:rsidRDefault="00B835F6" w:rsidP="00B835F6">
            <w:pPr>
              <w:jc w:val="center"/>
              <w:rPr>
                <w:rFonts w:ascii="Arial Narrow" w:hAnsi="Arial Narrow" w:cstheme="minorBidi"/>
                <w:sz w:val="18"/>
                <w:szCs w:val="18"/>
              </w:rPr>
            </w:pPr>
            <w:r w:rsidRPr="00CE357F">
              <w:rPr>
                <w:rFonts w:ascii="Arial Narrow" w:eastAsia="Times New Roman" w:hAnsi="Arial Narrow" w:cs="Arial"/>
                <w:sz w:val="18"/>
                <w:szCs w:val="18"/>
                <w:lang w:eastAsia="cs-CZ"/>
              </w:rPr>
              <w:t>(</w:t>
            </w:r>
            <w:r w:rsidR="00493A7B">
              <w:rPr>
                <w:rFonts w:ascii="Arial Narrow" w:eastAsia="Times New Roman" w:hAnsi="Arial Narrow" w:cs="Arial"/>
                <w:sz w:val="18"/>
                <w:szCs w:val="18"/>
                <w:lang w:eastAsia="cs-CZ"/>
              </w:rPr>
              <w:t xml:space="preserve">vždy </w:t>
            </w:r>
            <w:r w:rsidRPr="00CE357F">
              <w:rPr>
                <w:rFonts w:ascii="Arial Narrow" w:eastAsia="Times New Roman" w:hAnsi="Arial Narrow" w:cs="Arial"/>
                <w:sz w:val="18"/>
                <w:szCs w:val="18"/>
                <w:lang w:eastAsia="cs-CZ"/>
              </w:rPr>
              <w:t>k 1. 1.)</w:t>
            </w:r>
          </w:p>
        </w:tc>
        <w:tc>
          <w:tcPr>
            <w:tcW w:w="1910" w:type="dxa"/>
            <w:vMerge w:val="restart"/>
            <w:shd w:val="clear" w:color="auto" w:fill="D9E2F3" w:themeFill="accent1" w:themeFillTint="33"/>
            <w:vAlign w:val="center"/>
            <w:hideMark/>
          </w:tcPr>
          <w:p w14:paraId="44B717D8"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Osoby s jinou než českou státní příslušností – celkem</w:t>
            </w:r>
          </w:p>
        </w:tc>
        <w:tc>
          <w:tcPr>
            <w:tcW w:w="2147" w:type="dxa"/>
            <w:gridSpan w:val="3"/>
            <w:shd w:val="clear" w:color="auto" w:fill="D9E2F3" w:themeFill="accent1" w:themeFillTint="33"/>
            <w:vAlign w:val="center"/>
            <w:hideMark/>
          </w:tcPr>
          <w:p w14:paraId="3F1A95C8" w14:textId="77777777" w:rsidR="00B835F6" w:rsidRPr="00CE357F" w:rsidRDefault="00B835F6" w:rsidP="00B835F6">
            <w:pPr>
              <w:jc w:val="center"/>
              <w:rPr>
                <w:rFonts w:ascii="Arial Narrow" w:eastAsia="Times New Roman" w:hAnsi="Arial Narrow" w:cs="Arial"/>
                <w:b/>
                <w:bCs/>
                <w:sz w:val="18"/>
                <w:szCs w:val="18"/>
                <w:lang w:eastAsia="cs-CZ"/>
              </w:rPr>
            </w:pPr>
          </w:p>
          <w:p w14:paraId="79F0EB1A" w14:textId="77777777" w:rsidR="00B835F6" w:rsidRPr="00CE357F" w:rsidRDefault="00B835F6" w:rsidP="00B835F6">
            <w:pPr>
              <w:jc w:val="center"/>
              <w:rPr>
                <w:rFonts w:ascii="Arial Narrow" w:hAnsi="Arial Narrow"/>
                <w:b/>
                <w:bCs/>
                <w:sz w:val="18"/>
                <w:szCs w:val="18"/>
              </w:rPr>
            </w:pPr>
            <w:r w:rsidRPr="00CE357F">
              <w:rPr>
                <w:rFonts w:ascii="Arial Narrow" w:eastAsia="Times New Roman" w:hAnsi="Arial Narrow" w:cs="Arial"/>
                <w:b/>
                <w:bCs/>
                <w:sz w:val="18"/>
                <w:szCs w:val="18"/>
                <w:lang w:eastAsia="cs-CZ"/>
              </w:rPr>
              <w:t>Muži</w:t>
            </w:r>
          </w:p>
        </w:tc>
        <w:tc>
          <w:tcPr>
            <w:tcW w:w="2141" w:type="dxa"/>
            <w:gridSpan w:val="3"/>
            <w:shd w:val="clear" w:color="auto" w:fill="D9E2F3" w:themeFill="accent1" w:themeFillTint="33"/>
            <w:vAlign w:val="center"/>
            <w:hideMark/>
          </w:tcPr>
          <w:p w14:paraId="2A782F4B" w14:textId="77777777" w:rsidR="00B835F6" w:rsidRPr="00CE357F" w:rsidRDefault="00B835F6" w:rsidP="00B835F6">
            <w:pPr>
              <w:jc w:val="center"/>
              <w:rPr>
                <w:rFonts w:ascii="Arial Narrow" w:eastAsia="Times New Roman" w:hAnsi="Arial Narrow" w:cs="Arial"/>
                <w:b/>
                <w:bCs/>
                <w:sz w:val="18"/>
                <w:szCs w:val="18"/>
                <w:lang w:eastAsia="cs-CZ"/>
              </w:rPr>
            </w:pPr>
          </w:p>
          <w:p w14:paraId="5FBB2AD5" w14:textId="77777777" w:rsidR="00B835F6" w:rsidRPr="00CE357F" w:rsidRDefault="00B835F6" w:rsidP="00B835F6">
            <w:pPr>
              <w:jc w:val="center"/>
              <w:rPr>
                <w:rFonts w:ascii="Arial Narrow" w:hAnsi="Arial Narrow"/>
                <w:b/>
                <w:bCs/>
                <w:sz w:val="18"/>
                <w:szCs w:val="18"/>
              </w:rPr>
            </w:pPr>
            <w:r w:rsidRPr="00CE357F">
              <w:rPr>
                <w:rFonts w:ascii="Arial Narrow" w:eastAsia="Times New Roman" w:hAnsi="Arial Narrow" w:cs="Arial"/>
                <w:b/>
                <w:bCs/>
                <w:sz w:val="18"/>
                <w:szCs w:val="18"/>
                <w:lang w:eastAsia="cs-CZ"/>
              </w:rPr>
              <w:t>Ženy</w:t>
            </w:r>
          </w:p>
        </w:tc>
        <w:tc>
          <w:tcPr>
            <w:tcW w:w="1958" w:type="dxa"/>
            <w:vMerge w:val="restart"/>
            <w:shd w:val="clear" w:color="auto" w:fill="D9E2F3" w:themeFill="accent1" w:themeFillTint="33"/>
            <w:vAlign w:val="center"/>
          </w:tcPr>
          <w:p w14:paraId="2A671E5F" w14:textId="77777777" w:rsidR="00B835F6" w:rsidRPr="00CE357F" w:rsidRDefault="00B835F6" w:rsidP="00B835F6">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dětí ve věku do 15 let na celkovém počtu osob s jinou než českou státní příslušností</w:t>
            </w:r>
          </w:p>
        </w:tc>
      </w:tr>
      <w:tr w:rsidR="00B835F6" w:rsidRPr="00CE357F" w14:paraId="0A3B3064" w14:textId="77777777" w:rsidTr="005C4492">
        <w:trPr>
          <w:trHeight w:val="188"/>
        </w:trPr>
        <w:tc>
          <w:tcPr>
            <w:tcW w:w="801" w:type="dxa"/>
            <w:vMerge/>
            <w:shd w:val="clear" w:color="auto" w:fill="D9E2F3" w:themeFill="accent1" w:themeFillTint="33"/>
            <w:vAlign w:val="center"/>
            <w:hideMark/>
          </w:tcPr>
          <w:p w14:paraId="46D3600F" w14:textId="77777777" w:rsidR="00B835F6" w:rsidRPr="00CE357F" w:rsidRDefault="00B835F6" w:rsidP="00B835F6">
            <w:pPr>
              <w:jc w:val="center"/>
              <w:rPr>
                <w:rFonts w:ascii="Arial Narrow" w:hAnsi="Arial Narrow"/>
                <w:sz w:val="18"/>
                <w:szCs w:val="18"/>
              </w:rPr>
            </w:pPr>
          </w:p>
        </w:tc>
        <w:tc>
          <w:tcPr>
            <w:tcW w:w="1910" w:type="dxa"/>
            <w:vMerge/>
            <w:shd w:val="clear" w:color="auto" w:fill="D9E2F3" w:themeFill="accent1" w:themeFillTint="33"/>
            <w:vAlign w:val="center"/>
            <w:hideMark/>
          </w:tcPr>
          <w:p w14:paraId="3618EE5A" w14:textId="77777777" w:rsidR="00B835F6" w:rsidRPr="00CE357F" w:rsidRDefault="00B835F6" w:rsidP="00B835F6">
            <w:pPr>
              <w:jc w:val="center"/>
              <w:rPr>
                <w:rFonts w:ascii="Arial Narrow" w:hAnsi="Arial Narrow"/>
                <w:sz w:val="18"/>
                <w:szCs w:val="18"/>
              </w:rPr>
            </w:pPr>
          </w:p>
        </w:tc>
        <w:tc>
          <w:tcPr>
            <w:tcW w:w="711" w:type="dxa"/>
            <w:shd w:val="clear" w:color="auto" w:fill="D9E2F3" w:themeFill="accent1" w:themeFillTint="33"/>
            <w:vAlign w:val="center"/>
            <w:hideMark/>
          </w:tcPr>
          <w:p w14:paraId="757CB06F"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702" w:type="dxa"/>
            <w:shd w:val="clear" w:color="auto" w:fill="D9E2F3" w:themeFill="accent1" w:themeFillTint="33"/>
            <w:vAlign w:val="center"/>
            <w:hideMark/>
          </w:tcPr>
          <w:p w14:paraId="4B8985F0"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34" w:type="dxa"/>
            <w:shd w:val="clear" w:color="auto" w:fill="D9E2F3" w:themeFill="accent1" w:themeFillTint="33"/>
            <w:vAlign w:val="center"/>
            <w:hideMark/>
          </w:tcPr>
          <w:p w14:paraId="75E42C83"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710" w:type="dxa"/>
            <w:shd w:val="clear" w:color="auto" w:fill="D9E2F3" w:themeFill="accent1" w:themeFillTint="33"/>
            <w:vAlign w:val="center"/>
            <w:hideMark/>
          </w:tcPr>
          <w:p w14:paraId="4D8CA61C"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694" w:type="dxa"/>
            <w:shd w:val="clear" w:color="auto" w:fill="D9E2F3" w:themeFill="accent1" w:themeFillTint="33"/>
            <w:vAlign w:val="center"/>
            <w:hideMark/>
          </w:tcPr>
          <w:p w14:paraId="27CD5811"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37" w:type="dxa"/>
            <w:shd w:val="clear" w:color="auto" w:fill="D9E2F3" w:themeFill="accent1" w:themeFillTint="33"/>
            <w:vAlign w:val="center"/>
            <w:hideMark/>
          </w:tcPr>
          <w:p w14:paraId="0BB83A21"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1958" w:type="dxa"/>
            <w:vMerge/>
            <w:shd w:val="clear" w:color="auto" w:fill="D9E2F3" w:themeFill="accent1" w:themeFillTint="33"/>
            <w:vAlign w:val="center"/>
          </w:tcPr>
          <w:p w14:paraId="359AAF13" w14:textId="77777777" w:rsidR="00B835F6" w:rsidRPr="00CE357F" w:rsidRDefault="00B835F6" w:rsidP="00B835F6">
            <w:pPr>
              <w:jc w:val="center"/>
              <w:rPr>
                <w:rFonts w:ascii="Arial Narrow" w:eastAsia="Times New Roman" w:hAnsi="Arial Narrow" w:cs="Arial"/>
                <w:b/>
                <w:bCs/>
                <w:sz w:val="18"/>
                <w:szCs w:val="18"/>
                <w:lang w:eastAsia="cs-CZ"/>
              </w:rPr>
            </w:pPr>
          </w:p>
        </w:tc>
      </w:tr>
      <w:tr w:rsidR="005C4492" w:rsidRPr="00CE357F" w14:paraId="5D846967" w14:textId="77777777" w:rsidTr="005C4492">
        <w:trPr>
          <w:trHeight w:val="170"/>
        </w:trPr>
        <w:tc>
          <w:tcPr>
            <w:tcW w:w="801" w:type="dxa"/>
            <w:shd w:val="clear" w:color="auto" w:fill="D9E2F3" w:themeFill="accent1" w:themeFillTint="33"/>
            <w:vAlign w:val="center"/>
          </w:tcPr>
          <w:p w14:paraId="1F0EC2DC" w14:textId="6167E075" w:rsidR="005C4492" w:rsidRPr="00CE357F" w:rsidRDefault="005C4492" w:rsidP="005C4492">
            <w:pPr>
              <w:jc w:val="center"/>
              <w:rPr>
                <w:rFonts w:ascii="Arial Narrow" w:hAnsi="Arial Narrow"/>
                <w:sz w:val="18"/>
                <w:szCs w:val="18"/>
              </w:rPr>
            </w:pPr>
            <w:r>
              <w:rPr>
                <w:rFonts w:ascii="Arial Narrow" w:hAnsi="Arial Narrow"/>
                <w:sz w:val="18"/>
                <w:szCs w:val="18"/>
              </w:rPr>
              <w:t>2023</w:t>
            </w:r>
          </w:p>
        </w:tc>
        <w:tc>
          <w:tcPr>
            <w:tcW w:w="1910" w:type="dxa"/>
            <w:vAlign w:val="center"/>
          </w:tcPr>
          <w:p w14:paraId="1456270D" w14:textId="691ACB55" w:rsidR="005C4492" w:rsidRPr="00CE357F" w:rsidRDefault="005C4492" w:rsidP="005C4492">
            <w:pPr>
              <w:jc w:val="center"/>
              <w:rPr>
                <w:rFonts w:ascii="Arial Narrow" w:hAnsi="Arial Narrow"/>
                <w:bCs/>
                <w:sz w:val="18"/>
                <w:szCs w:val="18"/>
              </w:rPr>
            </w:pPr>
            <w:r>
              <w:rPr>
                <w:rFonts w:ascii="Arial Narrow" w:hAnsi="Arial Narrow"/>
                <w:bCs/>
                <w:sz w:val="18"/>
                <w:szCs w:val="18"/>
              </w:rPr>
              <w:t>4 328</w:t>
            </w:r>
          </w:p>
        </w:tc>
        <w:tc>
          <w:tcPr>
            <w:tcW w:w="711" w:type="dxa"/>
            <w:vAlign w:val="bottom"/>
          </w:tcPr>
          <w:p w14:paraId="4824C8E2" w14:textId="43F76C1F" w:rsidR="005C4492" w:rsidRPr="00CE357F" w:rsidRDefault="005C4492" w:rsidP="005C4492">
            <w:pPr>
              <w:spacing w:after="46"/>
              <w:jc w:val="center"/>
              <w:rPr>
                <w:rFonts w:ascii="Arial Narrow" w:hAnsi="Arial Narrow"/>
                <w:bCs/>
                <w:sz w:val="18"/>
                <w:szCs w:val="18"/>
              </w:rPr>
            </w:pPr>
            <w:r w:rsidRPr="00FA31D4">
              <w:rPr>
                <w:rFonts w:ascii="Arial Narrow" w:hAnsi="Arial Narrow"/>
                <w:bCs/>
                <w:sz w:val="18"/>
                <w:szCs w:val="18"/>
              </w:rPr>
              <w:t>1</w:t>
            </w:r>
            <w:r>
              <w:rPr>
                <w:rFonts w:ascii="Arial Narrow" w:hAnsi="Arial Narrow"/>
                <w:bCs/>
                <w:sz w:val="18"/>
                <w:szCs w:val="18"/>
              </w:rPr>
              <w:t xml:space="preserve"> </w:t>
            </w:r>
            <w:r w:rsidRPr="00FA31D4">
              <w:rPr>
                <w:rFonts w:ascii="Arial Narrow" w:hAnsi="Arial Narrow"/>
                <w:bCs/>
                <w:sz w:val="18"/>
                <w:szCs w:val="18"/>
              </w:rPr>
              <w:t>411</w:t>
            </w:r>
          </w:p>
        </w:tc>
        <w:tc>
          <w:tcPr>
            <w:tcW w:w="702" w:type="dxa"/>
            <w:vAlign w:val="bottom"/>
          </w:tcPr>
          <w:p w14:paraId="463B518E" w14:textId="05FBBEDA" w:rsidR="005C4492" w:rsidRPr="00CE357F" w:rsidRDefault="005C4492" w:rsidP="005C4492">
            <w:pPr>
              <w:spacing w:after="46"/>
              <w:jc w:val="center"/>
              <w:rPr>
                <w:rFonts w:ascii="Arial Narrow" w:hAnsi="Arial Narrow"/>
                <w:bCs/>
                <w:sz w:val="18"/>
                <w:szCs w:val="18"/>
              </w:rPr>
            </w:pPr>
            <w:r w:rsidRPr="00FA31D4">
              <w:rPr>
                <w:rFonts w:ascii="Arial Narrow" w:hAnsi="Arial Narrow"/>
                <w:bCs/>
                <w:sz w:val="18"/>
                <w:szCs w:val="18"/>
              </w:rPr>
              <w:t>339</w:t>
            </w:r>
          </w:p>
        </w:tc>
        <w:tc>
          <w:tcPr>
            <w:tcW w:w="734" w:type="dxa"/>
            <w:vAlign w:val="bottom"/>
          </w:tcPr>
          <w:p w14:paraId="6CB48B0D" w14:textId="25D55FA7" w:rsidR="005C4492" w:rsidRPr="00CE357F" w:rsidRDefault="005C4492" w:rsidP="005C4492">
            <w:pPr>
              <w:spacing w:after="46"/>
              <w:jc w:val="center"/>
              <w:rPr>
                <w:rFonts w:ascii="Arial Narrow" w:hAnsi="Arial Narrow"/>
                <w:bCs/>
                <w:sz w:val="18"/>
                <w:szCs w:val="18"/>
              </w:rPr>
            </w:pPr>
            <w:r w:rsidRPr="00FA31D4">
              <w:rPr>
                <w:rFonts w:ascii="Arial Narrow" w:hAnsi="Arial Narrow"/>
                <w:bCs/>
                <w:sz w:val="18"/>
                <w:szCs w:val="18"/>
              </w:rPr>
              <w:t>1</w:t>
            </w:r>
            <w:r>
              <w:rPr>
                <w:rFonts w:ascii="Arial Narrow" w:hAnsi="Arial Narrow"/>
                <w:bCs/>
                <w:sz w:val="18"/>
                <w:szCs w:val="18"/>
              </w:rPr>
              <w:t xml:space="preserve"> </w:t>
            </w:r>
            <w:r w:rsidRPr="00FA31D4">
              <w:rPr>
                <w:rFonts w:ascii="Arial Narrow" w:hAnsi="Arial Narrow"/>
                <w:bCs/>
                <w:sz w:val="18"/>
                <w:szCs w:val="18"/>
              </w:rPr>
              <w:t>750</w:t>
            </w:r>
          </w:p>
        </w:tc>
        <w:tc>
          <w:tcPr>
            <w:tcW w:w="710" w:type="dxa"/>
            <w:vAlign w:val="bottom"/>
          </w:tcPr>
          <w:p w14:paraId="65476316" w14:textId="05C354D3" w:rsidR="005C4492" w:rsidRPr="00CE357F" w:rsidRDefault="005C4492" w:rsidP="005C4492">
            <w:pPr>
              <w:spacing w:after="46"/>
              <w:jc w:val="center"/>
              <w:rPr>
                <w:rFonts w:ascii="Arial Narrow" w:hAnsi="Arial Narrow"/>
                <w:bCs/>
                <w:sz w:val="18"/>
                <w:szCs w:val="18"/>
              </w:rPr>
            </w:pPr>
            <w:r w:rsidRPr="00FA31D4">
              <w:rPr>
                <w:rFonts w:ascii="Arial Narrow" w:hAnsi="Arial Narrow"/>
                <w:bCs/>
                <w:sz w:val="18"/>
                <w:szCs w:val="18"/>
              </w:rPr>
              <w:t>2191</w:t>
            </w:r>
          </w:p>
        </w:tc>
        <w:tc>
          <w:tcPr>
            <w:tcW w:w="694" w:type="dxa"/>
            <w:vAlign w:val="bottom"/>
          </w:tcPr>
          <w:p w14:paraId="7EB13C73" w14:textId="3199DD3F" w:rsidR="005C4492" w:rsidRPr="00CE357F" w:rsidRDefault="005C4492" w:rsidP="005C4492">
            <w:pPr>
              <w:spacing w:after="46"/>
              <w:jc w:val="center"/>
              <w:rPr>
                <w:rFonts w:ascii="Arial Narrow" w:hAnsi="Arial Narrow"/>
                <w:bCs/>
                <w:sz w:val="18"/>
                <w:szCs w:val="18"/>
              </w:rPr>
            </w:pPr>
            <w:r w:rsidRPr="00FA31D4">
              <w:rPr>
                <w:rFonts w:ascii="Arial Narrow" w:hAnsi="Arial Narrow"/>
                <w:bCs/>
                <w:sz w:val="18"/>
                <w:szCs w:val="18"/>
              </w:rPr>
              <w:t>387</w:t>
            </w:r>
          </w:p>
        </w:tc>
        <w:tc>
          <w:tcPr>
            <w:tcW w:w="737" w:type="dxa"/>
            <w:vAlign w:val="bottom"/>
          </w:tcPr>
          <w:p w14:paraId="7068F279" w14:textId="76C9955F" w:rsidR="005C4492" w:rsidRPr="00CE357F" w:rsidRDefault="005C4492" w:rsidP="005C4492">
            <w:pPr>
              <w:spacing w:after="46"/>
              <w:jc w:val="center"/>
              <w:rPr>
                <w:rFonts w:ascii="Arial Narrow" w:hAnsi="Arial Narrow"/>
                <w:bCs/>
                <w:sz w:val="18"/>
                <w:szCs w:val="18"/>
              </w:rPr>
            </w:pPr>
            <w:r w:rsidRPr="00FA31D4">
              <w:rPr>
                <w:rFonts w:ascii="Arial Narrow" w:hAnsi="Arial Narrow"/>
                <w:bCs/>
                <w:sz w:val="18"/>
                <w:szCs w:val="18"/>
              </w:rPr>
              <w:t>2</w:t>
            </w:r>
            <w:r>
              <w:rPr>
                <w:rFonts w:ascii="Arial Narrow" w:hAnsi="Arial Narrow"/>
                <w:bCs/>
                <w:sz w:val="18"/>
                <w:szCs w:val="18"/>
              </w:rPr>
              <w:t xml:space="preserve"> </w:t>
            </w:r>
            <w:r w:rsidRPr="00FA31D4">
              <w:rPr>
                <w:rFonts w:ascii="Arial Narrow" w:hAnsi="Arial Narrow"/>
                <w:bCs/>
                <w:sz w:val="18"/>
                <w:szCs w:val="18"/>
              </w:rPr>
              <w:t>578</w:t>
            </w:r>
          </w:p>
        </w:tc>
        <w:tc>
          <w:tcPr>
            <w:tcW w:w="1958" w:type="dxa"/>
            <w:vAlign w:val="center"/>
          </w:tcPr>
          <w:p w14:paraId="052AFEFA" w14:textId="2E745566" w:rsidR="005C4492" w:rsidRPr="00CE357F" w:rsidRDefault="005C4492" w:rsidP="005C4492">
            <w:pPr>
              <w:jc w:val="center"/>
              <w:rPr>
                <w:rFonts w:ascii="Arial Narrow" w:hAnsi="Arial Narrow"/>
                <w:b/>
                <w:bCs/>
                <w:color w:val="C00000"/>
                <w:sz w:val="18"/>
                <w:szCs w:val="18"/>
              </w:rPr>
            </w:pPr>
            <w:r>
              <w:rPr>
                <w:rFonts w:ascii="Arial Narrow" w:hAnsi="Arial Narrow"/>
                <w:b/>
                <w:bCs/>
                <w:color w:val="C00000"/>
                <w:sz w:val="18"/>
                <w:szCs w:val="18"/>
              </w:rPr>
              <w:t>16,8 %</w:t>
            </w:r>
          </w:p>
        </w:tc>
      </w:tr>
      <w:tr w:rsidR="005C4492" w:rsidRPr="00CE357F" w14:paraId="571292E8" w14:textId="77777777" w:rsidTr="005C4492">
        <w:trPr>
          <w:trHeight w:val="170"/>
        </w:trPr>
        <w:tc>
          <w:tcPr>
            <w:tcW w:w="801" w:type="dxa"/>
            <w:shd w:val="clear" w:color="auto" w:fill="D9E2F3" w:themeFill="accent1" w:themeFillTint="33"/>
            <w:vAlign w:val="center"/>
          </w:tcPr>
          <w:p w14:paraId="1BBC208E"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2022</w:t>
            </w:r>
          </w:p>
        </w:tc>
        <w:tc>
          <w:tcPr>
            <w:tcW w:w="1910" w:type="dxa"/>
            <w:vAlign w:val="center"/>
          </w:tcPr>
          <w:p w14:paraId="1B39B238" w14:textId="77777777" w:rsidR="005C4492" w:rsidRPr="00CE357F" w:rsidRDefault="005C4492" w:rsidP="005C4492">
            <w:pPr>
              <w:jc w:val="center"/>
              <w:rPr>
                <w:rFonts w:ascii="Arial Narrow" w:hAnsi="Arial Narrow"/>
                <w:bCs/>
                <w:sz w:val="18"/>
                <w:szCs w:val="18"/>
              </w:rPr>
            </w:pPr>
            <w:r w:rsidRPr="00CE357F">
              <w:rPr>
                <w:rFonts w:ascii="Arial Narrow" w:hAnsi="Arial Narrow"/>
                <w:bCs/>
                <w:sz w:val="18"/>
                <w:szCs w:val="18"/>
              </w:rPr>
              <w:t>1 971</w:t>
            </w:r>
          </w:p>
        </w:tc>
        <w:tc>
          <w:tcPr>
            <w:tcW w:w="711" w:type="dxa"/>
            <w:vAlign w:val="center"/>
          </w:tcPr>
          <w:p w14:paraId="0F76BE87" w14:textId="77777777" w:rsidR="005C4492" w:rsidRPr="00CE357F" w:rsidRDefault="005C4492" w:rsidP="005C4492">
            <w:pPr>
              <w:spacing w:after="46"/>
              <w:jc w:val="center"/>
              <w:rPr>
                <w:rFonts w:ascii="Arial Narrow" w:hAnsi="Arial Narrow"/>
                <w:bCs/>
                <w:sz w:val="18"/>
                <w:szCs w:val="18"/>
              </w:rPr>
            </w:pPr>
            <w:r w:rsidRPr="00CE357F">
              <w:rPr>
                <w:rFonts w:ascii="Arial Narrow" w:hAnsi="Arial Narrow"/>
                <w:bCs/>
                <w:sz w:val="18"/>
                <w:szCs w:val="18"/>
              </w:rPr>
              <w:t>982</w:t>
            </w:r>
          </w:p>
        </w:tc>
        <w:tc>
          <w:tcPr>
            <w:tcW w:w="702" w:type="dxa"/>
            <w:vAlign w:val="center"/>
          </w:tcPr>
          <w:p w14:paraId="5977ECA6" w14:textId="77777777" w:rsidR="005C4492" w:rsidRPr="00CE357F" w:rsidRDefault="005C4492" w:rsidP="005C4492">
            <w:pPr>
              <w:spacing w:after="46"/>
              <w:jc w:val="center"/>
              <w:rPr>
                <w:rFonts w:ascii="Arial Narrow" w:hAnsi="Arial Narrow"/>
                <w:bCs/>
                <w:sz w:val="18"/>
                <w:szCs w:val="18"/>
              </w:rPr>
            </w:pPr>
            <w:r w:rsidRPr="00CE357F">
              <w:rPr>
                <w:rFonts w:ascii="Arial Narrow" w:hAnsi="Arial Narrow"/>
                <w:bCs/>
                <w:sz w:val="18"/>
                <w:szCs w:val="18"/>
              </w:rPr>
              <w:t>80</w:t>
            </w:r>
          </w:p>
        </w:tc>
        <w:tc>
          <w:tcPr>
            <w:tcW w:w="734" w:type="dxa"/>
            <w:vAlign w:val="center"/>
          </w:tcPr>
          <w:p w14:paraId="68BE9191" w14:textId="77777777" w:rsidR="005C4492" w:rsidRPr="00CE357F" w:rsidRDefault="005C4492" w:rsidP="005C4492">
            <w:pPr>
              <w:spacing w:after="46"/>
              <w:jc w:val="center"/>
              <w:rPr>
                <w:rFonts w:ascii="Arial Narrow" w:hAnsi="Arial Narrow"/>
                <w:bCs/>
                <w:sz w:val="18"/>
                <w:szCs w:val="18"/>
              </w:rPr>
            </w:pPr>
            <w:r w:rsidRPr="00CE357F">
              <w:rPr>
                <w:rFonts w:ascii="Arial Narrow" w:hAnsi="Arial Narrow"/>
                <w:bCs/>
                <w:sz w:val="18"/>
                <w:szCs w:val="18"/>
              </w:rPr>
              <w:t>1 062</w:t>
            </w:r>
          </w:p>
        </w:tc>
        <w:tc>
          <w:tcPr>
            <w:tcW w:w="710" w:type="dxa"/>
            <w:vAlign w:val="center"/>
          </w:tcPr>
          <w:p w14:paraId="71E34BC7" w14:textId="77777777" w:rsidR="005C4492" w:rsidRPr="00CE357F" w:rsidRDefault="005C4492" w:rsidP="005C4492">
            <w:pPr>
              <w:spacing w:after="46"/>
              <w:jc w:val="center"/>
              <w:rPr>
                <w:rFonts w:ascii="Arial Narrow" w:hAnsi="Arial Narrow"/>
                <w:bCs/>
                <w:sz w:val="18"/>
                <w:szCs w:val="18"/>
              </w:rPr>
            </w:pPr>
            <w:r w:rsidRPr="00CE357F">
              <w:rPr>
                <w:rFonts w:ascii="Arial Narrow" w:hAnsi="Arial Narrow"/>
                <w:bCs/>
                <w:sz w:val="18"/>
                <w:szCs w:val="18"/>
              </w:rPr>
              <w:t>810</w:t>
            </w:r>
          </w:p>
        </w:tc>
        <w:tc>
          <w:tcPr>
            <w:tcW w:w="694" w:type="dxa"/>
            <w:vAlign w:val="center"/>
          </w:tcPr>
          <w:p w14:paraId="37DF04E8" w14:textId="77777777" w:rsidR="005C4492" w:rsidRPr="00CE357F" w:rsidRDefault="005C4492" w:rsidP="005C4492">
            <w:pPr>
              <w:spacing w:after="46"/>
              <w:jc w:val="center"/>
              <w:rPr>
                <w:rFonts w:ascii="Arial Narrow" w:hAnsi="Arial Narrow"/>
                <w:bCs/>
                <w:sz w:val="18"/>
                <w:szCs w:val="18"/>
              </w:rPr>
            </w:pPr>
            <w:r w:rsidRPr="00CE357F">
              <w:rPr>
                <w:rFonts w:ascii="Arial Narrow" w:hAnsi="Arial Narrow"/>
                <w:bCs/>
                <w:sz w:val="18"/>
                <w:szCs w:val="18"/>
              </w:rPr>
              <w:t>99</w:t>
            </w:r>
          </w:p>
        </w:tc>
        <w:tc>
          <w:tcPr>
            <w:tcW w:w="737" w:type="dxa"/>
            <w:vAlign w:val="center"/>
          </w:tcPr>
          <w:p w14:paraId="01CC1C9D" w14:textId="77777777" w:rsidR="005C4492" w:rsidRPr="00CE357F" w:rsidRDefault="005C4492" w:rsidP="005C4492">
            <w:pPr>
              <w:spacing w:after="46"/>
              <w:jc w:val="center"/>
              <w:rPr>
                <w:rFonts w:ascii="Arial Narrow" w:hAnsi="Arial Narrow"/>
                <w:bCs/>
                <w:sz w:val="18"/>
                <w:szCs w:val="18"/>
              </w:rPr>
            </w:pPr>
            <w:r w:rsidRPr="00CE357F">
              <w:rPr>
                <w:rFonts w:ascii="Arial Narrow" w:hAnsi="Arial Narrow"/>
                <w:bCs/>
                <w:sz w:val="18"/>
                <w:szCs w:val="18"/>
              </w:rPr>
              <w:t>909</w:t>
            </w:r>
          </w:p>
        </w:tc>
        <w:tc>
          <w:tcPr>
            <w:tcW w:w="1958" w:type="dxa"/>
            <w:vAlign w:val="center"/>
          </w:tcPr>
          <w:p w14:paraId="0E726ED5"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9,1 %</w:t>
            </w:r>
          </w:p>
        </w:tc>
      </w:tr>
      <w:tr w:rsidR="005C4492" w:rsidRPr="00CE357F" w14:paraId="193BCF58" w14:textId="77777777" w:rsidTr="005C4492">
        <w:trPr>
          <w:trHeight w:val="170"/>
        </w:trPr>
        <w:tc>
          <w:tcPr>
            <w:tcW w:w="801" w:type="dxa"/>
            <w:shd w:val="clear" w:color="auto" w:fill="D9E2F3" w:themeFill="accent1" w:themeFillTint="33"/>
            <w:vAlign w:val="center"/>
          </w:tcPr>
          <w:p w14:paraId="7E9AC198"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2021</w:t>
            </w:r>
          </w:p>
        </w:tc>
        <w:tc>
          <w:tcPr>
            <w:tcW w:w="1910" w:type="dxa"/>
            <w:vAlign w:val="center"/>
          </w:tcPr>
          <w:p w14:paraId="1201D2F7"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2 057</w:t>
            </w:r>
          </w:p>
        </w:tc>
        <w:tc>
          <w:tcPr>
            <w:tcW w:w="711" w:type="dxa"/>
            <w:vAlign w:val="center"/>
          </w:tcPr>
          <w:p w14:paraId="6B071309"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1 069</w:t>
            </w:r>
          </w:p>
        </w:tc>
        <w:tc>
          <w:tcPr>
            <w:tcW w:w="702" w:type="dxa"/>
            <w:vAlign w:val="center"/>
          </w:tcPr>
          <w:p w14:paraId="09724126"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80</w:t>
            </w:r>
          </w:p>
        </w:tc>
        <w:tc>
          <w:tcPr>
            <w:tcW w:w="734" w:type="dxa"/>
            <w:vAlign w:val="center"/>
          </w:tcPr>
          <w:p w14:paraId="7F3A1276"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1 149</w:t>
            </w:r>
          </w:p>
        </w:tc>
        <w:tc>
          <w:tcPr>
            <w:tcW w:w="710" w:type="dxa"/>
            <w:vAlign w:val="center"/>
          </w:tcPr>
          <w:p w14:paraId="71E339E4"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819</w:t>
            </w:r>
          </w:p>
        </w:tc>
        <w:tc>
          <w:tcPr>
            <w:tcW w:w="694" w:type="dxa"/>
            <w:vAlign w:val="center"/>
          </w:tcPr>
          <w:p w14:paraId="3530D7CA"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89</w:t>
            </w:r>
          </w:p>
        </w:tc>
        <w:tc>
          <w:tcPr>
            <w:tcW w:w="737" w:type="dxa"/>
            <w:vAlign w:val="center"/>
          </w:tcPr>
          <w:p w14:paraId="2DD332E1"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908</w:t>
            </w:r>
          </w:p>
        </w:tc>
        <w:tc>
          <w:tcPr>
            <w:tcW w:w="1958" w:type="dxa"/>
            <w:vAlign w:val="center"/>
          </w:tcPr>
          <w:p w14:paraId="1A53BB0E"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8,2 %</w:t>
            </w:r>
          </w:p>
        </w:tc>
      </w:tr>
      <w:tr w:rsidR="005C4492" w:rsidRPr="00CE357F" w14:paraId="23A0B286" w14:textId="77777777" w:rsidTr="005C4492">
        <w:trPr>
          <w:trHeight w:val="170"/>
        </w:trPr>
        <w:tc>
          <w:tcPr>
            <w:tcW w:w="801" w:type="dxa"/>
            <w:shd w:val="clear" w:color="auto" w:fill="D9E2F3" w:themeFill="accent1" w:themeFillTint="33"/>
            <w:vAlign w:val="center"/>
          </w:tcPr>
          <w:p w14:paraId="268E32D8"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2020</w:t>
            </w:r>
          </w:p>
        </w:tc>
        <w:tc>
          <w:tcPr>
            <w:tcW w:w="1910" w:type="dxa"/>
            <w:vAlign w:val="center"/>
          </w:tcPr>
          <w:p w14:paraId="38415412"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1 982</w:t>
            </w:r>
          </w:p>
        </w:tc>
        <w:tc>
          <w:tcPr>
            <w:tcW w:w="711" w:type="dxa"/>
            <w:vAlign w:val="center"/>
          </w:tcPr>
          <w:p w14:paraId="3D431AF2"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1 021</w:t>
            </w:r>
          </w:p>
        </w:tc>
        <w:tc>
          <w:tcPr>
            <w:tcW w:w="702" w:type="dxa"/>
            <w:vAlign w:val="center"/>
          </w:tcPr>
          <w:p w14:paraId="526D78AD"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82</w:t>
            </w:r>
          </w:p>
        </w:tc>
        <w:tc>
          <w:tcPr>
            <w:tcW w:w="734" w:type="dxa"/>
            <w:vAlign w:val="center"/>
          </w:tcPr>
          <w:p w14:paraId="4CBB589E"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1 103</w:t>
            </w:r>
          </w:p>
        </w:tc>
        <w:tc>
          <w:tcPr>
            <w:tcW w:w="710" w:type="dxa"/>
            <w:vAlign w:val="center"/>
          </w:tcPr>
          <w:p w14:paraId="4A438216"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785</w:t>
            </w:r>
          </w:p>
        </w:tc>
        <w:tc>
          <w:tcPr>
            <w:tcW w:w="694" w:type="dxa"/>
            <w:vAlign w:val="center"/>
          </w:tcPr>
          <w:p w14:paraId="1AE253EC"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94</w:t>
            </w:r>
          </w:p>
        </w:tc>
        <w:tc>
          <w:tcPr>
            <w:tcW w:w="737" w:type="dxa"/>
            <w:vAlign w:val="center"/>
          </w:tcPr>
          <w:p w14:paraId="77BA349C"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879</w:t>
            </w:r>
          </w:p>
        </w:tc>
        <w:tc>
          <w:tcPr>
            <w:tcW w:w="1958" w:type="dxa"/>
            <w:vAlign w:val="center"/>
          </w:tcPr>
          <w:p w14:paraId="3D81477F"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8,9 %</w:t>
            </w:r>
          </w:p>
        </w:tc>
      </w:tr>
      <w:tr w:rsidR="005C4492" w:rsidRPr="00CE357F" w14:paraId="3D0345D5" w14:textId="77777777" w:rsidTr="005C4492">
        <w:trPr>
          <w:trHeight w:val="170"/>
        </w:trPr>
        <w:tc>
          <w:tcPr>
            <w:tcW w:w="801" w:type="dxa"/>
            <w:shd w:val="clear" w:color="auto" w:fill="D9E2F3" w:themeFill="accent1" w:themeFillTint="33"/>
            <w:vAlign w:val="center"/>
          </w:tcPr>
          <w:p w14:paraId="66ED7AEC"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2019</w:t>
            </w:r>
          </w:p>
        </w:tc>
        <w:tc>
          <w:tcPr>
            <w:tcW w:w="1910" w:type="dxa"/>
            <w:vAlign w:val="center"/>
          </w:tcPr>
          <w:p w14:paraId="3F918B13"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1 815</w:t>
            </w:r>
          </w:p>
        </w:tc>
        <w:tc>
          <w:tcPr>
            <w:tcW w:w="711" w:type="dxa"/>
            <w:vAlign w:val="center"/>
          </w:tcPr>
          <w:p w14:paraId="4D911B7D"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906</w:t>
            </w:r>
          </w:p>
        </w:tc>
        <w:tc>
          <w:tcPr>
            <w:tcW w:w="702" w:type="dxa"/>
            <w:vAlign w:val="center"/>
          </w:tcPr>
          <w:p w14:paraId="52D85E1B"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80</w:t>
            </w:r>
          </w:p>
        </w:tc>
        <w:tc>
          <w:tcPr>
            <w:tcW w:w="734" w:type="dxa"/>
            <w:vAlign w:val="center"/>
          </w:tcPr>
          <w:p w14:paraId="519F0787"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986</w:t>
            </w:r>
          </w:p>
        </w:tc>
        <w:tc>
          <w:tcPr>
            <w:tcW w:w="710" w:type="dxa"/>
            <w:vAlign w:val="center"/>
          </w:tcPr>
          <w:p w14:paraId="5CF09817"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743</w:t>
            </w:r>
          </w:p>
        </w:tc>
        <w:tc>
          <w:tcPr>
            <w:tcW w:w="694" w:type="dxa"/>
            <w:vAlign w:val="center"/>
          </w:tcPr>
          <w:p w14:paraId="1507803A"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86</w:t>
            </w:r>
          </w:p>
        </w:tc>
        <w:tc>
          <w:tcPr>
            <w:tcW w:w="737" w:type="dxa"/>
            <w:vAlign w:val="center"/>
          </w:tcPr>
          <w:p w14:paraId="5BCEEAB0"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829</w:t>
            </w:r>
          </w:p>
        </w:tc>
        <w:tc>
          <w:tcPr>
            <w:tcW w:w="1958" w:type="dxa"/>
            <w:vAlign w:val="center"/>
          </w:tcPr>
          <w:p w14:paraId="2C0E55EE"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9,1 %</w:t>
            </w:r>
          </w:p>
        </w:tc>
      </w:tr>
      <w:tr w:rsidR="005C4492" w:rsidRPr="00CE357F" w14:paraId="6E3CA1EE" w14:textId="77777777" w:rsidTr="005C4492">
        <w:trPr>
          <w:trHeight w:val="170"/>
        </w:trPr>
        <w:tc>
          <w:tcPr>
            <w:tcW w:w="801" w:type="dxa"/>
            <w:shd w:val="clear" w:color="auto" w:fill="D9E2F3" w:themeFill="accent1" w:themeFillTint="33"/>
            <w:vAlign w:val="center"/>
          </w:tcPr>
          <w:p w14:paraId="419AC2F6"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2018</w:t>
            </w:r>
          </w:p>
        </w:tc>
        <w:tc>
          <w:tcPr>
            <w:tcW w:w="1910" w:type="dxa"/>
            <w:vAlign w:val="center"/>
          </w:tcPr>
          <w:p w14:paraId="69363540"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1 666</w:t>
            </w:r>
          </w:p>
        </w:tc>
        <w:tc>
          <w:tcPr>
            <w:tcW w:w="711" w:type="dxa"/>
            <w:vAlign w:val="center"/>
          </w:tcPr>
          <w:p w14:paraId="5FA5C8F1"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840</w:t>
            </w:r>
          </w:p>
        </w:tc>
        <w:tc>
          <w:tcPr>
            <w:tcW w:w="702" w:type="dxa"/>
            <w:vAlign w:val="center"/>
          </w:tcPr>
          <w:p w14:paraId="761AA694"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70</w:t>
            </w:r>
          </w:p>
        </w:tc>
        <w:tc>
          <w:tcPr>
            <w:tcW w:w="734" w:type="dxa"/>
            <w:vAlign w:val="center"/>
          </w:tcPr>
          <w:p w14:paraId="7775849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910</w:t>
            </w:r>
          </w:p>
        </w:tc>
        <w:tc>
          <w:tcPr>
            <w:tcW w:w="710" w:type="dxa"/>
            <w:vAlign w:val="center"/>
          </w:tcPr>
          <w:p w14:paraId="726C3BE4"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672</w:t>
            </w:r>
          </w:p>
        </w:tc>
        <w:tc>
          <w:tcPr>
            <w:tcW w:w="694" w:type="dxa"/>
            <w:vAlign w:val="center"/>
          </w:tcPr>
          <w:p w14:paraId="3D428C18"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84</w:t>
            </w:r>
          </w:p>
        </w:tc>
        <w:tc>
          <w:tcPr>
            <w:tcW w:w="737" w:type="dxa"/>
            <w:vAlign w:val="center"/>
          </w:tcPr>
          <w:p w14:paraId="3D054EB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756</w:t>
            </w:r>
          </w:p>
        </w:tc>
        <w:tc>
          <w:tcPr>
            <w:tcW w:w="1958" w:type="dxa"/>
            <w:vAlign w:val="center"/>
          </w:tcPr>
          <w:p w14:paraId="0FA9555E"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9,2 %</w:t>
            </w:r>
          </w:p>
        </w:tc>
      </w:tr>
      <w:tr w:rsidR="005C4492" w:rsidRPr="00CE357F" w14:paraId="1536D1C1" w14:textId="77777777" w:rsidTr="005C4492">
        <w:trPr>
          <w:trHeight w:val="170"/>
        </w:trPr>
        <w:tc>
          <w:tcPr>
            <w:tcW w:w="801" w:type="dxa"/>
            <w:shd w:val="clear" w:color="auto" w:fill="D9E2F3" w:themeFill="accent1" w:themeFillTint="33"/>
            <w:vAlign w:val="center"/>
          </w:tcPr>
          <w:p w14:paraId="271D1CCD"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2017</w:t>
            </w:r>
          </w:p>
        </w:tc>
        <w:tc>
          <w:tcPr>
            <w:tcW w:w="1910" w:type="dxa"/>
            <w:vAlign w:val="center"/>
          </w:tcPr>
          <w:p w14:paraId="22E6A92F"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1 584</w:t>
            </w:r>
          </w:p>
        </w:tc>
        <w:tc>
          <w:tcPr>
            <w:tcW w:w="711" w:type="dxa"/>
            <w:vAlign w:val="center"/>
          </w:tcPr>
          <w:p w14:paraId="05F5393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800</w:t>
            </w:r>
          </w:p>
        </w:tc>
        <w:tc>
          <w:tcPr>
            <w:tcW w:w="702" w:type="dxa"/>
            <w:vAlign w:val="center"/>
          </w:tcPr>
          <w:p w14:paraId="2BA0648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67</w:t>
            </w:r>
          </w:p>
        </w:tc>
        <w:tc>
          <w:tcPr>
            <w:tcW w:w="734" w:type="dxa"/>
            <w:vAlign w:val="center"/>
          </w:tcPr>
          <w:p w14:paraId="433D19FC"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867</w:t>
            </w:r>
          </w:p>
        </w:tc>
        <w:tc>
          <w:tcPr>
            <w:tcW w:w="710" w:type="dxa"/>
            <w:vAlign w:val="center"/>
          </w:tcPr>
          <w:p w14:paraId="1A1A9FF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644</w:t>
            </w:r>
          </w:p>
        </w:tc>
        <w:tc>
          <w:tcPr>
            <w:tcW w:w="694" w:type="dxa"/>
            <w:vAlign w:val="center"/>
          </w:tcPr>
          <w:p w14:paraId="0A773174"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73</w:t>
            </w:r>
          </w:p>
        </w:tc>
        <w:tc>
          <w:tcPr>
            <w:tcW w:w="737" w:type="dxa"/>
            <w:vAlign w:val="center"/>
          </w:tcPr>
          <w:p w14:paraId="19B0F281"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717</w:t>
            </w:r>
          </w:p>
        </w:tc>
        <w:tc>
          <w:tcPr>
            <w:tcW w:w="1958" w:type="dxa"/>
            <w:vAlign w:val="center"/>
          </w:tcPr>
          <w:p w14:paraId="3453FDA7"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8,8 %</w:t>
            </w:r>
          </w:p>
        </w:tc>
      </w:tr>
      <w:tr w:rsidR="005C4492" w:rsidRPr="00CE357F" w14:paraId="4E531A20" w14:textId="77777777" w:rsidTr="005C4492">
        <w:trPr>
          <w:trHeight w:val="170"/>
        </w:trPr>
        <w:tc>
          <w:tcPr>
            <w:tcW w:w="801" w:type="dxa"/>
            <w:shd w:val="clear" w:color="auto" w:fill="D9E2F3" w:themeFill="accent1" w:themeFillTint="33"/>
            <w:vAlign w:val="center"/>
          </w:tcPr>
          <w:p w14:paraId="731983AB"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2016</w:t>
            </w:r>
          </w:p>
        </w:tc>
        <w:tc>
          <w:tcPr>
            <w:tcW w:w="1910" w:type="dxa"/>
            <w:vAlign w:val="center"/>
          </w:tcPr>
          <w:p w14:paraId="34DD3DEB"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1 539</w:t>
            </w:r>
          </w:p>
        </w:tc>
        <w:tc>
          <w:tcPr>
            <w:tcW w:w="711" w:type="dxa"/>
            <w:vAlign w:val="center"/>
          </w:tcPr>
          <w:p w14:paraId="269D318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777</w:t>
            </w:r>
          </w:p>
        </w:tc>
        <w:tc>
          <w:tcPr>
            <w:tcW w:w="702" w:type="dxa"/>
            <w:vAlign w:val="center"/>
          </w:tcPr>
          <w:p w14:paraId="77818A4A"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66</w:t>
            </w:r>
          </w:p>
        </w:tc>
        <w:tc>
          <w:tcPr>
            <w:tcW w:w="734" w:type="dxa"/>
            <w:vAlign w:val="center"/>
          </w:tcPr>
          <w:p w14:paraId="3FA323F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843</w:t>
            </w:r>
          </w:p>
        </w:tc>
        <w:tc>
          <w:tcPr>
            <w:tcW w:w="710" w:type="dxa"/>
            <w:vAlign w:val="center"/>
          </w:tcPr>
          <w:p w14:paraId="70A7373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626</w:t>
            </w:r>
          </w:p>
        </w:tc>
        <w:tc>
          <w:tcPr>
            <w:tcW w:w="694" w:type="dxa"/>
            <w:vAlign w:val="center"/>
          </w:tcPr>
          <w:p w14:paraId="59FDD7DA"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70</w:t>
            </w:r>
          </w:p>
        </w:tc>
        <w:tc>
          <w:tcPr>
            <w:tcW w:w="737" w:type="dxa"/>
            <w:vAlign w:val="center"/>
          </w:tcPr>
          <w:p w14:paraId="7A4E99BD"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696</w:t>
            </w:r>
          </w:p>
        </w:tc>
        <w:tc>
          <w:tcPr>
            <w:tcW w:w="1958" w:type="dxa"/>
            <w:vAlign w:val="center"/>
          </w:tcPr>
          <w:p w14:paraId="346CD5CE"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8,8 %</w:t>
            </w:r>
          </w:p>
        </w:tc>
      </w:tr>
      <w:tr w:rsidR="005C4492" w:rsidRPr="00CE357F" w14:paraId="2496D9ED" w14:textId="77777777" w:rsidTr="005C4492">
        <w:trPr>
          <w:trHeight w:val="170"/>
        </w:trPr>
        <w:tc>
          <w:tcPr>
            <w:tcW w:w="801" w:type="dxa"/>
            <w:shd w:val="clear" w:color="auto" w:fill="D9E2F3" w:themeFill="accent1" w:themeFillTint="33"/>
            <w:vAlign w:val="center"/>
          </w:tcPr>
          <w:p w14:paraId="651E12BE"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2015</w:t>
            </w:r>
          </w:p>
        </w:tc>
        <w:tc>
          <w:tcPr>
            <w:tcW w:w="1910" w:type="dxa"/>
            <w:vAlign w:val="center"/>
          </w:tcPr>
          <w:p w14:paraId="4DC1EA0D"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1 472</w:t>
            </w:r>
          </w:p>
        </w:tc>
        <w:tc>
          <w:tcPr>
            <w:tcW w:w="711" w:type="dxa"/>
            <w:vAlign w:val="center"/>
          </w:tcPr>
          <w:p w14:paraId="233CC533"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745</w:t>
            </w:r>
          </w:p>
        </w:tc>
        <w:tc>
          <w:tcPr>
            <w:tcW w:w="702" w:type="dxa"/>
            <w:vAlign w:val="center"/>
          </w:tcPr>
          <w:p w14:paraId="6D65EC26"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66</w:t>
            </w:r>
          </w:p>
        </w:tc>
        <w:tc>
          <w:tcPr>
            <w:tcW w:w="734" w:type="dxa"/>
            <w:vAlign w:val="center"/>
          </w:tcPr>
          <w:p w14:paraId="7A21579A"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811</w:t>
            </w:r>
          </w:p>
        </w:tc>
        <w:tc>
          <w:tcPr>
            <w:tcW w:w="710" w:type="dxa"/>
            <w:vAlign w:val="center"/>
          </w:tcPr>
          <w:p w14:paraId="6C2A9B11"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599</w:t>
            </w:r>
          </w:p>
        </w:tc>
        <w:tc>
          <w:tcPr>
            <w:tcW w:w="694" w:type="dxa"/>
            <w:vAlign w:val="center"/>
          </w:tcPr>
          <w:p w14:paraId="398BB936"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62</w:t>
            </w:r>
          </w:p>
        </w:tc>
        <w:tc>
          <w:tcPr>
            <w:tcW w:w="737" w:type="dxa"/>
            <w:vAlign w:val="center"/>
          </w:tcPr>
          <w:p w14:paraId="404D24F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661</w:t>
            </w:r>
          </w:p>
        </w:tc>
        <w:tc>
          <w:tcPr>
            <w:tcW w:w="1958" w:type="dxa"/>
            <w:vAlign w:val="center"/>
          </w:tcPr>
          <w:p w14:paraId="6A8FAAC3"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8,7 %</w:t>
            </w:r>
          </w:p>
        </w:tc>
      </w:tr>
      <w:tr w:rsidR="005C4492" w:rsidRPr="00CE357F" w14:paraId="6BBC06A2" w14:textId="77777777" w:rsidTr="005C4492">
        <w:trPr>
          <w:trHeight w:val="170"/>
        </w:trPr>
        <w:tc>
          <w:tcPr>
            <w:tcW w:w="801" w:type="dxa"/>
            <w:shd w:val="clear" w:color="auto" w:fill="D9E2F3" w:themeFill="accent1" w:themeFillTint="33"/>
            <w:vAlign w:val="center"/>
          </w:tcPr>
          <w:p w14:paraId="4A331FD4"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2014</w:t>
            </w:r>
          </w:p>
        </w:tc>
        <w:tc>
          <w:tcPr>
            <w:tcW w:w="1910" w:type="dxa"/>
            <w:vAlign w:val="center"/>
          </w:tcPr>
          <w:p w14:paraId="2658F3D7"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1 427</w:t>
            </w:r>
          </w:p>
        </w:tc>
        <w:tc>
          <w:tcPr>
            <w:tcW w:w="711" w:type="dxa"/>
            <w:vAlign w:val="center"/>
          </w:tcPr>
          <w:p w14:paraId="3D8F4131"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717</w:t>
            </w:r>
          </w:p>
        </w:tc>
        <w:tc>
          <w:tcPr>
            <w:tcW w:w="702" w:type="dxa"/>
            <w:vAlign w:val="center"/>
          </w:tcPr>
          <w:p w14:paraId="3BC4D69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65</w:t>
            </w:r>
          </w:p>
        </w:tc>
        <w:tc>
          <w:tcPr>
            <w:tcW w:w="734" w:type="dxa"/>
            <w:vAlign w:val="center"/>
          </w:tcPr>
          <w:p w14:paraId="0968ED8C"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782</w:t>
            </w:r>
          </w:p>
        </w:tc>
        <w:tc>
          <w:tcPr>
            <w:tcW w:w="710" w:type="dxa"/>
            <w:vAlign w:val="center"/>
          </w:tcPr>
          <w:p w14:paraId="196DB80D"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576</w:t>
            </w:r>
          </w:p>
        </w:tc>
        <w:tc>
          <w:tcPr>
            <w:tcW w:w="694" w:type="dxa"/>
            <w:vAlign w:val="center"/>
          </w:tcPr>
          <w:p w14:paraId="213A9A4C"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69</w:t>
            </w:r>
          </w:p>
        </w:tc>
        <w:tc>
          <w:tcPr>
            <w:tcW w:w="737" w:type="dxa"/>
            <w:vAlign w:val="center"/>
          </w:tcPr>
          <w:p w14:paraId="603E2BB3"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645</w:t>
            </w:r>
          </w:p>
        </w:tc>
        <w:tc>
          <w:tcPr>
            <w:tcW w:w="1958" w:type="dxa"/>
            <w:vAlign w:val="center"/>
          </w:tcPr>
          <w:p w14:paraId="4C1F66EA"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9,4 %</w:t>
            </w:r>
          </w:p>
        </w:tc>
      </w:tr>
      <w:tr w:rsidR="005C4492" w:rsidRPr="00CE357F" w14:paraId="4F1892E0" w14:textId="77777777" w:rsidTr="005C4492">
        <w:trPr>
          <w:trHeight w:val="170"/>
        </w:trPr>
        <w:tc>
          <w:tcPr>
            <w:tcW w:w="801" w:type="dxa"/>
            <w:shd w:val="clear" w:color="auto" w:fill="D9E2F3" w:themeFill="accent1" w:themeFillTint="33"/>
            <w:vAlign w:val="center"/>
          </w:tcPr>
          <w:p w14:paraId="275756B6"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2013</w:t>
            </w:r>
          </w:p>
        </w:tc>
        <w:tc>
          <w:tcPr>
            <w:tcW w:w="1910" w:type="dxa"/>
            <w:vAlign w:val="center"/>
          </w:tcPr>
          <w:p w14:paraId="5CA64022"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1 376</w:t>
            </w:r>
          </w:p>
        </w:tc>
        <w:tc>
          <w:tcPr>
            <w:tcW w:w="711" w:type="dxa"/>
            <w:vAlign w:val="center"/>
          </w:tcPr>
          <w:p w14:paraId="70F74525"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698</w:t>
            </w:r>
          </w:p>
        </w:tc>
        <w:tc>
          <w:tcPr>
            <w:tcW w:w="702" w:type="dxa"/>
            <w:vAlign w:val="center"/>
          </w:tcPr>
          <w:p w14:paraId="592492C1"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53</w:t>
            </w:r>
          </w:p>
        </w:tc>
        <w:tc>
          <w:tcPr>
            <w:tcW w:w="734" w:type="dxa"/>
            <w:vAlign w:val="center"/>
          </w:tcPr>
          <w:p w14:paraId="6B1EC8C2"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751</w:t>
            </w:r>
          </w:p>
        </w:tc>
        <w:tc>
          <w:tcPr>
            <w:tcW w:w="710" w:type="dxa"/>
            <w:vAlign w:val="center"/>
          </w:tcPr>
          <w:p w14:paraId="1708A1BB"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562</w:t>
            </w:r>
          </w:p>
        </w:tc>
        <w:tc>
          <w:tcPr>
            <w:tcW w:w="694" w:type="dxa"/>
            <w:vAlign w:val="center"/>
          </w:tcPr>
          <w:p w14:paraId="413141F3"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63</w:t>
            </w:r>
          </w:p>
        </w:tc>
        <w:tc>
          <w:tcPr>
            <w:tcW w:w="737" w:type="dxa"/>
            <w:vAlign w:val="center"/>
          </w:tcPr>
          <w:p w14:paraId="19BBD7E7" w14:textId="77777777" w:rsidR="005C4492" w:rsidRPr="00CE357F" w:rsidRDefault="005C4492" w:rsidP="005C4492">
            <w:pPr>
              <w:spacing w:after="46"/>
              <w:jc w:val="center"/>
              <w:rPr>
                <w:rFonts w:ascii="Arial Narrow" w:eastAsia="Times New Roman" w:hAnsi="Arial Narrow" w:cs="Arial"/>
                <w:sz w:val="18"/>
                <w:szCs w:val="18"/>
                <w:lang w:eastAsia="cs-CZ"/>
              </w:rPr>
            </w:pPr>
            <w:r w:rsidRPr="00CE357F">
              <w:rPr>
                <w:rFonts w:ascii="Arial Narrow" w:hAnsi="Arial Narrow"/>
                <w:bCs/>
                <w:sz w:val="18"/>
                <w:szCs w:val="18"/>
              </w:rPr>
              <w:t>625</w:t>
            </w:r>
          </w:p>
        </w:tc>
        <w:tc>
          <w:tcPr>
            <w:tcW w:w="1958" w:type="dxa"/>
            <w:vAlign w:val="center"/>
          </w:tcPr>
          <w:p w14:paraId="56567D7A"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8,4 %</w:t>
            </w:r>
          </w:p>
        </w:tc>
      </w:tr>
      <w:tr w:rsidR="005C4492" w:rsidRPr="00CE357F" w14:paraId="09E46488" w14:textId="77777777" w:rsidTr="005C4492">
        <w:trPr>
          <w:trHeight w:val="170"/>
        </w:trPr>
        <w:tc>
          <w:tcPr>
            <w:tcW w:w="801" w:type="dxa"/>
            <w:shd w:val="clear" w:color="auto" w:fill="D9E2F3" w:themeFill="accent1" w:themeFillTint="33"/>
            <w:vAlign w:val="center"/>
          </w:tcPr>
          <w:p w14:paraId="7CC7883E"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2012</w:t>
            </w:r>
          </w:p>
        </w:tc>
        <w:tc>
          <w:tcPr>
            <w:tcW w:w="1910" w:type="dxa"/>
            <w:vAlign w:val="center"/>
          </w:tcPr>
          <w:p w14:paraId="0DC2AFCF"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1 451</w:t>
            </w:r>
          </w:p>
        </w:tc>
        <w:tc>
          <w:tcPr>
            <w:tcW w:w="711" w:type="dxa"/>
            <w:vAlign w:val="center"/>
          </w:tcPr>
          <w:p w14:paraId="00DF404A"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752</w:t>
            </w:r>
          </w:p>
        </w:tc>
        <w:tc>
          <w:tcPr>
            <w:tcW w:w="702" w:type="dxa"/>
            <w:vAlign w:val="center"/>
          </w:tcPr>
          <w:p w14:paraId="0FB2112E"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51</w:t>
            </w:r>
          </w:p>
        </w:tc>
        <w:tc>
          <w:tcPr>
            <w:tcW w:w="734" w:type="dxa"/>
            <w:vAlign w:val="center"/>
          </w:tcPr>
          <w:p w14:paraId="3D49D154"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803</w:t>
            </w:r>
          </w:p>
        </w:tc>
        <w:tc>
          <w:tcPr>
            <w:tcW w:w="710" w:type="dxa"/>
            <w:vAlign w:val="center"/>
          </w:tcPr>
          <w:p w14:paraId="53F04AA9"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584</w:t>
            </w:r>
          </w:p>
        </w:tc>
        <w:tc>
          <w:tcPr>
            <w:tcW w:w="694" w:type="dxa"/>
            <w:vAlign w:val="center"/>
          </w:tcPr>
          <w:p w14:paraId="446D0E09"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64</w:t>
            </w:r>
          </w:p>
        </w:tc>
        <w:tc>
          <w:tcPr>
            <w:tcW w:w="737" w:type="dxa"/>
            <w:vAlign w:val="center"/>
          </w:tcPr>
          <w:p w14:paraId="26C0448A"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648</w:t>
            </w:r>
          </w:p>
        </w:tc>
        <w:tc>
          <w:tcPr>
            <w:tcW w:w="1958" w:type="dxa"/>
            <w:vAlign w:val="center"/>
          </w:tcPr>
          <w:p w14:paraId="391230BC"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7,9 %</w:t>
            </w:r>
          </w:p>
        </w:tc>
      </w:tr>
      <w:tr w:rsidR="005C4492" w:rsidRPr="00CE357F" w14:paraId="752043BF" w14:textId="77777777" w:rsidTr="005C4492">
        <w:trPr>
          <w:trHeight w:val="170"/>
        </w:trPr>
        <w:tc>
          <w:tcPr>
            <w:tcW w:w="801" w:type="dxa"/>
            <w:shd w:val="clear" w:color="auto" w:fill="D9E2F3" w:themeFill="accent1" w:themeFillTint="33"/>
            <w:vAlign w:val="center"/>
          </w:tcPr>
          <w:p w14:paraId="19F16CC8"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2011</w:t>
            </w:r>
          </w:p>
        </w:tc>
        <w:tc>
          <w:tcPr>
            <w:tcW w:w="1910" w:type="dxa"/>
            <w:vAlign w:val="center"/>
          </w:tcPr>
          <w:p w14:paraId="5DE6F10C"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1 391</w:t>
            </w:r>
          </w:p>
        </w:tc>
        <w:tc>
          <w:tcPr>
            <w:tcW w:w="711" w:type="dxa"/>
            <w:vAlign w:val="center"/>
          </w:tcPr>
          <w:p w14:paraId="7FBA42A1"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714</w:t>
            </w:r>
          </w:p>
        </w:tc>
        <w:tc>
          <w:tcPr>
            <w:tcW w:w="702" w:type="dxa"/>
            <w:vAlign w:val="center"/>
          </w:tcPr>
          <w:p w14:paraId="279B228F"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45</w:t>
            </w:r>
          </w:p>
        </w:tc>
        <w:tc>
          <w:tcPr>
            <w:tcW w:w="734" w:type="dxa"/>
            <w:vAlign w:val="center"/>
          </w:tcPr>
          <w:p w14:paraId="05899C66"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759</w:t>
            </w:r>
          </w:p>
        </w:tc>
        <w:tc>
          <w:tcPr>
            <w:tcW w:w="710" w:type="dxa"/>
            <w:vAlign w:val="center"/>
          </w:tcPr>
          <w:p w14:paraId="0B419D5F"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571</w:t>
            </w:r>
          </w:p>
        </w:tc>
        <w:tc>
          <w:tcPr>
            <w:tcW w:w="694" w:type="dxa"/>
            <w:vAlign w:val="center"/>
          </w:tcPr>
          <w:p w14:paraId="6F3EEE58"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61</w:t>
            </w:r>
          </w:p>
        </w:tc>
        <w:tc>
          <w:tcPr>
            <w:tcW w:w="737" w:type="dxa"/>
            <w:vAlign w:val="center"/>
          </w:tcPr>
          <w:p w14:paraId="5C4AA5F2"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632</w:t>
            </w:r>
          </w:p>
        </w:tc>
        <w:tc>
          <w:tcPr>
            <w:tcW w:w="1958" w:type="dxa"/>
            <w:vAlign w:val="center"/>
          </w:tcPr>
          <w:p w14:paraId="36CD180C"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7,6 %</w:t>
            </w:r>
          </w:p>
        </w:tc>
      </w:tr>
      <w:tr w:rsidR="005C4492" w:rsidRPr="00CE357F" w14:paraId="593B2E62" w14:textId="77777777" w:rsidTr="005C4492">
        <w:trPr>
          <w:trHeight w:val="170"/>
        </w:trPr>
        <w:tc>
          <w:tcPr>
            <w:tcW w:w="801" w:type="dxa"/>
            <w:shd w:val="clear" w:color="auto" w:fill="D9E2F3" w:themeFill="accent1" w:themeFillTint="33"/>
            <w:vAlign w:val="center"/>
          </w:tcPr>
          <w:p w14:paraId="71D3E9D9"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2010</w:t>
            </w:r>
          </w:p>
        </w:tc>
        <w:tc>
          <w:tcPr>
            <w:tcW w:w="1910" w:type="dxa"/>
            <w:vAlign w:val="center"/>
          </w:tcPr>
          <w:p w14:paraId="69BF2696"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1 331</w:t>
            </w:r>
          </w:p>
        </w:tc>
        <w:tc>
          <w:tcPr>
            <w:tcW w:w="711" w:type="dxa"/>
            <w:vAlign w:val="center"/>
          </w:tcPr>
          <w:p w14:paraId="653832F7"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708</w:t>
            </w:r>
          </w:p>
        </w:tc>
        <w:tc>
          <w:tcPr>
            <w:tcW w:w="702" w:type="dxa"/>
            <w:vAlign w:val="center"/>
          </w:tcPr>
          <w:p w14:paraId="38080BD7"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46</w:t>
            </w:r>
          </w:p>
        </w:tc>
        <w:tc>
          <w:tcPr>
            <w:tcW w:w="734" w:type="dxa"/>
            <w:vAlign w:val="center"/>
          </w:tcPr>
          <w:p w14:paraId="27BB1657"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754</w:t>
            </w:r>
          </w:p>
        </w:tc>
        <w:tc>
          <w:tcPr>
            <w:tcW w:w="710" w:type="dxa"/>
            <w:vAlign w:val="center"/>
          </w:tcPr>
          <w:p w14:paraId="4F54DC46"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525</w:t>
            </w:r>
          </w:p>
        </w:tc>
        <w:tc>
          <w:tcPr>
            <w:tcW w:w="694" w:type="dxa"/>
            <w:vAlign w:val="center"/>
          </w:tcPr>
          <w:p w14:paraId="05934D03"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52</w:t>
            </w:r>
          </w:p>
        </w:tc>
        <w:tc>
          <w:tcPr>
            <w:tcW w:w="737" w:type="dxa"/>
            <w:vAlign w:val="center"/>
          </w:tcPr>
          <w:p w14:paraId="7EFE2EEC"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577</w:t>
            </w:r>
          </w:p>
        </w:tc>
        <w:tc>
          <w:tcPr>
            <w:tcW w:w="1958" w:type="dxa"/>
            <w:vAlign w:val="center"/>
          </w:tcPr>
          <w:p w14:paraId="785B14D5"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7,4 %</w:t>
            </w:r>
          </w:p>
        </w:tc>
      </w:tr>
      <w:tr w:rsidR="005C4492" w:rsidRPr="00CE357F" w14:paraId="18327A54" w14:textId="77777777" w:rsidTr="005C4492">
        <w:trPr>
          <w:trHeight w:val="170"/>
        </w:trPr>
        <w:tc>
          <w:tcPr>
            <w:tcW w:w="801" w:type="dxa"/>
            <w:shd w:val="clear" w:color="auto" w:fill="D9E2F3" w:themeFill="accent1" w:themeFillTint="33"/>
            <w:vAlign w:val="center"/>
          </w:tcPr>
          <w:p w14:paraId="4E6F3AF2"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2009</w:t>
            </w:r>
          </w:p>
        </w:tc>
        <w:tc>
          <w:tcPr>
            <w:tcW w:w="1910" w:type="dxa"/>
            <w:vAlign w:val="center"/>
          </w:tcPr>
          <w:p w14:paraId="1C352B7C"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1 316</w:t>
            </w:r>
          </w:p>
        </w:tc>
        <w:tc>
          <w:tcPr>
            <w:tcW w:w="711" w:type="dxa"/>
            <w:vAlign w:val="center"/>
          </w:tcPr>
          <w:p w14:paraId="3ED1F828"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703</w:t>
            </w:r>
          </w:p>
        </w:tc>
        <w:tc>
          <w:tcPr>
            <w:tcW w:w="702" w:type="dxa"/>
            <w:vAlign w:val="center"/>
          </w:tcPr>
          <w:p w14:paraId="1829F4A5"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44</w:t>
            </w:r>
          </w:p>
        </w:tc>
        <w:tc>
          <w:tcPr>
            <w:tcW w:w="734" w:type="dxa"/>
            <w:vAlign w:val="center"/>
          </w:tcPr>
          <w:p w14:paraId="1C9B16D1"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747</w:t>
            </w:r>
          </w:p>
        </w:tc>
        <w:tc>
          <w:tcPr>
            <w:tcW w:w="710" w:type="dxa"/>
            <w:vAlign w:val="center"/>
          </w:tcPr>
          <w:p w14:paraId="04C6FE3C"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524</w:t>
            </w:r>
          </w:p>
        </w:tc>
        <w:tc>
          <w:tcPr>
            <w:tcW w:w="694" w:type="dxa"/>
            <w:vAlign w:val="center"/>
          </w:tcPr>
          <w:p w14:paraId="61140103"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45</w:t>
            </w:r>
          </w:p>
        </w:tc>
        <w:tc>
          <w:tcPr>
            <w:tcW w:w="737" w:type="dxa"/>
            <w:vAlign w:val="center"/>
          </w:tcPr>
          <w:p w14:paraId="5777B94A"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569</w:t>
            </w:r>
          </w:p>
        </w:tc>
        <w:tc>
          <w:tcPr>
            <w:tcW w:w="1958" w:type="dxa"/>
            <w:vAlign w:val="center"/>
          </w:tcPr>
          <w:p w14:paraId="270C269F"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6,8 %</w:t>
            </w:r>
          </w:p>
        </w:tc>
      </w:tr>
      <w:tr w:rsidR="005C4492" w:rsidRPr="00CE357F" w14:paraId="66547E2C" w14:textId="77777777" w:rsidTr="005C4492">
        <w:trPr>
          <w:trHeight w:val="170"/>
        </w:trPr>
        <w:tc>
          <w:tcPr>
            <w:tcW w:w="801" w:type="dxa"/>
            <w:shd w:val="clear" w:color="auto" w:fill="D9E2F3" w:themeFill="accent1" w:themeFillTint="33"/>
            <w:vAlign w:val="center"/>
          </w:tcPr>
          <w:p w14:paraId="638BB6D0"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lastRenderedPageBreak/>
              <w:t>2008</w:t>
            </w:r>
          </w:p>
        </w:tc>
        <w:tc>
          <w:tcPr>
            <w:tcW w:w="1910" w:type="dxa"/>
            <w:vAlign w:val="center"/>
          </w:tcPr>
          <w:p w14:paraId="01F142A7"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1 176</w:t>
            </w:r>
          </w:p>
        </w:tc>
        <w:tc>
          <w:tcPr>
            <w:tcW w:w="711" w:type="dxa"/>
            <w:vAlign w:val="center"/>
          </w:tcPr>
          <w:p w14:paraId="1F96A22A"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630</w:t>
            </w:r>
          </w:p>
        </w:tc>
        <w:tc>
          <w:tcPr>
            <w:tcW w:w="702" w:type="dxa"/>
            <w:vAlign w:val="center"/>
          </w:tcPr>
          <w:p w14:paraId="70D7E027"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39</w:t>
            </w:r>
          </w:p>
        </w:tc>
        <w:tc>
          <w:tcPr>
            <w:tcW w:w="734" w:type="dxa"/>
            <w:vAlign w:val="center"/>
          </w:tcPr>
          <w:p w14:paraId="24BF202C"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669</w:t>
            </w:r>
          </w:p>
        </w:tc>
        <w:tc>
          <w:tcPr>
            <w:tcW w:w="710" w:type="dxa"/>
            <w:vAlign w:val="center"/>
          </w:tcPr>
          <w:p w14:paraId="5341EFF4"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466</w:t>
            </w:r>
          </w:p>
        </w:tc>
        <w:tc>
          <w:tcPr>
            <w:tcW w:w="694" w:type="dxa"/>
            <w:vAlign w:val="center"/>
          </w:tcPr>
          <w:p w14:paraId="239F57C8"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41</w:t>
            </w:r>
          </w:p>
        </w:tc>
        <w:tc>
          <w:tcPr>
            <w:tcW w:w="737" w:type="dxa"/>
            <w:vAlign w:val="center"/>
          </w:tcPr>
          <w:p w14:paraId="32F75BF7"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507</w:t>
            </w:r>
          </w:p>
        </w:tc>
        <w:tc>
          <w:tcPr>
            <w:tcW w:w="1958" w:type="dxa"/>
            <w:vAlign w:val="center"/>
          </w:tcPr>
          <w:p w14:paraId="568FD112" w14:textId="77777777" w:rsidR="005C4492" w:rsidRPr="00CE357F" w:rsidRDefault="005C4492" w:rsidP="005C4492">
            <w:pPr>
              <w:jc w:val="center"/>
              <w:rPr>
                <w:rFonts w:ascii="Arial Narrow" w:hAnsi="Arial Narrow"/>
                <w:b/>
                <w:bCs/>
                <w:color w:val="C00000"/>
                <w:sz w:val="18"/>
                <w:szCs w:val="18"/>
              </w:rPr>
            </w:pPr>
            <w:r w:rsidRPr="00CE357F">
              <w:rPr>
                <w:rFonts w:ascii="Arial Narrow" w:hAnsi="Arial Narrow"/>
                <w:b/>
                <w:bCs/>
                <w:color w:val="C00000"/>
                <w:sz w:val="18"/>
                <w:szCs w:val="18"/>
              </w:rPr>
              <w:t>6,8 %</w:t>
            </w:r>
          </w:p>
        </w:tc>
      </w:tr>
      <w:tr w:rsidR="005C4492" w:rsidRPr="00CE357F" w14:paraId="39EE6704" w14:textId="77777777" w:rsidTr="005C4492">
        <w:trPr>
          <w:trHeight w:val="170"/>
        </w:trPr>
        <w:tc>
          <w:tcPr>
            <w:tcW w:w="801" w:type="dxa"/>
            <w:shd w:val="clear" w:color="auto" w:fill="D9E2F3" w:themeFill="accent1" w:themeFillTint="33"/>
            <w:vAlign w:val="center"/>
          </w:tcPr>
          <w:p w14:paraId="527947A2"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2007</w:t>
            </w:r>
          </w:p>
        </w:tc>
        <w:tc>
          <w:tcPr>
            <w:tcW w:w="1910" w:type="dxa"/>
            <w:vAlign w:val="center"/>
          </w:tcPr>
          <w:p w14:paraId="11BDF00A" w14:textId="77777777" w:rsidR="005C4492" w:rsidRPr="00CE357F" w:rsidRDefault="005C4492" w:rsidP="005C4492">
            <w:pPr>
              <w:jc w:val="center"/>
              <w:rPr>
                <w:rFonts w:ascii="Arial Narrow" w:hAnsi="Arial Narrow"/>
                <w:sz w:val="18"/>
                <w:szCs w:val="18"/>
              </w:rPr>
            </w:pPr>
            <w:r w:rsidRPr="00CE357F">
              <w:rPr>
                <w:rFonts w:ascii="Arial Narrow" w:hAnsi="Arial Narrow"/>
                <w:bCs/>
                <w:sz w:val="18"/>
                <w:szCs w:val="18"/>
              </w:rPr>
              <w:t>1 016</w:t>
            </w:r>
          </w:p>
        </w:tc>
        <w:tc>
          <w:tcPr>
            <w:tcW w:w="711" w:type="dxa"/>
            <w:vAlign w:val="center"/>
          </w:tcPr>
          <w:p w14:paraId="3EAE6F79"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
                <w:bCs/>
                <w:sz w:val="18"/>
                <w:szCs w:val="18"/>
              </w:rPr>
              <w:t>-</w:t>
            </w:r>
          </w:p>
        </w:tc>
        <w:tc>
          <w:tcPr>
            <w:tcW w:w="702" w:type="dxa"/>
            <w:vAlign w:val="center"/>
          </w:tcPr>
          <w:p w14:paraId="44F74581"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
                <w:bCs/>
                <w:sz w:val="18"/>
                <w:szCs w:val="18"/>
              </w:rPr>
              <w:t>-</w:t>
            </w:r>
          </w:p>
        </w:tc>
        <w:tc>
          <w:tcPr>
            <w:tcW w:w="734" w:type="dxa"/>
            <w:vAlign w:val="center"/>
          </w:tcPr>
          <w:p w14:paraId="5D3249D1"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594</w:t>
            </w:r>
          </w:p>
        </w:tc>
        <w:tc>
          <w:tcPr>
            <w:tcW w:w="710" w:type="dxa"/>
            <w:vAlign w:val="center"/>
          </w:tcPr>
          <w:p w14:paraId="6D46BC9A"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
                <w:bCs/>
                <w:sz w:val="18"/>
                <w:szCs w:val="18"/>
              </w:rPr>
              <w:t>-</w:t>
            </w:r>
          </w:p>
        </w:tc>
        <w:tc>
          <w:tcPr>
            <w:tcW w:w="694" w:type="dxa"/>
            <w:vAlign w:val="center"/>
          </w:tcPr>
          <w:p w14:paraId="4DBE4C71"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
                <w:bCs/>
                <w:sz w:val="18"/>
                <w:szCs w:val="18"/>
              </w:rPr>
              <w:t>-</w:t>
            </w:r>
          </w:p>
        </w:tc>
        <w:tc>
          <w:tcPr>
            <w:tcW w:w="737" w:type="dxa"/>
            <w:vAlign w:val="center"/>
          </w:tcPr>
          <w:p w14:paraId="1887657E"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Cs/>
                <w:sz w:val="18"/>
                <w:szCs w:val="18"/>
              </w:rPr>
              <w:t>422</w:t>
            </w:r>
          </w:p>
        </w:tc>
        <w:tc>
          <w:tcPr>
            <w:tcW w:w="1958" w:type="dxa"/>
            <w:vAlign w:val="center"/>
          </w:tcPr>
          <w:p w14:paraId="1D4D4F78" w14:textId="77777777" w:rsidR="005C4492" w:rsidRPr="00CE357F" w:rsidRDefault="005C4492" w:rsidP="005C4492">
            <w:pPr>
              <w:jc w:val="center"/>
              <w:rPr>
                <w:rFonts w:ascii="Arial Narrow" w:hAnsi="Arial Narrow"/>
                <w:sz w:val="18"/>
                <w:szCs w:val="18"/>
              </w:rPr>
            </w:pPr>
            <w:r w:rsidRPr="00CE357F">
              <w:rPr>
                <w:rFonts w:ascii="Arial Narrow" w:hAnsi="Arial Narrow"/>
                <w:b/>
                <w:bCs/>
                <w:color w:val="C00000"/>
                <w:sz w:val="18"/>
                <w:szCs w:val="18"/>
              </w:rPr>
              <w:t>-</w:t>
            </w:r>
          </w:p>
        </w:tc>
      </w:tr>
      <w:tr w:rsidR="005C4492" w:rsidRPr="00CE357F" w14:paraId="1DB9DCD4" w14:textId="77777777" w:rsidTr="005C4492">
        <w:trPr>
          <w:trHeight w:val="170"/>
        </w:trPr>
        <w:tc>
          <w:tcPr>
            <w:tcW w:w="801" w:type="dxa"/>
            <w:shd w:val="clear" w:color="auto" w:fill="D9E2F3" w:themeFill="accent1" w:themeFillTint="33"/>
            <w:vAlign w:val="center"/>
          </w:tcPr>
          <w:p w14:paraId="09F2D5AE"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2006</w:t>
            </w:r>
          </w:p>
        </w:tc>
        <w:tc>
          <w:tcPr>
            <w:tcW w:w="1910" w:type="dxa"/>
            <w:vAlign w:val="center"/>
          </w:tcPr>
          <w:p w14:paraId="43FC23CA" w14:textId="77777777" w:rsidR="005C4492" w:rsidRPr="00CE357F" w:rsidRDefault="005C4492" w:rsidP="005C4492">
            <w:pPr>
              <w:jc w:val="center"/>
              <w:rPr>
                <w:rFonts w:ascii="Arial Narrow" w:hAnsi="Arial Narrow"/>
                <w:sz w:val="18"/>
                <w:szCs w:val="18"/>
              </w:rPr>
            </w:pPr>
            <w:r w:rsidRPr="00CE357F">
              <w:rPr>
                <w:rFonts w:ascii="Arial Narrow" w:hAnsi="Arial Narrow"/>
                <w:sz w:val="18"/>
                <w:szCs w:val="18"/>
              </w:rPr>
              <w:t>860</w:t>
            </w:r>
          </w:p>
        </w:tc>
        <w:tc>
          <w:tcPr>
            <w:tcW w:w="711" w:type="dxa"/>
            <w:vAlign w:val="center"/>
          </w:tcPr>
          <w:p w14:paraId="3AF5E356"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
                <w:bCs/>
                <w:sz w:val="18"/>
                <w:szCs w:val="18"/>
              </w:rPr>
              <w:t>-</w:t>
            </w:r>
          </w:p>
        </w:tc>
        <w:tc>
          <w:tcPr>
            <w:tcW w:w="702" w:type="dxa"/>
            <w:vAlign w:val="center"/>
          </w:tcPr>
          <w:p w14:paraId="061F23C0"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
                <w:bCs/>
                <w:sz w:val="18"/>
                <w:szCs w:val="18"/>
              </w:rPr>
              <w:t>-</w:t>
            </w:r>
          </w:p>
        </w:tc>
        <w:tc>
          <w:tcPr>
            <w:tcW w:w="734" w:type="dxa"/>
            <w:vAlign w:val="center"/>
          </w:tcPr>
          <w:p w14:paraId="73AB377E"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sz w:val="18"/>
                <w:szCs w:val="18"/>
              </w:rPr>
              <w:t>504</w:t>
            </w:r>
          </w:p>
        </w:tc>
        <w:tc>
          <w:tcPr>
            <w:tcW w:w="710" w:type="dxa"/>
            <w:vAlign w:val="center"/>
          </w:tcPr>
          <w:p w14:paraId="0A7CC633"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
                <w:bCs/>
                <w:sz w:val="18"/>
                <w:szCs w:val="18"/>
              </w:rPr>
              <w:t>-</w:t>
            </w:r>
          </w:p>
        </w:tc>
        <w:tc>
          <w:tcPr>
            <w:tcW w:w="694" w:type="dxa"/>
            <w:vAlign w:val="center"/>
          </w:tcPr>
          <w:p w14:paraId="6FCC5BE1"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b/>
                <w:bCs/>
                <w:sz w:val="18"/>
                <w:szCs w:val="18"/>
              </w:rPr>
              <w:t>-</w:t>
            </w:r>
          </w:p>
        </w:tc>
        <w:tc>
          <w:tcPr>
            <w:tcW w:w="737" w:type="dxa"/>
            <w:vAlign w:val="center"/>
          </w:tcPr>
          <w:p w14:paraId="0DEDC046" w14:textId="77777777" w:rsidR="005C4492" w:rsidRPr="00CE357F" w:rsidRDefault="005C4492" w:rsidP="005C4492">
            <w:pPr>
              <w:spacing w:after="46"/>
              <w:jc w:val="center"/>
              <w:rPr>
                <w:rFonts w:ascii="Arial Narrow" w:hAnsi="Arial Narrow"/>
                <w:sz w:val="18"/>
                <w:szCs w:val="18"/>
              </w:rPr>
            </w:pPr>
            <w:r w:rsidRPr="00CE357F">
              <w:rPr>
                <w:rFonts w:ascii="Arial Narrow" w:hAnsi="Arial Narrow"/>
                <w:sz w:val="18"/>
                <w:szCs w:val="18"/>
              </w:rPr>
              <w:t>356</w:t>
            </w:r>
          </w:p>
        </w:tc>
        <w:tc>
          <w:tcPr>
            <w:tcW w:w="1958" w:type="dxa"/>
            <w:vAlign w:val="center"/>
          </w:tcPr>
          <w:p w14:paraId="74F608BB" w14:textId="77777777" w:rsidR="005C4492" w:rsidRPr="00CE357F" w:rsidRDefault="005C4492" w:rsidP="005C4492">
            <w:pPr>
              <w:jc w:val="center"/>
              <w:rPr>
                <w:rFonts w:ascii="Arial Narrow" w:hAnsi="Arial Narrow"/>
                <w:sz w:val="18"/>
                <w:szCs w:val="18"/>
              </w:rPr>
            </w:pPr>
            <w:r w:rsidRPr="00CE357F">
              <w:rPr>
                <w:rFonts w:ascii="Arial Narrow" w:hAnsi="Arial Narrow"/>
                <w:b/>
                <w:bCs/>
                <w:color w:val="C00000"/>
                <w:sz w:val="18"/>
                <w:szCs w:val="18"/>
              </w:rPr>
              <w:t>-</w:t>
            </w:r>
          </w:p>
        </w:tc>
      </w:tr>
    </w:tbl>
    <w:p w14:paraId="7E598442" w14:textId="1D76C8C5" w:rsidR="00B835F6" w:rsidRPr="00CE357F" w:rsidRDefault="00B835F6" w:rsidP="007504A4">
      <w:pPr>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Tabulka: AUGUR </w:t>
      </w:r>
      <w:proofErr w:type="spellStart"/>
      <w:r w:rsidRPr="00CE357F">
        <w:rPr>
          <w:rFonts w:ascii="Arial Narrow" w:hAnsi="Arial Narrow"/>
          <w:sz w:val="20"/>
          <w:szCs w:val="20"/>
        </w:rPr>
        <w:t>Consulting</w:t>
      </w:r>
      <w:proofErr w:type="spellEnd"/>
      <w:r w:rsidR="007504A4" w:rsidRPr="00CE357F">
        <w:rPr>
          <w:rFonts w:ascii="Arial Narrow" w:hAnsi="Arial Narrow"/>
          <w:sz w:val="20"/>
          <w:szCs w:val="20"/>
        </w:rPr>
        <w:t xml:space="preserve"> s.r.o.</w:t>
      </w:r>
    </w:p>
    <w:p w14:paraId="04DFC19F" w14:textId="77777777" w:rsidR="006355B6" w:rsidRDefault="006355B6" w:rsidP="00B835F6">
      <w:pPr>
        <w:spacing w:after="240"/>
        <w:rPr>
          <w:rFonts w:ascii="Arial Narrow" w:hAnsi="Arial Narrow"/>
          <w:b/>
          <w:bCs/>
          <w:color w:val="C00000"/>
        </w:rPr>
      </w:pPr>
    </w:p>
    <w:p w14:paraId="1DD6DB72" w14:textId="0973FAA3" w:rsidR="00B835F6" w:rsidRPr="00CE357F" w:rsidRDefault="00B835F6" w:rsidP="00B835F6">
      <w:pPr>
        <w:spacing w:after="240"/>
        <w:rPr>
          <w:rFonts w:ascii="Arial Narrow" w:hAnsi="Arial Narrow"/>
          <w:b/>
          <w:bCs/>
          <w:color w:val="C00000"/>
        </w:rPr>
      </w:pPr>
      <w:r w:rsidRPr="00CE357F">
        <w:rPr>
          <w:rFonts w:ascii="Arial Narrow" w:hAnsi="Arial Narrow"/>
          <w:b/>
          <w:bCs/>
          <w:color w:val="C00000"/>
        </w:rPr>
        <w:t xml:space="preserve">Osoby s jinou než českou státní příslušností v ORP Břeclav v letech </w:t>
      </w:r>
      <w:r w:rsidR="006355B6" w:rsidRPr="00CE357F">
        <w:rPr>
          <w:rFonts w:ascii="Arial Narrow" w:hAnsi="Arial Narrow"/>
          <w:b/>
          <w:bCs/>
          <w:color w:val="C00000"/>
        </w:rPr>
        <w:t>2021</w:t>
      </w:r>
      <w:r w:rsidR="006355B6">
        <w:rPr>
          <w:rFonts w:ascii="Arial Narrow" w:hAnsi="Arial Narrow"/>
          <w:b/>
          <w:bCs/>
          <w:color w:val="C00000"/>
        </w:rPr>
        <w:t>, 2022</w:t>
      </w:r>
      <w:r w:rsidR="006355B6" w:rsidRPr="00CE357F">
        <w:rPr>
          <w:rFonts w:ascii="Arial Narrow" w:hAnsi="Arial Narrow"/>
          <w:b/>
          <w:bCs/>
          <w:color w:val="C00000"/>
        </w:rPr>
        <w:t xml:space="preserve"> a 202</w:t>
      </w:r>
      <w:r w:rsidR="006355B6">
        <w:rPr>
          <w:rFonts w:ascii="Arial Narrow" w:hAnsi="Arial Narrow"/>
          <w:b/>
          <w:bCs/>
          <w:color w:val="C00000"/>
        </w:rPr>
        <w:t>3</w:t>
      </w:r>
    </w:p>
    <w:p w14:paraId="56AD7808" w14:textId="26E58F74" w:rsidR="00B835F6" w:rsidRPr="00CE357F" w:rsidRDefault="00B835F6" w:rsidP="00B835F6">
      <w:pPr>
        <w:spacing w:after="240" w:line="276" w:lineRule="auto"/>
        <w:rPr>
          <w:rFonts w:ascii="Arial Narrow" w:hAnsi="Arial Narrow"/>
          <w:bCs/>
        </w:rPr>
      </w:pPr>
      <w:r w:rsidRPr="00CE357F">
        <w:rPr>
          <w:rFonts w:ascii="Arial Narrow" w:hAnsi="Arial Narrow"/>
          <w:bCs/>
        </w:rPr>
        <w:t>Tato kapitola podrobně mapuje počet osob s jinou než českou státní příslušností ve vybraných obcí ORP Břeclav</w:t>
      </w:r>
      <w:r w:rsidR="00C50D20" w:rsidRPr="00CE357F">
        <w:rPr>
          <w:rFonts w:ascii="Arial Narrow" w:hAnsi="Arial Narrow"/>
          <w:bCs/>
        </w:rPr>
        <w:t xml:space="preserve"> v letech 2021</w:t>
      </w:r>
      <w:r w:rsidR="006355B6">
        <w:rPr>
          <w:rFonts w:ascii="Arial Narrow" w:hAnsi="Arial Narrow"/>
          <w:bCs/>
        </w:rPr>
        <w:t>,</w:t>
      </w:r>
      <w:r w:rsidR="00C50D20" w:rsidRPr="00CE357F">
        <w:rPr>
          <w:rFonts w:ascii="Arial Narrow" w:hAnsi="Arial Narrow"/>
          <w:bCs/>
        </w:rPr>
        <w:t xml:space="preserve"> 2</w:t>
      </w:r>
      <w:r w:rsidRPr="00CE357F">
        <w:rPr>
          <w:rFonts w:ascii="Arial Narrow" w:hAnsi="Arial Narrow"/>
          <w:bCs/>
        </w:rPr>
        <w:t>022</w:t>
      </w:r>
      <w:r w:rsidR="006355B6">
        <w:rPr>
          <w:rFonts w:ascii="Arial Narrow" w:hAnsi="Arial Narrow"/>
          <w:bCs/>
        </w:rPr>
        <w:t xml:space="preserve"> a 2023</w:t>
      </w:r>
      <w:r w:rsidRPr="00CE357F">
        <w:rPr>
          <w:rFonts w:ascii="Arial Narrow" w:hAnsi="Arial Narrow"/>
          <w:bCs/>
        </w:rPr>
        <w:t xml:space="preserve"> dle věku, pohlaví a podílu těchto osob na celkovém počtu obyvatel daných obcí. </w:t>
      </w:r>
    </w:p>
    <w:p w14:paraId="3448FD68" w14:textId="77777777" w:rsidR="00B835F6" w:rsidRPr="00CE357F" w:rsidRDefault="00B835F6" w:rsidP="00B835F6">
      <w:pPr>
        <w:spacing w:line="276" w:lineRule="auto"/>
        <w:rPr>
          <w:rFonts w:ascii="Arial Narrow" w:hAnsi="Arial Narrow"/>
          <w:b/>
          <w:bCs/>
        </w:rPr>
      </w:pPr>
      <w:r w:rsidRPr="00CE357F">
        <w:rPr>
          <w:rFonts w:ascii="Arial Narrow" w:hAnsi="Arial Narrow"/>
          <w:b/>
          <w:bCs/>
        </w:rPr>
        <w:t>Osoby s jinou než českou státní příslušností v ORP Břeclav k datu 1. 1. 2021</w:t>
      </w:r>
    </w:p>
    <w:p w14:paraId="6F2E538F" w14:textId="37C75BF3" w:rsidR="00B835F6" w:rsidRPr="00CE357F" w:rsidRDefault="00B835F6" w:rsidP="00B835F6">
      <w:pPr>
        <w:spacing w:after="120" w:line="276" w:lineRule="auto"/>
        <w:jc w:val="both"/>
        <w:rPr>
          <w:rFonts w:ascii="Arial Narrow" w:hAnsi="Arial Narrow"/>
          <w:color w:val="000000"/>
        </w:rPr>
      </w:pPr>
      <w:r w:rsidRPr="00CE357F">
        <w:rPr>
          <w:rFonts w:ascii="Arial Narrow" w:hAnsi="Arial Narrow"/>
          <w:color w:val="000000"/>
        </w:rPr>
        <w:br/>
        <w:t>V ORP Břeclav žilo k datu 1. 1. 2021 celkem 2 057 osob s jinou než českou státní příslušností, což bylo zhruba 3,5 % všech obyvatel ORP Břeclav. Polovina (50,3 %) všech osob s jinou než českou státní příslušností na území OPR Břeclav měl</w:t>
      </w:r>
      <w:r w:rsidR="008059DD" w:rsidRPr="00CE357F">
        <w:rPr>
          <w:rFonts w:ascii="Arial Narrow" w:hAnsi="Arial Narrow"/>
          <w:color w:val="000000"/>
        </w:rPr>
        <w:t>a</w:t>
      </w:r>
      <w:r w:rsidRPr="00CE357F">
        <w:rPr>
          <w:rFonts w:ascii="Arial Narrow" w:hAnsi="Arial Narrow"/>
          <w:color w:val="000000"/>
        </w:rPr>
        <w:t xml:space="preserve"> trvalý pobyt, druhá polovina (49,7 %) pak pobyt přechodný. Podíl dětí do 15 let z celkového počtu těchto osob v ORP Břeclav byl 8,2 %. Nejvyšší podíl osob s jinou než českou státní příslušností na celkovém počtu obyvatel v dané obci byl v </w:t>
      </w:r>
      <w:proofErr w:type="spellStart"/>
      <w:r w:rsidRPr="00CE357F">
        <w:rPr>
          <w:rFonts w:ascii="Arial Narrow" w:hAnsi="Arial Narrow"/>
          <w:color w:val="000000"/>
        </w:rPr>
        <w:t>Podivíně</w:t>
      </w:r>
      <w:proofErr w:type="spellEnd"/>
      <w:r w:rsidRPr="00CE357F">
        <w:rPr>
          <w:rFonts w:ascii="Arial Narrow" w:hAnsi="Arial Narrow"/>
          <w:color w:val="000000"/>
        </w:rPr>
        <w:t xml:space="preserve"> (5 %), druhý nejvyšší podíl byl evidován v Ladné (4,7 %) a </w:t>
      </w:r>
      <w:r w:rsidR="00DE56F4" w:rsidRPr="00CE357F">
        <w:rPr>
          <w:rFonts w:ascii="Arial Narrow" w:hAnsi="Arial Narrow"/>
          <w:color w:val="000000"/>
        </w:rPr>
        <w:t>dále</w:t>
      </w:r>
      <w:r w:rsidRPr="00CE357F">
        <w:rPr>
          <w:rFonts w:ascii="Arial Narrow" w:hAnsi="Arial Narrow"/>
          <w:color w:val="000000"/>
        </w:rPr>
        <w:t xml:space="preserve"> v Břeclavi (4,3 %)</w:t>
      </w:r>
      <w:r w:rsidR="00DE56F4" w:rsidRPr="00CE357F">
        <w:rPr>
          <w:rFonts w:ascii="Arial Narrow" w:hAnsi="Arial Narrow"/>
          <w:color w:val="000000"/>
        </w:rPr>
        <w:t xml:space="preserve"> a ve Valticích (4,2 %)</w:t>
      </w:r>
      <w:r w:rsidRPr="00CE357F">
        <w:rPr>
          <w:rFonts w:ascii="Arial Narrow" w:hAnsi="Arial Narrow"/>
          <w:color w:val="000000"/>
        </w:rPr>
        <w:t>.</w:t>
      </w:r>
    </w:p>
    <w:p w14:paraId="17BD9916" w14:textId="4E11EABE" w:rsidR="00B835F6" w:rsidRPr="00CE357F" w:rsidRDefault="00B835F6" w:rsidP="00B835F6">
      <w:pPr>
        <w:shd w:val="clear" w:color="auto" w:fill="FFFFFF" w:themeFill="background1"/>
        <w:spacing w:after="120" w:line="276" w:lineRule="auto"/>
        <w:jc w:val="both"/>
        <w:rPr>
          <w:rFonts w:ascii="Arial Narrow" w:hAnsi="Arial Narrow"/>
          <w:color w:val="000000"/>
        </w:rPr>
      </w:pPr>
      <w:r w:rsidRPr="00CE357F">
        <w:rPr>
          <w:rFonts w:ascii="Arial Narrow" w:hAnsi="Arial Narrow"/>
          <w:color w:val="000000"/>
        </w:rPr>
        <w:t>V ORP Břeclav bylo k 1. 1. 2021</w:t>
      </w:r>
      <w:r w:rsidR="00DE56F4" w:rsidRPr="00CE357F">
        <w:rPr>
          <w:rFonts w:ascii="Arial Narrow" w:hAnsi="Arial Narrow"/>
          <w:color w:val="000000"/>
        </w:rPr>
        <w:t xml:space="preserve"> celkem</w:t>
      </w:r>
      <w:r w:rsidRPr="00CE357F">
        <w:rPr>
          <w:rFonts w:ascii="Arial Narrow" w:hAnsi="Arial Narrow"/>
          <w:color w:val="000000"/>
        </w:rPr>
        <w:t xml:space="preserve"> 18 obcí, přičemž v každé z nich se nacházela alespoň jedna osoba s jinou než českou státní příslušností. Z důvodu velkého množství dat dále pracujeme jen s obcemi, na jejichž území v dané době pobývalo 10 a více těchto osob.</w:t>
      </w:r>
      <w:r w:rsidR="00DE56F4" w:rsidRPr="00CE357F">
        <w:rPr>
          <w:rFonts w:ascii="Arial Narrow" w:hAnsi="Arial Narrow"/>
          <w:color w:val="000000"/>
        </w:rPr>
        <w:t xml:space="preserve"> </w:t>
      </w:r>
      <w:r w:rsidRPr="00CE357F">
        <w:rPr>
          <w:rFonts w:ascii="Arial Narrow" w:hAnsi="Arial Narrow"/>
          <w:color w:val="000000"/>
        </w:rPr>
        <w:t xml:space="preserve">Počty osob s jinou než českou státní příslušností v daných obcích včetně rozdělení těchto osob podle pohlaví a věku </w:t>
      </w:r>
      <w:r w:rsidR="00572269">
        <w:rPr>
          <w:rFonts w:ascii="Arial Narrow" w:hAnsi="Arial Narrow"/>
          <w:color w:val="000000"/>
        </w:rPr>
        <w:t xml:space="preserve">a jejich podíl na celkovém počtu obyvatel </w:t>
      </w:r>
      <w:r w:rsidRPr="00CE357F">
        <w:rPr>
          <w:rFonts w:ascii="Arial Narrow" w:hAnsi="Arial Narrow"/>
          <w:color w:val="000000"/>
        </w:rPr>
        <w:t>podrobně dokumentuj</w:t>
      </w:r>
      <w:r w:rsidR="00572269">
        <w:rPr>
          <w:rFonts w:ascii="Arial Narrow" w:hAnsi="Arial Narrow"/>
          <w:color w:val="000000"/>
        </w:rPr>
        <w:t>í</w:t>
      </w:r>
      <w:r w:rsidRPr="00CE357F">
        <w:rPr>
          <w:rFonts w:ascii="Arial Narrow" w:hAnsi="Arial Narrow"/>
          <w:color w:val="000000"/>
        </w:rPr>
        <w:t xml:space="preserve"> následující tabulka</w:t>
      </w:r>
      <w:r w:rsidR="00572269">
        <w:rPr>
          <w:rFonts w:ascii="Arial Narrow" w:hAnsi="Arial Narrow"/>
          <w:color w:val="000000"/>
        </w:rPr>
        <w:t xml:space="preserve"> č. 42 a graf č. 112</w:t>
      </w:r>
      <w:r w:rsidRPr="00CE357F">
        <w:rPr>
          <w:rFonts w:ascii="Arial Narrow" w:hAnsi="Arial Narrow"/>
          <w:color w:val="000000"/>
        </w:rPr>
        <w:t xml:space="preserve">. </w:t>
      </w:r>
    </w:p>
    <w:p w14:paraId="5FA6A327" w14:textId="17A0FECA" w:rsidR="00B835F6" w:rsidRPr="00CE357F" w:rsidRDefault="00B835F6" w:rsidP="00C50D20">
      <w:pPr>
        <w:jc w:val="both"/>
        <w:rPr>
          <w:rFonts w:ascii="Arial Narrow" w:hAnsi="Arial Narrow"/>
          <w:b/>
          <w:bCs/>
          <w:sz w:val="24"/>
          <w:szCs w:val="24"/>
        </w:rPr>
      </w:pPr>
      <w:bookmarkStart w:id="694" w:name="_Toc136429253"/>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42</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Břeclav v roce 2021</w:t>
      </w:r>
      <w:bookmarkEnd w:id="694"/>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42"/>
        <w:gridCol w:w="892"/>
        <w:gridCol w:w="1270"/>
        <w:gridCol w:w="1406"/>
        <w:gridCol w:w="573"/>
        <w:gridCol w:w="636"/>
        <w:gridCol w:w="811"/>
        <w:gridCol w:w="695"/>
        <w:gridCol w:w="558"/>
        <w:gridCol w:w="974"/>
      </w:tblGrid>
      <w:tr w:rsidR="00B835F6" w:rsidRPr="00CE357F" w14:paraId="066BC82F" w14:textId="77777777" w:rsidTr="00B835F6">
        <w:trPr>
          <w:trHeight w:val="204"/>
        </w:trPr>
        <w:tc>
          <w:tcPr>
            <w:tcW w:w="1169" w:type="dxa"/>
            <w:vMerge w:val="restart"/>
            <w:shd w:val="clear" w:color="auto" w:fill="D9E2F3" w:themeFill="accent1" w:themeFillTint="33"/>
            <w:vAlign w:val="center"/>
          </w:tcPr>
          <w:p w14:paraId="16CDF7EC"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905" w:type="dxa"/>
            <w:vMerge w:val="restart"/>
            <w:shd w:val="clear" w:color="auto" w:fill="D9E2F3" w:themeFill="accent1" w:themeFillTint="33"/>
            <w:vAlign w:val="center"/>
          </w:tcPr>
          <w:p w14:paraId="76ACC9A9" w14:textId="77777777" w:rsidR="00B835F6" w:rsidRPr="00CE357F" w:rsidRDefault="00B835F6" w:rsidP="00B835F6">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301" w:type="dxa"/>
            <w:vMerge w:val="restart"/>
            <w:shd w:val="clear" w:color="auto" w:fill="D9E2F3" w:themeFill="accent1" w:themeFillTint="33"/>
            <w:vAlign w:val="center"/>
          </w:tcPr>
          <w:p w14:paraId="5DC149AF" w14:textId="77777777" w:rsidR="00B835F6" w:rsidRPr="00CE357F" w:rsidRDefault="00B835F6" w:rsidP="00B835F6">
            <w:pPr>
              <w:jc w:val="center"/>
              <w:rPr>
                <w:rFonts w:ascii="Arial Narrow" w:hAnsi="Arial Narrow"/>
                <w:sz w:val="18"/>
                <w:szCs w:val="18"/>
              </w:rPr>
            </w:pPr>
            <w:r w:rsidRPr="00CE357F">
              <w:rPr>
                <w:rFonts w:ascii="Arial Narrow" w:hAnsi="Arial Narrow"/>
                <w:bCs/>
                <w:color w:val="000000"/>
                <w:sz w:val="18"/>
                <w:szCs w:val="18"/>
              </w:rPr>
              <w:t>Osoby s jinou než českou státní příslušností</w:t>
            </w:r>
            <w:r w:rsidRPr="00CE357F">
              <w:rPr>
                <w:rFonts w:ascii="Arial Narrow" w:eastAsia="Times New Roman" w:hAnsi="Arial Narrow" w:cs="Arial"/>
                <w:bCs/>
                <w:sz w:val="18"/>
                <w:szCs w:val="18"/>
                <w:lang w:eastAsia="cs-CZ"/>
              </w:rPr>
              <w:t xml:space="preserve"> celkem</w:t>
            </w:r>
          </w:p>
        </w:tc>
        <w:tc>
          <w:tcPr>
            <w:tcW w:w="1451" w:type="dxa"/>
            <w:vMerge w:val="restart"/>
            <w:shd w:val="clear" w:color="auto" w:fill="D9E2F3" w:themeFill="accent1" w:themeFillTint="33"/>
            <w:vAlign w:val="center"/>
          </w:tcPr>
          <w:p w14:paraId="5B34B0FD" w14:textId="77777777" w:rsidR="00B835F6" w:rsidRPr="00CE357F" w:rsidRDefault="00B835F6" w:rsidP="00B835F6">
            <w:pPr>
              <w:jc w:val="center"/>
              <w:rPr>
                <w:rFonts w:ascii="Arial Narrow" w:eastAsia="Times New Roman" w:hAnsi="Arial Narrow" w:cs="Arial"/>
                <w:sz w:val="18"/>
                <w:szCs w:val="18"/>
                <w:lang w:eastAsia="cs-CZ"/>
              </w:rPr>
            </w:pPr>
            <w:r w:rsidRPr="00CE357F">
              <w:rPr>
                <w:rFonts w:ascii="Arial Narrow" w:eastAsia="Times New Roman" w:hAnsi="Arial Narrow" w:cs="Arial"/>
                <w:bCs/>
                <w:sz w:val="18"/>
                <w:szCs w:val="18"/>
                <w:lang w:eastAsia="cs-CZ"/>
              </w:rPr>
              <w:t xml:space="preserve">Podíl </w:t>
            </w:r>
            <w:r w:rsidRPr="00CE357F">
              <w:rPr>
                <w:rFonts w:ascii="Arial Narrow" w:hAnsi="Arial Narrow"/>
                <w:bCs/>
                <w:color w:val="000000"/>
                <w:sz w:val="18"/>
                <w:szCs w:val="18"/>
              </w:rPr>
              <w:t>osob s jinou než českou státní příslušností</w:t>
            </w:r>
            <w:r w:rsidRPr="00CE357F">
              <w:rPr>
                <w:rFonts w:ascii="Arial Narrow" w:eastAsia="Times New Roman" w:hAnsi="Arial Narrow" w:cs="Arial"/>
                <w:bCs/>
                <w:sz w:val="18"/>
                <w:szCs w:val="18"/>
                <w:lang w:eastAsia="cs-CZ"/>
              </w:rPr>
              <w:t xml:space="preserve"> na celkovém počtu obyvatel</w:t>
            </w:r>
          </w:p>
        </w:tc>
        <w:tc>
          <w:tcPr>
            <w:tcW w:w="2063" w:type="dxa"/>
            <w:gridSpan w:val="3"/>
            <w:shd w:val="clear" w:color="auto" w:fill="D9E2F3" w:themeFill="accent1" w:themeFillTint="33"/>
            <w:vAlign w:val="center"/>
          </w:tcPr>
          <w:p w14:paraId="0F76C1C4"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2291" w:type="dxa"/>
            <w:gridSpan w:val="3"/>
            <w:shd w:val="clear" w:color="auto" w:fill="D9E2F3" w:themeFill="accent1" w:themeFillTint="33"/>
            <w:vAlign w:val="center"/>
          </w:tcPr>
          <w:p w14:paraId="59F4263D"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B835F6" w:rsidRPr="00CE357F" w14:paraId="50B59F27" w14:textId="77777777" w:rsidTr="00B835F6">
        <w:trPr>
          <w:trHeight w:val="204"/>
        </w:trPr>
        <w:tc>
          <w:tcPr>
            <w:tcW w:w="1169" w:type="dxa"/>
            <w:vMerge/>
            <w:shd w:val="clear" w:color="auto" w:fill="D9E2F3" w:themeFill="accent1" w:themeFillTint="33"/>
            <w:vAlign w:val="center"/>
          </w:tcPr>
          <w:p w14:paraId="6FEB5444" w14:textId="77777777" w:rsidR="00B835F6" w:rsidRPr="00CE357F" w:rsidRDefault="00B835F6" w:rsidP="00B835F6">
            <w:pPr>
              <w:jc w:val="center"/>
              <w:rPr>
                <w:rFonts w:ascii="Arial Narrow" w:eastAsia="Times New Roman" w:hAnsi="Arial Narrow" w:cs="Arial"/>
                <w:sz w:val="18"/>
                <w:szCs w:val="18"/>
                <w:lang w:eastAsia="cs-CZ"/>
              </w:rPr>
            </w:pPr>
          </w:p>
        </w:tc>
        <w:tc>
          <w:tcPr>
            <w:tcW w:w="905" w:type="dxa"/>
            <w:vMerge/>
            <w:shd w:val="clear" w:color="auto" w:fill="D9E2F3" w:themeFill="accent1" w:themeFillTint="33"/>
            <w:vAlign w:val="center"/>
          </w:tcPr>
          <w:p w14:paraId="320CA074" w14:textId="77777777" w:rsidR="00B835F6" w:rsidRPr="00CE357F" w:rsidRDefault="00B835F6" w:rsidP="00B835F6">
            <w:pPr>
              <w:jc w:val="center"/>
              <w:rPr>
                <w:rFonts w:ascii="Arial Narrow" w:eastAsia="Times New Roman" w:hAnsi="Arial Narrow" w:cs="Arial"/>
                <w:sz w:val="18"/>
                <w:szCs w:val="18"/>
                <w:lang w:eastAsia="cs-CZ"/>
              </w:rPr>
            </w:pPr>
          </w:p>
        </w:tc>
        <w:tc>
          <w:tcPr>
            <w:tcW w:w="1301" w:type="dxa"/>
            <w:vMerge/>
            <w:shd w:val="clear" w:color="auto" w:fill="D9E2F3" w:themeFill="accent1" w:themeFillTint="33"/>
            <w:vAlign w:val="center"/>
          </w:tcPr>
          <w:p w14:paraId="29743D43" w14:textId="77777777" w:rsidR="00B835F6" w:rsidRPr="00CE357F" w:rsidRDefault="00B835F6" w:rsidP="00B835F6">
            <w:pPr>
              <w:jc w:val="center"/>
              <w:rPr>
                <w:rFonts w:ascii="Arial Narrow" w:eastAsia="Times New Roman" w:hAnsi="Arial Narrow" w:cs="Arial"/>
                <w:sz w:val="18"/>
                <w:szCs w:val="18"/>
                <w:lang w:eastAsia="cs-CZ"/>
              </w:rPr>
            </w:pPr>
          </w:p>
        </w:tc>
        <w:tc>
          <w:tcPr>
            <w:tcW w:w="1451" w:type="dxa"/>
            <w:vMerge/>
            <w:shd w:val="clear" w:color="auto" w:fill="D9E2F3" w:themeFill="accent1" w:themeFillTint="33"/>
            <w:vAlign w:val="center"/>
          </w:tcPr>
          <w:p w14:paraId="6B5EF2E0" w14:textId="77777777" w:rsidR="00B835F6" w:rsidRPr="00CE357F" w:rsidRDefault="00B835F6" w:rsidP="00B835F6">
            <w:pPr>
              <w:jc w:val="center"/>
              <w:rPr>
                <w:rFonts w:ascii="Arial Narrow" w:eastAsia="Times New Roman" w:hAnsi="Arial Narrow" w:cs="Arial"/>
                <w:sz w:val="18"/>
                <w:szCs w:val="18"/>
                <w:lang w:eastAsia="cs-CZ"/>
              </w:rPr>
            </w:pPr>
          </w:p>
        </w:tc>
        <w:tc>
          <w:tcPr>
            <w:tcW w:w="582" w:type="dxa"/>
            <w:shd w:val="clear" w:color="auto" w:fill="D9E2F3" w:themeFill="accent1" w:themeFillTint="33"/>
            <w:vAlign w:val="center"/>
          </w:tcPr>
          <w:p w14:paraId="34987CC7"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660" w:type="dxa"/>
            <w:shd w:val="clear" w:color="auto" w:fill="D9E2F3" w:themeFill="accent1" w:themeFillTint="33"/>
            <w:vAlign w:val="center"/>
          </w:tcPr>
          <w:p w14:paraId="58F7AC71"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21" w:type="dxa"/>
            <w:shd w:val="clear" w:color="auto" w:fill="D9E2F3" w:themeFill="accent1" w:themeFillTint="33"/>
            <w:vAlign w:val="center"/>
          </w:tcPr>
          <w:p w14:paraId="309F5633"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716" w:type="dxa"/>
            <w:shd w:val="clear" w:color="auto" w:fill="D9E2F3" w:themeFill="accent1" w:themeFillTint="33"/>
            <w:vAlign w:val="center"/>
          </w:tcPr>
          <w:p w14:paraId="6BBAB2A0"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74" w:type="dxa"/>
            <w:shd w:val="clear" w:color="auto" w:fill="D9E2F3" w:themeFill="accent1" w:themeFillTint="33"/>
            <w:vAlign w:val="center"/>
          </w:tcPr>
          <w:p w14:paraId="746384A1"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1001" w:type="dxa"/>
            <w:shd w:val="clear" w:color="auto" w:fill="D9E2F3" w:themeFill="accent1" w:themeFillTint="33"/>
            <w:vAlign w:val="center"/>
          </w:tcPr>
          <w:p w14:paraId="28E412E5"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171B4D" w:rsidRPr="00CE357F" w14:paraId="21F24B78" w14:textId="77777777" w:rsidTr="00B835F6">
        <w:trPr>
          <w:trHeight w:val="204"/>
        </w:trPr>
        <w:tc>
          <w:tcPr>
            <w:tcW w:w="1169" w:type="dxa"/>
            <w:shd w:val="clear" w:color="auto" w:fill="D9E2F3" w:themeFill="accent1" w:themeFillTint="33"/>
            <w:vAlign w:val="center"/>
          </w:tcPr>
          <w:p w14:paraId="7E8B29BB"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Podivín</w:t>
            </w:r>
          </w:p>
        </w:tc>
        <w:tc>
          <w:tcPr>
            <w:tcW w:w="905" w:type="dxa"/>
            <w:vAlign w:val="bottom"/>
          </w:tcPr>
          <w:p w14:paraId="3BCCD9E7"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2 897</w:t>
            </w:r>
          </w:p>
        </w:tc>
        <w:tc>
          <w:tcPr>
            <w:tcW w:w="1301" w:type="dxa"/>
            <w:vAlign w:val="center"/>
          </w:tcPr>
          <w:p w14:paraId="3CD04D35"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145</w:t>
            </w:r>
          </w:p>
        </w:tc>
        <w:tc>
          <w:tcPr>
            <w:tcW w:w="1451" w:type="dxa"/>
            <w:vAlign w:val="center"/>
          </w:tcPr>
          <w:p w14:paraId="1E2EBF60" w14:textId="77777777" w:rsidR="00171B4D" w:rsidRPr="00CE357F" w:rsidRDefault="00171B4D" w:rsidP="00B835F6">
            <w:pPr>
              <w:jc w:val="center"/>
              <w:rPr>
                <w:rFonts w:ascii="Arial Narrow" w:hAnsi="Arial Narrow"/>
                <w:b/>
                <w:sz w:val="18"/>
                <w:szCs w:val="18"/>
              </w:rPr>
            </w:pPr>
            <w:r w:rsidRPr="00CE357F">
              <w:rPr>
                <w:rFonts w:ascii="Arial Narrow" w:hAnsi="Arial Narrow" w:cs="Arial"/>
                <w:b/>
                <w:color w:val="C00000"/>
                <w:sz w:val="18"/>
                <w:szCs w:val="18"/>
              </w:rPr>
              <w:t>5,0 %</w:t>
            </w:r>
          </w:p>
        </w:tc>
        <w:tc>
          <w:tcPr>
            <w:tcW w:w="582" w:type="dxa"/>
            <w:vAlign w:val="center"/>
          </w:tcPr>
          <w:p w14:paraId="0270868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97</w:t>
            </w:r>
          </w:p>
        </w:tc>
        <w:tc>
          <w:tcPr>
            <w:tcW w:w="660" w:type="dxa"/>
            <w:vAlign w:val="center"/>
          </w:tcPr>
          <w:p w14:paraId="31E62C9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w:t>
            </w:r>
          </w:p>
        </w:tc>
        <w:tc>
          <w:tcPr>
            <w:tcW w:w="821" w:type="dxa"/>
            <w:vAlign w:val="center"/>
          </w:tcPr>
          <w:p w14:paraId="664A134C"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101</w:t>
            </w:r>
          </w:p>
        </w:tc>
        <w:tc>
          <w:tcPr>
            <w:tcW w:w="716" w:type="dxa"/>
            <w:vAlign w:val="center"/>
          </w:tcPr>
          <w:p w14:paraId="42D3250C"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41</w:t>
            </w:r>
          </w:p>
        </w:tc>
        <w:tc>
          <w:tcPr>
            <w:tcW w:w="574" w:type="dxa"/>
            <w:vAlign w:val="center"/>
          </w:tcPr>
          <w:p w14:paraId="3941206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w:t>
            </w:r>
          </w:p>
        </w:tc>
        <w:tc>
          <w:tcPr>
            <w:tcW w:w="1001" w:type="dxa"/>
            <w:vAlign w:val="center"/>
          </w:tcPr>
          <w:p w14:paraId="1285614C"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44</w:t>
            </w:r>
          </w:p>
        </w:tc>
      </w:tr>
      <w:tr w:rsidR="00171B4D" w:rsidRPr="00CE357F" w14:paraId="11480F53" w14:textId="77777777" w:rsidTr="00B835F6">
        <w:trPr>
          <w:trHeight w:val="204"/>
        </w:trPr>
        <w:tc>
          <w:tcPr>
            <w:tcW w:w="1169" w:type="dxa"/>
            <w:shd w:val="clear" w:color="auto" w:fill="D9E2F3" w:themeFill="accent1" w:themeFillTint="33"/>
            <w:vAlign w:val="center"/>
          </w:tcPr>
          <w:p w14:paraId="67461089"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Ladná</w:t>
            </w:r>
          </w:p>
        </w:tc>
        <w:tc>
          <w:tcPr>
            <w:tcW w:w="905" w:type="dxa"/>
            <w:vAlign w:val="bottom"/>
          </w:tcPr>
          <w:p w14:paraId="05F53EBA"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1 209</w:t>
            </w:r>
          </w:p>
        </w:tc>
        <w:tc>
          <w:tcPr>
            <w:tcW w:w="1301" w:type="dxa"/>
            <w:vAlign w:val="center"/>
          </w:tcPr>
          <w:p w14:paraId="2C7408B7"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57</w:t>
            </w:r>
          </w:p>
        </w:tc>
        <w:tc>
          <w:tcPr>
            <w:tcW w:w="1451" w:type="dxa"/>
            <w:vAlign w:val="center"/>
          </w:tcPr>
          <w:p w14:paraId="7A7F0F39" w14:textId="77777777" w:rsidR="00171B4D" w:rsidRPr="00CE357F" w:rsidRDefault="00171B4D" w:rsidP="00B835F6">
            <w:pPr>
              <w:jc w:val="center"/>
              <w:rPr>
                <w:rFonts w:ascii="Arial Narrow" w:hAnsi="Arial Narrow"/>
                <w:b/>
                <w:sz w:val="18"/>
                <w:szCs w:val="18"/>
              </w:rPr>
            </w:pPr>
            <w:r w:rsidRPr="00CE357F">
              <w:rPr>
                <w:rFonts w:ascii="Arial Narrow" w:hAnsi="Arial Narrow" w:cs="Arial"/>
                <w:b/>
                <w:color w:val="C00000"/>
                <w:sz w:val="18"/>
                <w:szCs w:val="18"/>
              </w:rPr>
              <w:t>4,7 %</w:t>
            </w:r>
          </w:p>
        </w:tc>
        <w:tc>
          <w:tcPr>
            <w:tcW w:w="582" w:type="dxa"/>
            <w:vAlign w:val="center"/>
          </w:tcPr>
          <w:p w14:paraId="7777E72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25</w:t>
            </w:r>
          </w:p>
        </w:tc>
        <w:tc>
          <w:tcPr>
            <w:tcW w:w="660" w:type="dxa"/>
            <w:vAlign w:val="center"/>
          </w:tcPr>
          <w:p w14:paraId="4DEACCB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0</w:t>
            </w:r>
          </w:p>
        </w:tc>
        <w:tc>
          <w:tcPr>
            <w:tcW w:w="821" w:type="dxa"/>
            <w:vAlign w:val="center"/>
          </w:tcPr>
          <w:p w14:paraId="43BC0F00"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25</w:t>
            </w:r>
          </w:p>
        </w:tc>
        <w:tc>
          <w:tcPr>
            <w:tcW w:w="716" w:type="dxa"/>
            <w:vAlign w:val="center"/>
          </w:tcPr>
          <w:p w14:paraId="20984546"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26</w:t>
            </w:r>
          </w:p>
        </w:tc>
        <w:tc>
          <w:tcPr>
            <w:tcW w:w="574" w:type="dxa"/>
            <w:vAlign w:val="center"/>
          </w:tcPr>
          <w:p w14:paraId="0CA652D8"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6</w:t>
            </w:r>
          </w:p>
        </w:tc>
        <w:tc>
          <w:tcPr>
            <w:tcW w:w="1001" w:type="dxa"/>
            <w:vAlign w:val="center"/>
          </w:tcPr>
          <w:p w14:paraId="63C4D5B9"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32</w:t>
            </w:r>
          </w:p>
        </w:tc>
      </w:tr>
      <w:tr w:rsidR="00171B4D" w:rsidRPr="00CE357F" w14:paraId="5A259C50" w14:textId="77777777" w:rsidTr="00B835F6">
        <w:trPr>
          <w:trHeight w:val="204"/>
        </w:trPr>
        <w:tc>
          <w:tcPr>
            <w:tcW w:w="1169" w:type="dxa"/>
            <w:shd w:val="clear" w:color="auto" w:fill="D9E2F3" w:themeFill="accent1" w:themeFillTint="33"/>
            <w:vAlign w:val="center"/>
          </w:tcPr>
          <w:p w14:paraId="148092F6"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Břeclav</w:t>
            </w:r>
          </w:p>
        </w:tc>
        <w:tc>
          <w:tcPr>
            <w:tcW w:w="905" w:type="dxa"/>
            <w:vAlign w:val="bottom"/>
          </w:tcPr>
          <w:p w14:paraId="23929680"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24 096</w:t>
            </w:r>
          </w:p>
        </w:tc>
        <w:tc>
          <w:tcPr>
            <w:tcW w:w="1301" w:type="dxa"/>
            <w:vAlign w:val="center"/>
          </w:tcPr>
          <w:p w14:paraId="49A469A4"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1041</w:t>
            </w:r>
          </w:p>
        </w:tc>
        <w:tc>
          <w:tcPr>
            <w:tcW w:w="1451" w:type="dxa"/>
            <w:vAlign w:val="center"/>
          </w:tcPr>
          <w:p w14:paraId="43759ACF" w14:textId="77777777" w:rsidR="00171B4D" w:rsidRPr="00CE357F" w:rsidRDefault="00171B4D" w:rsidP="00B835F6">
            <w:pPr>
              <w:jc w:val="center"/>
              <w:rPr>
                <w:rFonts w:ascii="Arial Narrow" w:hAnsi="Arial Narrow"/>
                <w:b/>
                <w:sz w:val="18"/>
                <w:szCs w:val="18"/>
              </w:rPr>
            </w:pPr>
            <w:r w:rsidRPr="00CE357F">
              <w:rPr>
                <w:rFonts w:ascii="Arial Narrow" w:hAnsi="Arial Narrow" w:cs="Arial"/>
                <w:b/>
                <w:color w:val="C00000"/>
                <w:sz w:val="18"/>
                <w:szCs w:val="18"/>
              </w:rPr>
              <w:t>4,3 %</w:t>
            </w:r>
          </w:p>
        </w:tc>
        <w:tc>
          <w:tcPr>
            <w:tcW w:w="582" w:type="dxa"/>
            <w:vAlign w:val="center"/>
          </w:tcPr>
          <w:p w14:paraId="11C0D610"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503</w:t>
            </w:r>
          </w:p>
        </w:tc>
        <w:tc>
          <w:tcPr>
            <w:tcW w:w="660" w:type="dxa"/>
            <w:vAlign w:val="center"/>
          </w:tcPr>
          <w:p w14:paraId="2DE0D5A4"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50</w:t>
            </w:r>
          </w:p>
        </w:tc>
        <w:tc>
          <w:tcPr>
            <w:tcW w:w="821" w:type="dxa"/>
            <w:vAlign w:val="center"/>
          </w:tcPr>
          <w:p w14:paraId="2570C667"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553</w:t>
            </w:r>
          </w:p>
        </w:tc>
        <w:tc>
          <w:tcPr>
            <w:tcW w:w="716" w:type="dxa"/>
            <w:vAlign w:val="center"/>
          </w:tcPr>
          <w:p w14:paraId="72781E6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434</w:t>
            </w:r>
          </w:p>
        </w:tc>
        <w:tc>
          <w:tcPr>
            <w:tcW w:w="574" w:type="dxa"/>
            <w:vAlign w:val="center"/>
          </w:tcPr>
          <w:p w14:paraId="05325B97"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54</w:t>
            </w:r>
          </w:p>
        </w:tc>
        <w:tc>
          <w:tcPr>
            <w:tcW w:w="1001" w:type="dxa"/>
            <w:vAlign w:val="center"/>
          </w:tcPr>
          <w:p w14:paraId="77F05624"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488</w:t>
            </w:r>
          </w:p>
        </w:tc>
      </w:tr>
      <w:tr w:rsidR="00171B4D" w:rsidRPr="00CE357F" w14:paraId="7287F7DB" w14:textId="77777777" w:rsidTr="00B835F6">
        <w:trPr>
          <w:trHeight w:val="204"/>
        </w:trPr>
        <w:tc>
          <w:tcPr>
            <w:tcW w:w="1169" w:type="dxa"/>
            <w:shd w:val="clear" w:color="auto" w:fill="D9E2F3" w:themeFill="accent1" w:themeFillTint="33"/>
            <w:vAlign w:val="center"/>
          </w:tcPr>
          <w:p w14:paraId="6FEA7F01"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Valtice</w:t>
            </w:r>
          </w:p>
        </w:tc>
        <w:tc>
          <w:tcPr>
            <w:tcW w:w="905" w:type="dxa"/>
            <w:vAlign w:val="bottom"/>
          </w:tcPr>
          <w:p w14:paraId="12173051"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3 496</w:t>
            </w:r>
          </w:p>
        </w:tc>
        <w:tc>
          <w:tcPr>
            <w:tcW w:w="1301" w:type="dxa"/>
            <w:vAlign w:val="center"/>
          </w:tcPr>
          <w:p w14:paraId="1EA55D15"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147</w:t>
            </w:r>
          </w:p>
        </w:tc>
        <w:tc>
          <w:tcPr>
            <w:tcW w:w="1451" w:type="dxa"/>
            <w:vAlign w:val="center"/>
          </w:tcPr>
          <w:p w14:paraId="48F0B74F" w14:textId="77777777" w:rsidR="00171B4D" w:rsidRPr="00CE357F" w:rsidRDefault="00171B4D" w:rsidP="00B835F6">
            <w:pPr>
              <w:jc w:val="center"/>
              <w:rPr>
                <w:rFonts w:ascii="Arial Narrow" w:hAnsi="Arial Narrow"/>
                <w:b/>
                <w:sz w:val="18"/>
                <w:szCs w:val="18"/>
              </w:rPr>
            </w:pPr>
            <w:r w:rsidRPr="00CE357F">
              <w:rPr>
                <w:rFonts w:ascii="Arial Narrow" w:hAnsi="Arial Narrow" w:cs="Arial"/>
                <w:b/>
                <w:color w:val="C00000"/>
                <w:sz w:val="18"/>
                <w:szCs w:val="18"/>
              </w:rPr>
              <w:t>4,2 %</w:t>
            </w:r>
          </w:p>
        </w:tc>
        <w:tc>
          <w:tcPr>
            <w:tcW w:w="582" w:type="dxa"/>
            <w:vAlign w:val="center"/>
          </w:tcPr>
          <w:p w14:paraId="55B532E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81</w:t>
            </w:r>
          </w:p>
        </w:tc>
        <w:tc>
          <w:tcPr>
            <w:tcW w:w="660" w:type="dxa"/>
            <w:vAlign w:val="center"/>
          </w:tcPr>
          <w:p w14:paraId="236DD222"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w:t>
            </w:r>
          </w:p>
        </w:tc>
        <w:tc>
          <w:tcPr>
            <w:tcW w:w="821" w:type="dxa"/>
            <w:vAlign w:val="center"/>
          </w:tcPr>
          <w:p w14:paraId="47232783"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83</w:t>
            </w:r>
          </w:p>
        </w:tc>
        <w:tc>
          <w:tcPr>
            <w:tcW w:w="716" w:type="dxa"/>
            <w:vAlign w:val="center"/>
          </w:tcPr>
          <w:p w14:paraId="2AAF992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59</w:t>
            </w:r>
          </w:p>
        </w:tc>
        <w:tc>
          <w:tcPr>
            <w:tcW w:w="574" w:type="dxa"/>
            <w:vAlign w:val="center"/>
          </w:tcPr>
          <w:p w14:paraId="2D93D286"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w:t>
            </w:r>
          </w:p>
        </w:tc>
        <w:tc>
          <w:tcPr>
            <w:tcW w:w="1001" w:type="dxa"/>
            <w:vAlign w:val="center"/>
          </w:tcPr>
          <w:p w14:paraId="1B003899"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64</w:t>
            </w:r>
          </w:p>
        </w:tc>
      </w:tr>
      <w:tr w:rsidR="00171B4D" w:rsidRPr="00CE357F" w14:paraId="48CB9FB5" w14:textId="77777777" w:rsidTr="00B835F6">
        <w:trPr>
          <w:trHeight w:val="204"/>
        </w:trPr>
        <w:tc>
          <w:tcPr>
            <w:tcW w:w="1169" w:type="dxa"/>
            <w:shd w:val="clear" w:color="auto" w:fill="D9E2F3" w:themeFill="accent1" w:themeFillTint="33"/>
            <w:vAlign w:val="center"/>
          </w:tcPr>
          <w:p w14:paraId="653C8830"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Tvrdonice</w:t>
            </w:r>
          </w:p>
        </w:tc>
        <w:tc>
          <w:tcPr>
            <w:tcW w:w="905" w:type="dxa"/>
            <w:vAlign w:val="bottom"/>
          </w:tcPr>
          <w:p w14:paraId="5E418E8D"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2 063</w:t>
            </w:r>
          </w:p>
        </w:tc>
        <w:tc>
          <w:tcPr>
            <w:tcW w:w="1301" w:type="dxa"/>
            <w:vAlign w:val="center"/>
          </w:tcPr>
          <w:p w14:paraId="14068D65"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77</w:t>
            </w:r>
          </w:p>
        </w:tc>
        <w:tc>
          <w:tcPr>
            <w:tcW w:w="1451" w:type="dxa"/>
            <w:vAlign w:val="center"/>
          </w:tcPr>
          <w:p w14:paraId="5A6B0AD2"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3,7 %</w:t>
            </w:r>
          </w:p>
        </w:tc>
        <w:tc>
          <w:tcPr>
            <w:tcW w:w="582" w:type="dxa"/>
            <w:vAlign w:val="center"/>
          </w:tcPr>
          <w:p w14:paraId="578AFDC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42</w:t>
            </w:r>
          </w:p>
        </w:tc>
        <w:tc>
          <w:tcPr>
            <w:tcW w:w="660" w:type="dxa"/>
            <w:vAlign w:val="center"/>
          </w:tcPr>
          <w:p w14:paraId="0A3736F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w:t>
            </w:r>
          </w:p>
        </w:tc>
        <w:tc>
          <w:tcPr>
            <w:tcW w:w="821" w:type="dxa"/>
            <w:vAlign w:val="center"/>
          </w:tcPr>
          <w:p w14:paraId="0344F3AF"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45</w:t>
            </w:r>
          </w:p>
        </w:tc>
        <w:tc>
          <w:tcPr>
            <w:tcW w:w="716" w:type="dxa"/>
            <w:vAlign w:val="center"/>
          </w:tcPr>
          <w:p w14:paraId="07453268"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32</w:t>
            </w:r>
          </w:p>
        </w:tc>
        <w:tc>
          <w:tcPr>
            <w:tcW w:w="574" w:type="dxa"/>
            <w:vAlign w:val="center"/>
          </w:tcPr>
          <w:p w14:paraId="04AB6B3F"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0</w:t>
            </w:r>
          </w:p>
        </w:tc>
        <w:tc>
          <w:tcPr>
            <w:tcW w:w="1001" w:type="dxa"/>
            <w:vAlign w:val="center"/>
          </w:tcPr>
          <w:p w14:paraId="3F3E017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32</w:t>
            </w:r>
          </w:p>
        </w:tc>
      </w:tr>
      <w:tr w:rsidR="00171B4D" w:rsidRPr="00CE357F" w14:paraId="57A3CF7F" w14:textId="77777777" w:rsidTr="00B835F6">
        <w:trPr>
          <w:trHeight w:val="204"/>
        </w:trPr>
        <w:tc>
          <w:tcPr>
            <w:tcW w:w="1169" w:type="dxa"/>
            <w:shd w:val="clear" w:color="auto" w:fill="D9E2F3" w:themeFill="accent1" w:themeFillTint="33"/>
            <w:vAlign w:val="center"/>
          </w:tcPr>
          <w:p w14:paraId="46BAB566"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Lednice</w:t>
            </w:r>
          </w:p>
        </w:tc>
        <w:tc>
          <w:tcPr>
            <w:tcW w:w="905" w:type="dxa"/>
            <w:vAlign w:val="bottom"/>
          </w:tcPr>
          <w:p w14:paraId="03CDF14F"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2 165</w:t>
            </w:r>
          </w:p>
        </w:tc>
        <w:tc>
          <w:tcPr>
            <w:tcW w:w="1301" w:type="dxa"/>
            <w:vAlign w:val="center"/>
          </w:tcPr>
          <w:p w14:paraId="0EAF22B8"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78</w:t>
            </w:r>
          </w:p>
        </w:tc>
        <w:tc>
          <w:tcPr>
            <w:tcW w:w="1451" w:type="dxa"/>
            <w:vAlign w:val="center"/>
          </w:tcPr>
          <w:p w14:paraId="6FD3971A"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3,6 %</w:t>
            </w:r>
          </w:p>
        </w:tc>
        <w:tc>
          <w:tcPr>
            <w:tcW w:w="582" w:type="dxa"/>
            <w:vAlign w:val="center"/>
          </w:tcPr>
          <w:p w14:paraId="2358AB5F"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38</w:t>
            </w:r>
          </w:p>
        </w:tc>
        <w:tc>
          <w:tcPr>
            <w:tcW w:w="660" w:type="dxa"/>
            <w:vAlign w:val="center"/>
          </w:tcPr>
          <w:p w14:paraId="1BB316C8"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w:t>
            </w:r>
          </w:p>
        </w:tc>
        <w:tc>
          <w:tcPr>
            <w:tcW w:w="821" w:type="dxa"/>
            <w:vAlign w:val="center"/>
          </w:tcPr>
          <w:p w14:paraId="407DC422"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40</w:t>
            </w:r>
          </w:p>
        </w:tc>
        <w:tc>
          <w:tcPr>
            <w:tcW w:w="716" w:type="dxa"/>
            <w:vAlign w:val="center"/>
          </w:tcPr>
          <w:p w14:paraId="33DA1F26"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34</w:t>
            </w:r>
          </w:p>
        </w:tc>
        <w:tc>
          <w:tcPr>
            <w:tcW w:w="574" w:type="dxa"/>
            <w:vAlign w:val="center"/>
          </w:tcPr>
          <w:p w14:paraId="51E9C3A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w:t>
            </w:r>
          </w:p>
        </w:tc>
        <w:tc>
          <w:tcPr>
            <w:tcW w:w="1001" w:type="dxa"/>
            <w:vAlign w:val="center"/>
          </w:tcPr>
          <w:p w14:paraId="1002D4A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38</w:t>
            </w:r>
          </w:p>
        </w:tc>
      </w:tr>
      <w:tr w:rsidR="00171B4D" w:rsidRPr="00CE357F" w14:paraId="2F13E686" w14:textId="77777777" w:rsidTr="00B835F6">
        <w:trPr>
          <w:trHeight w:val="204"/>
        </w:trPr>
        <w:tc>
          <w:tcPr>
            <w:tcW w:w="1169" w:type="dxa"/>
            <w:shd w:val="clear" w:color="auto" w:fill="D9E2F3" w:themeFill="accent1" w:themeFillTint="33"/>
            <w:vAlign w:val="center"/>
          </w:tcPr>
          <w:p w14:paraId="425C1F04"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Rakvice</w:t>
            </w:r>
          </w:p>
        </w:tc>
        <w:tc>
          <w:tcPr>
            <w:tcW w:w="905" w:type="dxa"/>
            <w:vAlign w:val="bottom"/>
          </w:tcPr>
          <w:p w14:paraId="631EBB29"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2 127</w:t>
            </w:r>
          </w:p>
        </w:tc>
        <w:tc>
          <w:tcPr>
            <w:tcW w:w="1301" w:type="dxa"/>
            <w:vAlign w:val="center"/>
          </w:tcPr>
          <w:p w14:paraId="2CFF0483"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77</w:t>
            </w:r>
          </w:p>
        </w:tc>
        <w:tc>
          <w:tcPr>
            <w:tcW w:w="1451" w:type="dxa"/>
            <w:vAlign w:val="center"/>
          </w:tcPr>
          <w:p w14:paraId="4E5CEFA7"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3,6 %</w:t>
            </w:r>
          </w:p>
        </w:tc>
        <w:tc>
          <w:tcPr>
            <w:tcW w:w="582" w:type="dxa"/>
            <w:vAlign w:val="center"/>
          </w:tcPr>
          <w:p w14:paraId="5E62C03E"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43</w:t>
            </w:r>
          </w:p>
        </w:tc>
        <w:tc>
          <w:tcPr>
            <w:tcW w:w="660" w:type="dxa"/>
            <w:vAlign w:val="center"/>
          </w:tcPr>
          <w:p w14:paraId="0D75FDE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w:t>
            </w:r>
          </w:p>
        </w:tc>
        <w:tc>
          <w:tcPr>
            <w:tcW w:w="821" w:type="dxa"/>
            <w:vAlign w:val="center"/>
          </w:tcPr>
          <w:p w14:paraId="029AC95C"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45</w:t>
            </w:r>
          </w:p>
        </w:tc>
        <w:tc>
          <w:tcPr>
            <w:tcW w:w="716" w:type="dxa"/>
            <w:vAlign w:val="center"/>
          </w:tcPr>
          <w:p w14:paraId="072B8F9D"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28</w:t>
            </w:r>
          </w:p>
        </w:tc>
        <w:tc>
          <w:tcPr>
            <w:tcW w:w="574" w:type="dxa"/>
            <w:vAlign w:val="center"/>
          </w:tcPr>
          <w:p w14:paraId="2D312E90"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w:t>
            </w:r>
          </w:p>
        </w:tc>
        <w:tc>
          <w:tcPr>
            <w:tcW w:w="1001" w:type="dxa"/>
            <w:vAlign w:val="center"/>
          </w:tcPr>
          <w:p w14:paraId="52D42172"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32</w:t>
            </w:r>
          </w:p>
        </w:tc>
      </w:tr>
      <w:tr w:rsidR="00171B4D" w:rsidRPr="00CE357F" w14:paraId="35FFC53D" w14:textId="77777777" w:rsidTr="00B835F6">
        <w:trPr>
          <w:trHeight w:val="204"/>
        </w:trPr>
        <w:tc>
          <w:tcPr>
            <w:tcW w:w="1169" w:type="dxa"/>
            <w:shd w:val="clear" w:color="auto" w:fill="D9E2F3" w:themeFill="accent1" w:themeFillTint="33"/>
            <w:vAlign w:val="center"/>
          </w:tcPr>
          <w:p w14:paraId="297F6538"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Týnec</w:t>
            </w:r>
          </w:p>
        </w:tc>
        <w:tc>
          <w:tcPr>
            <w:tcW w:w="905" w:type="dxa"/>
            <w:vAlign w:val="bottom"/>
          </w:tcPr>
          <w:p w14:paraId="175AD436"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1 081</w:t>
            </w:r>
          </w:p>
        </w:tc>
        <w:tc>
          <w:tcPr>
            <w:tcW w:w="1301" w:type="dxa"/>
            <w:vAlign w:val="center"/>
          </w:tcPr>
          <w:p w14:paraId="128BDE4E"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37</w:t>
            </w:r>
          </w:p>
        </w:tc>
        <w:tc>
          <w:tcPr>
            <w:tcW w:w="1451" w:type="dxa"/>
            <w:vAlign w:val="center"/>
          </w:tcPr>
          <w:p w14:paraId="1ADC2324"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3,4 %</w:t>
            </w:r>
          </w:p>
        </w:tc>
        <w:tc>
          <w:tcPr>
            <w:tcW w:w="582" w:type="dxa"/>
            <w:vAlign w:val="center"/>
          </w:tcPr>
          <w:p w14:paraId="0A3CD687"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21</w:t>
            </w:r>
          </w:p>
        </w:tc>
        <w:tc>
          <w:tcPr>
            <w:tcW w:w="660" w:type="dxa"/>
            <w:vAlign w:val="center"/>
          </w:tcPr>
          <w:p w14:paraId="5AFEA03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w:t>
            </w:r>
          </w:p>
        </w:tc>
        <w:tc>
          <w:tcPr>
            <w:tcW w:w="821" w:type="dxa"/>
            <w:vAlign w:val="center"/>
          </w:tcPr>
          <w:p w14:paraId="7555D132"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22</w:t>
            </w:r>
          </w:p>
        </w:tc>
        <w:tc>
          <w:tcPr>
            <w:tcW w:w="716" w:type="dxa"/>
            <w:vAlign w:val="center"/>
          </w:tcPr>
          <w:p w14:paraId="78475C3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14</w:t>
            </w:r>
          </w:p>
        </w:tc>
        <w:tc>
          <w:tcPr>
            <w:tcW w:w="574" w:type="dxa"/>
            <w:vAlign w:val="center"/>
          </w:tcPr>
          <w:p w14:paraId="64AA2104"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w:t>
            </w:r>
          </w:p>
        </w:tc>
        <w:tc>
          <w:tcPr>
            <w:tcW w:w="1001" w:type="dxa"/>
            <w:vAlign w:val="center"/>
          </w:tcPr>
          <w:p w14:paraId="6DC191B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15</w:t>
            </w:r>
          </w:p>
        </w:tc>
      </w:tr>
      <w:tr w:rsidR="00171B4D" w:rsidRPr="00CE357F" w14:paraId="5B1E8701" w14:textId="77777777" w:rsidTr="00B835F6">
        <w:trPr>
          <w:trHeight w:val="204"/>
        </w:trPr>
        <w:tc>
          <w:tcPr>
            <w:tcW w:w="1169" w:type="dxa"/>
            <w:shd w:val="clear" w:color="auto" w:fill="D9E2F3" w:themeFill="accent1" w:themeFillTint="33"/>
            <w:vAlign w:val="center"/>
          </w:tcPr>
          <w:p w14:paraId="303E91FF"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Hlohovec</w:t>
            </w:r>
          </w:p>
        </w:tc>
        <w:tc>
          <w:tcPr>
            <w:tcW w:w="905" w:type="dxa"/>
            <w:vAlign w:val="bottom"/>
          </w:tcPr>
          <w:p w14:paraId="6B73BF7F"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1 264</w:t>
            </w:r>
          </w:p>
        </w:tc>
        <w:tc>
          <w:tcPr>
            <w:tcW w:w="1301" w:type="dxa"/>
            <w:vAlign w:val="center"/>
          </w:tcPr>
          <w:p w14:paraId="52865F80"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40</w:t>
            </w:r>
          </w:p>
        </w:tc>
        <w:tc>
          <w:tcPr>
            <w:tcW w:w="1451" w:type="dxa"/>
            <w:vAlign w:val="center"/>
          </w:tcPr>
          <w:p w14:paraId="080A8ECA"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3,2 %</w:t>
            </w:r>
          </w:p>
        </w:tc>
        <w:tc>
          <w:tcPr>
            <w:tcW w:w="582" w:type="dxa"/>
            <w:vAlign w:val="center"/>
          </w:tcPr>
          <w:p w14:paraId="1814945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24</w:t>
            </w:r>
          </w:p>
        </w:tc>
        <w:tc>
          <w:tcPr>
            <w:tcW w:w="660" w:type="dxa"/>
            <w:vAlign w:val="center"/>
          </w:tcPr>
          <w:p w14:paraId="688B3627"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w:t>
            </w:r>
          </w:p>
        </w:tc>
        <w:tc>
          <w:tcPr>
            <w:tcW w:w="821" w:type="dxa"/>
            <w:vAlign w:val="center"/>
          </w:tcPr>
          <w:p w14:paraId="3FA955A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26</w:t>
            </w:r>
          </w:p>
        </w:tc>
        <w:tc>
          <w:tcPr>
            <w:tcW w:w="716" w:type="dxa"/>
            <w:vAlign w:val="center"/>
          </w:tcPr>
          <w:p w14:paraId="5E46C4B3"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14</w:t>
            </w:r>
          </w:p>
        </w:tc>
        <w:tc>
          <w:tcPr>
            <w:tcW w:w="574" w:type="dxa"/>
            <w:vAlign w:val="center"/>
          </w:tcPr>
          <w:p w14:paraId="5BF4DE3E"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0</w:t>
            </w:r>
          </w:p>
        </w:tc>
        <w:tc>
          <w:tcPr>
            <w:tcW w:w="1001" w:type="dxa"/>
            <w:vAlign w:val="center"/>
          </w:tcPr>
          <w:p w14:paraId="5BFEDAD8"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14</w:t>
            </w:r>
          </w:p>
        </w:tc>
      </w:tr>
      <w:tr w:rsidR="00171B4D" w:rsidRPr="00CE357F" w14:paraId="5A898648" w14:textId="77777777" w:rsidTr="00B835F6">
        <w:trPr>
          <w:trHeight w:val="204"/>
        </w:trPr>
        <w:tc>
          <w:tcPr>
            <w:tcW w:w="1169" w:type="dxa"/>
            <w:shd w:val="clear" w:color="auto" w:fill="D9E2F3" w:themeFill="accent1" w:themeFillTint="33"/>
            <w:vAlign w:val="center"/>
          </w:tcPr>
          <w:p w14:paraId="3D2E18D7"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Lanžhot</w:t>
            </w:r>
          </w:p>
        </w:tc>
        <w:tc>
          <w:tcPr>
            <w:tcW w:w="905" w:type="dxa"/>
            <w:vAlign w:val="bottom"/>
          </w:tcPr>
          <w:p w14:paraId="2C7BC407"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3 656</w:t>
            </w:r>
          </w:p>
        </w:tc>
        <w:tc>
          <w:tcPr>
            <w:tcW w:w="1301" w:type="dxa"/>
            <w:vAlign w:val="center"/>
          </w:tcPr>
          <w:p w14:paraId="231C04CE"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88</w:t>
            </w:r>
          </w:p>
        </w:tc>
        <w:tc>
          <w:tcPr>
            <w:tcW w:w="1451" w:type="dxa"/>
            <w:vAlign w:val="center"/>
          </w:tcPr>
          <w:p w14:paraId="04F11886"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2,4 %</w:t>
            </w:r>
          </w:p>
        </w:tc>
        <w:tc>
          <w:tcPr>
            <w:tcW w:w="582" w:type="dxa"/>
            <w:vAlign w:val="center"/>
          </w:tcPr>
          <w:p w14:paraId="30467D4F"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50</w:t>
            </w:r>
          </w:p>
        </w:tc>
        <w:tc>
          <w:tcPr>
            <w:tcW w:w="660" w:type="dxa"/>
            <w:vAlign w:val="center"/>
          </w:tcPr>
          <w:p w14:paraId="1B42151F"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w:t>
            </w:r>
          </w:p>
        </w:tc>
        <w:tc>
          <w:tcPr>
            <w:tcW w:w="821" w:type="dxa"/>
            <w:vAlign w:val="center"/>
          </w:tcPr>
          <w:p w14:paraId="5130FC6F"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55</w:t>
            </w:r>
          </w:p>
        </w:tc>
        <w:tc>
          <w:tcPr>
            <w:tcW w:w="716" w:type="dxa"/>
            <w:vAlign w:val="center"/>
          </w:tcPr>
          <w:p w14:paraId="5F5114AD"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32</w:t>
            </w:r>
          </w:p>
        </w:tc>
        <w:tc>
          <w:tcPr>
            <w:tcW w:w="574" w:type="dxa"/>
            <w:vAlign w:val="center"/>
          </w:tcPr>
          <w:p w14:paraId="44930F5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w:t>
            </w:r>
          </w:p>
        </w:tc>
        <w:tc>
          <w:tcPr>
            <w:tcW w:w="1001" w:type="dxa"/>
            <w:vAlign w:val="center"/>
          </w:tcPr>
          <w:p w14:paraId="58C00B97"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33</w:t>
            </w:r>
          </w:p>
        </w:tc>
      </w:tr>
      <w:tr w:rsidR="00171B4D" w:rsidRPr="00CE357F" w14:paraId="3DBE6331" w14:textId="77777777" w:rsidTr="00B835F6">
        <w:trPr>
          <w:trHeight w:val="204"/>
        </w:trPr>
        <w:tc>
          <w:tcPr>
            <w:tcW w:w="1169" w:type="dxa"/>
            <w:shd w:val="clear" w:color="auto" w:fill="D9E2F3" w:themeFill="accent1" w:themeFillTint="33"/>
            <w:vAlign w:val="center"/>
          </w:tcPr>
          <w:p w14:paraId="68F15D9B"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Moravský Žižkov</w:t>
            </w:r>
          </w:p>
        </w:tc>
        <w:tc>
          <w:tcPr>
            <w:tcW w:w="905" w:type="dxa"/>
            <w:vAlign w:val="bottom"/>
          </w:tcPr>
          <w:p w14:paraId="0EA10144"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1 461</w:t>
            </w:r>
          </w:p>
        </w:tc>
        <w:tc>
          <w:tcPr>
            <w:tcW w:w="1301" w:type="dxa"/>
            <w:vAlign w:val="center"/>
          </w:tcPr>
          <w:p w14:paraId="51BA4E24"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33</w:t>
            </w:r>
          </w:p>
        </w:tc>
        <w:tc>
          <w:tcPr>
            <w:tcW w:w="1451" w:type="dxa"/>
            <w:vAlign w:val="center"/>
          </w:tcPr>
          <w:p w14:paraId="73549D02"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2,3 %</w:t>
            </w:r>
          </w:p>
        </w:tc>
        <w:tc>
          <w:tcPr>
            <w:tcW w:w="582" w:type="dxa"/>
            <w:vAlign w:val="center"/>
          </w:tcPr>
          <w:p w14:paraId="10183F14"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18</w:t>
            </w:r>
          </w:p>
        </w:tc>
        <w:tc>
          <w:tcPr>
            <w:tcW w:w="660" w:type="dxa"/>
            <w:vAlign w:val="center"/>
          </w:tcPr>
          <w:p w14:paraId="0D38A4B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w:t>
            </w:r>
          </w:p>
        </w:tc>
        <w:tc>
          <w:tcPr>
            <w:tcW w:w="821" w:type="dxa"/>
            <w:vAlign w:val="center"/>
          </w:tcPr>
          <w:p w14:paraId="511451D4"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21</w:t>
            </w:r>
          </w:p>
        </w:tc>
        <w:tc>
          <w:tcPr>
            <w:tcW w:w="716" w:type="dxa"/>
            <w:vAlign w:val="center"/>
          </w:tcPr>
          <w:p w14:paraId="13941F30"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10</w:t>
            </w:r>
          </w:p>
        </w:tc>
        <w:tc>
          <w:tcPr>
            <w:tcW w:w="574" w:type="dxa"/>
            <w:vAlign w:val="center"/>
          </w:tcPr>
          <w:p w14:paraId="347D40DE"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w:t>
            </w:r>
          </w:p>
        </w:tc>
        <w:tc>
          <w:tcPr>
            <w:tcW w:w="1001" w:type="dxa"/>
            <w:vAlign w:val="center"/>
          </w:tcPr>
          <w:p w14:paraId="442E429D"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12</w:t>
            </w:r>
          </w:p>
        </w:tc>
      </w:tr>
      <w:tr w:rsidR="00171B4D" w:rsidRPr="00CE357F" w14:paraId="5E2CE825" w14:textId="77777777" w:rsidTr="00B835F6">
        <w:trPr>
          <w:trHeight w:val="204"/>
        </w:trPr>
        <w:tc>
          <w:tcPr>
            <w:tcW w:w="1169" w:type="dxa"/>
            <w:shd w:val="clear" w:color="auto" w:fill="D9E2F3" w:themeFill="accent1" w:themeFillTint="33"/>
            <w:vAlign w:val="center"/>
          </w:tcPr>
          <w:p w14:paraId="4BF026B1"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Kostice</w:t>
            </w:r>
          </w:p>
        </w:tc>
        <w:tc>
          <w:tcPr>
            <w:tcW w:w="905" w:type="dxa"/>
            <w:vAlign w:val="bottom"/>
          </w:tcPr>
          <w:p w14:paraId="5709309D"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1 890</w:t>
            </w:r>
          </w:p>
        </w:tc>
        <w:tc>
          <w:tcPr>
            <w:tcW w:w="1301" w:type="dxa"/>
            <w:vAlign w:val="center"/>
          </w:tcPr>
          <w:p w14:paraId="169AC87C"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39</w:t>
            </w:r>
          </w:p>
        </w:tc>
        <w:tc>
          <w:tcPr>
            <w:tcW w:w="1451" w:type="dxa"/>
            <w:vAlign w:val="center"/>
          </w:tcPr>
          <w:p w14:paraId="4B0A0188"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2,1 %</w:t>
            </w:r>
          </w:p>
        </w:tc>
        <w:tc>
          <w:tcPr>
            <w:tcW w:w="582" w:type="dxa"/>
            <w:vAlign w:val="center"/>
          </w:tcPr>
          <w:p w14:paraId="59E998FE"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27</w:t>
            </w:r>
          </w:p>
        </w:tc>
        <w:tc>
          <w:tcPr>
            <w:tcW w:w="660" w:type="dxa"/>
            <w:vAlign w:val="center"/>
          </w:tcPr>
          <w:p w14:paraId="719F3943"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0</w:t>
            </w:r>
          </w:p>
        </w:tc>
        <w:tc>
          <w:tcPr>
            <w:tcW w:w="821" w:type="dxa"/>
            <w:vAlign w:val="center"/>
          </w:tcPr>
          <w:p w14:paraId="0464BC40"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27</w:t>
            </w:r>
          </w:p>
        </w:tc>
        <w:tc>
          <w:tcPr>
            <w:tcW w:w="716" w:type="dxa"/>
            <w:vAlign w:val="center"/>
          </w:tcPr>
          <w:p w14:paraId="27968EEF"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11</w:t>
            </w:r>
          </w:p>
        </w:tc>
        <w:tc>
          <w:tcPr>
            <w:tcW w:w="574" w:type="dxa"/>
            <w:vAlign w:val="center"/>
          </w:tcPr>
          <w:p w14:paraId="55F63CB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w:t>
            </w:r>
          </w:p>
        </w:tc>
        <w:tc>
          <w:tcPr>
            <w:tcW w:w="1001" w:type="dxa"/>
            <w:vAlign w:val="center"/>
          </w:tcPr>
          <w:p w14:paraId="62833248"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12</w:t>
            </w:r>
          </w:p>
        </w:tc>
      </w:tr>
      <w:tr w:rsidR="00171B4D" w:rsidRPr="00CE357F" w14:paraId="42757D87" w14:textId="77777777" w:rsidTr="00B835F6">
        <w:trPr>
          <w:trHeight w:val="204"/>
        </w:trPr>
        <w:tc>
          <w:tcPr>
            <w:tcW w:w="1169" w:type="dxa"/>
            <w:shd w:val="clear" w:color="auto" w:fill="D9E2F3" w:themeFill="accent1" w:themeFillTint="33"/>
            <w:vAlign w:val="center"/>
          </w:tcPr>
          <w:p w14:paraId="7BD2B42C"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Moravská Nová Ves</w:t>
            </w:r>
          </w:p>
        </w:tc>
        <w:tc>
          <w:tcPr>
            <w:tcW w:w="905" w:type="dxa"/>
            <w:vAlign w:val="bottom"/>
          </w:tcPr>
          <w:p w14:paraId="5D56E8EE"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2 594</w:t>
            </w:r>
          </w:p>
        </w:tc>
        <w:tc>
          <w:tcPr>
            <w:tcW w:w="1301" w:type="dxa"/>
            <w:vAlign w:val="center"/>
          </w:tcPr>
          <w:p w14:paraId="6A32D07E"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54</w:t>
            </w:r>
          </w:p>
        </w:tc>
        <w:tc>
          <w:tcPr>
            <w:tcW w:w="1451" w:type="dxa"/>
            <w:vAlign w:val="center"/>
          </w:tcPr>
          <w:p w14:paraId="3A757067"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2,1 %</w:t>
            </w:r>
          </w:p>
        </w:tc>
        <w:tc>
          <w:tcPr>
            <w:tcW w:w="582" w:type="dxa"/>
            <w:vAlign w:val="center"/>
          </w:tcPr>
          <w:p w14:paraId="4665F83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25</w:t>
            </w:r>
          </w:p>
        </w:tc>
        <w:tc>
          <w:tcPr>
            <w:tcW w:w="660" w:type="dxa"/>
            <w:vAlign w:val="center"/>
          </w:tcPr>
          <w:p w14:paraId="50EFEC7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w:t>
            </w:r>
          </w:p>
        </w:tc>
        <w:tc>
          <w:tcPr>
            <w:tcW w:w="821" w:type="dxa"/>
            <w:vAlign w:val="center"/>
          </w:tcPr>
          <w:p w14:paraId="1F4F313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27</w:t>
            </w:r>
          </w:p>
        </w:tc>
        <w:tc>
          <w:tcPr>
            <w:tcW w:w="716" w:type="dxa"/>
            <w:vAlign w:val="center"/>
          </w:tcPr>
          <w:p w14:paraId="3C20470D"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24</w:t>
            </w:r>
          </w:p>
        </w:tc>
        <w:tc>
          <w:tcPr>
            <w:tcW w:w="574" w:type="dxa"/>
            <w:vAlign w:val="center"/>
          </w:tcPr>
          <w:p w14:paraId="3D52946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w:t>
            </w:r>
          </w:p>
        </w:tc>
        <w:tc>
          <w:tcPr>
            <w:tcW w:w="1001" w:type="dxa"/>
            <w:vAlign w:val="center"/>
          </w:tcPr>
          <w:p w14:paraId="2414866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27</w:t>
            </w:r>
          </w:p>
        </w:tc>
      </w:tr>
      <w:tr w:rsidR="00171B4D" w:rsidRPr="00CE357F" w14:paraId="3B3D2E76" w14:textId="77777777" w:rsidTr="00B835F6">
        <w:trPr>
          <w:trHeight w:val="204"/>
        </w:trPr>
        <w:tc>
          <w:tcPr>
            <w:tcW w:w="1169" w:type="dxa"/>
            <w:shd w:val="clear" w:color="auto" w:fill="D9E2F3" w:themeFill="accent1" w:themeFillTint="33"/>
            <w:vAlign w:val="center"/>
          </w:tcPr>
          <w:p w14:paraId="305D88E6"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Hrušky</w:t>
            </w:r>
          </w:p>
        </w:tc>
        <w:tc>
          <w:tcPr>
            <w:tcW w:w="905" w:type="dxa"/>
            <w:vAlign w:val="bottom"/>
          </w:tcPr>
          <w:p w14:paraId="0F59A5C4"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1 631</w:t>
            </w:r>
          </w:p>
        </w:tc>
        <w:tc>
          <w:tcPr>
            <w:tcW w:w="1301" w:type="dxa"/>
            <w:vAlign w:val="center"/>
          </w:tcPr>
          <w:p w14:paraId="7D390B3E"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33</w:t>
            </w:r>
          </w:p>
        </w:tc>
        <w:tc>
          <w:tcPr>
            <w:tcW w:w="1451" w:type="dxa"/>
            <w:vAlign w:val="center"/>
          </w:tcPr>
          <w:p w14:paraId="10714ED3"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2,0 %</w:t>
            </w:r>
          </w:p>
        </w:tc>
        <w:tc>
          <w:tcPr>
            <w:tcW w:w="582" w:type="dxa"/>
            <w:vAlign w:val="center"/>
          </w:tcPr>
          <w:p w14:paraId="65E9AD8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15</w:t>
            </w:r>
          </w:p>
        </w:tc>
        <w:tc>
          <w:tcPr>
            <w:tcW w:w="660" w:type="dxa"/>
            <w:vAlign w:val="center"/>
          </w:tcPr>
          <w:p w14:paraId="50B2C259"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0</w:t>
            </w:r>
          </w:p>
        </w:tc>
        <w:tc>
          <w:tcPr>
            <w:tcW w:w="821" w:type="dxa"/>
            <w:vAlign w:val="center"/>
          </w:tcPr>
          <w:p w14:paraId="74D6B3E9"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15</w:t>
            </w:r>
          </w:p>
        </w:tc>
        <w:tc>
          <w:tcPr>
            <w:tcW w:w="716" w:type="dxa"/>
            <w:vAlign w:val="center"/>
          </w:tcPr>
          <w:p w14:paraId="6BC0DAD7"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18</w:t>
            </w:r>
          </w:p>
        </w:tc>
        <w:tc>
          <w:tcPr>
            <w:tcW w:w="574" w:type="dxa"/>
            <w:vAlign w:val="center"/>
          </w:tcPr>
          <w:p w14:paraId="60986B3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0</w:t>
            </w:r>
          </w:p>
        </w:tc>
        <w:tc>
          <w:tcPr>
            <w:tcW w:w="1001" w:type="dxa"/>
            <w:vAlign w:val="center"/>
          </w:tcPr>
          <w:p w14:paraId="5255A8E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18</w:t>
            </w:r>
          </w:p>
        </w:tc>
      </w:tr>
      <w:tr w:rsidR="00171B4D" w:rsidRPr="00CE357F" w14:paraId="17D51862" w14:textId="77777777" w:rsidTr="00B835F6">
        <w:trPr>
          <w:trHeight w:val="204"/>
        </w:trPr>
        <w:tc>
          <w:tcPr>
            <w:tcW w:w="1169" w:type="dxa"/>
            <w:shd w:val="clear" w:color="auto" w:fill="D9E2F3" w:themeFill="accent1" w:themeFillTint="33"/>
            <w:vAlign w:val="center"/>
          </w:tcPr>
          <w:p w14:paraId="352C3378" w14:textId="77777777" w:rsidR="00171B4D" w:rsidRPr="00CE357F" w:rsidRDefault="00171B4D" w:rsidP="00B835F6">
            <w:pPr>
              <w:jc w:val="center"/>
              <w:rPr>
                <w:rFonts w:ascii="Arial Narrow" w:hAnsi="Arial Narrow" w:cs="Arial"/>
                <w:b/>
                <w:sz w:val="18"/>
                <w:szCs w:val="18"/>
              </w:rPr>
            </w:pPr>
            <w:r w:rsidRPr="00CE357F">
              <w:rPr>
                <w:rFonts w:ascii="Arial Narrow" w:hAnsi="Arial Narrow"/>
                <w:sz w:val="18"/>
                <w:szCs w:val="18"/>
              </w:rPr>
              <w:t>Velké Bílovice</w:t>
            </w:r>
          </w:p>
        </w:tc>
        <w:tc>
          <w:tcPr>
            <w:tcW w:w="905" w:type="dxa"/>
            <w:vAlign w:val="bottom"/>
          </w:tcPr>
          <w:p w14:paraId="7BBF4AD2" w14:textId="77777777" w:rsidR="00171B4D" w:rsidRPr="00CE357F" w:rsidRDefault="00171B4D" w:rsidP="00B835F6">
            <w:pPr>
              <w:jc w:val="center"/>
              <w:rPr>
                <w:rFonts w:ascii="Arial Narrow" w:hAnsi="Arial Narrow"/>
                <w:bCs/>
                <w:sz w:val="18"/>
                <w:szCs w:val="18"/>
              </w:rPr>
            </w:pPr>
            <w:r w:rsidRPr="00CE357F">
              <w:rPr>
                <w:rFonts w:ascii="Arial Narrow" w:hAnsi="Arial Narrow" w:cs="Arial"/>
                <w:color w:val="000000"/>
                <w:sz w:val="18"/>
                <w:szCs w:val="18"/>
              </w:rPr>
              <w:t>3 843</w:t>
            </w:r>
          </w:p>
        </w:tc>
        <w:tc>
          <w:tcPr>
            <w:tcW w:w="1301" w:type="dxa"/>
            <w:vAlign w:val="center"/>
          </w:tcPr>
          <w:p w14:paraId="74A65E62" w14:textId="77777777" w:rsidR="00171B4D" w:rsidRPr="00CE357F" w:rsidRDefault="00171B4D" w:rsidP="00B835F6">
            <w:pPr>
              <w:jc w:val="center"/>
              <w:rPr>
                <w:rFonts w:ascii="Arial Narrow" w:hAnsi="Arial Narrow"/>
                <w:sz w:val="18"/>
                <w:szCs w:val="18"/>
              </w:rPr>
            </w:pPr>
            <w:r w:rsidRPr="00CE357F">
              <w:rPr>
                <w:rFonts w:ascii="Arial Narrow" w:hAnsi="Arial Narrow"/>
                <w:bCs/>
                <w:sz w:val="18"/>
                <w:szCs w:val="18"/>
              </w:rPr>
              <w:t>77</w:t>
            </w:r>
          </w:p>
        </w:tc>
        <w:tc>
          <w:tcPr>
            <w:tcW w:w="1451" w:type="dxa"/>
            <w:vAlign w:val="center"/>
          </w:tcPr>
          <w:p w14:paraId="2D7FDECC" w14:textId="77777777" w:rsidR="00171B4D" w:rsidRPr="00CE357F" w:rsidRDefault="00171B4D" w:rsidP="00B835F6">
            <w:pPr>
              <w:jc w:val="center"/>
              <w:rPr>
                <w:rFonts w:ascii="Arial Narrow" w:hAnsi="Arial Narrow"/>
                <w:bCs/>
                <w:sz w:val="18"/>
                <w:szCs w:val="18"/>
              </w:rPr>
            </w:pPr>
            <w:r w:rsidRPr="00CE357F">
              <w:rPr>
                <w:rFonts w:ascii="Arial Narrow" w:hAnsi="Arial Narrow" w:cs="Arial"/>
                <w:bCs/>
                <w:sz w:val="18"/>
                <w:szCs w:val="18"/>
              </w:rPr>
              <w:t>2,0 %</w:t>
            </w:r>
          </w:p>
        </w:tc>
        <w:tc>
          <w:tcPr>
            <w:tcW w:w="582" w:type="dxa"/>
            <w:vAlign w:val="center"/>
          </w:tcPr>
          <w:p w14:paraId="1D93021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40</w:t>
            </w:r>
          </w:p>
        </w:tc>
        <w:tc>
          <w:tcPr>
            <w:tcW w:w="660" w:type="dxa"/>
            <w:vAlign w:val="center"/>
          </w:tcPr>
          <w:p w14:paraId="2BC3045E"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w:t>
            </w:r>
          </w:p>
        </w:tc>
        <w:tc>
          <w:tcPr>
            <w:tcW w:w="821" w:type="dxa"/>
            <w:vAlign w:val="center"/>
          </w:tcPr>
          <w:p w14:paraId="738B5AD8"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43</w:t>
            </w:r>
          </w:p>
        </w:tc>
        <w:tc>
          <w:tcPr>
            <w:tcW w:w="716" w:type="dxa"/>
            <w:vAlign w:val="center"/>
          </w:tcPr>
          <w:p w14:paraId="4429025C"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30</w:t>
            </w:r>
          </w:p>
        </w:tc>
        <w:tc>
          <w:tcPr>
            <w:tcW w:w="574" w:type="dxa"/>
            <w:vAlign w:val="center"/>
          </w:tcPr>
          <w:p w14:paraId="744C60D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w:t>
            </w:r>
          </w:p>
        </w:tc>
        <w:tc>
          <w:tcPr>
            <w:tcW w:w="1001" w:type="dxa"/>
            <w:vAlign w:val="center"/>
          </w:tcPr>
          <w:p w14:paraId="312C9ECE"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34</w:t>
            </w:r>
          </w:p>
        </w:tc>
      </w:tr>
      <w:tr w:rsidR="00171B4D" w:rsidRPr="00CE357F" w14:paraId="40DB7213" w14:textId="77777777" w:rsidTr="00B835F6">
        <w:trPr>
          <w:trHeight w:val="204"/>
        </w:trPr>
        <w:tc>
          <w:tcPr>
            <w:tcW w:w="1169" w:type="dxa"/>
            <w:shd w:val="clear" w:color="auto" w:fill="D9E2F3" w:themeFill="accent1" w:themeFillTint="33"/>
            <w:vAlign w:val="center"/>
          </w:tcPr>
          <w:p w14:paraId="65152F62"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Zaječí</w:t>
            </w:r>
          </w:p>
        </w:tc>
        <w:tc>
          <w:tcPr>
            <w:tcW w:w="905" w:type="dxa"/>
            <w:vAlign w:val="bottom"/>
          </w:tcPr>
          <w:p w14:paraId="78C79CE3" w14:textId="77777777" w:rsidR="00171B4D" w:rsidRPr="00CE357F" w:rsidRDefault="00171B4D" w:rsidP="00B835F6">
            <w:pPr>
              <w:jc w:val="center"/>
              <w:rPr>
                <w:rFonts w:ascii="Arial Narrow" w:hAnsi="Arial Narrow" w:cs="Arial"/>
                <w:color w:val="000000"/>
                <w:sz w:val="18"/>
                <w:szCs w:val="18"/>
              </w:rPr>
            </w:pPr>
            <w:r w:rsidRPr="00CE357F">
              <w:rPr>
                <w:rFonts w:ascii="Arial Narrow" w:hAnsi="Arial Narrow" w:cs="Arial"/>
                <w:color w:val="000000"/>
                <w:sz w:val="18"/>
                <w:szCs w:val="18"/>
              </w:rPr>
              <w:t>1 438</w:t>
            </w:r>
          </w:p>
        </w:tc>
        <w:tc>
          <w:tcPr>
            <w:tcW w:w="1301" w:type="dxa"/>
            <w:vAlign w:val="center"/>
          </w:tcPr>
          <w:p w14:paraId="1CDAABF3" w14:textId="77777777" w:rsidR="00171B4D" w:rsidRPr="00CE357F" w:rsidRDefault="00171B4D" w:rsidP="00B835F6">
            <w:pPr>
              <w:jc w:val="center"/>
              <w:rPr>
                <w:rFonts w:ascii="Arial Narrow" w:hAnsi="Arial Narrow"/>
                <w:bCs/>
                <w:sz w:val="18"/>
                <w:szCs w:val="18"/>
              </w:rPr>
            </w:pPr>
            <w:r w:rsidRPr="00CE357F">
              <w:rPr>
                <w:rFonts w:ascii="Arial Narrow" w:hAnsi="Arial Narrow"/>
                <w:bCs/>
                <w:sz w:val="18"/>
                <w:szCs w:val="18"/>
              </w:rPr>
              <w:t>20</w:t>
            </w:r>
          </w:p>
        </w:tc>
        <w:tc>
          <w:tcPr>
            <w:tcW w:w="1451" w:type="dxa"/>
            <w:vAlign w:val="center"/>
          </w:tcPr>
          <w:p w14:paraId="0C0349F2" w14:textId="77777777" w:rsidR="00171B4D" w:rsidRPr="00CE357F" w:rsidRDefault="00171B4D" w:rsidP="00B835F6">
            <w:pPr>
              <w:jc w:val="center"/>
              <w:rPr>
                <w:rFonts w:ascii="Arial Narrow" w:hAnsi="Arial Narrow" w:cs="Arial"/>
                <w:bCs/>
                <w:sz w:val="18"/>
                <w:szCs w:val="18"/>
              </w:rPr>
            </w:pPr>
            <w:r w:rsidRPr="00CE357F">
              <w:rPr>
                <w:rFonts w:ascii="Arial Narrow" w:hAnsi="Arial Narrow" w:cs="Arial"/>
                <w:bCs/>
                <w:sz w:val="18"/>
                <w:szCs w:val="18"/>
              </w:rPr>
              <w:t>1,4 %</w:t>
            </w:r>
          </w:p>
        </w:tc>
        <w:tc>
          <w:tcPr>
            <w:tcW w:w="582" w:type="dxa"/>
            <w:vAlign w:val="center"/>
          </w:tcPr>
          <w:p w14:paraId="75387305"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10</w:t>
            </w:r>
          </w:p>
        </w:tc>
        <w:tc>
          <w:tcPr>
            <w:tcW w:w="660" w:type="dxa"/>
            <w:vAlign w:val="center"/>
          </w:tcPr>
          <w:p w14:paraId="11A18A2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w:t>
            </w:r>
          </w:p>
        </w:tc>
        <w:tc>
          <w:tcPr>
            <w:tcW w:w="821" w:type="dxa"/>
            <w:vAlign w:val="center"/>
          </w:tcPr>
          <w:p w14:paraId="7D3E5721"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11</w:t>
            </w:r>
          </w:p>
        </w:tc>
        <w:tc>
          <w:tcPr>
            <w:tcW w:w="716" w:type="dxa"/>
            <w:vAlign w:val="center"/>
          </w:tcPr>
          <w:p w14:paraId="5BA18014"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8</w:t>
            </w:r>
          </w:p>
        </w:tc>
        <w:tc>
          <w:tcPr>
            <w:tcW w:w="574" w:type="dxa"/>
            <w:vAlign w:val="center"/>
          </w:tcPr>
          <w:p w14:paraId="5DBB591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w:t>
            </w:r>
          </w:p>
        </w:tc>
        <w:tc>
          <w:tcPr>
            <w:tcW w:w="1001" w:type="dxa"/>
            <w:vAlign w:val="center"/>
          </w:tcPr>
          <w:p w14:paraId="7756327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9</w:t>
            </w:r>
          </w:p>
        </w:tc>
      </w:tr>
    </w:tbl>
    <w:p w14:paraId="778C3474" w14:textId="20676A5E" w:rsidR="00C50D20" w:rsidRDefault="00FE0538" w:rsidP="00572269">
      <w:pPr>
        <w:spacing w:after="240" w:line="276" w:lineRule="auto"/>
        <w:rPr>
          <w:rFonts w:ascii="Arial Narrow" w:hAnsi="Arial Narrow"/>
          <w:sz w:val="20"/>
        </w:rPr>
      </w:pPr>
      <w:r w:rsidRPr="00CE357F">
        <w:rPr>
          <w:rFonts w:ascii="Arial Narrow" w:hAnsi="Arial Narrow"/>
          <w:color w:val="000000"/>
          <w:sz w:val="20"/>
          <w:lang w:eastAsia="cs-CZ"/>
        </w:rPr>
        <w:t>Zdroj: Ministerstvo Vnitra České republiky</w:t>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w:t>
      </w:r>
      <w:r w:rsidR="00E118F1" w:rsidRPr="00CE357F">
        <w:rPr>
          <w:rFonts w:ascii="Arial Narrow" w:hAnsi="Arial Narrow"/>
          <w:sz w:val="20"/>
        </w:rPr>
        <w:t xml:space="preserve">      </w:t>
      </w:r>
      <w:r w:rsidRPr="00CE357F">
        <w:rPr>
          <w:rFonts w:ascii="Arial Narrow" w:hAnsi="Arial Narrow"/>
          <w:sz w:val="20"/>
        </w:rPr>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53710E03" w14:textId="77777777" w:rsidR="00572269" w:rsidRPr="00572269" w:rsidRDefault="00572269" w:rsidP="00572269">
      <w:pPr>
        <w:spacing w:after="240" w:line="276" w:lineRule="auto"/>
        <w:rPr>
          <w:rFonts w:ascii="Arial Narrow" w:hAnsi="Arial Narrow"/>
          <w:color w:val="000000"/>
          <w:sz w:val="20"/>
          <w:lang w:eastAsia="cs-CZ"/>
        </w:rPr>
      </w:pPr>
    </w:p>
    <w:p w14:paraId="5A7344F4" w14:textId="36141C9D" w:rsidR="00B835F6" w:rsidRPr="00CE357F" w:rsidRDefault="00B835F6" w:rsidP="00B835F6">
      <w:pPr>
        <w:spacing w:line="276" w:lineRule="auto"/>
        <w:jc w:val="both"/>
        <w:rPr>
          <w:rFonts w:ascii="Arial Narrow" w:hAnsi="Arial Narrow"/>
          <w:b/>
          <w:bCs/>
          <w:sz w:val="20"/>
          <w:szCs w:val="20"/>
        </w:rPr>
      </w:pPr>
      <w:bookmarkStart w:id="695" w:name="_Toc94443806"/>
      <w:bookmarkStart w:id="696" w:name="_Toc136428956"/>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112</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 k 1. 1. 2021</w:t>
      </w:r>
      <w:bookmarkEnd w:id="695"/>
      <w:bookmarkEnd w:id="696"/>
    </w:p>
    <w:p w14:paraId="13292633" w14:textId="77777777" w:rsidR="00B835F6" w:rsidRPr="00CE357F" w:rsidRDefault="00B835F6" w:rsidP="00B835F6">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22F0795C" wp14:editId="40B062E2">
            <wp:extent cx="5760720" cy="3530009"/>
            <wp:effectExtent l="0" t="0" r="11430" b="13335"/>
            <wp:docPr id="2154" name="Graf 2154">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2CAB3909" w14:textId="4C95EC55" w:rsidR="00B835F6" w:rsidRPr="00CE357F" w:rsidRDefault="00FE0538" w:rsidP="00B835F6">
      <w:pPr>
        <w:spacing w:after="240" w:line="276" w:lineRule="auto"/>
        <w:rPr>
          <w:rFonts w:ascii="Arial Narrow" w:hAnsi="Arial Narrow"/>
          <w:color w:val="000000"/>
          <w:sz w:val="20"/>
          <w:szCs w:val="20"/>
          <w:lang w:eastAsia="cs-CZ"/>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3FB7E530" w14:textId="1C444115" w:rsidR="00B835F6" w:rsidRPr="00CE357F" w:rsidRDefault="00DE56F4" w:rsidP="00B835F6">
      <w:pPr>
        <w:spacing w:line="276" w:lineRule="auto"/>
        <w:rPr>
          <w:rFonts w:ascii="Arial Narrow" w:hAnsi="Arial Narrow"/>
          <w:b/>
          <w:bCs/>
        </w:rPr>
      </w:pPr>
      <w:r w:rsidRPr="00CE357F">
        <w:rPr>
          <w:rFonts w:ascii="Arial Narrow" w:hAnsi="Arial Narrow"/>
          <w:b/>
          <w:bCs/>
        </w:rPr>
        <w:br/>
      </w:r>
      <w:r w:rsidR="00B835F6" w:rsidRPr="00CE357F">
        <w:rPr>
          <w:rFonts w:ascii="Arial Narrow" w:hAnsi="Arial Narrow"/>
          <w:b/>
          <w:bCs/>
        </w:rPr>
        <w:t>Osoby s jinou než českou státní příslušností v ORP Břeclav k datu 1. 1. 2022</w:t>
      </w:r>
    </w:p>
    <w:p w14:paraId="0CE030E4" w14:textId="4D9F01A8" w:rsidR="00B835F6" w:rsidRPr="00CE357F" w:rsidRDefault="00B835F6" w:rsidP="00B835F6">
      <w:pPr>
        <w:spacing w:after="120" w:line="276" w:lineRule="auto"/>
        <w:jc w:val="both"/>
        <w:rPr>
          <w:rFonts w:ascii="Arial Narrow" w:hAnsi="Arial Narrow"/>
          <w:color w:val="000000"/>
        </w:rPr>
      </w:pPr>
      <w:r w:rsidRPr="00CE357F">
        <w:rPr>
          <w:rFonts w:ascii="Arial Narrow" w:hAnsi="Arial Narrow"/>
          <w:color w:val="000000"/>
        </w:rPr>
        <w:br/>
        <w:t>V ORP Břeclav žilo k datu 1. 1. 202</w:t>
      </w:r>
      <w:r w:rsidR="00F61F28">
        <w:rPr>
          <w:rFonts w:ascii="Arial Narrow" w:hAnsi="Arial Narrow"/>
          <w:color w:val="000000"/>
        </w:rPr>
        <w:t>2</w:t>
      </w:r>
      <w:r w:rsidRPr="00CE357F">
        <w:rPr>
          <w:rFonts w:ascii="Arial Narrow" w:hAnsi="Arial Narrow"/>
          <w:color w:val="000000"/>
        </w:rPr>
        <w:t xml:space="preserve"> celkem 1 971 osob s jinou než českou státní příslušností, což bylo zhruba 3,4 % všech obyvatel ORP Břeclav. Více než polovina (54,1 %) všech osob s jinou než českou státní příslušností na území OPR Břeclav měl</w:t>
      </w:r>
      <w:r w:rsidR="00DE56F4" w:rsidRPr="00CE357F">
        <w:rPr>
          <w:rFonts w:ascii="Arial Narrow" w:hAnsi="Arial Narrow"/>
          <w:color w:val="000000"/>
        </w:rPr>
        <w:t>a</w:t>
      </w:r>
      <w:r w:rsidRPr="00CE357F">
        <w:rPr>
          <w:rFonts w:ascii="Arial Narrow" w:hAnsi="Arial Narrow"/>
          <w:color w:val="000000"/>
        </w:rPr>
        <w:t xml:space="preserve"> trvalý pobyt, </w:t>
      </w:r>
      <w:r w:rsidR="00755FA0" w:rsidRPr="00CE357F">
        <w:rPr>
          <w:rFonts w:ascii="Arial Narrow" w:hAnsi="Arial Narrow"/>
          <w:color w:val="000000"/>
        </w:rPr>
        <w:t>4</w:t>
      </w:r>
      <w:r w:rsidRPr="00CE357F">
        <w:rPr>
          <w:rFonts w:ascii="Arial Narrow" w:hAnsi="Arial Narrow"/>
          <w:color w:val="000000"/>
        </w:rPr>
        <w:t>5,9 % pak pobyt přechodný. Podíl dětí do 15 let z celkového počtu těchto osob v ORP Břeclav byl 9,1 %. Nejvyšší podíl osob s jinou než českou státní příslušností na celkovém počtu obyvatel v dané obci byl v </w:t>
      </w:r>
      <w:proofErr w:type="spellStart"/>
      <w:r w:rsidRPr="00CE357F">
        <w:rPr>
          <w:rFonts w:ascii="Arial Narrow" w:hAnsi="Arial Narrow"/>
          <w:color w:val="000000"/>
        </w:rPr>
        <w:t>Podivíně</w:t>
      </w:r>
      <w:proofErr w:type="spellEnd"/>
      <w:r w:rsidRPr="00CE357F">
        <w:rPr>
          <w:rFonts w:ascii="Arial Narrow" w:hAnsi="Arial Narrow"/>
          <w:color w:val="000000"/>
        </w:rPr>
        <w:t xml:space="preserve"> (4,5 %), druhý nejvyšší podíl byl evidován v Ladné (4,4 %) a </w:t>
      </w:r>
      <w:r w:rsidR="00DE56F4" w:rsidRPr="00CE357F">
        <w:rPr>
          <w:rFonts w:ascii="Arial Narrow" w:hAnsi="Arial Narrow"/>
          <w:color w:val="000000"/>
        </w:rPr>
        <w:t>dále v Břeclavi /4,2 %) a</w:t>
      </w:r>
      <w:r w:rsidRPr="00CE357F">
        <w:rPr>
          <w:rFonts w:ascii="Arial Narrow" w:hAnsi="Arial Narrow"/>
          <w:color w:val="000000"/>
        </w:rPr>
        <w:t xml:space="preserve"> v Tvrdonicích (4,2 %).</w:t>
      </w:r>
    </w:p>
    <w:p w14:paraId="608E6C3D" w14:textId="2AD493BB" w:rsidR="00B835F6" w:rsidRPr="00CE357F" w:rsidRDefault="00B835F6" w:rsidP="00B835F6">
      <w:pPr>
        <w:shd w:val="clear" w:color="auto" w:fill="FFFFFF" w:themeFill="background1"/>
        <w:spacing w:after="120" w:line="276" w:lineRule="auto"/>
        <w:jc w:val="both"/>
        <w:rPr>
          <w:rFonts w:ascii="Arial Narrow" w:hAnsi="Arial Narrow"/>
          <w:color w:val="000000"/>
        </w:rPr>
      </w:pPr>
      <w:r w:rsidRPr="00CE357F">
        <w:rPr>
          <w:rFonts w:ascii="Arial Narrow" w:hAnsi="Arial Narrow"/>
          <w:color w:val="000000"/>
        </w:rPr>
        <w:t xml:space="preserve">V ORP Břeclav bylo k 1. 1. 2022 </w:t>
      </w:r>
      <w:r w:rsidR="00DE56F4" w:rsidRPr="00CE357F">
        <w:rPr>
          <w:rFonts w:ascii="Arial Narrow" w:hAnsi="Arial Narrow"/>
          <w:color w:val="000000"/>
        </w:rPr>
        <w:t xml:space="preserve">celkem </w:t>
      </w:r>
      <w:r w:rsidRPr="00CE357F">
        <w:rPr>
          <w:rFonts w:ascii="Arial Narrow" w:hAnsi="Arial Narrow"/>
          <w:color w:val="000000"/>
        </w:rPr>
        <w:t>18 obcí, přičemž v každé z nich se nacházela alespoň jedna osoba s jinou než českou státní příslušností. Z důvodu velkého množství dat dále pracujeme jen s obcemi, na jejichž území v dané době pobývalo 10 a více těchto osob.</w:t>
      </w:r>
      <w:r w:rsidR="00DE56F4" w:rsidRPr="00CE357F">
        <w:rPr>
          <w:rFonts w:ascii="Arial Narrow" w:hAnsi="Arial Narrow"/>
          <w:color w:val="000000"/>
        </w:rPr>
        <w:t xml:space="preserve"> </w:t>
      </w:r>
      <w:r w:rsidRPr="00CE357F">
        <w:rPr>
          <w:rFonts w:ascii="Arial Narrow" w:hAnsi="Arial Narrow"/>
          <w:color w:val="000000"/>
        </w:rPr>
        <w:t>Počty osob s jinou než českou státní příslušností v daných obcích včetně rozdělení těchto osob podle pohlaví a věku</w:t>
      </w:r>
      <w:r w:rsidR="00572269">
        <w:rPr>
          <w:rFonts w:ascii="Arial Narrow" w:hAnsi="Arial Narrow"/>
          <w:color w:val="000000"/>
        </w:rPr>
        <w:t xml:space="preserve"> a jejich podíl na celkovém počtu obyvatel</w:t>
      </w:r>
      <w:r w:rsidRPr="00CE357F">
        <w:rPr>
          <w:rFonts w:ascii="Arial Narrow" w:hAnsi="Arial Narrow"/>
          <w:color w:val="000000"/>
        </w:rPr>
        <w:t xml:space="preserve"> podrobně dokumentuj</w:t>
      </w:r>
      <w:r w:rsidR="00572269">
        <w:rPr>
          <w:rFonts w:ascii="Arial Narrow" w:hAnsi="Arial Narrow"/>
          <w:color w:val="000000"/>
        </w:rPr>
        <w:t>í</w:t>
      </w:r>
      <w:r w:rsidRPr="00CE357F">
        <w:rPr>
          <w:rFonts w:ascii="Arial Narrow" w:hAnsi="Arial Narrow"/>
          <w:color w:val="000000"/>
        </w:rPr>
        <w:t xml:space="preserve"> tabulka</w:t>
      </w:r>
      <w:r w:rsidR="00572269">
        <w:rPr>
          <w:rFonts w:ascii="Arial Narrow" w:hAnsi="Arial Narrow"/>
          <w:color w:val="000000"/>
        </w:rPr>
        <w:t xml:space="preserve"> č. 43 a graf č. 113</w:t>
      </w:r>
      <w:r w:rsidRPr="00CE357F">
        <w:rPr>
          <w:rFonts w:ascii="Arial Narrow" w:hAnsi="Arial Narrow"/>
          <w:color w:val="000000"/>
        </w:rPr>
        <w:t xml:space="preserve">. </w:t>
      </w:r>
    </w:p>
    <w:p w14:paraId="52DB422A" w14:textId="534D0009" w:rsidR="00B835F6" w:rsidRPr="00CE357F" w:rsidRDefault="00B835F6" w:rsidP="00C50D20">
      <w:pPr>
        <w:jc w:val="both"/>
        <w:rPr>
          <w:rFonts w:ascii="Arial Narrow" w:hAnsi="Arial Narrow"/>
          <w:b/>
          <w:bCs/>
          <w:sz w:val="24"/>
          <w:szCs w:val="24"/>
        </w:rPr>
      </w:pPr>
      <w:bookmarkStart w:id="697" w:name="_Toc136429254"/>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43</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Břeclav v roce 2022</w:t>
      </w:r>
      <w:bookmarkEnd w:id="697"/>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42"/>
        <w:gridCol w:w="892"/>
        <w:gridCol w:w="1270"/>
        <w:gridCol w:w="1406"/>
        <w:gridCol w:w="573"/>
        <w:gridCol w:w="636"/>
        <w:gridCol w:w="811"/>
        <w:gridCol w:w="695"/>
        <w:gridCol w:w="558"/>
        <w:gridCol w:w="974"/>
      </w:tblGrid>
      <w:tr w:rsidR="00B835F6" w:rsidRPr="00CE357F" w14:paraId="34114A1E" w14:textId="77777777" w:rsidTr="00FE0538">
        <w:trPr>
          <w:trHeight w:val="204"/>
        </w:trPr>
        <w:tc>
          <w:tcPr>
            <w:tcW w:w="1169" w:type="dxa"/>
            <w:vMerge w:val="restart"/>
            <w:shd w:val="clear" w:color="auto" w:fill="D9E2F3" w:themeFill="accent1" w:themeFillTint="33"/>
            <w:vAlign w:val="center"/>
          </w:tcPr>
          <w:p w14:paraId="40863593"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905" w:type="dxa"/>
            <w:vMerge w:val="restart"/>
            <w:shd w:val="clear" w:color="auto" w:fill="D9E2F3" w:themeFill="accent1" w:themeFillTint="33"/>
            <w:vAlign w:val="center"/>
          </w:tcPr>
          <w:p w14:paraId="77C22CF4" w14:textId="77777777" w:rsidR="00B835F6" w:rsidRPr="00CE357F" w:rsidRDefault="00B835F6" w:rsidP="00B835F6">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301" w:type="dxa"/>
            <w:vMerge w:val="restart"/>
            <w:shd w:val="clear" w:color="auto" w:fill="D9E2F3" w:themeFill="accent1" w:themeFillTint="33"/>
            <w:vAlign w:val="center"/>
          </w:tcPr>
          <w:p w14:paraId="6F4383B3" w14:textId="77777777" w:rsidR="00B835F6" w:rsidRPr="00CE357F" w:rsidRDefault="00B835F6" w:rsidP="00B835F6">
            <w:pPr>
              <w:jc w:val="center"/>
              <w:rPr>
                <w:rFonts w:ascii="Arial Narrow" w:hAnsi="Arial Narrow"/>
                <w:sz w:val="18"/>
                <w:szCs w:val="18"/>
              </w:rPr>
            </w:pPr>
            <w:r w:rsidRPr="00CE357F">
              <w:rPr>
                <w:rFonts w:ascii="Arial Narrow" w:hAnsi="Arial Narrow"/>
                <w:bCs/>
                <w:color w:val="000000"/>
                <w:sz w:val="18"/>
                <w:szCs w:val="18"/>
              </w:rPr>
              <w:t>Osoby s jinou než českou státní příslušností</w:t>
            </w:r>
            <w:r w:rsidRPr="00CE357F">
              <w:rPr>
                <w:rFonts w:ascii="Arial Narrow" w:eastAsia="Times New Roman" w:hAnsi="Arial Narrow" w:cs="Arial"/>
                <w:bCs/>
                <w:sz w:val="18"/>
                <w:szCs w:val="18"/>
                <w:lang w:eastAsia="cs-CZ"/>
              </w:rPr>
              <w:t xml:space="preserve"> celkem</w:t>
            </w:r>
          </w:p>
        </w:tc>
        <w:tc>
          <w:tcPr>
            <w:tcW w:w="1451" w:type="dxa"/>
            <w:vMerge w:val="restart"/>
            <w:shd w:val="clear" w:color="auto" w:fill="D9E2F3" w:themeFill="accent1" w:themeFillTint="33"/>
            <w:vAlign w:val="center"/>
          </w:tcPr>
          <w:p w14:paraId="0C205BFF" w14:textId="77777777" w:rsidR="00B835F6" w:rsidRPr="00CE357F" w:rsidRDefault="00B835F6" w:rsidP="00B835F6">
            <w:pPr>
              <w:jc w:val="center"/>
              <w:rPr>
                <w:rFonts w:ascii="Arial Narrow" w:eastAsia="Times New Roman" w:hAnsi="Arial Narrow" w:cs="Arial"/>
                <w:sz w:val="18"/>
                <w:szCs w:val="18"/>
                <w:lang w:eastAsia="cs-CZ"/>
              </w:rPr>
            </w:pPr>
            <w:r w:rsidRPr="00CE357F">
              <w:rPr>
                <w:rFonts w:ascii="Arial Narrow" w:eastAsia="Times New Roman" w:hAnsi="Arial Narrow" w:cs="Arial"/>
                <w:bCs/>
                <w:sz w:val="18"/>
                <w:szCs w:val="18"/>
                <w:lang w:eastAsia="cs-CZ"/>
              </w:rPr>
              <w:t xml:space="preserve">Podíl </w:t>
            </w:r>
            <w:r w:rsidRPr="00CE357F">
              <w:rPr>
                <w:rFonts w:ascii="Arial Narrow" w:hAnsi="Arial Narrow"/>
                <w:bCs/>
                <w:color w:val="000000"/>
                <w:sz w:val="18"/>
                <w:szCs w:val="18"/>
              </w:rPr>
              <w:t>osob s jinou než českou státní příslušností</w:t>
            </w:r>
            <w:r w:rsidRPr="00CE357F">
              <w:rPr>
                <w:rFonts w:ascii="Arial Narrow" w:eastAsia="Times New Roman" w:hAnsi="Arial Narrow" w:cs="Arial"/>
                <w:bCs/>
                <w:sz w:val="18"/>
                <w:szCs w:val="18"/>
                <w:lang w:eastAsia="cs-CZ"/>
              </w:rPr>
              <w:t xml:space="preserve"> na celkovém počtu obyvatel</w:t>
            </w:r>
          </w:p>
        </w:tc>
        <w:tc>
          <w:tcPr>
            <w:tcW w:w="2063" w:type="dxa"/>
            <w:gridSpan w:val="3"/>
            <w:shd w:val="clear" w:color="auto" w:fill="D9E2F3" w:themeFill="accent1" w:themeFillTint="33"/>
            <w:vAlign w:val="center"/>
          </w:tcPr>
          <w:p w14:paraId="507603C0"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2291" w:type="dxa"/>
            <w:gridSpan w:val="3"/>
            <w:shd w:val="clear" w:color="auto" w:fill="D9E2F3" w:themeFill="accent1" w:themeFillTint="33"/>
            <w:vAlign w:val="center"/>
          </w:tcPr>
          <w:p w14:paraId="5A7ACCD7"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B835F6" w:rsidRPr="00CE357F" w14:paraId="7D31BC9E" w14:textId="77777777" w:rsidTr="00FE0538">
        <w:trPr>
          <w:trHeight w:val="204"/>
        </w:trPr>
        <w:tc>
          <w:tcPr>
            <w:tcW w:w="1169" w:type="dxa"/>
            <w:vMerge/>
            <w:shd w:val="clear" w:color="auto" w:fill="D9E2F3" w:themeFill="accent1" w:themeFillTint="33"/>
            <w:vAlign w:val="center"/>
          </w:tcPr>
          <w:p w14:paraId="16553DF6" w14:textId="77777777" w:rsidR="00B835F6" w:rsidRPr="00CE357F" w:rsidRDefault="00B835F6" w:rsidP="00B835F6">
            <w:pPr>
              <w:jc w:val="center"/>
              <w:rPr>
                <w:rFonts w:ascii="Arial Narrow" w:eastAsia="Times New Roman" w:hAnsi="Arial Narrow" w:cs="Arial"/>
                <w:sz w:val="18"/>
                <w:szCs w:val="18"/>
                <w:lang w:eastAsia="cs-CZ"/>
              </w:rPr>
            </w:pPr>
          </w:p>
        </w:tc>
        <w:tc>
          <w:tcPr>
            <w:tcW w:w="905" w:type="dxa"/>
            <w:vMerge/>
            <w:shd w:val="clear" w:color="auto" w:fill="D9E2F3" w:themeFill="accent1" w:themeFillTint="33"/>
            <w:vAlign w:val="center"/>
          </w:tcPr>
          <w:p w14:paraId="5F36D0C5" w14:textId="77777777" w:rsidR="00B835F6" w:rsidRPr="00CE357F" w:rsidRDefault="00B835F6" w:rsidP="00B835F6">
            <w:pPr>
              <w:jc w:val="center"/>
              <w:rPr>
                <w:rFonts w:ascii="Arial Narrow" w:eastAsia="Times New Roman" w:hAnsi="Arial Narrow" w:cs="Arial"/>
                <w:sz w:val="18"/>
                <w:szCs w:val="18"/>
                <w:lang w:eastAsia="cs-CZ"/>
              </w:rPr>
            </w:pPr>
          </w:p>
        </w:tc>
        <w:tc>
          <w:tcPr>
            <w:tcW w:w="1301" w:type="dxa"/>
            <w:vMerge/>
            <w:shd w:val="clear" w:color="auto" w:fill="D9E2F3" w:themeFill="accent1" w:themeFillTint="33"/>
            <w:vAlign w:val="center"/>
          </w:tcPr>
          <w:p w14:paraId="54F3FD91" w14:textId="77777777" w:rsidR="00B835F6" w:rsidRPr="00CE357F" w:rsidRDefault="00B835F6" w:rsidP="00B835F6">
            <w:pPr>
              <w:jc w:val="center"/>
              <w:rPr>
                <w:rFonts w:ascii="Arial Narrow" w:eastAsia="Times New Roman" w:hAnsi="Arial Narrow" w:cs="Arial"/>
                <w:sz w:val="18"/>
                <w:szCs w:val="18"/>
                <w:lang w:eastAsia="cs-CZ"/>
              </w:rPr>
            </w:pPr>
          </w:p>
        </w:tc>
        <w:tc>
          <w:tcPr>
            <w:tcW w:w="1451" w:type="dxa"/>
            <w:vMerge/>
            <w:shd w:val="clear" w:color="auto" w:fill="D9E2F3" w:themeFill="accent1" w:themeFillTint="33"/>
            <w:vAlign w:val="center"/>
          </w:tcPr>
          <w:p w14:paraId="2F538203" w14:textId="77777777" w:rsidR="00B835F6" w:rsidRPr="00CE357F" w:rsidRDefault="00B835F6" w:rsidP="00B835F6">
            <w:pPr>
              <w:jc w:val="center"/>
              <w:rPr>
                <w:rFonts w:ascii="Arial Narrow" w:eastAsia="Times New Roman" w:hAnsi="Arial Narrow" w:cs="Arial"/>
                <w:sz w:val="18"/>
                <w:szCs w:val="18"/>
                <w:lang w:eastAsia="cs-CZ"/>
              </w:rPr>
            </w:pPr>
          </w:p>
        </w:tc>
        <w:tc>
          <w:tcPr>
            <w:tcW w:w="582" w:type="dxa"/>
            <w:shd w:val="clear" w:color="auto" w:fill="D9E2F3" w:themeFill="accent1" w:themeFillTint="33"/>
            <w:vAlign w:val="center"/>
          </w:tcPr>
          <w:p w14:paraId="31AF7ADE"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660" w:type="dxa"/>
            <w:shd w:val="clear" w:color="auto" w:fill="D9E2F3" w:themeFill="accent1" w:themeFillTint="33"/>
            <w:vAlign w:val="center"/>
          </w:tcPr>
          <w:p w14:paraId="34095EF5"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21" w:type="dxa"/>
            <w:shd w:val="clear" w:color="auto" w:fill="D9E2F3" w:themeFill="accent1" w:themeFillTint="33"/>
            <w:vAlign w:val="center"/>
          </w:tcPr>
          <w:p w14:paraId="668C9B58"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716" w:type="dxa"/>
            <w:shd w:val="clear" w:color="auto" w:fill="D9E2F3" w:themeFill="accent1" w:themeFillTint="33"/>
            <w:vAlign w:val="center"/>
          </w:tcPr>
          <w:p w14:paraId="3B305D9B"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74" w:type="dxa"/>
            <w:shd w:val="clear" w:color="auto" w:fill="D9E2F3" w:themeFill="accent1" w:themeFillTint="33"/>
            <w:vAlign w:val="center"/>
          </w:tcPr>
          <w:p w14:paraId="4983C698"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1001" w:type="dxa"/>
            <w:shd w:val="clear" w:color="auto" w:fill="D9E2F3" w:themeFill="accent1" w:themeFillTint="33"/>
            <w:vAlign w:val="center"/>
          </w:tcPr>
          <w:p w14:paraId="5F669367" w14:textId="77777777" w:rsidR="00B835F6" w:rsidRPr="00CE357F" w:rsidRDefault="00B835F6" w:rsidP="00B835F6">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171B4D" w:rsidRPr="00CE357F" w14:paraId="30A187AE" w14:textId="77777777" w:rsidTr="00FE0538">
        <w:trPr>
          <w:trHeight w:val="204"/>
        </w:trPr>
        <w:tc>
          <w:tcPr>
            <w:tcW w:w="1169" w:type="dxa"/>
            <w:shd w:val="clear" w:color="auto" w:fill="D9E2F3" w:themeFill="accent1" w:themeFillTint="33"/>
            <w:vAlign w:val="center"/>
          </w:tcPr>
          <w:p w14:paraId="3558041F"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Podivín</w:t>
            </w:r>
          </w:p>
        </w:tc>
        <w:tc>
          <w:tcPr>
            <w:tcW w:w="905" w:type="dxa"/>
            <w:vAlign w:val="bottom"/>
          </w:tcPr>
          <w:p w14:paraId="0CA2EC9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2 905</w:t>
            </w:r>
          </w:p>
        </w:tc>
        <w:tc>
          <w:tcPr>
            <w:tcW w:w="1301" w:type="dxa"/>
            <w:vAlign w:val="bottom"/>
          </w:tcPr>
          <w:p w14:paraId="615AE95E"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130</w:t>
            </w:r>
          </w:p>
        </w:tc>
        <w:tc>
          <w:tcPr>
            <w:tcW w:w="1451" w:type="dxa"/>
            <w:vAlign w:val="center"/>
          </w:tcPr>
          <w:p w14:paraId="77B7A1CC" w14:textId="77777777" w:rsidR="00171B4D" w:rsidRPr="00CE357F" w:rsidRDefault="00171B4D" w:rsidP="00B835F6">
            <w:pPr>
              <w:jc w:val="center"/>
              <w:rPr>
                <w:rFonts w:ascii="Arial Narrow" w:hAnsi="Arial Narrow"/>
                <w:b/>
                <w:bCs/>
                <w:sz w:val="18"/>
                <w:szCs w:val="18"/>
              </w:rPr>
            </w:pPr>
            <w:r w:rsidRPr="00CE357F">
              <w:rPr>
                <w:rFonts w:ascii="Arial Narrow" w:hAnsi="Arial Narrow"/>
                <w:b/>
                <w:bCs/>
                <w:color w:val="C00000"/>
                <w:sz w:val="18"/>
                <w:szCs w:val="18"/>
              </w:rPr>
              <w:t>4,5 %</w:t>
            </w:r>
          </w:p>
        </w:tc>
        <w:tc>
          <w:tcPr>
            <w:tcW w:w="582" w:type="dxa"/>
            <w:vAlign w:val="bottom"/>
          </w:tcPr>
          <w:p w14:paraId="5AC70977"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83</w:t>
            </w:r>
          </w:p>
        </w:tc>
        <w:tc>
          <w:tcPr>
            <w:tcW w:w="660" w:type="dxa"/>
            <w:vAlign w:val="bottom"/>
          </w:tcPr>
          <w:p w14:paraId="20C30BE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w:t>
            </w:r>
          </w:p>
        </w:tc>
        <w:tc>
          <w:tcPr>
            <w:tcW w:w="821" w:type="dxa"/>
            <w:vAlign w:val="bottom"/>
          </w:tcPr>
          <w:p w14:paraId="75AC3F15"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86</w:t>
            </w:r>
          </w:p>
        </w:tc>
        <w:tc>
          <w:tcPr>
            <w:tcW w:w="716" w:type="dxa"/>
            <w:vAlign w:val="bottom"/>
          </w:tcPr>
          <w:p w14:paraId="6BFD023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41</w:t>
            </w:r>
          </w:p>
        </w:tc>
        <w:tc>
          <w:tcPr>
            <w:tcW w:w="574" w:type="dxa"/>
            <w:vAlign w:val="bottom"/>
          </w:tcPr>
          <w:p w14:paraId="644BB08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w:t>
            </w:r>
          </w:p>
        </w:tc>
        <w:tc>
          <w:tcPr>
            <w:tcW w:w="1001" w:type="dxa"/>
            <w:vAlign w:val="bottom"/>
          </w:tcPr>
          <w:p w14:paraId="46BF36AE"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44</w:t>
            </w:r>
          </w:p>
        </w:tc>
      </w:tr>
      <w:tr w:rsidR="00171B4D" w:rsidRPr="00CE357F" w14:paraId="758F67D2" w14:textId="77777777" w:rsidTr="00FE0538">
        <w:trPr>
          <w:trHeight w:val="204"/>
        </w:trPr>
        <w:tc>
          <w:tcPr>
            <w:tcW w:w="1169" w:type="dxa"/>
            <w:shd w:val="clear" w:color="auto" w:fill="D9E2F3" w:themeFill="accent1" w:themeFillTint="33"/>
            <w:vAlign w:val="center"/>
          </w:tcPr>
          <w:p w14:paraId="3FDEE937"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Ladná</w:t>
            </w:r>
          </w:p>
        </w:tc>
        <w:tc>
          <w:tcPr>
            <w:tcW w:w="905" w:type="dxa"/>
            <w:vAlign w:val="bottom"/>
          </w:tcPr>
          <w:p w14:paraId="65A5B600"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1 211</w:t>
            </w:r>
          </w:p>
        </w:tc>
        <w:tc>
          <w:tcPr>
            <w:tcW w:w="1301" w:type="dxa"/>
            <w:vAlign w:val="bottom"/>
          </w:tcPr>
          <w:p w14:paraId="214401B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53</w:t>
            </w:r>
          </w:p>
        </w:tc>
        <w:tc>
          <w:tcPr>
            <w:tcW w:w="1451" w:type="dxa"/>
            <w:vAlign w:val="center"/>
          </w:tcPr>
          <w:p w14:paraId="490333B5" w14:textId="77777777" w:rsidR="00171B4D" w:rsidRPr="00CE357F" w:rsidRDefault="00171B4D" w:rsidP="00B835F6">
            <w:pPr>
              <w:jc w:val="center"/>
              <w:rPr>
                <w:rFonts w:ascii="Arial Narrow" w:hAnsi="Arial Narrow"/>
                <w:b/>
                <w:bCs/>
                <w:sz w:val="18"/>
                <w:szCs w:val="18"/>
              </w:rPr>
            </w:pPr>
            <w:r w:rsidRPr="00CE357F">
              <w:rPr>
                <w:rFonts w:ascii="Arial Narrow" w:hAnsi="Arial Narrow"/>
                <w:b/>
                <w:bCs/>
                <w:color w:val="C00000"/>
                <w:sz w:val="18"/>
                <w:szCs w:val="18"/>
              </w:rPr>
              <w:t>4,4 %</w:t>
            </w:r>
          </w:p>
        </w:tc>
        <w:tc>
          <w:tcPr>
            <w:tcW w:w="582" w:type="dxa"/>
            <w:vAlign w:val="bottom"/>
          </w:tcPr>
          <w:p w14:paraId="1AE3794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24</w:t>
            </w:r>
          </w:p>
        </w:tc>
        <w:tc>
          <w:tcPr>
            <w:tcW w:w="660" w:type="dxa"/>
            <w:vAlign w:val="bottom"/>
          </w:tcPr>
          <w:p w14:paraId="23AF659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0</w:t>
            </w:r>
          </w:p>
        </w:tc>
        <w:tc>
          <w:tcPr>
            <w:tcW w:w="821" w:type="dxa"/>
            <w:vAlign w:val="bottom"/>
          </w:tcPr>
          <w:p w14:paraId="1AD832EF"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24</w:t>
            </w:r>
          </w:p>
        </w:tc>
        <w:tc>
          <w:tcPr>
            <w:tcW w:w="716" w:type="dxa"/>
            <w:vAlign w:val="bottom"/>
          </w:tcPr>
          <w:p w14:paraId="7326CAB2"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23</w:t>
            </w:r>
          </w:p>
        </w:tc>
        <w:tc>
          <w:tcPr>
            <w:tcW w:w="574" w:type="dxa"/>
            <w:vAlign w:val="bottom"/>
          </w:tcPr>
          <w:p w14:paraId="323B00A2"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6</w:t>
            </w:r>
          </w:p>
        </w:tc>
        <w:tc>
          <w:tcPr>
            <w:tcW w:w="1001" w:type="dxa"/>
            <w:vAlign w:val="bottom"/>
          </w:tcPr>
          <w:p w14:paraId="1C9404F8"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29</w:t>
            </w:r>
          </w:p>
        </w:tc>
      </w:tr>
      <w:tr w:rsidR="00171B4D" w:rsidRPr="00CE357F" w14:paraId="62D61859" w14:textId="77777777" w:rsidTr="00FE0538">
        <w:trPr>
          <w:trHeight w:val="204"/>
        </w:trPr>
        <w:tc>
          <w:tcPr>
            <w:tcW w:w="1169" w:type="dxa"/>
            <w:shd w:val="clear" w:color="auto" w:fill="D9E2F3" w:themeFill="accent1" w:themeFillTint="33"/>
            <w:vAlign w:val="center"/>
          </w:tcPr>
          <w:p w14:paraId="198ED94E"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Břeclav</w:t>
            </w:r>
          </w:p>
        </w:tc>
        <w:tc>
          <w:tcPr>
            <w:tcW w:w="905" w:type="dxa"/>
            <w:vAlign w:val="bottom"/>
          </w:tcPr>
          <w:p w14:paraId="18333C1C"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23 965</w:t>
            </w:r>
          </w:p>
        </w:tc>
        <w:tc>
          <w:tcPr>
            <w:tcW w:w="1301" w:type="dxa"/>
            <w:vAlign w:val="bottom"/>
          </w:tcPr>
          <w:p w14:paraId="0095CF8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1009</w:t>
            </w:r>
          </w:p>
        </w:tc>
        <w:tc>
          <w:tcPr>
            <w:tcW w:w="1451" w:type="dxa"/>
            <w:vAlign w:val="center"/>
          </w:tcPr>
          <w:p w14:paraId="0E47EB61" w14:textId="77777777" w:rsidR="00171B4D" w:rsidRPr="00CE357F" w:rsidRDefault="00171B4D" w:rsidP="00B835F6">
            <w:pPr>
              <w:jc w:val="center"/>
              <w:rPr>
                <w:rFonts w:ascii="Arial Narrow" w:hAnsi="Arial Narrow"/>
                <w:b/>
                <w:bCs/>
                <w:sz w:val="18"/>
                <w:szCs w:val="18"/>
              </w:rPr>
            </w:pPr>
            <w:r w:rsidRPr="00CE357F">
              <w:rPr>
                <w:rFonts w:ascii="Arial Narrow" w:hAnsi="Arial Narrow"/>
                <w:b/>
                <w:bCs/>
                <w:color w:val="C00000"/>
                <w:sz w:val="18"/>
                <w:szCs w:val="18"/>
              </w:rPr>
              <w:t>4,2 %</w:t>
            </w:r>
          </w:p>
        </w:tc>
        <w:tc>
          <w:tcPr>
            <w:tcW w:w="582" w:type="dxa"/>
            <w:vAlign w:val="bottom"/>
          </w:tcPr>
          <w:p w14:paraId="781DA095"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472</w:t>
            </w:r>
          </w:p>
        </w:tc>
        <w:tc>
          <w:tcPr>
            <w:tcW w:w="660" w:type="dxa"/>
            <w:vAlign w:val="bottom"/>
          </w:tcPr>
          <w:p w14:paraId="23A67040"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47</w:t>
            </w:r>
          </w:p>
        </w:tc>
        <w:tc>
          <w:tcPr>
            <w:tcW w:w="821" w:type="dxa"/>
            <w:vAlign w:val="bottom"/>
          </w:tcPr>
          <w:p w14:paraId="432D09B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519</w:t>
            </w:r>
          </w:p>
        </w:tc>
        <w:tc>
          <w:tcPr>
            <w:tcW w:w="716" w:type="dxa"/>
            <w:vAlign w:val="bottom"/>
          </w:tcPr>
          <w:p w14:paraId="31DA696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431</w:t>
            </w:r>
          </w:p>
        </w:tc>
        <w:tc>
          <w:tcPr>
            <w:tcW w:w="574" w:type="dxa"/>
            <w:vAlign w:val="bottom"/>
          </w:tcPr>
          <w:p w14:paraId="2309750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59</w:t>
            </w:r>
          </w:p>
        </w:tc>
        <w:tc>
          <w:tcPr>
            <w:tcW w:w="1001" w:type="dxa"/>
            <w:vAlign w:val="bottom"/>
          </w:tcPr>
          <w:p w14:paraId="3CDC19C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490</w:t>
            </w:r>
          </w:p>
        </w:tc>
      </w:tr>
      <w:tr w:rsidR="00171B4D" w:rsidRPr="00CE357F" w14:paraId="655B97CE" w14:textId="77777777" w:rsidTr="00FE0538">
        <w:trPr>
          <w:trHeight w:val="204"/>
        </w:trPr>
        <w:tc>
          <w:tcPr>
            <w:tcW w:w="1169" w:type="dxa"/>
            <w:shd w:val="clear" w:color="auto" w:fill="D9E2F3" w:themeFill="accent1" w:themeFillTint="33"/>
            <w:vAlign w:val="center"/>
          </w:tcPr>
          <w:p w14:paraId="4A70F07D"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Tvrdonice</w:t>
            </w:r>
          </w:p>
        </w:tc>
        <w:tc>
          <w:tcPr>
            <w:tcW w:w="905" w:type="dxa"/>
            <w:vAlign w:val="bottom"/>
          </w:tcPr>
          <w:p w14:paraId="69C6C34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2 049</w:t>
            </w:r>
          </w:p>
        </w:tc>
        <w:tc>
          <w:tcPr>
            <w:tcW w:w="1301" w:type="dxa"/>
            <w:vAlign w:val="bottom"/>
          </w:tcPr>
          <w:p w14:paraId="093F3D4A"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86</w:t>
            </w:r>
          </w:p>
        </w:tc>
        <w:tc>
          <w:tcPr>
            <w:tcW w:w="1451" w:type="dxa"/>
            <w:vAlign w:val="center"/>
          </w:tcPr>
          <w:p w14:paraId="5A1EEAF7" w14:textId="77777777" w:rsidR="00171B4D" w:rsidRPr="00CE357F" w:rsidRDefault="00171B4D" w:rsidP="00B835F6">
            <w:pPr>
              <w:jc w:val="center"/>
              <w:rPr>
                <w:rFonts w:ascii="Arial Narrow" w:hAnsi="Arial Narrow"/>
                <w:b/>
                <w:bCs/>
                <w:sz w:val="18"/>
                <w:szCs w:val="18"/>
              </w:rPr>
            </w:pPr>
            <w:r w:rsidRPr="00CE357F">
              <w:rPr>
                <w:rFonts w:ascii="Arial Narrow" w:hAnsi="Arial Narrow"/>
                <w:b/>
                <w:bCs/>
                <w:color w:val="C00000"/>
                <w:sz w:val="18"/>
                <w:szCs w:val="18"/>
              </w:rPr>
              <w:t>4,2 %</w:t>
            </w:r>
          </w:p>
        </w:tc>
        <w:tc>
          <w:tcPr>
            <w:tcW w:w="582" w:type="dxa"/>
            <w:vAlign w:val="bottom"/>
          </w:tcPr>
          <w:p w14:paraId="6F28F09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45</w:t>
            </w:r>
          </w:p>
        </w:tc>
        <w:tc>
          <w:tcPr>
            <w:tcW w:w="660" w:type="dxa"/>
            <w:vAlign w:val="bottom"/>
          </w:tcPr>
          <w:p w14:paraId="10A2385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821" w:type="dxa"/>
            <w:vAlign w:val="bottom"/>
          </w:tcPr>
          <w:p w14:paraId="3A58C5C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47</w:t>
            </w:r>
          </w:p>
        </w:tc>
        <w:tc>
          <w:tcPr>
            <w:tcW w:w="716" w:type="dxa"/>
            <w:vAlign w:val="bottom"/>
          </w:tcPr>
          <w:p w14:paraId="7AA7A75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37</w:t>
            </w:r>
          </w:p>
        </w:tc>
        <w:tc>
          <w:tcPr>
            <w:tcW w:w="574" w:type="dxa"/>
            <w:vAlign w:val="bottom"/>
          </w:tcPr>
          <w:p w14:paraId="0CCBF58D"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1001" w:type="dxa"/>
            <w:vAlign w:val="bottom"/>
          </w:tcPr>
          <w:p w14:paraId="0797CB3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39</w:t>
            </w:r>
          </w:p>
        </w:tc>
      </w:tr>
      <w:tr w:rsidR="00171B4D" w:rsidRPr="00CE357F" w14:paraId="470B10E7" w14:textId="77777777" w:rsidTr="00FE0538">
        <w:trPr>
          <w:trHeight w:val="204"/>
        </w:trPr>
        <w:tc>
          <w:tcPr>
            <w:tcW w:w="1169" w:type="dxa"/>
            <w:shd w:val="clear" w:color="auto" w:fill="D9E2F3" w:themeFill="accent1" w:themeFillTint="33"/>
            <w:vAlign w:val="center"/>
          </w:tcPr>
          <w:p w14:paraId="05DB94BA"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Valtice</w:t>
            </w:r>
          </w:p>
        </w:tc>
        <w:tc>
          <w:tcPr>
            <w:tcW w:w="905" w:type="dxa"/>
            <w:vAlign w:val="bottom"/>
          </w:tcPr>
          <w:p w14:paraId="53E563B5"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3 483</w:t>
            </w:r>
          </w:p>
        </w:tc>
        <w:tc>
          <w:tcPr>
            <w:tcW w:w="1301" w:type="dxa"/>
            <w:vAlign w:val="bottom"/>
          </w:tcPr>
          <w:p w14:paraId="222F032D"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140</w:t>
            </w:r>
          </w:p>
        </w:tc>
        <w:tc>
          <w:tcPr>
            <w:tcW w:w="1451" w:type="dxa"/>
            <w:vAlign w:val="center"/>
          </w:tcPr>
          <w:p w14:paraId="0099A8D2"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4,0 %</w:t>
            </w:r>
          </w:p>
        </w:tc>
        <w:tc>
          <w:tcPr>
            <w:tcW w:w="582" w:type="dxa"/>
            <w:vAlign w:val="bottom"/>
          </w:tcPr>
          <w:p w14:paraId="21EE411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75</w:t>
            </w:r>
          </w:p>
        </w:tc>
        <w:tc>
          <w:tcPr>
            <w:tcW w:w="660" w:type="dxa"/>
            <w:vAlign w:val="bottom"/>
          </w:tcPr>
          <w:p w14:paraId="4C4460D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821" w:type="dxa"/>
            <w:vAlign w:val="bottom"/>
          </w:tcPr>
          <w:p w14:paraId="764491CD"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77</w:t>
            </w:r>
          </w:p>
        </w:tc>
        <w:tc>
          <w:tcPr>
            <w:tcW w:w="716" w:type="dxa"/>
            <w:vAlign w:val="bottom"/>
          </w:tcPr>
          <w:p w14:paraId="3F9A5EB5"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57</w:t>
            </w:r>
          </w:p>
        </w:tc>
        <w:tc>
          <w:tcPr>
            <w:tcW w:w="574" w:type="dxa"/>
            <w:vAlign w:val="bottom"/>
          </w:tcPr>
          <w:p w14:paraId="20301BB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6</w:t>
            </w:r>
          </w:p>
        </w:tc>
        <w:tc>
          <w:tcPr>
            <w:tcW w:w="1001" w:type="dxa"/>
            <w:vAlign w:val="bottom"/>
          </w:tcPr>
          <w:p w14:paraId="70A3629D"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63</w:t>
            </w:r>
          </w:p>
        </w:tc>
      </w:tr>
      <w:tr w:rsidR="00171B4D" w:rsidRPr="00CE357F" w14:paraId="44119D5D" w14:textId="77777777" w:rsidTr="00FE0538">
        <w:trPr>
          <w:trHeight w:val="204"/>
        </w:trPr>
        <w:tc>
          <w:tcPr>
            <w:tcW w:w="1169" w:type="dxa"/>
            <w:shd w:val="clear" w:color="auto" w:fill="D9E2F3" w:themeFill="accent1" w:themeFillTint="33"/>
            <w:vAlign w:val="center"/>
          </w:tcPr>
          <w:p w14:paraId="0E944F1A"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lastRenderedPageBreak/>
              <w:t>Lednice</w:t>
            </w:r>
          </w:p>
        </w:tc>
        <w:tc>
          <w:tcPr>
            <w:tcW w:w="905" w:type="dxa"/>
            <w:vAlign w:val="bottom"/>
          </w:tcPr>
          <w:p w14:paraId="6AAB627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2 150</w:t>
            </w:r>
          </w:p>
        </w:tc>
        <w:tc>
          <w:tcPr>
            <w:tcW w:w="1301" w:type="dxa"/>
            <w:vAlign w:val="bottom"/>
          </w:tcPr>
          <w:p w14:paraId="4BEDA77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79</w:t>
            </w:r>
          </w:p>
        </w:tc>
        <w:tc>
          <w:tcPr>
            <w:tcW w:w="1451" w:type="dxa"/>
            <w:vAlign w:val="center"/>
          </w:tcPr>
          <w:p w14:paraId="773EE642"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3,7 %</w:t>
            </w:r>
          </w:p>
        </w:tc>
        <w:tc>
          <w:tcPr>
            <w:tcW w:w="582" w:type="dxa"/>
            <w:vAlign w:val="bottom"/>
          </w:tcPr>
          <w:p w14:paraId="4314643E"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38</w:t>
            </w:r>
          </w:p>
        </w:tc>
        <w:tc>
          <w:tcPr>
            <w:tcW w:w="660" w:type="dxa"/>
            <w:vAlign w:val="bottom"/>
          </w:tcPr>
          <w:p w14:paraId="00567884"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821" w:type="dxa"/>
            <w:vAlign w:val="bottom"/>
          </w:tcPr>
          <w:p w14:paraId="105A1934"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40</w:t>
            </w:r>
          </w:p>
        </w:tc>
        <w:tc>
          <w:tcPr>
            <w:tcW w:w="716" w:type="dxa"/>
            <w:vAlign w:val="bottom"/>
          </w:tcPr>
          <w:p w14:paraId="6B858AA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35</w:t>
            </w:r>
          </w:p>
        </w:tc>
        <w:tc>
          <w:tcPr>
            <w:tcW w:w="574" w:type="dxa"/>
            <w:vAlign w:val="bottom"/>
          </w:tcPr>
          <w:p w14:paraId="7D25EC30"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w:t>
            </w:r>
          </w:p>
        </w:tc>
        <w:tc>
          <w:tcPr>
            <w:tcW w:w="1001" w:type="dxa"/>
            <w:vAlign w:val="bottom"/>
          </w:tcPr>
          <w:p w14:paraId="32E2DBA8"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39</w:t>
            </w:r>
          </w:p>
        </w:tc>
      </w:tr>
      <w:tr w:rsidR="00171B4D" w:rsidRPr="00CE357F" w14:paraId="2A0E8FB5" w14:textId="77777777" w:rsidTr="00FE0538">
        <w:trPr>
          <w:trHeight w:val="204"/>
        </w:trPr>
        <w:tc>
          <w:tcPr>
            <w:tcW w:w="1169" w:type="dxa"/>
            <w:shd w:val="clear" w:color="auto" w:fill="D9E2F3" w:themeFill="accent1" w:themeFillTint="33"/>
            <w:vAlign w:val="center"/>
          </w:tcPr>
          <w:p w14:paraId="72CED0C0"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Týnec</w:t>
            </w:r>
          </w:p>
        </w:tc>
        <w:tc>
          <w:tcPr>
            <w:tcW w:w="905" w:type="dxa"/>
            <w:vAlign w:val="bottom"/>
          </w:tcPr>
          <w:p w14:paraId="032B390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1 079</w:t>
            </w:r>
          </w:p>
        </w:tc>
        <w:tc>
          <w:tcPr>
            <w:tcW w:w="1301" w:type="dxa"/>
            <w:vAlign w:val="bottom"/>
          </w:tcPr>
          <w:p w14:paraId="2C37B54F"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39</w:t>
            </w:r>
          </w:p>
        </w:tc>
        <w:tc>
          <w:tcPr>
            <w:tcW w:w="1451" w:type="dxa"/>
            <w:vAlign w:val="center"/>
          </w:tcPr>
          <w:p w14:paraId="70336387"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3,6 %</w:t>
            </w:r>
          </w:p>
        </w:tc>
        <w:tc>
          <w:tcPr>
            <w:tcW w:w="582" w:type="dxa"/>
            <w:vAlign w:val="bottom"/>
          </w:tcPr>
          <w:p w14:paraId="7E7E1BFD"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22</w:t>
            </w:r>
          </w:p>
        </w:tc>
        <w:tc>
          <w:tcPr>
            <w:tcW w:w="660" w:type="dxa"/>
            <w:vAlign w:val="bottom"/>
          </w:tcPr>
          <w:p w14:paraId="4704B31E"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w:t>
            </w:r>
          </w:p>
        </w:tc>
        <w:tc>
          <w:tcPr>
            <w:tcW w:w="821" w:type="dxa"/>
            <w:vAlign w:val="bottom"/>
          </w:tcPr>
          <w:p w14:paraId="1A5869A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25</w:t>
            </w:r>
          </w:p>
        </w:tc>
        <w:tc>
          <w:tcPr>
            <w:tcW w:w="716" w:type="dxa"/>
            <w:vAlign w:val="bottom"/>
          </w:tcPr>
          <w:p w14:paraId="4CD9164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12</w:t>
            </w:r>
          </w:p>
        </w:tc>
        <w:tc>
          <w:tcPr>
            <w:tcW w:w="574" w:type="dxa"/>
            <w:vAlign w:val="bottom"/>
          </w:tcPr>
          <w:p w14:paraId="3F37DAD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1001" w:type="dxa"/>
            <w:vAlign w:val="bottom"/>
          </w:tcPr>
          <w:p w14:paraId="5CD31D0E"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14</w:t>
            </w:r>
          </w:p>
        </w:tc>
      </w:tr>
      <w:tr w:rsidR="00171B4D" w:rsidRPr="00CE357F" w14:paraId="14EA6565" w14:textId="77777777" w:rsidTr="00FE0538">
        <w:trPr>
          <w:trHeight w:val="204"/>
        </w:trPr>
        <w:tc>
          <w:tcPr>
            <w:tcW w:w="1169" w:type="dxa"/>
            <w:shd w:val="clear" w:color="auto" w:fill="D9E2F3" w:themeFill="accent1" w:themeFillTint="33"/>
            <w:vAlign w:val="center"/>
          </w:tcPr>
          <w:p w14:paraId="0BABE2A2"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Rakvice</w:t>
            </w:r>
          </w:p>
        </w:tc>
        <w:tc>
          <w:tcPr>
            <w:tcW w:w="905" w:type="dxa"/>
            <w:vAlign w:val="bottom"/>
          </w:tcPr>
          <w:p w14:paraId="5C220617"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2 137</w:t>
            </w:r>
          </w:p>
        </w:tc>
        <w:tc>
          <w:tcPr>
            <w:tcW w:w="1301" w:type="dxa"/>
            <w:vAlign w:val="bottom"/>
          </w:tcPr>
          <w:p w14:paraId="205084C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68</w:t>
            </w:r>
          </w:p>
        </w:tc>
        <w:tc>
          <w:tcPr>
            <w:tcW w:w="1451" w:type="dxa"/>
            <w:vAlign w:val="center"/>
          </w:tcPr>
          <w:p w14:paraId="4C01EF9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3,2 %</w:t>
            </w:r>
          </w:p>
        </w:tc>
        <w:tc>
          <w:tcPr>
            <w:tcW w:w="582" w:type="dxa"/>
            <w:vAlign w:val="bottom"/>
          </w:tcPr>
          <w:p w14:paraId="0151BAB8"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31</w:t>
            </w:r>
          </w:p>
        </w:tc>
        <w:tc>
          <w:tcPr>
            <w:tcW w:w="660" w:type="dxa"/>
            <w:vAlign w:val="bottom"/>
          </w:tcPr>
          <w:p w14:paraId="3774DB2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w:t>
            </w:r>
          </w:p>
        </w:tc>
        <w:tc>
          <w:tcPr>
            <w:tcW w:w="821" w:type="dxa"/>
            <w:vAlign w:val="bottom"/>
          </w:tcPr>
          <w:p w14:paraId="1908CE8D"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34</w:t>
            </w:r>
          </w:p>
        </w:tc>
        <w:tc>
          <w:tcPr>
            <w:tcW w:w="716" w:type="dxa"/>
            <w:vAlign w:val="bottom"/>
          </w:tcPr>
          <w:p w14:paraId="01E8B292"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30</w:t>
            </w:r>
          </w:p>
        </w:tc>
        <w:tc>
          <w:tcPr>
            <w:tcW w:w="574" w:type="dxa"/>
            <w:vAlign w:val="bottom"/>
          </w:tcPr>
          <w:p w14:paraId="5717391E"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w:t>
            </w:r>
          </w:p>
        </w:tc>
        <w:tc>
          <w:tcPr>
            <w:tcW w:w="1001" w:type="dxa"/>
            <w:vAlign w:val="bottom"/>
          </w:tcPr>
          <w:p w14:paraId="30F728F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34</w:t>
            </w:r>
          </w:p>
        </w:tc>
      </w:tr>
      <w:tr w:rsidR="00171B4D" w:rsidRPr="00CE357F" w14:paraId="5D580F16" w14:textId="77777777" w:rsidTr="00FE0538">
        <w:trPr>
          <w:trHeight w:val="204"/>
        </w:trPr>
        <w:tc>
          <w:tcPr>
            <w:tcW w:w="1169" w:type="dxa"/>
            <w:shd w:val="clear" w:color="auto" w:fill="D9E2F3" w:themeFill="accent1" w:themeFillTint="33"/>
            <w:vAlign w:val="center"/>
          </w:tcPr>
          <w:p w14:paraId="7F407DDF"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Hlohovec</w:t>
            </w:r>
          </w:p>
        </w:tc>
        <w:tc>
          <w:tcPr>
            <w:tcW w:w="905" w:type="dxa"/>
            <w:vAlign w:val="bottom"/>
          </w:tcPr>
          <w:p w14:paraId="6829DE54"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1 272</w:t>
            </w:r>
          </w:p>
        </w:tc>
        <w:tc>
          <w:tcPr>
            <w:tcW w:w="1301" w:type="dxa"/>
            <w:vAlign w:val="bottom"/>
          </w:tcPr>
          <w:p w14:paraId="29432258"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36</w:t>
            </w:r>
          </w:p>
        </w:tc>
        <w:tc>
          <w:tcPr>
            <w:tcW w:w="1451" w:type="dxa"/>
            <w:vAlign w:val="center"/>
          </w:tcPr>
          <w:p w14:paraId="0F895E0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2,8 %</w:t>
            </w:r>
          </w:p>
        </w:tc>
        <w:tc>
          <w:tcPr>
            <w:tcW w:w="582" w:type="dxa"/>
            <w:vAlign w:val="bottom"/>
          </w:tcPr>
          <w:p w14:paraId="23E977D5"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21</w:t>
            </w:r>
          </w:p>
        </w:tc>
        <w:tc>
          <w:tcPr>
            <w:tcW w:w="660" w:type="dxa"/>
            <w:vAlign w:val="bottom"/>
          </w:tcPr>
          <w:p w14:paraId="4EA6E3D2"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821" w:type="dxa"/>
            <w:vAlign w:val="bottom"/>
          </w:tcPr>
          <w:p w14:paraId="737EC707"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23</w:t>
            </w:r>
          </w:p>
        </w:tc>
        <w:tc>
          <w:tcPr>
            <w:tcW w:w="716" w:type="dxa"/>
            <w:vAlign w:val="bottom"/>
          </w:tcPr>
          <w:p w14:paraId="61A64C48"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13</w:t>
            </w:r>
          </w:p>
        </w:tc>
        <w:tc>
          <w:tcPr>
            <w:tcW w:w="574" w:type="dxa"/>
            <w:vAlign w:val="bottom"/>
          </w:tcPr>
          <w:p w14:paraId="43C93FFF"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0</w:t>
            </w:r>
          </w:p>
        </w:tc>
        <w:tc>
          <w:tcPr>
            <w:tcW w:w="1001" w:type="dxa"/>
            <w:vAlign w:val="bottom"/>
          </w:tcPr>
          <w:p w14:paraId="1AA8EB50"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13</w:t>
            </w:r>
          </w:p>
        </w:tc>
      </w:tr>
      <w:tr w:rsidR="00171B4D" w:rsidRPr="00CE357F" w14:paraId="28C4A88A" w14:textId="77777777" w:rsidTr="00FE0538">
        <w:trPr>
          <w:trHeight w:val="204"/>
        </w:trPr>
        <w:tc>
          <w:tcPr>
            <w:tcW w:w="1169" w:type="dxa"/>
            <w:shd w:val="clear" w:color="auto" w:fill="D9E2F3" w:themeFill="accent1" w:themeFillTint="33"/>
            <w:vAlign w:val="center"/>
          </w:tcPr>
          <w:p w14:paraId="1647B395"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Moravský Žižkov</w:t>
            </w:r>
          </w:p>
        </w:tc>
        <w:tc>
          <w:tcPr>
            <w:tcW w:w="905" w:type="dxa"/>
            <w:vAlign w:val="bottom"/>
          </w:tcPr>
          <w:p w14:paraId="57C126E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1 455</w:t>
            </w:r>
          </w:p>
        </w:tc>
        <w:tc>
          <w:tcPr>
            <w:tcW w:w="1301" w:type="dxa"/>
            <w:vAlign w:val="bottom"/>
          </w:tcPr>
          <w:p w14:paraId="27FD7815"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37</w:t>
            </w:r>
          </w:p>
        </w:tc>
        <w:tc>
          <w:tcPr>
            <w:tcW w:w="1451" w:type="dxa"/>
            <w:vAlign w:val="center"/>
          </w:tcPr>
          <w:p w14:paraId="41F47826"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2,5 %</w:t>
            </w:r>
          </w:p>
        </w:tc>
        <w:tc>
          <w:tcPr>
            <w:tcW w:w="582" w:type="dxa"/>
            <w:vAlign w:val="bottom"/>
          </w:tcPr>
          <w:p w14:paraId="5AB21E5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20</w:t>
            </w:r>
          </w:p>
        </w:tc>
        <w:tc>
          <w:tcPr>
            <w:tcW w:w="660" w:type="dxa"/>
            <w:vAlign w:val="bottom"/>
          </w:tcPr>
          <w:p w14:paraId="7E422BC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w:t>
            </w:r>
          </w:p>
        </w:tc>
        <w:tc>
          <w:tcPr>
            <w:tcW w:w="821" w:type="dxa"/>
            <w:vAlign w:val="bottom"/>
          </w:tcPr>
          <w:p w14:paraId="4B96FC30"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24</w:t>
            </w:r>
          </w:p>
        </w:tc>
        <w:tc>
          <w:tcPr>
            <w:tcW w:w="716" w:type="dxa"/>
            <w:vAlign w:val="bottom"/>
          </w:tcPr>
          <w:p w14:paraId="7A55979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9</w:t>
            </w:r>
          </w:p>
        </w:tc>
        <w:tc>
          <w:tcPr>
            <w:tcW w:w="574" w:type="dxa"/>
            <w:vAlign w:val="bottom"/>
          </w:tcPr>
          <w:p w14:paraId="40A4CFF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w:t>
            </w:r>
          </w:p>
        </w:tc>
        <w:tc>
          <w:tcPr>
            <w:tcW w:w="1001" w:type="dxa"/>
            <w:vAlign w:val="bottom"/>
          </w:tcPr>
          <w:p w14:paraId="0DCA665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13</w:t>
            </w:r>
          </w:p>
        </w:tc>
      </w:tr>
      <w:tr w:rsidR="00171B4D" w:rsidRPr="00CE357F" w14:paraId="54F86A0C" w14:textId="77777777" w:rsidTr="00FE0538">
        <w:trPr>
          <w:trHeight w:val="204"/>
        </w:trPr>
        <w:tc>
          <w:tcPr>
            <w:tcW w:w="1169" w:type="dxa"/>
            <w:shd w:val="clear" w:color="auto" w:fill="D9E2F3" w:themeFill="accent1" w:themeFillTint="33"/>
            <w:vAlign w:val="center"/>
          </w:tcPr>
          <w:p w14:paraId="1B8291EC"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Lanžhot</w:t>
            </w:r>
          </w:p>
        </w:tc>
        <w:tc>
          <w:tcPr>
            <w:tcW w:w="905" w:type="dxa"/>
            <w:vAlign w:val="bottom"/>
          </w:tcPr>
          <w:p w14:paraId="7B24D1C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3 642</w:t>
            </w:r>
          </w:p>
        </w:tc>
        <w:tc>
          <w:tcPr>
            <w:tcW w:w="1301" w:type="dxa"/>
            <w:vAlign w:val="bottom"/>
          </w:tcPr>
          <w:p w14:paraId="4E902D8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77</w:t>
            </w:r>
          </w:p>
        </w:tc>
        <w:tc>
          <w:tcPr>
            <w:tcW w:w="1451" w:type="dxa"/>
            <w:vAlign w:val="center"/>
          </w:tcPr>
          <w:p w14:paraId="0C2FB8D0"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2,1 %</w:t>
            </w:r>
          </w:p>
        </w:tc>
        <w:tc>
          <w:tcPr>
            <w:tcW w:w="582" w:type="dxa"/>
            <w:vAlign w:val="bottom"/>
          </w:tcPr>
          <w:p w14:paraId="1DD1C77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40</w:t>
            </w:r>
          </w:p>
        </w:tc>
        <w:tc>
          <w:tcPr>
            <w:tcW w:w="660" w:type="dxa"/>
            <w:vAlign w:val="bottom"/>
          </w:tcPr>
          <w:p w14:paraId="13DD4FF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5</w:t>
            </w:r>
          </w:p>
        </w:tc>
        <w:tc>
          <w:tcPr>
            <w:tcW w:w="821" w:type="dxa"/>
            <w:vAlign w:val="bottom"/>
          </w:tcPr>
          <w:p w14:paraId="2C523BC8"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45</w:t>
            </w:r>
          </w:p>
        </w:tc>
        <w:tc>
          <w:tcPr>
            <w:tcW w:w="716" w:type="dxa"/>
            <w:vAlign w:val="bottom"/>
          </w:tcPr>
          <w:p w14:paraId="69CC3B3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30</w:t>
            </w:r>
          </w:p>
        </w:tc>
        <w:tc>
          <w:tcPr>
            <w:tcW w:w="574" w:type="dxa"/>
            <w:vAlign w:val="bottom"/>
          </w:tcPr>
          <w:p w14:paraId="5B0801A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1001" w:type="dxa"/>
            <w:vAlign w:val="bottom"/>
          </w:tcPr>
          <w:p w14:paraId="5D34FDC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32</w:t>
            </w:r>
          </w:p>
        </w:tc>
      </w:tr>
      <w:tr w:rsidR="00171B4D" w:rsidRPr="00CE357F" w14:paraId="42F0E45B" w14:textId="77777777" w:rsidTr="00FE0538">
        <w:trPr>
          <w:trHeight w:val="204"/>
        </w:trPr>
        <w:tc>
          <w:tcPr>
            <w:tcW w:w="1169" w:type="dxa"/>
            <w:shd w:val="clear" w:color="auto" w:fill="D9E2F3" w:themeFill="accent1" w:themeFillTint="33"/>
            <w:vAlign w:val="center"/>
          </w:tcPr>
          <w:p w14:paraId="59093562"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Moravská Nová Ves</w:t>
            </w:r>
          </w:p>
        </w:tc>
        <w:tc>
          <w:tcPr>
            <w:tcW w:w="905" w:type="dxa"/>
            <w:vAlign w:val="bottom"/>
          </w:tcPr>
          <w:p w14:paraId="5151E770"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2 578</w:t>
            </w:r>
          </w:p>
        </w:tc>
        <w:tc>
          <w:tcPr>
            <w:tcW w:w="1301" w:type="dxa"/>
            <w:vAlign w:val="bottom"/>
          </w:tcPr>
          <w:p w14:paraId="4E2890A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53</w:t>
            </w:r>
          </w:p>
        </w:tc>
        <w:tc>
          <w:tcPr>
            <w:tcW w:w="1451" w:type="dxa"/>
            <w:vAlign w:val="center"/>
          </w:tcPr>
          <w:p w14:paraId="05430049"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2,1 %</w:t>
            </w:r>
          </w:p>
        </w:tc>
        <w:tc>
          <w:tcPr>
            <w:tcW w:w="582" w:type="dxa"/>
            <w:vAlign w:val="bottom"/>
          </w:tcPr>
          <w:p w14:paraId="766EB64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26</w:t>
            </w:r>
          </w:p>
        </w:tc>
        <w:tc>
          <w:tcPr>
            <w:tcW w:w="660" w:type="dxa"/>
            <w:vAlign w:val="bottom"/>
          </w:tcPr>
          <w:p w14:paraId="10539FC2"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821" w:type="dxa"/>
            <w:vAlign w:val="bottom"/>
          </w:tcPr>
          <w:p w14:paraId="7324808F"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28</w:t>
            </w:r>
          </w:p>
        </w:tc>
        <w:tc>
          <w:tcPr>
            <w:tcW w:w="716" w:type="dxa"/>
            <w:vAlign w:val="bottom"/>
          </w:tcPr>
          <w:p w14:paraId="5A64D8C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22</w:t>
            </w:r>
          </w:p>
        </w:tc>
        <w:tc>
          <w:tcPr>
            <w:tcW w:w="574" w:type="dxa"/>
            <w:vAlign w:val="bottom"/>
          </w:tcPr>
          <w:p w14:paraId="69DDE4D8"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w:t>
            </w:r>
          </w:p>
        </w:tc>
        <w:tc>
          <w:tcPr>
            <w:tcW w:w="1001" w:type="dxa"/>
            <w:vAlign w:val="bottom"/>
          </w:tcPr>
          <w:p w14:paraId="00A13167"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25</w:t>
            </w:r>
          </w:p>
        </w:tc>
      </w:tr>
      <w:tr w:rsidR="00171B4D" w:rsidRPr="00CE357F" w14:paraId="48225EA7" w14:textId="77777777" w:rsidTr="00FE0538">
        <w:trPr>
          <w:trHeight w:val="204"/>
        </w:trPr>
        <w:tc>
          <w:tcPr>
            <w:tcW w:w="1169" w:type="dxa"/>
            <w:shd w:val="clear" w:color="auto" w:fill="D9E2F3" w:themeFill="accent1" w:themeFillTint="33"/>
            <w:vAlign w:val="center"/>
          </w:tcPr>
          <w:p w14:paraId="2E7549C8"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Kostice</w:t>
            </w:r>
          </w:p>
        </w:tc>
        <w:tc>
          <w:tcPr>
            <w:tcW w:w="905" w:type="dxa"/>
            <w:vAlign w:val="bottom"/>
          </w:tcPr>
          <w:p w14:paraId="649C50F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1 885</w:t>
            </w:r>
          </w:p>
        </w:tc>
        <w:tc>
          <w:tcPr>
            <w:tcW w:w="1301" w:type="dxa"/>
            <w:vAlign w:val="bottom"/>
          </w:tcPr>
          <w:p w14:paraId="5BDB600F"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36</w:t>
            </w:r>
          </w:p>
        </w:tc>
        <w:tc>
          <w:tcPr>
            <w:tcW w:w="1451" w:type="dxa"/>
            <w:vAlign w:val="center"/>
          </w:tcPr>
          <w:p w14:paraId="0A01061B"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1,9 %</w:t>
            </w:r>
          </w:p>
        </w:tc>
        <w:tc>
          <w:tcPr>
            <w:tcW w:w="582" w:type="dxa"/>
            <w:vAlign w:val="bottom"/>
          </w:tcPr>
          <w:p w14:paraId="6453E770"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24</w:t>
            </w:r>
          </w:p>
        </w:tc>
        <w:tc>
          <w:tcPr>
            <w:tcW w:w="660" w:type="dxa"/>
            <w:vAlign w:val="bottom"/>
          </w:tcPr>
          <w:p w14:paraId="01E2A548"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w:t>
            </w:r>
          </w:p>
        </w:tc>
        <w:tc>
          <w:tcPr>
            <w:tcW w:w="821" w:type="dxa"/>
            <w:vAlign w:val="bottom"/>
          </w:tcPr>
          <w:p w14:paraId="6EEB7CB7"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25</w:t>
            </w:r>
          </w:p>
        </w:tc>
        <w:tc>
          <w:tcPr>
            <w:tcW w:w="716" w:type="dxa"/>
            <w:vAlign w:val="bottom"/>
          </w:tcPr>
          <w:p w14:paraId="5B1C7636"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10</w:t>
            </w:r>
          </w:p>
        </w:tc>
        <w:tc>
          <w:tcPr>
            <w:tcW w:w="574" w:type="dxa"/>
            <w:vAlign w:val="bottom"/>
          </w:tcPr>
          <w:p w14:paraId="6DEFDE97"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w:t>
            </w:r>
          </w:p>
        </w:tc>
        <w:tc>
          <w:tcPr>
            <w:tcW w:w="1001" w:type="dxa"/>
            <w:vAlign w:val="bottom"/>
          </w:tcPr>
          <w:p w14:paraId="263B330E"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11</w:t>
            </w:r>
          </w:p>
        </w:tc>
      </w:tr>
      <w:tr w:rsidR="00171B4D" w:rsidRPr="00CE357F" w14:paraId="7DA39A1E" w14:textId="77777777" w:rsidTr="00FE0538">
        <w:trPr>
          <w:trHeight w:val="204"/>
        </w:trPr>
        <w:tc>
          <w:tcPr>
            <w:tcW w:w="1169" w:type="dxa"/>
            <w:shd w:val="clear" w:color="auto" w:fill="D9E2F3" w:themeFill="accent1" w:themeFillTint="33"/>
            <w:vAlign w:val="center"/>
          </w:tcPr>
          <w:p w14:paraId="6995F9D8"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Hrušky</w:t>
            </w:r>
          </w:p>
        </w:tc>
        <w:tc>
          <w:tcPr>
            <w:tcW w:w="905" w:type="dxa"/>
            <w:vAlign w:val="bottom"/>
          </w:tcPr>
          <w:p w14:paraId="399EB0C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1 642</w:t>
            </w:r>
          </w:p>
        </w:tc>
        <w:tc>
          <w:tcPr>
            <w:tcW w:w="1301" w:type="dxa"/>
            <w:vAlign w:val="bottom"/>
          </w:tcPr>
          <w:p w14:paraId="17EFBB6D"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30</w:t>
            </w:r>
          </w:p>
        </w:tc>
        <w:tc>
          <w:tcPr>
            <w:tcW w:w="1451" w:type="dxa"/>
            <w:vAlign w:val="center"/>
          </w:tcPr>
          <w:p w14:paraId="62F5F9DF"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1,8 %</w:t>
            </w:r>
          </w:p>
        </w:tc>
        <w:tc>
          <w:tcPr>
            <w:tcW w:w="582" w:type="dxa"/>
            <w:vAlign w:val="bottom"/>
          </w:tcPr>
          <w:p w14:paraId="117FBF7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13</w:t>
            </w:r>
          </w:p>
        </w:tc>
        <w:tc>
          <w:tcPr>
            <w:tcW w:w="660" w:type="dxa"/>
            <w:vAlign w:val="bottom"/>
          </w:tcPr>
          <w:p w14:paraId="6CE1482A"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0</w:t>
            </w:r>
          </w:p>
        </w:tc>
        <w:tc>
          <w:tcPr>
            <w:tcW w:w="821" w:type="dxa"/>
            <w:vAlign w:val="bottom"/>
          </w:tcPr>
          <w:p w14:paraId="199A70D7"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13</w:t>
            </w:r>
          </w:p>
        </w:tc>
        <w:tc>
          <w:tcPr>
            <w:tcW w:w="716" w:type="dxa"/>
            <w:vAlign w:val="bottom"/>
          </w:tcPr>
          <w:p w14:paraId="54E7AC1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17</w:t>
            </w:r>
          </w:p>
        </w:tc>
        <w:tc>
          <w:tcPr>
            <w:tcW w:w="574" w:type="dxa"/>
            <w:vAlign w:val="bottom"/>
          </w:tcPr>
          <w:p w14:paraId="56C0D85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0</w:t>
            </w:r>
          </w:p>
        </w:tc>
        <w:tc>
          <w:tcPr>
            <w:tcW w:w="1001" w:type="dxa"/>
            <w:vAlign w:val="bottom"/>
          </w:tcPr>
          <w:p w14:paraId="3F38B5CF"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17</w:t>
            </w:r>
          </w:p>
        </w:tc>
      </w:tr>
      <w:tr w:rsidR="00171B4D" w:rsidRPr="00CE357F" w14:paraId="4C85C75C" w14:textId="77777777" w:rsidTr="00FE0538">
        <w:trPr>
          <w:trHeight w:val="204"/>
        </w:trPr>
        <w:tc>
          <w:tcPr>
            <w:tcW w:w="1169" w:type="dxa"/>
            <w:shd w:val="clear" w:color="auto" w:fill="D9E2F3" w:themeFill="accent1" w:themeFillTint="33"/>
            <w:vAlign w:val="center"/>
          </w:tcPr>
          <w:p w14:paraId="085C5B86"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Velké Bílovice</w:t>
            </w:r>
          </w:p>
        </w:tc>
        <w:tc>
          <w:tcPr>
            <w:tcW w:w="905" w:type="dxa"/>
            <w:vAlign w:val="bottom"/>
          </w:tcPr>
          <w:p w14:paraId="5A2FE970"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3 827</w:t>
            </w:r>
          </w:p>
        </w:tc>
        <w:tc>
          <w:tcPr>
            <w:tcW w:w="1301" w:type="dxa"/>
            <w:vAlign w:val="bottom"/>
          </w:tcPr>
          <w:p w14:paraId="7B1B4BA5"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62</w:t>
            </w:r>
          </w:p>
        </w:tc>
        <w:tc>
          <w:tcPr>
            <w:tcW w:w="1451" w:type="dxa"/>
            <w:vAlign w:val="center"/>
          </w:tcPr>
          <w:p w14:paraId="6131F09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1,6 %</w:t>
            </w:r>
          </w:p>
        </w:tc>
        <w:tc>
          <w:tcPr>
            <w:tcW w:w="582" w:type="dxa"/>
            <w:vAlign w:val="bottom"/>
          </w:tcPr>
          <w:p w14:paraId="53E820EE"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31</w:t>
            </w:r>
          </w:p>
        </w:tc>
        <w:tc>
          <w:tcPr>
            <w:tcW w:w="660" w:type="dxa"/>
            <w:vAlign w:val="bottom"/>
          </w:tcPr>
          <w:p w14:paraId="0B44344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821" w:type="dxa"/>
            <w:vAlign w:val="bottom"/>
          </w:tcPr>
          <w:p w14:paraId="5295B41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33</w:t>
            </w:r>
          </w:p>
        </w:tc>
        <w:tc>
          <w:tcPr>
            <w:tcW w:w="716" w:type="dxa"/>
            <w:vAlign w:val="bottom"/>
          </w:tcPr>
          <w:p w14:paraId="542B010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27</w:t>
            </w:r>
          </w:p>
        </w:tc>
        <w:tc>
          <w:tcPr>
            <w:tcW w:w="574" w:type="dxa"/>
            <w:vAlign w:val="bottom"/>
          </w:tcPr>
          <w:p w14:paraId="10D3D44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w:t>
            </w:r>
          </w:p>
        </w:tc>
        <w:tc>
          <w:tcPr>
            <w:tcW w:w="1001" w:type="dxa"/>
            <w:vAlign w:val="bottom"/>
          </w:tcPr>
          <w:p w14:paraId="29841E29"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29</w:t>
            </w:r>
          </w:p>
        </w:tc>
      </w:tr>
      <w:tr w:rsidR="00171B4D" w:rsidRPr="00CE357F" w14:paraId="4E3B130C" w14:textId="77777777" w:rsidTr="00FE0538">
        <w:trPr>
          <w:trHeight w:val="204"/>
        </w:trPr>
        <w:tc>
          <w:tcPr>
            <w:tcW w:w="1169" w:type="dxa"/>
            <w:shd w:val="clear" w:color="auto" w:fill="D9E2F3" w:themeFill="accent1" w:themeFillTint="33"/>
            <w:vAlign w:val="center"/>
          </w:tcPr>
          <w:p w14:paraId="433E04AA"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Zaječí</w:t>
            </w:r>
          </w:p>
        </w:tc>
        <w:tc>
          <w:tcPr>
            <w:tcW w:w="905" w:type="dxa"/>
            <w:vAlign w:val="bottom"/>
          </w:tcPr>
          <w:p w14:paraId="3D45CB58"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1 489</w:t>
            </w:r>
          </w:p>
        </w:tc>
        <w:tc>
          <w:tcPr>
            <w:tcW w:w="1301" w:type="dxa"/>
            <w:vAlign w:val="bottom"/>
          </w:tcPr>
          <w:p w14:paraId="3996C3CA"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24</w:t>
            </w:r>
          </w:p>
        </w:tc>
        <w:tc>
          <w:tcPr>
            <w:tcW w:w="1451" w:type="dxa"/>
            <w:vAlign w:val="center"/>
          </w:tcPr>
          <w:p w14:paraId="67E1E789"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1,6 %</w:t>
            </w:r>
          </w:p>
        </w:tc>
        <w:tc>
          <w:tcPr>
            <w:tcW w:w="582" w:type="dxa"/>
            <w:vAlign w:val="bottom"/>
          </w:tcPr>
          <w:p w14:paraId="607C53BA"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9</w:t>
            </w:r>
          </w:p>
        </w:tc>
        <w:tc>
          <w:tcPr>
            <w:tcW w:w="660" w:type="dxa"/>
            <w:vAlign w:val="bottom"/>
          </w:tcPr>
          <w:p w14:paraId="1CA4E20F"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2</w:t>
            </w:r>
          </w:p>
        </w:tc>
        <w:tc>
          <w:tcPr>
            <w:tcW w:w="821" w:type="dxa"/>
            <w:vAlign w:val="bottom"/>
          </w:tcPr>
          <w:p w14:paraId="7C812AF8"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11</w:t>
            </w:r>
          </w:p>
        </w:tc>
        <w:tc>
          <w:tcPr>
            <w:tcW w:w="716" w:type="dxa"/>
            <w:vAlign w:val="bottom"/>
          </w:tcPr>
          <w:p w14:paraId="025A5DEA"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12</w:t>
            </w:r>
          </w:p>
        </w:tc>
        <w:tc>
          <w:tcPr>
            <w:tcW w:w="574" w:type="dxa"/>
            <w:vAlign w:val="bottom"/>
          </w:tcPr>
          <w:p w14:paraId="5FD18A2F"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1</w:t>
            </w:r>
          </w:p>
        </w:tc>
        <w:tc>
          <w:tcPr>
            <w:tcW w:w="1001" w:type="dxa"/>
            <w:vAlign w:val="bottom"/>
          </w:tcPr>
          <w:p w14:paraId="04AF256A" w14:textId="77777777" w:rsidR="00171B4D" w:rsidRPr="00CE357F" w:rsidRDefault="00171B4D" w:rsidP="00B835F6">
            <w:pPr>
              <w:jc w:val="center"/>
              <w:rPr>
                <w:rFonts w:ascii="Arial Narrow" w:hAnsi="Arial Narrow"/>
                <w:color w:val="000000"/>
                <w:sz w:val="18"/>
                <w:szCs w:val="18"/>
              </w:rPr>
            </w:pPr>
            <w:r w:rsidRPr="00CE357F">
              <w:rPr>
                <w:rFonts w:ascii="Arial Narrow" w:hAnsi="Arial Narrow"/>
                <w:color w:val="000000"/>
                <w:sz w:val="18"/>
                <w:szCs w:val="18"/>
              </w:rPr>
              <w:t>13</w:t>
            </w:r>
          </w:p>
        </w:tc>
      </w:tr>
      <w:tr w:rsidR="00171B4D" w:rsidRPr="00CE357F" w14:paraId="29A82DDB" w14:textId="77777777" w:rsidTr="00FE0538">
        <w:trPr>
          <w:trHeight w:val="204"/>
        </w:trPr>
        <w:tc>
          <w:tcPr>
            <w:tcW w:w="1169" w:type="dxa"/>
            <w:shd w:val="clear" w:color="auto" w:fill="D9E2F3" w:themeFill="accent1" w:themeFillTint="33"/>
            <w:vAlign w:val="center"/>
          </w:tcPr>
          <w:p w14:paraId="4B568E66" w14:textId="77777777" w:rsidR="00171B4D" w:rsidRPr="00CE357F" w:rsidRDefault="00171B4D" w:rsidP="00B835F6">
            <w:pPr>
              <w:jc w:val="center"/>
              <w:rPr>
                <w:rFonts w:ascii="Arial Narrow" w:hAnsi="Arial Narrow" w:cs="Arial"/>
                <w:sz w:val="18"/>
                <w:szCs w:val="18"/>
              </w:rPr>
            </w:pPr>
            <w:r w:rsidRPr="00CE357F">
              <w:rPr>
                <w:rFonts w:ascii="Arial Narrow" w:hAnsi="Arial Narrow"/>
                <w:sz w:val="18"/>
                <w:szCs w:val="18"/>
              </w:rPr>
              <w:t>Přítluky</w:t>
            </w:r>
          </w:p>
        </w:tc>
        <w:tc>
          <w:tcPr>
            <w:tcW w:w="905" w:type="dxa"/>
            <w:vAlign w:val="bottom"/>
          </w:tcPr>
          <w:p w14:paraId="52A1AD21"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761</w:t>
            </w:r>
          </w:p>
        </w:tc>
        <w:tc>
          <w:tcPr>
            <w:tcW w:w="1301" w:type="dxa"/>
            <w:vAlign w:val="bottom"/>
          </w:tcPr>
          <w:p w14:paraId="1F7BAF2B"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10</w:t>
            </w:r>
          </w:p>
        </w:tc>
        <w:tc>
          <w:tcPr>
            <w:tcW w:w="1451" w:type="dxa"/>
            <w:vAlign w:val="center"/>
          </w:tcPr>
          <w:p w14:paraId="66FBD8D7" w14:textId="77777777" w:rsidR="00171B4D" w:rsidRPr="00CE357F" w:rsidRDefault="00171B4D" w:rsidP="00B835F6">
            <w:pPr>
              <w:jc w:val="center"/>
              <w:rPr>
                <w:rFonts w:ascii="Arial Narrow" w:hAnsi="Arial Narrow"/>
                <w:sz w:val="18"/>
                <w:szCs w:val="18"/>
              </w:rPr>
            </w:pPr>
            <w:r w:rsidRPr="00CE357F">
              <w:rPr>
                <w:rFonts w:ascii="Arial Narrow" w:hAnsi="Arial Narrow"/>
                <w:sz w:val="18"/>
                <w:szCs w:val="18"/>
              </w:rPr>
              <w:t>1,3 %</w:t>
            </w:r>
          </w:p>
        </w:tc>
        <w:tc>
          <w:tcPr>
            <w:tcW w:w="582" w:type="dxa"/>
            <w:vAlign w:val="bottom"/>
          </w:tcPr>
          <w:p w14:paraId="66BA903D"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6</w:t>
            </w:r>
          </w:p>
        </w:tc>
        <w:tc>
          <w:tcPr>
            <w:tcW w:w="660" w:type="dxa"/>
            <w:vAlign w:val="bottom"/>
          </w:tcPr>
          <w:p w14:paraId="1E3C4FBA"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0</w:t>
            </w:r>
          </w:p>
        </w:tc>
        <w:tc>
          <w:tcPr>
            <w:tcW w:w="821" w:type="dxa"/>
            <w:vAlign w:val="bottom"/>
          </w:tcPr>
          <w:p w14:paraId="0ACB44B3"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6</w:t>
            </w:r>
          </w:p>
        </w:tc>
        <w:tc>
          <w:tcPr>
            <w:tcW w:w="716" w:type="dxa"/>
            <w:vAlign w:val="bottom"/>
          </w:tcPr>
          <w:p w14:paraId="33174E5C"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w:t>
            </w:r>
          </w:p>
        </w:tc>
        <w:tc>
          <w:tcPr>
            <w:tcW w:w="574" w:type="dxa"/>
            <w:vAlign w:val="bottom"/>
          </w:tcPr>
          <w:p w14:paraId="2025F644"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0</w:t>
            </w:r>
          </w:p>
        </w:tc>
        <w:tc>
          <w:tcPr>
            <w:tcW w:w="1001" w:type="dxa"/>
            <w:vAlign w:val="bottom"/>
          </w:tcPr>
          <w:p w14:paraId="6B65562F" w14:textId="77777777" w:rsidR="00171B4D" w:rsidRPr="00CE357F" w:rsidRDefault="00171B4D" w:rsidP="00B835F6">
            <w:pPr>
              <w:jc w:val="center"/>
              <w:rPr>
                <w:rFonts w:ascii="Arial Narrow" w:hAnsi="Arial Narrow"/>
                <w:sz w:val="18"/>
                <w:szCs w:val="18"/>
              </w:rPr>
            </w:pPr>
            <w:r w:rsidRPr="00CE357F">
              <w:rPr>
                <w:rFonts w:ascii="Arial Narrow" w:hAnsi="Arial Narrow"/>
                <w:color w:val="000000"/>
                <w:sz w:val="18"/>
                <w:szCs w:val="18"/>
              </w:rPr>
              <w:t>4</w:t>
            </w:r>
          </w:p>
        </w:tc>
      </w:tr>
    </w:tbl>
    <w:p w14:paraId="7927EA9D" w14:textId="38342B6D" w:rsidR="00FE0538" w:rsidRPr="00CE357F" w:rsidRDefault="00B835F6" w:rsidP="00572269">
      <w:pPr>
        <w:spacing w:after="240" w:line="276" w:lineRule="auto"/>
        <w:rPr>
          <w:rFonts w:ascii="Arial Narrow" w:hAnsi="Arial Narrow"/>
          <w:color w:val="000000"/>
          <w:lang w:eastAsia="cs-CZ"/>
        </w:rPr>
      </w:pPr>
      <w:r w:rsidRPr="00CE357F">
        <w:rPr>
          <w:rFonts w:ascii="Arial Narrow" w:hAnsi="Arial Narrow"/>
          <w:color w:val="000000"/>
          <w:lang w:eastAsia="cs-CZ"/>
        </w:rPr>
        <w:t>Zdroj: Ministerstvo Vnitra České republiky</w:t>
      </w:r>
      <w:r w:rsidRPr="00CE357F">
        <w:rPr>
          <w:rFonts w:ascii="Arial Narrow" w:hAnsi="Arial Narrow"/>
        </w:rPr>
        <w:tab/>
      </w:r>
      <w:r w:rsidRPr="00CE357F">
        <w:rPr>
          <w:rFonts w:ascii="Arial Narrow" w:hAnsi="Arial Narrow"/>
        </w:rPr>
        <w:tab/>
      </w:r>
      <w:r w:rsidRPr="00CE357F">
        <w:rPr>
          <w:rFonts w:ascii="Arial Narrow" w:hAnsi="Arial Narrow"/>
        </w:rPr>
        <w:tab/>
      </w:r>
      <w:r w:rsidRPr="00CE357F">
        <w:rPr>
          <w:rFonts w:ascii="Arial Narrow" w:hAnsi="Arial Narrow"/>
        </w:rPr>
        <w:tab/>
        <w:t xml:space="preserve">            Tabulka: AUGUR </w:t>
      </w:r>
      <w:proofErr w:type="spellStart"/>
      <w:r w:rsidRPr="00CE357F">
        <w:rPr>
          <w:rFonts w:ascii="Arial Narrow" w:hAnsi="Arial Narrow"/>
        </w:rPr>
        <w:t>Consulting</w:t>
      </w:r>
      <w:proofErr w:type="spellEnd"/>
      <w:r w:rsidRPr="00CE357F">
        <w:rPr>
          <w:rFonts w:ascii="Arial Narrow" w:hAnsi="Arial Narrow"/>
        </w:rPr>
        <w:t>, s.r.o.</w:t>
      </w:r>
    </w:p>
    <w:p w14:paraId="263CFB72" w14:textId="3FB669D2" w:rsidR="00B835F6" w:rsidRPr="00CE357F" w:rsidRDefault="00B835F6" w:rsidP="00B835F6">
      <w:pPr>
        <w:spacing w:line="276" w:lineRule="auto"/>
        <w:jc w:val="both"/>
        <w:rPr>
          <w:rFonts w:ascii="Arial Narrow" w:hAnsi="Arial Narrow"/>
          <w:b/>
          <w:bCs/>
          <w:sz w:val="20"/>
          <w:szCs w:val="20"/>
        </w:rPr>
      </w:pPr>
      <w:bookmarkStart w:id="698" w:name="_Toc94443807"/>
      <w:bookmarkStart w:id="699" w:name="_Toc136428957"/>
      <w:r w:rsidRPr="00CE357F">
        <w:rPr>
          <w:rFonts w:ascii="Arial Narrow" w:hAnsi="Arial Narrow"/>
          <w:b/>
          <w:sz w:val="20"/>
          <w:szCs w:val="20"/>
        </w:rPr>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113</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 k 1. 1. 2022</w:t>
      </w:r>
      <w:bookmarkEnd w:id="698"/>
      <w:bookmarkEnd w:id="699"/>
    </w:p>
    <w:p w14:paraId="0C870A7A" w14:textId="77777777" w:rsidR="00B835F6" w:rsidRPr="00CE357F" w:rsidRDefault="00B835F6" w:rsidP="00B835F6">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26C0F806" wp14:editId="7F3982E8">
            <wp:extent cx="5765800" cy="4051005"/>
            <wp:effectExtent l="0" t="0" r="6350" b="6985"/>
            <wp:docPr id="2155" name="Graf 2155">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33A9976E" w14:textId="77777777" w:rsidR="00B835F6" w:rsidRPr="00CE357F" w:rsidRDefault="00B835F6" w:rsidP="00B835F6">
      <w:pPr>
        <w:rPr>
          <w:rFonts w:ascii="Arial Narrow" w:hAnsi="Arial Narrow"/>
          <w:b/>
          <w:bCs/>
          <w:sz w:val="32"/>
          <w:szCs w:val="32"/>
        </w:rPr>
      </w:pPr>
      <w:r w:rsidRPr="00CE357F">
        <w:rPr>
          <w:rFonts w:ascii="Arial Narrow" w:hAnsi="Arial Narrow"/>
          <w:color w:val="000000"/>
          <w:lang w:eastAsia="cs-CZ"/>
        </w:rPr>
        <w:t>Zdroj: Ministerstvo Vnitra České republiky</w:t>
      </w:r>
      <w:r w:rsidRPr="00CE357F">
        <w:rPr>
          <w:rFonts w:ascii="Arial Narrow" w:hAnsi="Arial Narrow"/>
          <w:color w:val="000000"/>
          <w:lang w:eastAsia="cs-CZ"/>
        </w:rPr>
        <w:tab/>
      </w:r>
      <w:r w:rsidRPr="00CE357F">
        <w:rPr>
          <w:rFonts w:ascii="Arial Narrow" w:hAnsi="Arial Narrow"/>
          <w:color w:val="000000"/>
          <w:lang w:eastAsia="cs-CZ"/>
        </w:rPr>
        <w:tab/>
      </w:r>
      <w:r w:rsidRPr="00CE357F">
        <w:rPr>
          <w:rFonts w:ascii="Arial Narrow" w:hAnsi="Arial Narrow"/>
          <w:color w:val="000000"/>
          <w:lang w:eastAsia="cs-CZ"/>
        </w:rPr>
        <w:tab/>
      </w:r>
      <w:r w:rsidRPr="00CE357F">
        <w:rPr>
          <w:rFonts w:ascii="Arial Narrow" w:hAnsi="Arial Narrow"/>
          <w:color w:val="000000"/>
          <w:lang w:eastAsia="cs-CZ"/>
        </w:rPr>
        <w:tab/>
        <w:t xml:space="preserve">                  </w:t>
      </w:r>
      <w:r w:rsidRPr="00CE357F">
        <w:rPr>
          <w:rFonts w:ascii="Arial Narrow" w:hAnsi="Arial Narrow"/>
        </w:rPr>
        <w:t xml:space="preserve">Graf: AUGUR </w:t>
      </w:r>
      <w:proofErr w:type="spellStart"/>
      <w:r w:rsidRPr="00CE357F">
        <w:rPr>
          <w:rFonts w:ascii="Arial Narrow" w:hAnsi="Arial Narrow"/>
        </w:rPr>
        <w:t>Consulting</w:t>
      </w:r>
      <w:proofErr w:type="spellEnd"/>
      <w:r w:rsidRPr="00CE357F">
        <w:rPr>
          <w:rFonts w:ascii="Arial Narrow" w:hAnsi="Arial Narrow"/>
        </w:rPr>
        <w:t xml:space="preserve"> s.r.o.</w:t>
      </w:r>
    </w:p>
    <w:p w14:paraId="14548E56" w14:textId="77777777" w:rsidR="006355B6" w:rsidRDefault="006355B6" w:rsidP="006355B6">
      <w:pPr>
        <w:spacing w:line="276" w:lineRule="auto"/>
        <w:rPr>
          <w:rFonts w:ascii="Arial Narrow" w:hAnsi="Arial Narrow"/>
          <w:b/>
          <w:bCs/>
        </w:rPr>
      </w:pPr>
    </w:p>
    <w:p w14:paraId="18FAB0AA" w14:textId="68B99997" w:rsidR="006355B6" w:rsidRPr="00CE357F" w:rsidRDefault="006355B6" w:rsidP="006355B6">
      <w:pPr>
        <w:spacing w:line="276" w:lineRule="auto"/>
        <w:rPr>
          <w:rFonts w:ascii="Arial Narrow" w:hAnsi="Arial Narrow"/>
          <w:b/>
          <w:bCs/>
        </w:rPr>
      </w:pPr>
      <w:r w:rsidRPr="00CE357F">
        <w:rPr>
          <w:rFonts w:ascii="Arial Narrow" w:hAnsi="Arial Narrow"/>
          <w:b/>
          <w:bCs/>
        </w:rPr>
        <w:t>Osoby s jinou než českou státní příslušností v ORP Břeclav k datu 1. 1. 202</w:t>
      </w:r>
      <w:r>
        <w:rPr>
          <w:rFonts w:ascii="Arial Narrow" w:hAnsi="Arial Narrow"/>
          <w:b/>
          <w:bCs/>
        </w:rPr>
        <w:t>3</w:t>
      </w:r>
    </w:p>
    <w:p w14:paraId="645816CA" w14:textId="52C7A736" w:rsidR="006355B6" w:rsidRPr="006355B6" w:rsidRDefault="006355B6" w:rsidP="006355B6">
      <w:pPr>
        <w:spacing w:after="120" w:line="276" w:lineRule="auto"/>
        <w:jc w:val="both"/>
        <w:rPr>
          <w:rFonts w:ascii="Arial Narrow" w:hAnsi="Arial Narrow"/>
          <w:color w:val="000000"/>
        </w:rPr>
      </w:pPr>
      <w:r w:rsidRPr="00CE357F">
        <w:rPr>
          <w:rFonts w:ascii="Arial Narrow" w:hAnsi="Arial Narrow"/>
          <w:color w:val="000000"/>
        </w:rPr>
        <w:br/>
      </w:r>
      <w:r w:rsidRPr="006355B6">
        <w:rPr>
          <w:rFonts w:ascii="Arial Narrow" w:hAnsi="Arial Narrow"/>
          <w:color w:val="000000"/>
        </w:rPr>
        <w:t xml:space="preserve">V ORP Břeclav žilo k datu 1. 1. 2023 celkem 4 328 osob s jinou než českou státní příslušností, což bylo zhruba 6,9 % všech obyvatel ORP Břeclav. Pouze ¼ (25,3 %) všech osob s jinou než českou státní příslušností na území OPR Břeclav měla trvalý pobyt, zbylé ¾ (74,7 %) pak pobyt přechodný. To je změna oproti předchozímu roku, kdy byl poměr osob s trvalým a s přechodným podílem prakticky vyrovnaný. Podíl dětí do 15 let z celkového počtu těchto osob v ORP Břeclav byl 16,8 %. Nejvyšší podíl osob s jinou než českou státní příslušností na celkovém </w:t>
      </w:r>
      <w:r w:rsidRPr="006355B6">
        <w:rPr>
          <w:rFonts w:ascii="Arial Narrow" w:hAnsi="Arial Narrow"/>
          <w:color w:val="000000"/>
        </w:rPr>
        <w:lastRenderedPageBreak/>
        <w:t>počtu obyvatel v dané obci byl v</w:t>
      </w:r>
      <w:r w:rsidR="00B806EA">
        <w:rPr>
          <w:rFonts w:ascii="Arial Narrow" w:hAnsi="Arial Narrow"/>
          <w:color w:val="000000"/>
        </w:rPr>
        <w:t xml:space="preserve"> obci</w:t>
      </w:r>
      <w:r w:rsidRPr="006355B6">
        <w:rPr>
          <w:rFonts w:ascii="Arial Narrow" w:hAnsi="Arial Narrow"/>
          <w:color w:val="000000"/>
        </w:rPr>
        <w:t> Lednice (13,3 %), druhý nejvyšší podíl byl evidován v Rakvicích (12,4 %) a dále v Ladné (11,9 %) a v Přítlukách (11,7 %).</w:t>
      </w:r>
    </w:p>
    <w:p w14:paraId="226F2398" w14:textId="2E7C79E4" w:rsidR="006355B6" w:rsidRPr="006355B6" w:rsidRDefault="006355B6" w:rsidP="006355B6">
      <w:pPr>
        <w:shd w:val="clear" w:color="auto" w:fill="FFFFFF" w:themeFill="background1"/>
        <w:spacing w:after="120" w:line="276" w:lineRule="auto"/>
        <w:jc w:val="both"/>
        <w:rPr>
          <w:rFonts w:ascii="Arial Narrow" w:hAnsi="Arial Narrow"/>
          <w:color w:val="000000"/>
        </w:rPr>
      </w:pPr>
      <w:r w:rsidRPr="006355B6">
        <w:rPr>
          <w:rFonts w:ascii="Arial Narrow" w:hAnsi="Arial Narrow"/>
          <w:color w:val="000000"/>
        </w:rPr>
        <w:t>V ORP Břeclav bylo k 1. 1. 202</w:t>
      </w:r>
      <w:r w:rsidR="0056780C">
        <w:rPr>
          <w:rFonts w:ascii="Arial Narrow" w:hAnsi="Arial Narrow"/>
          <w:color w:val="000000"/>
        </w:rPr>
        <w:t>3</w:t>
      </w:r>
      <w:r w:rsidRPr="006355B6">
        <w:rPr>
          <w:rFonts w:ascii="Arial Narrow" w:hAnsi="Arial Narrow"/>
          <w:color w:val="000000"/>
        </w:rPr>
        <w:t xml:space="preserve"> celkem 18 obcí, přičemž v každé z nich se nacházela alespoň jedna osoba s jinou než českou státní příslušností. Z důvodu velkého množství dat dále pracujeme jen s obcemi, na jejichž území v dané době pobývalo 20 a více těchto osob. Počty osob s jinou než českou státní příslušností v daných obcích včetně rozdělení těchto osob podle pohlaví a věku </w:t>
      </w:r>
      <w:r w:rsidR="00572269">
        <w:rPr>
          <w:rFonts w:ascii="Arial Narrow" w:hAnsi="Arial Narrow"/>
          <w:color w:val="000000"/>
        </w:rPr>
        <w:t xml:space="preserve">a jejich podíl na celkovém počtu obyvatel </w:t>
      </w:r>
      <w:r w:rsidRPr="006355B6">
        <w:rPr>
          <w:rFonts w:ascii="Arial Narrow" w:hAnsi="Arial Narrow"/>
          <w:color w:val="000000"/>
        </w:rPr>
        <w:t>podrobně dokumentuj</w:t>
      </w:r>
      <w:r w:rsidR="00572269">
        <w:rPr>
          <w:rFonts w:ascii="Arial Narrow" w:hAnsi="Arial Narrow"/>
          <w:color w:val="000000"/>
        </w:rPr>
        <w:t>í</w:t>
      </w:r>
      <w:r w:rsidRPr="006355B6">
        <w:rPr>
          <w:rFonts w:ascii="Arial Narrow" w:hAnsi="Arial Narrow"/>
          <w:color w:val="000000"/>
        </w:rPr>
        <w:t xml:space="preserve"> tabulka</w:t>
      </w:r>
      <w:r w:rsidR="00572269">
        <w:rPr>
          <w:rFonts w:ascii="Arial Narrow" w:hAnsi="Arial Narrow"/>
          <w:color w:val="000000"/>
        </w:rPr>
        <w:t xml:space="preserve"> č. 44 a graf č. 114</w:t>
      </w:r>
      <w:r w:rsidRPr="006355B6">
        <w:rPr>
          <w:rFonts w:ascii="Arial Narrow" w:hAnsi="Arial Narrow"/>
          <w:color w:val="000000"/>
        </w:rPr>
        <w:t xml:space="preserve">. </w:t>
      </w:r>
    </w:p>
    <w:p w14:paraId="1CB53A63" w14:textId="317AA004" w:rsidR="006355B6" w:rsidRPr="00CE357F" w:rsidRDefault="006355B6" w:rsidP="006355B6">
      <w:pPr>
        <w:jc w:val="both"/>
        <w:rPr>
          <w:rFonts w:ascii="Arial Narrow" w:hAnsi="Arial Narrow"/>
          <w:b/>
          <w:bCs/>
          <w:sz w:val="24"/>
          <w:szCs w:val="24"/>
        </w:rPr>
      </w:pPr>
      <w:bookmarkStart w:id="700" w:name="_Toc136429255"/>
      <w:r w:rsidRPr="007B59C4">
        <w:rPr>
          <w:rFonts w:ascii="Arial Narrow" w:hAnsi="Arial Narrow"/>
          <w:b/>
          <w:bCs/>
          <w:sz w:val="20"/>
          <w:szCs w:val="20"/>
        </w:rPr>
        <w:t xml:space="preserve">Tabulka </w:t>
      </w:r>
      <w:r w:rsidRPr="007B59C4">
        <w:rPr>
          <w:rFonts w:ascii="Arial Narrow" w:hAnsi="Arial Narrow"/>
          <w:b/>
          <w:bCs/>
          <w:sz w:val="20"/>
          <w:szCs w:val="20"/>
        </w:rPr>
        <w:fldChar w:fldCharType="begin"/>
      </w:r>
      <w:r w:rsidRPr="007B59C4">
        <w:rPr>
          <w:rFonts w:ascii="Arial Narrow" w:hAnsi="Arial Narrow"/>
          <w:b/>
          <w:bCs/>
          <w:sz w:val="20"/>
          <w:szCs w:val="20"/>
        </w:rPr>
        <w:instrText xml:space="preserve"> SEQ Tabulka \* ARABIC </w:instrText>
      </w:r>
      <w:r w:rsidRPr="007B59C4">
        <w:rPr>
          <w:rFonts w:ascii="Arial Narrow" w:hAnsi="Arial Narrow"/>
          <w:b/>
          <w:bCs/>
          <w:sz w:val="20"/>
          <w:szCs w:val="20"/>
        </w:rPr>
        <w:fldChar w:fldCharType="separate"/>
      </w:r>
      <w:r w:rsidR="00256C97" w:rsidRPr="007B59C4">
        <w:rPr>
          <w:rFonts w:ascii="Arial Narrow" w:hAnsi="Arial Narrow"/>
          <w:b/>
          <w:bCs/>
          <w:noProof/>
          <w:sz w:val="20"/>
          <w:szCs w:val="20"/>
        </w:rPr>
        <w:t>44</w:t>
      </w:r>
      <w:r w:rsidRPr="007B59C4">
        <w:rPr>
          <w:rFonts w:ascii="Arial Narrow" w:hAnsi="Arial Narrow"/>
          <w:b/>
          <w:bCs/>
          <w:sz w:val="20"/>
          <w:szCs w:val="20"/>
        </w:rPr>
        <w:fldChar w:fldCharType="end"/>
      </w:r>
      <w:r w:rsidRPr="007B59C4">
        <w:rPr>
          <w:rFonts w:ascii="Arial Narrow" w:hAnsi="Arial Narrow"/>
          <w:b/>
          <w:bCs/>
          <w:sz w:val="20"/>
          <w:szCs w:val="20"/>
        </w:rPr>
        <w:t xml:space="preserve">:  </w:t>
      </w:r>
      <w:r w:rsidRPr="007B59C4">
        <w:rPr>
          <w:rFonts w:ascii="Arial Narrow" w:eastAsia="Times New Roman" w:hAnsi="Arial Narrow" w:cs="Arial"/>
          <w:b/>
          <w:bCs/>
          <w:sz w:val="20"/>
          <w:szCs w:val="20"/>
          <w:lang w:eastAsia="cs-CZ"/>
        </w:rPr>
        <w:t>Podíl osob s jinou než českou státní příslušností na celkovém počtu obyvatel vybraných obcí v ORP Břeclav k 1. 1. 2023</w:t>
      </w:r>
      <w:bookmarkEnd w:id="700"/>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048"/>
        <w:gridCol w:w="1313"/>
        <w:gridCol w:w="1215"/>
        <w:gridCol w:w="1325"/>
        <w:gridCol w:w="557"/>
        <w:gridCol w:w="593"/>
        <w:gridCol w:w="794"/>
        <w:gridCol w:w="656"/>
        <w:gridCol w:w="632"/>
        <w:gridCol w:w="824"/>
      </w:tblGrid>
      <w:tr w:rsidR="006355B6" w:rsidRPr="00CE357F" w14:paraId="03DE6176" w14:textId="77777777" w:rsidTr="00F91942">
        <w:trPr>
          <w:trHeight w:val="204"/>
        </w:trPr>
        <w:tc>
          <w:tcPr>
            <w:tcW w:w="1048" w:type="dxa"/>
            <w:vMerge w:val="restart"/>
            <w:shd w:val="clear" w:color="auto" w:fill="D9E2F3" w:themeFill="accent1" w:themeFillTint="33"/>
            <w:vAlign w:val="center"/>
          </w:tcPr>
          <w:p w14:paraId="6F8DBC55" w14:textId="77777777" w:rsidR="006355B6" w:rsidRPr="00CE357F" w:rsidRDefault="006355B6" w:rsidP="004A0C47">
            <w:pPr>
              <w:jc w:val="center"/>
              <w:rPr>
                <w:rFonts w:ascii="Arial Narrow" w:hAnsi="Arial Narrow"/>
                <w:sz w:val="18"/>
                <w:szCs w:val="18"/>
              </w:rPr>
            </w:pPr>
            <w:bookmarkStart w:id="701" w:name="_Hlk134698602"/>
            <w:r w:rsidRPr="00CE357F">
              <w:rPr>
                <w:rFonts w:ascii="Arial Narrow" w:eastAsia="Times New Roman" w:hAnsi="Arial Narrow" w:cs="Arial"/>
                <w:sz w:val="18"/>
                <w:szCs w:val="18"/>
                <w:lang w:eastAsia="cs-CZ"/>
              </w:rPr>
              <w:t>Název obce</w:t>
            </w:r>
          </w:p>
        </w:tc>
        <w:tc>
          <w:tcPr>
            <w:tcW w:w="1313" w:type="dxa"/>
            <w:vMerge w:val="restart"/>
            <w:shd w:val="clear" w:color="auto" w:fill="D9E2F3" w:themeFill="accent1" w:themeFillTint="33"/>
            <w:vAlign w:val="center"/>
          </w:tcPr>
          <w:p w14:paraId="2B7EF6F3" w14:textId="77777777" w:rsidR="006355B6" w:rsidRPr="00CE357F" w:rsidRDefault="006355B6" w:rsidP="004A0C47">
            <w:pPr>
              <w:jc w:val="center"/>
              <w:rPr>
                <w:rFonts w:ascii="Arial Narrow" w:eastAsia="Times New Roman" w:hAnsi="Arial Narrow" w:cs="Arial"/>
                <w:sz w:val="18"/>
                <w:szCs w:val="18"/>
                <w:lang w:eastAsia="cs-CZ"/>
              </w:rPr>
            </w:pPr>
            <w:r w:rsidRPr="7CC7BF57">
              <w:rPr>
                <w:rFonts w:ascii="Arial Narrow" w:eastAsia="Times New Roman" w:hAnsi="Arial Narrow" w:cs="Arial"/>
                <w:sz w:val="18"/>
                <w:szCs w:val="18"/>
                <w:lang w:eastAsia="cs-CZ"/>
              </w:rPr>
              <w:t>Celkem obyvatel</w:t>
            </w:r>
          </w:p>
        </w:tc>
        <w:tc>
          <w:tcPr>
            <w:tcW w:w="1215" w:type="dxa"/>
            <w:vMerge w:val="restart"/>
            <w:shd w:val="clear" w:color="auto" w:fill="D9E2F3" w:themeFill="accent1" w:themeFillTint="33"/>
            <w:vAlign w:val="center"/>
          </w:tcPr>
          <w:p w14:paraId="40D49BAC" w14:textId="77777777" w:rsidR="006355B6" w:rsidRPr="00CE357F" w:rsidRDefault="006355B6" w:rsidP="004A0C47">
            <w:pPr>
              <w:jc w:val="center"/>
              <w:rPr>
                <w:rFonts w:ascii="Arial Narrow" w:hAnsi="Arial Narrow"/>
                <w:sz w:val="18"/>
                <w:szCs w:val="18"/>
              </w:rPr>
            </w:pPr>
            <w:r w:rsidRPr="00CE357F">
              <w:rPr>
                <w:rFonts w:ascii="Arial Narrow" w:hAnsi="Arial Narrow"/>
                <w:bCs/>
                <w:color w:val="000000"/>
                <w:sz w:val="18"/>
                <w:szCs w:val="18"/>
              </w:rPr>
              <w:t>Osoby s jinou než českou státní příslušností</w:t>
            </w:r>
            <w:r w:rsidRPr="00CE357F">
              <w:rPr>
                <w:rFonts w:ascii="Arial Narrow" w:eastAsia="Times New Roman" w:hAnsi="Arial Narrow" w:cs="Arial"/>
                <w:bCs/>
                <w:sz w:val="18"/>
                <w:szCs w:val="18"/>
                <w:lang w:eastAsia="cs-CZ"/>
              </w:rPr>
              <w:t xml:space="preserve"> celkem</w:t>
            </w:r>
          </w:p>
        </w:tc>
        <w:tc>
          <w:tcPr>
            <w:tcW w:w="1325" w:type="dxa"/>
            <w:vMerge w:val="restart"/>
            <w:shd w:val="clear" w:color="auto" w:fill="D9E2F3" w:themeFill="accent1" w:themeFillTint="33"/>
            <w:vAlign w:val="center"/>
          </w:tcPr>
          <w:p w14:paraId="3764F5B1" w14:textId="77777777" w:rsidR="006355B6" w:rsidRPr="00CE357F" w:rsidRDefault="006355B6"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bCs/>
                <w:sz w:val="18"/>
                <w:szCs w:val="18"/>
                <w:lang w:eastAsia="cs-CZ"/>
              </w:rPr>
              <w:t xml:space="preserve">Podíl </w:t>
            </w:r>
            <w:r w:rsidRPr="00CE357F">
              <w:rPr>
                <w:rFonts w:ascii="Arial Narrow" w:hAnsi="Arial Narrow"/>
                <w:bCs/>
                <w:color w:val="000000"/>
                <w:sz w:val="18"/>
                <w:szCs w:val="18"/>
              </w:rPr>
              <w:t>osob s jinou než českou státní příslušností</w:t>
            </w:r>
            <w:r w:rsidRPr="00CE357F">
              <w:rPr>
                <w:rFonts w:ascii="Arial Narrow" w:eastAsia="Times New Roman" w:hAnsi="Arial Narrow" w:cs="Arial"/>
                <w:bCs/>
                <w:sz w:val="18"/>
                <w:szCs w:val="18"/>
                <w:lang w:eastAsia="cs-CZ"/>
              </w:rPr>
              <w:t xml:space="preserve"> na celkovém počtu obyvatel</w:t>
            </w:r>
          </w:p>
        </w:tc>
        <w:tc>
          <w:tcPr>
            <w:tcW w:w="1944" w:type="dxa"/>
            <w:gridSpan w:val="3"/>
            <w:shd w:val="clear" w:color="auto" w:fill="D9E2F3" w:themeFill="accent1" w:themeFillTint="33"/>
            <w:vAlign w:val="center"/>
          </w:tcPr>
          <w:p w14:paraId="373269D5" w14:textId="77777777" w:rsidR="006355B6" w:rsidRPr="00CE357F" w:rsidRDefault="006355B6" w:rsidP="004A0C47">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2112" w:type="dxa"/>
            <w:gridSpan w:val="3"/>
            <w:shd w:val="clear" w:color="auto" w:fill="D9E2F3" w:themeFill="accent1" w:themeFillTint="33"/>
            <w:vAlign w:val="center"/>
          </w:tcPr>
          <w:p w14:paraId="2412E4C0" w14:textId="77777777" w:rsidR="006355B6" w:rsidRPr="00CE357F" w:rsidRDefault="006355B6" w:rsidP="004A0C47">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6355B6" w:rsidRPr="00CE357F" w14:paraId="2D07B133" w14:textId="77777777" w:rsidTr="00F91942">
        <w:trPr>
          <w:trHeight w:val="204"/>
        </w:trPr>
        <w:tc>
          <w:tcPr>
            <w:tcW w:w="1048" w:type="dxa"/>
            <w:vMerge/>
            <w:vAlign w:val="center"/>
          </w:tcPr>
          <w:p w14:paraId="054D98D4" w14:textId="77777777" w:rsidR="006355B6" w:rsidRPr="00CE357F" w:rsidRDefault="006355B6" w:rsidP="004A0C47">
            <w:pPr>
              <w:jc w:val="center"/>
              <w:rPr>
                <w:rFonts w:ascii="Arial Narrow" w:eastAsia="Times New Roman" w:hAnsi="Arial Narrow" w:cs="Arial"/>
                <w:sz w:val="18"/>
                <w:szCs w:val="18"/>
                <w:lang w:eastAsia="cs-CZ"/>
              </w:rPr>
            </w:pPr>
          </w:p>
        </w:tc>
        <w:tc>
          <w:tcPr>
            <w:tcW w:w="1313" w:type="dxa"/>
            <w:vMerge/>
            <w:vAlign w:val="center"/>
          </w:tcPr>
          <w:p w14:paraId="0CECAFE5" w14:textId="77777777" w:rsidR="006355B6" w:rsidRPr="00CE357F" w:rsidRDefault="006355B6" w:rsidP="004A0C47">
            <w:pPr>
              <w:jc w:val="center"/>
              <w:rPr>
                <w:rFonts w:ascii="Arial Narrow" w:eastAsia="Times New Roman" w:hAnsi="Arial Narrow" w:cs="Arial"/>
                <w:sz w:val="18"/>
                <w:szCs w:val="18"/>
                <w:lang w:eastAsia="cs-CZ"/>
              </w:rPr>
            </w:pPr>
          </w:p>
        </w:tc>
        <w:tc>
          <w:tcPr>
            <w:tcW w:w="1215" w:type="dxa"/>
            <w:vMerge/>
            <w:vAlign w:val="center"/>
          </w:tcPr>
          <w:p w14:paraId="6F24A47A" w14:textId="77777777" w:rsidR="006355B6" w:rsidRPr="00CE357F" w:rsidRDefault="006355B6" w:rsidP="004A0C47">
            <w:pPr>
              <w:jc w:val="center"/>
              <w:rPr>
                <w:rFonts w:ascii="Arial Narrow" w:eastAsia="Times New Roman" w:hAnsi="Arial Narrow" w:cs="Arial"/>
                <w:sz w:val="18"/>
                <w:szCs w:val="18"/>
                <w:lang w:eastAsia="cs-CZ"/>
              </w:rPr>
            </w:pPr>
          </w:p>
        </w:tc>
        <w:tc>
          <w:tcPr>
            <w:tcW w:w="1325" w:type="dxa"/>
            <w:vMerge/>
            <w:vAlign w:val="center"/>
          </w:tcPr>
          <w:p w14:paraId="6BC6D6AD" w14:textId="77777777" w:rsidR="006355B6" w:rsidRPr="00CE357F" w:rsidRDefault="006355B6" w:rsidP="004A0C47">
            <w:pPr>
              <w:jc w:val="center"/>
              <w:rPr>
                <w:rFonts w:ascii="Arial Narrow" w:eastAsia="Times New Roman" w:hAnsi="Arial Narrow" w:cs="Arial"/>
                <w:sz w:val="18"/>
                <w:szCs w:val="18"/>
                <w:lang w:eastAsia="cs-CZ"/>
              </w:rPr>
            </w:pPr>
          </w:p>
        </w:tc>
        <w:tc>
          <w:tcPr>
            <w:tcW w:w="557" w:type="dxa"/>
            <w:shd w:val="clear" w:color="auto" w:fill="D9E2F3" w:themeFill="accent1" w:themeFillTint="33"/>
            <w:vAlign w:val="center"/>
          </w:tcPr>
          <w:p w14:paraId="46269C84" w14:textId="77777777" w:rsidR="006355B6" w:rsidRPr="00CE357F" w:rsidRDefault="006355B6"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93" w:type="dxa"/>
            <w:shd w:val="clear" w:color="auto" w:fill="D9E2F3" w:themeFill="accent1" w:themeFillTint="33"/>
            <w:vAlign w:val="center"/>
          </w:tcPr>
          <w:p w14:paraId="524F3C8F" w14:textId="77777777" w:rsidR="006355B6" w:rsidRPr="00CE357F" w:rsidRDefault="006355B6"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94" w:type="dxa"/>
            <w:shd w:val="clear" w:color="auto" w:fill="D9E2F3" w:themeFill="accent1" w:themeFillTint="33"/>
            <w:vAlign w:val="center"/>
          </w:tcPr>
          <w:p w14:paraId="44D3142A" w14:textId="77777777" w:rsidR="006355B6" w:rsidRPr="00CE357F" w:rsidRDefault="006355B6"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656" w:type="dxa"/>
            <w:shd w:val="clear" w:color="auto" w:fill="D9E2F3" w:themeFill="accent1" w:themeFillTint="33"/>
            <w:vAlign w:val="center"/>
          </w:tcPr>
          <w:p w14:paraId="70B95D68" w14:textId="77777777" w:rsidR="006355B6" w:rsidRPr="00CE357F" w:rsidRDefault="006355B6"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632" w:type="dxa"/>
            <w:shd w:val="clear" w:color="auto" w:fill="D9E2F3" w:themeFill="accent1" w:themeFillTint="33"/>
            <w:vAlign w:val="center"/>
          </w:tcPr>
          <w:p w14:paraId="124149EF" w14:textId="77777777" w:rsidR="006355B6" w:rsidRPr="00CE357F" w:rsidRDefault="006355B6"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24" w:type="dxa"/>
            <w:shd w:val="clear" w:color="auto" w:fill="D9E2F3" w:themeFill="accent1" w:themeFillTint="33"/>
            <w:vAlign w:val="center"/>
          </w:tcPr>
          <w:p w14:paraId="6DBDFFB5" w14:textId="77777777" w:rsidR="006355B6" w:rsidRPr="00CE357F" w:rsidRDefault="006355B6"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F91942" w:rsidRPr="003C0619" w14:paraId="27C5B852" w14:textId="77777777" w:rsidTr="00F91942">
        <w:trPr>
          <w:trHeight w:val="204"/>
        </w:trPr>
        <w:tc>
          <w:tcPr>
            <w:tcW w:w="1048" w:type="dxa"/>
            <w:shd w:val="clear" w:color="auto" w:fill="D9E2F3" w:themeFill="accent1" w:themeFillTint="33"/>
            <w:vAlign w:val="bottom"/>
          </w:tcPr>
          <w:p w14:paraId="1B25C17A" w14:textId="2B18ABB9"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Lednice</w:t>
            </w:r>
          </w:p>
        </w:tc>
        <w:tc>
          <w:tcPr>
            <w:tcW w:w="1313" w:type="dxa"/>
            <w:vAlign w:val="center"/>
          </w:tcPr>
          <w:p w14:paraId="127C37E5" w14:textId="6C80B1F8" w:rsidR="00F91942" w:rsidRPr="000A27DB" w:rsidRDefault="00F91942" w:rsidP="00F9194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2 134</w:t>
            </w:r>
          </w:p>
        </w:tc>
        <w:tc>
          <w:tcPr>
            <w:tcW w:w="1215" w:type="dxa"/>
            <w:vAlign w:val="center"/>
          </w:tcPr>
          <w:p w14:paraId="4279061C" w14:textId="2038682A"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283</w:t>
            </w:r>
          </w:p>
        </w:tc>
        <w:tc>
          <w:tcPr>
            <w:tcW w:w="1325" w:type="dxa"/>
            <w:vAlign w:val="center"/>
          </w:tcPr>
          <w:p w14:paraId="37EC49AC" w14:textId="2F00CA7B" w:rsidR="00F91942" w:rsidRPr="00BA663B" w:rsidRDefault="00F91942" w:rsidP="00F9194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13,3 %</w:t>
            </w:r>
          </w:p>
        </w:tc>
        <w:tc>
          <w:tcPr>
            <w:tcW w:w="557" w:type="dxa"/>
            <w:vAlign w:val="center"/>
          </w:tcPr>
          <w:p w14:paraId="7ED31BBB" w14:textId="4C64A581"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35</w:t>
            </w:r>
          </w:p>
        </w:tc>
        <w:tc>
          <w:tcPr>
            <w:tcW w:w="593" w:type="dxa"/>
            <w:vAlign w:val="center"/>
          </w:tcPr>
          <w:p w14:paraId="03DBC362" w14:textId="4C2E1104"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75</w:t>
            </w:r>
          </w:p>
        </w:tc>
        <w:tc>
          <w:tcPr>
            <w:tcW w:w="794" w:type="dxa"/>
            <w:vAlign w:val="center"/>
          </w:tcPr>
          <w:p w14:paraId="20E33030" w14:textId="1E4FA76A"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110</w:t>
            </w:r>
          </w:p>
        </w:tc>
        <w:tc>
          <w:tcPr>
            <w:tcW w:w="656" w:type="dxa"/>
            <w:vAlign w:val="center"/>
          </w:tcPr>
          <w:p w14:paraId="46BC7402" w14:textId="70D642A1"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35</w:t>
            </w:r>
          </w:p>
        </w:tc>
        <w:tc>
          <w:tcPr>
            <w:tcW w:w="632" w:type="dxa"/>
            <w:vAlign w:val="center"/>
          </w:tcPr>
          <w:p w14:paraId="46BB5102" w14:textId="66C7125F"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138</w:t>
            </w:r>
          </w:p>
        </w:tc>
        <w:tc>
          <w:tcPr>
            <w:tcW w:w="824" w:type="dxa"/>
            <w:vAlign w:val="center"/>
          </w:tcPr>
          <w:p w14:paraId="1B1FA33A" w14:textId="7E18B853"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173</w:t>
            </w:r>
          </w:p>
        </w:tc>
      </w:tr>
      <w:tr w:rsidR="00F91942" w:rsidRPr="003C0619" w14:paraId="4B8EEC6A" w14:textId="77777777" w:rsidTr="00F91942">
        <w:trPr>
          <w:trHeight w:val="204"/>
        </w:trPr>
        <w:tc>
          <w:tcPr>
            <w:tcW w:w="1048" w:type="dxa"/>
            <w:shd w:val="clear" w:color="auto" w:fill="D9E2F3" w:themeFill="accent1" w:themeFillTint="33"/>
            <w:vAlign w:val="bottom"/>
          </w:tcPr>
          <w:p w14:paraId="673CE9DE" w14:textId="7B0C8D1E"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Rakvice</w:t>
            </w:r>
          </w:p>
        </w:tc>
        <w:tc>
          <w:tcPr>
            <w:tcW w:w="1313" w:type="dxa"/>
            <w:vAlign w:val="center"/>
          </w:tcPr>
          <w:p w14:paraId="26E4DFD0" w14:textId="2B8EA4C5" w:rsidR="00F91942" w:rsidRPr="000A27DB" w:rsidRDefault="00F91942" w:rsidP="00F9194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2 131</w:t>
            </w:r>
          </w:p>
        </w:tc>
        <w:tc>
          <w:tcPr>
            <w:tcW w:w="1215" w:type="dxa"/>
            <w:vAlign w:val="center"/>
          </w:tcPr>
          <w:p w14:paraId="356AF333" w14:textId="1A53F090"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265</w:t>
            </w:r>
          </w:p>
        </w:tc>
        <w:tc>
          <w:tcPr>
            <w:tcW w:w="1325" w:type="dxa"/>
            <w:vAlign w:val="center"/>
          </w:tcPr>
          <w:p w14:paraId="6300ADB0" w14:textId="2140735F" w:rsidR="00F91942" w:rsidRPr="00BA663B" w:rsidRDefault="00F91942" w:rsidP="00F9194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12,4 %</w:t>
            </w:r>
          </w:p>
        </w:tc>
        <w:tc>
          <w:tcPr>
            <w:tcW w:w="557" w:type="dxa"/>
            <w:vAlign w:val="center"/>
          </w:tcPr>
          <w:p w14:paraId="2C1421B0" w14:textId="4096B9AF"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28</w:t>
            </w:r>
          </w:p>
        </w:tc>
        <w:tc>
          <w:tcPr>
            <w:tcW w:w="593" w:type="dxa"/>
            <w:vAlign w:val="center"/>
          </w:tcPr>
          <w:p w14:paraId="1B5D343B" w14:textId="715E54EC"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65</w:t>
            </w:r>
          </w:p>
        </w:tc>
        <w:tc>
          <w:tcPr>
            <w:tcW w:w="794" w:type="dxa"/>
            <w:vAlign w:val="center"/>
          </w:tcPr>
          <w:p w14:paraId="61A9865C" w14:textId="4AECE695"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93</w:t>
            </w:r>
          </w:p>
        </w:tc>
        <w:tc>
          <w:tcPr>
            <w:tcW w:w="656" w:type="dxa"/>
            <w:vAlign w:val="center"/>
          </w:tcPr>
          <w:p w14:paraId="3F9469D6" w14:textId="7D56BDEA"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40</w:t>
            </w:r>
          </w:p>
        </w:tc>
        <w:tc>
          <w:tcPr>
            <w:tcW w:w="632" w:type="dxa"/>
            <w:vAlign w:val="center"/>
          </w:tcPr>
          <w:p w14:paraId="3BAD1E98" w14:textId="03C0A768"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132</w:t>
            </w:r>
          </w:p>
        </w:tc>
        <w:tc>
          <w:tcPr>
            <w:tcW w:w="824" w:type="dxa"/>
            <w:vAlign w:val="center"/>
          </w:tcPr>
          <w:p w14:paraId="7B7B7D9D" w14:textId="10E2FBC1"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172</w:t>
            </w:r>
          </w:p>
        </w:tc>
      </w:tr>
      <w:tr w:rsidR="00F91942" w:rsidRPr="003C0619" w14:paraId="703A4FFC" w14:textId="77777777" w:rsidTr="00F91942">
        <w:trPr>
          <w:trHeight w:val="204"/>
        </w:trPr>
        <w:tc>
          <w:tcPr>
            <w:tcW w:w="1048" w:type="dxa"/>
            <w:shd w:val="clear" w:color="auto" w:fill="D9E2F3" w:themeFill="accent1" w:themeFillTint="33"/>
            <w:vAlign w:val="bottom"/>
          </w:tcPr>
          <w:p w14:paraId="45108C6D" w14:textId="253E054D"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Ladná</w:t>
            </w:r>
          </w:p>
        </w:tc>
        <w:tc>
          <w:tcPr>
            <w:tcW w:w="1313" w:type="dxa"/>
            <w:vAlign w:val="center"/>
          </w:tcPr>
          <w:p w14:paraId="26E81D59" w14:textId="575E2586" w:rsidR="00F91942" w:rsidRPr="000A27DB" w:rsidRDefault="00F91942" w:rsidP="00F9194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1 214</w:t>
            </w:r>
          </w:p>
        </w:tc>
        <w:tc>
          <w:tcPr>
            <w:tcW w:w="1215" w:type="dxa"/>
            <w:vAlign w:val="center"/>
          </w:tcPr>
          <w:p w14:paraId="31BA9A74" w14:textId="51D27B9E"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145</w:t>
            </w:r>
          </w:p>
        </w:tc>
        <w:tc>
          <w:tcPr>
            <w:tcW w:w="1325" w:type="dxa"/>
            <w:vAlign w:val="center"/>
          </w:tcPr>
          <w:p w14:paraId="5EC413AE" w14:textId="12DD327E" w:rsidR="00F91942" w:rsidRPr="00BA663B" w:rsidRDefault="00F91942" w:rsidP="00F9194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11,9 %</w:t>
            </w:r>
          </w:p>
        </w:tc>
        <w:tc>
          <w:tcPr>
            <w:tcW w:w="557" w:type="dxa"/>
            <w:vAlign w:val="center"/>
          </w:tcPr>
          <w:p w14:paraId="2333D540" w14:textId="4AE6DA4C"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9</w:t>
            </w:r>
          </w:p>
        </w:tc>
        <w:tc>
          <w:tcPr>
            <w:tcW w:w="593" w:type="dxa"/>
            <w:vAlign w:val="center"/>
          </w:tcPr>
          <w:p w14:paraId="1688C654" w14:textId="15517D3D"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37</w:t>
            </w:r>
          </w:p>
        </w:tc>
        <w:tc>
          <w:tcPr>
            <w:tcW w:w="794" w:type="dxa"/>
            <w:vAlign w:val="center"/>
          </w:tcPr>
          <w:p w14:paraId="182D4256" w14:textId="723E48A7"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46</w:t>
            </w:r>
          </w:p>
        </w:tc>
        <w:tc>
          <w:tcPr>
            <w:tcW w:w="656" w:type="dxa"/>
            <w:vAlign w:val="center"/>
          </w:tcPr>
          <w:p w14:paraId="1B568B1A" w14:textId="5A76110C"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9</w:t>
            </w:r>
          </w:p>
        </w:tc>
        <w:tc>
          <w:tcPr>
            <w:tcW w:w="632" w:type="dxa"/>
            <w:vAlign w:val="center"/>
          </w:tcPr>
          <w:p w14:paraId="62231E37" w14:textId="7E78E63A"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90</w:t>
            </w:r>
          </w:p>
        </w:tc>
        <w:tc>
          <w:tcPr>
            <w:tcW w:w="824" w:type="dxa"/>
            <w:vAlign w:val="center"/>
          </w:tcPr>
          <w:p w14:paraId="784AFF8A" w14:textId="7F253C59"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99</w:t>
            </w:r>
          </w:p>
        </w:tc>
      </w:tr>
      <w:tr w:rsidR="00F91942" w:rsidRPr="003C0619" w14:paraId="6A6CCE4F" w14:textId="77777777" w:rsidTr="00F91942">
        <w:trPr>
          <w:trHeight w:val="204"/>
        </w:trPr>
        <w:tc>
          <w:tcPr>
            <w:tcW w:w="1048" w:type="dxa"/>
            <w:shd w:val="clear" w:color="auto" w:fill="D9E2F3" w:themeFill="accent1" w:themeFillTint="33"/>
            <w:vAlign w:val="bottom"/>
          </w:tcPr>
          <w:p w14:paraId="081B6452" w14:textId="23F1D86C"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Přítluky</w:t>
            </w:r>
          </w:p>
        </w:tc>
        <w:tc>
          <w:tcPr>
            <w:tcW w:w="1313" w:type="dxa"/>
            <w:vAlign w:val="center"/>
          </w:tcPr>
          <w:p w14:paraId="1DE45550" w14:textId="10085F23" w:rsidR="00F91942" w:rsidRPr="000A27DB" w:rsidRDefault="00F91942" w:rsidP="00F9194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761</w:t>
            </w:r>
          </w:p>
        </w:tc>
        <w:tc>
          <w:tcPr>
            <w:tcW w:w="1215" w:type="dxa"/>
            <w:vAlign w:val="center"/>
          </w:tcPr>
          <w:p w14:paraId="5BA9A864" w14:textId="2C36792A"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89</w:t>
            </w:r>
          </w:p>
        </w:tc>
        <w:tc>
          <w:tcPr>
            <w:tcW w:w="1325" w:type="dxa"/>
            <w:vAlign w:val="center"/>
          </w:tcPr>
          <w:p w14:paraId="16ADE55D" w14:textId="40D3039E" w:rsidR="00F91942" w:rsidRPr="00BA663B" w:rsidRDefault="00F91942" w:rsidP="00F9194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11,7 %</w:t>
            </w:r>
          </w:p>
        </w:tc>
        <w:tc>
          <w:tcPr>
            <w:tcW w:w="557" w:type="dxa"/>
            <w:vAlign w:val="center"/>
          </w:tcPr>
          <w:p w14:paraId="2844DCE1" w14:textId="7A3EA98C"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19</w:t>
            </w:r>
          </w:p>
        </w:tc>
        <w:tc>
          <w:tcPr>
            <w:tcW w:w="593" w:type="dxa"/>
            <w:vAlign w:val="center"/>
          </w:tcPr>
          <w:p w14:paraId="74DA7123" w14:textId="50FB684E"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14</w:t>
            </w:r>
          </w:p>
        </w:tc>
        <w:tc>
          <w:tcPr>
            <w:tcW w:w="794" w:type="dxa"/>
            <w:vAlign w:val="center"/>
          </w:tcPr>
          <w:p w14:paraId="7B333DE7" w14:textId="57DD4955"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33</w:t>
            </w:r>
          </w:p>
        </w:tc>
        <w:tc>
          <w:tcPr>
            <w:tcW w:w="656" w:type="dxa"/>
            <w:vAlign w:val="center"/>
          </w:tcPr>
          <w:p w14:paraId="77DAC039" w14:textId="5F532947"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26</w:t>
            </w:r>
          </w:p>
        </w:tc>
        <w:tc>
          <w:tcPr>
            <w:tcW w:w="632" w:type="dxa"/>
            <w:vAlign w:val="center"/>
          </w:tcPr>
          <w:p w14:paraId="1E0D4DE9" w14:textId="14637C1C"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30</w:t>
            </w:r>
          </w:p>
        </w:tc>
        <w:tc>
          <w:tcPr>
            <w:tcW w:w="824" w:type="dxa"/>
            <w:vAlign w:val="center"/>
          </w:tcPr>
          <w:p w14:paraId="7F729937" w14:textId="479D068D"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56</w:t>
            </w:r>
          </w:p>
        </w:tc>
      </w:tr>
      <w:tr w:rsidR="00F91942" w:rsidRPr="003C0619" w14:paraId="2687CE55" w14:textId="77777777" w:rsidTr="00F91942">
        <w:trPr>
          <w:trHeight w:val="204"/>
        </w:trPr>
        <w:tc>
          <w:tcPr>
            <w:tcW w:w="1048" w:type="dxa"/>
            <w:shd w:val="clear" w:color="auto" w:fill="D9E2F3" w:themeFill="accent1" w:themeFillTint="33"/>
            <w:vAlign w:val="bottom"/>
          </w:tcPr>
          <w:p w14:paraId="6B33AC4D" w14:textId="6C0C32DF"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Břeclav</w:t>
            </w:r>
          </w:p>
        </w:tc>
        <w:tc>
          <w:tcPr>
            <w:tcW w:w="1313" w:type="dxa"/>
            <w:vAlign w:val="center"/>
          </w:tcPr>
          <w:p w14:paraId="3865ECA0" w14:textId="2B087AFE" w:rsidR="00F91942" w:rsidRPr="000A27DB" w:rsidRDefault="00F91942" w:rsidP="00F91942">
            <w:pPr>
              <w:jc w:val="center"/>
              <w:rPr>
                <w:rFonts w:ascii="Arial Narrow" w:eastAsia="Times New Roman" w:hAnsi="Arial Narrow" w:cs="Arial"/>
                <w:sz w:val="18"/>
                <w:szCs w:val="18"/>
                <w:lang w:eastAsia="cs-CZ"/>
              </w:rPr>
            </w:pPr>
            <w:r w:rsidRPr="00650A87">
              <w:rPr>
                <w:rFonts w:ascii="Arial Narrow" w:eastAsia="Times New Roman" w:hAnsi="Arial Narrow" w:cs="Arial"/>
                <w:sz w:val="18"/>
                <w:szCs w:val="18"/>
                <w:lang w:eastAsia="cs-CZ"/>
              </w:rPr>
              <w:t>23 782</w:t>
            </w:r>
          </w:p>
        </w:tc>
        <w:tc>
          <w:tcPr>
            <w:tcW w:w="1215" w:type="dxa"/>
            <w:vAlign w:val="center"/>
          </w:tcPr>
          <w:p w14:paraId="39338A45" w14:textId="7F631DFD"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2 168</w:t>
            </w:r>
          </w:p>
        </w:tc>
        <w:tc>
          <w:tcPr>
            <w:tcW w:w="1325" w:type="dxa"/>
            <w:vAlign w:val="center"/>
          </w:tcPr>
          <w:p w14:paraId="094C523C" w14:textId="18826A33" w:rsidR="00F91942" w:rsidRPr="00BA663B" w:rsidRDefault="00F91942" w:rsidP="00F9194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9,1 %</w:t>
            </w:r>
          </w:p>
        </w:tc>
        <w:tc>
          <w:tcPr>
            <w:tcW w:w="557" w:type="dxa"/>
            <w:vAlign w:val="center"/>
          </w:tcPr>
          <w:p w14:paraId="4FFB811E" w14:textId="5E30E098"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145</w:t>
            </w:r>
          </w:p>
        </w:tc>
        <w:tc>
          <w:tcPr>
            <w:tcW w:w="593" w:type="dxa"/>
            <w:vAlign w:val="center"/>
          </w:tcPr>
          <w:p w14:paraId="7E953403" w14:textId="14251EA8"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667</w:t>
            </w:r>
          </w:p>
        </w:tc>
        <w:tc>
          <w:tcPr>
            <w:tcW w:w="794" w:type="dxa"/>
            <w:vAlign w:val="center"/>
          </w:tcPr>
          <w:p w14:paraId="3CF9484F" w14:textId="6F15DB09"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812</w:t>
            </w:r>
          </w:p>
        </w:tc>
        <w:tc>
          <w:tcPr>
            <w:tcW w:w="656" w:type="dxa"/>
            <w:vAlign w:val="center"/>
          </w:tcPr>
          <w:p w14:paraId="4257C3DC" w14:textId="3480D777"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179</w:t>
            </w:r>
          </w:p>
        </w:tc>
        <w:tc>
          <w:tcPr>
            <w:tcW w:w="632" w:type="dxa"/>
            <w:vAlign w:val="center"/>
          </w:tcPr>
          <w:p w14:paraId="3C019B80" w14:textId="4DD6B8FC"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1 177</w:t>
            </w:r>
          </w:p>
        </w:tc>
        <w:tc>
          <w:tcPr>
            <w:tcW w:w="824" w:type="dxa"/>
            <w:vAlign w:val="center"/>
          </w:tcPr>
          <w:p w14:paraId="24B74968" w14:textId="418383B3" w:rsidR="00F91942" w:rsidRPr="000A27DB" w:rsidRDefault="00F91942" w:rsidP="00F9194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1 356</w:t>
            </w:r>
          </w:p>
        </w:tc>
      </w:tr>
      <w:tr w:rsidR="004D5432" w:rsidRPr="003C0619" w14:paraId="7E8B3897" w14:textId="77777777" w:rsidTr="00F91942">
        <w:trPr>
          <w:trHeight w:val="204"/>
        </w:trPr>
        <w:tc>
          <w:tcPr>
            <w:tcW w:w="1048" w:type="dxa"/>
            <w:shd w:val="clear" w:color="auto" w:fill="D9E2F3" w:themeFill="accent1" w:themeFillTint="33"/>
            <w:vAlign w:val="bottom"/>
          </w:tcPr>
          <w:p w14:paraId="43036B85" w14:textId="50A6B396"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Podivín</w:t>
            </w:r>
          </w:p>
        </w:tc>
        <w:tc>
          <w:tcPr>
            <w:tcW w:w="1313" w:type="dxa"/>
            <w:vAlign w:val="center"/>
          </w:tcPr>
          <w:p w14:paraId="7540A295" w14:textId="264469B8"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2 867</w:t>
            </w:r>
          </w:p>
        </w:tc>
        <w:tc>
          <w:tcPr>
            <w:tcW w:w="1215" w:type="dxa"/>
            <w:vAlign w:val="center"/>
          </w:tcPr>
          <w:p w14:paraId="4BAA2317" w14:textId="299884B9"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228</w:t>
            </w:r>
          </w:p>
        </w:tc>
        <w:tc>
          <w:tcPr>
            <w:tcW w:w="1325" w:type="dxa"/>
            <w:vAlign w:val="center"/>
          </w:tcPr>
          <w:p w14:paraId="59111806" w14:textId="5B286E9E"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8,0 %</w:t>
            </w:r>
          </w:p>
        </w:tc>
        <w:tc>
          <w:tcPr>
            <w:tcW w:w="557" w:type="dxa"/>
            <w:vAlign w:val="center"/>
          </w:tcPr>
          <w:p w14:paraId="7FD382E1" w14:textId="39289331"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21</w:t>
            </w:r>
          </w:p>
        </w:tc>
        <w:tc>
          <w:tcPr>
            <w:tcW w:w="593" w:type="dxa"/>
            <w:vAlign w:val="center"/>
          </w:tcPr>
          <w:p w14:paraId="7050F6BC" w14:textId="64A398F0"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106</w:t>
            </w:r>
          </w:p>
        </w:tc>
        <w:tc>
          <w:tcPr>
            <w:tcW w:w="794" w:type="dxa"/>
            <w:vAlign w:val="center"/>
          </w:tcPr>
          <w:p w14:paraId="6D167405" w14:textId="732F1CBB"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127</w:t>
            </w:r>
          </w:p>
        </w:tc>
        <w:tc>
          <w:tcPr>
            <w:tcW w:w="656" w:type="dxa"/>
            <w:vAlign w:val="center"/>
          </w:tcPr>
          <w:p w14:paraId="116DC90C" w14:textId="716E2133"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15</w:t>
            </w:r>
          </w:p>
        </w:tc>
        <w:tc>
          <w:tcPr>
            <w:tcW w:w="632" w:type="dxa"/>
            <w:vAlign w:val="center"/>
          </w:tcPr>
          <w:p w14:paraId="3BC6941F" w14:textId="28FC97B1"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86</w:t>
            </w:r>
          </w:p>
        </w:tc>
        <w:tc>
          <w:tcPr>
            <w:tcW w:w="824" w:type="dxa"/>
            <w:vAlign w:val="center"/>
          </w:tcPr>
          <w:p w14:paraId="4C2D3D08" w14:textId="7D542602"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101</w:t>
            </w:r>
          </w:p>
        </w:tc>
      </w:tr>
      <w:tr w:rsidR="004D5432" w:rsidRPr="003C0619" w14:paraId="2CEC6704" w14:textId="77777777" w:rsidTr="00F91942">
        <w:trPr>
          <w:trHeight w:val="204"/>
        </w:trPr>
        <w:tc>
          <w:tcPr>
            <w:tcW w:w="1048" w:type="dxa"/>
            <w:shd w:val="clear" w:color="auto" w:fill="D9E2F3" w:themeFill="accent1" w:themeFillTint="33"/>
            <w:vAlign w:val="bottom"/>
          </w:tcPr>
          <w:p w14:paraId="3E06ED25" w14:textId="5E805B5E"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Valtice</w:t>
            </w:r>
          </w:p>
        </w:tc>
        <w:tc>
          <w:tcPr>
            <w:tcW w:w="1313" w:type="dxa"/>
            <w:vAlign w:val="center"/>
          </w:tcPr>
          <w:p w14:paraId="2AC47AAF" w14:textId="7D3E0E6B"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3 478</w:t>
            </w:r>
          </w:p>
        </w:tc>
        <w:tc>
          <w:tcPr>
            <w:tcW w:w="1215" w:type="dxa"/>
            <w:vAlign w:val="center"/>
          </w:tcPr>
          <w:p w14:paraId="4EA36809" w14:textId="50BC26F1"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260</w:t>
            </w:r>
          </w:p>
        </w:tc>
        <w:tc>
          <w:tcPr>
            <w:tcW w:w="1325" w:type="dxa"/>
            <w:vAlign w:val="center"/>
          </w:tcPr>
          <w:p w14:paraId="6DDB00A7" w14:textId="5D2EBFFE"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7,5 %</w:t>
            </w:r>
          </w:p>
        </w:tc>
        <w:tc>
          <w:tcPr>
            <w:tcW w:w="557" w:type="dxa"/>
            <w:vAlign w:val="center"/>
          </w:tcPr>
          <w:p w14:paraId="05B4E947" w14:textId="6588684F"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17</w:t>
            </w:r>
          </w:p>
        </w:tc>
        <w:tc>
          <w:tcPr>
            <w:tcW w:w="593" w:type="dxa"/>
            <w:vAlign w:val="center"/>
          </w:tcPr>
          <w:p w14:paraId="0865FDC5" w14:textId="3D169443"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100</w:t>
            </w:r>
          </w:p>
        </w:tc>
        <w:tc>
          <w:tcPr>
            <w:tcW w:w="794" w:type="dxa"/>
            <w:vAlign w:val="center"/>
          </w:tcPr>
          <w:p w14:paraId="4BC53227" w14:textId="2642A7F5"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117</w:t>
            </w:r>
          </w:p>
        </w:tc>
        <w:tc>
          <w:tcPr>
            <w:tcW w:w="656" w:type="dxa"/>
            <w:vAlign w:val="center"/>
          </w:tcPr>
          <w:p w14:paraId="6721D5DC" w14:textId="66321EC5"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24</w:t>
            </w:r>
          </w:p>
        </w:tc>
        <w:tc>
          <w:tcPr>
            <w:tcW w:w="632" w:type="dxa"/>
            <w:vAlign w:val="center"/>
          </w:tcPr>
          <w:p w14:paraId="18165502" w14:textId="2BD35152"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119</w:t>
            </w:r>
          </w:p>
        </w:tc>
        <w:tc>
          <w:tcPr>
            <w:tcW w:w="824" w:type="dxa"/>
            <w:vAlign w:val="center"/>
          </w:tcPr>
          <w:p w14:paraId="2BC7D969" w14:textId="64E383E3"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143</w:t>
            </w:r>
          </w:p>
        </w:tc>
      </w:tr>
      <w:tr w:rsidR="004D5432" w:rsidRPr="003C0619" w14:paraId="544027F5" w14:textId="77777777" w:rsidTr="00F91942">
        <w:trPr>
          <w:trHeight w:val="204"/>
        </w:trPr>
        <w:tc>
          <w:tcPr>
            <w:tcW w:w="1048" w:type="dxa"/>
            <w:shd w:val="clear" w:color="auto" w:fill="D9E2F3" w:themeFill="accent1" w:themeFillTint="33"/>
            <w:vAlign w:val="bottom"/>
          </w:tcPr>
          <w:p w14:paraId="0438BE14" w14:textId="2EFFB4FA"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Tvrdonice</w:t>
            </w:r>
          </w:p>
        </w:tc>
        <w:tc>
          <w:tcPr>
            <w:tcW w:w="1313" w:type="dxa"/>
            <w:vAlign w:val="center"/>
          </w:tcPr>
          <w:p w14:paraId="0FE0AC88" w14:textId="22CEAB85"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2 041</w:t>
            </w:r>
          </w:p>
        </w:tc>
        <w:tc>
          <w:tcPr>
            <w:tcW w:w="1215" w:type="dxa"/>
            <w:vAlign w:val="center"/>
          </w:tcPr>
          <w:p w14:paraId="394797C7" w14:textId="6D96D8D7"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153</w:t>
            </w:r>
          </w:p>
        </w:tc>
        <w:tc>
          <w:tcPr>
            <w:tcW w:w="1325" w:type="dxa"/>
            <w:vAlign w:val="center"/>
          </w:tcPr>
          <w:p w14:paraId="0A9673E1" w14:textId="4F09B3E7"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7,5 %</w:t>
            </w:r>
          </w:p>
        </w:tc>
        <w:tc>
          <w:tcPr>
            <w:tcW w:w="557" w:type="dxa"/>
            <w:vAlign w:val="center"/>
          </w:tcPr>
          <w:p w14:paraId="48E83643" w14:textId="4247923D"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14</w:t>
            </w:r>
          </w:p>
        </w:tc>
        <w:tc>
          <w:tcPr>
            <w:tcW w:w="593" w:type="dxa"/>
            <w:vAlign w:val="center"/>
          </w:tcPr>
          <w:p w14:paraId="0F7672AC" w14:textId="4EC20886"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50</w:t>
            </w:r>
          </w:p>
        </w:tc>
        <w:tc>
          <w:tcPr>
            <w:tcW w:w="794" w:type="dxa"/>
            <w:vAlign w:val="center"/>
          </w:tcPr>
          <w:p w14:paraId="4E19EB27" w14:textId="04CDD8C5"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64</w:t>
            </w:r>
          </w:p>
        </w:tc>
        <w:tc>
          <w:tcPr>
            <w:tcW w:w="656" w:type="dxa"/>
            <w:vAlign w:val="center"/>
          </w:tcPr>
          <w:p w14:paraId="535F199F" w14:textId="6801BA1B"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10</w:t>
            </w:r>
          </w:p>
        </w:tc>
        <w:tc>
          <w:tcPr>
            <w:tcW w:w="632" w:type="dxa"/>
            <w:vAlign w:val="center"/>
          </w:tcPr>
          <w:p w14:paraId="0266DC88" w14:textId="254D9505"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79</w:t>
            </w:r>
          </w:p>
        </w:tc>
        <w:tc>
          <w:tcPr>
            <w:tcW w:w="824" w:type="dxa"/>
            <w:vAlign w:val="center"/>
          </w:tcPr>
          <w:p w14:paraId="3F26F2DF" w14:textId="2C5ABA4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89</w:t>
            </w:r>
          </w:p>
        </w:tc>
      </w:tr>
      <w:tr w:rsidR="004D5432" w:rsidRPr="003C0619" w14:paraId="4AE5577A" w14:textId="77777777" w:rsidTr="00F91942">
        <w:trPr>
          <w:trHeight w:val="204"/>
        </w:trPr>
        <w:tc>
          <w:tcPr>
            <w:tcW w:w="1048" w:type="dxa"/>
            <w:shd w:val="clear" w:color="auto" w:fill="D9E2F3" w:themeFill="accent1" w:themeFillTint="33"/>
            <w:vAlign w:val="bottom"/>
          </w:tcPr>
          <w:p w14:paraId="3C49D5C5" w14:textId="06F751AB"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Hlohovec</w:t>
            </w:r>
          </w:p>
        </w:tc>
        <w:tc>
          <w:tcPr>
            <w:tcW w:w="1313" w:type="dxa"/>
            <w:vAlign w:val="center"/>
          </w:tcPr>
          <w:p w14:paraId="779AB264" w14:textId="5904CE3C"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1 268</w:t>
            </w:r>
          </w:p>
        </w:tc>
        <w:tc>
          <w:tcPr>
            <w:tcW w:w="1215" w:type="dxa"/>
            <w:vAlign w:val="center"/>
          </w:tcPr>
          <w:p w14:paraId="04BA9FA4" w14:textId="2868A7B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77</w:t>
            </w:r>
          </w:p>
        </w:tc>
        <w:tc>
          <w:tcPr>
            <w:tcW w:w="1325" w:type="dxa"/>
            <w:vAlign w:val="center"/>
          </w:tcPr>
          <w:p w14:paraId="068B0D0E" w14:textId="51F7021A"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6,1 %</w:t>
            </w:r>
          </w:p>
        </w:tc>
        <w:tc>
          <w:tcPr>
            <w:tcW w:w="557" w:type="dxa"/>
            <w:vAlign w:val="center"/>
          </w:tcPr>
          <w:p w14:paraId="1F808796" w14:textId="0C188B7F"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w:t>
            </w:r>
          </w:p>
        </w:tc>
        <w:tc>
          <w:tcPr>
            <w:tcW w:w="593" w:type="dxa"/>
            <w:vAlign w:val="center"/>
          </w:tcPr>
          <w:p w14:paraId="20DE537F" w14:textId="24AC37C4"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28</w:t>
            </w:r>
          </w:p>
        </w:tc>
        <w:tc>
          <w:tcPr>
            <w:tcW w:w="794" w:type="dxa"/>
            <w:vAlign w:val="center"/>
          </w:tcPr>
          <w:p w14:paraId="0C35E5FD" w14:textId="7DE42F9E"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32</w:t>
            </w:r>
          </w:p>
        </w:tc>
        <w:tc>
          <w:tcPr>
            <w:tcW w:w="656" w:type="dxa"/>
            <w:vAlign w:val="center"/>
          </w:tcPr>
          <w:p w14:paraId="0AC4CCE4" w14:textId="3603C34D"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w:t>
            </w:r>
          </w:p>
        </w:tc>
        <w:tc>
          <w:tcPr>
            <w:tcW w:w="632" w:type="dxa"/>
            <w:vAlign w:val="center"/>
          </w:tcPr>
          <w:p w14:paraId="3AF50039" w14:textId="49682109"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41</w:t>
            </w:r>
          </w:p>
        </w:tc>
        <w:tc>
          <w:tcPr>
            <w:tcW w:w="824" w:type="dxa"/>
            <w:vAlign w:val="center"/>
          </w:tcPr>
          <w:p w14:paraId="641669CA" w14:textId="3AC83BB9"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45</w:t>
            </w:r>
          </w:p>
        </w:tc>
      </w:tr>
      <w:tr w:rsidR="004D5432" w:rsidRPr="003C0619" w14:paraId="627B3D20" w14:textId="77777777" w:rsidTr="00F91942">
        <w:trPr>
          <w:trHeight w:val="204"/>
        </w:trPr>
        <w:tc>
          <w:tcPr>
            <w:tcW w:w="1048" w:type="dxa"/>
            <w:shd w:val="clear" w:color="auto" w:fill="D9E2F3" w:themeFill="accent1" w:themeFillTint="33"/>
            <w:vAlign w:val="bottom"/>
          </w:tcPr>
          <w:p w14:paraId="5B59CF24" w14:textId="4F5D34B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Týnec</w:t>
            </w:r>
          </w:p>
        </w:tc>
        <w:tc>
          <w:tcPr>
            <w:tcW w:w="1313" w:type="dxa"/>
            <w:vAlign w:val="center"/>
          </w:tcPr>
          <w:p w14:paraId="1F6C8088" w14:textId="45BC44B2"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1 076</w:t>
            </w:r>
          </w:p>
        </w:tc>
        <w:tc>
          <w:tcPr>
            <w:tcW w:w="1215" w:type="dxa"/>
            <w:vAlign w:val="center"/>
          </w:tcPr>
          <w:p w14:paraId="208B9CD4" w14:textId="62A42FF0"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55</w:t>
            </w:r>
          </w:p>
        </w:tc>
        <w:tc>
          <w:tcPr>
            <w:tcW w:w="1325" w:type="dxa"/>
            <w:vAlign w:val="center"/>
          </w:tcPr>
          <w:p w14:paraId="270C2611" w14:textId="4FCFEAC5"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5,1 %</w:t>
            </w:r>
          </w:p>
        </w:tc>
        <w:tc>
          <w:tcPr>
            <w:tcW w:w="557" w:type="dxa"/>
            <w:vAlign w:val="center"/>
          </w:tcPr>
          <w:p w14:paraId="181D24BB" w14:textId="766E6693"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w:t>
            </w:r>
          </w:p>
        </w:tc>
        <w:tc>
          <w:tcPr>
            <w:tcW w:w="593" w:type="dxa"/>
            <w:vAlign w:val="center"/>
          </w:tcPr>
          <w:p w14:paraId="3116E982" w14:textId="0461FB89"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27</w:t>
            </w:r>
          </w:p>
        </w:tc>
        <w:tc>
          <w:tcPr>
            <w:tcW w:w="794" w:type="dxa"/>
            <w:vAlign w:val="center"/>
          </w:tcPr>
          <w:p w14:paraId="5708F651" w14:textId="3DFB5A10"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31</w:t>
            </w:r>
          </w:p>
        </w:tc>
        <w:tc>
          <w:tcPr>
            <w:tcW w:w="656" w:type="dxa"/>
            <w:vAlign w:val="center"/>
          </w:tcPr>
          <w:p w14:paraId="0DDE7651" w14:textId="6EBAE07E"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w:t>
            </w:r>
          </w:p>
        </w:tc>
        <w:tc>
          <w:tcPr>
            <w:tcW w:w="632" w:type="dxa"/>
            <w:vAlign w:val="center"/>
          </w:tcPr>
          <w:p w14:paraId="2A6DC2B1" w14:textId="124322F5"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20</w:t>
            </w:r>
          </w:p>
        </w:tc>
        <w:tc>
          <w:tcPr>
            <w:tcW w:w="824" w:type="dxa"/>
            <w:vAlign w:val="center"/>
          </w:tcPr>
          <w:p w14:paraId="4FD2BBCB" w14:textId="34A0DB1C"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24</w:t>
            </w:r>
          </w:p>
        </w:tc>
      </w:tr>
      <w:tr w:rsidR="004D5432" w:rsidRPr="003C0619" w14:paraId="5BDDE546" w14:textId="77777777" w:rsidTr="00F91942">
        <w:trPr>
          <w:trHeight w:val="204"/>
        </w:trPr>
        <w:tc>
          <w:tcPr>
            <w:tcW w:w="1048" w:type="dxa"/>
            <w:shd w:val="clear" w:color="auto" w:fill="D9E2F3" w:themeFill="accent1" w:themeFillTint="33"/>
            <w:vAlign w:val="bottom"/>
          </w:tcPr>
          <w:p w14:paraId="2CE4E16C" w14:textId="4C5115E4"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Zaječí</w:t>
            </w:r>
          </w:p>
        </w:tc>
        <w:tc>
          <w:tcPr>
            <w:tcW w:w="1313" w:type="dxa"/>
            <w:vAlign w:val="center"/>
          </w:tcPr>
          <w:p w14:paraId="63A8BC2E" w14:textId="5DC1A37E"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1 516</w:t>
            </w:r>
          </w:p>
        </w:tc>
        <w:tc>
          <w:tcPr>
            <w:tcW w:w="1215" w:type="dxa"/>
            <w:vAlign w:val="center"/>
          </w:tcPr>
          <w:p w14:paraId="5B4829A5" w14:textId="68AA068B"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67</w:t>
            </w:r>
          </w:p>
        </w:tc>
        <w:tc>
          <w:tcPr>
            <w:tcW w:w="1325" w:type="dxa"/>
            <w:vAlign w:val="center"/>
          </w:tcPr>
          <w:p w14:paraId="7A727F39" w14:textId="5DC9E04E"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4,4 %</w:t>
            </w:r>
          </w:p>
        </w:tc>
        <w:tc>
          <w:tcPr>
            <w:tcW w:w="557" w:type="dxa"/>
            <w:vAlign w:val="center"/>
          </w:tcPr>
          <w:p w14:paraId="15879735" w14:textId="24AEFA10"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w:t>
            </w:r>
          </w:p>
        </w:tc>
        <w:tc>
          <w:tcPr>
            <w:tcW w:w="593" w:type="dxa"/>
            <w:vAlign w:val="center"/>
          </w:tcPr>
          <w:p w14:paraId="0DC09C81" w14:textId="67BBF69A"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25</w:t>
            </w:r>
          </w:p>
        </w:tc>
        <w:tc>
          <w:tcPr>
            <w:tcW w:w="794" w:type="dxa"/>
            <w:vAlign w:val="center"/>
          </w:tcPr>
          <w:p w14:paraId="3140C8F2" w14:textId="30F05407"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30</w:t>
            </w:r>
          </w:p>
        </w:tc>
        <w:tc>
          <w:tcPr>
            <w:tcW w:w="656" w:type="dxa"/>
            <w:vAlign w:val="center"/>
          </w:tcPr>
          <w:p w14:paraId="1D69BBB7" w14:textId="0ED4617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w:t>
            </w:r>
          </w:p>
        </w:tc>
        <w:tc>
          <w:tcPr>
            <w:tcW w:w="632" w:type="dxa"/>
            <w:vAlign w:val="center"/>
          </w:tcPr>
          <w:p w14:paraId="7C53201D" w14:textId="04ABF2AB"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33</w:t>
            </w:r>
          </w:p>
        </w:tc>
        <w:tc>
          <w:tcPr>
            <w:tcW w:w="824" w:type="dxa"/>
            <w:vAlign w:val="center"/>
          </w:tcPr>
          <w:p w14:paraId="1C03E110" w14:textId="538934D4"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37</w:t>
            </w:r>
          </w:p>
        </w:tc>
      </w:tr>
      <w:tr w:rsidR="004D5432" w:rsidRPr="003C0619" w14:paraId="67AE2133" w14:textId="77777777" w:rsidTr="00F91942">
        <w:trPr>
          <w:trHeight w:val="204"/>
        </w:trPr>
        <w:tc>
          <w:tcPr>
            <w:tcW w:w="1048" w:type="dxa"/>
            <w:shd w:val="clear" w:color="auto" w:fill="D9E2F3" w:themeFill="accent1" w:themeFillTint="33"/>
            <w:vAlign w:val="bottom"/>
          </w:tcPr>
          <w:p w14:paraId="6AB18CB0" w14:textId="5C214C56"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Velké Bílovice</w:t>
            </w:r>
          </w:p>
        </w:tc>
        <w:tc>
          <w:tcPr>
            <w:tcW w:w="1313" w:type="dxa"/>
            <w:vAlign w:val="center"/>
          </w:tcPr>
          <w:p w14:paraId="386F291C" w14:textId="047A617A"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3 826</w:t>
            </w:r>
          </w:p>
        </w:tc>
        <w:tc>
          <w:tcPr>
            <w:tcW w:w="1215" w:type="dxa"/>
            <w:vAlign w:val="center"/>
          </w:tcPr>
          <w:p w14:paraId="1B88E39A" w14:textId="65FA3DD0"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163</w:t>
            </w:r>
          </w:p>
        </w:tc>
        <w:tc>
          <w:tcPr>
            <w:tcW w:w="1325" w:type="dxa"/>
            <w:vAlign w:val="center"/>
          </w:tcPr>
          <w:p w14:paraId="6D9048E9" w14:textId="4C22531E"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4,3 %</w:t>
            </w:r>
          </w:p>
        </w:tc>
        <w:tc>
          <w:tcPr>
            <w:tcW w:w="557" w:type="dxa"/>
            <w:vAlign w:val="center"/>
          </w:tcPr>
          <w:p w14:paraId="5349F4CD" w14:textId="5BDB77B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6</w:t>
            </w:r>
          </w:p>
        </w:tc>
        <w:tc>
          <w:tcPr>
            <w:tcW w:w="593" w:type="dxa"/>
            <w:vAlign w:val="center"/>
          </w:tcPr>
          <w:p w14:paraId="57413483" w14:textId="0D8CB52C"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56</w:t>
            </w:r>
          </w:p>
        </w:tc>
        <w:tc>
          <w:tcPr>
            <w:tcW w:w="794" w:type="dxa"/>
            <w:vAlign w:val="center"/>
          </w:tcPr>
          <w:p w14:paraId="7B886FD6" w14:textId="6A0F1EF7"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62</w:t>
            </w:r>
          </w:p>
        </w:tc>
        <w:tc>
          <w:tcPr>
            <w:tcW w:w="656" w:type="dxa"/>
            <w:vAlign w:val="center"/>
          </w:tcPr>
          <w:p w14:paraId="3C375450" w14:textId="6123DC9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12</w:t>
            </w:r>
          </w:p>
        </w:tc>
        <w:tc>
          <w:tcPr>
            <w:tcW w:w="632" w:type="dxa"/>
            <w:vAlign w:val="center"/>
          </w:tcPr>
          <w:p w14:paraId="31AA465F" w14:textId="37D29E84"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89</w:t>
            </w:r>
          </w:p>
        </w:tc>
        <w:tc>
          <w:tcPr>
            <w:tcW w:w="824" w:type="dxa"/>
            <w:vAlign w:val="center"/>
          </w:tcPr>
          <w:p w14:paraId="6C5A8506" w14:textId="26180BFD"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101</w:t>
            </w:r>
          </w:p>
        </w:tc>
      </w:tr>
      <w:tr w:rsidR="004D5432" w:rsidRPr="003C0619" w14:paraId="5B764D9C" w14:textId="77777777" w:rsidTr="00F91942">
        <w:trPr>
          <w:trHeight w:val="204"/>
        </w:trPr>
        <w:tc>
          <w:tcPr>
            <w:tcW w:w="1048" w:type="dxa"/>
            <w:shd w:val="clear" w:color="auto" w:fill="D9E2F3" w:themeFill="accent1" w:themeFillTint="33"/>
            <w:vAlign w:val="bottom"/>
          </w:tcPr>
          <w:p w14:paraId="1E3CA2A2" w14:textId="44BD4501"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Lanžhot</w:t>
            </w:r>
          </w:p>
        </w:tc>
        <w:tc>
          <w:tcPr>
            <w:tcW w:w="1313" w:type="dxa"/>
            <w:vAlign w:val="center"/>
          </w:tcPr>
          <w:p w14:paraId="1737D30E" w14:textId="2C0D1433"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3 634</w:t>
            </w:r>
          </w:p>
        </w:tc>
        <w:tc>
          <w:tcPr>
            <w:tcW w:w="1215" w:type="dxa"/>
            <w:vAlign w:val="center"/>
          </w:tcPr>
          <w:p w14:paraId="53A88E63" w14:textId="0CCCC465"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134</w:t>
            </w:r>
          </w:p>
        </w:tc>
        <w:tc>
          <w:tcPr>
            <w:tcW w:w="1325" w:type="dxa"/>
            <w:vAlign w:val="center"/>
          </w:tcPr>
          <w:p w14:paraId="046B3EB1" w14:textId="2696FE55"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3,7 %</w:t>
            </w:r>
          </w:p>
        </w:tc>
        <w:tc>
          <w:tcPr>
            <w:tcW w:w="557" w:type="dxa"/>
            <w:vAlign w:val="center"/>
          </w:tcPr>
          <w:p w14:paraId="2150ADCC" w14:textId="09A7B9BB"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19</w:t>
            </w:r>
          </w:p>
        </w:tc>
        <w:tc>
          <w:tcPr>
            <w:tcW w:w="593" w:type="dxa"/>
            <w:vAlign w:val="center"/>
          </w:tcPr>
          <w:p w14:paraId="2F282601" w14:textId="028CECEA"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51</w:t>
            </w:r>
          </w:p>
        </w:tc>
        <w:tc>
          <w:tcPr>
            <w:tcW w:w="794" w:type="dxa"/>
            <w:vAlign w:val="center"/>
          </w:tcPr>
          <w:p w14:paraId="3246C55D" w14:textId="73698666"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70</w:t>
            </w:r>
          </w:p>
        </w:tc>
        <w:tc>
          <w:tcPr>
            <w:tcW w:w="656" w:type="dxa"/>
            <w:vAlign w:val="center"/>
          </w:tcPr>
          <w:p w14:paraId="600E41D2" w14:textId="3255FC81"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9</w:t>
            </w:r>
          </w:p>
        </w:tc>
        <w:tc>
          <w:tcPr>
            <w:tcW w:w="632" w:type="dxa"/>
            <w:vAlign w:val="center"/>
          </w:tcPr>
          <w:p w14:paraId="1E00089B" w14:textId="27C4BE9A"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55</w:t>
            </w:r>
          </w:p>
        </w:tc>
        <w:tc>
          <w:tcPr>
            <w:tcW w:w="824" w:type="dxa"/>
            <w:vAlign w:val="center"/>
          </w:tcPr>
          <w:p w14:paraId="0256EAB2" w14:textId="41D0D656"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64</w:t>
            </w:r>
          </w:p>
        </w:tc>
      </w:tr>
      <w:tr w:rsidR="004D5432" w:rsidRPr="003C0619" w14:paraId="1645C880" w14:textId="77777777" w:rsidTr="00F91942">
        <w:trPr>
          <w:trHeight w:val="204"/>
        </w:trPr>
        <w:tc>
          <w:tcPr>
            <w:tcW w:w="1048" w:type="dxa"/>
            <w:shd w:val="clear" w:color="auto" w:fill="D9E2F3" w:themeFill="accent1" w:themeFillTint="33"/>
            <w:vAlign w:val="bottom"/>
          </w:tcPr>
          <w:p w14:paraId="648C3430" w14:textId="67E21C61"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Moravský Žižkov</w:t>
            </w:r>
          </w:p>
        </w:tc>
        <w:tc>
          <w:tcPr>
            <w:tcW w:w="1313" w:type="dxa"/>
            <w:vAlign w:val="center"/>
          </w:tcPr>
          <w:p w14:paraId="71BAF019" w14:textId="68679CDD"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1 455</w:t>
            </w:r>
          </w:p>
        </w:tc>
        <w:tc>
          <w:tcPr>
            <w:tcW w:w="1215" w:type="dxa"/>
            <w:vAlign w:val="center"/>
          </w:tcPr>
          <w:p w14:paraId="2B99E70B" w14:textId="69F9AC24"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52</w:t>
            </w:r>
          </w:p>
        </w:tc>
        <w:tc>
          <w:tcPr>
            <w:tcW w:w="1325" w:type="dxa"/>
            <w:vAlign w:val="center"/>
          </w:tcPr>
          <w:p w14:paraId="4A41637E" w14:textId="2A4DC376"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3,6 %</w:t>
            </w:r>
          </w:p>
        </w:tc>
        <w:tc>
          <w:tcPr>
            <w:tcW w:w="557" w:type="dxa"/>
            <w:vAlign w:val="center"/>
          </w:tcPr>
          <w:p w14:paraId="4992B216" w14:textId="04504C4E"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w:t>
            </w:r>
          </w:p>
        </w:tc>
        <w:tc>
          <w:tcPr>
            <w:tcW w:w="593" w:type="dxa"/>
            <w:vAlign w:val="center"/>
          </w:tcPr>
          <w:p w14:paraId="1BC6E39D" w14:textId="178BF5ED"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22</w:t>
            </w:r>
          </w:p>
        </w:tc>
        <w:tc>
          <w:tcPr>
            <w:tcW w:w="794" w:type="dxa"/>
            <w:vAlign w:val="center"/>
          </w:tcPr>
          <w:p w14:paraId="3816CDE9" w14:textId="6F66314E"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26</w:t>
            </w:r>
          </w:p>
        </w:tc>
        <w:tc>
          <w:tcPr>
            <w:tcW w:w="656" w:type="dxa"/>
            <w:vAlign w:val="center"/>
          </w:tcPr>
          <w:p w14:paraId="5DE62F3F" w14:textId="3E7E5D9F"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6</w:t>
            </w:r>
          </w:p>
        </w:tc>
        <w:tc>
          <w:tcPr>
            <w:tcW w:w="632" w:type="dxa"/>
            <w:vAlign w:val="center"/>
          </w:tcPr>
          <w:p w14:paraId="62AF684A" w14:textId="10DA5FFA"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20</w:t>
            </w:r>
          </w:p>
        </w:tc>
        <w:tc>
          <w:tcPr>
            <w:tcW w:w="824" w:type="dxa"/>
            <w:vAlign w:val="center"/>
          </w:tcPr>
          <w:p w14:paraId="7E40C801" w14:textId="24A0AAAD"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26</w:t>
            </w:r>
          </w:p>
        </w:tc>
      </w:tr>
      <w:tr w:rsidR="004D5432" w:rsidRPr="003C0619" w14:paraId="1C09CFD8" w14:textId="77777777" w:rsidTr="00F91942">
        <w:trPr>
          <w:trHeight w:val="204"/>
        </w:trPr>
        <w:tc>
          <w:tcPr>
            <w:tcW w:w="1048" w:type="dxa"/>
            <w:shd w:val="clear" w:color="auto" w:fill="D9E2F3" w:themeFill="accent1" w:themeFillTint="33"/>
            <w:vAlign w:val="bottom"/>
          </w:tcPr>
          <w:p w14:paraId="0E298CFA" w14:textId="15B5F4D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Moravská Nová Ves</w:t>
            </w:r>
          </w:p>
        </w:tc>
        <w:tc>
          <w:tcPr>
            <w:tcW w:w="1313" w:type="dxa"/>
            <w:vAlign w:val="center"/>
          </w:tcPr>
          <w:p w14:paraId="6B120851" w14:textId="007EB9D8"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2 584</w:t>
            </w:r>
          </w:p>
        </w:tc>
        <w:tc>
          <w:tcPr>
            <w:tcW w:w="1215" w:type="dxa"/>
            <w:vAlign w:val="center"/>
          </w:tcPr>
          <w:p w14:paraId="2DD5FFCA" w14:textId="18AC4FDD"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79</w:t>
            </w:r>
          </w:p>
        </w:tc>
        <w:tc>
          <w:tcPr>
            <w:tcW w:w="1325" w:type="dxa"/>
            <w:vAlign w:val="center"/>
          </w:tcPr>
          <w:p w14:paraId="05C2C5AC" w14:textId="25809433"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3,1 %</w:t>
            </w:r>
          </w:p>
        </w:tc>
        <w:tc>
          <w:tcPr>
            <w:tcW w:w="557" w:type="dxa"/>
            <w:vAlign w:val="center"/>
          </w:tcPr>
          <w:p w14:paraId="1C26106F" w14:textId="50C22F5F"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w:t>
            </w:r>
          </w:p>
        </w:tc>
        <w:tc>
          <w:tcPr>
            <w:tcW w:w="593" w:type="dxa"/>
            <w:vAlign w:val="center"/>
          </w:tcPr>
          <w:p w14:paraId="7B512798" w14:textId="44A0329B"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34</w:t>
            </w:r>
          </w:p>
        </w:tc>
        <w:tc>
          <w:tcPr>
            <w:tcW w:w="794" w:type="dxa"/>
            <w:vAlign w:val="center"/>
          </w:tcPr>
          <w:p w14:paraId="7368F80A" w14:textId="50C2336F"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39</w:t>
            </w:r>
          </w:p>
        </w:tc>
        <w:tc>
          <w:tcPr>
            <w:tcW w:w="656" w:type="dxa"/>
            <w:vAlign w:val="center"/>
          </w:tcPr>
          <w:p w14:paraId="1D00815C" w14:textId="453BFBF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w:t>
            </w:r>
          </w:p>
        </w:tc>
        <w:tc>
          <w:tcPr>
            <w:tcW w:w="632" w:type="dxa"/>
            <w:vAlign w:val="center"/>
          </w:tcPr>
          <w:p w14:paraId="376F654A" w14:textId="293E4059"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35</w:t>
            </w:r>
          </w:p>
        </w:tc>
        <w:tc>
          <w:tcPr>
            <w:tcW w:w="824" w:type="dxa"/>
            <w:vAlign w:val="center"/>
          </w:tcPr>
          <w:p w14:paraId="478D8A92" w14:textId="54375559"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40</w:t>
            </w:r>
          </w:p>
        </w:tc>
      </w:tr>
      <w:tr w:rsidR="004D5432" w:rsidRPr="003C0619" w14:paraId="416C5DD2" w14:textId="77777777" w:rsidTr="00F91942">
        <w:trPr>
          <w:trHeight w:val="204"/>
        </w:trPr>
        <w:tc>
          <w:tcPr>
            <w:tcW w:w="1048" w:type="dxa"/>
            <w:shd w:val="clear" w:color="auto" w:fill="D9E2F3" w:themeFill="accent1" w:themeFillTint="33"/>
            <w:vAlign w:val="bottom"/>
          </w:tcPr>
          <w:p w14:paraId="3F774BEA" w14:textId="23C7FC58"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Hrušky</w:t>
            </w:r>
          </w:p>
        </w:tc>
        <w:tc>
          <w:tcPr>
            <w:tcW w:w="1313" w:type="dxa"/>
            <w:vAlign w:val="center"/>
          </w:tcPr>
          <w:p w14:paraId="5EA81D8F" w14:textId="4A2874FD"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1 626</w:t>
            </w:r>
          </w:p>
        </w:tc>
        <w:tc>
          <w:tcPr>
            <w:tcW w:w="1215" w:type="dxa"/>
            <w:vAlign w:val="center"/>
          </w:tcPr>
          <w:p w14:paraId="7282D0B6" w14:textId="0D1CF085"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47</w:t>
            </w:r>
          </w:p>
        </w:tc>
        <w:tc>
          <w:tcPr>
            <w:tcW w:w="1325" w:type="dxa"/>
            <w:vAlign w:val="center"/>
          </w:tcPr>
          <w:p w14:paraId="1F8DC730" w14:textId="2A43D34B"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2,9 %</w:t>
            </w:r>
          </w:p>
        </w:tc>
        <w:tc>
          <w:tcPr>
            <w:tcW w:w="557" w:type="dxa"/>
            <w:vAlign w:val="center"/>
          </w:tcPr>
          <w:p w14:paraId="1D1F33AA" w14:textId="070DA7D6"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w:t>
            </w:r>
          </w:p>
        </w:tc>
        <w:tc>
          <w:tcPr>
            <w:tcW w:w="593" w:type="dxa"/>
            <w:vAlign w:val="center"/>
          </w:tcPr>
          <w:p w14:paraId="510DAF36" w14:textId="31EC6A13"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21</w:t>
            </w:r>
          </w:p>
        </w:tc>
        <w:tc>
          <w:tcPr>
            <w:tcW w:w="794" w:type="dxa"/>
            <w:vAlign w:val="center"/>
          </w:tcPr>
          <w:p w14:paraId="15079C23" w14:textId="55AE309F"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22</w:t>
            </w:r>
          </w:p>
        </w:tc>
        <w:tc>
          <w:tcPr>
            <w:tcW w:w="656" w:type="dxa"/>
            <w:vAlign w:val="center"/>
          </w:tcPr>
          <w:p w14:paraId="5FFDA54F" w14:textId="168C15D0"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w:t>
            </w:r>
          </w:p>
        </w:tc>
        <w:tc>
          <w:tcPr>
            <w:tcW w:w="632" w:type="dxa"/>
            <w:vAlign w:val="center"/>
          </w:tcPr>
          <w:p w14:paraId="20BBA330" w14:textId="172D7C12"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23</w:t>
            </w:r>
          </w:p>
        </w:tc>
        <w:tc>
          <w:tcPr>
            <w:tcW w:w="824" w:type="dxa"/>
            <w:vAlign w:val="center"/>
          </w:tcPr>
          <w:p w14:paraId="597039F5" w14:textId="46FD7829"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25</w:t>
            </w:r>
          </w:p>
        </w:tc>
      </w:tr>
      <w:tr w:rsidR="004D5432" w:rsidRPr="003C0619" w14:paraId="0674FEE6" w14:textId="77777777" w:rsidTr="00F91942">
        <w:trPr>
          <w:trHeight w:val="204"/>
        </w:trPr>
        <w:tc>
          <w:tcPr>
            <w:tcW w:w="1048" w:type="dxa"/>
            <w:shd w:val="clear" w:color="auto" w:fill="D9E2F3" w:themeFill="accent1" w:themeFillTint="33"/>
            <w:vAlign w:val="bottom"/>
          </w:tcPr>
          <w:p w14:paraId="755817C1" w14:textId="1346FCF1"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Kostice</w:t>
            </w:r>
          </w:p>
        </w:tc>
        <w:tc>
          <w:tcPr>
            <w:tcW w:w="1313" w:type="dxa"/>
            <w:vAlign w:val="center"/>
          </w:tcPr>
          <w:p w14:paraId="4F94387B" w14:textId="2562717C" w:rsidR="004D5432" w:rsidRPr="000A27DB" w:rsidRDefault="004D5432" w:rsidP="004D5432">
            <w:pPr>
              <w:jc w:val="center"/>
              <w:rPr>
                <w:rFonts w:ascii="Arial Narrow" w:eastAsia="Times New Roman" w:hAnsi="Arial Narrow" w:cs="Arial"/>
                <w:sz w:val="18"/>
                <w:szCs w:val="18"/>
                <w:lang w:eastAsia="cs-CZ"/>
              </w:rPr>
            </w:pPr>
            <w:r w:rsidRPr="003C0619">
              <w:rPr>
                <w:rFonts w:ascii="Arial Narrow" w:eastAsia="Times New Roman" w:hAnsi="Arial Narrow" w:cs="Arial"/>
                <w:sz w:val="18"/>
                <w:szCs w:val="18"/>
                <w:lang w:eastAsia="cs-CZ"/>
              </w:rPr>
              <w:t>1 886</w:t>
            </w:r>
          </w:p>
        </w:tc>
        <w:tc>
          <w:tcPr>
            <w:tcW w:w="1215" w:type="dxa"/>
            <w:vAlign w:val="center"/>
          </w:tcPr>
          <w:p w14:paraId="044799C8" w14:textId="4CA863E9"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51</w:t>
            </w:r>
          </w:p>
        </w:tc>
        <w:tc>
          <w:tcPr>
            <w:tcW w:w="1325" w:type="dxa"/>
            <w:vAlign w:val="center"/>
          </w:tcPr>
          <w:p w14:paraId="49E351FE" w14:textId="730DAE85" w:rsidR="004D5432" w:rsidRPr="00BA663B" w:rsidRDefault="004D5432" w:rsidP="004D5432">
            <w:pPr>
              <w:jc w:val="center"/>
              <w:rPr>
                <w:rFonts w:ascii="Arial Narrow" w:eastAsia="Times New Roman" w:hAnsi="Arial Narrow" w:cs="Arial"/>
                <w:b/>
                <w:bCs/>
                <w:color w:val="C00000"/>
                <w:sz w:val="18"/>
                <w:szCs w:val="18"/>
                <w:lang w:eastAsia="cs-CZ"/>
              </w:rPr>
            </w:pPr>
            <w:r w:rsidRPr="00BA663B">
              <w:rPr>
                <w:rFonts w:ascii="Arial Narrow" w:eastAsia="Times New Roman" w:hAnsi="Arial Narrow" w:cs="Arial"/>
                <w:b/>
                <w:bCs/>
                <w:color w:val="C00000"/>
                <w:sz w:val="18"/>
                <w:szCs w:val="18"/>
                <w:lang w:eastAsia="cs-CZ"/>
              </w:rPr>
              <w:t>2,7 %</w:t>
            </w:r>
          </w:p>
        </w:tc>
        <w:tc>
          <w:tcPr>
            <w:tcW w:w="557" w:type="dxa"/>
            <w:vAlign w:val="center"/>
          </w:tcPr>
          <w:p w14:paraId="30CD49ED" w14:textId="6EED0C17"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w:t>
            </w:r>
          </w:p>
        </w:tc>
        <w:tc>
          <w:tcPr>
            <w:tcW w:w="593" w:type="dxa"/>
            <w:vAlign w:val="center"/>
          </w:tcPr>
          <w:p w14:paraId="4E99DBF8" w14:textId="16F5BE3A"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27</w:t>
            </w:r>
          </w:p>
        </w:tc>
        <w:tc>
          <w:tcPr>
            <w:tcW w:w="794" w:type="dxa"/>
            <w:vAlign w:val="center"/>
          </w:tcPr>
          <w:p w14:paraId="7F988EE2" w14:textId="6C8F71E3"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30</w:t>
            </w:r>
          </w:p>
        </w:tc>
        <w:tc>
          <w:tcPr>
            <w:tcW w:w="656" w:type="dxa"/>
            <w:vAlign w:val="center"/>
          </w:tcPr>
          <w:p w14:paraId="1AAE737B" w14:textId="561101DB"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3</w:t>
            </w:r>
          </w:p>
        </w:tc>
        <w:tc>
          <w:tcPr>
            <w:tcW w:w="632" w:type="dxa"/>
            <w:vAlign w:val="center"/>
          </w:tcPr>
          <w:p w14:paraId="3191076E" w14:textId="65811A14"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18</w:t>
            </w:r>
          </w:p>
        </w:tc>
        <w:tc>
          <w:tcPr>
            <w:tcW w:w="824" w:type="dxa"/>
            <w:vAlign w:val="center"/>
          </w:tcPr>
          <w:p w14:paraId="23D6E752" w14:textId="24D26435" w:rsidR="004D5432" w:rsidRPr="000A27DB" w:rsidRDefault="004D5432" w:rsidP="004D5432">
            <w:pPr>
              <w:jc w:val="center"/>
              <w:rPr>
                <w:rFonts w:ascii="Arial Narrow" w:eastAsia="Times New Roman" w:hAnsi="Arial Narrow" w:cs="Arial"/>
                <w:sz w:val="18"/>
                <w:szCs w:val="18"/>
                <w:lang w:eastAsia="cs-CZ"/>
              </w:rPr>
            </w:pPr>
            <w:r w:rsidRPr="000A27DB">
              <w:rPr>
                <w:rFonts w:ascii="Arial Narrow" w:eastAsia="Times New Roman" w:hAnsi="Arial Narrow" w:cs="Arial"/>
                <w:sz w:val="18"/>
                <w:szCs w:val="18"/>
                <w:lang w:eastAsia="cs-CZ"/>
              </w:rPr>
              <w:t>21</w:t>
            </w:r>
          </w:p>
        </w:tc>
      </w:tr>
    </w:tbl>
    <w:bookmarkEnd w:id="701"/>
    <w:p w14:paraId="51636351" w14:textId="77777777" w:rsidR="006355B6" w:rsidRPr="00CE357F" w:rsidRDefault="006355B6" w:rsidP="006355B6">
      <w:pPr>
        <w:jc w:val="center"/>
        <w:rPr>
          <w:rFonts w:ascii="Arial Narrow" w:hAnsi="Arial Narrow"/>
          <w:color w:val="000000"/>
          <w:sz w:val="20"/>
          <w:lang w:eastAsia="cs-CZ"/>
        </w:rPr>
      </w:pPr>
      <w:r w:rsidRPr="003C0619">
        <w:rPr>
          <w:rFonts w:ascii="Arial Narrow" w:hAnsi="Arial Narrow"/>
          <w:bCs/>
        </w:rPr>
        <w:t>Zdroj: Ministerstvo</w:t>
      </w:r>
      <w:r w:rsidRPr="003C0619">
        <w:rPr>
          <w:rFonts w:ascii="Arial Narrow" w:eastAsia="Times New Roman" w:hAnsi="Arial Narrow" w:cs="Arial"/>
          <w:sz w:val="18"/>
          <w:szCs w:val="18"/>
          <w:lang w:eastAsia="cs-CZ"/>
        </w:rPr>
        <w:t xml:space="preserve"> </w:t>
      </w:r>
      <w:r>
        <w:rPr>
          <w:rFonts w:ascii="Arial Narrow" w:eastAsia="Times New Roman" w:hAnsi="Arial Narrow" w:cs="Arial"/>
          <w:sz w:val="18"/>
          <w:szCs w:val="18"/>
          <w:lang w:eastAsia="cs-CZ"/>
        </w:rPr>
        <w:t>v</w:t>
      </w:r>
      <w:r w:rsidRPr="003C0619">
        <w:rPr>
          <w:rFonts w:ascii="Arial Narrow" w:hAnsi="Arial Narrow"/>
          <w:color w:val="000000"/>
          <w:sz w:val="20"/>
          <w:lang w:eastAsia="cs-CZ"/>
        </w:rPr>
        <w:t>nitra</w:t>
      </w:r>
      <w:r w:rsidRPr="00CE357F">
        <w:rPr>
          <w:rFonts w:ascii="Arial Narrow" w:hAnsi="Arial Narrow"/>
          <w:color w:val="000000"/>
          <w:sz w:val="20"/>
          <w:lang w:eastAsia="cs-CZ"/>
        </w:rPr>
        <w:t xml:space="preserve"> České republiky</w:t>
      </w:r>
      <w:r w:rsidRPr="003C0619">
        <w:rPr>
          <w:rFonts w:ascii="Arial Narrow" w:hAnsi="Arial Narrow"/>
          <w:color w:val="000000"/>
          <w:sz w:val="20"/>
          <w:lang w:eastAsia="cs-CZ"/>
        </w:rPr>
        <w:tab/>
      </w:r>
      <w:r w:rsidRPr="003C0619">
        <w:rPr>
          <w:rFonts w:ascii="Arial Narrow" w:hAnsi="Arial Narrow"/>
          <w:color w:val="000000"/>
          <w:sz w:val="20"/>
          <w:lang w:eastAsia="cs-CZ"/>
        </w:rPr>
        <w:tab/>
      </w:r>
      <w:r w:rsidRPr="003C0619">
        <w:rPr>
          <w:rFonts w:ascii="Arial Narrow" w:hAnsi="Arial Narrow"/>
          <w:color w:val="000000"/>
          <w:sz w:val="20"/>
          <w:lang w:eastAsia="cs-CZ"/>
        </w:rPr>
        <w:tab/>
      </w:r>
      <w:r w:rsidRPr="003C0619">
        <w:rPr>
          <w:rFonts w:ascii="Arial Narrow" w:hAnsi="Arial Narrow"/>
          <w:color w:val="000000"/>
          <w:sz w:val="20"/>
          <w:lang w:eastAsia="cs-CZ"/>
        </w:rPr>
        <w:tab/>
        <w:t xml:space="preserve">                  Tabulka: AUGUR </w:t>
      </w:r>
      <w:proofErr w:type="spellStart"/>
      <w:r w:rsidRPr="003C0619">
        <w:rPr>
          <w:rFonts w:ascii="Arial Narrow" w:hAnsi="Arial Narrow"/>
          <w:color w:val="000000"/>
          <w:sz w:val="20"/>
          <w:lang w:eastAsia="cs-CZ"/>
        </w:rPr>
        <w:t>Consulting</w:t>
      </w:r>
      <w:proofErr w:type="spellEnd"/>
      <w:r w:rsidRPr="003C0619">
        <w:rPr>
          <w:rFonts w:ascii="Arial Narrow" w:hAnsi="Arial Narrow"/>
          <w:color w:val="000000"/>
          <w:sz w:val="20"/>
          <w:lang w:eastAsia="cs-CZ"/>
        </w:rPr>
        <w:t>, s.r.o.</w:t>
      </w:r>
    </w:p>
    <w:p w14:paraId="7CCA5FBC" w14:textId="77777777" w:rsidR="001E1B48" w:rsidRDefault="001E1B48" w:rsidP="006355B6">
      <w:pPr>
        <w:spacing w:line="276" w:lineRule="auto"/>
        <w:jc w:val="both"/>
        <w:rPr>
          <w:rFonts w:ascii="Arial Narrow" w:hAnsi="Arial Narrow"/>
          <w:color w:val="000000"/>
          <w:sz w:val="20"/>
          <w:lang w:eastAsia="cs-CZ"/>
        </w:rPr>
      </w:pPr>
    </w:p>
    <w:p w14:paraId="4FFD822A" w14:textId="77777777" w:rsidR="006355B6" w:rsidRDefault="006355B6" w:rsidP="006355B6">
      <w:pPr>
        <w:spacing w:line="276" w:lineRule="auto"/>
        <w:jc w:val="both"/>
        <w:rPr>
          <w:rFonts w:ascii="Arial Narrow" w:hAnsi="Arial Narrow"/>
          <w:color w:val="000000"/>
          <w:szCs w:val="24"/>
          <w:lang w:eastAsia="cs-CZ"/>
        </w:rPr>
      </w:pPr>
    </w:p>
    <w:p w14:paraId="79613512" w14:textId="77777777" w:rsidR="00572269" w:rsidRDefault="00572269" w:rsidP="006355B6">
      <w:pPr>
        <w:spacing w:line="276" w:lineRule="auto"/>
        <w:jc w:val="both"/>
        <w:rPr>
          <w:rFonts w:ascii="Arial Narrow" w:hAnsi="Arial Narrow"/>
          <w:color w:val="000000"/>
          <w:szCs w:val="24"/>
          <w:lang w:eastAsia="cs-CZ"/>
        </w:rPr>
      </w:pPr>
    </w:p>
    <w:p w14:paraId="5EC58853" w14:textId="77777777" w:rsidR="00572269" w:rsidRDefault="00572269" w:rsidP="006355B6">
      <w:pPr>
        <w:spacing w:line="276" w:lineRule="auto"/>
        <w:jc w:val="both"/>
        <w:rPr>
          <w:rFonts w:ascii="Arial Narrow" w:hAnsi="Arial Narrow"/>
          <w:color w:val="000000"/>
          <w:szCs w:val="24"/>
          <w:lang w:eastAsia="cs-CZ"/>
        </w:rPr>
      </w:pPr>
    </w:p>
    <w:p w14:paraId="6F3E9AD3" w14:textId="77777777" w:rsidR="00572269" w:rsidRDefault="00572269" w:rsidP="006355B6">
      <w:pPr>
        <w:spacing w:line="276" w:lineRule="auto"/>
        <w:jc w:val="both"/>
        <w:rPr>
          <w:rFonts w:ascii="Arial Narrow" w:hAnsi="Arial Narrow"/>
          <w:color w:val="000000"/>
          <w:szCs w:val="24"/>
          <w:lang w:eastAsia="cs-CZ"/>
        </w:rPr>
      </w:pPr>
    </w:p>
    <w:p w14:paraId="0DF26748" w14:textId="77777777" w:rsidR="00572269" w:rsidRDefault="00572269" w:rsidP="006355B6">
      <w:pPr>
        <w:spacing w:line="276" w:lineRule="auto"/>
        <w:jc w:val="both"/>
        <w:rPr>
          <w:rFonts w:ascii="Arial Narrow" w:hAnsi="Arial Narrow"/>
          <w:color w:val="000000"/>
          <w:szCs w:val="24"/>
          <w:lang w:eastAsia="cs-CZ"/>
        </w:rPr>
      </w:pPr>
    </w:p>
    <w:p w14:paraId="2F859873" w14:textId="77777777" w:rsidR="00572269" w:rsidRPr="00CE357F" w:rsidRDefault="00572269" w:rsidP="006355B6">
      <w:pPr>
        <w:spacing w:line="276" w:lineRule="auto"/>
        <w:jc w:val="both"/>
        <w:rPr>
          <w:rFonts w:ascii="Arial Narrow" w:hAnsi="Arial Narrow"/>
          <w:b/>
          <w:sz w:val="20"/>
          <w:szCs w:val="20"/>
        </w:rPr>
      </w:pPr>
    </w:p>
    <w:p w14:paraId="6A174857" w14:textId="77777777" w:rsidR="006355B6" w:rsidRDefault="006355B6" w:rsidP="006355B6">
      <w:pPr>
        <w:spacing w:line="276" w:lineRule="auto"/>
        <w:jc w:val="both"/>
        <w:rPr>
          <w:rFonts w:ascii="Arial Narrow" w:hAnsi="Arial Narrow"/>
          <w:b/>
          <w:sz w:val="20"/>
          <w:szCs w:val="20"/>
          <w:highlight w:val="yellow"/>
        </w:rPr>
      </w:pPr>
    </w:p>
    <w:p w14:paraId="030DDEE7" w14:textId="77777777" w:rsidR="006355B6" w:rsidRDefault="006355B6" w:rsidP="006355B6">
      <w:pPr>
        <w:spacing w:line="276" w:lineRule="auto"/>
        <w:jc w:val="both"/>
        <w:rPr>
          <w:rFonts w:ascii="Arial Narrow" w:hAnsi="Arial Narrow"/>
          <w:b/>
          <w:sz w:val="20"/>
          <w:szCs w:val="20"/>
          <w:highlight w:val="yellow"/>
        </w:rPr>
      </w:pPr>
    </w:p>
    <w:p w14:paraId="48A27244" w14:textId="77777777" w:rsidR="006355B6" w:rsidRDefault="006355B6" w:rsidP="006355B6">
      <w:pPr>
        <w:spacing w:line="276" w:lineRule="auto"/>
        <w:jc w:val="both"/>
        <w:rPr>
          <w:rFonts w:ascii="Arial Narrow" w:hAnsi="Arial Narrow"/>
          <w:b/>
          <w:sz w:val="20"/>
          <w:szCs w:val="20"/>
          <w:highlight w:val="yellow"/>
        </w:rPr>
      </w:pPr>
    </w:p>
    <w:p w14:paraId="6418EE7E" w14:textId="77777777" w:rsidR="006355B6" w:rsidRDefault="006355B6" w:rsidP="006355B6">
      <w:pPr>
        <w:spacing w:line="276" w:lineRule="auto"/>
        <w:jc w:val="both"/>
        <w:rPr>
          <w:rFonts w:ascii="Arial Narrow" w:hAnsi="Arial Narrow"/>
          <w:b/>
          <w:sz w:val="20"/>
          <w:szCs w:val="20"/>
          <w:highlight w:val="yellow"/>
        </w:rPr>
      </w:pPr>
    </w:p>
    <w:p w14:paraId="3CB625B5" w14:textId="77777777" w:rsidR="006355B6" w:rsidRDefault="006355B6" w:rsidP="006355B6">
      <w:pPr>
        <w:spacing w:line="276" w:lineRule="auto"/>
        <w:jc w:val="both"/>
        <w:rPr>
          <w:rFonts w:ascii="Arial Narrow" w:hAnsi="Arial Narrow"/>
          <w:b/>
          <w:sz w:val="20"/>
          <w:szCs w:val="20"/>
          <w:highlight w:val="yellow"/>
        </w:rPr>
      </w:pPr>
    </w:p>
    <w:p w14:paraId="26E1DBAB" w14:textId="77777777" w:rsidR="006355B6" w:rsidRDefault="006355B6" w:rsidP="006355B6">
      <w:pPr>
        <w:spacing w:line="276" w:lineRule="auto"/>
        <w:jc w:val="both"/>
        <w:rPr>
          <w:rFonts w:ascii="Arial Narrow" w:hAnsi="Arial Narrow"/>
          <w:b/>
          <w:sz w:val="20"/>
          <w:szCs w:val="20"/>
          <w:highlight w:val="yellow"/>
        </w:rPr>
      </w:pPr>
    </w:p>
    <w:p w14:paraId="5822479B" w14:textId="77777777" w:rsidR="00572269" w:rsidRDefault="00572269" w:rsidP="006355B6">
      <w:pPr>
        <w:spacing w:line="276" w:lineRule="auto"/>
        <w:jc w:val="both"/>
        <w:rPr>
          <w:rFonts w:ascii="Arial Narrow" w:hAnsi="Arial Narrow"/>
          <w:b/>
          <w:sz w:val="20"/>
          <w:szCs w:val="20"/>
          <w:highlight w:val="yellow"/>
        </w:rPr>
      </w:pPr>
    </w:p>
    <w:p w14:paraId="5062D978" w14:textId="77777777" w:rsidR="00572269" w:rsidRDefault="00572269" w:rsidP="006355B6">
      <w:pPr>
        <w:spacing w:line="276" w:lineRule="auto"/>
        <w:jc w:val="both"/>
        <w:rPr>
          <w:rFonts w:ascii="Arial Narrow" w:hAnsi="Arial Narrow"/>
          <w:b/>
          <w:sz w:val="20"/>
          <w:szCs w:val="20"/>
          <w:highlight w:val="yellow"/>
        </w:rPr>
      </w:pPr>
    </w:p>
    <w:p w14:paraId="57092F5A" w14:textId="77777777" w:rsidR="006355B6" w:rsidRDefault="006355B6" w:rsidP="006355B6">
      <w:pPr>
        <w:spacing w:line="276" w:lineRule="auto"/>
        <w:jc w:val="both"/>
        <w:rPr>
          <w:rFonts w:ascii="Arial Narrow" w:hAnsi="Arial Narrow"/>
          <w:b/>
          <w:sz w:val="20"/>
          <w:szCs w:val="20"/>
          <w:highlight w:val="yellow"/>
        </w:rPr>
      </w:pPr>
    </w:p>
    <w:p w14:paraId="06A4C657" w14:textId="77777777" w:rsidR="006355B6" w:rsidRDefault="006355B6" w:rsidP="006355B6">
      <w:pPr>
        <w:spacing w:line="276" w:lineRule="auto"/>
        <w:jc w:val="both"/>
        <w:rPr>
          <w:rFonts w:ascii="Arial Narrow" w:hAnsi="Arial Narrow"/>
          <w:b/>
          <w:sz w:val="20"/>
          <w:szCs w:val="20"/>
          <w:highlight w:val="yellow"/>
        </w:rPr>
      </w:pPr>
    </w:p>
    <w:p w14:paraId="4B775BCD" w14:textId="122FE6EC" w:rsidR="006355B6" w:rsidRPr="00CE357F" w:rsidRDefault="006355B6" w:rsidP="006355B6">
      <w:pPr>
        <w:spacing w:line="276" w:lineRule="auto"/>
        <w:jc w:val="both"/>
        <w:rPr>
          <w:rFonts w:ascii="Arial Narrow" w:hAnsi="Arial Narrow"/>
          <w:b/>
          <w:bCs/>
          <w:sz w:val="20"/>
          <w:szCs w:val="20"/>
        </w:rPr>
      </w:pPr>
      <w:bookmarkStart w:id="702" w:name="_Toc136428958"/>
      <w:r w:rsidRPr="006355B6">
        <w:rPr>
          <w:rFonts w:ascii="Arial Narrow" w:hAnsi="Arial Narrow"/>
          <w:b/>
          <w:sz w:val="20"/>
          <w:szCs w:val="20"/>
        </w:rPr>
        <w:lastRenderedPageBreak/>
        <w:t xml:space="preserve">Graf </w:t>
      </w:r>
      <w:r w:rsidRPr="006355B6">
        <w:rPr>
          <w:rFonts w:ascii="Arial Narrow" w:hAnsi="Arial Narrow"/>
          <w:b/>
          <w:sz w:val="20"/>
          <w:szCs w:val="20"/>
        </w:rPr>
        <w:fldChar w:fldCharType="begin"/>
      </w:r>
      <w:r w:rsidRPr="006355B6">
        <w:rPr>
          <w:rFonts w:ascii="Arial Narrow" w:hAnsi="Arial Narrow"/>
          <w:b/>
          <w:sz w:val="20"/>
          <w:szCs w:val="20"/>
        </w:rPr>
        <w:instrText xml:space="preserve"> SEQ Graf \* ARABIC </w:instrText>
      </w:r>
      <w:r w:rsidRPr="006355B6">
        <w:rPr>
          <w:rFonts w:ascii="Arial Narrow" w:hAnsi="Arial Narrow"/>
          <w:b/>
          <w:sz w:val="20"/>
          <w:szCs w:val="20"/>
        </w:rPr>
        <w:fldChar w:fldCharType="separate"/>
      </w:r>
      <w:r w:rsidR="009F49C8">
        <w:rPr>
          <w:rFonts w:ascii="Arial Narrow" w:hAnsi="Arial Narrow"/>
          <w:b/>
          <w:noProof/>
          <w:sz w:val="20"/>
          <w:szCs w:val="20"/>
        </w:rPr>
        <w:t>114</w:t>
      </w:r>
      <w:r w:rsidRPr="006355B6">
        <w:rPr>
          <w:rFonts w:ascii="Arial Narrow" w:hAnsi="Arial Narrow"/>
          <w:b/>
          <w:sz w:val="20"/>
          <w:szCs w:val="20"/>
        </w:rPr>
        <w:fldChar w:fldCharType="end"/>
      </w:r>
      <w:r w:rsidRPr="006355B6">
        <w:rPr>
          <w:rFonts w:ascii="Arial Narrow" w:hAnsi="Arial Narrow"/>
          <w:b/>
          <w:sz w:val="20"/>
          <w:szCs w:val="20"/>
        </w:rPr>
        <w:t>:</w:t>
      </w:r>
      <w:r w:rsidRPr="006355B6">
        <w:rPr>
          <w:rFonts w:ascii="Arial Narrow" w:eastAsiaTheme="minorEastAsia" w:hAnsi="Arial Narrow" w:cstheme="minorBidi"/>
          <w:b/>
          <w:bCs/>
          <w:color w:val="000000" w:themeColor="text1"/>
          <w:kern w:val="24"/>
          <w:sz w:val="20"/>
          <w:szCs w:val="20"/>
          <w:lang w:eastAsia="cs-CZ"/>
        </w:rPr>
        <w:t xml:space="preserve"> </w:t>
      </w:r>
      <w:r w:rsidRPr="006355B6">
        <w:rPr>
          <w:rFonts w:ascii="Arial Narrow" w:hAnsi="Arial Narrow"/>
          <w:b/>
          <w:bCs/>
          <w:sz w:val="20"/>
          <w:szCs w:val="20"/>
        </w:rPr>
        <w:t>Podíl osob s jinou než českou státní příslušností na celkovém počtu obyvatel k 1. 1. 2023</w:t>
      </w:r>
      <w:bookmarkEnd w:id="702"/>
    </w:p>
    <w:p w14:paraId="3D099972" w14:textId="77777777" w:rsidR="006355B6" w:rsidRPr="00CE357F" w:rsidRDefault="006355B6" w:rsidP="006355B6">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6806FCDF" wp14:editId="14DF02CD">
            <wp:extent cx="5760720" cy="3593805"/>
            <wp:effectExtent l="0" t="0" r="11430" b="6985"/>
            <wp:docPr id="195" name="Graf 195">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34507951" w14:textId="77777777" w:rsidR="006355B6" w:rsidRPr="00B46B7E" w:rsidRDefault="006355B6" w:rsidP="006355B6">
      <w:pPr>
        <w:spacing w:after="240" w:line="276" w:lineRule="auto"/>
        <w:rPr>
          <w:rFonts w:ascii="Arial Narrow" w:hAnsi="Arial Narrow"/>
          <w:color w:val="000000"/>
          <w:sz w:val="20"/>
          <w:szCs w:val="20"/>
          <w:lang w:eastAsia="cs-CZ"/>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0E4AD62C" w14:textId="77777777" w:rsidR="006355B6" w:rsidRPr="00CE357F" w:rsidRDefault="006355B6" w:rsidP="006355B6">
      <w:pPr>
        <w:spacing w:line="276" w:lineRule="auto"/>
        <w:jc w:val="both"/>
        <w:rPr>
          <w:rFonts w:ascii="Arial Narrow" w:hAnsi="Arial Narrow"/>
          <w:b/>
          <w:bCs/>
          <w:color w:val="C00000"/>
        </w:rPr>
      </w:pPr>
      <w:r w:rsidRPr="00CE357F">
        <w:rPr>
          <w:rFonts w:ascii="Arial Narrow" w:hAnsi="Arial Narrow"/>
          <w:b/>
          <w:bCs/>
          <w:color w:val="C00000"/>
        </w:rPr>
        <w:br/>
        <w:t>Vývoj podílu osob s jinou než českou státní příslušností ve vybraných obcích ORP Břeclav mezi lety 2006-</w:t>
      </w:r>
      <w:r w:rsidRPr="006355B6">
        <w:rPr>
          <w:rFonts w:ascii="Arial Narrow" w:hAnsi="Arial Narrow"/>
          <w:b/>
          <w:bCs/>
          <w:color w:val="C00000"/>
        </w:rPr>
        <w:t>2023</w:t>
      </w:r>
    </w:p>
    <w:p w14:paraId="1863B3E2" w14:textId="03F76686" w:rsidR="00B835F6" w:rsidRPr="00CE357F" w:rsidRDefault="006355B6" w:rsidP="00B835F6">
      <w:pPr>
        <w:spacing w:line="276" w:lineRule="auto"/>
        <w:jc w:val="both"/>
        <w:rPr>
          <w:rFonts w:ascii="Arial Narrow" w:hAnsi="Arial Narrow"/>
          <w:color w:val="000000"/>
        </w:rPr>
      </w:pPr>
      <w:r>
        <w:rPr>
          <w:rFonts w:ascii="Arial Narrow" w:hAnsi="Arial Narrow"/>
          <w:b/>
          <w:bCs/>
          <w:color w:val="C00000"/>
        </w:rPr>
        <w:br/>
      </w:r>
      <w:r w:rsidR="00B835F6" w:rsidRPr="00CE357F">
        <w:rPr>
          <w:rFonts w:ascii="Arial Narrow" w:hAnsi="Arial Narrow"/>
          <w:color w:val="000000"/>
        </w:rPr>
        <w:t xml:space="preserve">Jak je patrné z předchozích grafů, podíl </w:t>
      </w:r>
      <w:r w:rsidR="00B835F6" w:rsidRPr="00CE357F">
        <w:rPr>
          <w:rFonts w:ascii="Arial Narrow" w:hAnsi="Arial Narrow"/>
          <w:bCs/>
        </w:rPr>
        <w:t xml:space="preserve">osob s jinou než českou státní příslušností </w:t>
      </w:r>
      <w:r w:rsidR="00B835F6" w:rsidRPr="00CE357F">
        <w:rPr>
          <w:rFonts w:ascii="Arial Narrow" w:hAnsi="Arial Narrow"/>
          <w:color w:val="000000"/>
        </w:rPr>
        <w:t xml:space="preserve">v jednotlivých obcích ORP Břeclav se meziročně zvyšuje. Následující </w:t>
      </w:r>
      <w:r w:rsidR="00572269">
        <w:rPr>
          <w:rFonts w:ascii="Arial Narrow" w:hAnsi="Arial Narrow"/>
          <w:color w:val="000000"/>
        </w:rPr>
        <w:t>tři</w:t>
      </w:r>
      <w:r w:rsidR="00B835F6" w:rsidRPr="00CE357F">
        <w:rPr>
          <w:rFonts w:ascii="Arial Narrow" w:hAnsi="Arial Narrow"/>
          <w:color w:val="000000"/>
        </w:rPr>
        <w:t xml:space="preserve"> grafy</w:t>
      </w:r>
      <w:r w:rsidR="00572269">
        <w:rPr>
          <w:rFonts w:ascii="Arial Narrow" w:hAnsi="Arial Narrow"/>
          <w:color w:val="000000"/>
        </w:rPr>
        <w:t xml:space="preserve"> č. 115–117</w:t>
      </w:r>
      <w:r w:rsidR="00B835F6" w:rsidRPr="00CE357F">
        <w:rPr>
          <w:rFonts w:ascii="Arial Narrow" w:hAnsi="Arial Narrow"/>
          <w:color w:val="000000"/>
        </w:rPr>
        <w:t xml:space="preserve"> dokumentují vývoj podílu </w:t>
      </w:r>
      <w:r w:rsidR="00B835F6" w:rsidRPr="00CE357F">
        <w:rPr>
          <w:rFonts w:ascii="Arial Narrow" w:hAnsi="Arial Narrow"/>
          <w:bCs/>
        </w:rPr>
        <w:t xml:space="preserve">osob s jinou než českou státní příslušností </w:t>
      </w:r>
      <w:r w:rsidR="00B835F6" w:rsidRPr="00CE357F">
        <w:rPr>
          <w:rFonts w:ascii="Arial Narrow" w:hAnsi="Arial Narrow"/>
          <w:color w:val="000000"/>
        </w:rPr>
        <w:t>na celkovém počtu obyvatel v letech 2006</w:t>
      </w:r>
      <w:r w:rsidR="00DE56F4" w:rsidRPr="00CE357F">
        <w:rPr>
          <w:rFonts w:ascii="Arial Narrow" w:hAnsi="Arial Narrow"/>
          <w:color w:val="000000"/>
        </w:rPr>
        <w:t>–</w:t>
      </w:r>
      <w:r w:rsidR="00B835F6" w:rsidRPr="00CE357F">
        <w:rPr>
          <w:rFonts w:ascii="Arial Narrow" w:hAnsi="Arial Narrow"/>
          <w:color w:val="000000"/>
        </w:rPr>
        <w:t>202</w:t>
      </w:r>
      <w:r>
        <w:rPr>
          <w:rFonts w:ascii="Arial Narrow" w:hAnsi="Arial Narrow"/>
          <w:color w:val="000000"/>
        </w:rPr>
        <w:t>3</w:t>
      </w:r>
      <w:r w:rsidR="00B835F6" w:rsidRPr="00CE357F">
        <w:rPr>
          <w:rFonts w:ascii="Arial Narrow" w:hAnsi="Arial Narrow"/>
          <w:color w:val="000000"/>
        </w:rPr>
        <w:t xml:space="preserve"> v obcích </w:t>
      </w:r>
      <w:r>
        <w:rPr>
          <w:rFonts w:ascii="Arial Narrow" w:hAnsi="Arial Narrow"/>
          <w:color w:val="000000"/>
        </w:rPr>
        <w:t>Lednice, Rakvice a Ladná</w:t>
      </w:r>
      <w:r w:rsidR="00760E26" w:rsidRPr="00CE357F">
        <w:rPr>
          <w:rFonts w:ascii="Arial Narrow" w:hAnsi="Arial Narrow"/>
          <w:color w:val="000000"/>
        </w:rPr>
        <w:t>. Jedná se o obce, ve kterých byl k 1. 1. 202</w:t>
      </w:r>
      <w:r>
        <w:rPr>
          <w:rFonts w:ascii="Arial Narrow" w:hAnsi="Arial Narrow"/>
          <w:color w:val="000000"/>
        </w:rPr>
        <w:t>3</w:t>
      </w:r>
      <w:r w:rsidR="00760E26" w:rsidRPr="00CE357F">
        <w:rPr>
          <w:rFonts w:ascii="Arial Narrow" w:hAnsi="Arial Narrow"/>
          <w:color w:val="000000"/>
        </w:rPr>
        <w:t xml:space="preserve"> zaznamenán nejvyšší</w:t>
      </w:r>
      <w:r w:rsidR="00B835F6" w:rsidRPr="00CE357F">
        <w:rPr>
          <w:rFonts w:ascii="Arial Narrow" w:hAnsi="Arial Narrow"/>
          <w:color w:val="000000"/>
        </w:rPr>
        <w:t xml:space="preserve"> podíl </w:t>
      </w:r>
      <w:r w:rsidR="00B835F6" w:rsidRPr="00CE357F">
        <w:rPr>
          <w:rFonts w:ascii="Arial Narrow" w:hAnsi="Arial Narrow"/>
          <w:bCs/>
        </w:rPr>
        <w:t xml:space="preserve">osob s jinou než českou státní příslušností </w:t>
      </w:r>
      <w:r w:rsidR="00B835F6" w:rsidRPr="00CE357F">
        <w:rPr>
          <w:rFonts w:ascii="Arial Narrow" w:hAnsi="Arial Narrow"/>
          <w:color w:val="000000"/>
        </w:rPr>
        <w:t xml:space="preserve">na celkovém počtu obyvatel. </w:t>
      </w:r>
    </w:p>
    <w:p w14:paraId="15A72EF9" w14:textId="165FA328" w:rsidR="00760E26" w:rsidRPr="006355B6" w:rsidRDefault="006355B6" w:rsidP="006355B6">
      <w:pPr>
        <w:rPr>
          <w:rFonts w:ascii="Arial Narrow" w:hAnsi="Arial Narrow"/>
          <w:bCs/>
        </w:rPr>
      </w:pPr>
      <w:bookmarkStart w:id="703" w:name="_Toc94443808"/>
      <w:r>
        <w:rPr>
          <w:rFonts w:ascii="Arial Narrow" w:hAnsi="Arial Narrow"/>
          <w:color w:val="000000"/>
        </w:rPr>
        <w:br/>
      </w:r>
      <w:bookmarkStart w:id="704" w:name="_Toc136428959"/>
      <w:r w:rsidR="00760E26" w:rsidRPr="00CE357F">
        <w:rPr>
          <w:rFonts w:ascii="Arial Narrow" w:hAnsi="Arial Narrow"/>
          <w:b/>
          <w:sz w:val="20"/>
          <w:szCs w:val="20"/>
        </w:rPr>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115</w:t>
      </w:r>
      <w:r w:rsidR="00B63C25">
        <w:rPr>
          <w:rFonts w:ascii="Arial Narrow" w:hAnsi="Arial Narrow"/>
          <w:b/>
          <w:sz w:val="20"/>
          <w:szCs w:val="20"/>
        </w:rPr>
        <w:fldChar w:fldCharType="end"/>
      </w:r>
      <w:r w:rsidR="00760E26" w:rsidRPr="00CE357F">
        <w:rPr>
          <w:rFonts w:ascii="Arial Narrow" w:hAnsi="Arial Narrow"/>
          <w:b/>
          <w:sz w:val="20"/>
          <w:szCs w:val="20"/>
        </w:rPr>
        <w:t>:</w:t>
      </w:r>
      <w:r w:rsidR="00760E26" w:rsidRPr="00CE357F">
        <w:rPr>
          <w:rFonts w:ascii="Arial Narrow" w:eastAsiaTheme="minorEastAsia" w:hAnsi="Arial Narrow" w:cstheme="minorBidi"/>
          <w:b/>
          <w:bCs/>
          <w:color w:val="000000" w:themeColor="text1"/>
          <w:kern w:val="24"/>
          <w:sz w:val="20"/>
          <w:szCs w:val="20"/>
          <w:lang w:eastAsia="cs-CZ"/>
        </w:rPr>
        <w:t xml:space="preserve"> </w:t>
      </w:r>
      <w:r w:rsidR="00760E26" w:rsidRPr="00CE357F">
        <w:rPr>
          <w:rFonts w:ascii="Arial Narrow" w:hAnsi="Arial Narrow"/>
          <w:b/>
          <w:bCs/>
          <w:sz w:val="20"/>
          <w:szCs w:val="20"/>
        </w:rPr>
        <w:t xml:space="preserve">Vývoj podílu osob s jinou než českou státní příslušností na celkovém počtu obyvatel obce </w:t>
      </w:r>
      <w:r>
        <w:rPr>
          <w:rFonts w:ascii="Arial Narrow" w:hAnsi="Arial Narrow"/>
          <w:b/>
          <w:bCs/>
          <w:sz w:val="20"/>
          <w:szCs w:val="20"/>
        </w:rPr>
        <w:t>Lednice</w:t>
      </w:r>
      <w:r w:rsidR="00760E26" w:rsidRPr="00CE357F">
        <w:rPr>
          <w:rFonts w:ascii="Arial Narrow" w:hAnsi="Arial Narrow"/>
          <w:b/>
          <w:bCs/>
          <w:sz w:val="20"/>
          <w:szCs w:val="20"/>
        </w:rPr>
        <w:t xml:space="preserve"> v letech 2006-202</w:t>
      </w:r>
      <w:bookmarkEnd w:id="703"/>
      <w:r>
        <w:rPr>
          <w:rFonts w:ascii="Arial Narrow" w:hAnsi="Arial Narrow"/>
          <w:b/>
          <w:bCs/>
          <w:sz w:val="20"/>
          <w:szCs w:val="20"/>
        </w:rPr>
        <w:t>3</w:t>
      </w:r>
      <w:bookmarkEnd w:id="704"/>
    </w:p>
    <w:p w14:paraId="49C1CC11" w14:textId="0E757827" w:rsidR="00760E26" w:rsidRPr="00CE357F" w:rsidRDefault="006355B6" w:rsidP="00760E26">
      <w:pPr>
        <w:rPr>
          <w:rFonts w:ascii="Arial Narrow" w:hAnsi="Arial Narrow"/>
          <w:b/>
          <w:bCs/>
          <w:color w:val="C00000"/>
          <w:highlight w:val="yellow"/>
        </w:rPr>
      </w:pPr>
      <w:r w:rsidRPr="00CE357F">
        <w:rPr>
          <w:rFonts w:ascii="Arial Narrow" w:hAnsi="Arial Narrow"/>
          <w:b/>
          <w:noProof/>
          <w:color w:val="2F5496" w:themeColor="accent1" w:themeShade="BF"/>
          <w:lang w:eastAsia="cs-CZ"/>
        </w:rPr>
        <w:drawing>
          <wp:inline distT="0" distB="0" distL="0" distR="0" wp14:anchorId="4B8F1781" wp14:editId="5CB75CB9">
            <wp:extent cx="5760720" cy="1589274"/>
            <wp:effectExtent l="0" t="0" r="11430" b="11430"/>
            <wp:docPr id="2053" name="Graf 2053">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2ABE7833" w14:textId="77777777" w:rsidR="00760E26" w:rsidRPr="00CE357F" w:rsidRDefault="00760E26" w:rsidP="00760E26">
      <w:pPr>
        <w:spacing w:after="240" w:line="276" w:lineRule="auto"/>
        <w:rPr>
          <w:rFonts w:ascii="Arial Narrow" w:hAnsi="Arial Narrow"/>
        </w:rPr>
      </w:pPr>
      <w:r w:rsidRPr="00CE357F">
        <w:rPr>
          <w:rFonts w:ascii="Arial Narrow" w:hAnsi="Arial Narrow"/>
          <w:color w:val="000000"/>
          <w:lang w:eastAsia="cs-CZ"/>
        </w:rPr>
        <w:t>Zdroj: Ministerstvo Vnitra České republiky</w:t>
      </w:r>
      <w:r w:rsidRPr="00CE357F">
        <w:rPr>
          <w:rFonts w:ascii="Arial Narrow" w:hAnsi="Arial Narrow"/>
        </w:rPr>
        <w:tab/>
      </w:r>
      <w:r w:rsidRPr="00CE357F">
        <w:rPr>
          <w:rFonts w:ascii="Arial Narrow" w:hAnsi="Arial Narrow"/>
        </w:rPr>
        <w:tab/>
      </w:r>
      <w:r w:rsidRPr="00CE357F">
        <w:rPr>
          <w:rFonts w:ascii="Arial Narrow" w:hAnsi="Arial Narrow"/>
        </w:rPr>
        <w:tab/>
      </w:r>
      <w:r w:rsidRPr="00CE357F">
        <w:rPr>
          <w:rFonts w:ascii="Arial Narrow" w:hAnsi="Arial Narrow"/>
        </w:rPr>
        <w:tab/>
        <w:t xml:space="preserve">                 Graf: AUGUR </w:t>
      </w:r>
      <w:proofErr w:type="spellStart"/>
      <w:r w:rsidRPr="00CE357F">
        <w:rPr>
          <w:rFonts w:ascii="Arial Narrow" w:hAnsi="Arial Narrow"/>
        </w:rPr>
        <w:t>Consulting</w:t>
      </w:r>
      <w:proofErr w:type="spellEnd"/>
      <w:r w:rsidRPr="00CE357F">
        <w:rPr>
          <w:rFonts w:ascii="Arial Narrow" w:hAnsi="Arial Narrow"/>
        </w:rPr>
        <w:t>, s.r.o.</w:t>
      </w:r>
    </w:p>
    <w:p w14:paraId="37469043" w14:textId="77777777" w:rsidR="006355B6" w:rsidRDefault="006355B6" w:rsidP="00760E26">
      <w:pPr>
        <w:spacing w:line="276" w:lineRule="auto"/>
        <w:jc w:val="both"/>
        <w:rPr>
          <w:rFonts w:ascii="Arial Narrow" w:hAnsi="Arial Narrow"/>
          <w:b/>
          <w:sz w:val="20"/>
          <w:szCs w:val="20"/>
        </w:rPr>
      </w:pPr>
      <w:bookmarkStart w:id="705" w:name="_Toc94443809"/>
    </w:p>
    <w:p w14:paraId="3F04724D" w14:textId="615F7D7C" w:rsidR="006355B6" w:rsidRPr="006355B6" w:rsidRDefault="006355B6" w:rsidP="006355B6">
      <w:pPr>
        <w:spacing w:line="276" w:lineRule="auto"/>
        <w:jc w:val="both"/>
        <w:rPr>
          <w:rFonts w:ascii="Arial Narrow" w:hAnsi="Arial Narrow"/>
          <w:b/>
          <w:bCs/>
          <w:sz w:val="20"/>
          <w:szCs w:val="20"/>
        </w:rPr>
      </w:pPr>
      <w:bookmarkStart w:id="706" w:name="_Toc136428960"/>
      <w:bookmarkEnd w:id="705"/>
      <w:r w:rsidRPr="006355B6">
        <w:rPr>
          <w:rFonts w:ascii="Arial Narrow" w:hAnsi="Arial Narrow"/>
          <w:b/>
          <w:sz w:val="20"/>
          <w:szCs w:val="20"/>
        </w:rPr>
        <w:lastRenderedPageBreak/>
        <w:t xml:space="preserve">Graf </w:t>
      </w:r>
      <w:r w:rsidRPr="006355B6">
        <w:rPr>
          <w:rFonts w:ascii="Arial Narrow" w:hAnsi="Arial Narrow"/>
          <w:b/>
          <w:sz w:val="20"/>
          <w:szCs w:val="20"/>
        </w:rPr>
        <w:fldChar w:fldCharType="begin"/>
      </w:r>
      <w:r w:rsidRPr="006355B6">
        <w:rPr>
          <w:rFonts w:ascii="Arial Narrow" w:hAnsi="Arial Narrow"/>
          <w:b/>
          <w:sz w:val="20"/>
          <w:szCs w:val="20"/>
        </w:rPr>
        <w:instrText xml:space="preserve"> SEQ Graf \* ARABIC </w:instrText>
      </w:r>
      <w:r w:rsidRPr="006355B6">
        <w:rPr>
          <w:rFonts w:ascii="Arial Narrow" w:hAnsi="Arial Narrow"/>
          <w:b/>
          <w:sz w:val="20"/>
          <w:szCs w:val="20"/>
        </w:rPr>
        <w:fldChar w:fldCharType="separate"/>
      </w:r>
      <w:r w:rsidR="009F49C8">
        <w:rPr>
          <w:rFonts w:ascii="Arial Narrow" w:hAnsi="Arial Narrow"/>
          <w:b/>
          <w:noProof/>
          <w:sz w:val="20"/>
          <w:szCs w:val="20"/>
        </w:rPr>
        <w:t>116</w:t>
      </w:r>
      <w:r w:rsidRPr="006355B6">
        <w:rPr>
          <w:rFonts w:ascii="Arial Narrow" w:hAnsi="Arial Narrow"/>
          <w:b/>
          <w:sz w:val="20"/>
          <w:szCs w:val="20"/>
        </w:rPr>
        <w:fldChar w:fldCharType="end"/>
      </w:r>
      <w:r w:rsidRPr="006355B6">
        <w:rPr>
          <w:rFonts w:ascii="Arial Narrow" w:hAnsi="Arial Narrow"/>
          <w:b/>
          <w:sz w:val="20"/>
          <w:szCs w:val="20"/>
        </w:rPr>
        <w:t>:</w:t>
      </w:r>
      <w:r w:rsidRPr="006355B6">
        <w:rPr>
          <w:rFonts w:ascii="Arial Narrow" w:eastAsiaTheme="minorEastAsia" w:hAnsi="Arial Narrow" w:cstheme="minorBidi"/>
          <w:b/>
          <w:bCs/>
          <w:color w:val="000000" w:themeColor="text1"/>
          <w:kern w:val="24"/>
          <w:sz w:val="20"/>
          <w:szCs w:val="20"/>
          <w:lang w:eastAsia="cs-CZ"/>
        </w:rPr>
        <w:t xml:space="preserve"> </w:t>
      </w:r>
      <w:r w:rsidRPr="006355B6">
        <w:rPr>
          <w:rFonts w:ascii="Arial Narrow" w:hAnsi="Arial Narrow"/>
          <w:b/>
          <w:bCs/>
          <w:sz w:val="20"/>
          <w:szCs w:val="20"/>
        </w:rPr>
        <w:t>Vývoj podílu osob s jinou než českou státní příslušností na celkovém počtu obyvatel obce Rakvice v letech 2006-2023</w:t>
      </w:r>
      <w:bookmarkEnd w:id="706"/>
    </w:p>
    <w:p w14:paraId="28A1D3E2" w14:textId="77777777" w:rsidR="006355B6" w:rsidRPr="006355B6" w:rsidRDefault="006355B6" w:rsidP="006355B6">
      <w:pPr>
        <w:rPr>
          <w:rFonts w:ascii="Arial Narrow" w:hAnsi="Arial Narrow"/>
          <w:b/>
          <w:bCs/>
          <w:color w:val="C00000"/>
        </w:rPr>
      </w:pPr>
      <w:r w:rsidRPr="006355B6">
        <w:rPr>
          <w:rFonts w:ascii="Arial Narrow" w:hAnsi="Arial Narrow"/>
          <w:b/>
          <w:noProof/>
          <w:color w:val="2F5496" w:themeColor="accent1" w:themeShade="BF"/>
          <w:lang w:eastAsia="cs-CZ"/>
        </w:rPr>
        <w:drawing>
          <wp:inline distT="0" distB="0" distL="0" distR="0" wp14:anchorId="6A0769FD" wp14:editId="3979EE12">
            <wp:extent cx="5765800" cy="1609725"/>
            <wp:effectExtent l="0" t="0" r="6350" b="9525"/>
            <wp:docPr id="2059" name="Graf 2059">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634A4BC2" w14:textId="77777777" w:rsidR="006355B6" w:rsidRPr="006355B6" w:rsidRDefault="006355B6" w:rsidP="006355B6">
      <w:pPr>
        <w:spacing w:after="240" w:line="276" w:lineRule="auto"/>
        <w:rPr>
          <w:rFonts w:ascii="Arial Narrow" w:hAnsi="Arial Narrow"/>
        </w:rPr>
      </w:pPr>
      <w:r w:rsidRPr="006355B6">
        <w:rPr>
          <w:rFonts w:ascii="Arial Narrow" w:hAnsi="Arial Narrow"/>
          <w:color w:val="000000"/>
          <w:lang w:eastAsia="cs-CZ"/>
        </w:rPr>
        <w:t>Zdroj: Ministerstvo Vnitra České republiky</w:t>
      </w:r>
      <w:r w:rsidRPr="006355B6">
        <w:rPr>
          <w:rFonts w:ascii="Arial Narrow" w:hAnsi="Arial Narrow"/>
        </w:rPr>
        <w:tab/>
      </w:r>
      <w:r w:rsidRPr="006355B6">
        <w:rPr>
          <w:rFonts w:ascii="Arial Narrow" w:hAnsi="Arial Narrow"/>
        </w:rPr>
        <w:tab/>
      </w:r>
      <w:r w:rsidRPr="006355B6">
        <w:rPr>
          <w:rFonts w:ascii="Arial Narrow" w:hAnsi="Arial Narrow"/>
        </w:rPr>
        <w:tab/>
      </w:r>
      <w:r w:rsidRPr="006355B6">
        <w:rPr>
          <w:rFonts w:ascii="Arial Narrow" w:hAnsi="Arial Narrow"/>
        </w:rPr>
        <w:tab/>
        <w:t xml:space="preserve">                 Graf: AUGUR </w:t>
      </w:r>
      <w:proofErr w:type="spellStart"/>
      <w:r w:rsidRPr="006355B6">
        <w:rPr>
          <w:rFonts w:ascii="Arial Narrow" w:hAnsi="Arial Narrow"/>
        </w:rPr>
        <w:t>Consulting</w:t>
      </w:r>
      <w:proofErr w:type="spellEnd"/>
      <w:r w:rsidRPr="006355B6">
        <w:rPr>
          <w:rFonts w:ascii="Arial Narrow" w:hAnsi="Arial Narrow"/>
        </w:rPr>
        <w:t>, s.r.o.</w:t>
      </w:r>
    </w:p>
    <w:p w14:paraId="34493655" w14:textId="699A0987" w:rsidR="006355B6" w:rsidRPr="006355B6" w:rsidRDefault="006355B6" w:rsidP="006355B6">
      <w:pPr>
        <w:spacing w:line="276" w:lineRule="auto"/>
        <w:jc w:val="both"/>
        <w:rPr>
          <w:rFonts w:ascii="Arial Narrow" w:hAnsi="Arial Narrow"/>
          <w:b/>
          <w:bCs/>
          <w:sz w:val="20"/>
          <w:szCs w:val="20"/>
        </w:rPr>
      </w:pPr>
      <w:bookmarkStart w:id="707" w:name="_Toc136428961"/>
      <w:r w:rsidRPr="006355B6">
        <w:rPr>
          <w:rFonts w:ascii="Arial Narrow" w:hAnsi="Arial Narrow"/>
          <w:b/>
          <w:sz w:val="20"/>
          <w:szCs w:val="20"/>
        </w:rPr>
        <w:t xml:space="preserve">Graf </w:t>
      </w:r>
      <w:r w:rsidRPr="006355B6">
        <w:rPr>
          <w:rFonts w:ascii="Arial Narrow" w:hAnsi="Arial Narrow"/>
          <w:b/>
          <w:sz w:val="20"/>
          <w:szCs w:val="20"/>
        </w:rPr>
        <w:fldChar w:fldCharType="begin"/>
      </w:r>
      <w:r w:rsidRPr="006355B6">
        <w:rPr>
          <w:rFonts w:ascii="Arial Narrow" w:hAnsi="Arial Narrow"/>
          <w:b/>
          <w:sz w:val="20"/>
          <w:szCs w:val="20"/>
        </w:rPr>
        <w:instrText xml:space="preserve"> SEQ Graf \* ARABIC </w:instrText>
      </w:r>
      <w:r w:rsidRPr="006355B6">
        <w:rPr>
          <w:rFonts w:ascii="Arial Narrow" w:hAnsi="Arial Narrow"/>
          <w:b/>
          <w:sz w:val="20"/>
          <w:szCs w:val="20"/>
        </w:rPr>
        <w:fldChar w:fldCharType="separate"/>
      </w:r>
      <w:r w:rsidR="009F49C8">
        <w:rPr>
          <w:rFonts w:ascii="Arial Narrow" w:hAnsi="Arial Narrow"/>
          <w:b/>
          <w:noProof/>
          <w:sz w:val="20"/>
          <w:szCs w:val="20"/>
        </w:rPr>
        <w:t>117</w:t>
      </w:r>
      <w:r w:rsidRPr="006355B6">
        <w:rPr>
          <w:rFonts w:ascii="Arial Narrow" w:hAnsi="Arial Narrow"/>
          <w:b/>
          <w:sz w:val="20"/>
          <w:szCs w:val="20"/>
        </w:rPr>
        <w:fldChar w:fldCharType="end"/>
      </w:r>
      <w:r w:rsidRPr="006355B6">
        <w:rPr>
          <w:rFonts w:ascii="Arial Narrow" w:hAnsi="Arial Narrow"/>
          <w:b/>
          <w:sz w:val="20"/>
          <w:szCs w:val="20"/>
        </w:rPr>
        <w:t>:</w:t>
      </w:r>
      <w:r w:rsidRPr="006355B6">
        <w:rPr>
          <w:rFonts w:ascii="Arial Narrow" w:eastAsiaTheme="minorEastAsia" w:hAnsi="Arial Narrow" w:cstheme="minorBidi"/>
          <w:b/>
          <w:bCs/>
          <w:color w:val="000000" w:themeColor="text1"/>
          <w:kern w:val="24"/>
          <w:sz w:val="20"/>
          <w:szCs w:val="20"/>
          <w:lang w:eastAsia="cs-CZ"/>
        </w:rPr>
        <w:t xml:space="preserve"> </w:t>
      </w:r>
      <w:r w:rsidRPr="006355B6">
        <w:rPr>
          <w:rFonts w:ascii="Arial Narrow" w:hAnsi="Arial Narrow"/>
          <w:b/>
          <w:bCs/>
          <w:sz w:val="20"/>
          <w:szCs w:val="20"/>
        </w:rPr>
        <w:t xml:space="preserve">Vývoj podílu osob s jinou než českou státní příslušností na celkovém počtu obyvatel obce </w:t>
      </w:r>
      <w:r w:rsidR="008D58E0">
        <w:rPr>
          <w:rFonts w:ascii="Arial Narrow" w:hAnsi="Arial Narrow"/>
          <w:b/>
          <w:bCs/>
          <w:sz w:val="20"/>
          <w:szCs w:val="20"/>
        </w:rPr>
        <w:t>Ladná</w:t>
      </w:r>
      <w:r w:rsidRPr="006355B6">
        <w:rPr>
          <w:rFonts w:ascii="Arial Narrow" w:hAnsi="Arial Narrow"/>
          <w:b/>
          <w:bCs/>
          <w:sz w:val="20"/>
          <w:szCs w:val="20"/>
        </w:rPr>
        <w:t xml:space="preserve"> v letech 2006-2023</w:t>
      </w:r>
      <w:bookmarkEnd w:id="707"/>
    </w:p>
    <w:p w14:paraId="77B62115" w14:textId="77777777" w:rsidR="006355B6" w:rsidRPr="006355B6" w:rsidRDefault="006355B6" w:rsidP="006355B6">
      <w:pPr>
        <w:rPr>
          <w:rFonts w:ascii="Arial Narrow" w:hAnsi="Arial Narrow"/>
          <w:b/>
          <w:bCs/>
          <w:color w:val="C00000"/>
        </w:rPr>
      </w:pPr>
      <w:r w:rsidRPr="006355B6">
        <w:rPr>
          <w:rFonts w:ascii="Arial Narrow" w:hAnsi="Arial Narrow"/>
          <w:b/>
          <w:noProof/>
          <w:color w:val="2F5496" w:themeColor="accent1" w:themeShade="BF"/>
          <w:lang w:eastAsia="cs-CZ"/>
        </w:rPr>
        <w:drawing>
          <wp:inline distT="0" distB="0" distL="0" distR="0" wp14:anchorId="15AEF63E" wp14:editId="742969DC">
            <wp:extent cx="5765800" cy="1562100"/>
            <wp:effectExtent l="0" t="0" r="6350" b="0"/>
            <wp:docPr id="2076" name="Graf 2076">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21202A67" w14:textId="77777777" w:rsidR="006355B6" w:rsidRPr="00CE357F" w:rsidRDefault="006355B6" w:rsidP="006355B6">
      <w:pPr>
        <w:spacing w:after="240" w:line="276" w:lineRule="auto"/>
        <w:rPr>
          <w:rFonts w:ascii="Arial Narrow" w:hAnsi="Arial Narrow"/>
        </w:rPr>
      </w:pPr>
      <w:r w:rsidRPr="006355B6">
        <w:rPr>
          <w:rFonts w:ascii="Arial Narrow" w:hAnsi="Arial Narrow"/>
          <w:color w:val="000000"/>
          <w:lang w:eastAsia="cs-CZ"/>
        </w:rPr>
        <w:t>Zdroj: Ministerstvo Vnitra České republiky</w:t>
      </w:r>
      <w:r w:rsidRPr="006355B6">
        <w:rPr>
          <w:rFonts w:ascii="Arial Narrow" w:hAnsi="Arial Narrow"/>
        </w:rPr>
        <w:tab/>
      </w:r>
      <w:r w:rsidRPr="006355B6">
        <w:rPr>
          <w:rFonts w:ascii="Arial Narrow" w:hAnsi="Arial Narrow"/>
        </w:rPr>
        <w:tab/>
      </w:r>
      <w:r w:rsidRPr="006355B6">
        <w:rPr>
          <w:rFonts w:ascii="Arial Narrow" w:hAnsi="Arial Narrow"/>
        </w:rPr>
        <w:tab/>
      </w:r>
      <w:r w:rsidRPr="006355B6">
        <w:rPr>
          <w:rFonts w:ascii="Arial Narrow" w:hAnsi="Arial Narrow"/>
        </w:rPr>
        <w:tab/>
        <w:t xml:space="preserve">                 Graf: AUGUR </w:t>
      </w:r>
      <w:proofErr w:type="spellStart"/>
      <w:r w:rsidRPr="006355B6">
        <w:rPr>
          <w:rFonts w:ascii="Arial Narrow" w:hAnsi="Arial Narrow"/>
        </w:rPr>
        <w:t>Consulting</w:t>
      </w:r>
      <w:proofErr w:type="spellEnd"/>
      <w:r w:rsidRPr="006355B6">
        <w:rPr>
          <w:rFonts w:ascii="Arial Narrow" w:hAnsi="Arial Narrow"/>
        </w:rPr>
        <w:t>, s.r.o.</w:t>
      </w:r>
    </w:p>
    <w:p w14:paraId="4522253C" w14:textId="77777777" w:rsidR="008F4C72" w:rsidRPr="00CE357F" w:rsidRDefault="008F4C72" w:rsidP="008F4C72">
      <w:pPr>
        <w:spacing w:after="240" w:line="276" w:lineRule="auto"/>
        <w:rPr>
          <w:rFonts w:ascii="Arial Narrow" w:hAnsi="Arial Narrow"/>
        </w:rPr>
      </w:pPr>
    </w:p>
    <w:p w14:paraId="34B1640A" w14:textId="77777777" w:rsidR="00B835F6" w:rsidRPr="00CE357F" w:rsidRDefault="00B835F6" w:rsidP="00B835F6">
      <w:pPr>
        <w:pStyle w:val="Nadpis3"/>
      </w:pPr>
      <w:bookmarkStart w:id="708" w:name="_Toc94215418"/>
      <w:bookmarkStart w:id="709" w:name="_Toc136876125"/>
      <w:r w:rsidRPr="00CE357F">
        <w:t>Zaměstnanost v ORP Břeclav</w:t>
      </w:r>
      <w:bookmarkEnd w:id="708"/>
      <w:bookmarkEnd w:id="709"/>
    </w:p>
    <w:p w14:paraId="1457A8AE" w14:textId="77777777" w:rsidR="00B835F6" w:rsidRPr="00CE357F" w:rsidRDefault="00B835F6" w:rsidP="00B835F6">
      <w:pPr>
        <w:rPr>
          <w:rFonts w:ascii="Arial Narrow" w:hAnsi="Arial Narrow"/>
        </w:rPr>
      </w:pPr>
    </w:p>
    <w:p w14:paraId="7B9F0D7A" w14:textId="77777777" w:rsidR="0017624B" w:rsidRPr="0017624B" w:rsidRDefault="0017624B" w:rsidP="0017624B">
      <w:pPr>
        <w:spacing w:after="120" w:line="276" w:lineRule="auto"/>
        <w:jc w:val="both"/>
        <w:rPr>
          <w:rFonts w:ascii="Arial Narrow" w:hAnsi="Arial Narrow"/>
        </w:rPr>
      </w:pPr>
      <w:r w:rsidRPr="0017624B">
        <w:rPr>
          <w:rFonts w:ascii="Arial Narrow" w:hAnsi="Arial Narrow"/>
        </w:rPr>
        <w:t xml:space="preserve">Za měsíc prosinec roku 2022 bylo v ORP Břeclav evidováno celkem 1 588 uchazečů o zaměstnání. Podíl nezaměstnanosti v ORP Břeclav od roku 2014 klesal, mírný nárůst lze zaznamenat v letech 2020. 2021 a 2022, což může souviset s dopady celosvětové pandemie viru SARS-CoV-2 a současným post-konjukturním obdobím. </w:t>
      </w:r>
    </w:p>
    <w:p w14:paraId="1FD5099E" w14:textId="77777777" w:rsidR="0017624B" w:rsidRPr="00CE357F" w:rsidRDefault="0017624B" w:rsidP="0017624B">
      <w:pPr>
        <w:spacing w:after="120" w:line="276" w:lineRule="auto"/>
        <w:jc w:val="both"/>
        <w:rPr>
          <w:rFonts w:ascii="Arial Narrow" w:hAnsi="Arial Narrow"/>
        </w:rPr>
      </w:pPr>
      <w:r w:rsidRPr="0017624B">
        <w:rPr>
          <w:rFonts w:ascii="Arial Narrow" w:hAnsi="Arial Narrow"/>
        </w:rPr>
        <w:t>Podíváme-li se na vývoj počtu uchazečů o zaměstnání v ORP Břeclav v letech 2005–2021, mezi lety 2009–2011 je patrný výrazný nárůst počtu uchazečů o zaměstnání, který může v tomto období souviset s dopady celosvětové ekonomické krize. Nejnižší počet uchazečů o zaměstnání v ORP Břeclav byl zaznamenán v roce 2013 (750 uchazečů), následoval jejich prudký nárůst, a to na 3 098 uchazečů v prosinci roku 2014. Do roku 2019 počet uchazečů o zaměstnání v ORP mírně klesal a nárůst počtu uchazečů je patrný opět až v roce 2020, což může souviset s dopady celosvětové pandemie viru SARS-CoV-2 a současným post-konjunkturním obdobím.</w:t>
      </w:r>
      <w:r w:rsidRPr="00CE357F">
        <w:rPr>
          <w:rFonts w:ascii="Arial Narrow" w:hAnsi="Arial Narrow"/>
        </w:rPr>
        <w:t xml:space="preserve"> </w:t>
      </w:r>
    </w:p>
    <w:p w14:paraId="1E1EDCDF" w14:textId="4FEE5A97" w:rsidR="00B835F6" w:rsidRPr="00CE357F" w:rsidRDefault="00B835F6" w:rsidP="00B835F6">
      <w:pPr>
        <w:spacing w:after="120" w:line="276" w:lineRule="auto"/>
        <w:jc w:val="both"/>
        <w:rPr>
          <w:rFonts w:ascii="Arial Narrow" w:hAnsi="Arial Narrow"/>
        </w:rPr>
      </w:pPr>
      <w:r w:rsidRPr="00CE357F">
        <w:rPr>
          <w:rFonts w:ascii="Arial Narrow" w:hAnsi="Arial Narrow"/>
        </w:rPr>
        <w:t xml:space="preserve">Nejvyšší počet evidovaných uchazečů o zaměstnání připadajících na 1 volné pracovní místo v ORP Břeclav byl zaznamenán v roce 2010 (60,1 uchazečů na 1 volné místo). Vysoký počet uchazečů o zaměstnání připadajících na 1 volné pracovní místo byl zaznamenán také v roce 2009 a 2011 (32,4 v roce 2009 a 35,6 v roce 2011). Od roku 2017 do roku 2021 je pak počet uchazečů o zaměstnání připadajících na 1 volné pracovní místo v ORP Břeclav velmi nízký, jedná se v průměru o 2 uchazeče o zaměstnání připadajících na 1 pracovní místo. Jedná se o nejnižší počty uchazečů o zaměstnání za sledované </w:t>
      </w:r>
      <w:r w:rsidRPr="0017624B">
        <w:rPr>
          <w:rFonts w:ascii="Arial Narrow" w:hAnsi="Arial Narrow"/>
        </w:rPr>
        <w:t xml:space="preserve">období. </w:t>
      </w:r>
      <w:r w:rsidR="0017624B" w:rsidRPr="0017624B">
        <w:rPr>
          <w:rFonts w:ascii="Arial Narrow" w:hAnsi="Arial Narrow"/>
        </w:rPr>
        <w:t xml:space="preserve">Za rok 2022 zmíněný počet uchazečů mírně vzrostl. </w:t>
      </w:r>
      <w:r w:rsidR="0017624B" w:rsidRPr="0017624B">
        <w:rPr>
          <w:rFonts w:ascii="Arial Narrow" w:hAnsi="Arial Narrow"/>
        </w:rPr>
        <w:lastRenderedPageBreak/>
        <w:t>Stále je ovšem nejnižší od roku 2015.</w:t>
      </w:r>
      <w:r w:rsidR="00572269">
        <w:rPr>
          <w:rFonts w:ascii="Arial Narrow" w:hAnsi="Arial Narrow"/>
        </w:rPr>
        <w:t xml:space="preserve"> </w:t>
      </w:r>
      <w:r w:rsidRPr="00CE357F">
        <w:rPr>
          <w:rFonts w:ascii="Arial Narrow" w:hAnsi="Arial Narrow"/>
        </w:rPr>
        <w:t>Vývoj počtu uchazečů o zaměstnání a volných pracovních míst v ORP Břeclav v letech 2005</w:t>
      </w:r>
      <w:r w:rsidR="00DE56F4" w:rsidRPr="00CE357F">
        <w:rPr>
          <w:rFonts w:ascii="Arial Narrow" w:hAnsi="Arial Narrow"/>
        </w:rPr>
        <w:t>–</w:t>
      </w:r>
      <w:r w:rsidRPr="00CE357F">
        <w:rPr>
          <w:rFonts w:ascii="Arial Narrow" w:hAnsi="Arial Narrow"/>
        </w:rPr>
        <w:t>202</w:t>
      </w:r>
      <w:r w:rsidR="0017624B">
        <w:rPr>
          <w:rFonts w:ascii="Arial Narrow" w:hAnsi="Arial Narrow"/>
        </w:rPr>
        <w:t>2</w:t>
      </w:r>
      <w:r w:rsidRPr="00CE357F">
        <w:rPr>
          <w:rFonts w:ascii="Arial Narrow" w:hAnsi="Arial Narrow"/>
        </w:rPr>
        <w:t xml:space="preserve"> podrobně dokumentuje následující tabulka</w:t>
      </w:r>
      <w:r w:rsidR="00572269">
        <w:rPr>
          <w:rFonts w:ascii="Arial Narrow" w:hAnsi="Arial Narrow"/>
        </w:rPr>
        <w:t xml:space="preserve"> č. 45</w:t>
      </w:r>
      <w:r w:rsidRPr="00CE357F">
        <w:rPr>
          <w:rFonts w:ascii="Arial Narrow" w:hAnsi="Arial Narrow"/>
        </w:rPr>
        <w:t xml:space="preserve">. </w:t>
      </w:r>
    </w:p>
    <w:p w14:paraId="210C2850" w14:textId="62C538DB" w:rsidR="00B835F6" w:rsidRPr="00CE357F" w:rsidRDefault="00B835F6" w:rsidP="00B835F6">
      <w:pPr>
        <w:spacing w:line="276" w:lineRule="auto"/>
        <w:jc w:val="both"/>
        <w:rPr>
          <w:rFonts w:ascii="Arial Narrow" w:hAnsi="Arial Narrow"/>
          <w:b/>
          <w:bCs/>
          <w:sz w:val="24"/>
          <w:szCs w:val="24"/>
        </w:rPr>
      </w:pPr>
      <w:bookmarkStart w:id="710" w:name="_Toc136429256"/>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45</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Vývoj počtu uchazečů o zaměstnání a volných pracovních míst v ORP Břeclav v letech 2014-202</w:t>
      </w:r>
      <w:r w:rsidR="0017624B">
        <w:rPr>
          <w:rFonts w:ascii="Arial Narrow" w:eastAsia="Times New Roman" w:hAnsi="Arial Narrow" w:cs="Arial"/>
          <w:b/>
          <w:bCs/>
          <w:sz w:val="20"/>
          <w:szCs w:val="20"/>
          <w:lang w:eastAsia="cs-CZ"/>
        </w:rPr>
        <w:t>2</w:t>
      </w:r>
      <w:bookmarkEnd w:id="710"/>
    </w:p>
    <w:tbl>
      <w:tblPr>
        <w:tblW w:w="4884"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30"/>
        <w:gridCol w:w="1048"/>
        <w:gridCol w:w="1201"/>
        <w:gridCol w:w="1277"/>
        <w:gridCol w:w="1419"/>
        <w:gridCol w:w="1282"/>
        <w:gridCol w:w="1695"/>
      </w:tblGrid>
      <w:tr w:rsidR="00B835F6" w:rsidRPr="00CE357F" w14:paraId="5F949F8D" w14:textId="77777777" w:rsidTr="0017624B">
        <w:trPr>
          <w:trHeight w:val="673"/>
        </w:trPr>
        <w:tc>
          <w:tcPr>
            <w:tcW w:w="930" w:type="dxa"/>
            <w:shd w:val="clear" w:color="auto" w:fill="D9E2F3" w:themeFill="accent1" w:themeFillTint="33"/>
            <w:vAlign w:val="center"/>
          </w:tcPr>
          <w:p w14:paraId="6A733B9C" w14:textId="77777777" w:rsidR="00B835F6" w:rsidRPr="00CE357F" w:rsidRDefault="00B835F6" w:rsidP="00B835F6">
            <w:pPr>
              <w:jc w:val="center"/>
              <w:rPr>
                <w:rFonts w:ascii="Arial Narrow" w:hAnsi="Arial Narrow"/>
                <w:sz w:val="18"/>
                <w:szCs w:val="18"/>
              </w:rPr>
            </w:pPr>
            <w:r w:rsidRPr="00CE357F">
              <w:rPr>
                <w:rFonts w:ascii="Arial Narrow" w:hAnsi="Arial Narrow"/>
                <w:sz w:val="18"/>
                <w:szCs w:val="18"/>
              </w:rPr>
              <w:t>ORP BŘECLAV</w:t>
            </w:r>
          </w:p>
        </w:tc>
        <w:tc>
          <w:tcPr>
            <w:tcW w:w="1048" w:type="dxa"/>
            <w:shd w:val="clear" w:color="auto" w:fill="D9E2F3" w:themeFill="accent1" w:themeFillTint="33"/>
            <w:vAlign w:val="center"/>
          </w:tcPr>
          <w:p w14:paraId="61C2B280" w14:textId="77777777" w:rsidR="00B835F6" w:rsidRPr="00CE357F" w:rsidRDefault="00B835F6" w:rsidP="00B835F6">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Uchazeči o zaměstnání</w:t>
            </w:r>
          </w:p>
        </w:tc>
        <w:tc>
          <w:tcPr>
            <w:tcW w:w="1201" w:type="dxa"/>
            <w:shd w:val="clear" w:color="auto" w:fill="D9E2F3" w:themeFill="accent1" w:themeFillTint="33"/>
            <w:vAlign w:val="center"/>
          </w:tcPr>
          <w:p w14:paraId="0546C8BF" w14:textId="77777777" w:rsidR="00B835F6" w:rsidRPr="00CE357F" w:rsidRDefault="00B835F6" w:rsidP="00B835F6">
            <w:pPr>
              <w:jc w:val="center"/>
              <w:rPr>
                <w:rFonts w:ascii="Arial Narrow" w:hAnsi="Arial Narrow"/>
                <w:sz w:val="18"/>
                <w:szCs w:val="18"/>
              </w:rPr>
            </w:pPr>
            <w:r w:rsidRPr="00CE357F">
              <w:rPr>
                <w:rFonts w:ascii="Arial Narrow" w:hAnsi="Arial Narrow"/>
                <w:sz w:val="18"/>
                <w:szCs w:val="18"/>
              </w:rPr>
              <w:t>Dosažitelní uchazeči</w:t>
            </w:r>
          </w:p>
          <w:p w14:paraId="078FFE9D" w14:textId="77777777" w:rsidR="00B835F6" w:rsidRPr="00CE357F" w:rsidRDefault="00B835F6" w:rsidP="00B835F6">
            <w:pPr>
              <w:jc w:val="center"/>
              <w:rPr>
                <w:rFonts w:ascii="Arial Narrow" w:hAnsi="Arial Narrow"/>
                <w:sz w:val="18"/>
                <w:szCs w:val="18"/>
              </w:rPr>
            </w:pPr>
            <w:r w:rsidRPr="00CE357F">
              <w:rPr>
                <w:rFonts w:ascii="Arial Narrow" w:hAnsi="Arial Narrow"/>
                <w:sz w:val="18"/>
                <w:szCs w:val="18"/>
              </w:rPr>
              <w:t>15–64 let</w:t>
            </w:r>
          </w:p>
        </w:tc>
        <w:tc>
          <w:tcPr>
            <w:tcW w:w="1277" w:type="dxa"/>
            <w:shd w:val="clear" w:color="auto" w:fill="D9E2F3" w:themeFill="accent1" w:themeFillTint="33"/>
            <w:vAlign w:val="center"/>
          </w:tcPr>
          <w:p w14:paraId="3A277B7E" w14:textId="77777777" w:rsidR="00B835F6" w:rsidRPr="00CE357F" w:rsidRDefault="00B835F6" w:rsidP="00B835F6">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 xml:space="preserve">Obyvatelstvo </w:t>
            </w:r>
          </w:p>
          <w:p w14:paraId="17B95BEE" w14:textId="77777777" w:rsidR="00B835F6" w:rsidRPr="00CE357F" w:rsidRDefault="00B835F6" w:rsidP="00B835F6">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15–64 let</w:t>
            </w:r>
          </w:p>
        </w:tc>
        <w:tc>
          <w:tcPr>
            <w:tcW w:w="1419" w:type="dxa"/>
            <w:shd w:val="clear" w:color="auto" w:fill="D9E2F3" w:themeFill="accent1" w:themeFillTint="33"/>
            <w:vAlign w:val="center"/>
          </w:tcPr>
          <w:p w14:paraId="3D08740E" w14:textId="77777777" w:rsidR="00B835F6" w:rsidRPr="00CE357F" w:rsidRDefault="00B835F6" w:rsidP="00B835F6">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Podíl nezaměstnanosti osob (v %)</w:t>
            </w:r>
          </w:p>
        </w:tc>
        <w:tc>
          <w:tcPr>
            <w:tcW w:w="1282" w:type="dxa"/>
            <w:shd w:val="clear" w:color="auto" w:fill="D9E2F3" w:themeFill="accent1" w:themeFillTint="33"/>
            <w:vAlign w:val="center"/>
          </w:tcPr>
          <w:p w14:paraId="08591894" w14:textId="77777777" w:rsidR="00B835F6" w:rsidRPr="00CE357F" w:rsidRDefault="00B835F6" w:rsidP="00B835F6">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Volná pracovní místa</w:t>
            </w:r>
          </w:p>
        </w:tc>
        <w:tc>
          <w:tcPr>
            <w:tcW w:w="1695" w:type="dxa"/>
            <w:shd w:val="clear" w:color="auto" w:fill="D9E2F3" w:themeFill="accent1" w:themeFillTint="33"/>
          </w:tcPr>
          <w:p w14:paraId="5D1090EC" w14:textId="77777777" w:rsidR="00B835F6" w:rsidRPr="00CE357F" w:rsidRDefault="00B835F6" w:rsidP="00B835F6">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Počet uchazečů připadajících na 1 volné pracovní místo</w:t>
            </w:r>
          </w:p>
        </w:tc>
      </w:tr>
      <w:tr w:rsidR="0017624B" w:rsidRPr="00CE357F" w14:paraId="588C582F" w14:textId="77777777" w:rsidTr="0017624B">
        <w:trPr>
          <w:trHeight w:val="203"/>
        </w:trPr>
        <w:tc>
          <w:tcPr>
            <w:tcW w:w="930" w:type="dxa"/>
            <w:shd w:val="clear" w:color="auto" w:fill="D9E2F3" w:themeFill="accent1" w:themeFillTint="33"/>
            <w:vAlign w:val="center"/>
          </w:tcPr>
          <w:p w14:paraId="71D1D651" w14:textId="3F105AA3" w:rsidR="0017624B" w:rsidRPr="00CE357F" w:rsidRDefault="0017624B" w:rsidP="0017624B">
            <w:pPr>
              <w:jc w:val="center"/>
              <w:rPr>
                <w:rFonts w:ascii="Arial Narrow" w:hAnsi="Arial Narrow" w:cs="Arial"/>
                <w:b/>
                <w:sz w:val="18"/>
                <w:szCs w:val="18"/>
              </w:rPr>
            </w:pPr>
            <w:r>
              <w:rPr>
                <w:rFonts w:ascii="Arial Narrow" w:hAnsi="Arial Narrow" w:cs="Arial"/>
                <w:b/>
                <w:sz w:val="18"/>
                <w:szCs w:val="18"/>
              </w:rPr>
              <w:t>2022</w:t>
            </w:r>
          </w:p>
        </w:tc>
        <w:tc>
          <w:tcPr>
            <w:tcW w:w="1048" w:type="dxa"/>
            <w:vAlign w:val="center"/>
          </w:tcPr>
          <w:p w14:paraId="1A17DC16" w14:textId="7171ECD6" w:rsidR="0017624B" w:rsidRPr="00CE357F" w:rsidRDefault="0017624B" w:rsidP="0017624B">
            <w:pPr>
              <w:jc w:val="center"/>
              <w:rPr>
                <w:rFonts w:ascii="Arial Narrow" w:hAnsi="Arial Narrow"/>
                <w:bCs/>
                <w:sz w:val="18"/>
                <w:szCs w:val="18"/>
              </w:rPr>
            </w:pPr>
            <w:r>
              <w:rPr>
                <w:rFonts w:ascii="Arial Narrow" w:hAnsi="Arial Narrow"/>
                <w:bCs/>
                <w:sz w:val="18"/>
                <w:szCs w:val="18"/>
              </w:rPr>
              <w:t>1 588</w:t>
            </w:r>
          </w:p>
        </w:tc>
        <w:tc>
          <w:tcPr>
            <w:tcW w:w="1201" w:type="dxa"/>
            <w:vAlign w:val="center"/>
          </w:tcPr>
          <w:p w14:paraId="2062F8CF" w14:textId="3A97D4D7" w:rsidR="0017624B" w:rsidRPr="00CE357F" w:rsidRDefault="0017624B" w:rsidP="0017624B">
            <w:pPr>
              <w:jc w:val="center"/>
              <w:rPr>
                <w:rFonts w:ascii="Arial Narrow" w:hAnsi="Arial Narrow"/>
                <w:sz w:val="18"/>
                <w:szCs w:val="18"/>
              </w:rPr>
            </w:pPr>
            <w:r>
              <w:rPr>
                <w:rFonts w:ascii="Arial Narrow" w:hAnsi="Arial Narrow"/>
                <w:sz w:val="18"/>
                <w:szCs w:val="18"/>
              </w:rPr>
              <w:t>1 484</w:t>
            </w:r>
          </w:p>
        </w:tc>
        <w:tc>
          <w:tcPr>
            <w:tcW w:w="1277" w:type="dxa"/>
            <w:vAlign w:val="center"/>
          </w:tcPr>
          <w:p w14:paraId="0FEFD540" w14:textId="6DCD02C3" w:rsidR="0017624B" w:rsidRPr="00CE357F" w:rsidRDefault="0017624B" w:rsidP="0017624B">
            <w:pPr>
              <w:jc w:val="center"/>
              <w:rPr>
                <w:rFonts w:ascii="Arial Narrow" w:hAnsi="Arial Narrow"/>
                <w:sz w:val="18"/>
                <w:szCs w:val="18"/>
              </w:rPr>
            </w:pPr>
            <w:r>
              <w:rPr>
                <w:rFonts w:ascii="Arial Narrow" w:hAnsi="Arial Narrow"/>
                <w:sz w:val="18"/>
                <w:szCs w:val="18"/>
              </w:rPr>
              <w:t>-</w:t>
            </w:r>
          </w:p>
        </w:tc>
        <w:tc>
          <w:tcPr>
            <w:tcW w:w="1419" w:type="dxa"/>
          </w:tcPr>
          <w:p w14:paraId="7ED4A6A1" w14:textId="6CEFD7B1" w:rsidR="0017624B" w:rsidRPr="00CE357F" w:rsidRDefault="0017624B" w:rsidP="0017624B">
            <w:pPr>
              <w:jc w:val="center"/>
              <w:rPr>
                <w:rFonts w:ascii="Arial Narrow" w:hAnsi="Arial Narrow"/>
                <w:sz w:val="18"/>
                <w:szCs w:val="18"/>
              </w:rPr>
            </w:pPr>
            <w:r>
              <w:rPr>
                <w:rFonts w:ascii="Arial Narrow" w:hAnsi="Arial Narrow"/>
                <w:sz w:val="18"/>
                <w:szCs w:val="18"/>
              </w:rPr>
              <w:t>4</w:t>
            </w:r>
          </w:p>
        </w:tc>
        <w:tc>
          <w:tcPr>
            <w:tcW w:w="1282" w:type="dxa"/>
          </w:tcPr>
          <w:p w14:paraId="3F095909" w14:textId="48328E06" w:rsidR="0017624B" w:rsidRPr="00CE357F" w:rsidRDefault="0017624B" w:rsidP="0017624B">
            <w:pPr>
              <w:jc w:val="center"/>
              <w:rPr>
                <w:rFonts w:ascii="Arial Narrow" w:hAnsi="Arial Narrow"/>
                <w:sz w:val="18"/>
                <w:szCs w:val="18"/>
              </w:rPr>
            </w:pPr>
            <w:r>
              <w:rPr>
                <w:rFonts w:ascii="Arial Narrow" w:hAnsi="Arial Narrow"/>
                <w:sz w:val="18"/>
                <w:szCs w:val="18"/>
              </w:rPr>
              <w:t>516</w:t>
            </w:r>
          </w:p>
        </w:tc>
        <w:tc>
          <w:tcPr>
            <w:tcW w:w="1695" w:type="dxa"/>
          </w:tcPr>
          <w:p w14:paraId="64A9937F" w14:textId="567F453C" w:rsidR="0017624B" w:rsidRPr="00CE357F" w:rsidRDefault="0017624B" w:rsidP="0017624B">
            <w:pPr>
              <w:jc w:val="center"/>
              <w:rPr>
                <w:rFonts w:ascii="Arial Narrow" w:hAnsi="Arial Narrow"/>
                <w:sz w:val="18"/>
                <w:szCs w:val="18"/>
              </w:rPr>
            </w:pPr>
            <w:r>
              <w:rPr>
                <w:rFonts w:ascii="Arial Narrow" w:hAnsi="Arial Narrow"/>
                <w:sz w:val="18"/>
                <w:szCs w:val="18"/>
              </w:rPr>
              <w:t>3,1</w:t>
            </w:r>
          </w:p>
        </w:tc>
      </w:tr>
      <w:tr w:rsidR="0017624B" w:rsidRPr="00CE357F" w14:paraId="435E9F62" w14:textId="77777777" w:rsidTr="0017624B">
        <w:trPr>
          <w:trHeight w:val="203"/>
        </w:trPr>
        <w:tc>
          <w:tcPr>
            <w:tcW w:w="930" w:type="dxa"/>
            <w:shd w:val="clear" w:color="auto" w:fill="D9E2F3" w:themeFill="accent1" w:themeFillTint="33"/>
            <w:vAlign w:val="center"/>
          </w:tcPr>
          <w:p w14:paraId="63B9BAB0"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2021</w:t>
            </w:r>
          </w:p>
        </w:tc>
        <w:tc>
          <w:tcPr>
            <w:tcW w:w="1048" w:type="dxa"/>
            <w:vAlign w:val="center"/>
          </w:tcPr>
          <w:p w14:paraId="673BE34D" w14:textId="77777777" w:rsidR="0017624B" w:rsidRPr="00CE357F" w:rsidRDefault="0017624B" w:rsidP="0017624B">
            <w:pPr>
              <w:jc w:val="center"/>
              <w:rPr>
                <w:rFonts w:ascii="Arial Narrow" w:hAnsi="Arial Narrow"/>
                <w:bCs/>
                <w:sz w:val="18"/>
                <w:szCs w:val="18"/>
              </w:rPr>
            </w:pPr>
            <w:r w:rsidRPr="00CE357F">
              <w:rPr>
                <w:rFonts w:ascii="Arial Narrow" w:hAnsi="Arial Narrow"/>
                <w:bCs/>
                <w:sz w:val="18"/>
                <w:szCs w:val="18"/>
              </w:rPr>
              <w:t>1 492</w:t>
            </w:r>
          </w:p>
        </w:tc>
        <w:tc>
          <w:tcPr>
            <w:tcW w:w="1201" w:type="dxa"/>
            <w:vAlign w:val="center"/>
          </w:tcPr>
          <w:p w14:paraId="7F8BFA5A"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1 401</w:t>
            </w:r>
          </w:p>
        </w:tc>
        <w:tc>
          <w:tcPr>
            <w:tcW w:w="1277" w:type="dxa"/>
            <w:vAlign w:val="center"/>
          </w:tcPr>
          <w:p w14:paraId="381058CA"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38 287</w:t>
            </w:r>
          </w:p>
        </w:tc>
        <w:tc>
          <w:tcPr>
            <w:tcW w:w="1419" w:type="dxa"/>
          </w:tcPr>
          <w:p w14:paraId="662B0E3A"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3,7</w:t>
            </w:r>
          </w:p>
        </w:tc>
        <w:tc>
          <w:tcPr>
            <w:tcW w:w="1282" w:type="dxa"/>
          </w:tcPr>
          <w:p w14:paraId="1CCDC6E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756</w:t>
            </w:r>
          </w:p>
        </w:tc>
        <w:tc>
          <w:tcPr>
            <w:tcW w:w="1695" w:type="dxa"/>
          </w:tcPr>
          <w:p w14:paraId="1D543AC0"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1,9</w:t>
            </w:r>
          </w:p>
        </w:tc>
      </w:tr>
      <w:tr w:rsidR="0017624B" w:rsidRPr="00CE357F" w14:paraId="18C0BB98" w14:textId="77777777" w:rsidTr="0017624B">
        <w:trPr>
          <w:trHeight w:val="203"/>
        </w:trPr>
        <w:tc>
          <w:tcPr>
            <w:tcW w:w="930" w:type="dxa"/>
            <w:shd w:val="clear" w:color="auto" w:fill="D9E2F3" w:themeFill="accent1" w:themeFillTint="33"/>
            <w:vAlign w:val="center"/>
          </w:tcPr>
          <w:p w14:paraId="20153EF5"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2020</w:t>
            </w:r>
          </w:p>
        </w:tc>
        <w:tc>
          <w:tcPr>
            <w:tcW w:w="1048" w:type="dxa"/>
            <w:vAlign w:val="center"/>
          </w:tcPr>
          <w:p w14:paraId="6A1CF400" w14:textId="77777777" w:rsidR="0017624B" w:rsidRPr="00CE357F" w:rsidRDefault="0017624B" w:rsidP="0017624B">
            <w:pPr>
              <w:jc w:val="center"/>
              <w:rPr>
                <w:rFonts w:ascii="Arial Narrow" w:hAnsi="Arial Narrow"/>
                <w:bCs/>
                <w:sz w:val="18"/>
                <w:szCs w:val="18"/>
              </w:rPr>
            </w:pPr>
            <w:r w:rsidRPr="00CE357F">
              <w:rPr>
                <w:rFonts w:ascii="Arial Narrow" w:hAnsi="Arial Narrow"/>
                <w:bCs/>
                <w:sz w:val="18"/>
                <w:szCs w:val="18"/>
              </w:rPr>
              <w:t>1 620</w:t>
            </w:r>
          </w:p>
        </w:tc>
        <w:tc>
          <w:tcPr>
            <w:tcW w:w="1201" w:type="dxa"/>
            <w:vAlign w:val="center"/>
          </w:tcPr>
          <w:p w14:paraId="73C98A46"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1 548</w:t>
            </w:r>
          </w:p>
        </w:tc>
        <w:tc>
          <w:tcPr>
            <w:tcW w:w="1277" w:type="dxa"/>
            <w:vAlign w:val="center"/>
          </w:tcPr>
          <w:p w14:paraId="15CA9D50"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38 665</w:t>
            </w:r>
          </w:p>
        </w:tc>
        <w:tc>
          <w:tcPr>
            <w:tcW w:w="1419" w:type="dxa"/>
          </w:tcPr>
          <w:p w14:paraId="1901BF89"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4</w:t>
            </w:r>
          </w:p>
        </w:tc>
        <w:tc>
          <w:tcPr>
            <w:tcW w:w="1282" w:type="dxa"/>
          </w:tcPr>
          <w:p w14:paraId="731DAA75"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722</w:t>
            </w:r>
          </w:p>
        </w:tc>
        <w:tc>
          <w:tcPr>
            <w:tcW w:w="1695" w:type="dxa"/>
          </w:tcPr>
          <w:p w14:paraId="5421337A"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2,2</w:t>
            </w:r>
          </w:p>
        </w:tc>
      </w:tr>
      <w:tr w:rsidR="0017624B" w:rsidRPr="00CE357F" w14:paraId="3D75917A" w14:textId="77777777" w:rsidTr="0017624B">
        <w:trPr>
          <w:trHeight w:val="203"/>
        </w:trPr>
        <w:tc>
          <w:tcPr>
            <w:tcW w:w="930" w:type="dxa"/>
            <w:shd w:val="clear" w:color="auto" w:fill="D9E2F3" w:themeFill="accent1" w:themeFillTint="33"/>
            <w:vAlign w:val="center"/>
          </w:tcPr>
          <w:p w14:paraId="34E97BC1"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2019</w:t>
            </w:r>
          </w:p>
        </w:tc>
        <w:tc>
          <w:tcPr>
            <w:tcW w:w="1048" w:type="dxa"/>
            <w:vAlign w:val="center"/>
          </w:tcPr>
          <w:p w14:paraId="7C3D642A" w14:textId="77777777" w:rsidR="0017624B" w:rsidRPr="00CE357F" w:rsidRDefault="0017624B" w:rsidP="0017624B">
            <w:pPr>
              <w:jc w:val="center"/>
              <w:rPr>
                <w:rFonts w:ascii="Arial Narrow" w:hAnsi="Arial Narrow"/>
                <w:bCs/>
                <w:sz w:val="18"/>
                <w:szCs w:val="18"/>
              </w:rPr>
            </w:pPr>
            <w:r w:rsidRPr="00CE357F">
              <w:rPr>
                <w:rFonts w:ascii="Arial Narrow" w:hAnsi="Arial Narrow"/>
                <w:bCs/>
                <w:sz w:val="18"/>
                <w:szCs w:val="18"/>
              </w:rPr>
              <w:t>1 329</w:t>
            </w:r>
          </w:p>
        </w:tc>
        <w:tc>
          <w:tcPr>
            <w:tcW w:w="1201" w:type="dxa"/>
            <w:vAlign w:val="center"/>
          </w:tcPr>
          <w:p w14:paraId="5A38A348"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1 227</w:t>
            </w:r>
          </w:p>
        </w:tc>
        <w:tc>
          <w:tcPr>
            <w:tcW w:w="1277" w:type="dxa"/>
            <w:vAlign w:val="center"/>
          </w:tcPr>
          <w:p w14:paraId="49DCDCF1"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38 958</w:t>
            </w:r>
          </w:p>
        </w:tc>
        <w:tc>
          <w:tcPr>
            <w:tcW w:w="1419" w:type="dxa"/>
          </w:tcPr>
          <w:p w14:paraId="3914F6F2"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3,1</w:t>
            </w:r>
          </w:p>
        </w:tc>
        <w:tc>
          <w:tcPr>
            <w:tcW w:w="1282" w:type="dxa"/>
          </w:tcPr>
          <w:p w14:paraId="7452833E"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690</w:t>
            </w:r>
          </w:p>
        </w:tc>
        <w:tc>
          <w:tcPr>
            <w:tcW w:w="1695" w:type="dxa"/>
          </w:tcPr>
          <w:p w14:paraId="1C81DFD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1,9</w:t>
            </w:r>
          </w:p>
        </w:tc>
      </w:tr>
      <w:tr w:rsidR="0017624B" w:rsidRPr="00CE357F" w14:paraId="1F99E47C" w14:textId="77777777" w:rsidTr="0017624B">
        <w:trPr>
          <w:trHeight w:val="203"/>
        </w:trPr>
        <w:tc>
          <w:tcPr>
            <w:tcW w:w="930" w:type="dxa"/>
            <w:shd w:val="clear" w:color="auto" w:fill="D9E2F3" w:themeFill="accent1" w:themeFillTint="33"/>
            <w:vAlign w:val="center"/>
          </w:tcPr>
          <w:p w14:paraId="625AC2A5"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2018</w:t>
            </w:r>
          </w:p>
        </w:tc>
        <w:tc>
          <w:tcPr>
            <w:tcW w:w="1048" w:type="dxa"/>
            <w:vAlign w:val="center"/>
          </w:tcPr>
          <w:p w14:paraId="4EEA1F2A" w14:textId="77777777" w:rsidR="0017624B" w:rsidRPr="00CE357F" w:rsidRDefault="0017624B" w:rsidP="0017624B">
            <w:pPr>
              <w:jc w:val="center"/>
              <w:rPr>
                <w:rFonts w:ascii="Arial Narrow" w:hAnsi="Arial Narrow"/>
                <w:bCs/>
                <w:sz w:val="18"/>
                <w:szCs w:val="18"/>
              </w:rPr>
            </w:pPr>
            <w:r w:rsidRPr="00CE357F">
              <w:rPr>
                <w:rFonts w:ascii="Arial Narrow" w:hAnsi="Arial Narrow"/>
                <w:bCs/>
                <w:sz w:val="18"/>
                <w:szCs w:val="18"/>
              </w:rPr>
              <w:t>1 448</w:t>
            </w:r>
          </w:p>
        </w:tc>
        <w:tc>
          <w:tcPr>
            <w:tcW w:w="1201" w:type="dxa"/>
            <w:vAlign w:val="center"/>
          </w:tcPr>
          <w:p w14:paraId="06BA6554"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1 362</w:t>
            </w:r>
          </w:p>
        </w:tc>
        <w:tc>
          <w:tcPr>
            <w:tcW w:w="1277" w:type="dxa"/>
            <w:vAlign w:val="center"/>
          </w:tcPr>
          <w:p w14:paraId="37CDFD8A"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39 445</w:t>
            </w:r>
          </w:p>
        </w:tc>
        <w:tc>
          <w:tcPr>
            <w:tcW w:w="1419" w:type="dxa"/>
          </w:tcPr>
          <w:p w14:paraId="74846F8C"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3,5</w:t>
            </w:r>
          </w:p>
        </w:tc>
        <w:tc>
          <w:tcPr>
            <w:tcW w:w="1282" w:type="dxa"/>
          </w:tcPr>
          <w:p w14:paraId="17B8349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744</w:t>
            </w:r>
          </w:p>
        </w:tc>
        <w:tc>
          <w:tcPr>
            <w:tcW w:w="1695" w:type="dxa"/>
          </w:tcPr>
          <w:p w14:paraId="10C63989"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1,9</w:t>
            </w:r>
          </w:p>
        </w:tc>
      </w:tr>
      <w:tr w:rsidR="0017624B" w:rsidRPr="00CE357F" w14:paraId="667E15C9" w14:textId="77777777" w:rsidTr="0017624B">
        <w:trPr>
          <w:trHeight w:val="203"/>
        </w:trPr>
        <w:tc>
          <w:tcPr>
            <w:tcW w:w="930" w:type="dxa"/>
            <w:shd w:val="clear" w:color="auto" w:fill="D9E2F3" w:themeFill="accent1" w:themeFillTint="33"/>
            <w:vAlign w:val="center"/>
          </w:tcPr>
          <w:p w14:paraId="6DDF26DC"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2017</w:t>
            </w:r>
          </w:p>
        </w:tc>
        <w:tc>
          <w:tcPr>
            <w:tcW w:w="1048" w:type="dxa"/>
            <w:vAlign w:val="center"/>
          </w:tcPr>
          <w:p w14:paraId="24E2C082" w14:textId="77777777" w:rsidR="0017624B" w:rsidRPr="00CE357F" w:rsidRDefault="0017624B" w:rsidP="0017624B">
            <w:pPr>
              <w:jc w:val="center"/>
              <w:rPr>
                <w:rFonts w:ascii="Arial Narrow" w:hAnsi="Arial Narrow"/>
                <w:bCs/>
                <w:sz w:val="18"/>
                <w:szCs w:val="18"/>
              </w:rPr>
            </w:pPr>
            <w:r w:rsidRPr="00CE357F">
              <w:rPr>
                <w:rFonts w:ascii="Arial Narrow" w:hAnsi="Arial Narrow"/>
                <w:bCs/>
                <w:sz w:val="18"/>
                <w:szCs w:val="18"/>
              </w:rPr>
              <w:t>1 671</w:t>
            </w:r>
          </w:p>
        </w:tc>
        <w:tc>
          <w:tcPr>
            <w:tcW w:w="1201" w:type="dxa"/>
            <w:vAlign w:val="center"/>
          </w:tcPr>
          <w:p w14:paraId="29FFF4FF"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1 584</w:t>
            </w:r>
          </w:p>
        </w:tc>
        <w:tc>
          <w:tcPr>
            <w:tcW w:w="1277" w:type="dxa"/>
            <w:vAlign w:val="center"/>
          </w:tcPr>
          <w:p w14:paraId="5B66B633"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39 903</w:t>
            </w:r>
          </w:p>
        </w:tc>
        <w:tc>
          <w:tcPr>
            <w:tcW w:w="1419" w:type="dxa"/>
          </w:tcPr>
          <w:p w14:paraId="0E689B05"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4</w:t>
            </w:r>
          </w:p>
        </w:tc>
        <w:tc>
          <w:tcPr>
            <w:tcW w:w="1282" w:type="dxa"/>
          </w:tcPr>
          <w:p w14:paraId="5E0FD626"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738</w:t>
            </w:r>
          </w:p>
        </w:tc>
        <w:tc>
          <w:tcPr>
            <w:tcW w:w="1695" w:type="dxa"/>
          </w:tcPr>
          <w:p w14:paraId="209746A6"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2,3</w:t>
            </w:r>
          </w:p>
        </w:tc>
      </w:tr>
      <w:tr w:rsidR="0017624B" w:rsidRPr="00CE357F" w14:paraId="74364F39" w14:textId="77777777" w:rsidTr="0017624B">
        <w:trPr>
          <w:trHeight w:val="203"/>
        </w:trPr>
        <w:tc>
          <w:tcPr>
            <w:tcW w:w="930" w:type="dxa"/>
            <w:shd w:val="clear" w:color="auto" w:fill="D9E2F3" w:themeFill="accent1" w:themeFillTint="33"/>
            <w:vAlign w:val="center"/>
          </w:tcPr>
          <w:p w14:paraId="0E16A4CD"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2016</w:t>
            </w:r>
          </w:p>
        </w:tc>
        <w:tc>
          <w:tcPr>
            <w:tcW w:w="1048" w:type="dxa"/>
            <w:vAlign w:val="center"/>
          </w:tcPr>
          <w:p w14:paraId="15BD0BB7" w14:textId="77777777" w:rsidR="0017624B" w:rsidRPr="00CE357F" w:rsidRDefault="0017624B" w:rsidP="0017624B">
            <w:pPr>
              <w:jc w:val="center"/>
              <w:rPr>
                <w:rFonts w:ascii="Arial Narrow" w:hAnsi="Arial Narrow"/>
                <w:bCs/>
                <w:sz w:val="18"/>
                <w:szCs w:val="18"/>
              </w:rPr>
            </w:pPr>
            <w:r w:rsidRPr="00CE357F">
              <w:rPr>
                <w:rFonts w:ascii="Arial Narrow" w:hAnsi="Arial Narrow"/>
                <w:bCs/>
                <w:sz w:val="18"/>
                <w:szCs w:val="18"/>
              </w:rPr>
              <w:t>2 189</w:t>
            </w:r>
          </w:p>
        </w:tc>
        <w:tc>
          <w:tcPr>
            <w:tcW w:w="1201" w:type="dxa"/>
            <w:vAlign w:val="center"/>
          </w:tcPr>
          <w:p w14:paraId="10772AA6"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2 082</w:t>
            </w:r>
          </w:p>
        </w:tc>
        <w:tc>
          <w:tcPr>
            <w:tcW w:w="1277" w:type="dxa"/>
            <w:vAlign w:val="center"/>
          </w:tcPr>
          <w:p w14:paraId="46ABDA80"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40 402</w:t>
            </w:r>
          </w:p>
        </w:tc>
        <w:tc>
          <w:tcPr>
            <w:tcW w:w="1419" w:type="dxa"/>
          </w:tcPr>
          <w:p w14:paraId="49EA432E"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5,2</w:t>
            </w:r>
          </w:p>
        </w:tc>
        <w:tc>
          <w:tcPr>
            <w:tcW w:w="1282" w:type="dxa"/>
          </w:tcPr>
          <w:p w14:paraId="3B201E04"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405</w:t>
            </w:r>
          </w:p>
        </w:tc>
        <w:tc>
          <w:tcPr>
            <w:tcW w:w="1695" w:type="dxa"/>
          </w:tcPr>
          <w:p w14:paraId="5A2C6548"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5,4</w:t>
            </w:r>
          </w:p>
        </w:tc>
      </w:tr>
      <w:tr w:rsidR="0017624B" w:rsidRPr="00CE357F" w14:paraId="70B80284" w14:textId="77777777" w:rsidTr="0017624B">
        <w:trPr>
          <w:trHeight w:val="203"/>
        </w:trPr>
        <w:tc>
          <w:tcPr>
            <w:tcW w:w="930" w:type="dxa"/>
            <w:shd w:val="clear" w:color="auto" w:fill="D9E2F3" w:themeFill="accent1" w:themeFillTint="33"/>
            <w:vAlign w:val="center"/>
          </w:tcPr>
          <w:p w14:paraId="628A3644"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2015</w:t>
            </w:r>
          </w:p>
        </w:tc>
        <w:tc>
          <w:tcPr>
            <w:tcW w:w="1048" w:type="dxa"/>
            <w:vAlign w:val="center"/>
          </w:tcPr>
          <w:p w14:paraId="6B50B295" w14:textId="77777777" w:rsidR="0017624B" w:rsidRPr="00CE357F" w:rsidRDefault="0017624B" w:rsidP="0017624B">
            <w:pPr>
              <w:jc w:val="center"/>
              <w:rPr>
                <w:rFonts w:ascii="Arial Narrow" w:hAnsi="Arial Narrow"/>
                <w:bCs/>
                <w:sz w:val="18"/>
                <w:szCs w:val="18"/>
              </w:rPr>
            </w:pPr>
            <w:r w:rsidRPr="00CE357F">
              <w:rPr>
                <w:rFonts w:ascii="Arial Narrow" w:hAnsi="Arial Narrow"/>
                <w:bCs/>
                <w:sz w:val="18"/>
                <w:szCs w:val="18"/>
              </w:rPr>
              <w:t>2 590</w:t>
            </w:r>
          </w:p>
        </w:tc>
        <w:tc>
          <w:tcPr>
            <w:tcW w:w="1201" w:type="dxa"/>
            <w:vAlign w:val="center"/>
          </w:tcPr>
          <w:p w14:paraId="11DFDCD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2 503</w:t>
            </w:r>
          </w:p>
        </w:tc>
        <w:tc>
          <w:tcPr>
            <w:tcW w:w="1277" w:type="dxa"/>
            <w:vAlign w:val="center"/>
          </w:tcPr>
          <w:p w14:paraId="5427EE5C"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40 762</w:t>
            </w:r>
          </w:p>
        </w:tc>
        <w:tc>
          <w:tcPr>
            <w:tcW w:w="1419" w:type="dxa"/>
          </w:tcPr>
          <w:p w14:paraId="1AF0197D"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6,1</w:t>
            </w:r>
          </w:p>
        </w:tc>
        <w:tc>
          <w:tcPr>
            <w:tcW w:w="1282" w:type="dxa"/>
          </w:tcPr>
          <w:p w14:paraId="080E90A1"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700</w:t>
            </w:r>
          </w:p>
        </w:tc>
        <w:tc>
          <w:tcPr>
            <w:tcW w:w="1695" w:type="dxa"/>
          </w:tcPr>
          <w:p w14:paraId="31CF172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3,7</w:t>
            </w:r>
          </w:p>
        </w:tc>
      </w:tr>
      <w:tr w:rsidR="0017624B" w:rsidRPr="00CE357F" w14:paraId="0DA8F6FD" w14:textId="77777777" w:rsidTr="0017624B">
        <w:trPr>
          <w:trHeight w:val="203"/>
        </w:trPr>
        <w:tc>
          <w:tcPr>
            <w:tcW w:w="930" w:type="dxa"/>
            <w:shd w:val="clear" w:color="auto" w:fill="D9E2F3" w:themeFill="accent1" w:themeFillTint="33"/>
            <w:vAlign w:val="center"/>
          </w:tcPr>
          <w:p w14:paraId="5E456981"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2014</w:t>
            </w:r>
          </w:p>
        </w:tc>
        <w:tc>
          <w:tcPr>
            <w:tcW w:w="1048" w:type="dxa"/>
            <w:vAlign w:val="center"/>
          </w:tcPr>
          <w:p w14:paraId="27ED54C1" w14:textId="77777777" w:rsidR="0017624B" w:rsidRPr="00CE357F" w:rsidRDefault="0017624B" w:rsidP="0017624B">
            <w:pPr>
              <w:jc w:val="center"/>
              <w:rPr>
                <w:rFonts w:ascii="Arial Narrow" w:hAnsi="Arial Narrow"/>
                <w:bCs/>
                <w:sz w:val="18"/>
                <w:szCs w:val="18"/>
              </w:rPr>
            </w:pPr>
            <w:r w:rsidRPr="00CE357F">
              <w:rPr>
                <w:rFonts w:ascii="Arial Narrow" w:hAnsi="Arial Narrow"/>
                <w:bCs/>
                <w:sz w:val="18"/>
                <w:szCs w:val="18"/>
              </w:rPr>
              <w:t>3 098</w:t>
            </w:r>
          </w:p>
        </w:tc>
        <w:tc>
          <w:tcPr>
            <w:tcW w:w="1201" w:type="dxa"/>
            <w:vAlign w:val="center"/>
          </w:tcPr>
          <w:p w14:paraId="56D93040"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3 042</w:t>
            </w:r>
          </w:p>
        </w:tc>
        <w:tc>
          <w:tcPr>
            <w:tcW w:w="1277" w:type="dxa"/>
            <w:vAlign w:val="center"/>
          </w:tcPr>
          <w:p w14:paraId="651CF3A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41 170</w:t>
            </w:r>
          </w:p>
        </w:tc>
        <w:tc>
          <w:tcPr>
            <w:tcW w:w="1419" w:type="dxa"/>
          </w:tcPr>
          <w:p w14:paraId="22BCE0F5"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7,4</w:t>
            </w:r>
          </w:p>
        </w:tc>
        <w:tc>
          <w:tcPr>
            <w:tcW w:w="1282" w:type="dxa"/>
          </w:tcPr>
          <w:p w14:paraId="430ED7D1"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329</w:t>
            </w:r>
          </w:p>
        </w:tc>
        <w:tc>
          <w:tcPr>
            <w:tcW w:w="1695" w:type="dxa"/>
          </w:tcPr>
          <w:p w14:paraId="2B7A4B56"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9,4</w:t>
            </w:r>
          </w:p>
        </w:tc>
      </w:tr>
      <w:tr w:rsidR="0017624B" w:rsidRPr="00CE357F" w14:paraId="6EDB79A1" w14:textId="77777777" w:rsidTr="0017624B">
        <w:trPr>
          <w:trHeight w:val="203"/>
        </w:trPr>
        <w:tc>
          <w:tcPr>
            <w:tcW w:w="930" w:type="dxa"/>
            <w:shd w:val="clear" w:color="auto" w:fill="D9E2F3" w:themeFill="accent1" w:themeFillTint="33"/>
            <w:vAlign w:val="center"/>
          </w:tcPr>
          <w:p w14:paraId="26180C19"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2013</w:t>
            </w:r>
          </w:p>
        </w:tc>
        <w:tc>
          <w:tcPr>
            <w:tcW w:w="1048" w:type="dxa"/>
            <w:vAlign w:val="center"/>
          </w:tcPr>
          <w:p w14:paraId="0394D9CD" w14:textId="77777777" w:rsidR="0017624B" w:rsidRPr="00CE357F" w:rsidRDefault="0017624B" w:rsidP="0017624B">
            <w:pPr>
              <w:jc w:val="center"/>
              <w:rPr>
                <w:rFonts w:ascii="Arial Narrow" w:hAnsi="Arial Narrow"/>
                <w:bCs/>
                <w:sz w:val="18"/>
                <w:szCs w:val="18"/>
              </w:rPr>
            </w:pPr>
            <w:r w:rsidRPr="00CE357F">
              <w:rPr>
                <w:rFonts w:ascii="Arial Narrow" w:hAnsi="Arial Narrow"/>
                <w:sz w:val="18"/>
                <w:szCs w:val="18"/>
              </w:rPr>
              <w:t>750</w:t>
            </w:r>
          </w:p>
        </w:tc>
        <w:tc>
          <w:tcPr>
            <w:tcW w:w="1201" w:type="dxa"/>
            <w:vAlign w:val="center"/>
          </w:tcPr>
          <w:p w14:paraId="0074423A"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071D59C1"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0C08FAD0"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4F8AB74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68</w:t>
            </w:r>
          </w:p>
        </w:tc>
        <w:tc>
          <w:tcPr>
            <w:tcW w:w="1695" w:type="dxa"/>
          </w:tcPr>
          <w:p w14:paraId="17A6A382"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11,0</w:t>
            </w:r>
          </w:p>
        </w:tc>
      </w:tr>
      <w:tr w:rsidR="0017624B" w:rsidRPr="00CE357F" w14:paraId="0456A3D6" w14:textId="77777777" w:rsidTr="0017624B">
        <w:trPr>
          <w:trHeight w:val="203"/>
        </w:trPr>
        <w:tc>
          <w:tcPr>
            <w:tcW w:w="930" w:type="dxa"/>
            <w:shd w:val="clear" w:color="auto" w:fill="D9E2F3" w:themeFill="accent1" w:themeFillTint="33"/>
            <w:vAlign w:val="center"/>
          </w:tcPr>
          <w:p w14:paraId="74D619A9"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2012</w:t>
            </w:r>
          </w:p>
        </w:tc>
        <w:tc>
          <w:tcPr>
            <w:tcW w:w="1048" w:type="dxa"/>
            <w:vAlign w:val="center"/>
          </w:tcPr>
          <w:p w14:paraId="54A3521E" w14:textId="77777777" w:rsidR="0017624B" w:rsidRPr="00CE357F" w:rsidRDefault="0017624B" w:rsidP="0017624B">
            <w:pPr>
              <w:jc w:val="center"/>
              <w:rPr>
                <w:rFonts w:ascii="Arial Narrow" w:hAnsi="Arial Narrow"/>
                <w:bCs/>
                <w:sz w:val="18"/>
                <w:szCs w:val="18"/>
              </w:rPr>
            </w:pPr>
            <w:r w:rsidRPr="00CE357F">
              <w:rPr>
                <w:rFonts w:ascii="Arial Narrow" w:hAnsi="Arial Narrow"/>
                <w:sz w:val="18"/>
                <w:szCs w:val="18"/>
              </w:rPr>
              <w:t>1 226</w:t>
            </w:r>
          </w:p>
        </w:tc>
        <w:tc>
          <w:tcPr>
            <w:tcW w:w="1201" w:type="dxa"/>
            <w:vAlign w:val="center"/>
          </w:tcPr>
          <w:p w14:paraId="18922E21"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3B006AAD"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1A093BA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6F42301C"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68</w:t>
            </w:r>
          </w:p>
        </w:tc>
        <w:tc>
          <w:tcPr>
            <w:tcW w:w="1695" w:type="dxa"/>
          </w:tcPr>
          <w:p w14:paraId="593C9616"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18,0</w:t>
            </w:r>
          </w:p>
        </w:tc>
      </w:tr>
      <w:tr w:rsidR="0017624B" w:rsidRPr="00CE357F" w14:paraId="02D36542" w14:textId="77777777" w:rsidTr="0017624B">
        <w:trPr>
          <w:trHeight w:val="203"/>
        </w:trPr>
        <w:tc>
          <w:tcPr>
            <w:tcW w:w="930" w:type="dxa"/>
            <w:shd w:val="clear" w:color="auto" w:fill="D9E2F3" w:themeFill="accent1" w:themeFillTint="33"/>
            <w:vAlign w:val="center"/>
          </w:tcPr>
          <w:p w14:paraId="0AD7F40E"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2011</w:t>
            </w:r>
          </w:p>
        </w:tc>
        <w:tc>
          <w:tcPr>
            <w:tcW w:w="1048" w:type="dxa"/>
            <w:vAlign w:val="center"/>
          </w:tcPr>
          <w:p w14:paraId="19BA701D" w14:textId="77777777" w:rsidR="0017624B" w:rsidRPr="00CE357F" w:rsidRDefault="0017624B" w:rsidP="0017624B">
            <w:pPr>
              <w:jc w:val="center"/>
              <w:rPr>
                <w:rFonts w:ascii="Arial Narrow" w:hAnsi="Arial Narrow"/>
                <w:b/>
                <w:bCs/>
                <w:color w:val="C00000"/>
                <w:sz w:val="18"/>
                <w:szCs w:val="18"/>
              </w:rPr>
            </w:pPr>
            <w:r w:rsidRPr="00CE357F">
              <w:rPr>
                <w:rFonts w:ascii="Arial Narrow" w:hAnsi="Arial Narrow"/>
                <w:b/>
                <w:bCs/>
                <w:color w:val="C00000"/>
                <w:sz w:val="18"/>
                <w:szCs w:val="18"/>
              </w:rPr>
              <w:t>3 812</w:t>
            </w:r>
          </w:p>
        </w:tc>
        <w:tc>
          <w:tcPr>
            <w:tcW w:w="1201" w:type="dxa"/>
            <w:vAlign w:val="center"/>
          </w:tcPr>
          <w:p w14:paraId="206BD6C3"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641AC29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71A80D31"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570F180C"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107</w:t>
            </w:r>
          </w:p>
        </w:tc>
        <w:tc>
          <w:tcPr>
            <w:tcW w:w="1695" w:type="dxa"/>
          </w:tcPr>
          <w:p w14:paraId="791A58F3" w14:textId="77777777" w:rsidR="0017624B" w:rsidRPr="00CE357F" w:rsidRDefault="0017624B" w:rsidP="0017624B">
            <w:pPr>
              <w:jc w:val="center"/>
              <w:rPr>
                <w:rFonts w:ascii="Arial Narrow" w:hAnsi="Arial Narrow"/>
                <w:b/>
                <w:bCs/>
                <w:color w:val="C00000"/>
                <w:sz w:val="18"/>
                <w:szCs w:val="18"/>
              </w:rPr>
            </w:pPr>
            <w:r w:rsidRPr="00CE357F">
              <w:rPr>
                <w:rFonts w:ascii="Arial Narrow" w:hAnsi="Arial Narrow"/>
                <w:b/>
                <w:bCs/>
                <w:color w:val="C00000"/>
                <w:sz w:val="18"/>
                <w:szCs w:val="18"/>
              </w:rPr>
              <w:t>35,6</w:t>
            </w:r>
          </w:p>
        </w:tc>
      </w:tr>
      <w:tr w:rsidR="0017624B" w:rsidRPr="00CE357F" w14:paraId="276DB238" w14:textId="77777777" w:rsidTr="0017624B">
        <w:trPr>
          <w:trHeight w:val="203"/>
        </w:trPr>
        <w:tc>
          <w:tcPr>
            <w:tcW w:w="930" w:type="dxa"/>
            <w:shd w:val="clear" w:color="auto" w:fill="D9E2F3" w:themeFill="accent1" w:themeFillTint="33"/>
            <w:vAlign w:val="center"/>
          </w:tcPr>
          <w:p w14:paraId="02E03593"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2010</w:t>
            </w:r>
          </w:p>
        </w:tc>
        <w:tc>
          <w:tcPr>
            <w:tcW w:w="1048" w:type="dxa"/>
            <w:vAlign w:val="center"/>
          </w:tcPr>
          <w:p w14:paraId="6E73FC67" w14:textId="77777777" w:rsidR="0017624B" w:rsidRPr="00CE357F" w:rsidRDefault="0017624B" w:rsidP="0017624B">
            <w:pPr>
              <w:jc w:val="center"/>
              <w:rPr>
                <w:rFonts w:ascii="Arial Narrow" w:hAnsi="Arial Narrow"/>
                <w:b/>
                <w:bCs/>
                <w:color w:val="C00000"/>
                <w:sz w:val="18"/>
                <w:szCs w:val="18"/>
              </w:rPr>
            </w:pPr>
            <w:r w:rsidRPr="00CE357F">
              <w:rPr>
                <w:rFonts w:ascii="Arial Narrow" w:hAnsi="Arial Narrow"/>
                <w:b/>
                <w:bCs/>
                <w:color w:val="C00000"/>
                <w:sz w:val="18"/>
                <w:szCs w:val="18"/>
              </w:rPr>
              <w:t>4 209</w:t>
            </w:r>
          </w:p>
        </w:tc>
        <w:tc>
          <w:tcPr>
            <w:tcW w:w="1201" w:type="dxa"/>
            <w:vAlign w:val="center"/>
          </w:tcPr>
          <w:p w14:paraId="72A6EE80"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09189D10"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104E2C55"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2207713A"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70</w:t>
            </w:r>
          </w:p>
        </w:tc>
        <w:tc>
          <w:tcPr>
            <w:tcW w:w="1695" w:type="dxa"/>
          </w:tcPr>
          <w:p w14:paraId="128F8854" w14:textId="77777777" w:rsidR="0017624B" w:rsidRPr="00CE357F" w:rsidRDefault="0017624B" w:rsidP="0017624B">
            <w:pPr>
              <w:jc w:val="center"/>
              <w:rPr>
                <w:rFonts w:ascii="Arial Narrow" w:hAnsi="Arial Narrow"/>
                <w:b/>
                <w:bCs/>
                <w:color w:val="C00000"/>
                <w:sz w:val="18"/>
                <w:szCs w:val="18"/>
              </w:rPr>
            </w:pPr>
            <w:r w:rsidRPr="00CE357F">
              <w:rPr>
                <w:rFonts w:ascii="Arial Narrow" w:hAnsi="Arial Narrow"/>
                <w:b/>
                <w:bCs/>
                <w:color w:val="C00000"/>
                <w:sz w:val="18"/>
                <w:szCs w:val="18"/>
              </w:rPr>
              <w:t>60,1</w:t>
            </w:r>
          </w:p>
        </w:tc>
      </w:tr>
      <w:tr w:rsidR="0017624B" w:rsidRPr="00CE357F" w14:paraId="349AB6A3" w14:textId="77777777" w:rsidTr="0017624B">
        <w:trPr>
          <w:trHeight w:val="203"/>
        </w:trPr>
        <w:tc>
          <w:tcPr>
            <w:tcW w:w="930" w:type="dxa"/>
            <w:shd w:val="clear" w:color="auto" w:fill="D9E2F3" w:themeFill="accent1" w:themeFillTint="33"/>
            <w:vAlign w:val="center"/>
          </w:tcPr>
          <w:p w14:paraId="365ACE8F"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2009</w:t>
            </w:r>
          </w:p>
        </w:tc>
        <w:tc>
          <w:tcPr>
            <w:tcW w:w="1048" w:type="dxa"/>
            <w:vAlign w:val="center"/>
          </w:tcPr>
          <w:p w14:paraId="54B310F9" w14:textId="77777777" w:rsidR="0017624B" w:rsidRPr="00CE357F" w:rsidRDefault="0017624B" w:rsidP="0017624B">
            <w:pPr>
              <w:jc w:val="center"/>
              <w:rPr>
                <w:rFonts w:ascii="Arial Narrow" w:hAnsi="Arial Narrow"/>
                <w:b/>
                <w:bCs/>
                <w:color w:val="C00000"/>
                <w:sz w:val="18"/>
                <w:szCs w:val="18"/>
              </w:rPr>
            </w:pPr>
            <w:r w:rsidRPr="00CE357F">
              <w:rPr>
                <w:rFonts w:ascii="Arial Narrow" w:hAnsi="Arial Narrow"/>
                <w:b/>
                <w:bCs/>
                <w:color w:val="C00000"/>
                <w:sz w:val="18"/>
                <w:szCs w:val="18"/>
              </w:rPr>
              <w:t>3 734</w:t>
            </w:r>
          </w:p>
        </w:tc>
        <w:tc>
          <w:tcPr>
            <w:tcW w:w="1201" w:type="dxa"/>
            <w:vAlign w:val="center"/>
          </w:tcPr>
          <w:p w14:paraId="749F162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1622572D"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3E770DDF"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785C0A83"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115</w:t>
            </w:r>
          </w:p>
        </w:tc>
        <w:tc>
          <w:tcPr>
            <w:tcW w:w="1695" w:type="dxa"/>
          </w:tcPr>
          <w:p w14:paraId="7E0C3002" w14:textId="77777777" w:rsidR="0017624B" w:rsidRPr="00CE357F" w:rsidRDefault="0017624B" w:rsidP="0017624B">
            <w:pPr>
              <w:jc w:val="center"/>
              <w:rPr>
                <w:rFonts w:ascii="Arial Narrow" w:hAnsi="Arial Narrow"/>
                <w:b/>
                <w:bCs/>
                <w:color w:val="C00000"/>
                <w:sz w:val="18"/>
                <w:szCs w:val="18"/>
              </w:rPr>
            </w:pPr>
            <w:r w:rsidRPr="00CE357F">
              <w:rPr>
                <w:rFonts w:ascii="Arial Narrow" w:hAnsi="Arial Narrow"/>
                <w:b/>
                <w:bCs/>
                <w:color w:val="C00000"/>
                <w:sz w:val="18"/>
                <w:szCs w:val="18"/>
              </w:rPr>
              <w:t>32,5</w:t>
            </w:r>
          </w:p>
        </w:tc>
      </w:tr>
      <w:tr w:rsidR="0017624B" w:rsidRPr="00CE357F" w14:paraId="6016AC02" w14:textId="77777777" w:rsidTr="0017624B">
        <w:trPr>
          <w:trHeight w:val="203"/>
        </w:trPr>
        <w:tc>
          <w:tcPr>
            <w:tcW w:w="930" w:type="dxa"/>
            <w:shd w:val="clear" w:color="auto" w:fill="D9E2F3" w:themeFill="accent1" w:themeFillTint="33"/>
            <w:vAlign w:val="center"/>
          </w:tcPr>
          <w:p w14:paraId="2E5D5313"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2008</w:t>
            </w:r>
          </w:p>
        </w:tc>
        <w:tc>
          <w:tcPr>
            <w:tcW w:w="1048" w:type="dxa"/>
            <w:vAlign w:val="center"/>
          </w:tcPr>
          <w:p w14:paraId="4D48BACC" w14:textId="77777777" w:rsidR="0017624B" w:rsidRPr="00CE357F" w:rsidRDefault="0017624B" w:rsidP="0017624B">
            <w:pPr>
              <w:jc w:val="center"/>
              <w:rPr>
                <w:rFonts w:ascii="Arial Narrow" w:hAnsi="Arial Narrow"/>
                <w:bCs/>
                <w:sz w:val="18"/>
                <w:szCs w:val="18"/>
              </w:rPr>
            </w:pPr>
            <w:r w:rsidRPr="00CE357F">
              <w:rPr>
                <w:rFonts w:ascii="Arial Narrow" w:hAnsi="Arial Narrow"/>
                <w:sz w:val="18"/>
                <w:szCs w:val="18"/>
              </w:rPr>
              <w:t>2 263</w:t>
            </w:r>
          </w:p>
        </w:tc>
        <w:tc>
          <w:tcPr>
            <w:tcW w:w="1201" w:type="dxa"/>
            <w:vAlign w:val="center"/>
          </w:tcPr>
          <w:p w14:paraId="7A32F51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0FF1F43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50328891"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3DAE116C"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282</w:t>
            </w:r>
          </w:p>
        </w:tc>
        <w:tc>
          <w:tcPr>
            <w:tcW w:w="1695" w:type="dxa"/>
          </w:tcPr>
          <w:p w14:paraId="59DF218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8,0</w:t>
            </w:r>
          </w:p>
        </w:tc>
      </w:tr>
      <w:tr w:rsidR="0017624B" w:rsidRPr="00CE357F" w14:paraId="530729B1" w14:textId="77777777" w:rsidTr="0017624B">
        <w:trPr>
          <w:trHeight w:val="203"/>
        </w:trPr>
        <w:tc>
          <w:tcPr>
            <w:tcW w:w="930" w:type="dxa"/>
            <w:shd w:val="clear" w:color="auto" w:fill="D9E2F3" w:themeFill="accent1" w:themeFillTint="33"/>
            <w:vAlign w:val="center"/>
          </w:tcPr>
          <w:p w14:paraId="60D1B2C0"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2007</w:t>
            </w:r>
          </w:p>
        </w:tc>
        <w:tc>
          <w:tcPr>
            <w:tcW w:w="1048" w:type="dxa"/>
            <w:vAlign w:val="center"/>
          </w:tcPr>
          <w:p w14:paraId="67C34A69" w14:textId="77777777" w:rsidR="0017624B" w:rsidRPr="00CE357F" w:rsidRDefault="0017624B" w:rsidP="0017624B">
            <w:pPr>
              <w:jc w:val="center"/>
              <w:rPr>
                <w:rFonts w:ascii="Arial Narrow" w:hAnsi="Arial Narrow"/>
                <w:bCs/>
                <w:sz w:val="18"/>
                <w:szCs w:val="18"/>
              </w:rPr>
            </w:pPr>
            <w:r w:rsidRPr="00CE357F">
              <w:rPr>
                <w:rFonts w:ascii="Arial Narrow" w:hAnsi="Arial Narrow"/>
                <w:sz w:val="18"/>
                <w:szCs w:val="18"/>
              </w:rPr>
              <w:t>2 431</w:t>
            </w:r>
          </w:p>
        </w:tc>
        <w:tc>
          <w:tcPr>
            <w:tcW w:w="1201" w:type="dxa"/>
            <w:vAlign w:val="center"/>
          </w:tcPr>
          <w:p w14:paraId="4A0A961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132D5C3C"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4E3815C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58A86508"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410</w:t>
            </w:r>
          </w:p>
        </w:tc>
        <w:tc>
          <w:tcPr>
            <w:tcW w:w="1695" w:type="dxa"/>
          </w:tcPr>
          <w:p w14:paraId="4F38D9C5"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5,9</w:t>
            </w:r>
          </w:p>
        </w:tc>
      </w:tr>
      <w:tr w:rsidR="0017624B" w:rsidRPr="00CE357F" w14:paraId="6E0E1CD0" w14:textId="77777777" w:rsidTr="0017624B">
        <w:trPr>
          <w:trHeight w:val="203"/>
        </w:trPr>
        <w:tc>
          <w:tcPr>
            <w:tcW w:w="930" w:type="dxa"/>
            <w:shd w:val="clear" w:color="auto" w:fill="D9E2F3" w:themeFill="accent1" w:themeFillTint="33"/>
            <w:vAlign w:val="center"/>
          </w:tcPr>
          <w:p w14:paraId="54D73DF2"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2006</w:t>
            </w:r>
          </w:p>
        </w:tc>
        <w:tc>
          <w:tcPr>
            <w:tcW w:w="1048" w:type="dxa"/>
            <w:vAlign w:val="center"/>
          </w:tcPr>
          <w:p w14:paraId="6070542A" w14:textId="77777777" w:rsidR="0017624B" w:rsidRPr="00CE357F" w:rsidRDefault="0017624B" w:rsidP="0017624B">
            <w:pPr>
              <w:jc w:val="center"/>
              <w:rPr>
                <w:rFonts w:ascii="Arial Narrow" w:hAnsi="Arial Narrow"/>
                <w:bCs/>
                <w:sz w:val="18"/>
                <w:szCs w:val="18"/>
              </w:rPr>
            </w:pPr>
            <w:r w:rsidRPr="00CE357F">
              <w:rPr>
                <w:rFonts w:ascii="Arial Narrow" w:hAnsi="Arial Narrow"/>
                <w:sz w:val="18"/>
                <w:szCs w:val="18"/>
              </w:rPr>
              <w:t>3 105</w:t>
            </w:r>
          </w:p>
        </w:tc>
        <w:tc>
          <w:tcPr>
            <w:tcW w:w="1201" w:type="dxa"/>
            <w:vAlign w:val="center"/>
          </w:tcPr>
          <w:p w14:paraId="5059B4A3"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1C73A1D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1B1479A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7B8C5050"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277</w:t>
            </w:r>
          </w:p>
        </w:tc>
        <w:tc>
          <w:tcPr>
            <w:tcW w:w="1695" w:type="dxa"/>
          </w:tcPr>
          <w:p w14:paraId="50F1F9EF"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11,2</w:t>
            </w:r>
          </w:p>
        </w:tc>
      </w:tr>
      <w:tr w:rsidR="0017624B" w:rsidRPr="00CE357F" w14:paraId="09F40206" w14:textId="77777777" w:rsidTr="0017624B">
        <w:trPr>
          <w:trHeight w:val="203"/>
        </w:trPr>
        <w:tc>
          <w:tcPr>
            <w:tcW w:w="930" w:type="dxa"/>
            <w:shd w:val="clear" w:color="auto" w:fill="D9E2F3" w:themeFill="accent1" w:themeFillTint="33"/>
            <w:vAlign w:val="center"/>
          </w:tcPr>
          <w:p w14:paraId="2E745358" w14:textId="77777777" w:rsidR="0017624B" w:rsidRPr="00CE357F" w:rsidRDefault="0017624B" w:rsidP="0017624B">
            <w:pPr>
              <w:jc w:val="center"/>
              <w:rPr>
                <w:rFonts w:ascii="Arial Narrow" w:hAnsi="Arial Narrow" w:cs="Arial"/>
                <w:b/>
                <w:sz w:val="18"/>
                <w:szCs w:val="18"/>
              </w:rPr>
            </w:pPr>
            <w:r w:rsidRPr="00CE357F">
              <w:rPr>
                <w:rFonts w:ascii="Arial Narrow" w:hAnsi="Arial Narrow" w:cs="Arial"/>
                <w:b/>
                <w:sz w:val="18"/>
                <w:szCs w:val="18"/>
              </w:rPr>
              <w:t>2005</w:t>
            </w:r>
          </w:p>
        </w:tc>
        <w:tc>
          <w:tcPr>
            <w:tcW w:w="1048" w:type="dxa"/>
            <w:vAlign w:val="center"/>
          </w:tcPr>
          <w:p w14:paraId="3FAE3381" w14:textId="77777777" w:rsidR="0017624B" w:rsidRPr="00CE357F" w:rsidRDefault="0017624B" w:rsidP="0017624B">
            <w:pPr>
              <w:jc w:val="center"/>
              <w:rPr>
                <w:rFonts w:ascii="Arial Narrow" w:hAnsi="Arial Narrow"/>
                <w:bCs/>
                <w:sz w:val="18"/>
                <w:szCs w:val="18"/>
              </w:rPr>
            </w:pPr>
            <w:r w:rsidRPr="00CE357F">
              <w:rPr>
                <w:rFonts w:ascii="Arial Narrow" w:eastAsia="Times New Roman" w:hAnsi="Arial Narrow" w:cs="Arial"/>
                <w:sz w:val="18"/>
                <w:szCs w:val="18"/>
                <w:lang w:eastAsia="cs-CZ"/>
              </w:rPr>
              <w:t>3 436</w:t>
            </w:r>
          </w:p>
        </w:tc>
        <w:tc>
          <w:tcPr>
            <w:tcW w:w="1201" w:type="dxa"/>
            <w:vAlign w:val="center"/>
          </w:tcPr>
          <w:p w14:paraId="18FAC238"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77" w:type="dxa"/>
            <w:vAlign w:val="center"/>
          </w:tcPr>
          <w:p w14:paraId="66F99677"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419" w:type="dxa"/>
            <w:vAlign w:val="center"/>
          </w:tcPr>
          <w:p w14:paraId="100E2EF2"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w:t>
            </w:r>
          </w:p>
        </w:tc>
        <w:tc>
          <w:tcPr>
            <w:tcW w:w="1282" w:type="dxa"/>
          </w:tcPr>
          <w:p w14:paraId="0B2BB9FB"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202</w:t>
            </w:r>
          </w:p>
        </w:tc>
        <w:tc>
          <w:tcPr>
            <w:tcW w:w="1695" w:type="dxa"/>
          </w:tcPr>
          <w:p w14:paraId="278A9146" w14:textId="77777777" w:rsidR="0017624B" w:rsidRPr="00CE357F" w:rsidRDefault="0017624B" w:rsidP="0017624B">
            <w:pPr>
              <w:jc w:val="center"/>
              <w:rPr>
                <w:rFonts w:ascii="Arial Narrow" w:hAnsi="Arial Narrow"/>
                <w:sz w:val="18"/>
                <w:szCs w:val="18"/>
              </w:rPr>
            </w:pPr>
            <w:r w:rsidRPr="00CE357F">
              <w:rPr>
                <w:rFonts w:ascii="Arial Narrow" w:hAnsi="Arial Narrow"/>
                <w:sz w:val="18"/>
                <w:szCs w:val="18"/>
              </w:rPr>
              <w:t>17,0</w:t>
            </w:r>
          </w:p>
        </w:tc>
      </w:tr>
    </w:tbl>
    <w:p w14:paraId="73D72C42" w14:textId="06162CEC" w:rsidR="00B835F6" w:rsidRPr="00572269" w:rsidRDefault="00B835F6" w:rsidP="00572269">
      <w:pPr>
        <w:spacing w:after="240" w:line="276" w:lineRule="auto"/>
        <w:rPr>
          <w:rFonts w:ascii="Arial Narrow" w:hAnsi="Arial Narrow"/>
          <w:sz w:val="20"/>
        </w:rPr>
      </w:pPr>
      <w:r w:rsidRPr="00CE357F">
        <w:rPr>
          <w:rFonts w:ascii="Arial Narrow" w:hAnsi="Arial Narrow"/>
          <w:color w:val="000000"/>
          <w:sz w:val="20"/>
          <w:lang w:eastAsia="cs-CZ"/>
        </w:rPr>
        <w:t xml:space="preserve">Zdroj: Ministerstvo Vnitra České republiky </w:t>
      </w:r>
      <w:bookmarkStart w:id="711" w:name="_Hlk94281625"/>
      <w:r w:rsidRPr="00CE357F">
        <w:rPr>
          <w:rFonts w:ascii="Arial Narrow" w:hAnsi="Arial Narrow"/>
          <w:color w:val="000000"/>
          <w:sz w:val="20"/>
          <w:lang w:eastAsia="cs-CZ"/>
        </w:rPr>
        <w:t xml:space="preserve">(data </w:t>
      </w:r>
      <w:r w:rsidR="00E95550" w:rsidRPr="00CE357F">
        <w:rPr>
          <w:rFonts w:ascii="Arial Narrow" w:hAnsi="Arial Narrow"/>
          <w:color w:val="000000"/>
          <w:sz w:val="20"/>
          <w:lang w:eastAsia="cs-CZ"/>
        </w:rPr>
        <w:t>za prosinec daného roku</w:t>
      </w:r>
      <w:r w:rsidRPr="00CE357F">
        <w:rPr>
          <w:rFonts w:ascii="Arial Narrow" w:hAnsi="Arial Narrow"/>
          <w:color w:val="000000"/>
          <w:sz w:val="20"/>
          <w:lang w:eastAsia="cs-CZ"/>
        </w:rPr>
        <w:t>)</w:t>
      </w:r>
      <w:bookmarkEnd w:id="711"/>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20C9C8E1" w14:textId="0F26C564" w:rsidR="00B835F6" w:rsidRPr="00CE357F" w:rsidRDefault="00B835F6" w:rsidP="00FE0538">
      <w:pPr>
        <w:pStyle w:val="Nadpis3"/>
        <w:ind w:left="709"/>
      </w:pPr>
      <w:bookmarkStart w:id="712" w:name="_Toc136876126"/>
      <w:r w:rsidRPr="00CE357F">
        <w:t>Osoby s jinou než českou státní příslušností zaměstnan</w:t>
      </w:r>
      <w:r w:rsidR="000600CC" w:rsidRPr="00CE357F">
        <w:t>é</w:t>
      </w:r>
      <w:r w:rsidRPr="00CE357F">
        <w:t xml:space="preserve"> v roce 2020 ve firmách na území ORP</w:t>
      </w:r>
      <w:bookmarkEnd w:id="712"/>
      <w:r w:rsidRPr="00CE357F">
        <w:t xml:space="preserve"> </w:t>
      </w:r>
    </w:p>
    <w:p w14:paraId="782C1E9A" w14:textId="77777777" w:rsidR="00B835F6" w:rsidRPr="00CE357F" w:rsidRDefault="00B835F6" w:rsidP="00B835F6">
      <w:pPr>
        <w:spacing w:line="276" w:lineRule="auto"/>
        <w:rPr>
          <w:rFonts w:ascii="Arial Narrow" w:hAnsi="Arial Narrow"/>
          <w:b/>
          <w:color w:val="2F5496" w:themeColor="accent1" w:themeShade="BF"/>
        </w:rPr>
      </w:pPr>
    </w:p>
    <w:p w14:paraId="4F9EE2FF" w14:textId="76B6B86B" w:rsidR="00B835F6" w:rsidRPr="00CE357F" w:rsidRDefault="00B835F6" w:rsidP="00B835F6">
      <w:pPr>
        <w:spacing w:line="276" w:lineRule="auto"/>
        <w:rPr>
          <w:rFonts w:ascii="Arial Narrow" w:hAnsi="Arial Narrow"/>
          <w:b/>
          <w:bCs/>
          <w:color w:val="C00000"/>
        </w:rPr>
      </w:pPr>
      <w:r w:rsidRPr="00CE357F">
        <w:rPr>
          <w:rFonts w:ascii="Arial Narrow" w:hAnsi="Arial Narrow"/>
          <w:b/>
          <w:bCs/>
          <w:color w:val="C00000"/>
        </w:rPr>
        <w:t xml:space="preserve">Soupis </w:t>
      </w:r>
      <w:r w:rsidR="00A533A2">
        <w:rPr>
          <w:rFonts w:ascii="Arial Narrow" w:hAnsi="Arial Narrow"/>
          <w:b/>
          <w:bCs/>
          <w:color w:val="C00000"/>
        </w:rPr>
        <w:t>významných</w:t>
      </w:r>
      <w:r w:rsidRPr="00CE357F">
        <w:rPr>
          <w:rFonts w:ascii="Arial Narrow" w:hAnsi="Arial Narrow"/>
          <w:b/>
          <w:bCs/>
          <w:color w:val="C00000"/>
        </w:rPr>
        <w:t xml:space="preserve"> zaměstnavatelů osob s jinou než českou státní příslušností v ORP Břeclav </w:t>
      </w:r>
    </w:p>
    <w:p w14:paraId="1D771D71" w14:textId="77777777" w:rsidR="00B835F6" w:rsidRPr="00CE357F" w:rsidRDefault="00B835F6" w:rsidP="00B835F6">
      <w:pPr>
        <w:spacing w:line="276" w:lineRule="auto"/>
        <w:rPr>
          <w:rFonts w:ascii="Arial Narrow" w:hAnsi="Arial Narrow"/>
          <w:b/>
          <w:bCs/>
          <w:color w:val="C00000"/>
        </w:rPr>
      </w:pPr>
    </w:p>
    <w:p w14:paraId="7DB1327E" w14:textId="77777777" w:rsidR="00B835F6" w:rsidRPr="00CE357F" w:rsidRDefault="00B835F6" w:rsidP="00B835F6">
      <w:pPr>
        <w:spacing w:after="120" w:line="276" w:lineRule="auto"/>
        <w:jc w:val="both"/>
        <w:rPr>
          <w:rFonts w:ascii="Arial Narrow" w:hAnsi="Arial Narrow"/>
        </w:rPr>
      </w:pPr>
      <w:r w:rsidRPr="00CE357F">
        <w:rPr>
          <w:rFonts w:ascii="Arial Narrow" w:hAnsi="Arial Narrow"/>
        </w:rPr>
        <w:t xml:space="preserve">Níže uvedená tabulka dokumentuje přehled zaměstnavatelů, u nichž bylo v rámci Průzkumu zaměstnanosti JMK prokazatelně identifikované, že v roce 2020 zaměstnávali alespoň 10 osob s jinou než českou státní příslušností. Přehled všech zaměstnavatelů, u nichž bylo prokazatelně identifikované, že v roce 2020 zaměstnávali alespoň 1 osobu s jinou než českou státní příslušností je z důvodu rozsahu součástí přílohy této zprávy.  </w:t>
      </w:r>
    </w:p>
    <w:p w14:paraId="11EAFFB1" w14:textId="3D28331C" w:rsidR="00B835F6" w:rsidRPr="00CE357F" w:rsidRDefault="00B835F6" w:rsidP="00B835F6">
      <w:pPr>
        <w:spacing w:after="120" w:line="276" w:lineRule="auto"/>
        <w:jc w:val="both"/>
        <w:rPr>
          <w:rFonts w:ascii="Arial Narrow" w:hAnsi="Arial Narrow"/>
        </w:rPr>
      </w:pPr>
      <w:r w:rsidRPr="00CE357F">
        <w:rPr>
          <w:rFonts w:ascii="Arial Narrow" w:hAnsi="Arial Narrow"/>
        </w:rPr>
        <w:t xml:space="preserve">Dle těchto údajů byla v ORP Břeclav v roce 2020 </w:t>
      </w:r>
      <w:r w:rsidR="00A533A2">
        <w:rPr>
          <w:rFonts w:ascii="Arial Narrow" w:hAnsi="Arial Narrow"/>
        </w:rPr>
        <w:t>významným</w:t>
      </w:r>
      <w:r w:rsidRPr="00CE357F">
        <w:rPr>
          <w:rFonts w:ascii="Arial Narrow" w:hAnsi="Arial Narrow"/>
        </w:rPr>
        <w:t xml:space="preserve"> zaměstnavatelem občanů s jinou než českou státní příslušností </w:t>
      </w:r>
      <w:r w:rsidRPr="00CE357F">
        <w:rPr>
          <w:rFonts w:ascii="Arial Narrow" w:hAnsi="Arial Narrow"/>
          <w:b/>
          <w:bCs/>
        </w:rPr>
        <w:t>Nemocnice Břeclav,</w:t>
      </w:r>
      <w:r w:rsidR="002D00E2" w:rsidRPr="00CE357F">
        <w:rPr>
          <w:rFonts w:ascii="Arial Narrow" w:hAnsi="Arial Narrow"/>
          <w:b/>
          <w:bCs/>
        </w:rPr>
        <w:t xml:space="preserve"> </w:t>
      </w:r>
      <w:proofErr w:type="spellStart"/>
      <w:r w:rsidR="002D00E2" w:rsidRPr="00CE357F">
        <w:rPr>
          <w:rFonts w:ascii="Arial Narrow" w:hAnsi="Arial Narrow"/>
          <w:b/>
          <w:bCs/>
        </w:rPr>
        <w:t>p.o</w:t>
      </w:r>
      <w:proofErr w:type="spellEnd"/>
      <w:r w:rsidR="002D00E2" w:rsidRPr="00CE357F">
        <w:rPr>
          <w:rFonts w:ascii="Arial Narrow" w:hAnsi="Arial Narrow"/>
          <w:b/>
          <w:bCs/>
        </w:rPr>
        <w:t>.</w:t>
      </w:r>
      <w:r w:rsidRPr="00CE357F">
        <w:rPr>
          <w:rFonts w:ascii="Arial Narrow" w:hAnsi="Arial Narrow"/>
          <w:b/>
          <w:bCs/>
        </w:rPr>
        <w:t>,</w:t>
      </w:r>
      <w:r w:rsidRPr="00CE357F">
        <w:rPr>
          <w:rFonts w:ascii="Arial Narrow" w:hAnsi="Arial Narrow"/>
        </w:rPr>
        <w:t xml:space="preserve"> která v roce 2020 zaměstnávala celkem 136 </w:t>
      </w:r>
      <w:r w:rsidRPr="00CE357F">
        <w:rPr>
          <w:rFonts w:ascii="Arial Narrow" w:hAnsi="Arial Narrow"/>
          <w:bCs/>
        </w:rPr>
        <w:t>osob s jinou než českou státní příslušností</w:t>
      </w:r>
      <w:r w:rsidRPr="00CE357F">
        <w:rPr>
          <w:rFonts w:ascii="Arial Narrow" w:hAnsi="Arial Narrow"/>
        </w:rPr>
        <w:t xml:space="preserve">, z toho 134 občanů SK a 2 občany třetích zemí. Ta v roce 2020 zaměstnávala 21,1 % všech zaměstnaných osob s jinou než českou státní příslušností v ORP Břeclav. Druhým </w:t>
      </w:r>
      <w:r w:rsidR="00A533A2">
        <w:rPr>
          <w:rFonts w:ascii="Arial Narrow" w:hAnsi="Arial Narrow"/>
        </w:rPr>
        <w:t>významným</w:t>
      </w:r>
      <w:r w:rsidRPr="00CE357F">
        <w:rPr>
          <w:rFonts w:ascii="Arial Narrow" w:hAnsi="Arial Narrow"/>
        </w:rPr>
        <w:t xml:space="preserve"> zaměstnavatelem byla podle těchto údajů firma </w:t>
      </w:r>
      <w:proofErr w:type="spellStart"/>
      <w:r w:rsidRPr="00CE357F">
        <w:rPr>
          <w:rFonts w:ascii="Arial Narrow" w:hAnsi="Arial Narrow"/>
          <w:b/>
          <w:bCs/>
        </w:rPr>
        <w:t>Legal</w:t>
      </w:r>
      <w:proofErr w:type="spellEnd"/>
      <w:r w:rsidRPr="00CE357F">
        <w:rPr>
          <w:rFonts w:ascii="Arial Narrow" w:hAnsi="Arial Narrow"/>
          <w:b/>
          <w:bCs/>
        </w:rPr>
        <w:t xml:space="preserve"> </w:t>
      </w:r>
      <w:proofErr w:type="spellStart"/>
      <w:r w:rsidRPr="00CE357F">
        <w:rPr>
          <w:rFonts w:ascii="Arial Narrow" w:hAnsi="Arial Narrow"/>
          <w:b/>
          <w:bCs/>
        </w:rPr>
        <w:t>Angery</w:t>
      </w:r>
      <w:proofErr w:type="spellEnd"/>
      <w:r w:rsidRPr="00CE357F">
        <w:rPr>
          <w:rFonts w:ascii="Arial Narrow" w:hAnsi="Arial Narrow"/>
          <w:b/>
          <w:bCs/>
        </w:rPr>
        <w:t xml:space="preserve"> s.r.o.,</w:t>
      </w:r>
      <w:r w:rsidRPr="00CE357F">
        <w:rPr>
          <w:rFonts w:ascii="Arial Narrow" w:hAnsi="Arial Narrow"/>
        </w:rPr>
        <w:t xml:space="preserve"> která v roce 2020 zaměstnávala 84 osob z nichž 52 byly občané EU/EHP a Švýcarska a 32 občany třetích zemí. Mezi další významné zaměstnavatele občanů s jinou než českou státní příslušností v ORP Břeclav patřili v roce 2020 firma </w:t>
      </w:r>
      <w:proofErr w:type="spellStart"/>
      <w:r w:rsidRPr="00CE357F">
        <w:rPr>
          <w:rFonts w:ascii="Arial Narrow" w:hAnsi="Arial Narrow"/>
        </w:rPr>
        <w:t>Perfect</w:t>
      </w:r>
      <w:proofErr w:type="spellEnd"/>
      <w:r w:rsidRPr="00CE357F">
        <w:rPr>
          <w:rFonts w:ascii="Arial Narrow" w:hAnsi="Arial Narrow"/>
        </w:rPr>
        <w:t xml:space="preserve"> </w:t>
      </w:r>
      <w:proofErr w:type="spellStart"/>
      <w:r w:rsidRPr="00CE357F">
        <w:rPr>
          <w:rFonts w:ascii="Arial Narrow" w:hAnsi="Arial Narrow"/>
        </w:rPr>
        <w:t>Agency</w:t>
      </w:r>
      <w:proofErr w:type="spellEnd"/>
      <w:r w:rsidRPr="00CE357F">
        <w:rPr>
          <w:rFonts w:ascii="Arial Narrow" w:hAnsi="Arial Narrow"/>
        </w:rPr>
        <w:t xml:space="preserve"> s.r.o., která zaměstnávala 38 občanů EU/EHP a Švýcarska a 24 občanů z třetích zemí, </w:t>
      </w:r>
      <w:proofErr w:type="spellStart"/>
      <w:r w:rsidRPr="00CE357F">
        <w:rPr>
          <w:rFonts w:ascii="Arial Narrow" w:hAnsi="Arial Narrow"/>
        </w:rPr>
        <w:t>Alca</w:t>
      </w:r>
      <w:proofErr w:type="spellEnd"/>
      <w:r w:rsidRPr="00CE357F">
        <w:rPr>
          <w:rFonts w:ascii="Arial Narrow" w:hAnsi="Arial Narrow"/>
        </w:rPr>
        <w:t xml:space="preserve"> plast s.r.o. (44 zaměstnanců z řad osob s jinou než českou státní příslušností) či firma Jižní Morava a.s. (39 zaměstnanců). </w:t>
      </w:r>
    </w:p>
    <w:p w14:paraId="7F5FDCC6" w14:textId="77777777" w:rsidR="00B835F6" w:rsidRPr="00CE357F" w:rsidRDefault="00B835F6" w:rsidP="00B835F6">
      <w:pPr>
        <w:spacing w:after="120" w:line="276" w:lineRule="auto"/>
        <w:jc w:val="both"/>
        <w:rPr>
          <w:rFonts w:ascii="Arial Narrow" w:hAnsi="Arial Narrow"/>
        </w:rPr>
      </w:pPr>
      <w:r w:rsidRPr="00CE357F">
        <w:rPr>
          <w:rFonts w:ascii="Arial Narrow" w:hAnsi="Arial Narrow"/>
        </w:rPr>
        <w:t>Z celkových 646 zaměstnanců-osob s jinou než českou státní příslušností jich bylo 79,9 % zaměstnaných v Břeclavi a 6,3 % v obci Tvrdonice.</w:t>
      </w:r>
    </w:p>
    <w:p w14:paraId="40ED7728" w14:textId="77777777" w:rsidR="0055565E" w:rsidRPr="00CE357F" w:rsidRDefault="0055565E" w:rsidP="00B835F6">
      <w:pPr>
        <w:spacing w:after="120" w:line="276" w:lineRule="auto"/>
        <w:jc w:val="both"/>
        <w:rPr>
          <w:rFonts w:ascii="Arial Narrow" w:hAnsi="Arial Narrow"/>
        </w:rPr>
      </w:pPr>
    </w:p>
    <w:p w14:paraId="1BA58FF8" w14:textId="785C2A02" w:rsidR="00B835F6" w:rsidRPr="00CE357F" w:rsidRDefault="008F4C72" w:rsidP="00C50D20">
      <w:pPr>
        <w:jc w:val="both"/>
        <w:rPr>
          <w:rFonts w:ascii="Arial Narrow" w:hAnsi="Arial Narrow"/>
          <w:b/>
          <w:bCs/>
          <w:sz w:val="24"/>
          <w:szCs w:val="24"/>
        </w:rPr>
      </w:pPr>
      <w:bookmarkStart w:id="713" w:name="_Toc136429257"/>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46</w:t>
      </w:r>
      <w:r w:rsidRPr="00CE357F">
        <w:rPr>
          <w:rFonts w:ascii="Arial Narrow" w:hAnsi="Arial Narrow"/>
          <w:b/>
          <w:bCs/>
          <w:sz w:val="20"/>
          <w:szCs w:val="20"/>
        </w:rPr>
        <w:fldChar w:fldCharType="end"/>
      </w:r>
      <w:r w:rsidR="00B835F6" w:rsidRPr="00CE357F">
        <w:rPr>
          <w:rFonts w:ascii="Arial Narrow" w:hAnsi="Arial Narrow"/>
          <w:b/>
          <w:bCs/>
          <w:sz w:val="20"/>
          <w:szCs w:val="20"/>
        </w:rPr>
        <w:t xml:space="preserve">:  </w:t>
      </w:r>
      <w:r w:rsidR="00B835F6" w:rsidRPr="00CE357F">
        <w:rPr>
          <w:rFonts w:ascii="Arial Narrow" w:eastAsia="Times New Roman" w:hAnsi="Arial Narrow" w:cs="Arial"/>
          <w:b/>
          <w:bCs/>
          <w:sz w:val="20"/>
          <w:szCs w:val="20"/>
          <w:lang w:eastAsia="cs-CZ"/>
        </w:rPr>
        <w:t xml:space="preserve">Soupis </w:t>
      </w:r>
      <w:r w:rsidR="00A533A2">
        <w:rPr>
          <w:rFonts w:ascii="Arial Narrow" w:eastAsia="Times New Roman" w:hAnsi="Arial Narrow" w:cs="Arial"/>
          <w:b/>
          <w:bCs/>
          <w:sz w:val="20"/>
          <w:szCs w:val="20"/>
          <w:lang w:eastAsia="cs-CZ"/>
        </w:rPr>
        <w:t>významných</w:t>
      </w:r>
      <w:r w:rsidR="00B835F6" w:rsidRPr="00CE357F">
        <w:rPr>
          <w:rFonts w:ascii="Arial Narrow" w:eastAsia="Times New Roman" w:hAnsi="Arial Narrow" w:cs="Arial"/>
          <w:b/>
          <w:bCs/>
          <w:sz w:val="20"/>
          <w:szCs w:val="20"/>
          <w:lang w:eastAsia="cs-CZ"/>
        </w:rPr>
        <w:t xml:space="preserve"> zaměstnavatelů osob s jinou než českou státní příslušností v ORP Břeclav</w:t>
      </w:r>
      <w:r w:rsidR="00C50D20" w:rsidRPr="00CE357F">
        <w:rPr>
          <w:rFonts w:ascii="Arial Narrow" w:eastAsia="Times New Roman" w:hAnsi="Arial Narrow" w:cs="Arial"/>
          <w:b/>
          <w:bCs/>
          <w:sz w:val="20"/>
          <w:szCs w:val="20"/>
          <w:lang w:eastAsia="cs-CZ"/>
        </w:rPr>
        <w:t xml:space="preserve"> v roce 20</w:t>
      </w:r>
      <w:r w:rsidR="00B835F6" w:rsidRPr="00CE357F">
        <w:rPr>
          <w:rFonts w:ascii="Arial Narrow" w:eastAsia="Times New Roman" w:hAnsi="Arial Narrow" w:cs="Arial"/>
          <w:b/>
          <w:bCs/>
          <w:sz w:val="20"/>
          <w:szCs w:val="20"/>
          <w:lang w:eastAsia="cs-CZ"/>
        </w:rPr>
        <w:t>20</w:t>
      </w:r>
      <w:bookmarkEnd w:id="713"/>
    </w:p>
    <w:tbl>
      <w:tblPr>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974"/>
        <w:gridCol w:w="2919"/>
        <w:gridCol w:w="816"/>
        <w:gridCol w:w="2049"/>
        <w:gridCol w:w="1572"/>
        <w:gridCol w:w="850"/>
      </w:tblGrid>
      <w:tr w:rsidR="00B835F6" w:rsidRPr="00CE357F" w14:paraId="457F7D3C" w14:textId="77777777" w:rsidTr="002D00E2">
        <w:trPr>
          <w:trHeight w:val="255"/>
        </w:trPr>
        <w:tc>
          <w:tcPr>
            <w:tcW w:w="974" w:type="dxa"/>
            <w:vMerge w:val="restart"/>
            <w:shd w:val="clear" w:color="auto" w:fill="D9E2F3" w:themeFill="accent1" w:themeFillTint="33"/>
            <w:vAlign w:val="center"/>
            <w:hideMark/>
          </w:tcPr>
          <w:p w14:paraId="3990D01F"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lastRenderedPageBreak/>
              <w:t>Obec</w:t>
            </w:r>
          </w:p>
        </w:tc>
        <w:tc>
          <w:tcPr>
            <w:tcW w:w="2919" w:type="dxa"/>
            <w:vMerge w:val="restart"/>
            <w:shd w:val="clear" w:color="auto" w:fill="D9E2F3" w:themeFill="accent1" w:themeFillTint="33"/>
            <w:vAlign w:val="center"/>
            <w:hideMark/>
          </w:tcPr>
          <w:p w14:paraId="038D037E"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Název zaměstnavatele</w:t>
            </w:r>
          </w:p>
        </w:tc>
        <w:tc>
          <w:tcPr>
            <w:tcW w:w="5287" w:type="dxa"/>
            <w:gridSpan w:val="4"/>
            <w:shd w:val="clear" w:color="auto" w:fill="D9E2F3" w:themeFill="accent1" w:themeFillTint="33"/>
            <w:vAlign w:val="center"/>
          </w:tcPr>
          <w:p w14:paraId="53CB9E29"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Zaměstnané osoby s jinou než českou státní příslušností</w:t>
            </w:r>
          </w:p>
        </w:tc>
      </w:tr>
      <w:tr w:rsidR="00B835F6" w:rsidRPr="00CE357F" w14:paraId="387F56AF" w14:textId="77777777" w:rsidTr="002D00E2">
        <w:trPr>
          <w:trHeight w:val="545"/>
        </w:trPr>
        <w:tc>
          <w:tcPr>
            <w:tcW w:w="974" w:type="dxa"/>
            <w:vMerge/>
            <w:shd w:val="clear" w:color="auto" w:fill="D9E2F3" w:themeFill="accent1" w:themeFillTint="33"/>
            <w:vAlign w:val="center"/>
            <w:hideMark/>
          </w:tcPr>
          <w:p w14:paraId="46F447AE" w14:textId="77777777" w:rsidR="00B835F6" w:rsidRPr="00CE357F" w:rsidRDefault="00B835F6" w:rsidP="002D00E2">
            <w:pPr>
              <w:jc w:val="center"/>
              <w:rPr>
                <w:rFonts w:ascii="Arial Narrow" w:eastAsia="Times New Roman" w:hAnsi="Arial Narrow" w:cs="Arial"/>
                <w:b/>
                <w:bCs/>
                <w:sz w:val="18"/>
                <w:szCs w:val="18"/>
                <w:lang w:eastAsia="cs-CZ"/>
              </w:rPr>
            </w:pPr>
          </w:p>
        </w:tc>
        <w:tc>
          <w:tcPr>
            <w:tcW w:w="2919" w:type="dxa"/>
            <w:vMerge/>
            <w:shd w:val="clear" w:color="auto" w:fill="D9E2F3" w:themeFill="accent1" w:themeFillTint="33"/>
            <w:vAlign w:val="center"/>
            <w:hideMark/>
          </w:tcPr>
          <w:p w14:paraId="246EB2BB" w14:textId="77777777" w:rsidR="00B835F6" w:rsidRPr="00CE357F" w:rsidRDefault="00B835F6" w:rsidP="002D00E2">
            <w:pPr>
              <w:jc w:val="center"/>
              <w:rPr>
                <w:rFonts w:ascii="Arial Narrow" w:eastAsia="Times New Roman" w:hAnsi="Arial Narrow" w:cs="Arial"/>
                <w:b/>
                <w:bCs/>
                <w:sz w:val="18"/>
                <w:szCs w:val="18"/>
                <w:lang w:eastAsia="cs-CZ"/>
              </w:rPr>
            </w:pPr>
          </w:p>
        </w:tc>
        <w:tc>
          <w:tcPr>
            <w:tcW w:w="816" w:type="dxa"/>
            <w:shd w:val="clear" w:color="auto" w:fill="D9E2F3" w:themeFill="accent1" w:themeFillTint="33"/>
            <w:vAlign w:val="center"/>
          </w:tcPr>
          <w:p w14:paraId="45CB8594"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SK</w:t>
            </w:r>
          </w:p>
        </w:tc>
        <w:tc>
          <w:tcPr>
            <w:tcW w:w="2049" w:type="dxa"/>
            <w:shd w:val="clear" w:color="auto" w:fill="D9E2F3" w:themeFill="accent1" w:themeFillTint="33"/>
            <w:vAlign w:val="center"/>
          </w:tcPr>
          <w:p w14:paraId="2BD049D8"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EU/EHP a Švýcarska (mimo občanů SK)</w:t>
            </w:r>
          </w:p>
        </w:tc>
        <w:tc>
          <w:tcPr>
            <w:tcW w:w="1572" w:type="dxa"/>
            <w:shd w:val="clear" w:color="auto" w:fill="D9E2F3" w:themeFill="accent1" w:themeFillTint="33"/>
            <w:vAlign w:val="center"/>
          </w:tcPr>
          <w:p w14:paraId="70ADBD74"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ostatních zemí (celkem)</w:t>
            </w:r>
          </w:p>
        </w:tc>
        <w:tc>
          <w:tcPr>
            <w:tcW w:w="850" w:type="dxa"/>
            <w:shd w:val="clear" w:color="auto" w:fill="D9E2F3" w:themeFill="accent1" w:themeFillTint="33"/>
            <w:vAlign w:val="center"/>
          </w:tcPr>
          <w:p w14:paraId="544A111D"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w:t>
            </w:r>
          </w:p>
        </w:tc>
      </w:tr>
      <w:tr w:rsidR="00B835F6" w:rsidRPr="00CE357F" w14:paraId="57B74533" w14:textId="77777777" w:rsidTr="002D00E2">
        <w:trPr>
          <w:trHeight w:val="227"/>
        </w:trPr>
        <w:tc>
          <w:tcPr>
            <w:tcW w:w="974" w:type="dxa"/>
            <w:shd w:val="clear" w:color="auto" w:fill="D9E2F3" w:themeFill="accent1" w:themeFillTint="33"/>
            <w:vAlign w:val="center"/>
          </w:tcPr>
          <w:p w14:paraId="082D468D"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Břeclav</w:t>
            </w:r>
          </w:p>
        </w:tc>
        <w:tc>
          <w:tcPr>
            <w:tcW w:w="2919" w:type="dxa"/>
            <w:vAlign w:val="center"/>
          </w:tcPr>
          <w:p w14:paraId="4BF853EE"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sz w:val="18"/>
                <w:szCs w:val="18"/>
              </w:rPr>
              <w:t>Nemocnice Břeclav, příspěvková organizace</w:t>
            </w:r>
          </w:p>
        </w:tc>
        <w:tc>
          <w:tcPr>
            <w:tcW w:w="816" w:type="dxa"/>
            <w:vAlign w:val="center"/>
          </w:tcPr>
          <w:p w14:paraId="10B8C0F5" w14:textId="77777777" w:rsidR="00B835F6" w:rsidRPr="00CE357F" w:rsidRDefault="00B835F6" w:rsidP="002D00E2">
            <w:pPr>
              <w:jc w:val="center"/>
              <w:rPr>
                <w:rFonts w:ascii="Arial Narrow" w:hAnsi="Arial Narrow" w:cs="Arial"/>
                <w:b/>
                <w:bCs/>
                <w:sz w:val="18"/>
                <w:szCs w:val="18"/>
              </w:rPr>
            </w:pPr>
            <w:r w:rsidRPr="00CE357F">
              <w:rPr>
                <w:rFonts w:ascii="Arial Narrow" w:hAnsi="Arial Narrow"/>
                <w:color w:val="000000"/>
                <w:sz w:val="18"/>
                <w:szCs w:val="18"/>
              </w:rPr>
              <w:t>134</w:t>
            </w:r>
          </w:p>
        </w:tc>
        <w:tc>
          <w:tcPr>
            <w:tcW w:w="2049" w:type="dxa"/>
            <w:vAlign w:val="center"/>
          </w:tcPr>
          <w:p w14:paraId="1ACF3546" w14:textId="77777777" w:rsidR="00B835F6" w:rsidRPr="00CE357F" w:rsidRDefault="00B835F6" w:rsidP="002D00E2">
            <w:pPr>
              <w:jc w:val="center"/>
              <w:rPr>
                <w:rFonts w:ascii="Arial Narrow" w:hAnsi="Arial Narrow" w:cs="Arial"/>
                <w:b/>
                <w:bCs/>
                <w:sz w:val="18"/>
                <w:szCs w:val="18"/>
              </w:rPr>
            </w:pPr>
            <w:r w:rsidRPr="00CE357F">
              <w:rPr>
                <w:rFonts w:ascii="Arial Narrow" w:hAnsi="Arial Narrow"/>
                <w:color w:val="000000"/>
                <w:sz w:val="18"/>
                <w:szCs w:val="18"/>
              </w:rPr>
              <w:t>0</w:t>
            </w:r>
          </w:p>
        </w:tc>
        <w:tc>
          <w:tcPr>
            <w:tcW w:w="1572" w:type="dxa"/>
            <w:vAlign w:val="center"/>
          </w:tcPr>
          <w:p w14:paraId="1A3B6FBC" w14:textId="77777777" w:rsidR="00B835F6" w:rsidRPr="00CE357F" w:rsidRDefault="00B835F6" w:rsidP="002D00E2">
            <w:pPr>
              <w:jc w:val="center"/>
              <w:rPr>
                <w:rFonts w:ascii="Arial Narrow" w:hAnsi="Arial Narrow" w:cs="Arial"/>
                <w:b/>
                <w:bCs/>
                <w:sz w:val="18"/>
                <w:szCs w:val="18"/>
              </w:rPr>
            </w:pPr>
            <w:r w:rsidRPr="00CE357F">
              <w:rPr>
                <w:rFonts w:ascii="Arial Narrow" w:hAnsi="Arial Narrow"/>
                <w:color w:val="000000"/>
                <w:sz w:val="18"/>
                <w:szCs w:val="18"/>
              </w:rPr>
              <w:t>2</w:t>
            </w:r>
          </w:p>
        </w:tc>
        <w:tc>
          <w:tcPr>
            <w:tcW w:w="850" w:type="dxa"/>
            <w:vAlign w:val="center"/>
          </w:tcPr>
          <w:p w14:paraId="753A46B3" w14:textId="77777777" w:rsidR="00B835F6" w:rsidRPr="00CE357F" w:rsidRDefault="00B835F6" w:rsidP="002D00E2">
            <w:pPr>
              <w:jc w:val="center"/>
              <w:rPr>
                <w:rFonts w:ascii="Arial Narrow" w:hAnsi="Arial Narrow" w:cs="Arial"/>
                <w:b/>
                <w:bCs/>
                <w:sz w:val="18"/>
                <w:szCs w:val="18"/>
              </w:rPr>
            </w:pPr>
            <w:r w:rsidRPr="00CE357F">
              <w:rPr>
                <w:rFonts w:ascii="Arial Narrow" w:hAnsi="Arial Narrow"/>
                <w:b/>
                <w:bCs/>
                <w:color w:val="000000"/>
                <w:sz w:val="18"/>
                <w:szCs w:val="18"/>
              </w:rPr>
              <w:t>136</w:t>
            </w:r>
          </w:p>
        </w:tc>
      </w:tr>
      <w:tr w:rsidR="00B835F6" w:rsidRPr="00CE357F" w14:paraId="33D8892C" w14:textId="77777777" w:rsidTr="002D00E2">
        <w:trPr>
          <w:trHeight w:val="227"/>
        </w:trPr>
        <w:tc>
          <w:tcPr>
            <w:tcW w:w="974" w:type="dxa"/>
            <w:shd w:val="clear" w:color="auto" w:fill="D9E2F3" w:themeFill="accent1" w:themeFillTint="33"/>
            <w:vAlign w:val="center"/>
          </w:tcPr>
          <w:p w14:paraId="2CE69F41"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Břeclav</w:t>
            </w:r>
          </w:p>
        </w:tc>
        <w:tc>
          <w:tcPr>
            <w:tcW w:w="2919" w:type="dxa"/>
            <w:vAlign w:val="center"/>
          </w:tcPr>
          <w:p w14:paraId="26783F68" w14:textId="77777777" w:rsidR="00B835F6" w:rsidRPr="00CE357F" w:rsidRDefault="00B835F6" w:rsidP="002D00E2">
            <w:pPr>
              <w:jc w:val="center"/>
              <w:rPr>
                <w:rFonts w:ascii="Arial Narrow" w:eastAsia="Times New Roman" w:hAnsi="Arial Narrow" w:cs="Arial"/>
                <w:sz w:val="18"/>
                <w:szCs w:val="18"/>
                <w:lang w:eastAsia="cs-CZ"/>
              </w:rPr>
            </w:pPr>
            <w:proofErr w:type="spellStart"/>
            <w:r w:rsidRPr="00CE357F">
              <w:rPr>
                <w:rFonts w:ascii="Arial Narrow" w:hAnsi="Arial Narrow"/>
                <w:sz w:val="18"/>
                <w:szCs w:val="18"/>
              </w:rPr>
              <w:t>Legal</w:t>
            </w:r>
            <w:proofErr w:type="spellEnd"/>
            <w:r w:rsidRPr="00CE357F">
              <w:rPr>
                <w:rFonts w:ascii="Arial Narrow" w:hAnsi="Arial Narrow"/>
                <w:sz w:val="18"/>
                <w:szCs w:val="18"/>
              </w:rPr>
              <w:t xml:space="preserve"> </w:t>
            </w:r>
            <w:proofErr w:type="spellStart"/>
            <w:r w:rsidRPr="00CE357F">
              <w:rPr>
                <w:rFonts w:ascii="Arial Narrow" w:hAnsi="Arial Narrow"/>
                <w:sz w:val="18"/>
                <w:szCs w:val="18"/>
              </w:rPr>
              <w:t>Agenry</w:t>
            </w:r>
            <w:proofErr w:type="spellEnd"/>
            <w:r w:rsidRPr="00CE357F">
              <w:rPr>
                <w:rFonts w:ascii="Arial Narrow" w:hAnsi="Arial Narrow"/>
                <w:sz w:val="18"/>
                <w:szCs w:val="18"/>
              </w:rPr>
              <w:t xml:space="preserve"> s.r.o.</w:t>
            </w:r>
          </w:p>
        </w:tc>
        <w:tc>
          <w:tcPr>
            <w:tcW w:w="816" w:type="dxa"/>
            <w:vAlign w:val="center"/>
          </w:tcPr>
          <w:p w14:paraId="6E25347F"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0</w:t>
            </w:r>
          </w:p>
        </w:tc>
        <w:tc>
          <w:tcPr>
            <w:tcW w:w="2049" w:type="dxa"/>
            <w:vAlign w:val="center"/>
          </w:tcPr>
          <w:p w14:paraId="245BE36D"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52</w:t>
            </w:r>
          </w:p>
        </w:tc>
        <w:tc>
          <w:tcPr>
            <w:tcW w:w="1572" w:type="dxa"/>
            <w:vAlign w:val="center"/>
          </w:tcPr>
          <w:p w14:paraId="743086AA"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32</w:t>
            </w:r>
          </w:p>
        </w:tc>
        <w:tc>
          <w:tcPr>
            <w:tcW w:w="850" w:type="dxa"/>
            <w:vAlign w:val="center"/>
          </w:tcPr>
          <w:p w14:paraId="04AB1F33"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84</w:t>
            </w:r>
          </w:p>
        </w:tc>
      </w:tr>
      <w:tr w:rsidR="00B835F6" w:rsidRPr="00CE357F" w14:paraId="53776FCA" w14:textId="77777777" w:rsidTr="002D00E2">
        <w:trPr>
          <w:trHeight w:val="227"/>
        </w:trPr>
        <w:tc>
          <w:tcPr>
            <w:tcW w:w="974" w:type="dxa"/>
            <w:shd w:val="clear" w:color="auto" w:fill="D9E2F3" w:themeFill="accent1" w:themeFillTint="33"/>
            <w:vAlign w:val="center"/>
          </w:tcPr>
          <w:p w14:paraId="151325D1"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Břeclav</w:t>
            </w:r>
          </w:p>
        </w:tc>
        <w:tc>
          <w:tcPr>
            <w:tcW w:w="2919" w:type="dxa"/>
            <w:vAlign w:val="center"/>
          </w:tcPr>
          <w:p w14:paraId="1A9E8BAF" w14:textId="77777777" w:rsidR="00B835F6" w:rsidRPr="00CE357F" w:rsidRDefault="00B835F6" w:rsidP="002D00E2">
            <w:pPr>
              <w:jc w:val="center"/>
              <w:rPr>
                <w:rFonts w:ascii="Arial Narrow" w:eastAsia="Times New Roman" w:hAnsi="Arial Narrow" w:cs="Arial"/>
                <w:sz w:val="18"/>
                <w:szCs w:val="18"/>
                <w:lang w:eastAsia="cs-CZ"/>
              </w:rPr>
            </w:pPr>
            <w:proofErr w:type="spellStart"/>
            <w:r w:rsidRPr="00CE357F">
              <w:rPr>
                <w:rFonts w:ascii="Arial Narrow" w:hAnsi="Arial Narrow"/>
                <w:sz w:val="18"/>
                <w:szCs w:val="18"/>
              </w:rPr>
              <w:t>Perfect</w:t>
            </w:r>
            <w:proofErr w:type="spellEnd"/>
            <w:r w:rsidRPr="00CE357F">
              <w:rPr>
                <w:rFonts w:ascii="Arial Narrow" w:hAnsi="Arial Narrow"/>
                <w:sz w:val="18"/>
                <w:szCs w:val="18"/>
              </w:rPr>
              <w:t xml:space="preserve"> </w:t>
            </w:r>
            <w:proofErr w:type="spellStart"/>
            <w:r w:rsidRPr="00CE357F">
              <w:rPr>
                <w:rFonts w:ascii="Arial Narrow" w:hAnsi="Arial Narrow"/>
                <w:sz w:val="18"/>
                <w:szCs w:val="18"/>
              </w:rPr>
              <w:t>Agency</w:t>
            </w:r>
            <w:proofErr w:type="spellEnd"/>
            <w:r w:rsidRPr="00CE357F">
              <w:rPr>
                <w:rFonts w:ascii="Arial Narrow" w:hAnsi="Arial Narrow"/>
                <w:sz w:val="18"/>
                <w:szCs w:val="18"/>
              </w:rPr>
              <w:t xml:space="preserve"> s.r.o.</w:t>
            </w:r>
          </w:p>
        </w:tc>
        <w:tc>
          <w:tcPr>
            <w:tcW w:w="816" w:type="dxa"/>
            <w:vAlign w:val="center"/>
          </w:tcPr>
          <w:p w14:paraId="4F617A5C"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0</w:t>
            </w:r>
          </w:p>
        </w:tc>
        <w:tc>
          <w:tcPr>
            <w:tcW w:w="2049" w:type="dxa"/>
            <w:vAlign w:val="center"/>
          </w:tcPr>
          <w:p w14:paraId="69A007B1"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38</w:t>
            </w:r>
          </w:p>
        </w:tc>
        <w:tc>
          <w:tcPr>
            <w:tcW w:w="1572" w:type="dxa"/>
            <w:vAlign w:val="center"/>
          </w:tcPr>
          <w:p w14:paraId="3B53FD33"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24</w:t>
            </w:r>
          </w:p>
        </w:tc>
        <w:tc>
          <w:tcPr>
            <w:tcW w:w="850" w:type="dxa"/>
            <w:vAlign w:val="center"/>
          </w:tcPr>
          <w:p w14:paraId="20255696"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62</w:t>
            </w:r>
          </w:p>
        </w:tc>
      </w:tr>
      <w:tr w:rsidR="00B835F6" w:rsidRPr="00CE357F" w14:paraId="352D03D4" w14:textId="77777777" w:rsidTr="002D00E2">
        <w:trPr>
          <w:trHeight w:val="227"/>
        </w:trPr>
        <w:tc>
          <w:tcPr>
            <w:tcW w:w="974" w:type="dxa"/>
            <w:shd w:val="clear" w:color="auto" w:fill="D9E2F3" w:themeFill="accent1" w:themeFillTint="33"/>
            <w:vAlign w:val="center"/>
          </w:tcPr>
          <w:p w14:paraId="2808742C"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Břeclav</w:t>
            </w:r>
          </w:p>
        </w:tc>
        <w:tc>
          <w:tcPr>
            <w:tcW w:w="2919" w:type="dxa"/>
            <w:vAlign w:val="center"/>
          </w:tcPr>
          <w:p w14:paraId="675D8304" w14:textId="77777777" w:rsidR="00B835F6" w:rsidRPr="00CE357F" w:rsidRDefault="00B835F6" w:rsidP="002D00E2">
            <w:pPr>
              <w:jc w:val="center"/>
              <w:rPr>
                <w:rFonts w:ascii="Arial Narrow" w:eastAsia="Times New Roman" w:hAnsi="Arial Narrow" w:cs="Arial"/>
                <w:sz w:val="18"/>
                <w:szCs w:val="18"/>
                <w:lang w:eastAsia="cs-CZ"/>
              </w:rPr>
            </w:pPr>
            <w:proofErr w:type="spellStart"/>
            <w:r w:rsidRPr="00CE357F">
              <w:rPr>
                <w:rFonts w:ascii="Arial Narrow" w:hAnsi="Arial Narrow"/>
                <w:sz w:val="18"/>
                <w:szCs w:val="18"/>
              </w:rPr>
              <w:t>Alca</w:t>
            </w:r>
            <w:proofErr w:type="spellEnd"/>
            <w:r w:rsidRPr="00CE357F">
              <w:rPr>
                <w:rFonts w:ascii="Arial Narrow" w:hAnsi="Arial Narrow"/>
                <w:sz w:val="18"/>
                <w:szCs w:val="18"/>
              </w:rPr>
              <w:t xml:space="preserve"> plast, s.r.o.</w:t>
            </w:r>
          </w:p>
        </w:tc>
        <w:tc>
          <w:tcPr>
            <w:tcW w:w="816" w:type="dxa"/>
            <w:vAlign w:val="center"/>
          </w:tcPr>
          <w:p w14:paraId="097811CA"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27</w:t>
            </w:r>
          </w:p>
        </w:tc>
        <w:tc>
          <w:tcPr>
            <w:tcW w:w="2049" w:type="dxa"/>
            <w:vAlign w:val="center"/>
          </w:tcPr>
          <w:p w14:paraId="5E4F23FC"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3</w:t>
            </w:r>
          </w:p>
        </w:tc>
        <w:tc>
          <w:tcPr>
            <w:tcW w:w="1572" w:type="dxa"/>
            <w:vAlign w:val="center"/>
          </w:tcPr>
          <w:p w14:paraId="1D245DD4"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14</w:t>
            </w:r>
          </w:p>
        </w:tc>
        <w:tc>
          <w:tcPr>
            <w:tcW w:w="850" w:type="dxa"/>
            <w:vAlign w:val="center"/>
          </w:tcPr>
          <w:p w14:paraId="17305B58"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44</w:t>
            </w:r>
          </w:p>
        </w:tc>
      </w:tr>
      <w:tr w:rsidR="00B835F6" w:rsidRPr="00CE357F" w14:paraId="16A5F4FF" w14:textId="77777777" w:rsidTr="002D00E2">
        <w:trPr>
          <w:trHeight w:val="227"/>
        </w:trPr>
        <w:tc>
          <w:tcPr>
            <w:tcW w:w="974" w:type="dxa"/>
            <w:shd w:val="clear" w:color="auto" w:fill="D9E2F3" w:themeFill="accent1" w:themeFillTint="33"/>
            <w:vAlign w:val="center"/>
          </w:tcPr>
          <w:p w14:paraId="1AF8B316"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Tvrdonice</w:t>
            </w:r>
          </w:p>
        </w:tc>
        <w:tc>
          <w:tcPr>
            <w:tcW w:w="2919" w:type="dxa"/>
            <w:vAlign w:val="center"/>
          </w:tcPr>
          <w:p w14:paraId="51FB0904"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sz w:val="18"/>
                <w:szCs w:val="18"/>
              </w:rPr>
              <w:t>Jižní Morava, a.s.</w:t>
            </w:r>
          </w:p>
        </w:tc>
        <w:tc>
          <w:tcPr>
            <w:tcW w:w="816" w:type="dxa"/>
            <w:vAlign w:val="center"/>
          </w:tcPr>
          <w:p w14:paraId="2695B6DF"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3</w:t>
            </w:r>
          </w:p>
        </w:tc>
        <w:tc>
          <w:tcPr>
            <w:tcW w:w="2049" w:type="dxa"/>
            <w:vAlign w:val="center"/>
          </w:tcPr>
          <w:p w14:paraId="58954960"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w:t>
            </w:r>
          </w:p>
        </w:tc>
        <w:tc>
          <w:tcPr>
            <w:tcW w:w="1572" w:type="dxa"/>
            <w:vAlign w:val="center"/>
          </w:tcPr>
          <w:p w14:paraId="722CC2D6"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36</w:t>
            </w:r>
          </w:p>
        </w:tc>
        <w:tc>
          <w:tcPr>
            <w:tcW w:w="850" w:type="dxa"/>
            <w:vAlign w:val="center"/>
          </w:tcPr>
          <w:p w14:paraId="3A3B7937"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39</w:t>
            </w:r>
          </w:p>
        </w:tc>
      </w:tr>
      <w:tr w:rsidR="00B835F6" w:rsidRPr="00CE357F" w14:paraId="47AC1274" w14:textId="77777777" w:rsidTr="002D00E2">
        <w:trPr>
          <w:trHeight w:val="227"/>
        </w:trPr>
        <w:tc>
          <w:tcPr>
            <w:tcW w:w="974" w:type="dxa"/>
            <w:shd w:val="clear" w:color="auto" w:fill="D9E2F3" w:themeFill="accent1" w:themeFillTint="33"/>
            <w:vAlign w:val="center"/>
          </w:tcPr>
          <w:p w14:paraId="77B48F15"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Břeclav</w:t>
            </w:r>
          </w:p>
        </w:tc>
        <w:tc>
          <w:tcPr>
            <w:tcW w:w="2919" w:type="dxa"/>
            <w:vAlign w:val="center"/>
          </w:tcPr>
          <w:p w14:paraId="64E21E86" w14:textId="77777777" w:rsidR="00B835F6" w:rsidRPr="00CE357F" w:rsidRDefault="00B835F6" w:rsidP="002D00E2">
            <w:pPr>
              <w:jc w:val="center"/>
              <w:rPr>
                <w:rFonts w:ascii="Arial Narrow" w:eastAsia="Times New Roman" w:hAnsi="Arial Narrow" w:cs="Arial"/>
                <w:sz w:val="18"/>
                <w:szCs w:val="18"/>
                <w:lang w:eastAsia="cs-CZ"/>
              </w:rPr>
            </w:pPr>
            <w:proofErr w:type="spellStart"/>
            <w:r w:rsidRPr="00CE357F">
              <w:rPr>
                <w:rFonts w:ascii="Arial Narrow" w:hAnsi="Arial Narrow"/>
                <w:sz w:val="18"/>
                <w:szCs w:val="18"/>
              </w:rPr>
              <w:t>Walstead</w:t>
            </w:r>
            <w:proofErr w:type="spellEnd"/>
            <w:r w:rsidRPr="00CE357F">
              <w:rPr>
                <w:rFonts w:ascii="Arial Narrow" w:hAnsi="Arial Narrow"/>
                <w:sz w:val="18"/>
                <w:szCs w:val="18"/>
              </w:rPr>
              <w:t xml:space="preserve"> </w:t>
            </w:r>
            <w:proofErr w:type="spellStart"/>
            <w:r w:rsidRPr="00CE357F">
              <w:rPr>
                <w:rFonts w:ascii="Arial Narrow" w:hAnsi="Arial Narrow"/>
                <w:sz w:val="18"/>
                <w:szCs w:val="18"/>
              </w:rPr>
              <w:t>Moraviapress</w:t>
            </w:r>
            <w:proofErr w:type="spellEnd"/>
            <w:r w:rsidRPr="00CE357F">
              <w:rPr>
                <w:rFonts w:ascii="Arial Narrow" w:hAnsi="Arial Narrow"/>
                <w:sz w:val="18"/>
                <w:szCs w:val="18"/>
              </w:rPr>
              <w:t xml:space="preserve"> s.r.o.</w:t>
            </w:r>
          </w:p>
        </w:tc>
        <w:tc>
          <w:tcPr>
            <w:tcW w:w="816" w:type="dxa"/>
            <w:vAlign w:val="center"/>
          </w:tcPr>
          <w:p w14:paraId="51B9EB4C"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27</w:t>
            </w:r>
          </w:p>
        </w:tc>
        <w:tc>
          <w:tcPr>
            <w:tcW w:w="2049" w:type="dxa"/>
            <w:vAlign w:val="center"/>
          </w:tcPr>
          <w:p w14:paraId="64849CAC"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1</w:t>
            </w:r>
          </w:p>
        </w:tc>
        <w:tc>
          <w:tcPr>
            <w:tcW w:w="1572" w:type="dxa"/>
            <w:vAlign w:val="center"/>
          </w:tcPr>
          <w:p w14:paraId="4E7B5910"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1</w:t>
            </w:r>
          </w:p>
        </w:tc>
        <w:tc>
          <w:tcPr>
            <w:tcW w:w="850" w:type="dxa"/>
            <w:vAlign w:val="center"/>
          </w:tcPr>
          <w:p w14:paraId="6D1487D6"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29</w:t>
            </w:r>
          </w:p>
        </w:tc>
      </w:tr>
      <w:tr w:rsidR="00B835F6" w:rsidRPr="00CE357F" w14:paraId="017F6A2E" w14:textId="77777777" w:rsidTr="002D00E2">
        <w:trPr>
          <w:trHeight w:val="227"/>
        </w:trPr>
        <w:tc>
          <w:tcPr>
            <w:tcW w:w="974" w:type="dxa"/>
            <w:shd w:val="clear" w:color="auto" w:fill="D9E2F3" w:themeFill="accent1" w:themeFillTint="33"/>
            <w:vAlign w:val="center"/>
          </w:tcPr>
          <w:p w14:paraId="2F4CD3C5"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Břeclav</w:t>
            </w:r>
          </w:p>
        </w:tc>
        <w:tc>
          <w:tcPr>
            <w:tcW w:w="2919" w:type="dxa"/>
            <w:vAlign w:val="center"/>
          </w:tcPr>
          <w:p w14:paraId="3164E810"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sz w:val="18"/>
                <w:szCs w:val="18"/>
              </w:rPr>
              <w:t>OTIS a.s.</w:t>
            </w:r>
          </w:p>
        </w:tc>
        <w:tc>
          <w:tcPr>
            <w:tcW w:w="816" w:type="dxa"/>
            <w:vAlign w:val="center"/>
          </w:tcPr>
          <w:p w14:paraId="072769D5"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25</w:t>
            </w:r>
          </w:p>
        </w:tc>
        <w:tc>
          <w:tcPr>
            <w:tcW w:w="2049" w:type="dxa"/>
            <w:vAlign w:val="center"/>
          </w:tcPr>
          <w:p w14:paraId="0E13D6D1"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3</w:t>
            </w:r>
          </w:p>
        </w:tc>
        <w:tc>
          <w:tcPr>
            <w:tcW w:w="1572" w:type="dxa"/>
            <w:vAlign w:val="center"/>
          </w:tcPr>
          <w:p w14:paraId="2A24B983"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0</w:t>
            </w:r>
          </w:p>
        </w:tc>
        <w:tc>
          <w:tcPr>
            <w:tcW w:w="850" w:type="dxa"/>
            <w:vAlign w:val="center"/>
          </w:tcPr>
          <w:p w14:paraId="5DEDA929"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28</w:t>
            </w:r>
          </w:p>
        </w:tc>
      </w:tr>
      <w:tr w:rsidR="00B835F6" w:rsidRPr="00CE357F" w14:paraId="7750A2B7" w14:textId="77777777" w:rsidTr="002D00E2">
        <w:trPr>
          <w:trHeight w:val="227"/>
        </w:trPr>
        <w:tc>
          <w:tcPr>
            <w:tcW w:w="974" w:type="dxa"/>
            <w:shd w:val="clear" w:color="auto" w:fill="D9E2F3" w:themeFill="accent1" w:themeFillTint="33"/>
            <w:vAlign w:val="center"/>
          </w:tcPr>
          <w:p w14:paraId="101929DA"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Rakvice</w:t>
            </w:r>
          </w:p>
        </w:tc>
        <w:tc>
          <w:tcPr>
            <w:tcW w:w="2919" w:type="dxa"/>
            <w:vAlign w:val="center"/>
          </w:tcPr>
          <w:p w14:paraId="30673A15"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sz w:val="18"/>
                <w:szCs w:val="18"/>
              </w:rPr>
              <w:t>RÉVA RAKVICE s.r.o.</w:t>
            </w:r>
          </w:p>
        </w:tc>
        <w:tc>
          <w:tcPr>
            <w:tcW w:w="816" w:type="dxa"/>
            <w:vAlign w:val="center"/>
          </w:tcPr>
          <w:p w14:paraId="032C0B37"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0</w:t>
            </w:r>
          </w:p>
        </w:tc>
        <w:tc>
          <w:tcPr>
            <w:tcW w:w="2049" w:type="dxa"/>
            <w:vAlign w:val="center"/>
          </w:tcPr>
          <w:p w14:paraId="4BB6F510"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14</w:t>
            </w:r>
          </w:p>
        </w:tc>
        <w:tc>
          <w:tcPr>
            <w:tcW w:w="1572" w:type="dxa"/>
            <w:vAlign w:val="center"/>
          </w:tcPr>
          <w:p w14:paraId="44E45239"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14</w:t>
            </w:r>
          </w:p>
        </w:tc>
        <w:tc>
          <w:tcPr>
            <w:tcW w:w="850" w:type="dxa"/>
            <w:vAlign w:val="center"/>
          </w:tcPr>
          <w:p w14:paraId="063340FB"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28</w:t>
            </w:r>
          </w:p>
        </w:tc>
      </w:tr>
      <w:tr w:rsidR="00B835F6" w:rsidRPr="00CE357F" w14:paraId="5E791703" w14:textId="77777777" w:rsidTr="002D00E2">
        <w:trPr>
          <w:trHeight w:val="227"/>
        </w:trPr>
        <w:tc>
          <w:tcPr>
            <w:tcW w:w="974" w:type="dxa"/>
            <w:shd w:val="clear" w:color="auto" w:fill="D9E2F3" w:themeFill="accent1" w:themeFillTint="33"/>
            <w:vAlign w:val="center"/>
          </w:tcPr>
          <w:p w14:paraId="6B7F35E6"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Břeclav</w:t>
            </w:r>
          </w:p>
        </w:tc>
        <w:tc>
          <w:tcPr>
            <w:tcW w:w="2919" w:type="dxa"/>
            <w:vAlign w:val="center"/>
          </w:tcPr>
          <w:p w14:paraId="0A43964B"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sz w:val="18"/>
                <w:szCs w:val="18"/>
              </w:rPr>
              <w:t xml:space="preserve">GUMOTEX </w:t>
            </w:r>
            <w:proofErr w:type="spellStart"/>
            <w:r w:rsidRPr="00CE357F">
              <w:rPr>
                <w:rFonts w:ascii="Arial Narrow" w:hAnsi="Arial Narrow"/>
                <w:sz w:val="18"/>
                <w:szCs w:val="18"/>
              </w:rPr>
              <w:t>Automotive</w:t>
            </w:r>
            <w:proofErr w:type="spellEnd"/>
            <w:r w:rsidRPr="00CE357F">
              <w:rPr>
                <w:rFonts w:ascii="Arial Narrow" w:hAnsi="Arial Narrow"/>
                <w:sz w:val="18"/>
                <w:szCs w:val="18"/>
              </w:rPr>
              <w:t xml:space="preserve"> Břeclav, s.r.o.</w:t>
            </w:r>
          </w:p>
        </w:tc>
        <w:tc>
          <w:tcPr>
            <w:tcW w:w="816" w:type="dxa"/>
            <w:vAlign w:val="center"/>
          </w:tcPr>
          <w:p w14:paraId="5DE977B6"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15</w:t>
            </w:r>
          </w:p>
        </w:tc>
        <w:tc>
          <w:tcPr>
            <w:tcW w:w="2049" w:type="dxa"/>
            <w:vAlign w:val="center"/>
          </w:tcPr>
          <w:p w14:paraId="60A2715C"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1</w:t>
            </w:r>
          </w:p>
        </w:tc>
        <w:tc>
          <w:tcPr>
            <w:tcW w:w="1572" w:type="dxa"/>
            <w:vAlign w:val="center"/>
          </w:tcPr>
          <w:p w14:paraId="52E3B402"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1</w:t>
            </w:r>
          </w:p>
        </w:tc>
        <w:tc>
          <w:tcPr>
            <w:tcW w:w="850" w:type="dxa"/>
            <w:vAlign w:val="center"/>
          </w:tcPr>
          <w:p w14:paraId="047D858D"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17</w:t>
            </w:r>
          </w:p>
        </w:tc>
      </w:tr>
      <w:tr w:rsidR="00B835F6" w:rsidRPr="00CE357F" w14:paraId="09021D3D" w14:textId="77777777" w:rsidTr="002D00E2">
        <w:trPr>
          <w:trHeight w:val="227"/>
        </w:trPr>
        <w:tc>
          <w:tcPr>
            <w:tcW w:w="974" w:type="dxa"/>
            <w:shd w:val="clear" w:color="auto" w:fill="D9E2F3" w:themeFill="accent1" w:themeFillTint="33"/>
            <w:vAlign w:val="center"/>
          </w:tcPr>
          <w:p w14:paraId="6674AF0C"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Valtice</w:t>
            </w:r>
          </w:p>
        </w:tc>
        <w:tc>
          <w:tcPr>
            <w:tcW w:w="2919" w:type="dxa"/>
            <w:vAlign w:val="center"/>
          </w:tcPr>
          <w:p w14:paraId="256C3AD9"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sz w:val="18"/>
                <w:szCs w:val="18"/>
              </w:rPr>
              <w:t>Nemocnice Valtice, s.r.o.</w:t>
            </w:r>
          </w:p>
        </w:tc>
        <w:tc>
          <w:tcPr>
            <w:tcW w:w="816" w:type="dxa"/>
            <w:vAlign w:val="center"/>
          </w:tcPr>
          <w:p w14:paraId="441A685B"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7</w:t>
            </w:r>
          </w:p>
        </w:tc>
        <w:tc>
          <w:tcPr>
            <w:tcW w:w="2049" w:type="dxa"/>
            <w:vAlign w:val="center"/>
          </w:tcPr>
          <w:p w14:paraId="44223683"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0</w:t>
            </w:r>
          </w:p>
        </w:tc>
        <w:tc>
          <w:tcPr>
            <w:tcW w:w="1572" w:type="dxa"/>
            <w:vAlign w:val="center"/>
          </w:tcPr>
          <w:p w14:paraId="6F92160E"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5</w:t>
            </w:r>
          </w:p>
        </w:tc>
        <w:tc>
          <w:tcPr>
            <w:tcW w:w="850" w:type="dxa"/>
            <w:vAlign w:val="center"/>
          </w:tcPr>
          <w:p w14:paraId="52650874"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12</w:t>
            </w:r>
          </w:p>
        </w:tc>
      </w:tr>
      <w:tr w:rsidR="00B835F6" w:rsidRPr="00CE357F" w14:paraId="7B7B34CE" w14:textId="77777777" w:rsidTr="002D00E2">
        <w:trPr>
          <w:trHeight w:val="227"/>
        </w:trPr>
        <w:tc>
          <w:tcPr>
            <w:tcW w:w="974" w:type="dxa"/>
            <w:shd w:val="clear" w:color="auto" w:fill="D9E2F3" w:themeFill="accent1" w:themeFillTint="33"/>
            <w:vAlign w:val="center"/>
          </w:tcPr>
          <w:p w14:paraId="3128717F"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color w:val="000000"/>
                <w:sz w:val="18"/>
                <w:szCs w:val="18"/>
              </w:rPr>
              <w:t>Břeclav</w:t>
            </w:r>
          </w:p>
        </w:tc>
        <w:tc>
          <w:tcPr>
            <w:tcW w:w="2919" w:type="dxa"/>
            <w:vAlign w:val="center"/>
          </w:tcPr>
          <w:p w14:paraId="7796E1C9"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sz w:val="18"/>
                <w:szCs w:val="18"/>
              </w:rPr>
              <w:t>RACIO, s.r.o.</w:t>
            </w:r>
          </w:p>
        </w:tc>
        <w:tc>
          <w:tcPr>
            <w:tcW w:w="816" w:type="dxa"/>
            <w:vAlign w:val="center"/>
          </w:tcPr>
          <w:p w14:paraId="7260D540"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9</w:t>
            </w:r>
          </w:p>
        </w:tc>
        <w:tc>
          <w:tcPr>
            <w:tcW w:w="2049" w:type="dxa"/>
            <w:vAlign w:val="center"/>
          </w:tcPr>
          <w:p w14:paraId="07E1F469"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0</w:t>
            </w:r>
          </w:p>
        </w:tc>
        <w:tc>
          <w:tcPr>
            <w:tcW w:w="1572" w:type="dxa"/>
            <w:vAlign w:val="center"/>
          </w:tcPr>
          <w:p w14:paraId="026A12E0" w14:textId="77777777" w:rsidR="00B835F6" w:rsidRPr="00CE357F" w:rsidRDefault="00B835F6" w:rsidP="002D00E2">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2</w:t>
            </w:r>
          </w:p>
        </w:tc>
        <w:tc>
          <w:tcPr>
            <w:tcW w:w="850" w:type="dxa"/>
            <w:vAlign w:val="center"/>
          </w:tcPr>
          <w:p w14:paraId="3A62CDBA" w14:textId="77777777" w:rsidR="00B835F6" w:rsidRPr="00CE357F" w:rsidRDefault="00B835F6" w:rsidP="002D00E2">
            <w:pPr>
              <w:jc w:val="center"/>
              <w:rPr>
                <w:rFonts w:ascii="Arial Narrow" w:eastAsia="Times New Roman" w:hAnsi="Arial Narrow" w:cs="Arial"/>
                <w:b/>
                <w:bCs/>
                <w:sz w:val="18"/>
                <w:szCs w:val="18"/>
                <w:lang w:eastAsia="cs-CZ"/>
              </w:rPr>
            </w:pPr>
            <w:r w:rsidRPr="00CE357F">
              <w:rPr>
                <w:rFonts w:ascii="Arial Narrow" w:hAnsi="Arial Narrow"/>
                <w:b/>
                <w:bCs/>
                <w:color w:val="000000"/>
                <w:sz w:val="18"/>
                <w:szCs w:val="18"/>
              </w:rPr>
              <w:t>11</w:t>
            </w:r>
          </w:p>
        </w:tc>
      </w:tr>
      <w:tr w:rsidR="00B835F6" w:rsidRPr="00CE357F" w14:paraId="495806E2" w14:textId="77777777" w:rsidTr="002D00E2">
        <w:trPr>
          <w:trHeight w:val="227"/>
        </w:trPr>
        <w:tc>
          <w:tcPr>
            <w:tcW w:w="974" w:type="dxa"/>
            <w:shd w:val="clear" w:color="auto" w:fill="D9E2F3" w:themeFill="accent1" w:themeFillTint="33"/>
            <w:vAlign w:val="center"/>
          </w:tcPr>
          <w:p w14:paraId="40A5CAAE" w14:textId="77777777" w:rsidR="00B835F6" w:rsidRPr="00CE357F" w:rsidRDefault="00B835F6" w:rsidP="002D00E2">
            <w:pPr>
              <w:jc w:val="center"/>
              <w:rPr>
                <w:rFonts w:ascii="Arial Narrow" w:hAnsi="Arial Narrow"/>
                <w:color w:val="000000"/>
                <w:sz w:val="18"/>
                <w:szCs w:val="18"/>
              </w:rPr>
            </w:pPr>
          </w:p>
        </w:tc>
        <w:tc>
          <w:tcPr>
            <w:tcW w:w="2919" w:type="dxa"/>
            <w:vAlign w:val="center"/>
          </w:tcPr>
          <w:p w14:paraId="335D5B30" w14:textId="77777777" w:rsidR="00B835F6" w:rsidRPr="00CE357F" w:rsidRDefault="00B835F6" w:rsidP="002D00E2">
            <w:pPr>
              <w:jc w:val="center"/>
              <w:rPr>
                <w:rFonts w:ascii="Arial Narrow" w:hAnsi="Arial Narrow"/>
                <w:color w:val="000000"/>
                <w:sz w:val="18"/>
                <w:szCs w:val="18"/>
              </w:rPr>
            </w:pPr>
            <w:r w:rsidRPr="00CE357F">
              <w:rPr>
                <w:rFonts w:ascii="Arial Narrow" w:hAnsi="Arial Narrow"/>
                <w:color w:val="000000"/>
                <w:sz w:val="18"/>
                <w:szCs w:val="18"/>
              </w:rPr>
              <w:t>Ostatní zaměstnavatelé s méně než 10 zaměstnanci s jinou než českou státní příslušností</w:t>
            </w:r>
          </w:p>
        </w:tc>
        <w:tc>
          <w:tcPr>
            <w:tcW w:w="816" w:type="dxa"/>
            <w:vAlign w:val="center"/>
          </w:tcPr>
          <w:p w14:paraId="1F802272" w14:textId="77777777" w:rsidR="00B835F6" w:rsidRPr="00CE357F" w:rsidRDefault="00B835F6" w:rsidP="002D00E2">
            <w:pPr>
              <w:jc w:val="center"/>
              <w:rPr>
                <w:rFonts w:ascii="Arial Narrow" w:hAnsi="Arial Narrow"/>
                <w:color w:val="000000"/>
                <w:sz w:val="18"/>
                <w:szCs w:val="18"/>
              </w:rPr>
            </w:pPr>
            <w:r w:rsidRPr="00CE357F">
              <w:rPr>
                <w:rFonts w:ascii="Arial Narrow" w:hAnsi="Arial Narrow"/>
                <w:color w:val="000000"/>
                <w:sz w:val="18"/>
                <w:szCs w:val="18"/>
              </w:rPr>
              <w:t>116</w:t>
            </w:r>
          </w:p>
        </w:tc>
        <w:tc>
          <w:tcPr>
            <w:tcW w:w="2049" w:type="dxa"/>
            <w:vAlign w:val="center"/>
          </w:tcPr>
          <w:p w14:paraId="11B6395F" w14:textId="77777777" w:rsidR="00B835F6" w:rsidRPr="00CE357F" w:rsidRDefault="00B835F6" w:rsidP="002D00E2">
            <w:pPr>
              <w:jc w:val="center"/>
              <w:rPr>
                <w:rFonts w:ascii="Arial Narrow" w:hAnsi="Arial Narrow"/>
                <w:color w:val="000000"/>
                <w:sz w:val="18"/>
                <w:szCs w:val="18"/>
              </w:rPr>
            </w:pPr>
            <w:r w:rsidRPr="00CE357F">
              <w:rPr>
                <w:rFonts w:ascii="Arial Narrow" w:hAnsi="Arial Narrow"/>
                <w:color w:val="000000"/>
                <w:sz w:val="18"/>
                <w:szCs w:val="18"/>
              </w:rPr>
              <w:t>8</w:t>
            </w:r>
          </w:p>
        </w:tc>
        <w:tc>
          <w:tcPr>
            <w:tcW w:w="1572" w:type="dxa"/>
            <w:vAlign w:val="center"/>
          </w:tcPr>
          <w:p w14:paraId="16C3AFB4" w14:textId="77777777" w:rsidR="00B835F6" w:rsidRPr="00CE357F" w:rsidRDefault="00B835F6" w:rsidP="002D00E2">
            <w:pPr>
              <w:jc w:val="center"/>
              <w:rPr>
                <w:rFonts w:ascii="Arial Narrow" w:hAnsi="Arial Narrow"/>
                <w:color w:val="000000"/>
                <w:sz w:val="18"/>
                <w:szCs w:val="18"/>
              </w:rPr>
            </w:pPr>
            <w:r w:rsidRPr="00CE357F">
              <w:rPr>
                <w:rFonts w:ascii="Arial Narrow" w:hAnsi="Arial Narrow"/>
                <w:color w:val="000000"/>
                <w:sz w:val="18"/>
                <w:szCs w:val="18"/>
              </w:rPr>
              <w:t>32</w:t>
            </w:r>
          </w:p>
        </w:tc>
        <w:tc>
          <w:tcPr>
            <w:tcW w:w="850" w:type="dxa"/>
            <w:vAlign w:val="center"/>
          </w:tcPr>
          <w:p w14:paraId="6C385D16" w14:textId="77777777" w:rsidR="00B835F6" w:rsidRPr="00CE357F" w:rsidRDefault="00B835F6" w:rsidP="002D00E2">
            <w:pPr>
              <w:jc w:val="center"/>
              <w:rPr>
                <w:rFonts w:ascii="Arial Narrow" w:hAnsi="Arial Narrow"/>
                <w:b/>
                <w:bCs/>
                <w:color w:val="000000"/>
                <w:sz w:val="18"/>
                <w:szCs w:val="18"/>
              </w:rPr>
            </w:pPr>
            <w:r w:rsidRPr="00CE357F">
              <w:rPr>
                <w:rFonts w:ascii="Arial Narrow" w:hAnsi="Arial Narrow"/>
                <w:b/>
                <w:bCs/>
                <w:color w:val="000000"/>
                <w:sz w:val="18"/>
                <w:szCs w:val="18"/>
              </w:rPr>
              <w:t>156</w:t>
            </w:r>
          </w:p>
        </w:tc>
      </w:tr>
      <w:tr w:rsidR="00B835F6" w:rsidRPr="00CE357F" w14:paraId="1897EE29" w14:textId="77777777" w:rsidTr="002D00E2">
        <w:trPr>
          <w:trHeight w:val="319"/>
        </w:trPr>
        <w:tc>
          <w:tcPr>
            <w:tcW w:w="974" w:type="dxa"/>
            <w:shd w:val="clear" w:color="auto" w:fill="D9E2F3" w:themeFill="accent1" w:themeFillTint="33"/>
            <w:vAlign w:val="center"/>
          </w:tcPr>
          <w:p w14:paraId="510CE989" w14:textId="77777777" w:rsidR="00B835F6" w:rsidRPr="00CE357F" w:rsidRDefault="00B835F6" w:rsidP="002D00E2">
            <w:pPr>
              <w:jc w:val="center"/>
              <w:rPr>
                <w:rFonts w:ascii="Arial Narrow" w:hAnsi="Arial Narrow"/>
                <w:b/>
                <w:bCs/>
                <w:sz w:val="18"/>
                <w:szCs w:val="18"/>
              </w:rPr>
            </w:pPr>
            <w:r w:rsidRPr="00CE357F">
              <w:rPr>
                <w:rFonts w:ascii="Arial Narrow" w:hAnsi="Arial Narrow"/>
                <w:sz w:val="18"/>
                <w:szCs w:val="18"/>
              </w:rPr>
              <w:t>ORP CELKEM</w:t>
            </w:r>
          </w:p>
        </w:tc>
        <w:tc>
          <w:tcPr>
            <w:tcW w:w="2919" w:type="dxa"/>
            <w:shd w:val="clear" w:color="auto" w:fill="D9E2F3" w:themeFill="accent1" w:themeFillTint="33"/>
            <w:vAlign w:val="center"/>
          </w:tcPr>
          <w:p w14:paraId="77681A03" w14:textId="77777777" w:rsidR="00B835F6" w:rsidRPr="00CE357F" w:rsidRDefault="00B835F6" w:rsidP="002D00E2">
            <w:pPr>
              <w:jc w:val="center"/>
              <w:rPr>
                <w:rFonts w:ascii="Arial Narrow" w:hAnsi="Arial Narrow"/>
                <w:b/>
                <w:bCs/>
                <w:sz w:val="18"/>
                <w:szCs w:val="18"/>
              </w:rPr>
            </w:pPr>
          </w:p>
        </w:tc>
        <w:tc>
          <w:tcPr>
            <w:tcW w:w="816" w:type="dxa"/>
            <w:shd w:val="clear" w:color="auto" w:fill="D9E2F3" w:themeFill="accent1" w:themeFillTint="33"/>
            <w:vAlign w:val="center"/>
          </w:tcPr>
          <w:p w14:paraId="6FBADED9" w14:textId="77777777" w:rsidR="00B835F6" w:rsidRPr="00CE357F" w:rsidRDefault="00B835F6" w:rsidP="002D00E2">
            <w:pPr>
              <w:jc w:val="center"/>
              <w:rPr>
                <w:rFonts w:ascii="Arial Narrow" w:hAnsi="Arial Narrow"/>
                <w:b/>
                <w:bCs/>
                <w:sz w:val="18"/>
                <w:szCs w:val="18"/>
              </w:rPr>
            </w:pPr>
            <w:r w:rsidRPr="00CE357F">
              <w:rPr>
                <w:rFonts w:ascii="Arial Narrow" w:hAnsi="Arial Narrow"/>
                <w:b/>
                <w:bCs/>
                <w:color w:val="000000"/>
                <w:sz w:val="18"/>
                <w:szCs w:val="18"/>
              </w:rPr>
              <w:t>363</w:t>
            </w:r>
          </w:p>
        </w:tc>
        <w:tc>
          <w:tcPr>
            <w:tcW w:w="2049" w:type="dxa"/>
            <w:shd w:val="clear" w:color="auto" w:fill="D9E2F3" w:themeFill="accent1" w:themeFillTint="33"/>
            <w:vAlign w:val="center"/>
          </w:tcPr>
          <w:p w14:paraId="6F040B1D" w14:textId="77777777" w:rsidR="00B835F6" w:rsidRPr="00CE357F" w:rsidRDefault="00B835F6" w:rsidP="002D00E2">
            <w:pPr>
              <w:jc w:val="center"/>
              <w:rPr>
                <w:rFonts w:ascii="Arial Narrow" w:hAnsi="Arial Narrow"/>
                <w:b/>
                <w:bCs/>
                <w:sz w:val="18"/>
                <w:szCs w:val="18"/>
              </w:rPr>
            </w:pPr>
            <w:r w:rsidRPr="00CE357F">
              <w:rPr>
                <w:rFonts w:ascii="Arial Narrow" w:hAnsi="Arial Narrow"/>
                <w:b/>
                <w:bCs/>
                <w:color w:val="000000"/>
                <w:sz w:val="18"/>
                <w:szCs w:val="18"/>
              </w:rPr>
              <w:t>120</w:t>
            </w:r>
          </w:p>
        </w:tc>
        <w:tc>
          <w:tcPr>
            <w:tcW w:w="1572" w:type="dxa"/>
            <w:shd w:val="clear" w:color="auto" w:fill="D9E2F3" w:themeFill="accent1" w:themeFillTint="33"/>
            <w:vAlign w:val="center"/>
          </w:tcPr>
          <w:p w14:paraId="092B411D" w14:textId="77777777" w:rsidR="00B835F6" w:rsidRPr="00CE357F" w:rsidRDefault="00B835F6" w:rsidP="002D00E2">
            <w:pPr>
              <w:jc w:val="center"/>
              <w:rPr>
                <w:rFonts w:ascii="Arial Narrow" w:hAnsi="Arial Narrow"/>
                <w:b/>
                <w:bCs/>
                <w:sz w:val="18"/>
                <w:szCs w:val="18"/>
              </w:rPr>
            </w:pPr>
            <w:r w:rsidRPr="00CE357F">
              <w:rPr>
                <w:rFonts w:ascii="Arial Narrow" w:hAnsi="Arial Narrow"/>
                <w:b/>
                <w:bCs/>
                <w:color w:val="000000"/>
                <w:sz w:val="18"/>
                <w:szCs w:val="18"/>
              </w:rPr>
              <w:t>163</w:t>
            </w:r>
          </w:p>
        </w:tc>
        <w:tc>
          <w:tcPr>
            <w:tcW w:w="850" w:type="dxa"/>
            <w:shd w:val="clear" w:color="auto" w:fill="D9E2F3" w:themeFill="accent1" w:themeFillTint="33"/>
            <w:vAlign w:val="center"/>
          </w:tcPr>
          <w:p w14:paraId="5B6DA676" w14:textId="77777777" w:rsidR="00B835F6" w:rsidRPr="00CE357F" w:rsidRDefault="00B835F6" w:rsidP="002D00E2">
            <w:pPr>
              <w:jc w:val="center"/>
              <w:rPr>
                <w:rFonts w:ascii="Arial Narrow" w:hAnsi="Arial Narrow"/>
                <w:b/>
                <w:bCs/>
                <w:sz w:val="18"/>
                <w:szCs w:val="18"/>
              </w:rPr>
            </w:pPr>
            <w:r w:rsidRPr="00CE357F">
              <w:rPr>
                <w:rFonts w:ascii="Arial Narrow" w:hAnsi="Arial Narrow"/>
                <w:b/>
                <w:bCs/>
                <w:color w:val="000000"/>
                <w:sz w:val="18"/>
                <w:szCs w:val="18"/>
              </w:rPr>
              <w:t>646</w:t>
            </w:r>
          </w:p>
        </w:tc>
      </w:tr>
    </w:tbl>
    <w:p w14:paraId="7E574935" w14:textId="1BC619F3" w:rsidR="008F4C72" w:rsidRPr="00CE357F" w:rsidRDefault="00B835F6" w:rsidP="008F4C72">
      <w:pPr>
        <w:spacing w:after="240" w:line="276" w:lineRule="auto"/>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Ta</w:t>
      </w:r>
      <w:r w:rsidR="008F4C72" w:rsidRPr="00CE357F">
        <w:rPr>
          <w:rFonts w:ascii="Arial Narrow" w:hAnsi="Arial Narrow"/>
          <w:sz w:val="20"/>
        </w:rPr>
        <w:t xml:space="preserve">bulka: AUGUR </w:t>
      </w:r>
      <w:proofErr w:type="spellStart"/>
      <w:r w:rsidR="008F4C72" w:rsidRPr="00CE357F">
        <w:rPr>
          <w:rFonts w:ascii="Arial Narrow" w:hAnsi="Arial Narrow"/>
          <w:sz w:val="20"/>
        </w:rPr>
        <w:t>Consulting</w:t>
      </w:r>
      <w:proofErr w:type="spellEnd"/>
      <w:r w:rsidR="008F4C72" w:rsidRPr="00CE357F">
        <w:rPr>
          <w:rFonts w:ascii="Arial Narrow" w:hAnsi="Arial Narrow"/>
          <w:sz w:val="20"/>
        </w:rPr>
        <w:t>, s.r.o.</w:t>
      </w:r>
    </w:p>
    <w:p w14:paraId="6C5EE499" w14:textId="6CAFEC23" w:rsidR="00B835F6" w:rsidRPr="00CE357F" w:rsidRDefault="00B835F6" w:rsidP="00B835F6">
      <w:pPr>
        <w:spacing w:before="240" w:after="240" w:line="276" w:lineRule="auto"/>
        <w:jc w:val="both"/>
        <w:rPr>
          <w:rFonts w:ascii="Arial Narrow" w:hAnsi="Arial Narrow"/>
          <w:b/>
          <w:bCs/>
          <w:color w:val="C00000"/>
          <w:sz w:val="28"/>
        </w:rPr>
      </w:pPr>
      <w:r w:rsidRPr="00CE357F">
        <w:rPr>
          <w:rFonts w:ascii="Arial Narrow" w:hAnsi="Arial Narrow"/>
          <w:b/>
          <w:bCs/>
          <w:color w:val="C00000"/>
          <w:szCs w:val="18"/>
        </w:rPr>
        <w:t xml:space="preserve">Zaměstnané </w:t>
      </w:r>
      <w:r w:rsidRPr="00CE357F">
        <w:rPr>
          <w:rFonts w:ascii="Arial Narrow" w:eastAsia="Times New Roman" w:hAnsi="Arial Narrow" w:cs="Arial"/>
          <w:b/>
          <w:bCs/>
          <w:color w:val="C00000"/>
          <w:szCs w:val="18"/>
          <w:lang w:eastAsia="cs-CZ"/>
        </w:rPr>
        <w:t>osoby s jinou než českou státní příslušností v ORP Břeclav podle klasifikace ekonomické činnosti</w:t>
      </w:r>
    </w:p>
    <w:p w14:paraId="719D3853" w14:textId="0A199C28" w:rsidR="00F70015" w:rsidRPr="00CE357F" w:rsidRDefault="00B835F6" w:rsidP="002D00E2">
      <w:pPr>
        <w:spacing w:after="120" w:line="276" w:lineRule="auto"/>
        <w:jc w:val="both"/>
        <w:rPr>
          <w:rFonts w:ascii="Arial Narrow" w:hAnsi="Arial Narrow"/>
        </w:rPr>
      </w:pPr>
      <w:r w:rsidRPr="00CE357F">
        <w:rPr>
          <w:rFonts w:ascii="Arial Narrow" w:hAnsi="Arial Narrow"/>
        </w:rPr>
        <w:t>Dle klasifikace ekonomických činností CZ-NACE</w:t>
      </w:r>
      <w:r w:rsidRPr="00CE357F">
        <w:rPr>
          <w:rStyle w:val="Znakapoznpodarou"/>
          <w:rFonts w:ascii="Arial Narrow" w:hAnsi="Arial Narrow"/>
        </w:rPr>
        <w:footnoteReference w:id="86"/>
      </w:r>
      <w:r w:rsidRPr="00CE357F">
        <w:rPr>
          <w:rFonts w:ascii="Arial Narrow" w:hAnsi="Arial Narrow"/>
        </w:rPr>
        <w:t xml:space="preserve">  bylo nejvíce zaměstnaných osob s jinou než českou státní příslušností v ORP Břeclav k datu 31. 12. 2020 zaměstnáno ve zpracovatelském průmyslu (36,5 %). Druhou oblastí, ve které bylo zaměstnáno nejvíce osob s jinou než českou státní příslušností, byla zdravotní a sociální péče (24,0 %). Významnější počet osob s jinou než českou státní příslušností byl zaměstnán také v oblasti administrativní a podpůrné činnosti (22,6 %).</w:t>
      </w:r>
      <w:r w:rsidR="00572269">
        <w:rPr>
          <w:rFonts w:ascii="Arial Narrow" w:hAnsi="Arial Narrow"/>
        </w:rPr>
        <w:t xml:space="preserve"> </w:t>
      </w:r>
      <w:r w:rsidRPr="00CE357F">
        <w:rPr>
          <w:rFonts w:ascii="Arial Narrow" w:hAnsi="Arial Narrow"/>
        </w:rPr>
        <w:t>Zaměstnané osoby s jinou než českou státní příslušností v ORP Břeclav k 31. 12. 2020 podle klasifikace ekonomických činností CZ-NACE podrobně dokumentuje tabulka</w:t>
      </w:r>
      <w:r w:rsidR="00572269">
        <w:rPr>
          <w:rFonts w:ascii="Arial Narrow" w:hAnsi="Arial Narrow"/>
        </w:rPr>
        <w:t xml:space="preserve"> č. 47</w:t>
      </w:r>
      <w:r w:rsidRPr="00CE357F">
        <w:rPr>
          <w:rFonts w:ascii="Arial Narrow" w:hAnsi="Arial Narrow"/>
        </w:rPr>
        <w:t xml:space="preserve">. </w:t>
      </w:r>
    </w:p>
    <w:p w14:paraId="35820044" w14:textId="4ED9BE71" w:rsidR="00B835F6" w:rsidRPr="00CE357F" w:rsidRDefault="00B835F6" w:rsidP="00B835F6">
      <w:pPr>
        <w:rPr>
          <w:rFonts w:ascii="Arial Narrow" w:hAnsi="Arial Narrow"/>
          <w:color w:val="C00000"/>
        </w:rPr>
      </w:pPr>
      <w:bookmarkStart w:id="714" w:name="_Toc136429258"/>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47</w:t>
      </w:r>
      <w:r w:rsidRPr="00CE357F">
        <w:rPr>
          <w:rFonts w:ascii="Arial Narrow" w:hAnsi="Arial Narrow"/>
          <w:b/>
          <w:bCs/>
          <w:sz w:val="20"/>
          <w:szCs w:val="20"/>
        </w:rPr>
        <w:fldChar w:fldCharType="end"/>
      </w:r>
      <w:r w:rsidRPr="00CE357F">
        <w:rPr>
          <w:rFonts w:ascii="Arial Narrow" w:hAnsi="Arial Narrow"/>
          <w:b/>
          <w:bCs/>
          <w:sz w:val="20"/>
          <w:szCs w:val="20"/>
        </w:rPr>
        <w:t xml:space="preserve">:  Zaměstnané </w:t>
      </w:r>
      <w:r w:rsidRPr="00CE357F">
        <w:rPr>
          <w:rFonts w:ascii="Arial Narrow" w:eastAsia="Times New Roman" w:hAnsi="Arial Narrow" w:cs="Arial"/>
          <w:b/>
          <w:bCs/>
          <w:sz w:val="20"/>
          <w:szCs w:val="20"/>
          <w:lang w:eastAsia="cs-CZ"/>
        </w:rPr>
        <w:t>osoby s jinou než českou státní příslušností v ORP Břeclav podle klasifikace ekonomické činnosti</w:t>
      </w:r>
      <w:bookmarkEnd w:id="714"/>
    </w:p>
    <w:tbl>
      <w:tblPr>
        <w:tblW w:w="9008"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5969"/>
        <w:gridCol w:w="3039"/>
      </w:tblGrid>
      <w:tr w:rsidR="002D00E2" w:rsidRPr="00CE357F" w14:paraId="2DAAD7EF" w14:textId="77777777" w:rsidTr="00EA7129">
        <w:trPr>
          <w:trHeight w:val="509"/>
          <w:jc w:val="center"/>
        </w:trPr>
        <w:tc>
          <w:tcPr>
            <w:tcW w:w="5969" w:type="dxa"/>
            <w:vMerge w:val="restart"/>
            <w:shd w:val="clear" w:color="auto" w:fill="D9E2F3" w:themeFill="accent1" w:themeFillTint="33"/>
            <w:vAlign w:val="center"/>
            <w:hideMark/>
          </w:tcPr>
          <w:p w14:paraId="2F486FDB" w14:textId="77777777" w:rsidR="002D00E2" w:rsidRPr="00CE357F" w:rsidRDefault="002D00E2" w:rsidP="00EA7129">
            <w:pPr>
              <w:jc w:val="center"/>
              <w:rPr>
                <w:rFonts w:ascii="Arial Narrow" w:eastAsia="Times New Roman" w:hAnsi="Arial Narrow" w:cs="Arial"/>
                <w:b/>
                <w:sz w:val="18"/>
                <w:szCs w:val="18"/>
                <w:lang w:eastAsia="cs-CZ"/>
              </w:rPr>
            </w:pPr>
            <w:r w:rsidRPr="00CE357F">
              <w:rPr>
                <w:rFonts w:ascii="Arial Narrow" w:eastAsia="Times New Roman" w:hAnsi="Arial Narrow" w:cs="Arial"/>
                <w:b/>
                <w:sz w:val="18"/>
                <w:szCs w:val="18"/>
                <w:lang w:eastAsia="cs-CZ"/>
              </w:rPr>
              <w:t>Klasifikace ekonomické činnosti</w:t>
            </w:r>
          </w:p>
        </w:tc>
        <w:tc>
          <w:tcPr>
            <w:tcW w:w="3039" w:type="dxa"/>
            <w:vMerge w:val="restart"/>
            <w:shd w:val="clear" w:color="auto" w:fill="D9E2F3" w:themeFill="accent1" w:themeFillTint="33"/>
            <w:vAlign w:val="center"/>
            <w:hideMark/>
          </w:tcPr>
          <w:p w14:paraId="08F8037F" w14:textId="77777777" w:rsidR="002D00E2" w:rsidRPr="00CE357F" w:rsidRDefault="002D00E2" w:rsidP="00EA7129">
            <w:pPr>
              <w:jc w:val="center"/>
              <w:rPr>
                <w:rFonts w:ascii="Arial Narrow" w:eastAsia="Times New Roman" w:hAnsi="Arial Narrow" w:cs="Arial"/>
                <w:bCs/>
                <w:sz w:val="18"/>
                <w:szCs w:val="18"/>
                <w:lang w:eastAsia="cs-CZ"/>
              </w:rPr>
            </w:pPr>
            <w:r w:rsidRPr="00CE357F">
              <w:rPr>
                <w:rFonts w:ascii="Arial Narrow" w:eastAsia="Times New Roman" w:hAnsi="Arial Narrow" w:cs="Arial"/>
                <w:b/>
                <w:bCs/>
                <w:sz w:val="18"/>
                <w:szCs w:val="18"/>
                <w:lang w:eastAsia="cs-CZ"/>
              </w:rPr>
              <w:t>Počet osob s jinou než českou státní příslušností pracujících v daném oboru</w:t>
            </w:r>
          </w:p>
        </w:tc>
      </w:tr>
      <w:tr w:rsidR="002D00E2" w:rsidRPr="00CE357F" w14:paraId="0C9F3F11" w14:textId="77777777" w:rsidTr="007504A4">
        <w:trPr>
          <w:trHeight w:val="450"/>
          <w:jc w:val="center"/>
        </w:trPr>
        <w:tc>
          <w:tcPr>
            <w:tcW w:w="5969" w:type="dxa"/>
            <w:vMerge/>
            <w:shd w:val="clear" w:color="auto" w:fill="D9E2F3" w:themeFill="accent1" w:themeFillTint="33"/>
            <w:hideMark/>
          </w:tcPr>
          <w:p w14:paraId="0E2AB987" w14:textId="77777777" w:rsidR="002D00E2" w:rsidRPr="00CE357F" w:rsidRDefault="002D00E2" w:rsidP="00EA7129">
            <w:pPr>
              <w:jc w:val="center"/>
              <w:rPr>
                <w:rFonts w:ascii="Arial Narrow" w:eastAsia="Times New Roman" w:hAnsi="Arial Narrow" w:cs="Arial"/>
                <w:b/>
                <w:bCs/>
                <w:sz w:val="18"/>
                <w:szCs w:val="18"/>
                <w:lang w:eastAsia="cs-CZ"/>
              </w:rPr>
            </w:pPr>
          </w:p>
        </w:tc>
        <w:tc>
          <w:tcPr>
            <w:tcW w:w="3039" w:type="dxa"/>
            <w:vMerge/>
            <w:shd w:val="clear" w:color="auto" w:fill="D9E2F3" w:themeFill="accent1" w:themeFillTint="33"/>
            <w:hideMark/>
          </w:tcPr>
          <w:p w14:paraId="181C3162" w14:textId="77777777" w:rsidR="002D00E2" w:rsidRPr="00CE357F" w:rsidRDefault="002D00E2" w:rsidP="00EA7129">
            <w:pPr>
              <w:jc w:val="center"/>
              <w:rPr>
                <w:rFonts w:ascii="Arial Narrow" w:eastAsia="Times New Roman" w:hAnsi="Arial Narrow" w:cs="Arial"/>
                <w:b/>
                <w:bCs/>
                <w:sz w:val="18"/>
                <w:szCs w:val="18"/>
                <w:lang w:eastAsia="cs-CZ"/>
              </w:rPr>
            </w:pPr>
          </w:p>
        </w:tc>
      </w:tr>
      <w:tr w:rsidR="002D00E2" w:rsidRPr="00CE357F" w14:paraId="16F3748C" w14:textId="77777777" w:rsidTr="00EA7129">
        <w:trPr>
          <w:trHeight w:val="227"/>
          <w:jc w:val="center"/>
        </w:trPr>
        <w:tc>
          <w:tcPr>
            <w:tcW w:w="5969" w:type="dxa"/>
            <w:shd w:val="clear" w:color="auto" w:fill="D9E2F3" w:themeFill="accent1" w:themeFillTint="33"/>
          </w:tcPr>
          <w:p w14:paraId="54432712"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A – Zemědělství, lesnictví, rybářství</w:t>
            </w:r>
          </w:p>
        </w:tc>
        <w:tc>
          <w:tcPr>
            <w:tcW w:w="3039" w:type="dxa"/>
            <w:vAlign w:val="center"/>
          </w:tcPr>
          <w:p w14:paraId="2F3ECAB6" w14:textId="3275E2B2"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41</w:t>
            </w:r>
          </w:p>
        </w:tc>
      </w:tr>
      <w:tr w:rsidR="002D00E2" w:rsidRPr="00CE357F" w14:paraId="51091917" w14:textId="77777777" w:rsidTr="00EA7129">
        <w:trPr>
          <w:trHeight w:val="227"/>
          <w:jc w:val="center"/>
        </w:trPr>
        <w:tc>
          <w:tcPr>
            <w:tcW w:w="5969" w:type="dxa"/>
            <w:shd w:val="clear" w:color="auto" w:fill="D9E2F3" w:themeFill="accent1" w:themeFillTint="33"/>
          </w:tcPr>
          <w:p w14:paraId="14CADCD4"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 – Těžba a dobývání</w:t>
            </w:r>
          </w:p>
        </w:tc>
        <w:tc>
          <w:tcPr>
            <w:tcW w:w="3039" w:type="dxa"/>
            <w:vAlign w:val="center"/>
          </w:tcPr>
          <w:p w14:paraId="45866CCF" w14:textId="6F86903E"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2D00E2" w:rsidRPr="00CE357F" w14:paraId="73F86D85" w14:textId="77777777" w:rsidTr="00EA7129">
        <w:trPr>
          <w:trHeight w:val="227"/>
          <w:jc w:val="center"/>
        </w:trPr>
        <w:tc>
          <w:tcPr>
            <w:tcW w:w="5969" w:type="dxa"/>
            <w:shd w:val="clear" w:color="auto" w:fill="D9E2F3" w:themeFill="accent1" w:themeFillTint="33"/>
          </w:tcPr>
          <w:p w14:paraId="651463AA" w14:textId="77777777"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C – Zpracovatelský průmysl</w:t>
            </w:r>
          </w:p>
        </w:tc>
        <w:tc>
          <w:tcPr>
            <w:tcW w:w="3039" w:type="dxa"/>
            <w:vAlign w:val="center"/>
          </w:tcPr>
          <w:p w14:paraId="5A406891" w14:textId="1858829A"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236</w:t>
            </w:r>
          </w:p>
        </w:tc>
      </w:tr>
      <w:tr w:rsidR="002D00E2" w:rsidRPr="00CE357F" w14:paraId="7FC82813" w14:textId="77777777" w:rsidTr="00EA7129">
        <w:trPr>
          <w:trHeight w:val="227"/>
          <w:jc w:val="center"/>
        </w:trPr>
        <w:tc>
          <w:tcPr>
            <w:tcW w:w="5969" w:type="dxa"/>
            <w:shd w:val="clear" w:color="auto" w:fill="D9E2F3" w:themeFill="accent1" w:themeFillTint="33"/>
          </w:tcPr>
          <w:p w14:paraId="1C8E8845"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D – Výroba a rozvod elektřiny, plynu, tepla a klimatizovaného vzduchu</w:t>
            </w:r>
          </w:p>
        </w:tc>
        <w:tc>
          <w:tcPr>
            <w:tcW w:w="3039" w:type="dxa"/>
            <w:vAlign w:val="center"/>
          </w:tcPr>
          <w:p w14:paraId="230E89C6" w14:textId="16970CF6"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2D00E2" w:rsidRPr="00CE357F" w14:paraId="34DD6B70" w14:textId="77777777" w:rsidTr="00EA7129">
        <w:trPr>
          <w:trHeight w:val="227"/>
          <w:jc w:val="center"/>
        </w:trPr>
        <w:tc>
          <w:tcPr>
            <w:tcW w:w="5969" w:type="dxa"/>
            <w:shd w:val="clear" w:color="auto" w:fill="D9E2F3" w:themeFill="accent1" w:themeFillTint="33"/>
          </w:tcPr>
          <w:p w14:paraId="3CB6551E"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E – Zásobování vodou; činnosti související s odpadními vodami, odpady a sanacemi</w:t>
            </w:r>
          </w:p>
        </w:tc>
        <w:tc>
          <w:tcPr>
            <w:tcW w:w="3039" w:type="dxa"/>
            <w:vAlign w:val="center"/>
          </w:tcPr>
          <w:p w14:paraId="39EC2F40" w14:textId="3BD909FE"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w:t>
            </w:r>
          </w:p>
        </w:tc>
      </w:tr>
      <w:tr w:rsidR="002D00E2" w:rsidRPr="00CE357F" w14:paraId="2394B557" w14:textId="77777777" w:rsidTr="00EA7129">
        <w:trPr>
          <w:trHeight w:val="227"/>
          <w:jc w:val="center"/>
        </w:trPr>
        <w:tc>
          <w:tcPr>
            <w:tcW w:w="5969" w:type="dxa"/>
            <w:shd w:val="clear" w:color="auto" w:fill="D9E2F3" w:themeFill="accent1" w:themeFillTint="33"/>
          </w:tcPr>
          <w:p w14:paraId="2D6F8294"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F – Stavebnictví</w:t>
            </w:r>
          </w:p>
        </w:tc>
        <w:tc>
          <w:tcPr>
            <w:tcW w:w="3039" w:type="dxa"/>
            <w:vAlign w:val="center"/>
          </w:tcPr>
          <w:p w14:paraId="29F127E8" w14:textId="106119D6"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7</w:t>
            </w:r>
          </w:p>
        </w:tc>
      </w:tr>
      <w:tr w:rsidR="002D00E2" w:rsidRPr="00CE357F" w14:paraId="170FABAE" w14:textId="77777777" w:rsidTr="00EA7129">
        <w:trPr>
          <w:trHeight w:val="227"/>
          <w:jc w:val="center"/>
        </w:trPr>
        <w:tc>
          <w:tcPr>
            <w:tcW w:w="5969" w:type="dxa"/>
            <w:shd w:val="clear" w:color="auto" w:fill="D9E2F3" w:themeFill="accent1" w:themeFillTint="33"/>
          </w:tcPr>
          <w:p w14:paraId="1AFD9E14"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G – Velkoobchod a maloobchod; opravy a údržba motorových vozidel</w:t>
            </w:r>
          </w:p>
        </w:tc>
        <w:tc>
          <w:tcPr>
            <w:tcW w:w="3039" w:type="dxa"/>
            <w:vAlign w:val="center"/>
          </w:tcPr>
          <w:p w14:paraId="0EA62615" w14:textId="7828E1EF"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13</w:t>
            </w:r>
          </w:p>
        </w:tc>
      </w:tr>
      <w:tr w:rsidR="002D00E2" w:rsidRPr="00CE357F" w14:paraId="4C78B37F" w14:textId="77777777" w:rsidTr="00EA7129">
        <w:trPr>
          <w:trHeight w:val="227"/>
          <w:jc w:val="center"/>
        </w:trPr>
        <w:tc>
          <w:tcPr>
            <w:tcW w:w="5969" w:type="dxa"/>
            <w:shd w:val="clear" w:color="auto" w:fill="D9E2F3" w:themeFill="accent1" w:themeFillTint="33"/>
          </w:tcPr>
          <w:p w14:paraId="4F39E097"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H – Doprava a skladování</w:t>
            </w:r>
          </w:p>
        </w:tc>
        <w:tc>
          <w:tcPr>
            <w:tcW w:w="3039" w:type="dxa"/>
            <w:vAlign w:val="center"/>
          </w:tcPr>
          <w:p w14:paraId="7A69EB66" w14:textId="53707AB2"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22</w:t>
            </w:r>
          </w:p>
        </w:tc>
      </w:tr>
      <w:tr w:rsidR="002D00E2" w:rsidRPr="00CE357F" w14:paraId="3B5F7D32" w14:textId="77777777" w:rsidTr="00EA7129">
        <w:trPr>
          <w:trHeight w:val="227"/>
          <w:jc w:val="center"/>
        </w:trPr>
        <w:tc>
          <w:tcPr>
            <w:tcW w:w="5969" w:type="dxa"/>
            <w:shd w:val="clear" w:color="auto" w:fill="D9E2F3" w:themeFill="accent1" w:themeFillTint="33"/>
          </w:tcPr>
          <w:p w14:paraId="4D8AEA53"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I – Ubytování, stravování a pohostinství</w:t>
            </w:r>
          </w:p>
        </w:tc>
        <w:tc>
          <w:tcPr>
            <w:tcW w:w="3039" w:type="dxa"/>
            <w:vAlign w:val="center"/>
          </w:tcPr>
          <w:p w14:paraId="654C4E2A" w14:textId="1D1FD5A9"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5</w:t>
            </w:r>
          </w:p>
        </w:tc>
      </w:tr>
      <w:tr w:rsidR="002D00E2" w:rsidRPr="00CE357F" w14:paraId="1529F0C5" w14:textId="77777777" w:rsidTr="00EA7129">
        <w:trPr>
          <w:trHeight w:val="227"/>
          <w:jc w:val="center"/>
        </w:trPr>
        <w:tc>
          <w:tcPr>
            <w:tcW w:w="5969" w:type="dxa"/>
            <w:shd w:val="clear" w:color="auto" w:fill="D9E2F3" w:themeFill="accent1" w:themeFillTint="33"/>
          </w:tcPr>
          <w:p w14:paraId="5952BC22"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J – Informační a komunikační činnosti</w:t>
            </w:r>
          </w:p>
        </w:tc>
        <w:tc>
          <w:tcPr>
            <w:tcW w:w="3039" w:type="dxa"/>
            <w:vAlign w:val="center"/>
          </w:tcPr>
          <w:p w14:paraId="56083D71" w14:textId="69546373"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sz w:val="18"/>
                <w:szCs w:val="18"/>
                <w:lang w:eastAsia="cs-CZ"/>
              </w:rPr>
              <w:t>0</w:t>
            </w:r>
          </w:p>
        </w:tc>
      </w:tr>
      <w:tr w:rsidR="002D00E2" w:rsidRPr="00CE357F" w14:paraId="626C6203" w14:textId="77777777" w:rsidTr="00EA7129">
        <w:trPr>
          <w:trHeight w:val="227"/>
          <w:jc w:val="center"/>
        </w:trPr>
        <w:tc>
          <w:tcPr>
            <w:tcW w:w="5969" w:type="dxa"/>
            <w:shd w:val="clear" w:color="auto" w:fill="D9E2F3" w:themeFill="accent1" w:themeFillTint="33"/>
          </w:tcPr>
          <w:p w14:paraId="05066B72"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K – Peněžnictví a pojišťovnictví</w:t>
            </w:r>
          </w:p>
        </w:tc>
        <w:tc>
          <w:tcPr>
            <w:tcW w:w="3039" w:type="dxa"/>
            <w:vAlign w:val="center"/>
          </w:tcPr>
          <w:p w14:paraId="62549887" w14:textId="65780F50"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w:t>
            </w:r>
          </w:p>
        </w:tc>
      </w:tr>
      <w:tr w:rsidR="002D00E2" w:rsidRPr="00CE357F" w14:paraId="76B1A544" w14:textId="77777777" w:rsidTr="00EA7129">
        <w:trPr>
          <w:trHeight w:val="227"/>
          <w:jc w:val="center"/>
        </w:trPr>
        <w:tc>
          <w:tcPr>
            <w:tcW w:w="5969" w:type="dxa"/>
            <w:shd w:val="clear" w:color="auto" w:fill="D9E2F3" w:themeFill="accent1" w:themeFillTint="33"/>
          </w:tcPr>
          <w:p w14:paraId="72F8E74D"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L – Činnosti v oblasti nemovitostí</w:t>
            </w:r>
          </w:p>
        </w:tc>
        <w:tc>
          <w:tcPr>
            <w:tcW w:w="3039" w:type="dxa"/>
            <w:vAlign w:val="center"/>
          </w:tcPr>
          <w:p w14:paraId="51CE697C" w14:textId="49F0566A"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2D00E2" w:rsidRPr="00CE357F" w14:paraId="6875E5D1" w14:textId="77777777" w:rsidTr="00EA7129">
        <w:trPr>
          <w:trHeight w:val="227"/>
          <w:jc w:val="center"/>
        </w:trPr>
        <w:tc>
          <w:tcPr>
            <w:tcW w:w="5969" w:type="dxa"/>
            <w:shd w:val="clear" w:color="auto" w:fill="D9E2F3" w:themeFill="accent1" w:themeFillTint="33"/>
          </w:tcPr>
          <w:p w14:paraId="181E1F23"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lastRenderedPageBreak/>
              <w:t>M – Profesní, vědecké a technické činnosti</w:t>
            </w:r>
          </w:p>
        </w:tc>
        <w:tc>
          <w:tcPr>
            <w:tcW w:w="3039" w:type="dxa"/>
            <w:vAlign w:val="center"/>
          </w:tcPr>
          <w:p w14:paraId="569D37E3" w14:textId="242FFEFF"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sz w:val="18"/>
                <w:szCs w:val="18"/>
                <w:lang w:eastAsia="cs-CZ"/>
              </w:rPr>
              <w:t>0</w:t>
            </w:r>
          </w:p>
        </w:tc>
      </w:tr>
      <w:tr w:rsidR="002D00E2" w:rsidRPr="00CE357F" w14:paraId="5C51BBFC" w14:textId="77777777" w:rsidTr="00EA7129">
        <w:trPr>
          <w:trHeight w:val="227"/>
          <w:jc w:val="center"/>
        </w:trPr>
        <w:tc>
          <w:tcPr>
            <w:tcW w:w="5969" w:type="dxa"/>
            <w:shd w:val="clear" w:color="auto" w:fill="D9E2F3" w:themeFill="accent1" w:themeFillTint="33"/>
          </w:tcPr>
          <w:p w14:paraId="0DFE616A" w14:textId="77777777"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N – Administrativní a podpůrné činnosti</w:t>
            </w:r>
          </w:p>
        </w:tc>
        <w:tc>
          <w:tcPr>
            <w:tcW w:w="3039" w:type="dxa"/>
            <w:vAlign w:val="center"/>
          </w:tcPr>
          <w:p w14:paraId="72EBD4DB" w14:textId="605631FC"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146</w:t>
            </w:r>
          </w:p>
        </w:tc>
      </w:tr>
      <w:tr w:rsidR="002D00E2" w:rsidRPr="00CE357F" w14:paraId="663A648C" w14:textId="77777777" w:rsidTr="00EA7129">
        <w:trPr>
          <w:trHeight w:val="227"/>
          <w:jc w:val="center"/>
        </w:trPr>
        <w:tc>
          <w:tcPr>
            <w:tcW w:w="5969" w:type="dxa"/>
            <w:shd w:val="clear" w:color="auto" w:fill="D9E2F3" w:themeFill="accent1" w:themeFillTint="33"/>
          </w:tcPr>
          <w:p w14:paraId="46A59813"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 – Veřejná správa a obrana; povinné sociální zabezpečení</w:t>
            </w:r>
          </w:p>
        </w:tc>
        <w:tc>
          <w:tcPr>
            <w:tcW w:w="3039" w:type="dxa"/>
            <w:vAlign w:val="center"/>
          </w:tcPr>
          <w:p w14:paraId="59C7EF76" w14:textId="65C876F9"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w:t>
            </w:r>
          </w:p>
        </w:tc>
      </w:tr>
      <w:tr w:rsidR="002D00E2" w:rsidRPr="00CE357F" w14:paraId="04526611" w14:textId="77777777" w:rsidTr="00EA7129">
        <w:trPr>
          <w:trHeight w:val="227"/>
          <w:jc w:val="center"/>
        </w:trPr>
        <w:tc>
          <w:tcPr>
            <w:tcW w:w="5969" w:type="dxa"/>
            <w:shd w:val="clear" w:color="auto" w:fill="D9E2F3" w:themeFill="accent1" w:themeFillTint="33"/>
          </w:tcPr>
          <w:p w14:paraId="6930312A"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 – Vzdělávání</w:t>
            </w:r>
          </w:p>
        </w:tc>
        <w:tc>
          <w:tcPr>
            <w:tcW w:w="3039" w:type="dxa"/>
            <w:vAlign w:val="center"/>
          </w:tcPr>
          <w:p w14:paraId="78DAFE15" w14:textId="568913E9"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sz w:val="18"/>
                <w:szCs w:val="18"/>
                <w:lang w:eastAsia="cs-CZ"/>
              </w:rPr>
              <w:t>7</w:t>
            </w:r>
          </w:p>
        </w:tc>
      </w:tr>
      <w:tr w:rsidR="002D00E2" w:rsidRPr="00CE357F" w14:paraId="0B2F72EF" w14:textId="77777777" w:rsidTr="00EA7129">
        <w:trPr>
          <w:trHeight w:val="227"/>
          <w:jc w:val="center"/>
        </w:trPr>
        <w:tc>
          <w:tcPr>
            <w:tcW w:w="5969" w:type="dxa"/>
            <w:shd w:val="clear" w:color="auto" w:fill="D9E2F3" w:themeFill="accent1" w:themeFillTint="33"/>
          </w:tcPr>
          <w:p w14:paraId="68224628" w14:textId="77777777"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Q – Zdravotní a sociální péče</w:t>
            </w:r>
          </w:p>
        </w:tc>
        <w:tc>
          <w:tcPr>
            <w:tcW w:w="3039" w:type="dxa"/>
            <w:vAlign w:val="center"/>
          </w:tcPr>
          <w:p w14:paraId="05EA5E47" w14:textId="63CDA93C" w:rsidR="002D00E2" w:rsidRPr="00CE357F" w:rsidRDefault="002D00E2" w:rsidP="002D00E2">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155</w:t>
            </w:r>
          </w:p>
        </w:tc>
      </w:tr>
      <w:tr w:rsidR="002D00E2" w:rsidRPr="00CE357F" w14:paraId="5CB459F7" w14:textId="77777777" w:rsidTr="00EA7129">
        <w:trPr>
          <w:trHeight w:val="227"/>
          <w:jc w:val="center"/>
        </w:trPr>
        <w:tc>
          <w:tcPr>
            <w:tcW w:w="5969" w:type="dxa"/>
            <w:shd w:val="clear" w:color="auto" w:fill="D9E2F3" w:themeFill="accent1" w:themeFillTint="33"/>
          </w:tcPr>
          <w:p w14:paraId="3658E396"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 – Kulturní, zábavní a rekreační činnosti</w:t>
            </w:r>
          </w:p>
        </w:tc>
        <w:tc>
          <w:tcPr>
            <w:tcW w:w="3039" w:type="dxa"/>
            <w:vAlign w:val="center"/>
          </w:tcPr>
          <w:p w14:paraId="0B1FC424" w14:textId="63E24999"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6</w:t>
            </w:r>
          </w:p>
        </w:tc>
      </w:tr>
      <w:tr w:rsidR="002D00E2" w:rsidRPr="00CE357F" w14:paraId="10E7BEAC" w14:textId="77777777" w:rsidTr="00EA7129">
        <w:trPr>
          <w:trHeight w:val="227"/>
          <w:jc w:val="center"/>
        </w:trPr>
        <w:tc>
          <w:tcPr>
            <w:tcW w:w="5969" w:type="dxa"/>
            <w:shd w:val="clear" w:color="auto" w:fill="D9E2F3" w:themeFill="accent1" w:themeFillTint="33"/>
          </w:tcPr>
          <w:p w14:paraId="0DEC3E1D"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 – Ostatní činnosti</w:t>
            </w:r>
          </w:p>
        </w:tc>
        <w:tc>
          <w:tcPr>
            <w:tcW w:w="3039" w:type="dxa"/>
            <w:vAlign w:val="center"/>
          </w:tcPr>
          <w:p w14:paraId="3B1788CC" w14:textId="7B2E5483"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w:t>
            </w:r>
          </w:p>
        </w:tc>
      </w:tr>
      <w:tr w:rsidR="002D00E2" w:rsidRPr="00CE357F" w14:paraId="34EA3DC3" w14:textId="77777777" w:rsidTr="00EA7129">
        <w:trPr>
          <w:trHeight w:val="227"/>
          <w:jc w:val="center"/>
        </w:trPr>
        <w:tc>
          <w:tcPr>
            <w:tcW w:w="5969" w:type="dxa"/>
            <w:shd w:val="clear" w:color="auto" w:fill="D9E2F3" w:themeFill="accent1" w:themeFillTint="33"/>
          </w:tcPr>
          <w:p w14:paraId="258A87AE"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T – Činnosti domácností</w:t>
            </w:r>
          </w:p>
        </w:tc>
        <w:tc>
          <w:tcPr>
            <w:tcW w:w="3039" w:type="dxa"/>
            <w:vAlign w:val="center"/>
          </w:tcPr>
          <w:p w14:paraId="4E83E4B8" w14:textId="3B6D0EF1"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2D00E2" w:rsidRPr="00CE357F" w14:paraId="64E5FF1C" w14:textId="77777777" w:rsidTr="00EA7129">
        <w:trPr>
          <w:trHeight w:val="227"/>
          <w:jc w:val="center"/>
        </w:trPr>
        <w:tc>
          <w:tcPr>
            <w:tcW w:w="5969" w:type="dxa"/>
            <w:shd w:val="clear" w:color="auto" w:fill="D9E2F3" w:themeFill="accent1" w:themeFillTint="33"/>
          </w:tcPr>
          <w:p w14:paraId="1950304B"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 – Činnosti exteritoriálních organizací a orgánů</w:t>
            </w:r>
          </w:p>
        </w:tc>
        <w:tc>
          <w:tcPr>
            <w:tcW w:w="3039" w:type="dxa"/>
            <w:vAlign w:val="center"/>
          </w:tcPr>
          <w:p w14:paraId="3459678B" w14:textId="61E2F603"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2D00E2" w:rsidRPr="00CE357F" w14:paraId="7A03434F" w14:textId="77777777" w:rsidTr="00EA7129">
        <w:trPr>
          <w:trHeight w:val="227"/>
          <w:jc w:val="center"/>
        </w:trPr>
        <w:tc>
          <w:tcPr>
            <w:tcW w:w="5969" w:type="dxa"/>
            <w:shd w:val="clear" w:color="auto" w:fill="D9E2F3" w:themeFill="accent1" w:themeFillTint="33"/>
          </w:tcPr>
          <w:p w14:paraId="6678B72D" w14:textId="77777777"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neuvedeno</w:t>
            </w:r>
          </w:p>
        </w:tc>
        <w:tc>
          <w:tcPr>
            <w:tcW w:w="3039" w:type="dxa"/>
            <w:vAlign w:val="center"/>
          </w:tcPr>
          <w:p w14:paraId="401829AA" w14:textId="5B04AF59" w:rsidR="002D00E2" w:rsidRPr="00CE357F" w:rsidRDefault="002D00E2" w:rsidP="002D00E2">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2D00E2" w:rsidRPr="00CE357F" w14:paraId="66338B74" w14:textId="77777777" w:rsidTr="00EA7129">
        <w:trPr>
          <w:trHeight w:val="272"/>
          <w:jc w:val="center"/>
        </w:trPr>
        <w:tc>
          <w:tcPr>
            <w:tcW w:w="5969" w:type="dxa"/>
            <w:shd w:val="clear" w:color="auto" w:fill="D9E2F3" w:themeFill="accent1" w:themeFillTint="33"/>
            <w:vAlign w:val="center"/>
          </w:tcPr>
          <w:p w14:paraId="6A3A24C2" w14:textId="77777777" w:rsidR="002D00E2" w:rsidRPr="00CE357F" w:rsidRDefault="002D00E2" w:rsidP="002D00E2">
            <w:pPr>
              <w:jc w:val="center"/>
              <w:rPr>
                <w:rFonts w:ascii="Arial Narrow" w:hAnsi="Arial Narrow"/>
                <w:b/>
                <w:bCs/>
                <w:sz w:val="18"/>
                <w:szCs w:val="18"/>
              </w:rPr>
            </w:pPr>
            <w:r w:rsidRPr="00CE357F">
              <w:rPr>
                <w:rFonts w:ascii="Arial Narrow" w:hAnsi="Arial Narrow"/>
                <w:b/>
                <w:bCs/>
                <w:sz w:val="18"/>
                <w:szCs w:val="18"/>
              </w:rPr>
              <w:t>Počet pracujících osob s jinou než českou státní příslušností v ORP celkem</w:t>
            </w:r>
          </w:p>
        </w:tc>
        <w:tc>
          <w:tcPr>
            <w:tcW w:w="3039" w:type="dxa"/>
            <w:vAlign w:val="center"/>
          </w:tcPr>
          <w:p w14:paraId="53A11871" w14:textId="5DC7D680" w:rsidR="002D00E2" w:rsidRPr="00CE357F" w:rsidRDefault="002D00E2" w:rsidP="002D00E2">
            <w:pPr>
              <w:jc w:val="center"/>
              <w:rPr>
                <w:rFonts w:ascii="Arial Narrow" w:hAnsi="Arial Narrow"/>
                <w:b/>
                <w:bCs/>
                <w:sz w:val="18"/>
                <w:szCs w:val="18"/>
              </w:rPr>
            </w:pPr>
            <w:r w:rsidRPr="00CE357F">
              <w:rPr>
                <w:rFonts w:ascii="Arial Narrow" w:hAnsi="Arial Narrow"/>
                <w:b/>
                <w:bCs/>
                <w:sz w:val="18"/>
                <w:szCs w:val="18"/>
              </w:rPr>
              <w:t>646</w:t>
            </w:r>
          </w:p>
        </w:tc>
      </w:tr>
    </w:tbl>
    <w:p w14:paraId="28A80FC5" w14:textId="13885D69" w:rsidR="008F4C72" w:rsidRDefault="002D00E2" w:rsidP="00732A00">
      <w:pPr>
        <w:rPr>
          <w:rFonts w:ascii="Arial Narrow" w:hAnsi="Arial Narrow"/>
          <w:sz w:val="20"/>
        </w:rPr>
      </w:pPr>
      <w:r w:rsidRPr="00CE357F">
        <w:rPr>
          <w:rFonts w:ascii="Arial Narrow" w:hAnsi="Arial Narrow"/>
          <w:color w:val="000000"/>
          <w:sz w:val="20"/>
          <w:lang w:eastAsia="cs-CZ"/>
        </w:rPr>
        <w:t xml:space="preserve">Zdroj: Jihomoravský kraj </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 xml:space="preserve">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14988752" w14:textId="77777777" w:rsidR="00572269" w:rsidRPr="00572269" w:rsidRDefault="00572269" w:rsidP="00732A00">
      <w:pPr>
        <w:rPr>
          <w:rFonts w:ascii="Arial Narrow" w:hAnsi="Arial Narrow"/>
          <w:b/>
          <w:color w:val="2F5496" w:themeColor="accent1" w:themeShade="BF"/>
        </w:rPr>
      </w:pPr>
    </w:p>
    <w:p w14:paraId="2A1A4CFD" w14:textId="77777777" w:rsidR="00855D95" w:rsidRPr="00855D95" w:rsidRDefault="00855D95" w:rsidP="008B3D36">
      <w:pPr>
        <w:pStyle w:val="Odstavecseseznamem"/>
        <w:keepNext/>
        <w:keepLines/>
        <w:numPr>
          <w:ilvl w:val="2"/>
          <w:numId w:val="28"/>
        </w:numPr>
        <w:spacing w:before="200"/>
        <w:contextualSpacing w:val="0"/>
        <w:jc w:val="both"/>
        <w:outlineLvl w:val="2"/>
        <w:rPr>
          <w:rFonts w:ascii="Arial Narrow" w:eastAsiaTheme="majorEastAsia" w:hAnsi="Arial Narrow" w:cs="Arial"/>
          <w:b/>
          <w:bCs/>
          <w:vanish/>
          <w:color w:val="002060"/>
          <w:sz w:val="26"/>
          <w:szCs w:val="26"/>
          <w:u w:val="single"/>
        </w:rPr>
      </w:pPr>
      <w:bookmarkStart w:id="715" w:name="_Toc95986746"/>
      <w:bookmarkStart w:id="716" w:name="_Toc125635473"/>
      <w:bookmarkStart w:id="717" w:name="_Toc132629180"/>
      <w:bookmarkStart w:id="718" w:name="_Toc136876127"/>
      <w:bookmarkEnd w:id="715"/>
      <w:bookmarkEnd w:id="716"/>
      <w:bookmarkEnd w:id="717"/>
      <w:bookmarkEnd w:id="718"/>
    </w:p>
    <w:p w14:paraId="30CCEBC1" w14:textId="77777777" w:rsidR="00855D95" w:rsidRPr="00855D95" w:rsidRDefault="00855D95" w:rsidP="008B3D36">
      <w:pPr>
        <w:pStyle w:val="Odstavecseseznamem"/>
        <w:keepNext/>
        <w:keepLines/>
        <w:numPr>
          <w:ilvl w:val="2"/>
          <w:numId w:val="28"/>
        </w:numPr>
        <w:spacing w:before="200"/>
        <w:contextualSpacing w:val="0"/>
        <w:jc w:val="both"/>
        <w:outlineLvl w:val="2"/>
        <w:rPr>
          <w:rFonts w:ascii="Arial Narrow" w:eastAsiaTheme="majorEastAsia" w:hAnsi="Arial Narrow" w:cs="Arial"/>
          <w:b/>
          <w:bCs/>
          <w:vanish/>
          <w:color w:val="002060"/>
          <w:sz w:val="26"/>
          <w:szCs w:val="26"/>
          <w:u w:val="single"/>
        </w:rPr>
      </w:pPr>
      <w:bookmarkStart w:id="719" w:name="_Toc95986747"/>
      <w:bookmarkStart w:id="720" w:name="_Toc125635474"/>
      <w:bookmarkStart w:id="721" w:name="_Toc132629181"/>
      <w:bookmarkStart w:id="722" w:name="_Toc136876128"/>
      <w:bookmarkEnd w:id="719"/>
      <w:bookmarkEnd w:id="720"/>
      <w:bookmarkEnd w:id="721"/>
      <w:bookmarkEnd w:id="722"/>
    </w:p>
    <w:p w14:paraId="18731F2F" w14:textId="77777777" w:rsidR="00855D95" w:rsidRPr="00855D95" w:rsidRDefault="00855D95" w:rsidP="008B3D36">
      <w:pPr>
        <w:pStyle w:val="Odstavecseseznamem"/>
        <w:keepNext/>
        <w:keepLines/>
        <w:numPr>
          <w:ilvl w:val="2"/>
          <w:numId w:val="28"/>
        </w:numPr>
        <w:spacing w:before="200"/>
        <w:contextualSpacing w:val="0"/>
        <w:jc w:val="both"/>
        <w:outlineLvl w:val="2"/>
        <w:rPr>
          <w:rFonts w:ascii="Arial Narrow" w:eastAsiaTheme="majorEastAsia" w:hAnsi="Arial Narrow" w:cs="Arial"/>
          <w:b/>
          <w:bCs/>
          <w:vanish/>
          <w:color w:val="002060"/>
          <w:sz w:val="26"/>
          <w:szCs w:val="26"/>
          <w:u w:val="single"/>
        </w:rPr>
      </w:pPr>
      <w:bookmarkStart w:id="723" w:name="_Toc95986748"/>
      <w:bookmarkStart w:id="724" w:name="_Toc125635475"/>
      <w:bookmarkStart w:id="725" w:name="_Toc132629182"/>
      <w:bookmarkStart w:id="726" w:name="_Toc136876129"/>
      <w:bookmarkEnd w:id="723"/>
      <w:bookmarkEnd w:id="724"/>
      <w:bookmarkEnd w:id="725"/>
      <w:bookmarkEnd w:id="726"/>
    </w:p>
    <w:p w14:paraId="3066944B" w14:textId="77777777" w:rsidR="00855D95" w:rsidRPr="00855D95" w:rsidRDefault="00855D95" w:rsidP="008B3D36">
      <w:pPr>
        <w:pStyle w:val="Odstavecseseznamem"/>
        <w:keepNext/>
        <w:keepLines/>
        <w:numPr>
          <w:ilvl w:val="2"/>
          <w:numId w:val="28"/>
        </w:numPr>
        <w:spacing w:before="200"/>
        <w:contextualSpacing w:val="0"/>
        <w:jc w:val="both"/>
        <w:outlineLvl w:val="2"/>
        <w:rPr>
          <w:rFonts w:ascii="Arial Narrow" w:eastAsiaTheme="majorEastAsia" w:hAnsi="Arial Narrow" w:cs="Arial"/>
          <w:b/>
          <w:bCs/>
          <w:vanish/>
          <w:color w:val="002060"/>
          <w:sz w:val="26"/>
          <w:szCs w:val="26"/>
          <w:u w:val="single"/>
        </w:rPr>
      </w:pPr>
      <w:bookmarkStart w:id="727" w:name="_Toc95986749"/>
      <w:bookmarkStart w:id="728" w:name="_Toc125635476"/>
      <w:bookmarkStart w:id="729" w:name="_Toc132629183"/>
      <w:bookmarkStart w:id="730" w:name="_Toc136876130"/>
      <w:bookmarkEnd w:id="727"/>
      <w:bookmarkEnd w:id="728"/>
      <w:bookmarkEnd w:id="729"/>
      <w:bookmarkEnd w:id="730"/>
    </w:p>
    <w:p w14:paraId="6EAB3190" w14:textId="7319EE5F" w:rsidR="00855D95" w:rsidRPr="00CE357F" w:rsidRDefault="00855D95" w:rsidP="008B3D36">
      <w:pPr>
        <w:pStyle w:val="Nadpis3"/>
        <w:numPr>
          <w:ilvl w:val="2"/>
          <w:numId w:val="28"/>
        </w:numPr>
      </w:pPr>
      <w:bookmarkStart w:id="731" w:name="_Toc136876131"/>
      <w:r w:rsidRPr="0071035B">
        <w:t>Shrnutí poznatků ORP Břeclav</w:t>
      </w:r>
      <w:bookmarkEnd w:id="731"/>
      <w:r>
        <w:t xml:space="preserve"> </w:t>
      </w:r>
    </w:p>
    <w:p w14:paraId="5271D2B4" w14:textId="77777777" w:rsidR="008F4C72" w:rsidRPr="00CE357F" w:rsidRDefault="008F4C72" w:rsidP="00732A00">
      <w:pPr>
        <w:rPr>
          <w:rFonts w:ascii="Arial Narrow" w:hAnsi="Arial Narrow"/>
        </w:rPr>
      </w:pPr>
    </w:p>
    <w:p w14:paraId="73AD30EF" w14:textId="77777777" w:rsidR="008F4C72" w:rsidRPr="00CE357F" w:rsidRDefault="008F4C72" w:rsidP="00732A00">
      <w:pPr>
        <w:rPr>
          <w:rFonts w:ascii="Arial Narrow" w:hAnsi="Arial Narrow"/>
        </w:rPr>
      </w:pPr>
    </w:p>
    <w:p w14:paraId="6C77686C" w14:textId="7E01D280" w:rsidR="00855D95" w:rsidRDefault="00855D95" w:rsidP="00513F64">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Calibri" w:hAnsi="Arial Narrow" w:cs="Calibri"/>
          <w:sz w:val="22"/>
          <w:szCs w:val="22"/>
          <w:shd w:val="clear" w:color="auto" w:fill="FFFFFF"/>
        </w:rPr>
      </w:pPr>
      <w:r w:rsidRPr="00855D95">
        <w:rPr>
          <w:rFonts w:ascii="Arial Narrow" w:eastAsia="Calibri" w:hAnsi="Arial Narrow" w:cs="Calibri"/>
          <w:sz w:val="22"/>
          <w:szCs w:val="22"/>
        </w:rPr>
        <w:t>Závěrem této kapitoly si dovolujeme</w:t>
      </w:r>
      <w:r>
        <w:rPr>
          <w:rFonts w:ascii="Arial Narrow" w:eastAsia="Calibri" w:hAnsi="Arial Narrow" w:cs="Calibri"/>
          <w:sz w:val="22"/>
          <w:szCs w:val="22"/>
        </w:rPr>
        <w:t xml:space="preserve"> předložit</w:t>
      </w:r>
      <w:r w:rsidRPr="00855D95">
        <w:rPr>
          <w:rFonts w:ascii="Arial Narrow" w:eastAsia="Calibri" w:hAnsi="Arial Narrow" w:cs="Calibri"/>
          <w:sz w:val="22"/>
          <w:szCs w:val="22"/>
        </w:rPr>
        <w:t xml:space="preserve"> stručné shrnutí základních poznatků, které vyplývají ze sekundární analýzy dat k osobám s jinou než českou státní příslušností v</w:t>
      </w:r>
      <w:r>
        <w:rPr>
          <w:rFonts w:ascii="Arial Narrow" w:eastAsia="Calibri" w:hAnsi="Arial Narrow" w:cs="Calibri"/>
          <w:sz w:val="22"/>
          <w:szCs w:val="22"/>
        </w:rPr>
        <w:t> ORP Břeclav</w:t>
      </w:r>
      <w:r w:rsidRPr="00855D95">
        <w:rPr>
          <w:rFonts w:ascii="Arial Narrow" w:eastAsia="Calibri" w:hAnsi="Arial Narrow" w:cs="Calibri"/>
          <w:sz w:val="22"/>
          <w:szCs w:val="22"/>
        </w:rPr>
        <w:t xml:space="preserve">. Tyto údaje jsou součástí projektu </w:t>
      </w:r>
      <w:r w:rsidRPr="00855D95">
        <w:rPr>
          <w:rFonts w:ascii="Arial Narrow" w:eastAsia="Calibri" w:hAnsi="Arial Narrow" w:cs="Calibri"/>
          <w:sz w:val="22"/>
          <w:szCs w:val="22"/>
          <w:shd w:val="clear" w:color="auto" w:fill="FFFFFF"/>
        </w:rPr>
        <w:t>„Analýza potřeb klíčových aktérů v</w:t>
      </w:r>
      <w:r w:rsidRPr="00855D95">
        <w:rPr>
          <w:rFonts w:ascii="Arial" w:hAnsi="Arial" w:cs="Arial"/>
          <w:sz w:val="22"/>
          <w:szCs w:val="22"/>
          <w:shd w:val="clear" w:color="auto" w:fill="FFFFFF"/>
        </w:rPr>
        <w:t> </w:t>
      </w:r>
      <w:r w:rsidRPr="00855D95">
        <w:rPr>
          <w:rFonts w:ascii="Arial Narrow" w:eastAsia="Calibri" w:hAnsi="Arial Narrow" w:cs="Calibri"/>
          <w:sz w:val="22"/>
          <w:szCs w:val="22"/>
          <w:shd w:val="clear" w:color="auto" w:fill="FFFFFF"/>
        </w:rPr>
        <w:t>oblasti zaměstnávání cizinců v JMK“.</w:t>
      </w:r>
    </w:p>
    <w:p w14:paraId="13A3B2D3" w14:textId="77777777" w:rsidR="0056780C" w:rsidRDefault="0056780C" w:rsidP="0056780C">
      <w:pPr>
        <w:spacing w:after="120" w:line="276" w:lineRule="auto"/>
        <w:jc w:val="both"/>
        <w:rPr>
          <w:rFonts w:ascii="Arial Narrow" w:hAnsi="Arial Narrow"/>
        </w:rPr>
      </w:pPr>
      <w:r w:rsidRPr="00C52011">
        <w:rPr>
          <w:rFonts w:ascii="Arial Narrow" w:hAnsi="Arial Narrow"/>
        </w:rPr>
        <w:t>K 31. 12. 2021 žilo na území ORP Břeclav celkem 58 281 obyvatel, což představovalo zhruba 4,9 % všech obyvatel Jihomoravského kraje. Mezi obyvateli ORP Břeclav byli k tomuto datu muži a ženy téměř rovnoměrně zastoupeni (49 % mužů a 51 % žen). Zastoupení mužů a žen mezi obyvateli ORP Břeclav zůstáv</w:t>
      </w:r>
      <w:r>
        <w:rPr>
          <w:rFonts w:ascii="Arial Narrow" w:hAnsi="Arial Narrow"/>
        </w:rPr>
        <w:t>al</w:t>
      </w:r>
      <w:r w:rsidRPr="00C52011">
        <w:rPr>
          <w:rFonts w:ascii="Arial Narrow" w:hAnsi="Arial Narrow"/>
        </w:rPr>
        <w:t xml:space="preserve">, stejně jako podíl obyvatel na celkovém počtu obyvatel JMK, </w:t>
      </w:r>
      <w:r>
        <w:rPr>
          <w:rFonts w:ascii="Arial Narrow" w:hAnsi="Arial Narrow"/>
        </w:rPr>
        <w:t xml:space="preserve">koncem roku 2021 </w:t>
      </w:r>
      <w:r w:rsidRPr="00C52011">
        <w:rPr>
          <w:rFonts w:ascii="Arial Narrow" w:hAnsi="Arial Narrow"/>
        </w:rPr>
        <w:t>dlouhodobě stabilní.</w:t>
      </w:r>
      <w:r>
        <w:rPr>
          <w:rFonts w:ascii="Arial Narrow" w:hAnsi="Arial Narrow"/>
        </w:rPr>
        <w:t xml:space="preserve"> </w:t>
      </w:r>
      <w:r w:rsidRPr="00855D95">
        <w:rPr>
          <w:rFonts w:ascii="Arial Narrow" w:eastAsia="Calibri" w:hAnsi="Arial Narrow"/>
        </w:rPr>
        <w:t>Meziročně vzrůstá pouze průměrný věk obyvatel. Zatímco v roce 2005 byl průměrný věk obyvatel ORP Břeclav 39,6 let, v roce 202</w:t>
      </w:r>
      <w:r>
        <w:rPr>
          <w:rFonts w:ascii="Arial Narrow" w:eastAsia="Calibri" w:hAnsi="Arial Narrow"/>
        </w:rPr>
        <w:t>1</w:t>
      </w:r>
      <w:r w:rsidRPr="00855D95">
        <w:rPr>
          <w:rFonts w:ascii="Arial Narrow" w:eastAsia="Calibri" w:hAnsi="Arial Narrow"/>
        </w:rPr>
        <w:t xml:space="preserve"> to bylo 4</w:t>
      </w:r>
      <w:r>
        <w:rPr>
          <w:rFonts w:ascii="Arial Narrow" w:eastAsia="Calibri" w:hAnsi="Arial Narrow"/>
        </w:rPr>
        <w:t>2</w:t>
      </w:r>
      <w:r w:rsidRPr="00855D95">
        <w:rPr>
          <w:rFonts w:ascii="Arial Narrow" w:eastAsia="Calibri" w:hAnsi="Arial Narrow"/>
        </w:rPr>
        <w:t>,</w:t>
      </w:r>
      <w:r>
        <w:rPr>
          <w:rFonts w:ascii="Arial Narrow" w:eastAsia="Calibri" w:hAnsi="Arial Narrow"/>
        </w:rPr>
        <w:t>9</w:t>
      </w:r>
      <w:r w:rsidRPr="00855D95">
        <w:rPr>
          <w:rFonts w:ascii="Arial Narrow" w:eastAsia="Calibri" w:hAnsi="Arial Narrow"/>
        </w:rPr>
        <w:t xml:space="preserve"> let. Jedná se ale o trend, který je charakteristický pro území celé České republiky</w:t>
      </w:r>
      <w:r w:rsidRPr="000477F1">
        <w:rPr>
          <w:rStyle w:val="Znakapoznpodarou"/>
          <w:rFonts w:ascii="Arial Narrow" w:eastAsia="Times New Roman" w:hAnsi="Arial Narrow" w:cs="Arial"/>
          <w:sz w:val="18"/>
          <w:szCs w:val="18"/>
          <w:lang w:eastAsia="cs-CZ"/>
        </w:rPr>
        <w:footnoteReference w:id="87"/>
      </w:r>
      <w:r w:rsidRPr="000477F1">
        <w:rPr>
          <w:rFonts w:ascii="Arial Narrow" w:hAnsi="Arial Narrow"/>
        </w:rPr>
        <w:t>.</w:t>
      </w:r>
    </w:p>
    <w:p w14:paraId="3DB3127F" w14:textId="0246420D" w:rsidR="0056780C" w:rsidRDefault="0056780C" w:rsidP="0056780C">
      <w:pPr>
        <w:spacing w:after="120" w:line="276" w:lineRule="auto"/>
        <w:jc w:val="both"/>
        <w:rPr>
          <w:rFonts w:ascii="Arial Narrow" w:hAnsi="Arial Narrow"/>
        </w:rPr>
      </w:pPr>
      <w:r w:rsidRPr="006B2844">
        <w:rPr>
          <w:rFonts w:ascii="Arial Narrow" w:eastAsia="Calibri" w:hAnsi="Arial Narrow"/>
          <w:color w:val="000000"/>
          <w:u w:color="000000"/>
        </w:rPr>
        <w:t xml:space="preserve">ORP </w:t>
      </w:r>
      <w:r>
        <w:rPr>
          <w:rFonts w:ascii="Arial Narrow" w:eastAsia="Calibri" w:hAnsi="Arial Narrow"/>
          <w:color w:val="000000"/>
          <w:u w:color="000000"/>
        </w:rPr>
        <w:t>Břeclav</w:t>
      </w:r>
      <w:r w:rsidRPr="006B2844">
        <w:rPr>
          <w:rFonts w:ascii="Arial Narrow" w:eastAsia="Calibri" w:hAnsi="Arial Narrow"/>
          <w:color w:val="000000"/>
          <w:u w:color="000000"/>
        </w:rPr>
        <w:t xml:space="preserve"> dlouhodobě představovalo, ve srovnání s jinými vybranými ORP Jihomoravského kraje, </w:t>
      </w:r>
      <w:r w:rsidRPr="006B2844">
        <w:rPr>
          <w:rFonts w:ascii="Arial Narrow" w:eastAsia="Calibri" w:hAnsi="Arial Narrow"/>
          <w:b/>
          <w:bCs/>
          <w:color w:val="000000"/>
          <w:u w:color="000000"/>
        </w:rPr>
        <w:t xml:space="preserve">oblast s </w:t>
      </w:r>
      <w:r>
        <w:rPr>
          <w:rFonts w:ascii="Arial Narrow" w:eastAsia="Calibri" w:hAnsi="Arial Narrow"/>
          <w:b/>
          <w:bCs/>
          <w:color w:val="000000"/>
          <w:u w:color="000000"/>
        </w:rPr>
        <w:t>vyšším</w:t>
      </w:r>
      <w:r w:rsidRPr="006B2844">
        <w:rPr>
          <w:rFonts w:ascii="Arial Narrow" w:eastAsia="Calibri" w:hAnsi="Arial Narrow"/>
          <w:b/>
          <w:bCs/>
          <w:color w:val="000000"/>
          <w:u w:color="000000"/>
        </w:rPr>
        <w:t xml:space="preserve"> podílem osob s jinou než českou příslušností. V posledním roce se podíl osob s jinou než českou státní příslušností </w:t>
      </w:r>
      <w:r w:rsidRPr="006B2844">
        <w:rPr>
          <w:rFonts w:ascii="Arial Narrow" w:hAnsi="Arial Narrow"/>
          <w:b/>
          <w:bCs/>
        </w:rPr>
        <w:t xml:space="preserve">zvýšil </w:t>
      </w:r>
      <w:r>
        <w:rPr>
          <w:rFonts w:ascii="Arial Narrow" w:hAnsi="Arial Narrow"/>
          <w:b/>
          <w:bCs/>
        </w:rPr>
        <w:t>více než</w:t>
      </w:r>
      <w:r w:rsidRPr="006B2844">
        <w:rPr>
          <w:rFonts w:ascii="Arial Narrow" w:hAnsi="Arial Narrow"/>
          <w:b/>
          <w:bCs/>
        </w:rPr>
        <w:t xml:space="preserve"> </w:t>
      </w:r>
      <w:r>
        <w:rPr>
          <w:rFonts w:ascii="Arial Narrow" w:hAnsi="Arial Narrow"/>
          <w:b/>
          <w:bCs/>
        </w:rPr>
        <w:t>dvojnásobně</w:t>
      </w:r>
      <w:r w:rsidRPr="006B2844">
        <w:rPr>
          <w:rFonts w:ascii="Arial Narrow" w:hAnsi="Arial Narrow"/>
          <w:b/>
          <w:bCs/>
        </w:rPr>
        <w:t xml:space="preserve">, což bylo </w:t>
      </w:r>
      <w:r>
        <w:rPr>
          <w:rFonts w:ascii="Arial Narrow" w:hAnsi="Arial Narrow"/>
          <w:b/>
          <w:bCs/>
        </w:rPr>
        <w:t xml:space="preserve">pravděpodobně </w:t>
      </w:r>
      <w:r w:rsidRPr="006B2844">
        <w:rPr>
          <w:rFonts w:ascii="Arial Narrow" w:hAnsi="Arial Narrow"/>
          <w:b/>
          <w:bCs/>
        </w:rPr>
        <w:t>způsobeno především válečným konfliktem na Ukrajině.</w:t>
      </w:r>
      <w:r>
        <w:rPr>
          <w:rFonts w:ascii="Arial Narrow" w:eastAsia="Calibri" w:hAnsi="Arial Narrow"/>
          <w:b/>
          <w:bCs/>
          <w:color w:val="000000"/>
          <w:u w:color="000000"/>
        </w:rPr>
        <w:t xml:space="preserve"> </w:t>
      </w:r>
      <w:r>
        <w:rPr>
          <w:rFonts w:ascii="Arial Narrow" w:eastAsia="Calibri" w:hAnsi="Arial Narrow"/>
          <w:color w:val="000000"/>
          <w:u w:color="000000"/>
        </w:rPr>
        <w:t>Zatímco k</w:t>
      </w:r>
      <w:r w:rsidRPr="00513F64">
        <w:rPr>
          <w:rFonts w:ascii="Arial Narrow" w:eastAsia="Calibri" w:hAnsi="Arial Narrow"/>
          <w:color w:val="000000"/>
          <w:u w:color="000000"/>
        </w:rPr>
        <w:t> datu 1. 1. 2022</w:t>
      </w:r>
      <w:r>
        <w:rPr>
          <w:rFonts w:ascii="Arial Narrow" w:eastAsia="Calibri" w:hAnsi="Arial Narrow"/>
          <w:color w:val="000000"/>
          <w:u w:color="000000"/>
        </w:rPr>
        <w:t xml:space="preserve"> žilo v ORP Břeclav</w:t>
      </w:r>
      <w:r w:rsidRPr="00513F64">
        <w:rPr>
          <w:rFonts w:ascii="Arial Narrow" w:eastAsia="Calibri" w:hAnsi="Arial Narrow"/>
          <w:color w:val="000000"/>
          <w:u w:color="000000"/>
        </w:rPr>
        <w:t xml:space="preserve"> celkem </w:t>
      </w:r>
      <w:r>
        <w:rPr>
          <w:rFonts w:ascii="Arial Narrow" w:eastAsia="Calibri" w:hAnsi="Arial Narrow"/>
          <w:color w:val="000000"/>
          <w:u w:color="000000"/>
        </w:rPr>
        <w:t>1 971</w:t>
      </w:r>
      <w:r w:rsidRPr="00513F64">
        <w:rPr>
          <w:rFonts w:ascii="Arial Narrow" w:eastAsia="Calibri" w:hAnsi="Arial Narrow"/>
          <w:color w:val="000000"/>
          <w:u w:color="000000"/>
        </w:rPr>
        <w:t xml:space="preserve"> osob s jinou než českou státní příslušností, což bylo zhruba </w:t>
      </w:r>
      <w:r>
        <w:rPr>
          <w:rFonts w:ascii="Arial Narrow" w:eastAsia="Calibri" w:hAnsi="Arial Narrow"/>
          <w:color w:val="000000"/>
          <w:u w:color="000000"/>
        </w:rPr>
        <w:t>3,4</w:t>
      </w:r>
      <w:r w:rsidRPr="00513F64">
        <w:rPr>
          <w:rFonts w:ascii="Arial Narrow" w:eastAsia="Calibri" w:hAnsi="Arial Narrow"/>
          <w:color w:val="000000"/>
          <w:u w:color="000000"/>
        </w:rPr>
        <w:t xml:space="preserve"> % všech obyvatel ORP </w:t>
      </w:r>
      <w:r>
        <w:rPr>
          <w:rFonts w:ascii="Arial Narrow" w:eastAsia="Calibri" w:hAnsi="Arial Narrow"/>
          <w:color w:val="000000"/>
          <w:u w:color="000000"/>
        </w:rPr>
        <w:t xml:space="preserve">Břeclav, k 1. 1. 2023 v ORP Břeclav žilo </w:t>
      </w:r>
      <w:r>
        <w:rPr>
          <w:rFonts w:ascii="Arial Narrow" w:hAnsi="Arial Narrow"/>
          <w:color w:val="000000"/>
        </w:rPr>
        <w:t xml:space="preserve">celkem 4 328 </w:t>
      </w:r>
      <w:r w:rsidRPr="00CE357F">
        <w:rPr>
          <w:rFonts w:ascii="Arial Narrow" w:hAnsi="Arial Narrow"/>
          <w:color w:val="000000"/>
        </w:rPr>
        <w:t>osob s jinou než českou státní</w:t>
      </w:r>
      <w:r>
        <w:rPr>
          <w:rFonts w:ascii="Arial Narrow" w:hAnsi="Arial Narrow"/>
          <w:color w:val="000000"/>
        </w:rPr>
        <w:t xml:space="preserve"> příslušností, což bylo zhruba 6,9</w:t>
      </w:r>
      <w:r w:rsidRPr="00CE357F">
        <w:rPr>
          <w:rFonts w:ascii="Arial Narrow" w:hAnsi="Arial Narrow"/>
          <w:color w:val="000000"/>
        </w:rPr>
        <w:t xml:space="preserve"> % všech obyvat</w:t>
      </w:r>
      <w:r>
        <w:rPr>
          <w:rFonts w:ascii="Arial Narrow" w:hAnsi="Arial Narrow"/>
          <w:color w:val="000000"/>
        </w:rPr>
        <w:t xml:space="preserve">el ORP </w:t>
      </w:r>
      <w:r>
        <w:rPr>
          <w:rFonts w:ascii="Arial Narrow" w:eastAsia="Calibri" w:hAnsi="Arial Narrow"/>
          <w:color w:val="000000"/>
          <w:u w:color="000000"/>
        </w:rPr>
        <w:t>Břeclav</w:t>
      </w:r>
      <w:r>
        <w:rPr>
          <w:rFonts w:ascii="Arial Narrow" w:hAnsi="Arial Narrow"/>
          <w:color w:val="000000"/>
        </w:rPr>
        <w:t xml:space="preserve">. Tři čtvrtiny </w:t>
      </w:r>
      <w:r>
        <w:rPr>
          <w:rFonts w:ascii="Arial Narrow" w:hAnsi="Arial Narrow"/>
          <w:color w:val="000000"/>
        </w:rPr>
        <w:br/>
        <w:t>(74,7</w:t>
      </w:r>
      <w:r w:rsidRPr="00CE357F">
        <w:rPr>
          <w:rFonts w:ascii="Arial Narrow" w:hAnsi="Arial Narrow"/>
          <w:color w:val="000000"/>
        </w:rPr>
        <w:t xml:space="preserve"> %) všech osob s jinou než českou státní příslušností</w:t>
      </w:r>
      <w:r>
        <w:rPr>
          <w:rFonts w:ascii="Arial Narrow" w:hAnsi="Arial Narrow"/>
          <w:color w:val="000000"/>
        </w:rPr>
        <w:t xml:space="preserve"> na území OPR </w:t>
      </w:r>
      <w:r>
        <w:rPr>
          <w:rFonts w:ascii="Arial Narrow" w:eastAsia="Calibri" w:hAnsi="Arial Narrow"/>
          <w:color w:val="000000"/>
          <w:u w:color="000000"/>
        </w:rPr>
        <w:t>Břeclav</w:t>
      </w:r>
      <w:r>
        <w:rPr>
          <w:rFonts w:ascii="Arial Narrow" w:hAnsi="Arial Narrow"/>
          <w:color w:val="000000"/>
        </w:rPr>
        <w:t xml:space="preserve"> mělo přechodný pobyt. </w:t>
      </w:r>
    </w:p>
    <w:p w14:paraId="5879A083" w14:textId="2E6D94C3" w:rsidR="00B806EA" w:rsidRDefault="00B806EA" w:rsidP="00B806EA">
      <w:pPr>
        <w:spacing w:after="120" w:line="276" w:lineRule="auto"/>
        <w:jc w:val="both"/>
        <w:rPr>
          <w:rFonts w:ascii="Arial Narrow" w:eastAsia="Calibri" w:hAnsi="Arial Narrow"/>
          <w:color w:val="000000"/>
          <w:u w:color="000000"/>
        </w:rPr>
      </w:pPr>
      <w:r w:rsidRPr="00855D95">
        <w:rPr>
          <w:rFonts w:ascii="Arial Narrow" w:eastAsia="Calibri" w:hAnsi="Arial Narrow"/>
        </w:rPr>
        <w:t>V ORP Břeclav bylo k 1. 1. 202</w:t>
      </w:r>
      <w:r>
        <w:rPr>
          <w:rFonts w:ascii="Arial Narrow" w:eastAsia="Calibri" w:hAnsi="Arial Narrow"/>
        </w:rPr>
        <w:t>3</w:t>
      </w:r>
      <w:r w:rsidRPr="00855D95">
        <w:rPr>
          <w:rFonts w:ascii="Arial Narrow" w:eastAsia="Calibri" w:hAnsi="Arial Narrow"/>
        </w:rPr>
        <w:t xml:space="preserve"> </w:t>
      </w:r>
      <w:r w:rsidRPr="00855D95">
        <w:rPr>
          <w:rFonts w:ascii="Arial Narrow" w:eastAsia="Calibri" w:hAnsi="Arial Narrow"/>
          <w:b/>
          <w:bCs/>
        </w:rPr>
        <w:t>celkem 18 obcí, přičemž v každé z nich byla evidována alespoň jedna osoba s jinou než českou státní příslušností.</w:t>
      </w:r>
      <w:r w:rsidRPr="00855D95">
        <w:rPr>
          <w:rFonts w:ascii="Arial Narrow" w:eastAsia="Calibri" w:hAnsi="Arial Narrow"/>
        </w:rPr>
        <w:t xml:space="preserve"> Nejvyšší podíl osob s jinou než českou státní příslušností na celkovém počtu obyvatel v dané obci byl v obc</w:t>
      </w:r>
      <w:r>
        <w:rPr>
          <w:rFonts w:ascii="Arial Narrow" w:eastAsia="Calibri" w:hAnsi="Arial Narrow"/>
        </w:rPr>
        <w:t>i</w:t>
      </w:r>
      <w:r w:rsidRPr="00855D95">
        <w:rPr>
          <w:rFonts w:ascii="Arial Narrow" w:eastAsia="Calibri" w:hAnsi="Arial Narrow"/>
        </w:rPr>
        <w:t xml:space="preserve"> </w:t>
      </w:r>
      <w:r w:rsidRPr="006355B6">
        <w:rPr>
          <w:rFonts w:ascii="Arial Narrow" w:hAnsi="Arial Narrow"/>
          <w:color w:val="000000"/>
        </w:rPr>
        <w:t>Lednice (13,3 %), druhý nejvyšší podíl byl evidován v Rakvicích (12,4 %) a dále v Ladné (11,9 %) a v Přítlukách (11,7 %).</w:t>
      </w:r>
      <w:r>
        <w:rPr>
          <w:rFonts w:ascii="Arial Narrow" w:hAnsi="Arial Narrow"/>
          <w:color w:val="000000"/>
        </w:rPr>
        <w:t xml:space="preserve"> </w:t>
      </w:r>
      <w:r>
        <w:rPr>
          <w:rFonts w:ascii="Arial Narrow" w:eastAsia="Calibri" w:hAnsi="Arial Narrow"/>
          <w:color w:val="000000"/>
          <w:u w:color="000000"/>
        </w:rPr>
        <w:t>V roce 2022 představoval podíl těchto osob v</w:t>
      </w:r>
      <w:r w:rsidR="00541086">
        <w:rPr>
          <w:rFonts w:ascii="Arial Narrow" w:eastAsia="Calibri" w:hAnsi="Arial Narrow"/>
          <w:color w:val="000000"/>
          <w:u w:color="000000"/>
        </w:rPr>
        <w:t> </w:t>
      </w:r>
      <w:r>
        <w:rPr>
          <w:rFonts w:ascii="Arial Narrow" w:eastAsia="Calibri" w:hAnsi="Arial Narrow"/>
          <w:color w:val="000000"/>
          <w:u w:color="000000"/>
        </w:rPr>
        <w:t>Lednici</w:t>
      </w:r>
      <w:r w:rsidR="00541086">
        <w:rPr>
          <w:rFonts w:ascii="Arial Narrow" w:eastAsia="Calibri" w:hAnsi="Arial Narrow"/>
          <w:color w:val="000000"/>
          <w:u w:color="000000"/>
        </w:rPr>
        <w:t xml:space="preserve"> 3,7</w:t>
      </w:r>
      <w:r>
        <w:rPr>
          <w:rFonts w:ascii="Arial Narrow" w:eastAsia="Calibri" w:hAnsi="Arial Narrow"/>
          <w:color w:val="000000"/>
          <w:u w:color="000000"/>
        </w:rPr>
        <w:t xml:space="preserve"> %, v Rakvicích </w:t>
      </w:r>
      <w:r w:rsidR="00541086">
        <w:rPr>
          <w:rFonts w:ascii="Arial Narrow" w:eastAsia="Calibri" w:hAnsi="Arial Narrow"/>
          <w:color w:val="000000"/>
          <w:u w:color="000000"/>
        </w:rPr>
        <w:t xml:space="preserve">3,2 </w:t>
      </w:r>
      <w:r>
        <w:rPr>
          <w:rFonts w:ascii="Arial Narrow" w:eastAsia="Calibri" w:hAnsi="Arial Narrow"/>
          <w:color w:val="000000"/>
          <w:u w:color="000000"/>
        </w:rPr>
        <w:t xml:space="preserve">%, v Ladné </w:t>
      </w:r>
      <w:r w:rsidR="00541086">
        <w:rPr>
          <w:rFonts w:ascii="Arial Narrow" w:eastAsia="Calibri" w:hAnsi="Arial Narrow"/>
          <w:color w:val="000000"/>
          <w:u w:color="000000"/>
        </w:rPr>
        <w:t>4,4 % a v Přítlukách 1,3 %.</w:t>
      </w:r>
      <w:r>
        <w:rPr>
          <w:rFonts w:ascii="Arial Narrow" w:eastAsia="Calibri" w:hAnsi="Arial Narrow"/>
          <w:color w:val="000000"/>
          <w:u w:color="000000"/>
        </w:rPr>
        <w:t xml:space="preserve"> </w:t>
      </w:r>
    </w:p>
    <w:p w14:paraId="7AD96BE0" w14:textId="730F05E0" w:rsidR="0044026F" w:rsidRPr="0044026F" w:rsidRDefault="0044026F" w:rsidP="0044026F">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Calibri" w:hAnsi="Arial Narrow" w:cs="Calibri"/>
          <w:sz w:val="22"/>
          <w:szCs w:val="22"/>
        </w:rPr>
      </w:pPr>
      <w:r w:rsidRPr="00855D95">
        <w:rPr>
          <w:rFonts w:ascii="Arial Narrow" w:eastAsia="Calibri" w:hAnsi="Arial Narrow" w:cs="Calibri"/>
          <w:sz w:val="22"/>
          <w:szCs w:val="22"/>
        </w:rPr>
        <w:t>Ačkoliv v populaci osob s jinou než českou státní příslušností v ORP Břeclav dlouhodobě převaž</w:t>
      </w:r>
      <w:r>
        <w:rPr>
          <w:rFonts w:ascii="Arial Narrow" w:eastAsia="Calibri" w:hAnsi="Arial Narrow" w:cs="Calibri"/>
          <w:sz w:val="22"/>
          <w:szCs w:val="22"/>
        </w:rPr>
        <w:t>oval</w:t>
      </w:r>
      <w:r w:rsidRPr="00855D95">
        <w:rPr>
          <w:rFonts w:ascii="Arial Narrow" w:eastAsia="Calibri" w:hAnsi="Arial Narrow" w:cs="Calibri"/>
          <w:sz w:val="22"/>
          <w:szCs w:val="22"/>
        </w:rPr>
        <w:t xml:space="preserve"> počet mužů nad počtem žen, </w:t>
      </w:r>
      <w:r w:rsidRPr="0044026F">
        <w:rPr>
          <w:rFonts w:ascii="Arial Narrow" w:eastAsia="Calibri" w:hAnsi="Arial Narrow" w:cs="Calibri"/>
          <w:sz w:val="22"/>
          <w:szCs w:val="22"/>
        </w:rPr>
        <w:t xml:space="preserve">jejich podíl se dlouhodobě mírně snižoval. Zatímco v roce 2006 bylo zastoupení mužů s jinou než českou státní příslušností 68,6 % oproti 41,4 % ženám, v roce 2022 byl již podíl obou pohlaví téměř vyrovnaný (46,1 % žen a 53,9 % mužů). </w:t>
      </w:r>
      <w:r w:rsidRPr="0044026F">
        <w:rPr>
          <w:rFonts w:ascii="Arial Narrow" w:eastAsia="Calibri" w:hAnsi="Arial Narrow"/>
        </w:rPr>
        <w:t xml:space="preserve">V </w:t>
      </w:r>
      <w:r w:rsidRPr="0044026F">
        <w:rPr>
          <w:rFonts w:ascii="Arial Narrow" w:eastAsia="Calibri" w:hAnsi="Arial Narrow" w:cs="Calibri"/>
          <w:sz w:val="22"/>
          <w:szCs w:val="22"/>
        </w:rPr>
        <w:t>průběhu roku 2022</w:t>
      </w:r>
      <w:r w:rsidRPr="0044026F">
        <w:rPr>
          <w:rFonts w:ascii="Arial Narrow" w:eastAsia="Calibri" w:hAnsi="Arial Narrow"/>
          <w:sz w:val="22"/>
          <w:szCs w:val="22"/>
        </w:rPr>
        <w:t xml:space="preserve"> došlo </w:t>
      </w:r>
      <w:r w:rsidRPr="0044026F">
        <w:rPr>
          <w:rFonts w:ascii="Arial Narrow" w:eastAsia="Calibri" w:hAnsi="Arial Narrow" w:cs="Calibri"/>
          <w:sz w:val="22"/>
          <w:szCs w:val="22"/>
        </w:rPr>
        <w:t xml:space="preserve">v důsledku struktury ukrajinských </w:t>
      </w:r>
      <w:r w:rsidR="007A5B21">
        <w:rPr>
          <w:rFonts w:ascii="Arial Narrow" w:eastAsia="Calibri" w:hAnsi="Arial Narrow" w:cs="Calibri"/>
          <w:sz w:val="22"/>
          <w:szCs w:val="22"/>
        </w:rPr>
        <w:t>občanů</w:t>
      </w:r>
      <w:r w:rsidRPr="0044026F">
        <w:rPr>
          <w:rFonts w:ascii="Arial Narrow" w:eastAsia="Calibri" w:hAnsi="Arial Narrow" w:cs="Calibri"/>
          <w:sz w:val="22"/>
          <w:szCs w:val="22"/>
        </w:rPr>
        <w:t xml:space="preserve"> migrujících do Jihomoravského kraje k dalšímu nárůstu podílu žen. </w:t>
      </w:r>
      <w:r w:rsidRPr="0044026F">
        <w:rPr>
          <w:rFonts w:ascii="Arial Narrow" w:hAnsi="Arial Narrow"/>
          <w:b/>
          <w:bCs/>
          <w:sz w:val="22"/>
          <w:szCs w:val="22"/>
        </w:rPr>
        <w:t xml:space="preserve">K 1. 1. 2023 </w:t>
      </w:r>
      <w:r w:rsidRPr="0044026F">
        <w:rPr>
          <w:rFonts w:ascii="Arial Narrow" w:eastAsia="Calibri" w:hAnsi="Arial Narrow" w:cs="Calibri"/>
          <w:b/>
          <w:bCs/>
          <w:sz w:val="22"/>
          <w:szCs w:val="22"/>
        </w:rPr>
        <w:t>zmíněný podíl čin</w:t>
      </w:r>
      <w:r w:rsidRPr="0044026F">
        <w:rPr>
          <w:rFonts w:ascii="Arial Narrow" w:eastAsia="Calibri" w:hAnsi="Arial Narrow"/>
          <w:b/>
          <w:bCs/>
        </w:rPr>
        <w:t>il</w:t>
      </w:r>
      <w:r w:rsidRPr="0044026F">
        <w:rPr>
          <w:rFonts w:ascii="Arial Narrow" w:eastAsia="Calibri" w:hAnsi="Arial Narrow" w:cs="Calibri"/>
          <w:b/>
          <w:bCs/>
          <w:sz w:val="22"/>
          <w:szCs w:val="22"/>
        </w:rPr>
        <w:t xml:space="preserve"> 59,6 %</w:t>
      </w:r>
      <w:r w:rsidRPr="0044026F">
        <w:rPr>
          <w:rFonts w:ascii="Arial Narrow" w:eastAsia="Calibri" w:hAnsi="Arial Narrow"/>
          <w:b/>
          <w:bCs/>
        </w:rPr>
        <w:t xml:space="preserve"> žen</w:t>
      </w:r>
      <w:r w:rsidRPr="0044026F">
        <w:rPr>
          <w:rFonts w:ascii="Arial Narrow" w:eastAsia="Calibri" w:hAnsi="Arial Narrow" w:cs="Calibri"/>
          <w:b/>
          <w:bCs/>
          <w:sz w:val="22"/>
          <w:szCs w:val="22"/>
        </w:rPr>
        <w:t xml:space="preserve"> na celkovém počtu osob s jinou než českou státní příslušností.</w:t>
      </w:r>
    </w:p>
    <w:p w14:paraId="3D852FE5" w14:textId="5304D0DB" w:rsidR="0044026F" w:rsidRDefault="0044026F" w:rsidP="004402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u w:color="000000"/>
        </w:rPr>
      </w:pPr>
      <w:r w:rsidRPr="00513F64">
        <w:rPr>
          <w:rFonts w:ascii="Arial Narrow" w:eastAsia="Calibri" w:hAnsi="Arial Narrow"/>
          <w:color w:val="000000"/>
          <w:u w:color="000000"/>
        </w:rPr>
        <w:lastRenderedPageBreak/>
        <w:t xml:space="preserve">Stejně jako podíl žen s jinou než českou </w:t>
      </w:r>
      <w:r w:rsidRPr="0044026F">
        <w:rPr>
          <w:rFonts w:ascii="Arial Narrow" w:eastAsia="Calibri" w:hAnsi="Arial Narrow"/>
          <w:color w:val="000000"/>
          <w:u w:color="000000"/>
        </w:rPr>
        <w:t xml:space="preserve">státní příslušností na celkovém počtu těchto osob v ORP Břeclav se </w:t>
      </w:r>
      <w:r w:rsidRPr="0044026F">
        <w:rPr>
          <w:rFonts w:ascii="Arial Narrow" w:eastAsia="Calibri" w:hAnsi="Arial Narrow"/>
          <w:b/>
          <w:bCs/>
          <w:color w:val="000000"/>
          <w:u w:color="000000"/>
        </w:rPr>
        <w:t>v posledním roce výrazně zvýšil také podíl dětí do 15 let</w:t>
      </w:r>
      <w:r w:rsidRPr="0044026F">
        <w:rPr>
          <w:rFonts w:ascii="Arial Narrow" w:eastAsia="Calibri" w:hAnsi="Arial Narrow"/>
          <w:color w:val="000000"/>
          <w:u w:color="000000"/>
        </w:rPr>
        <w:t xml:space="preserve"> na celkovém počtu osob s jinou než českou státní příslušností. Zatímco k 1. 1. 2008 tvořily děti do 15 let celkem 6,8 % všech osob s jinou než českou státní příslušností, k 1. 1. 2023 to </w:t>
      </w:r>
      <w:r w:rsidRPr="0044026F">
        <w:rPr>
          <w:rFonts w:ascii="Arial Narrow" w:eastAsia="Calibri" w:hAnsi="Arial Narrow"/>
          <w:u w:color="000000"/>
        </w:rPr>
        <w:t>bylo již 16,8 %.</w:t>
      </w:r>
    </w:p>
    <w:p w14:paraId="72AE146F" w14:textId="1064FD7A" w:rsidR="00D80F97" w:rsidRPr="005423B0" w:rsidRDefault="00D80F97" w:rsidP="00513F64">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Calibri" w:hAnsi="Arial Narrow" w:cs="Calibri"/>
          <w:color w:val="FF0000"/>
          <w:sz w:val="22"/>
          <w:szCs w:val="22"/>
        </w:rPr>
      </w:pPr>
      <w:r w:rsidRPr="005423B0">
        <w:rPr>
          <w:rFonts w:ascii="Arial Narrow" w:eastAsia="Calibri" w:hAnsi="Arial Narrow" w:cs="Calibri"/>
          <w:color w:val="auto"/>
          <w:sz w:val="22"/>
          <w:szCs w:val="22"/>
        </w:rPr>
        <w:t xml:space="preserve">V rámci průzkumu zaměstnanosti k 31. 12. 2020 byly SO ORP Břeclav získány údaje od 196 subjektů a bylo sečteno 10 939 zaměstnaných. Z nich v primárním sektoru </w:t>
      </w:r>
      <w:r w:rsidR="001B4039" w:rsidRPr="005423B0">
        <w:rPr>
          <w:rFonts w:ascii="Arial Narrow" w:eastAsia="Calibri" w:hAnsi="Arial Narrow" w:cs="Calibri"/>
          <w:color w:val="auto"/>
          <w:sz w:val="22"/>
          <w:szCs w:val="22"/>
        </w:rPr>
        <w:t>byli k tomuto datu</w:t>
      </w:r>
      <w:r w:rsidRPr="005423B0">
        <w:rPr>
          <w:rFonts w:ascii="Arial Narrow" w:eastAsia="Calibri" w:hAnsi="Arial Narrow" w:cs="Calibri"/>
          <w:color w:val="auto"/>
          <w:sz w:val="22"/>
          <w:szCs w:val="22"/>
        </w:rPr>
        <w:t xml:space="preserve"> zaměstnán</w:t>
      </w:r>
      <w:r w:rsidR="001B4039" w:rsidRPr="005423B0">
        <w:rPr>
          <w:rFonts w:ascii="Arial Narrow" w:eastAsia="Calibri" w:hAnsi="Arial Narrow" w:cs="Calibri"/>
          <w:color w:val="auto"/>
          <w:sz w:val="22"/>
          <w:szCs w:val="22"/>
        </w:rPr>
        <w:t>i pouze</w:t>
      </w:r>
      <w:r w:rsidRPr="005423B0">
        <w:rPr>
          <w:rFonts w:ascii="Arial Narrow" w:eastAsia="Calibri" w:hAnsi="Arial Narrow" w:cs="Calibri"/>
          <w:color w:val="auto"/>
          <w:sz w:val="22"/>
          <w:szCs w:val="22"/>
        </w:rPr>
        <w:t xml:space="preserve"> 2,0 % zaměstnanců. V sekundárním sektoru bylo zaměstnáno 41,8 % všech zaměstnanců. Nejčastěji pracovníci byli zaměstnaní v chemickém průmyslu (9,2 %), ve strojírenském průmyslu (8,4 %) a v potravinářském průmyslu (6,6 %). V terciéru </w:t>
      </w:r>
      <w:r w:rsidR="001B4039" w:rsidRPr="005423B0">
        <w:rPr>
          <w:rFonts w:ascii="Arial Narrow" w:eastAsia="Calibri" w:hAnsi="Arial Narrow" w:cs="Calibri"/>
          <w:color w:val="auto"/>
          <w:sz w:val="22"/>
          <w:szCs w:val="22"/>
        </w:rPr>
        <w:t xml:space="preserve">bylo v ORP Břeclav </w:t>
      </w:r>
      <w:r w:rsidRPr="005423B0">
        <w:rPr>
          <w:rFonts w:ascii="Arial Narrow" w:eastAsia="Calibri" w:hAnsi="Arial Narrow" w:cs="Calibri"/>
          <w:color w:val="auto"/>
          <w:sz w:val="22"/>
          <w:szCs w:val="22"/>
        </w:rPr>
        <w:t>zaměstnáno 56,2 % pracovníků. Nejčastěji zaměstnanci pracovali v odvětví zdravotní a sociální péče (15,1 %), ve veřejné správě a obraně (11,5 %), a ve vzdělání (10,0 %).</w:t>
      </w:r>
      <w:r w:rsidRPr="005423B0">
        <w:rPr>
          <w:rStyle w:val="Znakapoznpodarou"/>
          <w:rFonts w:ascii="Arial Narrow" w:eastAsia="Calibri" w:hAnsi="Arial Narrow" w:cs="Calibri"/>
          <w:color w:val="auto"/>
          <w:sz w:val="22"/>
          <w:szCs w:val="22"/>
        </w:rPr>
        <w:footnoteReference w:id="88"/>
      </w:r>
    </w:p>
    <w:p w14:paraId="2FA74B9B" w14:textId="4E15EDB1" w:rsidR="0044026F" w:rsidRPr="00855D95" w:rsidRDefault="0044026F" w:rsidP="0044026F">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Calibri" w:hAnsi="Arial Narrow" w:cs="Calibri"/>
          <w:sz w:val="22"/>
          <w:szCs w:val="22"/>
        </w:rPr>
      </w:pPr>
      <w:r w:rsidRPr="005423B0">
        <w:rPr>
          <w:rFonts w:ascii="Arial Narrow" w:eastAsia="Calibri" w:hAnsi="Arial Narrow" w:cs="Calibri"/>
          <w:sz w:val="22"/>
          <w:szCs w:val="22"/>
        </w:rPr>
        <w:t>Podíváme-li se na vývoj počtu uchazečů o zaměstnání v </w:t>
      </w:r>
      <w:r w:rsidRPr="009E5C5D">
        <w:rPr>
          <w:rFonts w:ascii="Arial Narrow" w:eastAsia="Calibri" w:hAnsi="Arial Narrow" w:cs="Calibri"/>
          <w:sz w:val="22"/>
          <w:szCs w:val="22"/>
        </w:rPr>
        <w:t xml:space="preserve">ORP Břeclav, oproti jiným ORP Jihomoravského kraje nebyl </w:t>
      </w:r>
      <w:r w:rsidR="009E5C5D" w:rsidRPr="009E5C5D">
        <w:rPr>
          <w:rFonts w:ascii="Arial Narrow" w:eastAsia="Calibri" w:hAnsi="Arial Narrow" w:cs="Calibri"/>
          <w:sz w:val="22"/>
          <w:szCs w:val="22"/>
        </w:rPr>
        <w:t xml:space="preserve">v </w:t>
      </w:r>
      <w:r w:rsidRPr="009E5C5D">
        <w:rPr>
          <w:rFonts w:ascii="Arial Narrow" w:eastAsia="Calibri" w:hAnsi="Arial Narrow" w:cs="Calibri"/>
          <w:sz w:val="22"/>
          <w:szCs w:val="22"/>
        </w:rPr>
        <w:t xml:space="preserve">ORP Břeclav </w:t>
      </w:r>
      <w:r w:rsidR="009E5C5D" w:rsidRPr="009E5C5D">
        <w:rPr>
          <w:rFonts w:ascii="Arial Narrow" w:eastAsia="Calibri" w:hAnsi="Arial Narrow" w:cs="Calibri"/>
          <w:sz w:val="22"/>
          <w:szCs w:val="22"/>
        </w:rPr>
        <w:t xml:space="preserve">v letech 2020, 2021 a 2022 </w:t>
      </w:r>
      <w:r w:rsidRPr="009E5C5D">
        <w:rPr>
          <w:rFonts w:ascii="Arial Narrow" w:eastAsia="Calibri" w:hAnsi="Arial Narrow" w:cs="Calibri"/>
          <w:sz w:val="22"/>
          <w:szCs w:val="22"/>
        </w:rPr>
        <w:t>navzdory pandemii viru SARS-CoV-2 a ekonomické krizi doposud zaznamenán výraznější nárůst počtu uchazečů o zaměstnání. Také počet uchazečů o zaměstnání připadajících na 1 volné pracovní místo v ORP Břeclav zůstával stabilní a v prosinci 2022 dosáhl hodnoty 3,1 uchazeče na jedno volné pracovní místo, jedná se o nárůst, který nicméně není nijak vysoký a</w:t>
      </w:r>
      <w:r w:rsidR="009E5C5D" w:rsidRPr="009E5C5D">
        <w:rPr>
          <w:rFonts w:ascii="Arial Narrow" w:eastAsia="Calibri" w:hAnsi="Arial Narrow" w:cs="Calibri"/>
          <w:sz w:val="22"/>
          <w:szCs w:val="22"/>
        </w:rPr>
        <w:t xml:space="preserve"> je</w:t>
      </w:r>
      <w:r w:rsidRPr="009E5C5D">
        <w:rPr>
          <w:rFonts w:ascii="Arial Narrow" w:eastAsia="Calibri" w:hAnsi="Arial Narrow" w:cs="Calibri"/>
          <w:sz w:val="22"/>
          <w:szCs w:val="22"/>
        </w:rPr>
        <w:t xml:space="preserve"> srovnatelný s hodnotami z roku 2015.</w:t>
      </w:r>
    </w:p>
    <w:p w14:paraId="2871E907" w14:textId="77777777" w:rsidR="00513F64" w:rsidRDefault="00855D95" w:rsidP="00513F64">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Calibri" w:hAnsi="Arial Narrow" w:cs="Calibri"/>
          <w:sz w:val="22"/>
          <w:szCs w:val="22"/>
        </w:rPr>
      </w:pPr>
      <w:r w:rsidRPr="00855D95">
        <w:rPr>
          <w:rFonts w:ascii="Arial Narrow" w:eastAsia="Calibri" w:hAnsi="Arial Narrow" w:cs="Calibri"/>
          <w:sz w:val="22"/>
          <w:szCs w:val="22"/>
        </w:rPr>
        <w:t>V OPR Břeclav byla evidována řada zaměstnavatelů, u nichž bylo prokazatelně identifikované, že v roce 2020 zaměstnávali osoby s jinou než českou státní příslušností. Mezi významné zaměstnavatele těchto osob v ORP Břeclav patřil</w:t>
      </w:r>
      <w:r w:rsidR="00513F64">
        <w:rPr>
          <w:rFonts w:ascii="Arial Narrow" w:eastAsia="Calibri" w:hAnsi="Arial Narrow" w:cs="Calibri"/>
          <w:sz w:val="22"/>
          <w:szCs w:val="22"/>
        </w:rPr>
        <w:t>a</w:t>
      </w:r>
      <w:r w:rsidRPr="00855D95">
        <w:rPr>
          <w:rFonts w:ascii="Arial Narrow" w:eastAsia="Calibri" w:hAnsi="Arial Narrow" w:cs="Calibri"/>
          <w:sz w:val="22"/>
          <w:szCs w:val="22"/>
        </w:rPr>
        <w:t xml:space="preserve"> v roce 2020 například </w:t>
      </w:r>
      <w:r w:rsidRPr="00855D95">
        <w:rPr>
          <w:rFonts w:ascii="Arial Narrow" w:eastAsia="Calibri" w:hAnsi="Arial Narrow" w:cs="Calibri"/>
          <w:b/>
          <w:bCs/>
          <w:sz w:val="22"/>
          <w:szCs w:val="22"/>
        </w:rPr>
        <w:t xml:space="preserve">Nemocnice Břeclav, </w:t>
      </w:r>
      <w:proofErr w:type="spellStart"/>
      <w:r w:rsidRPr="00855D95">
        <w:rPr>
          <w:rFonts w:ascii="Arial Narrow" w:eastAsia="Calibri" w:hAnsi="Arial Narrow" w:cs="Calibri"/>
          <w:b/>
          <w:bCs/>
          <w:sz w:val="22"/>
          <w:szCs w:val="22"/>
        </w:rPr>
        <w:t>p.o</w:t>
      </w:r>
      <w:proofErr w:type="spellEnd"/>
      <w:r w:rsidRPr="00855D95">
        <w:rPr>
          <w:rFonts w:ascii="Arial Narrow" w:eastAsia="Calibri" w:hAnsi="Arial Narrow" w:cs="Calibri"/>
          <w:b/>
          <w:bCs/>
          <w:sz w:val="22"/>
          <w:szCs w:val="22"/>
        </w:rPr>
        <w:t xml:space="preserve">. </w:t>
      </w:r>
      <w:r w:rsidRPr="00855D95">
        <w:rPr>
          <w:rFonts w:ascii="Arial Narrow" w:eastAsia="Calibri" w:hAnsi="Arial Narrow" w:cs="Calibri"/>
          <w:sz w:val="22"/>
          <w:szCs w:val="22"/>
        </w:rPr>
        <w:t>(136 zaměstnanců s jinou než českou státní příslušností)</w:t>
      </w:r>
      <w:r w:rsidR="00513F64">
        <w:rPr>
          <w:rFonts w:ascii="Arial Narrow" w:eastAsia="Calibri" w:hAnsi="Arial Narrow" w:cs="Calibri"/>
          <w:sz w:val="22"/>
          <w:szCs w:val="22"/>
        </w:rPr>
        <w:t xml:space="preserve"> či </w:t>
      </w:r>
      <w:r w:rsidR="00513F64" w:rsidRPr="00855D95">
        <w:rPr>
          <w:rFonts w:ascii="Arial Narrow" w:eastAsia="Calibri" w:hAnsi="Arial Narrow" w:cs="Calibri"/>
          <w:sz w:val="22"/>
          <w:szCs w:val="22"/>
        </w:rPr>
        <w:t xml:space="preserve">firma </w:t>
      </w:r>
      <w:proofErr w:type="spellStart"/>
      <w:r w:rsidR="00513F64" w:rsidRPr="00855D95">
        <w:rPr>
          <w:rFonts w:ascii="Arial Narrow" w:eastAsia="Calibri" w:hAnsi="Arial Narrow" w:cs="Calibri"/>
          <w:sz w:val="22"/>
          <w:szCs w:val="22"/>
        </w:rPr>
        <w:t>Legal</w:t>
      </w:r>
      <w:proofErr w:type="spellEnd"/>
      <w:r w:rsidRPr="00855D95">
        <w:rPr>
          <w:rFonts w:ascii="Arial Narrow" w:eastAsia="Calibri" w:hAnsi="Arial Narrow" w:cs="Calibri"/>
          <w:b/>
          <w:bCs/>
          <w:sz w:val="22"/>
          <w:szCs w:val="22"/>
        </w:rPr>
        <w:t xml:space="preserve"> </w:t>
      </w:r>
      <w:proofErr w:type="spellStart"/>
      <w:r w:rsidRPr="00855D95">
        <w:rPr>
          <w:rFonts w:ascii="Arial Narrow" w:eastAsia="Calibri" w:hAnsi="Arial Narrow" w:cs="Calibri"/>
          <w:b/>
          <w:bCs/>
          <w:sz w:val="22"/>
          <w:szCs w:val="22"/>
        </w:rPr>
        <w:t>Angery</w:t>
      </w:r>
      <w:proofErr w:type="spellEnd"/>
      <w:r w:rsidRPr="00855D95">
        <w:rPr>
          <w:rFonts w:ascii="Arial Narrow" w:eastAsia="Calibri" w:hAnsi="Arial Narrow" w:cs="Calibri"/>
          <w:b/>
          <w:bCs/>
          <w:sz w:val="22"/>
          <w:szCs w:val="22"/>
        </w:rPr>
        <w:t xml:space="preserve"> s.r.o. </w:t>
      </w:r>
      <w:r w:rsidRPr="00855D95">
        <w:rPr>
          <w:rFonts w:ascii="Arial Narrow" w:eastAsia="Calibri" w:hAnsi="Arial Narrow" w:cs="Calibri"/>
          <w:sz w:val="22"/>
          <w:szCs w:val="22"/>
        </w:rPr>
        <w:t xml:space="preserve">(84 zaměstnanců s jinou než českou státní příslušností). Mezi další významné zaměstnavatele osob s jinou než českou státní příslušností v ORP Břeclav patřily v roce 2020 například firmy </w:t>
      </w:r>
      <w:proofErr w:type="spellStart"/>
      <w:r w:rsidRPr="00855D95">
        <w:rPr>
          <w:rFonts w:ascii="Arial Narrow" w:eastAsia="Calibri" w:hAnsi="Arial Narrow" w:cs="Calibri"/>
          <w:sz w:val="22"/>
          <w:szCs w:val="22"/>
        </w:rPr>
        <w:t>Perfect</w:t>
      </w:r>
      <w:proofErr w:type="spellEnd"/>
      <w:r w:rsidRPr="00855D95">
        <w:rPr>
          <w:rFonts w:ascii="Arial Narrow" w:eastAsia="Calibri" w:hAnsi="Arial Narrow" w:cs="Calibri"/>
          <w:sz w:val="22"/>
          <w:szCs w:val="22"/>
        </w:rPr>
        <w:t xml:space="preserve"> </w:t>
      </w:r>
      <w:proofErr w:type="spellStart"/>
      <w:r w:rsidRPr="00855D95">
        <w:rPr>
          <w:rFonts w:ascii="Arial Narrow" w:eastAsia="Calibri" w:hAnsi="Arial Narrow" w:cs="Calibri"/>
          <w:sz w:val="22"/>
          <w:szCs w:val="22"/>
        </w:rPr>
        <w:t>Agency</w:t>
      </w:r>
      <w:proofErr w:type="spellEnd"/>
      <w:r w:rsidRPr="00855D95">
        <w:rPr>
          <w:rFonts w:ascii="Arial Narrow" w:eastAsia="Calibri" w:hAnsi="Arial Narrow" w:cs="Calibri"/>
          <w:sz w:val="22"/>
          <w:szCs w:val="22"/>
        </w:rPr>
        <w:t xml:space="preserve"> s.r.o., </w:t>
      </w:r>
      <w:proofErr w:type="spellStart"/>
      <w:r w:rsidRPr="00855D95">
        <w:rPr>
          <w:rFonts w:ascii="Arial Narrow" w:eastAsia="Calibri" w:hAnsi="Arial Narrow" w:cs="Calibri"/>
          <w:sz w:val="22"/>
          <w:szCs w:val="22"/>
        </w:rPr>
        <w:t>Alca</w:t>
      </w:r>
      <w:proofErr w:type="spellEnd"/>
      <w:r w:rsidRPr="00855D95">
        <w:rPr>
          <w:rFonts w:ascii="Arial Narrow" w:eastAsia="Calibri" w:hAnsi="Arial Narrow" w:cs="Calibri"/>
          <w:sz w:val="22"/>
          <w:szCs w:val="22"/>
        </w:rPr>
        <w:t xml:space="preserve"> plast s.r.o., či Jižní Morava a.s. Z celkových evidovaných 646 zaměstnanců-osob s jinou než českou státní příslušností jich bylo 79,9 % zaměstnaných v Břeclavi a 6,3 % v obci Tvrdonice. </w:t>
      </w:r>
    </w:p>
    <w:p w14:paraId="36B6C7BF" w14:textId="55DA0801" w:rsidR="00855D95" w:rsidRPr="00855D95" w:rsidRDefault="00855D95" w:rsidP="009E5C5D">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hAnsi="Arial Narrow"/>
        </w:rPr>
      </w:pPr>
      <w:r w:rsidRPr="00855D95">
        <w:rPr>
          <w:rFonts w:ascii="Arial Narrow" w:eastAsia="Calibri" w:hAnsi="Arial Narrow" w:cs="Calibri"/>
          <w:sz w:val="22"/>
          <w:szCs w:val="22"/>
        </w:rPr>
        <w:t>Nejvíce osob s jinou než českou státní příslušností v ORP Břeclav bylo v roce 2020 zaměstnáno ve zpracovatelském průmyslu (36,5 %) a v oblasti zdravotní a sociální péče (24,0 %).</w:t>
      </w:r>
    </w:p>
    <w:p w14:paraId="563B3017" w14:textId="1663EEE3" w:rsidR="008F4C72" w:rsidRPr="00CE357F" w:rsidRDefault="009E5C5D" w:rsidP="009E5C5D">
      <w:pPr>
        <w:spacing w:after="120" w:line="276" w:lineRule="auto"/>
        <w:jc w:val="both"/>
        <w:rPr>
          <w:rFonts w:ascii="Arial Narrow" w:hAnsi="Arial Narrow"/>
        </w:rPr>
      </w:pPr>
      <w:r>
        <w:rPr>
          <w:rFonts w:ascii="Arial Narrow" w:hAnsi="Arial Narrow"/>
        </w:rPr>
        <w:br/>
      </w:r>
      <w:r w:rsidRPr="009E5C5D">
        <w:rPr>
          <w:rFonts w:ascii="Arial Narrow" w:hAnsi="Arial Narrow"/>
        </w:rPr>
        <w:t>Je pravděpodobné, že z důvodu výraznějších změn v populaci osob s jinou než českou státní příslušností v ORP Břeclav během roku 2022 a 2023, především v návaznosti na rusko-ukrajinský konflikt, se změní také struktura zaměstnanosti v ORP Břeclav. Změny budou patrné také po ukončení konfliktu, kdy je očekáván návrat části osob s ukrajinskou státní příslušností zpět do země původu.</w:t>
      </w:r>
    </w:p>
    <w:p w14:paraId="6046715A" w14:textId="77777777" w:rsidR="0055565E" w:rsidRPr="00CE357F" w:rsidRDefault="0055565E" w:rsidP="00513F64">
      <w:pPr>
        <w:spacing w:after="120" w:line="276" w:lineRule="auto"/>
        <w:rPr>
          <w:rFonts w:ascii="Arial Narrow" w:hAnsi="Arial Narrow"/>
        </w:rPr>
      </w:pPr>
    </w:p>
    <w:p w14:paraId="097778E4" w14:textId="77777777" w:rsidR="0055565E" w:rsidRDefault="0055565E" w:rsidP="00732A00">
      <w:pPr>
        <w:rPr>
          <w:rFonts w:ascii="Arial Narrow" w:hAnsi="Arial Narrow"/>
        </w:rPr>
      </w:pPr>
    </w:p>
    <w:p w14:paraId="2CB80140" w14:textId="77777777" w:rsidR="00572269" w:rsidRDefault="00572269" w:rsidP="00732A00">
      <w:pPr>
        <w:rPr>
          <w:rFonts w:ascii="Arial Narrow" w:hAnsi="Arial Narrow"/>
        </w:rPr>
      </w:pPr>
    </w:p>
    <w:p w14:paraId="7A362568" w14:textId="77777777" w:rsidR="00572269" w:rsidRDefault="00572269" w:rsidP="00732A00">
      <w:pPr>
        <w:rPr>
          <w:rFonts w:ascii="Arial Narrow" w:hAnsi="Arial Narrow"/>
        </w:rPr>
      </w:pPr>
    </w:p>
    <w:p w14:paraId="3850A848" w14:textId="77777777" w:rsidR="00572269" w:rsidRDefault="00572269" w:rsidP="00732A00">
      <w:pPr>
        <w:rPr>
          <w:rFonts w:ascii="Arial Narrow" w:hAnsi="Arial Narrow"/>
        </w:rPr>
      </w:pPr>
    </w:p>
    <w:p w14:paraId="0FB90E6D" w14:textId="77777777" w:rsidR="00572269" w:rsidRDefault="00572269" w:rsidP="00732A00">
      <w:pPr>
        <w:rPr>
          <w:rFonts w:ascii="Arial Narrow" w:hAnsi="Arial Narrow"/>
        </w:rPr>
      </w:pPr>
    </w:p>
    <w:p w14:paraId="4E32CBF3" w14:textId="77777777" w:rsidR="007A31EF" w:rsidRDefault="007A31EF" w:rsidP="00732A00">
      <w:pPr>
        <w:rPr>
          <w:rFonts w:ascii="Arial Narrow" w:hAnsi="Arial Narrow"/>
        </w:rPr>
      </w:pPr>
    </w:p>
    <w:p w14:paraId="2847F6A1" w14:textId="77777777" w:rsidR="007A31EF" w:rsidRDefault="007A31EF" w:rsidP="00732A00">
      <w:pPr>
        <w:rPr>
          <w:rFonts w:ascii="Arial Narrow" w:hAnsi="Arial Narrow"/>
        </w:rPr>
      </w:pPr>
    </w:p>
    <w:p w14:paraId="3F46C5C0" w14:textId="77777777" w:rsidR="007A31EF" w:rsidRPr="00CE357F" w:rsidRDefault="007A31EF" w:rsidP="00732A00">
      <w:pPr>
        <w:rPr>
          <w:rFonts w:ascii="Arial Narrow" w:hAnsi="Arial Narrow"/>
        </w:rPr>
      </w:pPr>
    </w:p>
    <w:p w14:paraId="528874B5" w14:textId="77777777" w:rsidR="0055565E" w:rsidRPr="00CE357F" w:rsidRDefault="0055565E" w:rsidP="00732A00">
      <w:pPr>
        <w:rPr>
          <w:rFonts w:ascii="Arial Narrow" w:hAnsi="Arial Narrow"/>
        </w:rPr>
      </w:pPr>
    </w:p>
    <w:p w14:paraId="644306A1" w14:textId="72994071" w:rsidR="0055565E" w:rsidRPr="00CE357F" w:rsidRDefault="0055565E" w:rsidP="001828B7">
      <w:pPr>
        <w:pStyle w:val="Nadpis2"/>
        <w:ind w:left="426"/>
        <w:jc w:val="both"/>
        <w:rPr>
          <w:rFonts w:ascii="Arial Narrow" w:hAnsi="Arial Narrow"/>
          <w:sz w:val="30"/>
          <w:szCs w:val="30"/>
        </w:rPr>
      </w:pPr>
      <w:bookmarkStart w:id="732" w:name="_Toc136876132"/>
      <w:r w:rsidRPr="00CE357F">
        <w:rPr>
          <w:rFonts w:ascii="Arial Narrow" w:hAnsi="Arial Narrow"/>
          <w:sz w:val="30"/>
          <w:szCs w:val="30"/>
        </w:rPr>
        <w:lastRenderedPageBreak/>
        <w:t>OSOBY S JINOU NEŽ ČESKOU STÁTNÍ PŘÍSLUŠNOSTÍ V ORP KUŘIM</w:t>
      </w:r>
      <w:bookmarkEnd w:id="732"/>
    </w:p>
    <w:p w14:paraId="7A6236DC" w14:textId="77777777" w:rsidR="0055565E" w:rsidRPr="00CE357F" w:rsidRDefault="0055565E" w:rsidP="0055565E">
      <w:pPr>
        <w:rPr>
          <w:rFonts w:ascii="Arial Narrow" w:hAnsi="Arial Narrow"/>
        </w:rPr>
      </w:pPr>
    </w:p>
    <w:p w14:paraId="24DF971A" w14:textId="15A53A19" w:rsidR="0055565E" w:rsidRPr="00CE357F" w:rsidRDefault="0055565E" w:rsidP="0055565E">
      <w:pPr>
        <w:pStyle w:val="Nadpis3"/>
        <w:ind w:left="709"/>
      </w:pPr>
      <w:bookmarkStart w:id="733" w:name="_Toc136876133"/>
      <w:r w:rsidRPr="00CE357F">
        <w:t>Základní demografické údaje o ORP Kuřim</w:t>
      </w:r>
      <w:bookmarkEnd w:id="733"/>
    </w:p>
    <w:p w14:paraId="166F2AF4" w14:textId="77777777" w:rsidR="008F4C72" w:rsidRPr="00CE357F" w:rsidRDefault="008F4C72" w:rsidP="00732A00">
      <w:pPr>
        <w:rPr>
          <w:rFonts w:ascii="Arial Narrow" w:hAnsi="Arial Narrow"/>
        </w:rPr>
      </w:pPr>
    </w:p>
    <w:p w14:paraId="4E980405" w14:textId="14D04434" w:rsidR="003A4784" w:rsidRPr="00CE357F" w:rsidRDefault="003A4784" w:rsidP="003A4784">
      <w:pPr>
        <w:spacing w:after="240" w:line="276" w:lineRule="auto"/>
        <w:jc w:val="both"/>
        <w:rPr>
          <w:rFonts w:ascii="Arial Narrow" w:hAnsi="Arial Narrow"/>
        </w:rPr>
      </w:pPr>
      <w:r>
        <w:rPr>
          <w:rFonts w:ascii="Arial Narrow" w:hAnsi="Arial Narrow"/>
        </w:rPr>
        <w:t>K 31. 12. 2021</w:t>
      </w:r>
      <w:r w:rsidR="00F32F86">
        <w:rPr>
          <w:rStyle w:val="Znakapoznpodarou"/>
          <w:rFonts w:ascii="Arial Narrow" w:hAnsi="Arial Narrow"/>
        </w:rPr>
        <w:footnoteReference w:id="89"/>
      </w:r>
      <w:r w:rsidRPr="00CE357F">
        <w:rPr>
          <w:rFonts w:ascii="Arial Narrow" w:hAnsi="Arial Narrow"/>
        </w:rPr>
        <w:t xml:space="preserve"> žilo</w:t>
      </w:r>
      <w:r>
        <w:rPr>
          <w:rFonts w:ascii="Arial Narrow" w:hAnsi="Arial Narrow"/>
        </w:rPr>
        <w:t xml:space="preserve"> na území ORP Kuřim celkem 23 3</w:t>
      </w:r>
      <w:r w:rsidRPr="00CE357F">
        <w:rPr>
          <w:rFonts w:ascii="Arial Narrow" w:hAnsi="Arial Narrow"/>
        </w:rPr>
        <w:t>4</w:t>
      </w:r>
      <w:r>
        <w:rPr>
          <w:rFonts w:ascii="Arial Narrow" w:hAnsi="Arial Narrow"/>
        </w:rPr>
        <w:t>5</w:t>
      </w:r>
      <w:r w:rsidRPr="00CE357F">
        <w:rPr>
          <w:rFonts w:ascii="Arial Narrow" w:hAnsi="Arial Narrow"/>
        </w:rPr>
        <w:t xml:space="preserve"> obyvatel, což představovalo zhruba 2,0 % všech obyvatel Jihomoravského kraje. Mezi obyvateli ORP Kuřim byli k tomuto datu muži a ženy</w:t>
      </w:r>
      <w:r>
        <w:rPr>
          <w:rFonts w:ascii="Arial Narrow" w:hAnsi="Arial Narrow"/>
        </w:rPr>
        <w:t xml:space="preserve"> téměř rovnoměrně zastoupeni (48,9 % mužů a 51,1</w:t>
      </w:r>
      <w:r w:rsidRPr="00CE357F">
        <w:rPr>
          <w:rFonts w:ascii="Arial Narrow" w:hAnsi="Arial Narrow"/>
        </w:rPr>
        <w:t xml:space="preserve"> % žen).  Zastoupení mužů a žen mezi obyvateli ORP Kuřim zůstává, stejně jako podíl obyvatel na celkovém počtu obyvatel JMK, dlouhodobě stabilní. Meziročně vzrůstá pouze průměrný věk obyvatel. Zatímco v roce 2005 byl průměrný věk obyvatel</w:t>
      </w:r>
      <w:r>
        <w:rPr>
          <w:rFonts w:ascii="Arial Narrow" w:hAnsi="Arial Narrow"/>
        </w:rPr>
        <w:t xml:space="preserve"> ORP Kuřim 39,5 let, v roce 2021</w:t>
      </w:r>
      <w:r w:rsidRPr="00CE357F">
        <w:rPr>
          <w:rFonts w:ascii="Arial Narrow" w:hAnsi="Arial Narrow"/>
        </w:rPr>
        <w:t xml:space="preserve"> to bylo</w:t>
      </w:r>
      <w:r>
        <w:rPr>
          <w:rFonts w:ascii="Arial Narrow" w:hAnsi="Arial Narrow"/>
        </w:rPr>
        <w:t xml:space="preserve"> 41,4</w:t>
      </w:r>
      <w:r w:rsidRPr="00CE357F">
        <w:rPr>
          <w:rFonts w:ascii="Arial Narrow" w:hAnsi="Arial Narrow"/>
        </w:rPr>
        <w:t xml:space="preserve"> let. Jedná se ale o trend, který je charakteristický pro území celé České republiky. </w:t>
      </w:r>
    </w:p>
    <w:p w14:paraId="0B84F921" w14:textId="4D56B099" w:rsidR="0055565E" w:rsidRPr="00CE357F" w:rsidRDefault="007504A4" w:rsidP="0055565E">
      <w:pPr>
        <w:spacing w:line="276" w:lineRule="auto"/>
        <w:rPr>
          <w:rFonts w:ascii="Arial Narrow" w:hAnsi="Arial Narrow"/>
          <w:b/>
        </w:rPr>
      </w:pPr>
      <w:bookmarkStart w:id="734" w:name="_Toc136429259"/>
      <w:r w:rsidRPr="00CE357F">
        <w:rPr>
          <w:rFonts w:ascii="Arial Narrow" w:hAnsi="Arial Narrow"/>
          <w:b/>
          <w:sz w:val="20"/>
          <w:szCs w:val="20"/>
        </w:rPr>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48</w:t>
      </w:r>
      <w:r w:rsidRPr="00CE357F">
        <w:rPr>
          <w:rFonts w:ascii="Arial Narrow" w:hAnsi="Arial Narrow"/>
          <w:b/>
          <w:sz w:val="20"/>
          <w:szCs w:val="20"/>
        </w:rPr>
        <w:fldChar w:fldCharType="end"/>
      </w:r>
      <w:r w:rsidRPr="00CE357F">
        <w:rPr>
          <w:rFonts w:ascii="Arial Narrow" w:hAnsi="Arial Narrow"/>
          <w:b/>
          <w:sz w:val="20"/>
          <w:szCs w:val="20"/>
        </w:rPr>
        <w:t>: Vývoj počtu obyvatel v ORP Kuřim v letech 2005-202</w:t>
      </w:r>
      <w:r w:rsidR="000D5146">
        <w:rPr>
          <w:rFonts w:ascii="Arial Narrow" w:hAnsi="Arial Narrow"/>
          <w:b/>
          <w:sz w:val="20"/>
          <w:szCs w:val="20"/>
        </w:rPr>
        <w:t>1</w:t>
      </w:r>
      <w:bookmarkEnd w:id="734"/>
    </w:p>
    <w:tbl>
      <w:tblPr>
        <w:tblpPr w:leftFromText="141" w:rightFromText="141" w:vertAnchor="text" w:tblpX="108" w:tblpY="1"/>
        <w:tblW w:w="4945"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446"/>
        <w:gridCol w:w="1839"/>
        <w:gridCol w:w="2398"/>
        <w:gridCol w:w="1134"/>
        <w:gridCol w:w="858"/>
        <w:gridCol w:w="1287"/>
      </w:tblGrid>
      <w:tr w:rsidR="0055565E" w:rsidRPr="00CE357F" w14:paraId="6997774B" w14:textId="77777777" w:rsidTr="00F32F86">
        <w:trPr>
          <w:trHeight w:val="170"/>
        </w:trPr>
        <w:tc>
          <w:tcPr>
            <w:tcW w:w="1446" w:type="dxa"/>
            <w:vMerge w:val="restart"/>
            <w:shd w:val="clear" w:color="auto" w:fill="D9E2F3" w:themeFill="accent1" w:themeFillTint="33"/>
            <w:vAlign w:val="center"/>
            <w:hideMark/>
          </w:tcPr>
          <w:p w14:paraId="07561A3E" w14:textId="77777777" w:rsidR="0055565E" w:rsidRPr="00CE357F" w:rsidRDefault="0055565E" w:rsidP="007504A4">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Rok</w:t>
            </w:r>
          </w:p>
          <w:p w14:paraId="0D39794B" w14:textId="0DA4A025" w:rsidR="0055565E" w:rsidRPr="00CE357F" w:rsidRDefault="0055565E" w:rsidP="007504A4">
            <w:pPr>
              <w:jc w:val="center"/>
              <w:rPr>
                <w:rFonts w:ascii="Arial Narrow" w:hAnsi="Arial Narrow" w:cstheme="minorBidi"/>
                <w:b/>
                <w:bCs/>
                <w:sz w:val="18"/>
                <w:szCs w:val="18"/>
              </w:rPr>
            </w:pPr>
            <w:r w:rsidRPr="00CE357F">
              <w:rPr>
                <w:rFonts w:ascii="Arial Narrow" w:eastAsia="Times New Roman" w:hAnsi="Arial Narrow" w:cs="Arial"/>
                <w:sz w:val="18"/>
                <w:szCs w:val="18"/>
                <w:lang w:eastAsia="cs-CZ"/>
              </w:rPr>
              <w:t>(vždy k 31. 12.)</w:t>
            </w:r>
            <w:r w:rsidR="000D5146">
              <w:rPr>
                <w:rStyle w:val="Znakapoznpodarou"/>
                <w:rFonts w:ascii="Arial Narrow" w:eastAsia="Times New Roman" w:hAnsi="Arial Narrow" w:cs="Arial"/>
                <w:sz w:val="18"/>
                <w:szCs w:val="18"/>
                <w:lang w:eastAsia="cs-CZ"/>
              </w:rPr>
              <w:footnoteReference w:id="90"/>
            </w:r>
          </w:p>
        </w:tc>
        <w:tc>
          <w:tcPr>
            <w:tcW w:w="1839" w:type="dxa"/>
            <w:vMerge w:val="restart"/>
            <w:shd w:val="clear" w:color="auto" w:fill="D9E2F3" w:themeFill="accent1" w:themeFillTint="33"/>
            <w:vAlign w:val="center"/>
            <w:hideMark/>
          </w:tcPr>
          <w:p w14:paraId="70EEF1A2" w14:textId="77777777" w:rsidR="0055565E" w:rsidRPr="00CE357F" w:rsidRDefault="0055565E" w:rsidP="007504A4">
            <w:pPr>
              <w:jc w:val="center"/>
              <w:rPr>
                <w:rFonts w:ascii="Arial Narrow" w:hAnsi="Arial Narrow"/>
                <w:sz w:val="18"/>
                <w:szCs w:val="18"/>
              </w:rPr>
            </w:pPr>
            <w:r w:rsidRPr="00CE357F">
              <w:rPr>
                <w:rFonts w:ascii="Arial Narrow" w:eastAsia="Times New Roman" w:hAnsi="Arial Narrow" w:cs="Arial"/>
                <w:sz w:val="18"/>
                <w:szCs w:val="18"/>
                <w:lang w:eastAsia="cs-CZ"/>
              </w:rPr>
              <w:t>Počet obyvatel celkem</w:t>
            </w:r>
          </w:p>
        </w:tc>
        <w:tc>
          <w:tcPr>
            <w:tcW w:w="2398" w:type="dxa"/>
            <w:vMerge w:val="restart"/>
            <w:shd w:val="clear" w:color="auto" w:fill="D9E2F3" w:themeFill="accent1" w:themeFillTint="33"/>
            <w:vAlign w:val="center"/>
          </w:tcPr>
          <w:p w14:paraId="19B8C752" w14:textId="77777777" w:rsidR="0055565E" w:rsidRPr="00CE357F" w:rsidRDefault="0055565E" w:rsidP="007504A4">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Podíl obyvatel na celkovém počtu obyvatel v JMK</w:t>
            </w:r>
          </w:p>
        </w:tc>
        <w:tc>
          <w:tcPr>
            <w:tcW w:w="1992" w:type="dxa"/>
            <w:gridSpan w:val="2"/>
            <w:shd w:val="clear" w:color="auto" w:fill="D9E2F3" w:themeFill="accent1" w:themeFillTint="33"/>
            <w:vAlign w:val="center"/>
          </w:tcPr>
          <w:p w14:paraId="60C344D1" w14:textId="77777777" w:rsidR="0055565E" w:rsidRPr="00CE357F" w:rsidRDefault="0055565E" w:rsidP="007504A4">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Z toho</w:t>
            </w:r>
          </w:p>
        </w:tc>
        <w:tc>
          <w:tcPr>
            <w:tcW w:w="1287" w:type="dxa"/>
            <w:vMerge w:val="restart"/>
            <w:shd w:val="clear" w:color="auto" w:fill="D9E2F3" w:themeFill="accent1" w:themeFillTint="33"/>
            <w:vAlign w:val="center"/>
          </w:tcPr>
          <w:p w14:paraId="3E33F053" w14:textId="77777777" w:rsidR="0055565E" w:rsidRPr="00CE357F" w:rsidRDefault="0055565E" w:rsidP="007504A4">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Průměrný věk</w:t>
            </w:r>
          </w:p>
        </w:tc>
      </w:tr>
      <w:tr w:rsidR="0055565E" w:rsidRPr="00CE357F" w14:paraId="676F1761" w14:textId="77777777" w:rsidTr="00F32F86">
        <w:trPr>
          <w:trHeight w:val="268"/>
        </w:trPr>
        <w:tc>
          <w:tcPr>
            <w:tcW w:w="1446" w:type="dxa"/>
            <w:vMerge/>
            <w:hideMark/>
          </w:tcPr>
          <w:p w14:paraId="72C85B99" w14:textId="77777777" w:rsidR="0055565E" w:rsidRPr="00CE357F" w:rsidRDefault="0055565E" w:rsidP="007504A4">
            <w:pPr>
              <w:rPr>
                <w:rFonts w:ascii="Arial Narrow" w:hAnsi="Arial Narrow"/>
                <w:sz w:val="18"/>
                <w:szCs w:val="18"/>
              </w:rPr>
            </w:pPr>
          </w:p>
        </w:tc>
        <w:tc>
          <w:tcPr>
            <w:tcW w:w="1839" w:type="dxa"/>
            <w:vMerge/>
            <w:hideMark/>
          </w:tcPr>
          <w:p w14:paraId="0B6EF73E" w14:textId="77777777" w:rsidR="0055565E" w:rsidRPr="00CE357F" w:rsidRDefault="0055565E" w:rsidP="007504A4">
            <w:pPr>
              <w:rPr>
                <w:rFonts w:ascii="Arial Narrow" w:hAnsi="Arial Narrow"/>
                <w:sz w:val="18"/>
                <w:szCs w:val="18"/>
              </w:rPr>
            </w:pPr>
          </w:p>
        </w:tc>
        <w:tc>
          <w:tcPr>
            <w:tcW w:w="2398" w:type="dxa"/>
            <w:vMerge/>
          </w:tcPr>
          <w:p w14:paraId="3B0FC656" w14:textId="77777777" w:rsidR="0055565E" w:rsidRPr="00CE357F" w:rsidRDefault="0055565E" w:rsidP="007504A4">
            <w:pPr>
              <w:jc w:val="center"/>
              <w:rPr>
                <w:rFonts w:ascii="Arial Narrow" w:hAnsi="Arial Narrow"/>
                <w:b/>
                <w:bCs/>
                <w:sz w:val="18"/>
                <w:szCs w:val="18"/>
              </w:rPr>
            </w:pPr>
          </w:p>
        </w:tc>
        <w:tc>
          <w:tcPr>
            <w:tcW w:w="1134" w:type="dxa"/>
            <w:shd w:val="clear" w:color="auto" w:fill="D9E2F3" w:themeFill="accent1" w:themeFillTint="33"/>
            <w:vAlign w:val="center"/>
          </w:tcPr>
          <w:p w14:paraId="6738AFA6" w14:textId="77777777" w:rsidR="0055565E" w:rsidRPr="00CE357F" w:rsidRDefault="0055565E" w:rsidP="007504A4">
            <w:pPr>
              <w:jc w:val="center"/>
              <w:rPr>
                <w:rFonts w:ascii="Arial Narrow" w:hAnsi="Arial Narrow"/>
                <w:sz w:val="18"/>
                <w:szCs w:val="18"/>
              </w:rPr>
            </w:pPr>
            <w:r w:rsidRPr="00CE357F">
              <w:rPr>
                <w:rFonts w:ascii="Arial Narrow" w:hAnsi="Arial Narrow"/>
                <w:sz w:val="18"/>
                <w:szCs w:val="18"/>
              </w:rPr>
              <w:t>Muži</w:t>
            </w:r>
          </w:p>
        </w:tc>
        <w:tc>
          <w:tcPr>
            <w:tcW w:w="858" w:type="dxa"/>
            <w:shd w:val="clear" w:color="auto" w:fill="D9E2F3" w:themeFill="accent1" w:themeFillTint="33"/>
            <w:vAlign w:val="center"/>
          </w:tcPr>
          <w:p w14:paraId="04B76E6A" w14:textId="77777777" w:rsidR="0055565E" w:rsidRPr="00CE357F" w:rsidRDefault="0055565E" w:rsidP="007504A4">
            <w:pPr>
              <w:jc w:val="center"/>
              <w:rPr>
                <w:rFonts w:ascii="Arial Narrow" w:hAnsi="Arial Narrow"/>
                <w:sz w:val="18"/>
                <w:szCs w:val="18"/>
              </w:rPr>
            </w:pPr>
            <w:r w:rsidRPr="00CE357F">
              <w:rPr>
                <w:rFonts w:ascii="Arial Narrow" w:hAnsi="Arial Narrow"/>
                <w:sz w:val="18"/>
                <w:szCs w:val="18"/>
              </w:rPr>
              <w:t>Ženy</w:t>
            </w:r>
          </w:p>
        </w:tc>
        <w:tc>
          <w:tcPr>
            <w:tcW w:w="1287" w:type="dxa"/>
            <w:vMerge/>
          </w:tcPr>
          <w:p w14:paraId="0C139CB2" w14:textId="77777777" w:rsidR="0055565E" w:rsidRPr="00CE357F" w:rsidRDefault="0055565E" w:rsidP="007504A4">
            <w:pPr>
              <w:jc w:val="center"/>
              <w:rPr>
                <w:rFonts w:ascii="Arial Narrow" w:hAnsi="Arial Narrow"/>
                <w:b/>
                <w:bCs/>
                <w:color w:val="FFFFFF" w:themeColor="background1"/>
                <w:sz w:val="18"/>
                <w:szCs w:val="18"/>
              </w:rPr>
            </w:pPr>
          </w:p>
        </w:tc>
      </w:tr>
      <w:tr w:rsidR="00F76027" w:rsidRPr="00CE357F" w14:paraId="69B29F48" w14:textId="77777777" w:rsidTr="00F32F86">
        <w:trPr>
          <w:trHeight w:val="20"/>
        </w:trPr>
        <w:tc>
          <w:tcPr>
            <w:tcW w:w="1446" w:type="dxa"/>
            <w:shd w:val="clear" w:color="auto" w:fill="D9E2F3" w:themeFill="accent1" w:themeFillTint="33"/>
            <w:vAlign w:val="center"/>
          </w:tcPr>
          <w:p w14:paraId="3E2E5248" w14:textId="17C886F4" w:rsidR="00F76027" w:rsidRPr="00CE357F" w:rsidRDefault="00F76027" w:rsidP="00F76027">
            <w:pPr>
              <w:jc w:val="center"/>
              <w:rPr>
                <w:rFonts w:ascii="Arial Narrow" w:hAnsi="Arial Narrow"/>
                <w:sz w:val="18"/>
                <w:szCs w:val="18"/>
              </w:rPr>
            </w:pPr>
            <w:r>
              <w:rPr>
                <w:rFonts w:ascii="Arial Narrow" w:hAnsi="Arial Narrow"/>
                <w:sz w:val="18"/>
                <w:szCs w:val="18"/>
              </w:rPr>
              <w:t>2021</w:t>
            </w:r>
          </w:p>
        </w:tc>
        <w:tc>
          <w:tcPr>
            <w:tcW w:w="1839" w:type="dxa"/>
          </w:tcPr>
          <w:p w14:paraId="1217750B" w14:textId="399F1FD1" w:rsidR="00F76027" w:rsidRPr="00CE357F" w:rsidRDefault="00F76027" w:rsidP="00F76027">
            <w:pPr>
              <w:jc w:val="center"/>
              <w:rPr>
                <w:rFonts w:ascii="Arial Narrow" w:hAnsi="Arial Narrow"/>
                <w:sz w:val="18"/>
                <w:szCs w:val="18"/>
              </w:rPr>
            </w:pPr>
            <w:r>
              <w:rPr>
                <w:rFonts w:ascii="Arial Narrow" w:hAnsi="Arial Narrow"/>
                <w:sz w:val="18"/>
                <w:szCs w:val="18"/>
              </w:rPr>
              <w:t>23 345</w:t>
            </w:r>
          </w:p>
        </w:tc>
        <w:tc>
          <w:tcPr>
            <w:tcW w:w="2398" w:type="dxa"/>
          </w:tcPr>
          <w:p w14:paraId="28F1D527" w14:textId="7EFA9391" w:rsidR="00F76027" w:rsidRPr="00CE357F" w:rsidRDefault="00F76027" w:rsidP="00F76027">
            <w:pPr>
              <w:jc w:val="center"/>
              <w:rPr>
                <w:rFonts w:ascii="Arial Narrow" w:hAnsi="Arial Narrow"/>
                <w:sz w:val="18"/>
                <w:szCs w:val="18"/>
              </w:rPr>
            </w:pPr>
            <w:r>
              <w:rPr>
                <w:rFonts w:ascii="Arial Narrow" w:hAnsi="Arial Narrow"/>
                <w:sz w:val="18"/>
                <w:szCs w:val="18"/>
              </w:rPr>
              <w:t>2,0 %</w:t>
            </w:r>
          </w:p>
        </w:tc>
        <w:tc>
          <w:tcPr>
            <w:tcW w:w="1134" w:type="dxa"/>
          </w:tcPr>
          <w:p w14:paraId="608B0ECF" w14:textId="608FB0B4" w:rsidR="00F76027" w:rsidRPr="00CE357F" w:rsidRDefault="00F76027" w:rsidP="00F76027">
            <w:pPr>
              <w:jc w:val="center"/>
              <w:rPr>
                <w:rFonts w:ascii="Arial Narrow" w:hAnsi="Arial Narrow"/>
                <w:sz w:val="18"/>
                <w:szCs w:val="18"/>
              </w:rPr>
            </w:pPr>
            <w:r>
              <w:rPr>
                <w:rFonts w:ascii="Arial Narrow" w:hAnsi="Arial Narrow"/>
                <w:sz w:val="18"/>
                <w:szCs w:val="18"/>
              </w:rPr>
              <w:t>11 417</w:t>
            </w:r>
          </w:p>
        </w:tc>
        <w:tc>
          <w:tcPr>
            <w:tcW w:w="858" w:type="dxa"/>
          </w:tcPr>
          <w:p w14:paraId="51C40CA4" w14:textId="037AC914" w:rsidR="00F76027" w:rsidRPr="00CE357F" w:rsidRDefault="00F76027" w:rsidP="00F76027">
            <w:pPr>
              <w:jc w:val="center"/>
              <w:rPr>
                <w:rFonts w:ascii="Arial Narrow" w:hAnsi="Arial Narrow"/>
                <w:sz w:val="18"/>
                <w:szCs w:val="18"/>
              </w:rPr>
            </w:pPr>
            <w:r>
              <w:rPr>
                <w:rFonts w:ascii="Arial Narrow" w:hAnsi="Arial Narrow"/>
                <w:sz w:val="18"/>
                <w:szCs w:val="18"/>
              </w:rPr>
              <w:t>11 928</w:t>
            </w:r>
          </w:p>
        </w:tc>
        <w:tc>
          <w:tcPr>
            <w:tcW w:w="1287" w:type="dxa"/>
          </w:tcPr>
          <w:p w14:paraId="6925C991" w14:textId="1880B605" w:rsidR="00F76027" w:rsidRPr="00CE357F" w:rsidRDefault="00F76027" w:rsidP="00F76027">
            <w:pPr>
              <w:jc w:val="center"/>
              <w:rPr>
                <w:rFonts w:ascii="Arial Narrow" w:hAnsi="Arial Narrow"/>
                <w:sz w:val="18"/>
                <w:szCs w:val="18"/>
              </w:rPr>
            </w:pPr>
            <w:r>
              <w:rPr>
                <w:rFonts w:ascii="Arial Narrow" w:hAnsi="Arial Narrow"/>
                <w:sz w:val="18"/>
                <w:szCs w:val="18"/>
              </w:rPr>
              <w:t>41,4</w:t>
            </w:r>
          </w:p>
        </w:tc>
      </w:tr>
      <w:tr w:rsidR="00F76027" w:rsidRPr="00CE357F" w14:paraId="6BFA9AE6" w14:textId="77777777" w:rsidTr="00F32F86">
        <w:trPr>
          <w:trHeight w:val="20"/>
        </w:trPr>
        <w:tc>
          <w:tcPr>
            <w:tcW w:w="1446" w:type="dxa"/>
            <w:shd w:val="clear" w:color="auto" w:fill="D9E2F3" w:themeFill="accent1" w:themeFillTint="33"/>
            <w:vAlign w:val="center"/>
          </w:tcPr>
          <w:p w14:paraId="2BE0BF5A"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2020</w:t>
            </w:r>
          </w:p>
        </w:tc>
        <w:tc>
          <w:tcPr>
            <w:tcW w:w="1839" w:type="dxa"/>
          </w:tcPr>
          <w:p w14:paraId="6819B4B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23 554</w:t>
            </w:r>
          </w:p>
        </w:tc>
        <w:tc>
          <w:tcPr>
            <w:tcW w:w="2398" w:type="dxa"/>
          </w:tcPr>
          <w:p w14:paraId="3D3796B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2,0 %</w:t>
            </w:r>
          </w:p>
        </w:tc>
        <w:tc>
          <w:tcPr>
            <w:tcW w:w="1134" w:type="dxa"/>
          </w:tcPr>
          <w:p w14:paraId="189DE571"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11 559</w:t>
            </w:r>
          </w:p>
        </w:tc>
        <w:tc>
          <w:tcPr>
            <w:tcW w:w="858" w:type="dxa"/>
          </w:tcPr>
          <w:p w14:paraId="7C77D64C"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11 995</w:t>
            </w:r>
          </w:p>
        </w:tc>
        <w:tc>
          <w:tcPr>
            <w:tcW w:w="1287" w:type="dxa"/>
          </w:tcPr>
          <w:p w14:paraId="1C650EEF"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41,1</w:t>
            </w:r>
          </w:p>
        </w:tc>
      </w:tr>
      <w:tr w:rsidR="00F76027" w:rsidRPr="00CE357F" w14:paraId="5F1A001B" w14:textId="77777777" w:rsidTr="00F32F86">
        <w:trPr>
          <w:trHeight w:val="20"/>
        </w:trPr>
        <w:tc>
          <w:tcPr>
            <w:tcW w:w="1446" w:type="dxa"/>
            <w:shd w:val="clear" w:color="auto" w:fill="D9E2F3" w:themeFill="accent1" w:themeFillTint="33"/>
            <w:vAlign w:val="center"/>
          </w:tcPr>
          <w:p w14:paraId="08154C9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2019</w:t>
            </w:r>
          </w:p>
        </w:tc>
        <w:tc>
          <w:tcPr>
            <w:tcW w:w="1839" w:type="dxa"/>
          </w:tcPr>
          <w:p w14:paraId="3428DB75"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23 345</w:t>
            </w:r>
          </w:p>
        </w:tc>
        <w:tc>
          <w:tcPr>
            <w:tcW w:w="2398" w:type="dxa"/>
          </w:tcPr>
          <w:p w14:paraId="1E77E8BB"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2,0 %</w:t>
            </w:r>
          </w:p>
        </w:tc>
        <w:tc>
          <w:tcPr>
            <w:tcW w:w="1134" w:type="dxa"/>
          </w:tcPr>
          <w:p w14:paraId="7927FD83"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11 477</w:t>
            </w:r>
          </w:p>
        </w:tc>
        <w:tc>
          <w:tcPr>
            <w:tcW w:w="858" w:type="dxa"/>
          </w:tcPr>
          <w:p w14:paraId="0E35718B"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11 868</w:t>
            </w:r>
          </w:p>
        </w:tc>
        <w:tc>
          <w:tcPr>
            <w:tcW w:w="1287" w:type="dxa"/>
          </w:tcPr>
          <w:p w14:paraId="3351AB00"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40,9</w:t>
            </w:r>
          </w:p>
        </w:tc>
      </w:tr>
      <w:tr w:rsidR="00F76027" w:rsidRPr="00CE357F" w14:paraId="764C7595" w14:textId="77777777" w:rsidTr="00F32F86">
        <w:trPr>
          <w:trHeight w:val="20"/>
        </w:trPr>
        <w:tc>
          <w:tcPr>
            <w:tcW w:w="1446" w:type="dxa"/>
            <w:shd w:val="clear" w:color="auto" w:fill="D9E2F3" w:themeFill="accent1" w:themeFillTint="33"/>
            <w:vAlign w:val="center"/>
          </w:tcPr>
          <w:p w14:paraId="0382F53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2018</w:t>
            </w:r>
          </w:p>
        </w:tc>
        <w:tc>
          <w:tcPr>
            <w:tcW w:w="1839" w:type="dxa"/>
          </w:tcPr>
          <w:p w14:paraId="5206C813"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23 003</w:t>
            </w:r>
          </w:p>
        </w:tc>
        <w:tc>
          <w:tcPr>
            <w:tcW w:w="2398" w:type="dxa"/>
          </w:tcPr>
          <w:p w14:paraId="69367377"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68F89204"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11 319</w:t>
            </w:r>
          </w:p>
        </w:tc>
        <w:tc>
          <w:tcPr>
            <w:tcW w:w="858" w:type="dxa"/>
          </w:tcPr>
          <w:p w14:paraId="230691F9"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11 684</w:t>
            </w:r>
          </w:p>
        </w:tc>
        <w:tc>
          <w:tcPr>
            <w:tcW w:w="1287" w:type="dxa"/>
          </w:tcPr>
          <w:p w14:paraId="4E1AD439"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40,7</w:t>
            </w:r>
          </w:p>
        </w:tc>
      </w:tr>
      <w:tr w:rsidR="00F76027" w:rsidRPr="00CE357F" w14:paraId="5FC334C0" w14:textId="77777777" w:rsidTr="00F32F86">
        <w:trPr>
          <w:trHeight w:val="20"/>
        </w:trPr>
        <w:tc>
          <w:tcPr>
            <w:tcW w:w="1446" w:type="dxa"/>
            <w:shd w:val="clear" w:color="auto" w:fill="D9E2F3" w:themeFill="accent1" w:themeFillTint="33"/>
            <w:vAlign w:val="center"/>
          </w:tcPr>
          <w:p w14:paraId="6E47BE07"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2017</w:t>
            </w:r>
          </w:p>
        </w:tc>
        <w:tc>
          <w:tcPr>
            <w:tcW w:w="1839" w:type="dxa"/>
          </w:tcPr>
          <w:p w14:paraId="5151F7C5"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22 855</w:t>
            </w:r>
          </w:p>
        </w:tc>
        <w:tc>
          <w:tcPr>
            <w:tcW w:w="2398" w:type="dxa"/>
          </w:tcPr>
          <w:p w14:paraId="509B29B1"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6B9B3F11"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11 256</w:t>
            </w:r>
          </w:p>
        </w:tc>
        <w:tc>
          <w:tcPr>
            <w:tcW w:w="858" w:type="dxa"/>
          </w:tcPr>
          <w:p w14:paraId="3DCF723A"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11 599</w:t>
            </w:r>
          </w:p>
        </w:tc>
        <w:tc>
          <w:tcPr>
            <w:tcW w:w="1287" w:type="dxa"/>
          </w:tcPr>
          <w:p w14:paraId="5A5DE912"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40,5</w:t>
            </w:r>
          </w:p>
        </w:tc>
      </w:tr>
      <w:tr w:rsidR="00F76027" w:rsidRPr="00CE357F" w14:paraId="5C746EC6" w14:textId="77777777" w:rsidTr="00F32F86">
        <w:trPr>
          <w:trHeight w:val="20"/>
        </w:trPr>
        <w:tc>
          <w:tcPr>
            <w:tcW w:w="1446" w:type="dxa"/>
            <w:shd w:val="clear" w:color="auto" w:fill="D9E2F3" w:themeFill="accent1" w:themeFillTint="33"/>
            <w:vAlign w:val="center"/>
          </w:tcPr>
          <w:p w14:paraId="5ECB8217"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2016</w:t>
            </w:r>
          </w:p>
        </w:tc>
        <w:tc>
          <w:tcPr>
            <w:tcW w:w="1839" w:type="dxa"/>
          </w:tcPr>
          <w:p w14:paraId="404A8C1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22 743</w:t>
            </w:r>
          </w:p>
        </w:tc>
        <w:tc>
          <w:tcPr>
            <w:tcW w:w="2398" w:type="dxa"/>
          </w:tcPr>
          <w:p w14:paraId="06EE139F"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7673817E"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11 178</w:t>
            </w:r>
          </w:p>
        </w:tc>
        <w:tc>
          <w:tcPr>
            <w:tcW w:w="858" w:type="dxa"/>
          </w:tcPr>
          <w:p w14:paraId="483BAA9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11 565</w:t>
            </w:r>
          </w:p>
        </w:tc>
        <w:tc>
          <w:tcPr>
            <w:tcW w:w="1287" w:type="dxa"/>
          </w:tcPr>
          <w:p w14:paraId="340C71BF"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40,4</w:t>
            </w:r>
          </w:p>
        </w:tc>
      </w:tr>
      <w:tr w:rsidR="00F76027" w:rsidRPr="00CE357F" w14:paraId="05C0A93C" w14:textId="77777777" w:rsidTr="00F32F86">
        <w:trPr>
          <w:trHeight w:val="20"/>
        </w:trPr>
        <w:tc>
          <w:tcPr>
            <w:tcW w:w="1446" w:type="dxa"/>
            <w:shd w:val="clear" w:color="auto" w:fill="D9E2F3" w:themeFill="accent1" w:themeFillTint="33"/>
            <w:vAlign w:val="center"/>
          </w:tcPr>
          <w:p w14:paraId="79CA793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2015</w:t>
            </w:r>
          </w:p>
        </w:tc>
        <w:tc>
          <w:tcPr>
            <w:tcW w:w="1839" w:type="dxa"/>
          </w:tcPr>
          <w:p w14:paraId="67994AA2"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22 614</w:t>
            </w:r>
          </w:p>
        </w:tc>
        <w:tc>
          <w:tcPr>
            <w:tcW w:w="2398" w:type="dxa"/>
          </w:tcPr>
          <w:p w14:paraId="7ED11B43"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370FE78E"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11 116</w:t>
            </w:r>
          </w:p>
        </w:tc>
        <w:tc>
          <w:tcPr>
            <w:tcW w:w="858" w:type="dxa"/>
          </w:tcPr>
          <w:p w14:paraId="783302FB"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11 498</w:t>
            </w:r>
          </w:p>
        </w:tc>
        <w:tc>
          <w:tcPr>
            <w:tcW w:w="1287" w:type="dxa"/>
          </w:tcPr>
          <w:p w14:paraId="58065390"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40,2</w:t>
            </w:r>
          </w:p>
        </w:tc>
      </w:tr>
      <w:tr w:rsidR="00F76027" w:rsidRPr="00CE357F" w14:paraId="27AC7A00" w14:textId="77777777" w:rsidTr="00F32F86">
        <w:trPr>
          <w:trHeight w:val="20"/>
        </w:trPr>
        <w:tc>
          <w:tcPr>
            <w:tcW w:w="1446" w:type="dxa"/>
            <w:shd w:val="clear" w:color="auto" w:fill="D9E2F3" w:themeFill="accent1" w:themeFillTint="33"/>
            <w:vAlign w:val="center"/>
          </w:tcPr>
          <w:p w14:paraId="4B29282E"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2014</w:t>
            </w:r>
          </w:p>
        </w:tc>
        <w:tc>
          <w:tcPr>
            <w:tcW w:w="1839" w:type="dxa"/>
          </w:tcPr>
          <w:p w14:paraId="04F74E32"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22 380</w:t>
            </w:r>
          </w:p>
        </w:tc>
        <w:tc>
          <w:tcPr>
            <w:tcW w:w="2398" w:type="dxa"/>
          </w:tcPr>
          <w:p w14:paraId="1E7F93B5"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1F523B6E"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11 002</w:t>
            </w:r>
          </w:p>
        </w:tc>
        <w:tc>
          <w:tcPr>
            <w:tcW w:w="858" w:type="dxa"/>
          </w:tcPr>
          <w:p w14:paraId="30BEB90A"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11 378</w:t>
            </w:r>
          </w:p>
        </w:tc>
        <w:tc>
          <w:tcPr>
            <w:tcW w:w="1287" w:type="dxa"/>
          </w:tcPr>
          <w:p w14:paraId="1FCD7273"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40,1</w:t>
            </w:r>
          </w:p>
        </w:tc>
      </w:tr>
      <w:tr w:rsidR="00F76027" w:rsidRPr="00CE357F" w14:paraId="7808494A" w14:textId="77777777" w:rsidTr="00F32F86">
        <w:trPr>
          <w:trHeight w:val="20"/>
        </w:trPr>
        <w:tc>
          <w:tcPr>
            <w:tcW w:w="1446" w:type="dxa"/>
            <w:shd w:val="clear" w:color="auto" w:fill="D9E2F3" w:themeFill="accent1" w:themeFillTint="33"/>
            <w:vAlign w:val="center"/>
          </w:tcPr>
          <w:p w14:paraId="1ED10BC6"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2013</w:t>
            </w:r>
          </w:p>
        </w:tc>
        <w:tc>
          <w:tcPr>
            <w:tcW w:w="1839" w:type="dxa"/>
          </w:tcPr>
          <w:p w14:paraId="54BD6021"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22 198</w:t>
            </w:r>
          </w:p>
        </w:tc>
        <w:tc>
          <w:tcPr>
            <w:tcW w:w="2398" w:type="dxa"/>
          </w:tcPr>
          <w:p w14:paraId="001DAA7C"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0D21F805"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10 884</w:t>
            </w:r>
          </w:p>
        </w:tc>
        <w:tc>
          <w:tcPr>
            <w:tcW w:w="858" w:type="dxa"/>
          </w:tcPr>
          <w:p w14:paraId="6B34884B"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11 314</w:t>
            </w:r>
          </w:p>
        </w:tc>
        <w:tc>
          <w:tcPr>
            <w:tcW w:w="1287" w:type="dxa"/>
          </w:tcPr>
          <w:p w14:paraId="595DA177"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40,1</w:t>
            </w:r>
          </w:p>
        </w:tc>
      </w:tr>
      <w:tr w:rsidR="00F76027" w:rsidRPr="00CE357F" w14:paraId="03B7A044" w14:textId="77777777" w:rsidTr="00F32F86">
        <w:trPr>
          <w:trHeight w:val="20"/>
        </w:trPr>
        <w:tc>
          <w:tcPr>
            <w:tcW w:w="1446" w:type="dxa"/>
            <w:shd w:val="clear" w:color="auto" w:fill="D9E2F3" w:themeFill="accent1" w:themeFillTint="33"/>
            <w:vAlign w:val="center"/>
          </w:tcPr>
          <w:p w14:paraId="70F08DC5"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2012</w:t>
            </w:r>
          </w:p>
        </w:tc>
        <w:tc>
          <w:tcPr>
            <w:tcW w:w="1839" w:type="dxa"/>
          </w:tcPr>
          <w:p w14:paraId="577BC25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21 956</w:t>
            </w:r>
          </w:p>
        </w:tc>
        <w:tc>
          <w:tcPr>
            <w:tcW w:w="2398" w:type="dxa"/>
          </w:tcPr>
          <w:p w14:paraId="41DC571B"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3D06812C"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10 762</w:t>
            </w:r>
          </w:p>
        </w:tc>
        <w:tc>
          <w:tcPr>
            <w:tcW w:w="858" w:type="dxa"/>
          </w:tcPr>
          <w:p w14:paraId="3D965112"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11 194</w:t>
            </w:r>
          </w:p>
        </w:tc>
        <w:tc>
          <w:tcPr>
            <w:tcW w:w="1287" w:type="dxa"/>
          </w:tcPr>
          <w:p w14:paraId="4AB10272"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39,9</w:t>
            </w:r>
          </w:p>
        </w:tc>
      </w:tr>
      <w:tr w:rsidR="00F76027" w:rsidRPr="00CE357F" w14:paraId="2F630FF8" w14:textId="77777777" w:rsidTr="00F32F86">
        <w:trPr>
          <w:trHeight w:val="20"/>
        </w:trPr>
        <w:tc>
          <w:tcPr>
            <w:tcW w:w="1446" w:type="dxa"/>
            <w:shd w:val="clear" w:color="auto" w:fill="D9E2F3" w:themeFill="accent1" w:themeFillTint="33"/>
            <w:vAlign w:val="center"/>
          </w:tcPr>
          <w:p w14:paraId="368C03CE"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2011</w:t>
            </w:r>
          </w:p>
        </w:tc>
        <w:tc>
          <w:tcPr>
            <w:tcW w:w="1839" w:type="dxa"/>
          </w:tcPr>
          <w:p w14:paraId="347ACB0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21 845</w:t>
            </w:r>
          </w:p>
        </w:tc>
        <w:tc>
          <w:tcPr>
            <w:tcW w:w="2398" w:type="dxa"/>
          </w:tcPr>
          <w:p w14:paraId="65CBB989"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5399AF7C"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10 728</w:t>
            </w:r>
          </w:p>
        </w:tc>
        <w:tc>
          <w:tcPr>
            <w:tcW w:w="858" w:type="dxa"/>
          </w:tcPr>
          <w:p w14:paraId="49EE056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11 117</w:t>
            </w:r>
          </w:p>
        </w:tc>
        <w:tc>
          <w:tcPr>
            <w:tcW w:w="1287" w:type="dxa"/>
          </w:tcPr>
          <w:p w14:paraId="4B524D0F"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39,6</w:t>
            </w:r>
          </w:p>
        </w:tc>
      </w:tr>
      <w:tr w:rsidR="00F76027" w:rsidRPr="00CE357F" w14:paraId="3B1BE323" w14:textId="77777777" w:rsidTr="00F32F86">
        <w:trPr>
          <w:trHeight w:val="20"/>
        </w:trPr>
        <w:tc>
          <w:tcPr>
            <w:tcW w:w="1446" w:type="dxa"/>
            <w:shd w:val="clear" w:color="auto" w:fill="D9E2F3" w:themeFill="accent1" w:themeFillTint="33"/>
            <w:vAlign w:val="center"/>
          </w:tcPr>
          <w:p w14:paraId="06685691"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2010</w:t>
            </w:r>
          </w:p>
        </w:tc>
        <w:tc>
          <w:tcPr>
            <w:tcW w:w="1839" w:type="dxa"/>
          </w:tcPr>
          <w:p w14:paraId="6BCDB85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21 647</w:t>
            </w:r>
          </w:p>
        </w:tc>
        <w:tc>
          <w:tcPr>
            <w:tcW w:w="2398" w:type="dxa"/>
          </w:tcPr>
          <w:p w14:paraId="4E26B0C2"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w:t>
            </w:r>
          </w:p>
        </w:tc>
        <w:tc>
          <w:tcPr>
            <w:tcW w:w="1134" w:type="dxa"/>
          </w:tcPr>
          <w:p w14:paraId="3D57EEC0"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10 606</w:t>
            </w:r>
          </w:p>
        </w:tc>
        <w:tc>
          <w:tcPr>
            <w:tcW w:w="858" w:type="dxa"/>
          </w:tcPr>
          <w:p w14:paraId="716F014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11 041</w:t>
            </w:r>
          </w:p>
        </w:tc>
        <w:tc>
          <w:tcPr>
            <w:tcW w:w="1287" w:type="dxa"/>
          </w:tcPr>
          <w:p w14:paraId="4A911693"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39,5</w:t>
            </w:r>
          </w:p>
        </w:tc>
      </w:tr>
      <w:tr w:rsidR="00F76027" w:rsidRPr="00CE357F" w14:paraId="194CBF7F" w14:textId="77777777" w:rsidTr="00F32F86">
        <w:trPr>
          <w:trHeight w:val="20"/>
        </w:trPr>
        <w:tc>
          <w:tcPr>
            <w:tcW w:w="1446" w:type="dxa"/>
            <w:shd w:val="clear" w:color="auto" w:fill="D9E2F3" w:themeFill="accent1" w:themeFillTint="33"/>
            <w:vAlign w:val="center"/>
          </w:tcPr>
          <w:p w14:paraId="37E59879"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2009</w:t>
            </w:r>
          </w:p>
        </w:tc>
        <w:tc>
          <w:tcPr>
            <w:tcW w:w="1839" w:type="dxa"/>
          </w:tcPr>
          <w:p w14:paraId="7E171CD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21 277</w:t>
            </w:r>
          </w:p>
        </w:tc>
        <w:tc>
          <w:tcPr>
            <w:tcW w:w="2398" w:type="dxa"/>
          </w:tcPr>
          <w:p w14:paraId="57BB525B"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1,8 %</w:t>
            </w:r>
          </w:p>
        </w:tc>
        <w:tc>
          <w:tcPr>
            <w:tcW w:w="1134" w:type="dxa"/>
          </w:tcPr>
          <w:p w14:paraId="48534181"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10 439</w:t>
            </w:r>
          </w:p>
        </w:tc>
        <w:tc>
          <w:tcPr>
            <w:tcW w:w="858" w:type="dxa"/>
          </w:tcPr>
          <w:p w14:paraId="3D04C08A"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10 838</w:t>
            </w:r>
          </w:p>
        </w:tc>
        <w:tc>
          <w:tcPr>
            <w:tcW w:w="1287" w:type="dxa"/>
          </w:tcPr>
          <w:p w14:paraId="7A5B3D54"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39,4</w:t>
            </w:r>
          </w:p>
        </w:tc>
      </w:tr>
      <w:tr w:rsidR="00F76027" w:rsidRPr="00CE357F" w14:paraId="0F36A8BC" w14:textId="77777777" w:rsidTr="00F32F86">
        <w:trPr>
          <w:trHeight w:val="20"/>
        </w:trPr>
        <w:tc>
          <w:tcPr>
            <w:tcW w:w="1446" w:type="dxa"/>
            <w:shd w:val="clear" w:color="auto" w:fill="D9E2F3" w:themeFill="accent1" w:themeFillTint="33"/>
            <w:vAlign w:val="center"/>
          </w:tcPr>
          <w:p w14:paraId="305B27E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2008</w:t>
            </w:r>
          </w:p>
        </w:tc>
        <w:tc>
          <w:tcPr>
            <w:tcW w:w="1839" w:type="dxa"/>
          </w:tcPr>
          <w:p w14:paraId="3416AEAC"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20 813</w:t>
            </w:r>
          </w:p>
        </w:tc>
        <w:tc>
          <w:tcPr>
            <w:tcW w:w="2398" w:type="dxa"/>
          </w:tcPr>
          <w:p w14:paraId="6537C995"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1,8 %</w:t>
            </w:r>
          </w:p>
        </w:tc>
        <w:tc>
          <w:tcPr>
            <w:tcW w:w="1134" w:type="dxa"/>
          </w:tcPr>
          <w:p w14:paraId="283D55D0"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10 204</w:t>
            </w:r>
          </w:p>
        </w:tc>
        <w:tc>
          <w:tcPr>
            <w:tcW w:w="858" w:type="dxa"/>
          </w:tcPr>
          <w:p w14:paraId="5411C9A1"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10 609</w:t>
            </w:r>
          </w:p>
        </w:tc>
        <w:tc>
          <w:tcPr>
            <w:tcW w:w="1287" w:type="dxa"/>
          </w:tcPr>
          <w:p w14:paraId="497100C0"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39,5</w:t>
            </w:r>
          </w:p>
        </w:tc>
      </w:tr>
      <w:tr w:rsidR="00F76027" w:rsidRPr="00CE357F" w14:paraId="22E9B04E" w14:textId="77777777" w:rsidTr="00F32F86">
        <w:trPr>
          <w:trHeight w:val="20"/>
        </w:trPr>
        <w:tc>
          <w:tcPr>
            <w:tcW w:w="1446" w:type="dxa"/>
            <w:shd w:val="clear" w:color="auto" w:fill="D9E2F3" w:themeFill="accent1" w:themeFillTint="33"/>
            <w:vAlign w:val="center"/>
          </w:tcPr>
          <w:p w14:paraId="3EF3E5C0"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2007</w:t>
            </w:r>
          </w:p>
        </w:tc>
        <w:tc>
          <w:tcPr>
            <w:tcW w:w="1839" w:type="dxa"/>
          </w:tcPr>
          <w:p w14:paraId="2DC1CC1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20 439</w:t>
            </w:r>
          </w:p>
        </w:tc>
        <w:tc>
          <w:tcPr>
            <w:tcW w:w="2398" w:type="dxa"/>
          </w:tcPr>
          <w:p w14:paraId="7EBF8A49"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1,8 %</w:t>
            </w:r>
          </w:p>
        </w:tc>
        <w:tc>
          <w:tcPr>
            <w:tcW w:w="1134" w:type="dxa"/>
          </w:tcPr>
          <w:p w14:paraId="1528FCFF"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10 055</w:t>
            </w:r>
          </w:p>
        </w:tc>
        <w:tc>
          <w:tcPr>
            <w:tcW w:w="858" w:type="dxa"/>
          </w:tcPr>
          <w:p w14:paraId="607E7A75"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10 384</w:t>
            </w:r>
          </w:p>
        </w:tc>
        <w:tc>
          <w:tcPr>
            <w:tcW w:w="1287" w:type="dxa"/>
          </w:tcPr>
          <w:p w14:paraId="6F2CC0B4"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39,4</w:t>
            </w:r>
          </w:p>
        </w:tc>
      </w:tr>
      <w:tr w:rsidR="00F76027" w:rsidRPr="00CE357F" w14:paraId="1ADF4C91" w14:textId="77777777" w:rsidTr="00F32F86">
        <w:trPr>
          <w:trHeight w:val="20"/>
        </w:trPr>
        <w:tc>
          <w:tcPr>
            <w:tcW w:w="1446" w:type="dxa"/>
            <w:shd w:val="clear" w:color="auto" w:fill="D9E2F3" w:themeFill="accent1" w:themeFillTint="33"/>
            <w:vAlign w:val="center"/>
          </w:tcPr>
          <w:p w14:paraId="7A1D5E00"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2006</w:t>
            </w:r>
          </w:p>
        </w:tc>
        <w:tc>
          <w:tcPr>
            <w:tcW w:w="1839" w:type="dxa"/>
          </w:tcPr>
          <w:p w14:paraId="53AC12A5"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19 836</w:t>
            </w:r>
          </w:p>
        </w:tc>
        <w:tc>
          <w:tcPr>
            <w:tcW w:w="2398" w:type="dxa"/>
          </w:tcPr>
          <w:p w14:paraId="0B542C52"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1,8 %</w:t>
            </w:r>
          </w:p>
        </w:tc>
        <w:tc>
          <w:tcPr>
            <w:tcW w:w="1134" w:type="dxa"/>
          </w:tcPr>
          <w:p w14:paraId="3734FA3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9 710</w:t>
            </w:r>
          </w:p>
        </w:tc>
        <w:tc>
          <w:tcPr>
            <w:tcW w:w="858" w:type="dxa"/>
          </w:tcPr>
          <w:p w14:paraId="0670D5B3"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10 126</w:t>
            </w:r>
          </w:p>
        </w:tc>
        <w:tc>
          <w:tcPr>
            <w:tcW w:w="1287" w:type="dxa"/>
          </w:tcPr>
          <w:p w14:paraId="31C2D7D8"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39,5</w:t>
            </w:r>
          </w:p>
        </w:tc>
      </w:tr>
      <w:tr w:rsidR="00F76027" w:rsidRPr="00CE357F" w14:paraId="63F498E1" w14:textId="77777777" w:rsidTr="00F32F86">
        <w:trPr>
          <w:trHeight w:val="20"/>
        </w:trPr>
        <w:tc>
          <w:tcPr>
            <w:tcW w:w="1446" w:type="dxa"/>
            <w:shd w:val="clear" w:color="auto" w:fill="D9E2F3" w:themeFill="accent1" w:themeFillTint="33"/>
            <w:vAlign w:val="center"/>
          </w:tcPr>
          <w:p w14:paraId="03891B04"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2005</w:t>
            </w:r>
          </w:p>
        </w:tc>
        <w:tc>
          <w:tcPr>
            <w:tcW w:w="1839" w:type="dxa"/>
          </w:tcPr>
          <w:p w14:paraId="3DDE0EBE"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19 494</w:t>
            </w:r>
          </w:p>
        </w:tc>
        <w:tc>
          <w:tcPr>
            <w:tcW w:w="2398" w:type="dxa"/>
          </w:tcPr>
          <w:p w14:paraId="0AE861E6"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1,7 %</w:t>
            </w:r>
          </w:p>
        </w:tc>
        <w:tc>
          <w:tcPr>
            <w:tcW w:w="1134" w:type="dxa"/>
          </w:tcPr>
          <w:p w14:paraId="100063FD"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9 545</w:t>
            </w:r>
          </w:p>
        </w:tc>
        <w:tc>
          <w:tcPr>
            <w:tcW w:w="858" w:type="dxa"/>
          </w:tcPr>
          <w:p w14:paraId="7A08938F"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9 949</w:t>
            </w:r>
          </w:p>
        </w:tc>
        <w:tc>
          <w:tcPr>
            <w:tcW w:w="1287" w:type="dxa"/>
          </w:tcPr>
          <w:p w14:paraId="3611CD0F" w14:textId="77777777" w:rsidR="00F76027" w:rsidRPr="00CE357F" w:rsidRDefault="00F76027" w:rsidP="00F76027">
            <w:pPr>
              <w:jc w:val="center"/>
              <w:rPr>
                <w:rFonts w:ascii="Arial Narrow" w:hAnsi="Arial Narrow"/>
                <w:sz w:val="18"/>
                <w:szCs w:val="18"/>
              </w:rPr>
            </w:pPr>
            <w:r w:rsidRPr="00CE357F">
              <w:rPr>
                <w:rFonts w:ascii="Arial Narrow" w:hAnsi="Arial Narrow"/>
                <w:sz w:val="18"/>
                <w:szCs w:val="18"/>
              </w:rPr>
              <w:t>39,5</w:t>
            </w:r>
          </w:p>
        </w:tc>
      </w:tr>
    </w:tbl>
    <w:p w14:paraId="3999E72D" w14:textId="0BE1FD12" w:rsidR="0055565E" w:rsidRPr="00CE357F" w:rsidRDefault="0055565E" w:rsidP="0055565E">
      <w:pPr>
        <w:rPr>
          <w:rFonts w:ascii="Arial Narrow" w:hAnsi="Arial Narrow"/>
          <w:b/>
          <w:bCs/>
          <w:sz w:val="28"/>
          <w:szCs w:val="28"/>
        </w:rPr>
      </w:pPr>
      <w:r w:rsidRPr="00CE357F">
        <w:rPr>
          <w:rFonts w:ascii="Arial Narrow" w:hAnsi="Arial Narrow"/>
          <w:sz w:val="20"/>
          <w:szCs w:val="20"/>
        </w:rPr>
        <w:t xml:space="preserve">Zdroj: </w:t>
      </w:r>
      <w:r w:rsidR="00F44E6E">
        <w:rPr>
          <w:rFonts w:ascii="Arial Narrow" w:hAnsi="Arial Narrow"/>
          <w:sz w:val="20"/>
          <w:szCs w:val="20"/>
        </w:rPr>
        <w:t>Český statistický úřad</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00F44E6E">
        <w:rPr>
          <w:rFonts w:ascii="Arial Narrow" w:hAnsi="Arial Narrow"/>
          <w:sz w:val="20"/>
          <w:szCs w:val="20"/>
        </w:rPr>
        <w:tab/>
      </w:r>
      <w:r w:rsidRPr="00CE357F">
        <w:rPr>
          <w:rFonts w:ascii="Arial Narrow" w:hAnsi="Arial Narrow"/>
          <w:sz w:val="20"/>
          <w:szCs w:val="20"/>
        </w:rPr>
        <w:t xml:space="preserve">Tabulka: AUGUR </w:t>
      </w:r>
      <w:proofErr w:type="spellStart"/>
      <w:r w:rsidRPr="00CE357F">
        <w:rPr>
          <w:rFonts w:ascii="Arial Narrow" w:hAnsi="Arial Narrow"/>
          <w:sz w:val="20"/>
          <w:szCs w:val="20"/>
        </w:rPr>
        <w:t>Consulting</w:t>
      </w:r>
      <w:proofErr w:type="spellEnd"/>
      <w:r w:rsidR="00F44E6E">
        <w:rPr>
          <w:rFonts w:ascii="Arial Narrow" w:hAnsi="Arial Narrow"/>
          <w:sz w:val="20"/>
          <w:szCs w:val="20"/>
        </w:rPr>
        <w:t xml:space="preserve"> s.r.o.</w:t>
      </w:r>
    </w:p>
    <w:p w14:paraId="4C141300" w14:textId="77777777" w:rsidR="008F4C72" w:rsidRPr="00CE357F" w:rsidRDefault="008F4C72" w:rsidP="00732A00">
      <w:pPr>
        <w:rPr>
          <w:rFonts w:ascii="Arial Narrow" w:hAnsi="Arial Narrow"/>
        </w:rPr>
      </w:pPr>
    </w:p>
    <w:p w14:paraId="3929B1EE" w14:textId="0F6E06FD" w:rsidR="008F4C72" w:rsidRPr="00CE357F" w:rsidRDefault="0033462B" w:rsidP="008E64A4">
      <w:pPr>
        <w:pStyle w:val="Nadpis3"/>
        <w:ind w:left="709"/>
      </w:pPr>
      <w:bookmarkStart w:id="735" w:name="_Toc94215421"/>
      <w:bookmarkStart w:id="736" w:name="_Toc136876134"/>
      <w:r w:rsidRPr="00CE357F">
        <w:t>Počet</w:t>
      </w:r>
      <w:r w:rsidR="0055565E" w:rsidRPr="00CE357F">
        <w:t xml:space="preserve"> osob s jinou než českou státní příslušností v ORP Kuřim v letech 2006–202</w:t>
      </w:r>
      <w:bookmarkEnd w:id="735"/>
      <w:r w:rsidR="00C2607F">
        <w:t>3</w:t>
      </w:r>
      <w:bookmarkEnd w:id="736"/>
    </w:p>
    <w:p w14:paraId="73906E58" w14:textId="0ADD0492" w:rsidR="00C217CC" w:rsidRDefault="008E64A4" w:rsidP="00C217CC">
      <w:pPr>
        <w:spacing w:line="276" w:lineRule="auto"/>
        <w:jc w:val="both"/>
        <w:rPr>
          <w:rFonts w:ascii="Arial Narrow" w:hAnsi="Arial Narrow"/>
        </w:rPr>
      </w:pPr>
      <w:r w:rsidRPr="00CE357F">
        <w:rPr>
          <w:rFonts w:ascii="Arial Narrow" w:hAnsi="Arial Narrow"/>
        </w:rPr>
        <w:br/>
      </w:r>
      <w:r w:rsidR="00C217CC">
        <w:rPr>
          <w:rFonts w:ascii="Arial Narrow" w:hAnsi="Arial Narrow"/>
        </w:rPr>
        <w:t>K 1.1 2023</w:t>
      </w:r>
      <w:r w:rsidR="00C217CC" w:rsidRPr="00CE357F">
        <w:rPr>
          <w:rFonts w:ascii="Arial Narrow" w:hAnsi="Arial Narrow"/>
        </w:rPr>
        <w:t xml:space="preserve"> žilo na území ORP Kuřim celkem</w:t>
      </w:r>
      <w:r w:rsidR="00C217CC">
        <w:rPr>
          <w:rFonts w:ascii="Arial Narrow" w:hAnsi="Arial Narrow"/>
        </w:rPr>
        <w:t xml:space="preserve"> 1 878</w:t>
      </w:r>
      <w:r w:rsidR="00C217CC" w:rsidRPr="00CE357F">
        <w:rPr>
          <w:rFonts w:ascii="Arial Narrow" w:hAnsi="Arial Narrow"/>
        </w:rPr>
        <w:t xml:space="preserve"> osob s jinou než českou státní příslu</w:t>
      </w:r>
      <w:r w:rsidR="00C217CC">
        <w:rPr>
          <w:rFonts w:ascii="Arial Narrow" w:hAnsi="Arial Narrow"/>
        </w:rPr>
        <w:t>šností, což představuje zhruba 8,2</w:t>
      </w:r>
      <w:r w:rsidR="00C217CC" w:rsidRPr="00CE357F">
        <w:rPr>
          <w:rFonts w:ascii="Arial Narrow" w:hAnsi="Arial Narrow"/>
        </w:rPr>
        <w:t xml:space="preserve"> % všech obyvatel ORP Kuřim. Podíl osob s jinou než českou státní příslušností na celkovém počtu obyvatel v posledních letech narůstá.  Zatímco mezi lety 2006 a 2012 se pohyboval v průměru na 2,5 % a mezi lety 2013 a 2018 dokonce mírně klesl,</w:t>
      </w:r>
      <w:r w:rsidR="00C217CC">
        <w:rPr>
          <w:rFonts w:ascii="Arial Narrow" w:hAnsi="Arial Narrow"/>
        </w:rPr>
        <w:t xml:space="preserve"> od roku 2018 do současnosti </w:t>
      </w:r>
      <w:r w:rsidR="00C217CC" w:rsidRPr="00CE357F">
        <w:rPr>
          <w:rFonts w:ascii="Arial Narrow" w:hAnsi="Arial Narrow"/>
        </w:rPr>
        <w:t xml:space="preserve">podíl osob s jinou než českou státní příslušností na celkovém počtu obyvatel ORP </w:t>
      </w:r>
      <w:r w:rsidR="00C217CC">
        <w:rPr>
          <w:rFonts w:ascii="Arial Narrow" w:hAnsi="Arial Narrow"/>
        </w:rPr>
        <w:t xml:space="preserve">stoupl o </w:t>
      </w:r>
      <w:r w:rsidR="001366B6">
        <w:rPr>
          <w:rFonts w:ascii="Arial Narrow" w:hAnsi="Arial Narrow"/>
        </w:rPr>
        <w:t>téměř</w:t>
      </w:r>
      <w:r w:rsidR="00C217CC">
        <w:rPr>
          <w:rFonts w:ascii="Arial Narrow" w:hAnsi="Arial Narrow"/>
        </w:rPr>
        <w:t xml:space="preserve"> čtyřnásobek</w:t>
      </w:r>
      <w:r w:rsidR="00C217CC" w:rsidRPr="00CE357F">
        <w:rPr>
          <w:rFonts w:ascii="Arial Narrow" w:hAnsi="Arial Narrow"/>
        </w:rPr>
        <w:t xml:space="preserve"> (2,0 % v roce 2018</w:t>
      </w:r>
      <w:r w:rsidR="00C217CC">
        <w:rPr>
          <w:rFonts w:ascii="Arial Narrow" w:hAnsi="Arial Narrow"/>
        </w:rPr>
        <w:t xml:space="preserve"> a </w:t>
      </w:r>
      <w:r w:rsidR="001366B6">
        <w:rPr>
          <w:rFonts w:ascii="Arial Narrow" w:hAnsi="Arial Narrow"/>
        </w:rPr>
        <w:t>7,5</w:t>
      </w:r>
      <w:r w:rsidR="00C217CC">
        <w:rPr>
          <w:rFonts w:ascii="Arial Narrow" w:hAnsi="Arial Narrow"/>
        </w:rPr>
        <w:t xml:space="preserve"> % k roku 2023</w:t>
      </w:r>
      <w:r w:rsidR="00C217CC" w:rsidRPr="00CE357F">
        <w:rPr>
          <w:rFonts w:ascii="Arial Narrow" w:hAnsi="Arial Narrow"/>
        </w:rPr>
        <w:t>). Vývoj podílu osob s jinou než českou státní příslušností na celkovém počtu obyva</w:t>
      </w:r>
      <w:r w:rsidR="00C217CC">
        <w:rPr>
          <w:rFonts w:ascii="Arial Narrow" w:hAnsi="Arial Narrow"/>
        </w:rPr>
        <w:t>tel ORP Kuřim v letech 2006-2023</w:t>
      </w:r>
      <w:r w:rsidR="00C217CC" w:rsidRPr="00CE357F">
        <w:rPr>
          <w:rFonts w:ascii="Arial Narrow" w:hAnsi="Arial Narrow"/>
        </w:rPr>
        <w:t xml:space="preserve"> podrobně dokumentuje graf</w:t>
      </w:r>
      <w:r w:rsidR="007F06F2">
        <w:rPr>
          <w:rFonts w:ascii="Arial Narrow" w:hAnsi="Arial Narrow"/>
        </w:rPr>
        <w:t xml:space="preserve"> č. 118</w:t>
      </w:r>
      <w:r w:rsidR="00C217CC" w:rsidRPr="00CE357F">
        <w:rPr>
          <w:rFonts w:ascii="Arial Narrow" w:hAnsi="Arial Narrow"/>
        </w:rPr>
        <w:t>.</w:t>
      </w:r>
    </w:p>
    <w:p w14:paraId="45F11AF9" w14:textId="77777777" w:rsidR="007F06F2" w:rsidRPr="007F06F2" w:rsidRDefault="007F06F2" w:rsidP="00C217CC">
      <w:pPr>
        <w:spacing w:line="276" w:lineRule="auto"/>
        <w:jc w:val="both"/>
        <w:rPr>
          <w:rFonts w:ascii="Arial Narrow" w:hAnsi="Arial Narrow"/>
        </w:rPr>
      </w:pPr>
    </w:p>
    <w:p w14:paraId="71500198" w14:textId="06E60D4C" w:rsidR="0055565E" w:rsidRPr="00CE357F" w:rsidRDefault="0055565E" w:rsidP="00C217CC">
      <w:pPr>
        <w:spacing w:line="276" w:lineRule="auto"/>
        <w:jc w:val="both"/>
        <w:rPr>
          <w:rFonts w:ascii="Arial Narrow" w:hAnsi="Arial Narrow"/>
        </w:rPr>
      </w:pPr>
    </w:p>
    <w:p w14:paraId="56F2A281" w14:textId="025B0B18" w:rsidR="0055565E" w:rsidRPr="00CE357F" w:rsidRDefault="0055565E" w:rsidP="0055565E">
      <w:pPr>
        <w:jc w:val="both"/>
        <w:rPr>
          <w:rFonts w:ascii="Arial Narrow" w:hAnsi="Arial Narrow"/>
          <w:b/>
          <w:sz w:val="20"/>
          <w:szCs w:val="20"/>
        </w:rPr>
      </w:pPr>
      <w:bookmarkStart w:id="737" w:name="_Toc94443810"/>
      <w:bookmarkStart w:id="738" w:name="_Toc136428962"/>
      <w:r w:rsidRPr="00CE357F">
        <w:rPr>
          <w:rFonts w:ascii="Arial Narrow" w:hAnsi="Arial Narrow"/>
          <w:b/>
          <w:sz w:val="20"/>
          <w:szCs w:val="20"/>
        </w:rPr>
        <w:lastRenderedPageBreak/>
        <w:t xml:space="preserve">Graf </w:t>
      </w:r>
      <w:r w:rsidR="00B63C25">
        <w:rPr>
          <w:rFonts w:ascii="Arial Narrow" w:hAnsi="Arial Narrow"/>
          <w:b/>
          <w:sz w:val="20"/>
          <w:szCs w:val="20"/>
        </w:rPr>
        <w:fldChar w:fldCharType="begin"/>
      </w:r>
      <w:r w:rsidR="00B63C25">
        <w:rPr>
          <w:rFonts w:ascii="Arial Narrow" w:hAnsi="Arial Narrow"/>
          <w:b/>
          <w:sz w:val="20"/>
          <w:szCs w:val="20"/>
        </w:rPr>
        <w:instrText xml:space="preserve"> SEQ Graf \* ARABIC </w:instrText>
      </w:r>
      <w:r w:rsidR="00B63C25">
        <w:rPr>
          <w:rFonts w:ascii="Arial Narrow" w:hAnsi="Arial Narrow"/>
          <w:b/>
          <w:sz w:val="20"/>
          <w:szCs w:val="20"/>
        </w:rPr>
        <w:fldChar w:fldCharType="separate"/>
      </w:r>
      <w:r w:rsidR="009F49C8">
        <w:rPr>
          <w:rFonts w:ascii="Arial Narrow" w:hAnsi="Arial Narrow"/>
          <w:b/>
          <w:noProof/>
          <w:sz w:val="20"/>
          <w:szCs w:val="20"/>
        </w:rPr>
        <w:t>118</w:t>
      </w:r>
      <w:r w:rsidR="00B63C25">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 ORP Kuřim v letech 2006-202</w:t>
      </w:r>
      <w:bookmarkEnd w:id="737"/>
      <w:r w:rsidR="00C217CC">
        <w:rPr>
          <w:rFonts w:ascii="Arial Narrow" w:hAnsi="Arial Narrow"/>
          <w:b/>
          <w:bCs/>
          <w:sz w:val="20"/>
          <w:szCs w:val="20"/>
        </w:rPr>
        <w:t>3</w:t>
      </w:r>
      <w:bookmarkEnd w:id="738"/>
    </w:p>
    <w:p w14:paraId="35510EC6" w14:textId="6BD973E0" w:rsidR="0055565E" w:rsidRPr="00CE357F" w:rsidRDefault="00C217CC" w:rsidP="0055565E">
      <w:pPr>
        <w:spacing w:line="276" w:lineRule="auto"/>
        <w:rPr>
          <w:rFonts w:ascii="Arial Narrow" w:hAnsi="Arial Narrow"/>
        </w:rPr>
      </w:pPr>
      <w:r w:rsidRPr="00CE357F">
        <w:rPr>
          <w:rFonts w:ascii="Arial Narrow" w:hAnsi="Arial Narrow"/>
          <w:bCs/>
          <w:noProof/>
          <w:lang w:eastAsia="cs-CZ"/>
        </w:rPr>
        <w:drawing>
          <wp:inline distT="0" distB="0" distL="0" distR="0" wp14:anchorId="103F3E95" wp14:editId="39E0AB34">
            <wp:extent cx="5760720" cy="4057050"/>
            <wp:effectExtent l="0" t="0" r="0" b="635"/>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01B08897" w14:textId="2CBF393F" w:rsidR="0055565E" w:rsidRPr="00CE357F" w:rsidRDefault="0055565E" w:rsidP="0055565E">
      <w:pPr>
        <w:spacing w:line="276" w:lineRule="auto"/>
        <w:rPr>
          <w:rFonts w:ascii="Arial Narrow" w:hAnsi="Arial Narrow"/>
          <w:sz w:val="20"/>
          <w:szCs w:val="20"/>
        </w:rPr>
      </w:pPr>
      <w:r w:rsidRPr="00CE357F">
        <w:rPr>
          <w:rFonts w:ascii="Arial Narrow" w:hAnsi="Arial Narrow"/>
          <w:sz w:val="20"/>
          <w:szCs w:val="20"/>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001828B7" w:rsidRPr="00CE357F">
        <w:rPr>
          <w:rFonts w:ascii="Arial Narrow" w:hAnsi="Arial Narrow"/>
          <w:sz w:val="20"/>
          <w:szCs w:val="20"/>
        </w:rPr>
        <w:t xml:space="preserve">    </w:t>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6C74C758" w14:textId="77777777" w:rsidR="0055565E" w:rsidRPr="00CE357F" w:rsidRDefault="0055565E" w:rsidP="0055565E">
      <w:pPr>
        <w:spacing w:line="276" w:lineRule="auto"/>
        <w:jc w:val="both"/>
        <w:rPr>
          <w:rFonts w:ascii="Arial Narrow" w:hAnsi="Arial Narrow"/>
        </w:rPr>
      </w:pPr>
    </w:p>
    <w:p w14:paraId="6DBB9F15" w14:textId="77777777" w:rsidR="00C217CC" w:rsidRPr="00CE357F" w:rsidRDefault="00C217CC" w:rsidP="00C217CC">
      <w:pPr>
        <w:spacing w:after="120" w:line="276" w:lineRule="auto"/>
        <w:jc w:val="both"/>
        <w:rPr>
          <w:rFonts w:ascii="Arial Narrow" w:hAnsi="Arial Narrow"/>
        </w:rPr>
      </w:pPr>
      <w:r w:rsidRPr="00CE357F">
        <w:rPr>
          <w:rFonts w:ascii="Arial Narrow" w:hAnsi="Arial Narrow"/>
        </w:rPr>
        <w:t xml:space="preserve">V populaci osob s jinou než českou státní příslušností v ORP Kuřim dlouhodobě převažoval počet mužů nad počtem žen. Ačkoliv podíl mužů v celkové populaci osob s jinou než českou státní příslušností byl dlouhodobě vyšší než podíl žen, meziročně se snižoval a tento trend se změnil v roce 2021, kdy byl podíl žen v populaci osob s jinou než českou státní příslušností poprvé vyšší než podíl mužů (51,2 % žen a 48,8 % mužů). </w:t>
      </w:r>
      <w:r>
        <w:rPr>
          <w:rFonts w:ascii="Arial Narrow" w:hAnsi="Arial Narrow"/>
        </w:rPr>
        <w:t>K roku 2023 se tento rozdíl ještě zvýšil.</w:t>
      </w:r>
    </w:p>
    <w:p w14:paraId="508BBB57" w14:textId="1B9EC99B" w:rsidR="007F06F2" w:rsidRDefault="00C217CC" w:rsidP="007F06F2">
      <w:pPr>
        <w:spacing w:after="120" w:line="276" w:lineRule="auto"/>
        <w:jc w:val="both"/>
        <w:rPr>
          <w:rFonts w:ascii="Arial Narrow" w:hAnsi="Arial Narrow"/>
        </w:rPr>
      </w:pPr>
      <w:r w:rsidRPr="00CE357F">
        <w:rPr>
          <w:rFonts w:ascii="Arial Narrow" w:hAnsi="Arial Narrow"/>
        </w:rPr>
        <w:t>Zatímco v roce 2006 muži tvořili 64,8 % všech osob s jinou než českou státní příslu</w:t>
      </w:r>
      <w:r>
        <w:rPr>
          <w:rFonts w:ascii="Arial Narrow" w:hAnsi="Arial Narrow"/>
        </w:rPr>
        <w:t>šností na území ORP, v roce 2023 se jednalo o 41,8</w:t>
      </w:r>
      <w:r w:rsidRPr="00CE357F">
        <w:rPr>
          <w:rFonts w:ascii="Arial Narrow" w:hAnsi="Arial Narrow"/>
        </w:rPr>
        <w:t xml:space="preserve"> % mužů</w:t>
      </w:r>
      <w:r>
        <w:rPr>
          <w:rFonts w:ascii="Arial Narrow" w:hAnsi="Arial Narrow"/>
        </w:rPr>
        <w:t>. Mezi lety 2006 a 2023</w:t>
      </w:r>
      <w:r w:rsidRPr="00CE357F">
        <w:rPr>
          <w:rFonts w:ascii="Arial Narrow" w:hAnsi="Arial Narrow"/>
        </w:rPr>
        <w:t xml:space="preserve"> se podíl žen na celkovém počtu osob s jinou než českou státní přís</w:t>
      </w:r>
      <w:r>
        <w:rPr>
          <w:rFonts w:ascii="Arial Narrow" w:hAnsi="Arial Narrow"/>
        </w:rPr>
        <w:t>lušností v OPR Kuřím zvýšil o 22</w:t>
      </w:r>
      <w:r w:rsidRPr="00CE357F">
        <w:rPr>
          <w:rFonts w:ascii="Arial Narrow" w:hAnsi="Arial Narrow"/>
        </w:rPr>
        <w:t xml:space="preserve"> %. Vývoj podílu mužů a žen na celkovém počtu osob s jinou než českou státní příslušností v ORP Kuřim podrobně znázorňuje graf</w:t>
      </w:r>
      <w:r w:rsidR="007F06F2">
        <w:rPr>
          <w:rFonts w:ascii="Arial Narrow" w:hAnsi="Arial Narrow"/>
        </w:rPr>
        <w:t xml:space="preserve"> č. 119</w:t>
      </w:r>
      <w:r w:rsidRPr="00CE357F">
        <w:rPr>
          <w:rFonts w:ascii="Arial Narrow" w:hAnsi="Arial Narrow"/>
        </w:rPr>
        <w:t>.</w:t>
      </w:r>
    </w:p>
    <w:p w14:paraId="2F7F2349" w14:textId="77777777" w:rsidR="007F06F2" w:rsidRDefault="007F06F2" w:rsidP="007F06F2">
      <w:pPr>
        <w:spacing w:after="120" w:line="276" w:lineRule="auto"/>
        <w:jc w:val="both"/>
        <w:rPr>
          <w:rFonts w:ascii="Arial Narrow" w:hAnsi="Arial Narrow"/>
        </w:rPr>
      </w:pPr>
    </w:p>
    <w:p w14:paraId="3CC6B63A" w14:textId="77777777" w:rsidR="007F06F2" w:rsidRDefault="007F06F2" w:rsidP="007F06F2">
      <w:pPr>
        <w:spacing w:after="120" w:line="276" w:lineRule="auto"/>
        <w:jc w:val="both"/>
        <w:rPr>
          <w:rFonts w:ascii="Arial Narrow" w:hAnsi="Arial Narrow"/>
        </w:rPr>
      </w:pPr>
    </w:p>
    <w:p w14:paraId="5AFBA327" w14:textId="77777777" w:rsidR="007F06F2" w:rsidRDefault="007F06F2" w:rsidP="007F06F2">
      <w:pPr>
        <w:spacing w:after="120" w:line="276" w:lineRule="auto"/>
        <w:jc w:val="both"/>
        <w:rPr>
          <w:rFonts w:ascii="Arial Narrow" w:hAnsi="Arial Narrow"/>
        </w:rPr>
      </w:pPr>
    </w:p>
    <w:p w14:paraId="0B4D61FB" w14:textId="77777777" w:rsidR="007F06F2" w:rsidRDefault="007F06F2" w:rsidP="007F06F2">
      <w:pPr>
        <w:spacing w:after="120" w:line="276" w:lineRule="auto"/>
        <w:jc w:val="both"/>
        <w:rPr>
          <w:rFonts w:ascii="Arial Narrow" w:hAnsi="Arial Narrow"/>
        </w:rPr>
      </w:pPr>
    </w:p>
    <w:p w14:paraId="528EE1DD" w14:textId="77777777" w:rsidR="007F06F2" w:rsidRDefault="007F06F2" w:rsidP="007F06F2">
      <w:pPr>
        <w:spacing w:after="120" w:line="276" w:lineRule="auto"/>
        <w:jc w:val="both"/>
        <w:rPr>
          <w:rFonts w:ascii="Arial Narrow" w:hAnsi="Arial Narrow"/>
        </w:rPr>
      </w:pPr>
    </w:p>
    <w:p w14:paraId="7AD08EF8" w14:textId="77777777" w:rsidR="007F06F2" w:rsidRDefault="007F06F2" w:rsidP="007F06F2">
      <w:pPr>
        <w:spacing w:after="120" w:line="276" w:lineRule="auto"/>
        <w:jc w:val="both"/>
        <w:rPr>
          <w:rFonts w:ascii="Arial Narrow" w:hAnsi="Arial Narrow"/>
        </w:rPr>
      </w:pPr>
    </w:p>
    <w:p w14:paraId="750D3024" w14:textId="77777777" w:rsidR="007F06F2" w:rsidRPr="00CE357F" w:rsidRDefault="007F06F2" w:rsidP="0055565E">
      <w:pPr>
        <w:spacing w:before="240" w:line="276" w:lineRule="auto"/>
        <w:jc w:val="both"/>
        <w:rPr>
          <w:rFonts w:ascii="Arial Narrow" w:hAnsi="Arial Narrow"/>
        </w:rPr>
      </w:pPr>
    </w:p>
    <w:p w14:paraId="093BC100" w14:textId="681DA9D8" w:rsidR="00C217CC" w:rsidRPr="00CE357F" w:rsidRDefault="00C217CC" w:rsidP="00C217CC">
      <w:pPr>
        <w:spacing w:before="240" w:line="276" w:lineRule="auto"/>
        <w:jc w:val="both"/>
        <w:rPr>
          <w:rFonts w:ascii="Arial Narrow" w:hAnsi="Arial Narrow"/>
          <w:b/>
          <w:sz w:val="20"/>
          <w:szCs w:val="20"/>
        </w:rPr>
      </w:pPr>
      <w:bookmarkStart w:id="739" w:name="_Toc94443811"/>
      <w:bookmarkStart w:id="740" w:name="_Toc136428963"/>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119</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Osoby s jinou než českou státní příslušností v ORP Kuřim podle pohlaví</w:t>
      </w:r>
      <w:bookmarkEnd w:id="739"/>
      <w:r w:rsidR="00493A7B">
        <w:rPr>
          <w:rFonts w:ascii="Arial Narrow" w:hAnsi="Arial Narrow"/>
          <w:b/>
          <w:bCs/>
          <w:sz w:val="20"/>
          <w:szCs w:val="20"/>
        </w:rPr>
        <w:t xml:space="preserve"> (k 1. 1. daného roku)</w:t>
      </w:r>
      <w:bookmarkEnd w:id="740"/>
    </w:p>
    <w:p w14:paraId="5467DF63" w14:textId="77777777" w:rsidR="00C217CC" w:rsidRPr="00CE357F" w:rsidRDefault="00C217CC" w:rsidP="00C217CC">
      <w:pPr>
        <w:spacing w:line="276" w:lineRule="auto"/>
        <w:jc w:val="both"/>
        <w:rPr>
          <w:rFonts w:ascii="Arial Narrow" w:hAnsi="Arial Narrow"/>
        </w:rPr>
      </w:pPr>
      <w:r w:rsidRPr="00CE357F">
        <w:rPr>
          <w:rFonts w:ascii="Arial Narrow" w:hAnsi="Arial Narrow"/>
          <w:bCs/>
          <w:noProof/>
          <w:lang w:eastAsia="cs-CZ"/>
        </w:rPr>
        <w:drawing>
          <wp:inline distT="0" distB="0" distL="0" distR="0" wp14:anchorId="184BE65C" wp14:editId="32D1195C">
            <wp:extent cx="5760720" cy="4098047"/>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2FF1B042" w14:textId="77777777" w:rsidR="00C217CC" w:rsidRPr="00CE357F" w:rsidRDefault="00C217CC" w:rsidP="00C217CC">
      <w:pPr>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66039EE7" w14:textId="77777777" w:rsidR="00C217CC" w:rsidRPr="00CE357F" w:rsidRDefault="00C217CC" w:rsidP="00C217CC">
      <w:pPr>
        <w:spacing w:line="276" w:lineRule="auto"/>
        <w:jc w:val="both"/>
        <w:rPr>
          <w:rFonts w:ascii="Arial Narrow" w:hAnsi="Arial Narrow"/>
        </w:rPr>
      </w:pPr>
    </w:p>
    <w:p w14:paraId="33F3F656" w14:textId="5FAFE9D9" w:rsidR="00C217CC" w:rsidRPr="00CE357F" w:rsidRDefault="00C217CC" w:rsidP="00C217CC">
      <w:pPr>
        <w:spacing w:after="240" w:line="276" w:lineRule="auto"/>
        <w:jc w:val="both"/>
        <w:rPr>
          <w:rFonts w:ascii="Arial Narrow" w:hAnsi="Arial Narrow"/>
        </w:rPr>
      </w:pPr>
      <w:r w:rsidRPr="00CE357F">
        <w:rPr>
          <w:rFonts w:ascii="Arial Narrow" w:hAnsi="Arial Narrow"/>
        </w:rPr>
        <w:t>Ačkoliv podíl žen na celkovém počtu osob s jinou než českou státní příslušností v ORP Kuřim se meziročně zvyšuje, podíl dětí do 15 let na celkovém počtu osob s jinou než českou státní příslušností se</w:t>
      </w:r>
      <w:r>
        <w:rPr>
          <w:rFonts w:ascii="Arial Narrow" w:hAnsi="Arial Narrow"/>
        </w:rPr>
        <w:t xml:space="preserve"> do roku 2022 zvyšoval </w:t>
      </w:r>
      <w:r w:rsidRPr="00CE357F">
        <w:rPr>
          <w:rFonts w:ascii="Arial Narrow" w:hAnsi="Arial Narrow"/>
        </w:rPr>
        <w:t xml:space="preserve">pouze mírně. </w:t>
      </w:r>
      <w:r>
        <w:rPr>
          <w:rFonts w:ascii="Arial Narrow" w:hAnsi="Arial Narrow"/>
        </w:rPr>
        <w:t xml:space="preserve">Skokový nárůst byl však zaznamenán k roku 2023, kdy se jejich počet zvýšil více než dvojnásobně.  </w:t>
      </w:r>
      <w:r w:rsidRPr="00CE357F">
        <w:rPr>
          <w:rFonts w:ascii="Arial Narrow" w:hAnsi="Arial Narrow"/>
        </w:rPr>
        <w:t>Zatímco k 1. 1. 2008 tvořily děti do 15 let celkem 5,2 % všech osob s jinou než českou s</w:t>
      </w:r>
      <w:r>
        <w:rPr>
          <w:rFonts w:ascii="Arial Narrow" w:hAnsi="Arial Narrow"/>
        </w:rPr>
        <w:t>tátní příslušností, k </w:t>
      </w:r>
      <w:r>
        <w:rPr>
          <w:rFonts w:ascii="Arial Narrow" w:hAnsi="Arial Narrow"/>
        </w:rPr>
        <w:br/>
        <w:t>1. 1. 2023</w:t>
      </w:r>
      <w:r w:rsidRPr="00CE357F">
        <w:rPr>
          <w:rFonts w:ascii="Arial Narrow" w:hAnsi="Arial Narrow"/>
        </w:rPr>
        <w:t xml:space="preserve"> </w:t>
      </w:r>
      <w:r>
        <w:rPr>
          <w:rFonts w:ascii="Arial Narrow" w:hAnsi="Arial Narrow"/>
        </w:rPr>
        <w:t>to bylo 18,5</w:t>
      </w:r>
      <w:r w:rsidRPr="00CE357F">
        <w:rPr>
          <w:rFonts w:ascii="Arial Narrow" w:hAnsi="Arial Narrow"/>
        </w:rPr>
        <w:t xml:space="preserve"> %. Vývoj počtu dětí dle pohlaví a jejich podílu na celkovém počtu osob s jinou než českou státní příslušností v ORP Kuřim podrobně znázorňuje tabulka</w:t>
      </w:r>
      <w:r w:rsidR="007F06F2">
        <w:rPr>
          <w:rFonts w:ascii="Arial Narrow" w:hAnsi="Arial Narrow"/>
        </w:rPr>
        <w:t xml:space="preserve"> č. 49</w:t>
      </w:r>
      <w:r w:rsidRPr="00CE357F">
        <w:rPr>
          <w:rFonts w:ascii="Arial Narrow" w:hAnsi="Arial Narrow"/>
        </w:rPr>
        <w:t>.</w:t>
      </w:r>
    </w:p>
    <w:p w14:paraId="313E02BB" w14:textId="56CFA21C" w:rsidR="00C217CC" w:rsidRPr="00CE357F" w:rsidRDefault="00C217CC" w:rsidP="00C217CC">
      <w:pPr>
        <w:jc w:val="both"/>
        <w:rPr>
          <w:rFonts w:ascii="Arial Narrow" w:hAnsi="Arial Narrow"/>
          <w:b/>
          <w:sz w:val="24"/>
          <w:szCs w:val="24"/>
        </w:rPr>
      </w:pPr>
      <w:bookmarkStart w:id="741" w:name="_Toc136429260"/>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49</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 xml:space="preserve">Podíl dětí ve věku do 15 let </w:t>
      </w:r>
      <w:bookmarkStart w:id="742" w:name="_Hlk131416679"/>
      <w:r w:rsidRPr="00CE357F">
        <w:rPr>
          <w:rFonts w:ascii="Arial Narrow" w:eastAsia="Times New Roman" w:hAnsi="Arial Narrow" w:cs="Arial"/>
          <w:b/>
          <w:bCs/>
          <w:sz w:val="20"/>
          <w:szCs w:val="20"/>
          <w:lang w:eastAsia="cs-CZ"/>
        </w:rPr>
        <w:t xml:space="preserve">na celkovém počtu osob s jinou než českou státní příslušností </w:t>
      </w:r>
      <w:bookmarkEnd w:id="742"/>
      <w:r w:rsidRPr="00CE357F">
        <w:rPr>
          <w:rFonts w:ascii="Arial Narrow" w:eastAsia="Times New Roman" w:hAnsi="Arial Narrow" w:cs="Arial"/>
          <w:b/>
          <w:bCs/>
          <w:sz w:val="20"/>
          <w:szCs w:val="20"/>
          <w:lang w:eastAsia="cs-CZ"/>
        </w:rPr>
        <w:t>v ORP Kuřim v letech 2006-202</w:t>
      </w:r>
      <w:r>
        <w:rPr>
          <w:rFonts w:ascii="Arial Narrow" w:eastAsia="Times New Roman" w:hAnsi="Arial Narrow" w:cs="Arial"/>
          <w:b/>
          <w:bCs/>
          <w:sz w:val="20"/>
          <w:szCs w:val="20"/>
          <w:lang w:eastAsia="cs-CZ"/>
        </w:rPr>
        <w:t>3</w:t>
      </w:r>
      <w:bookmarkEnd w:id="741"/>
    </w:p>
    <w:tbl>
      <w:tblPr>
        <w:tblpPr w:leftFromText="141" w:rightFromText="141" w:vertAnchor="text" w:tblpX="98" w:tblpY="1"/>
        <w:tblW w:w="4948"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96"/>
        <w:gridCol w:w="2181"/>
        <w:gridCol w:w="562"/>
        <w:gridCol w:w="553"/>
        <w:gridCol w:w="717"/>
        <w:gridCol w:w="562"/>
        <w:gridCol w:w="540"/>
        <w:gridCol w:w="717"/>
        <w:gridCol w:w="1940"/>
      </w:tblGrid>
      <w:tr w:rsidR="00C217CC" w:rsidRPr="00CE357F" w14:paraId="1C901337" w14:textId="77777777" w:rsidTr="7CC7BF57">
        <w:trPr>
          <w:trHeight w:val="272"/>
        </w:trPr>
        <w:tc>
          <w:tcPr>
            <w:tcW w:w="1242" w:type="dxa"/>
            <w:vMerge w:val="restart"/>
            <w:shd w:val="clear" w:color="auto" w:fill="D9E2F3" w:themeFill="accent1" w:themeFillTint="33"/>
            <w:vAlign w:val="center"/>
            <w:hideMark/>
          </w:tcPr>
          <w:p w14:paraId="32FB9055" w14:textId="77777777" w:rsidR="00C217CC" w:rsidRPr="00CE357F" w:rsidRDefault="00C217CC" w:rsidP="004A0C47">
            <w:pPr>
              <w:jc w:val="center"/>
              <w:rPr>
                <w:rFonts w:ascii="Arial Narrow" w:eastAsia="Times New Roman" w:hAnsi="Arial Narrow" w:cs="Arial"/>
                <w:b/>
                <w:bCs/>
                <w:sz w:val="18"/>
                <w:szCs w:val="18"/>
                <w:lang w:eastAsia="cs-CZ"/>
              </w:rPr>
            </w:pPr>
            <w:bookmarkStart w:id="743" w:name="_Hlk92294516"/>
            <w:r w:rsidRPr="00CE357F">
              <w:rPr>
                <w:rFonts w:ascii="Arial Narrow" w:eastAsia="Times New Roman" w:hAnsi="Arial Narrow" w:cs="Arial"/>
                <w:sz w:val="18"/>
                <w:szCs w:val="18"/>
                <w:lang w:eastAsia="cs-CZ"/>
              </w:rPr>
              <w:t>Rok</w:t>
            </w:r>
          </w:p>
          <w:p w14:paraId="77DCE2E5" w14:textId="77777777" w:rsidR="00C217CC" w:rsidRPr="00CE357F" w:rsidRDefault="00C217CC" w:rsidP="004A0C47">
            <w:pPr>
              <w:jc w:val="center"/>
              <w:rPr>
                <w:rFonts w:ascii="Arial Narrow" w:hAnsi="Arial Narrow" w:cstheme="minorBidi"/>
                <w:b/>
                <w:bCs/>
                <w:sz w:val="18"/>
                <w:szCs w:val="18"/>
              </w:rPr>
            </w:pPr>
            <w:r w:rsidRPr="00CE357F">
              <w:rPr>
                <w:rFonts w:ascii="Arial Narrow" w:eastAsia="Times New Roman" w:hAnsi="Arial Narrow" w:cs="Arial"/>
                <w:sz w:val="18"/>
                <w:szCs w:val="18"/>
                <w:lang w:eastAsia="cs-CZ"/>
              </w:rPr>
              <w:t>(vždy k 1. 1.)</w:t>
            </w:r>
          </w:p>
        </w:tc>
        <w:tc>
          <w:tcPr>
            <w:tcW w:w="2268" w:type="dxa"/>
            <w:vMerge w:val="restart"/>
            <w:shd w:val="clear" w:color="auto" w:fill="D9E2F3" w:themeFill="accent1" w:themeFillTint="33"/>
            <w:vAlign w:val="center"/>
            <w:hideMark/>
          </w:tcPr>
          <w:p w14:paraId="6FF9591C"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Osoby s jinou než českou státní příslušností – celkem</w:t>
            </w:r>
          </w:p>
        </w:tc>
        <w:tc>
          <w:tcPr>
            <w:tcW w:w="1843" w:type="dxa"/>
            <w:gridSpan w:val="3"/>
            <w:shd w:val="clear" w:color="auto" w:fill="D9E2F3" w:themeFill="accent1" w:themeFillTint="33"/>
            <w:vAlign w:val="center"/>
            <w:hideMark/>
          </w:tcPr>
          <w:p w14:paraId="4BDC72FE" w14:textId="77777777" w:rsidR="00C217CC" w:rsidRPr="00CE357F" w:rsidRDefault="00C217CC" w:rsidP="004A0C47">
            <w:pPr>
              <w:jc w:val="center"/>
              <w:rPr>
                <w:rFonts w:ascii="Arial Narrow" w:hAnsi="Arial Narrow"/>
                <w:b/>
                <w:sz w:val="18"/>
                <w:szCs w:val="18"/>
              </w:rPr>
            </w:pPr>
            <w:r w:rsidRPr="00CE357F">
              <w:rPr>
                <w:rFonts w:ascii="Arial Narrow" w:eastAsia="Times New Roman" w:hAnsi="Arial Narrow" w:cs="Arial"/>
                <w:b/>
                <w:sz w:val="18"/>
                <w:szCs w:val="18"/>
                <w:lang w:eastAsia="cs-CZ"/>
              </w:rPr>
              <w:t>Muži</w:t>
            </w:r>
          </w:p>
        </w:tc>
        <w:tc>
          <w:tcPr>
            <w:tcW w:w="1829" w:type="dxa"/>
            <w:gridSpan w:val="3"/>
            <w:shd w:val="clear" w:color="auto" w:fill="D9E2F3" w:themeFill="accent1" w:themeFillTint="33"/>
            <w:vAlign w:val="center"/>
            <w:hideMark/>
          </w:tcPr>
          <w:p w14:paraId="633462CC" w14:textId="77777777" w:rsidR="00C217CC" w:rsidRPr="00CE357F" w:rsidRDefault="00C217CC" w:rsidP="004A0C47">
            <w:pPr>
              <w:jc w:val="center"/>
              <w:rPr>
                <w:rFonts w:ascii="Arial Narrow" w:hAnsi="Arial Narrow"/>
                <w:b/>
                <w:sz w:val="18"/>
                <w:szCs w:val="18"/>
              </w:rPr>
            </w:pPr>
            <w:r w:rsidRPr="00CE357F">
              <w:rPr>
                <w:rFonts w:ascii="Arial Narrow" w:eastAsia="Times New Roman" w:hAnsi="Arial Narrow" w:cs="Arial"/>
                <w:b/>
                <w:sz w:val="18"/>
                <w:szCs w:val="18"/>
                <w:lang w:eastAsia="cs-CZ"/>
              </w:rPr>
              <w:t>Ženy</w:t>
            </w:r>
          </w:p>
        </w:tc>
        <w:tc>
          <w:tcPr>
            <w:tcW w:w="2009" w:type="dxa"/>
            <w:vMerge w:val="restart"/>
            <w:shd w:val="clear" w:color="auto" w:fill="D9E2F3" w:themeFill="accent1" w:themeFillTint="33"/>
            <w:vAlign w:val="center"/>
          </w:tcPr>
          <w:p w14:paraId="6BBF14DB"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Podíl dětí ve věku do 15 let na celkovém počtu </w:t>
            </w:r>
            <w:r w:rsidRPr="00CE357F">
              <w:rPr>
                <w:rFonts w:ascii="Arial Narrow" w:hAnsi="Arial Narrow"/>
                <w:sz w:val="18"/>
                <w:szCs w:val="18"/>
              </w:rPr>
              <w:t>osob s jinou než českou státní příslušností</w:t>
            </w:r>
          </w:p>
        </w:tc>
      </w:tr>
      <w:tr w:rsidR="00C217CC" w:rsidRPr="00CE357F" w14:paraId="1ED72274" w14:textId="77777777" w:rsidTr="7CC7BF57">
        <w:trPr>
          <w:trHeight w:val="204"/>
        </w:trPr>
        <w:tc>
          <w:tcPr>
            <w:tcW w:w="1242" w:type="dxa"/>
            <w:vMerge/>
            <w:vAlign w:val="center"/>
            <w:hideMark/>
          </w:tcPr>
          <w:p w14:paraId="5E3DEFFB" w14:textId="77777777" w:rsidR="00C217CC" w:rsidRPr="00CE357F" w:rsidRDefault="00C217CC" w:rsidP="004A0C47">
            <w:pPr>
              <w:jc w:val="center"/>
              <w:rPr>
                <w:rFonts w:ascii="Arial Narrow" w:hAnsi="Arial Narrow"/>
                <w:sz w:val="18"/>
                <w:szCs w:val="18"/>
              </w:rPr>
            </w:pPr>
          </w:p>
        </w:tc>
        <w:tc>
          <w:tcPr>
            <w:tcW w:w="2268" w:type="dxa"/>
            <w:vMerge/>
            <w:vAlign w:val="center"/>
            <w:hideMark/>
          </w:tcPr>
          <w:p w14:paraId="092C6992" w14:textId="77777777" w:rsidR="00C217CC" w:rsidRPr="00CE357F" w:rsidRDefault="00C217CC" w:rsidP="004A0C47">
            <w:pPr>
              <w:jc w:val="center"/>
              <w:rPr>
                <w:rFonts w:ascii="Arial Narrow" w:hAnsi="Arial Narrow"/>
                <w:sz w:val="18"/>
                <w:szCs w:val="18"/>
              </w:rPr>
            </w:pPr>
          </w:p>
        </w:tc>
        <w:tc>
          <w:tcPr>
            <w:tcW w:w="567" w:type="dxa"/>
            <w:shd w:val="clear" w:color="auto" w:fill="D9E2F3" w:themeFill="accent1" w:themeFillTint="33"/>
            <w:vAlign w:val="center"/>
            <w:hideMark/>
          </w:tcPr>
          <w:p w14:paraId="07DAC369"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59" w:type="dxa"/>
            <w:shd w:val="clear" w:color="auto" w:fill="D9E2F3" w:themeFill="accent1" w:themeFillTint="33"/>
            <w:vAlign w:val="center"/>
            <w:hideMark/>
          </w:tcPr>
          <w:p w14:paraId="6E873D8D"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hideMark/>
          </w:tcPr>
          <w:p w14:paraId="55514315"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67" w:type="dxa"/>
            <w:shd w:val="clear" w:color="auto" w:fill="D9E2F3" w:themeFill="accent1" w:themeFillTint="33"/>
            <w:vAlign w:val="center"/>
            <w:hideMark/>
          </w:tcPr>
          <w:p w14:paraId="29875605"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45" w:type="dxa"/>
            <w:shd w:val="clear" w:color="auto" w:fill="D9E2F3" w:themeFill="accent1" w:themeFillTint="33"/>
            <w:vAlign w:val="center"/>
            <w:hideMark/>
          </w:tcPr>
          <w:p w14:paraId="47FBCC0B"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hideMark/>
          </w:tcPr>
          <w:p w14:paraId="21CF8DC0"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2009" w:type="dxa"/>
            <w:vMerge/>
            <w:vAlign w:val="center"/>
          </w:tcPr>
          <w:p w14:paraId="327DCABA" w14:textId="77777777" w:rsidR="00C217CC" w:rsidRPr="00CE357F" w:rsidRDefault="00C217CC" w:rsidP="004A0C47">
            <w:pPr>
              <w:jc w:val="center"/>
              <w:rPr>
                <w:rFonts w:ascii="Arial Narrow" w:eastAsia="Times New Roman" w:hAnsi="Arial Narrow" w:cs="Arial"/>
                <w:b/>
                <w:bCs/>
                <w:sz w:val="18"/>
                <w:szCs w:val="18"/>
                <w:lang w:eastAsia="cs-CZ"/>
              </w:rPr>
            </w:pPr>
          </w:p>
        </w:tc>
      </w:tr>
      <w:tr w:rsidR="00C217CC" w:rsidRPr="00CE357F" w14:paraId="6C14E27B" w14:textId="77777777" w:rsidTr="7CC7BF57">
        <w:trPr>
          <w:trHeight w:val="204"/>
        </w:trPr>
        <w:tc>
          <w:tcPr>
            <w:tcW w:w="1242" w:type="dxa"/>
            <w:shd w:val="clear" w:color="auto" w:fill="D9E2F3" w:themeFill="accent1" w:themeFillTint="33"/>
            <w:vAlign w:val="center"/>
          </w:tcPr>
          <w:p w14:paraId="3E5190A9" w14:textId="77777777" w:rsidR="00C217CC" w:rsidRPr="00CE357F" w:rsidRDefault="00C217CC" w:rsidP="004A0C47">
            <w:pPr>
              <w:jc w:val="center"/>
              <w:rPr>
                <w:rFonts w:ascii="Arial Narrow" w:hAnsi="Arial Narrow"/>
                <w:sz w:val="18"/>
                <w:szCs w:val="18"/>
              </w:rPr>
            </w:pPr>
            <w:r>
              <w:rPr>
                <w:rFonts w:ascii="Arial Narrow" w:hAnsi="Arial Narrow"/>
                <w:sz w:val="18"/>
                <w:szCs w:val="18"/>
              </w:rPr>
              <w:t>2023</w:t>
            </w:r>
          </w:p>
        </w:tc>
        <w:tc>
          <w:tcPr>
            <w:tcW w:w="2268" w:type="dxa"/>
            <w:vAlign w:val="center"/>
          </w:tcPr>
          <w:p w14:paraId="5A277909" w14:textId="7D313289" w:rsidR="00C217CC" w:rsidRPr="004D5432" w:rsidRDefault="00C217CC" w:rsidP="004A0C47">
            <w:pPr>
              <w:jc w:val="center"/>
              <w:rPr>
                <w:rFonts w:ascii="Arial Narrow" w:hAnsi="Arial Narrow"/>
                <w:b/>
                <w:bCs/>
                <w:sz w:val="18"/>
                <w:szCs w:val="18"/>
              </w:rPr>
            </w:pPr>
            <w:r w:rsidRPr="004D5432">
              <w:rPr>
                <w:rFonts w:ascii="Arial Narrow" w:hAnsi="Arial Narrow"/>
                <w:b/>
                <w:bCs/>
                <w:sz w:val="18"/>
                <w:szCs w:val="18"/>
              </w:rPr>
              <w:t>1 878</w:t>
            </w:r>
          </w:p>
        </w:tc>
        <w:tc>
          <w:tcPr>
            <w:tcW w:w="567" w:type="dxa"/>
            <w:vAlign w:val="center"/>
          </w:tcPr>
          <w:p w14:paraId="375B3FB6" w14:textId="77777777" w:rsidR="00C217CC" w:rsidRPr="00CE357F" w:rsidRDefault="00C217CC" w:rsidP="004A0C47">
            <w:pPr>
              <w:jc w:val="center"/>
              <w:rPr>
                <w:rFonts w:ascii="Arial Narrow" w:hAnsi="Arial Narrow"/>
                <w:sz w:val="18"/>
                <w:szCs w:val="18"/>
              </w:rPr>
            </w:pPr>
            <w:r>
              <w:rPr>
                <w:rFonts w:ascii="Arial Narrow" w:hAnsi="Arial Narrow"/>
                <w:sz w:val="18"/>
                <w:szCs w:val="18"/>
              </w:rPr>
              <w:t>621</w:t>
            </w:r>
          </w:p>
        </w:tc>
        <w:tc>
          <w:tcPr>
            <w:tcW w:w="559" w:type="dxa"/>
            <w:vAlign w:val="center"/>
          </w:tcPr>
          <w:p w14:paraId="42A8031B" w14:textId="77777777" w:rsidR="00C217CC" w:rsidRPr="00CE357F" w:rsidRDefault="00C217CC" w:rsidP="004A0C47">
            <w:pPr>
              <w:jc w:val="center"/>
              <w:rPr>
                <w:rFonts w:ascii="Arial Narrow" w:hAnsi="Arial Narrow"/>
                <w:sz w:val="18"/>
                <w:szCs w:val="18"/>
              </w:rPr>
            </w:pPr>
            <w:r>
              <w:rPr>
                <w:rFonts w:ascii="Arial Narrow" w:hAnsi="Arial Narrow"/>
                <w:sz w:val="18"/>
                <w:szCs w:val="18"/>
              </w:rPr>
              <w:t>164</w:t>
            </w:r>
          </w:p>
        </w:tc>
        <w:tc>
          <w:tcPr>
            <w:tcW w:w="717" w:type="dxa"/>
            <w:vAlign w:val="center"/>
          </w:tcPr>
          <w:p w14:paraId="428C026B" w14:textId="77777777" w:rsidR="00C217CC" w:rsidRPr="00CE357F" w:rsidRDefault="00C217CC" w:rsidP="004A0C47">
            <w:pPr>
              <w:jc w:val="center"/>
              <w:rPr>
                <w:rFonts w:ascii="Arial Narrow" w:hAnsi="Arial Narrow"/>
                <w:sz w:val="18"/>
                <w:szCs w:val="18"/>
              </w:rPr>
            </w:pPr>
            <w:r>
              <w:rPr>
                <w:rFonts w:ascii="Arial Narrow" w:hAnsi="Arial Narrow"/>
                <w:sz w:val="18"/>
                <w:szCs w:val="18"/>
              </w:rPr>
              <w:t>785</w:t>
            </w:r>
          </w:p>
        </w:tc>
        <w:tc>
          <w:tcPr>
            <w:tcW w:w="567" w:type="dxa"/>
            <w:vAlign w:val="center"/>
          </w:tcPr>
          <w:p w14:paraId="10459406" w14:textId="77777777" w:rsidR="00C217CC" w:rsidRPr="00CE357F" w:rsidRDefault="00C217CC" w:rsidP="004A0C47">
            <w:pPr>
              <w:jc w:val="center"/>
              <w:rPr>
                <w:rFonts w:ascii="Arial Narrow" w:hAnsi="Arial Narrow"/>
                <w:sz w:val="18"/>
                <w:szCs w:val="18"/>
              </w:rPr>
            </w:pPr>
            <w:r>
              <w:rPr>
                <w:rFonts w:ascii="Arial Narrow" w:hAnsi="Arial Narrow"/>
                <w:sz w:val="18"/>
                <w:szCs w:val="18"/>
              </w:rPr>
              <w:t>909</w:t>
            </w:r>
          </w:p>
        </w:tc>
        <w:tc>
          <w:tcPr>
            <w:tcW w:w="545" w:type="dxa"/>
            <w:vAlign w:val="center"/>
          </w:tcPr>
          <w:p w14:paraId="584C52CA" w14:textId="77777777" w:rsidR="00C217CC" w:rsidRPr="00CE357F" w:rsidRDefault="00C217CC" w:rsidP="004A0C47">
            <w:pPr>
              <w:jc w:val="center"/>
              <w:rPr>
                <w:rFonts w:ascii="Arial Narrow" w:hAnsi="Arial Narrow"/>
                <w:sz w:val="18"/>
                <w:szCs w:val="18"/>
              </w:rPr>
            </w:pPr>
            <w:r>
              <w:rPr>
                <w:rFonts w:ascii="Arial Narrow" w:hAnsi="Arial Narrow"/>
                <w:sz w:val="18"/>
                <w:szCs w:val="18"/>
              </w:rPr>
              <w:t>184</w:t>
            </w:r>
          </w:p>
        </w:tc>
        <w:tc>
          <w:tcPr>
            <w:tcW w:w="717" w:type="dxa"/>
            <w:vAlign w:val="center"/>
          </w:tcPr>
          <w:p w14:paraId="0310FA76" w14:textId="77777777" w:rsidR="00C217CC" w:rsidRPr="00CE357F" w:rsidRDefault="00C217CC" w:rsidP="004A0C47">
            <w:pPr>
              <w:jc w:val="center"/>
              <w:rPr>
                <w:rFonts w:ascii="Arial Narrow" w:hAnsi="Arial Narrow"/>
                <w:sz w:val="18"/>
                <w:szCs w:val="18"/>
              </w:rPr>
            </w:pPr>
            <w:r>
              <w:rPr>
                <w:rFonts w:ascii="Arial Narrow" w:hAnsi="Arial Narrow"/>
                <w:sz w:val="18"/>
                <w:szCs w:val="18"/>
              </w:rPr>
              <w:t>1 093</w:t>
            </w:r>
          </w:p>
        </w:tc>
        <w:tc>
          <w:tcPr>
            <w:tcW w:w="2009" w:type="dxa"/>
            <w:vAlign w:val="center"/>
          </w:tcPr>
          <w:p w14:paraId="3D6523A2" w14:textId="77777777" w:rsidR="00C217CC" w:rsidRPr="00CE357F" w:rsidRDefault="00C217CC" w:rsidP="004A0C47">
            <w:pPr>
              <w:jc w:val="center"/>
              <w:rPr>
                <w:rFonts w:ascii="Arial Narrow" w:hAnsi="Arial Narrow"/>
                <w:b/>
                <w:bCs/>
                <w:color w:val="C00000"/>
                <w:sz w:val="18"/>
                <w:szCs w:val="18"/>
              </w:rPr>
            </w:pPr>
            <w:r>
              <w:rPr>
                <w:rFonts w:ascii="Arial Narrow" w:hAnsi="Arial Narrow"/>
                <w:b/>
                <w:bCs/>
                <w:color w:val="C00000"/>
                <w:sz w:val="18"/>
                <w:szCs w:val="18"/>
              </w:rPr>
              <w:t>18,5 %</w:t>
            </w:r>
          </w:p>
        </w:tc>
      </w:tr>
      <w:tr w:rsidR="00C217CC" w:rsidRPr="00CE357F" w14:paraId="558BDB44" w14:textId="77777777" w:rsidTr="7CC7BF57">
        <w:trPr>
          <w:trHeight w:val="204"/>
        </w:trPr>
        <w:tc>
          <w:tcPr>
            <w:tcW w:w="1242" w:type="dxa"/>
            <w:shd w:val="clear" w:color="auto" w:fill="D9E2F3" w:themeFill="accent1" w:themeFillTint="33"/>
            <w:vAlign w:val="center"/>
          </w:tcPr>
          <w:p w14:paraId="78417759"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2022</w:t>
            </w:r>
          </w:p>
        </w:tc>
        <w:tc>
          <w:tcPr>
            <w:tcW w:w="2268" w:type="dxa"/>
            <w:vAlign w:val="center"/>
          </w:tcPr>
          <w:p w14:paraId="028C9C7A" w14:textId="77777777" w:rsidR="00C217CC" w:rsidRPr="004D5432" w:rsidRDefault="00C217CC" w:rsidP="004A0C47">
            <w:pPr>
              <w:jc w:val="center"/>
              <w:rPr>
                <w:rFonts w:ascii="Arial Narrow" w:hAnsi="Arial Narrow"/>
                <w:b/>
                <w:bCs/>
                <w:sz w:val="18"/>
                <w:szCs w:val="18"/>
              </w:rPr>
            </w:pPr>
            <w:r w:rsidRPr="004D5432">
              <w:rPr>
                <w:rFonts w:ascii="Arial Narrow" w:hAnsi="Arial Narrow"/>
                <w:b/>
                <w:bCs/>
                <w:sz w:val="18"/>
                <w:szCs w:val="18"/>
              </w:rPr>
              <w:t>980</w:t>
            </w:r>
          </w:p>
        </w:tc>
        <w:tc>
          <w:tcPr>
            <w:tcW w:w="567" w:type="dxa"/>
            <w:vAlign w:val="center"/>
          </w:tcPr>
          <w:p w14:paraId="675BB3A2"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432</w:t>
            </w:r>
          </w:p>
        </w:tc>
        <w:tc>
          <w:tcPr>
            <w:tcW w:w="559" w:type="dxa"/>
            <w:vAlign w:val="center"/>
          </w:tcPr>
          <w:p w14:paraId="44073A5A"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33</w:t>
            </w:r>
          </w:p>
        </w:tc>
        <w:tc>
          <w:tcPr>
            <w:tcW w:w="717" w:type="dxa"/>
            <w:vAlign w:val="center"/>
          </w:tcPr>
          <w:p w14:paraId="645659C6"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465</w:t>
            </w:r>
          </w:p>
        </w:tc>
        <w:tc>
          <w:tcPr>
            <w:tcW w:w="567" w:type="dxa"/>
            <w:vAlign w:val="center"/>
          </w:tcPr>
          <w:p w14:paraId="5FBEDAEB"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475</w:t>
            </w:r>
          </w:p>
        </w:tc>
        <w:tc>
          <w:tcPr>
            <w:tcW w:w="545" w:type="dxa"/>
            <w:vAlign w:val="center"/>
          </w:tcPr>
          <w:p w14:paraId="37E148FB"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40</w:t>
            </w:r>
          </w:p>
        </w:tc>
        <w:tc>
          <w:tcPr>
            <w:tcW w:w="717" w:type="dxa"/>
            <w:vAlign w:val="center"/>
          </w:tcPr>
          <w:p w14:paraId="58B99654"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515</w:t>
            </w:r>
          </w:p>
        </w:tc>
        <w:tc>
          <w:tcPr>
            <w:tcW w:w="2009" w:type="dxa"/>
            <w:vAlign w:val="center"/>
          </w:tcPr>
          <w:p w14:paraId="62C909DA"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7,4 %</w:t>
            </w:r>
          </w:p>
        </w:tc>
      </w:tr>
      <w:tr w:rsidR="00C217CC" w:rsidRPr="00CE357F" w14:paraId="0B4F179C" w14:textId="77777777" w:rsidTr="7CC7BF57">
        <w:trPr>
          <w:trHeight w:val="204"/>
        </w:trPr>
        <w:tc>
          <w:tcPr>
            <w:tcW w:w="1242" w:type="dxa"/>
            <w:shd w:val="clear" w:color="auto" w:fill="D9E2F3" w:themeFill="accent1" w:themeFillTint="33"/>
            <w:vAlign w:val="center"/>
          </w:tcPr>
          <w:p w14:paraId="7167AF32"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2021</w:t>
            </w:r>
          </w:p>
        </w:tc>
        <w:tc>
          <w:tcPr>
            <w:tcW w:w="2268" w:type="dxa"/>
            <w:vAlign w:val="center"/>
          </w:tcPr>
          <w:p w14:paraId="31B8F5CB" w14:textId="77777777" w:rsidR="00C217CC" w:rsidRPr="00CE357F" w:rsidRDefault="00C217CC" w:rsidP="004A0C47">
            <w:pPr>
              <w:jc w:val="center"/>
              <w:rPr>
                <w:rFonts w:ascii="Arial Narrow" w:hAnsi="Arial Narrow"/>
                <w:b/>
                <w:bCs/>
                <w:sz w:val="18"/>
                <w:szCs w:val="18"/>
              </w:rPr>
            </w:pPr>
            <w:r w:rsidRPr="7CC7BF57">
              <w:rPr>
                <w:rFonts w:ascii="Arial Narrow" w:hAnsi="Arial Narrow"/>
                <w:b/>
                <w:bCs/>
                <w:sz w:val="18"/>
                <w:szCs w:val="18"/>
              </w:rPr>
              <w:t>898</w:t>
            </w:r>
          </w:p>
        </w:tc>
        <w:tc>
          <w:tcPr>
            <w:tcW w:w="567" w:type="dxa"/>
            <w:vAlign w:val="center"/>
          </w:tcPr>
          <w:p w14:paraId="1FBA447D"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411</w:t>
            </w:r>
          </w:p>
        </w:tc>
        <w:tc>
          <w:tcPr>
            <w:tcW w:w="559" w:type="dxa"/>
            <w:vAlign w:val="center"/>
          </w:tcPr>
          <w:p w14:paraId="47E23DC9"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27</w:t>
            </w:r>
          </w:p>
        </w:tc>
        <w:tc>
          <w:tcPr>
            <w:tcW w:w="717" w:type="dxa"/>
            <w:vAlign w:val="center"/>
          </w:tcPr>
          <w:p w14:paraId="4D6921B5"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438</w:t>
            </w:r>
          </w:p>
        </w:tc>
        <w:tc>
          <w:tcPr>
            <w:tcW w:w="567" w:type="dxa"/>
            <w:vAlign w:val="center"/>
          </w:tcPr>
          <w:p w14:paraId="553F06DA"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430</w:t>
            </w:r>
          </w:p>
        </w:tc>
        <w:tc>
          <w:tcPr>
            <w:tcW w:w="545" w:type="dxa"/>
            <w:vAlign w:val="center"/>
          </w:tcPr>
          <w:p w14:paraId="6DF6BAD3"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30</w:t>
            </w:r>
          </w:p>
        </w:tc>
        <w:tc>
          <w:tcPr>
            <w:tcW w:w="717" w:type="dxa"/>
            <w:vAlign w:val="center"/>
          </w:tcPr>
          <w:p w14:paraId="2D6A247E"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460</w:t>
            </w:r>
          </w:p>
        </w:tc>
        <w:tc>
          <w:tcPr>
            <w:tcW w:w="2009" w:type="dxa"/>
            <w:vAlign w:val="center"/>
          </w:tcPr>
          <w:p w14:paraId="5C06C8B8"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6,3 %</w:t>
            </w:r>
          </w:p>
        </w:tc>
      </w:tr>
      <w:tr w:rsidR="00C217CC" w:rsidRPr="00CE357F" w14:paraId="58B8BC9D" w14:textId="77777777" w:rsidTr="7CC7BF57">
        <w:trPr>
          <w:trHeight w:val="204"/>
        </w:trPr>
        <w:tc>
          <w:tcPr>
            <w:tcW w:w="1242" w:type="dxa"/>
            <w:shd w:val="clear" w:color="auto" w:fill="D9E2F3" w:themeFill="accent1" w:themeFillTint="33"/>
            <w:vAlign w:val="center"/>
          </w:tcPr>
          <w:p w14:paraId="74496A33"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2020</w:t>
            </w:r>
          </w:p>
        </w:tc>
        <w:tc>
          <w:tcPr>
            <w:tcW w:w="2268" w:type="dxa"/>
            <w:vAlign w:val="center"/>
          </w:tcPr>
          <w:p w14:paraId="3F7C1F03"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698</w:t>
            </w:r>
          </w:p>
        </w:tc>
        <w:tc>
          <w:tcPr>
            <w:tcW w:w="567" w:type="dxa"/>
            <w:vAlign w:val="center"/>
          </w:tcPr>
          <w:p w14:paraId="17BE92EE"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333</w:t>
            </w:r>
          </w:p>
        </w:tc>
        <w:tc>
          <w:tcPr>
            <w:tcW w:w="559" w:type="dxa"/>
            <w:vAlign w:val="center"/>
          </w:tcPr>
          <w:p w14:paraId="051769F7"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27</w:t>
            </w:r>
          </w:p>
        </w:tc>
        <w:tc>
          <w:tcPr>
            <w:tcW w:w="717" w:type="dxa"/>
            <w:vAlign w:val="center"/>
          </w:tcPr>
          <w:p w14:paraId="6E48D05D"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360</w:t>
            </w:r>
          </w:p>
        </w:tc>
        <w:tc>
          <w:tcPr>
            <w:tcW w:w="567" w:type="dxa"/>
            <w:vAlign w:val="center"/>
          </w:tcPr>
          <w:p w14:paraId="7A6E835B"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311</w:t>
            </w:r>
          </w:p>
        </w:tc>
        <w:tc>
          <w:tcPr>
            <w:tcW w:w="545" w:type="dxa"/>
            <w:vAlign w:val="center"/>
          </w:tcPr>
          <w:p w14:paraId="7CB238C2"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27</w:t>
            </w:r>
          </w:p>
        </w:tc>
        <w:tc>
          <w:tcPr>
            <w:tcW w:w="717" w:type="dxa"/>
            <w:vAlign w:val="center"/>
          </w:tcPr>
          <w:p w14:paraId="5C3870AC"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338</w:t>
            </w:r>
          </w:p>
        </w:tc>
        <w:tc>
          <w:tcPr>
            <w:tcW w:w="2009" w:type="dxa"/>
            <w:vAlign w:val="center"/>
          </w:tcPr>
          <w:p w14:paraId="7C475C9C"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7,7 %</w:t>
            </w:r>
          </w:p>
        </w:tc>
      </w:tr>
      <w:tr w:rsidR="00C217CC" w:rsidRPr="00CE357F" w14:paraId="7D191967" w14:textId="77777777" w:rsidTr="7CC7BF57">
        <w:trPr>
          <w:trHeight w:val="204"/>
        </w:trPr>
        <w:tc>
          <w:tcPr>
            <w:tcW w:w="1242" w:type="dxa"/>
            <w:shd w:val="clear" w:color="auto" w:fill="D9E2F3" w:themeFill="accent1" w:themeFillTint="33"/>
            <w:vAlign w:val="center"/>
          </w:tcPr>
          <w:p w14:paraId="4228BB43"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2019</w:t>
            </w:r>
          </w:p>
        </w:tc>
        <w:tc>
          <w:tcPr>
            <w:tcW w:w="2268" w:type="dxa"/>
            <w:vAlign w:val="center"/>
          </w:tcPr>
          <w:p w14:paraId="2FA4C638"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558</w:t>
            </w:r>
          </w:p>
        </w:tc>
        <w:tc>
          <w:tcPr>
            <w:tcW w:w="567" w:type="dxa"/>
            <w:vAlign w:val="center"/>
          </w:tcPr>
          <w:p w14:paraId="5F5513C1"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280</w:t>
            </w:r>
          </w:p>
        </w:tc>
        <w:tc>
          <w:tcPr>
            <w:tcW w:w="559" w:type="dxa"/>
            <w:vAlign w:val="center"/>
          </w:tcPr>
          <w:p w14:paraId="5DE3C2E8"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21</w:t>
            </w:r>
          </w:p>
        </w:tc>
        <w:tc>
          <w:tcPr>
            <w:tcW w:w="717" w:type="dxa"/>
            <w:vAlign w:val="center"/>
          </w:tcPr>
          <w:p w14:paraId="05B9186D"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301</w:t>
            </w:r>
          </w:p>
        </w:tc>
        <w:tc>
          <w:tcPr>
            <w:tcW w:w="567" w:type="dxa"/>
            <w:vAlign w:val="center"/>
          </w:tcPr>
          <w:p w14:paraId="28EAAE6B"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230</w:t>
            </w:r>
          </w:p>
        </w:tc>
        <w:tc>
          <w:tcPr>
            <w:tcW w:w="545" w:type="dxa"/>
            <w:vAlign w:val="center"/>
          </w:tcPr>
          <w:p w14:paraId="4E3207C7"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27</w:t>
            </w:r>
          </w:p>
        </w:tc>
        <w:tc>
          <w:tcPr>
            <w:tcW w:w="717" w:type="dxa"/>
            <w:vAlign w:val="center"/>
          </w:tcPr>
          <w:p w14:paraId="70612D04"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257</w:t>
            </w:r>
          </w:p>
        </w:tc>
        <w:tc>
          <w:tcPr>
            <w:tcW w:w="2009" w:type="dxa"/>
            <w:vAlign w:val="center"/>
          </w:tcPr>
          <w:p w14:paraId="5B08D67B"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8,6 %</w:t>
            </w:r>
          </w:p>
        </w:tc>
      </w:tr>
      <w:tr w:rsidR="00C217CC" w:rsidRPr="00CE357F" w14:paraId="5DEDA9F1" w14:textId="77777777" w:rsidTr="7CC7BF57">
        <w:trPr>
          <w:trHeight w:val="204"/>
        </w:trPr>
        <w:tc>
          <w:tcPr>
            <w:tcW w:w="1242" w:type="dxa"/>
            <w:shd w:val="clear" w:color="auto" w:fill="D9E2F3" w:themeFill="accent1" w:themeFillTint="33"/>
            <w:vAlign w:val="center"/>
          </w:tcPr>
          <w:p w14:paraId="46F073C3"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2018</w:t>
            </w:r>
          </w:p>
        </w:tc>
        <w:tc>
          <w:tcPr>
            <w:tcW w:w="2268" w:type="dxa"/>
            <w:vAlign w:val="center"/>
          </w:tcPr>
          <w:p w14:paraId="1195D6AF"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463</w:t>
            </w:r>
          </w:p>
        </w:tc>
        <w:tc>
          <w:tcPr>
            <w:tcW w:w="567" w:type="dxa"/>
            <w:vAlign w:val="center"/>
          </w:tcPr>
          <w:p w14:paraId="3C59BF0E"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244</w:t>
            </w:r>
          </w:p>
        </w:tc>
        <w:tc>
          <w:tcPr>
            <w:tcW w:w="559" w:type="dxa"/>
            <w:vAlign w:val="center"/>
          </w:tcPr>
          <w:p w14:paraId="5A0360DD"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18</w:t>
            </w:r>
          </w:p>
        </w:tc>
        <w:tc>
          <w:tcPr>
            <w:tcW w:w="717" w:type="dxa"/>
            <w:vAlign w:val="center"/>
          </w:tcPr>
          <w:p w14:paraId="4EA7E3E3"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262</w:t>
            </w:r>
          </w:p>
        </w:tc>
        <w:tc>
          <w:tcPr>
            <w:tcW w:w="567" w:type="dxa"/>
            <w:vAlign w:val="center"/>
          </w:tcPr>
          <w:p w14:paraId="19DE60FF"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178</w:t>
            </w:r>
          </w:p>
        </w:tc>
        <w:tc>
          <w:tcPr>
            <w:tcW w:w="545" w:type="dxa"/>
            <w:vAlign w:val="center"/>
          </w:tcPr>
          <w:p w14:paraId="033BCED6"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23</w:t>
            </w:r>
          </w:p>
        </w:tc>
        <w:tc>
          <w:tcPr>
            <w:tcW w:w="717" w:type="dxa"/>
            <w:vAlign w:val="center"/>
          </w:tcPr>
          <w:p w14:paraId="287AA410"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201</w:t>
            </w:r>
          </w:p>
        </w:tc>
        <w:tc>
          <w:tcPr>
            <w:tcW w:w="2009" w:type="dxa"/>
            <w:vAlign w:val="center"/>
          </w:tcPr>
          <w:p w14:paraId="03F4B5C3"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8,9 %</w:t>
            </w:r>
          </w:p>
        </w:tc>
      </w:tr>
      <w:tr w:rsidR="00C217CC" w:rsidRPr="00CE357F" w14:paraId="5AD8F7F2" w14:textId="77777777" w:rsidTr="7CC7BF57">
        <w:trPr>
          <w:trHeight w:val="204"/>
        </w:trPr>
        <w:tc>
          <w:tcPr>
            <w:tcW w:w="1242" w:type="dxa"/>
            <w:shd w:val="clear" w:color="auto" w:fill="D9E2F3" w:themeFill="accent1" w:themeFillTint="33"/>
            <w:vAlign w:val="center"/>
          </w:tcPr>
          <w:p w14:paraId="019D73EC"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2017</w:t>
            </w:r>
          </w:p>
        </w:tc>
        <w:tc>
          <w:tcPr>
            <w:tcW w:w="2268" w:type="dxa"/>
            <w:vAlign w:val="center"/>
          </w:tcPr>
          <w:p w14:paraId="1074D165"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444</w:t>
            </w:r>
          </w:p>
        </w:tc>
        <w:tc>
          <w:tcPr>
            <w:tcW w:w="567" w:type="dxa"/>
            <w:vAlign w:val="center"/>
          </w:tcPr>
          <w:p w14:paraId="6C91CD0E"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232</w:t>
            </w:r>
          </w:p>
        </w:tc>
        <w:tc>
          <w:tcPr>
            <w:tcW w:w="559" w:type="dxa"/>
            <w:vAlign w:val="center"/>
          </w:tcPr>
          <w:p w14:paraId="307494BA"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17</w:t>
            </w:r>
          </w:p>
        </w:tc>
        <w:tc>
          <w:tcPr>
            <w:tcW w:w="717" w:type="dxa"/>
            <w:vAlign w:val="center"/>
          </w:tcPr>
          <w:p w14:paraId="037A5E65"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249</w:t>
            </w:r>
          </w:p>
        </w:tc>
        <w:tc>
          <w:tcPr>
            <w:tcW w:w="567" w:type="dxa"/>
            <w:vAlign w:val="center"/>
          </w:tcPr>
          <w:p w14:paraId="0883EC5C"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175</w:t>
            </w:r>
          </w:p>
        </w:tc>
        <w:tc>
          <w:tcPr>
            <w:tcW w:w="545" w:type="dxa"/>
            <w:vAlign w:val="center"/>
          </w:tcPr>
          <w:p w14:paraId="480F4A95"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20</w:t>
            </w:r>
          </w:p>
        </w:tc>
        <w:tc>
          <w:tcPr>
            <w:tcW w:w="717" w:type="dxa"/>
            <w:vAlign w:val="center"/>
          </w:tcPr>
          <w:p w14:paraId="0DAD02B6"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195</w:t>
            </w:r>
          </w:p>
        </w:tc>
        <w:tc>
          <w:tcPr>
            <w:tcW w:w="2009" w:type="dxa"/>
            <w:vAlign w:val="center"/>
          </w:tcPr>
          <w:p w14:paraId="414DA5A8"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8,3 %</w:t>
            </w:r>
          </w:p>
        </w:tc>
      </w:tr>
      <w:tr w:rsidR="00C217CC" w:rsidRPr="00CE357F" w14:paraId="5625D2AD" w14:textId="77777777" w:rsidTr="7CC7BF57">
        <w:trPr>
          <w:trHeight w:val="204"/>
        </w:trPr>
        <w:tc>
          <w:tcPr>
            <w:tcW w:w="1242" w:type="dxa"/>
            <w:shd w:val="clear" w:color="auto" w:fill="D9E2F3" w:themeFill="accent1" w:themeFillTint="33"/>
            <w:vAlign w:val="center"/>
          </w:tcPr>
          <w:p w14:paraId="50ACD78E"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2016</w:t>
            </w:r>
          </w:p>
        </w:tc>
        <w:tc>
          <w:tcPr>
            <w:tcW w:w="2268" w:type="dxa"/>
            <w:vAlign w:val="center"/>
          </w:tcPr>
          <w:p w14:paraId="11D637DC"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425</w:t>
            </w:r>
          </w:p>
        </w:tc>
        <w:tc>
          <w:tcPr>
            <w:tcW w:w="567" w:type="dxa"/>
            <w:vAlign w:val="center"/>
          </w:tcPr>
          <w:p w14:paraId="62299B28"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223</w:t>
            </w:r>
          </w:p>
        </w:tc>
        <w:tc>
          <w:tcPr>
            <w:tcW w:w="559" w:type="dxa"/>
            <w:vAlign w:val="center"/>
          </w:tcPr>
          <w:p w14:paraId="71323C1F"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14</w:t>
            </w:r>
          </w:p>
        </w:tc>
        <w:tc>
          <w:tcPr>
            <w:tcW w:w="717" w:type="dxa"/>
            <w:vAlign w:val="center"/>
          </w:tcPr>
          <w:p w14:paraId="2F39755D"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237</w:t>
            </w:r>
          </w:p>
        </w:tc>
        <w:tc>
          <w:tcPr>
            <w:tcW w:w="567" w:type="dxa"/>
            <w:vAlign w:val="center"/>
          </w:tcPr>
          <w:p w14:paraId="4A582D41"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171</w:t>
            </w:r>
          </w:p>
        </w:tc>
        <w:tc>
          <w:tcPr>
            <w:tcW w:w="545" w:type="dxa"/>
            <w:vAlign w:val="center"/>
          </w:tcPr>
          <w:p w14:paraId="33CCE07E"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17</w:t>
            </w:r>
          </w:p>
        </w:tc>
        <w:tc>
          <w:tcPr>
            <w:tcW w:w="717" w:type="dxa"/>
            <w:vAlign w:val="center"/>
          </w:tcPr>
          <w:p w14:paraId="55CD1F5C"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188</w:t>
            </w:r>
          </w:p>
        </w:tc>
        <w:tc>
          <w:tcPr>
            <w:tcW w:w="2009" w:type="dxa"/>
            <w:vAlign w:val="center"/>
          </w:tcPr>
          <w:p w14:paraId="3938E13E"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7,3 %</w:t>
            </w:r>
          </w:p>
        </w:tc>
      </w:tr>
      <w:tr w:rsidR="00C217CC" w:rsidRPr="00CE357F" w14:paraId="6DFFDBC6" w14:textId="77777777" w:rsidTr="7CC7BF57">
        <w:trPr>
          <w:trHeight w:val="204"/>
        </w:trPr>
        <w:tc>
          <w:tcPr>
            <w:tcW w:w="1242" w:type="dxa"/>
            <w:shd w:val="clear" w:color="auto" w:fill="D9E2F3" w:themeFill="accent1" w:themeFillTint="33"/>
            <w:vAlign w:val="center"/>
          </w:tcPr>
          <w:p w14:paraId="041017CF"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2015</w:t>
            </w:r>
          </w:p>
        </w:tc>
        <w:tc>
          <w:tcPr>
            <w:tcW w:w="2268" w:type="dxa"/>
            <w:vAlign w:val="center"/>
          </w:tcPr>
          <w:p w14:paraId="786E1552"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411</w:t>
            </w:r>
          </w:p>
        </w:tc>
        <w:tc>
          <w:tcPr>
            <w:tcW w:w="567" w:type="dxa"/>
            <w:vAlign w:val="center"/>
          </w:tcPr>
          <w:p w14:paraId="3234E2AD"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226</w:t>
            </w:r>
          </w:p>
        </w:tc>
        <w:tc>
          <w:tcPr>
            <w:tcW w:w="559" w:type="dxa"/>
            <w:vAlign w:val="center"/>
          </w:tcPr>
          <w:p w14:paraId="31E8D24D"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14</w:t>
            </w:r>
          </w:p>
        </w:tc>
        <w:tc>
          <w:tcPr>
            <w:tcW w:w="717" w:type="dxa"/>
            <w:vAlign w:val="center"/>
          </w:tcPr>
          <w:p w14:paraId="4BD8AA71"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240</w:t>
            </w:r>
          </w:p>
        </w:tc>
        <w:tc>
          <w:tcPr>
            <w:tcW w:w="567" w:type="dxa"/>
            <w:vAlign w:val="center"/>
          </w:tcPr>
          <w:p w14:paraId="520F7C0E"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160</w:t>
            </w:r>
          </w:p>
        </w:tc>
        <w:tc>
          <w:tcPr>
            <w:tcW w:w="545" w:type="dxa"/>
            <w:vAlign w:val="center"/>
          </w:tcPr>
          <w:p w14:paraId="3716F81B"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11</w:t>
            </w:r>
          </w:p>
        </w:tc>
        <w:tc>
          <w:tcPr>
            <w:tcW w:w="717" w:type="dxa"/>
            <w:vAlign w:val="center"/>
          </w:tcPr>
          <w:p w14:paraId="0739078B"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171</w:t>
            </w:r>
          </w:p>
        </w:tc>
        <w:tc>
          <w:tcPr>
            <w:tcW w:w="2009" w:type="dxa"/>
            <w:vAlign w:val="center"/>
          </w:tcPr>
          <w:p w14:paraId="31E309E8"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6,1 %</w:t>
            </w:r>
          </w:p>
        </w:tc>
      </w:tr>
      <w:tr w:rsidR="00C217CC" w:rsidRPr="00CE357F" w14:paraId="57174D68" w14:textId="77777777" w:rsidTr="7CC7BF57">
        <w:trPr>
          <w:trHeight w:val="204"/>
        </w:trPr>
        <w:tc>
          <w:tcPr>
            <w:tcW w:w="1242" w:type="dxa"/>
            <w:shd w:val="clear" w:color="auto" w:fill="D9E2F3" w:themeFill="accent1" w:themeFillTint="33"/>
            <w:vAlign w:val="center"/>
          </w:tcPr>
          <w:p w14:paraId="0B9F3A9C"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2014</w:t>
            </w:r>
          </w:p>
        </w:tc>
        <w:tc>
          <w:tcPr>
            <w:tcW w:w="2268" w:type="dxa"/>
            <w:vAlign w:val="center"/>
          </w:tcPr>
          <w:p w14:paraId="769839ED"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428</w:t>
            </w:r>
          </w:p>
        </w:tc>
        <w:tc>
          <w:tcPr>
            <w:tcW w:w="567" w:type="dxa"/>
            <w:vAlign w:val="center"/>
          </w:tcPr>
          <w:p w14:paraId="48F32F56"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234</w:t>
            </w:r>
          </w:p>
        </w:tc>
        <w:tc>
          <w:tcPr>
            <w:tcW w:w="559" w:type="dxa"/>
            <w:vAlign w:val="center"/>
          </w:tcPr>
          <w:p w14:paraId="346BC1FF"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11</w:t>
            </w:r>
          </w:p>
        </w:tc>
        <w:tc>
          <w:tcPr>
            <w:tcW w:w="717" w:type="dxa"/>
            <w:vAlign w:val="center"/>
          </w:tcPr>
          <w:p w14:paraId="24FE1F9E"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245</w:t>
            </w:r>
          </w:p>
        </w:tc>
        <w:tc>
          <w:tcPr>
            <w:tcW w:w="567" w:type="dxa"/>
            <w:vAlign w:val="center"/>
          </w:tcPr>
          <w:p w14:paraId="440FAAEB"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170</w:t>
            </w:r>
          </w:p>
        </w:tc>
        <w:tc>
          <w:tcPr>
            <w:tcW w:w="545" w:type="dxa"/>
            <w:vAlign w:val="center"/>
          </w:tcPr>
          <w:p w14:paraId="281CCDE4"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13</w:t>
            </w:r>
          </w:p>
        </w:tc>
        <w:tc>
          <w:tcPr>
            <w:tcW w:w="717" w:type="dxa"/>
            <w:vAlign w:val="center"/>
          </w:tcPr>
          <w:p w14:paraId="74137978"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183</w:t>
            </w:r>
          </w:p>
        </w:tc>
        <w:tc>
          <w:tcPr>
            <w:tcW w:w="2009" w:type="dxa"/>
            <w:vAlign w:val="center"/>
          </w:tcPr>
          <w:p w14:paraId="2A27E209"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5,6 %</w:t>
            </w:r>
          </w:p>
        </w:tc>
      </w:tr>
      <w:tr w:rsidR="00C217CC" w:rsidRPr="00CE357F" w14:paraId="1CD0E37F" w14:textId="77777777" w:rsidTr="7CC7BF57">
        <w:trPr>
          <w:trHeight w:val="204"/>
        </w:trPr>
        <w:tc>
          <w:tcPr>
            <w:tcW w:w="1242" w:type="dxa"/>
            <w:shd w:val="clear" w:color="auto" w:fill="D9E2F3" w:themeFill="accent1" w:themeFillTint="33"/>
            <w:vAlign w:val="center"/>
          </w:tcPr>
          <w:p w14:paraId="34017C54"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2013</w:t>
            </w:r>
          </w:p>
        </w:tc>
        <w:tc>
          <w:tcPr>
            <w:tcW w:w="2268" w:type="dxa"/>
            <w:vAlign w:val="center"/>
          </w:tcPr>
          <w:p w14:paraId="380B6B6C"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449</w:t>
            </w:r>
          </w:p>
        </w:tc>
        <w:tc>
          <w:tcPr>
            <w:tcW w:w="567" w:type="dxa"/>
            <w:vAlign w:val="center"/>
          </w:tcPr>
          <w:p w14:paraId="2924DDF6"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254</w:t>
            </w:r>
          </w:p>
        </w:tc>
        <w:tc>
          <w:tcPr>
            <w:tcW w:w="559" w:type="dxa"/>
            <w:vAlign w:val="center"/>
          </w:tcPr>
          <w:p w14:paraId="0663E409"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9</w:t>
            </w:r>
          </w:p>
        </w:tc>
        <w:tc>
          <w:tcPr>
            <w:tcW w:w="717" w:type="dxa"/>
            <w:vAlign w:val="center"/>
          </w:tcPr>
          <w:p w14:paraId="412FF38D"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263</w:t>
            </w:r>
          </w:p>
        </w:tc>
        <w:tc>
          <w:tcPr>
            <w:tcW w:w="567" w:type="dxa"/>
            <w:vAlign w:val="center"/>
          </w:tcPr>
          <w:p w14:paraId="679F5098"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174</w:t>
            </w:r>
          </w:p>
        </w:tc>
        <w:tc>
          <w:tcPr>
            <w:tcW w:w="545" w:type="dxa"/>
            <w:vAlign w:val="center"/>
          </w:tcPr>
          <w:p w14:paraId="65E3D865"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12</w:t>
            </w:r>
          </w:p>
        </w:tc>
        <w:tc>
          <w:tcPr>
            <w:tcW w:w="717" w:type="dxa"/>
            <w:vAlign w:val="center"/>
          </w:tcPr>
          <w:p w14:paraId="70F17A39"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hAnsi="Arial Narrow"/>
                <w:sz w:val="18"/>
                <w:szCs w:val="18"/>
              </w:rPr>
              <w:t>186</w:t>
            </w:r>
          </w:p>
        </w:tc>
        <w:tc>
          <w:tcPr>
            <w:tcW w:w="2009" w:type="dxa"/>
            <w:vAlign w:val="center"/>
          </w:tcPr>
          <w:p w14:paraId="7AEACD3F"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4,7 %</w:t>
            </w:r>
          </w:p>
        </w:tc>
      </w:tr>
      <w:tr w:rsidR="00C217CC" w:rsidRPr="00CE357F" w14:paraId="15645735" w14:textId="77777777" w:rsidTr="7CC7BF57">
        <w:trPr>
          <w:trHeight w:val="204"/>
        </w:trPr>
        <w:tc>
          <w:tcPr>
            <w:tcW w:w="1242" w:type="dxa"/>
            <w:shd w:val="clear" w:color="auto" w:fill="D9E2F3" w:themeFill="accent1" w:themeFillTint="33"/>
            <w:vAlign w:val="center"/>
          </w:tcPr>
          <w:p w14:paraId="14B4517C"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2012</w:t>
            </w:r>
          </w:p>
        </w:tc>
        <w:tc>
          <w:tcPr>
            <w:tcW w:w="2268" w:type="dxa"/>
            <w:vAlign w:val="center"/>
          </w:tcPr>
          <w:p w14:paraId="64A6CD6C"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575</w:t>
            </w:r>
          </w:p>
        </w:tc>
        <w:tc>
          <w:tcPr>
            <w:tcW w:w="567" w:type="dxa"/>
            <w:vAlign w:val="center"/>
          </w:tcPr>
          <w:p w14:paraId="6E239E18"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333</w:t>
            </w:r>
          </w:p>
        </w:tc>
        <w:tc>
          <w:tcPr>
            <w:tcW w:w="559" w:type="dxa"/>
            <w:vAlign w:val="center"/>
          </w:tcPr>
          <w:p w14:paraId="6774F434"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15</w:t>
            </w:r>
          </w:p>
        </w:tc>
        <w:tc>
          <w:tcPr>
            <w:tcW w:w="717" w:type="dxa"/>
            <w:vAlign w:val="center"/>
          </w:tcPr>
          <w:p w14:paraId="0CC967E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348</w:t>
            </w:r>
          </w:p>
        </w:tc>
        <w:tc>
          <w:tcPr>
            <w:tcW w:w="567" w:type="dxa"/>
            <w:vAlign w:val="center"/>
          </w:tcPr>
          <w:p w14:paraId="25A3C9CF"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213</w:t>
            </w:r>
          </w:p>
        </w:tc>
        <w:tc>
          <w:tcPr>
            <w:tcW w:w="545" w:type="dxa"/>
            <w:vAlign w:val="center"/>
          </w:tcPr>
          <w:p w14:paraId="1781C93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14</w:t>
            </w:r>
          </w:p>
        </w:tc>
        <w:tc>
          <w:tcPr>
            <w:tcW w:w="717" w:type="dxa"/>
            <w:vAlign w:val="center"/>
          </w:tcPr>
          <w:p w14:paraId="6911139A"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227</w:t>
            </w:r>
          </w:p>
        </w:tc>
        <w:tc>
          <w:tcPr>
            <w:tcW w:w="2009" w:type="dxa"/>
            <w:vAlign w:val="center"/>
          </w:tcPr>
          <w:p w14:paraId="4F29E5DE"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5,0 %</w:t>
            </w:r>
          </w:p>
        </w:tc>
      </w:tr>
      <w:tr w:rsidR="00C217CC" w:rsidRPr="00CE357F" w14:paraId="2D1C5BBD" w14:textId="77777777" w:rsidTr="7CC7BF57">
        <w:trPr>
          <w:trHeight w:val="204"/>
        </w:trPr>
        <w:tc>
          <w:tcPr>
            <w:tcW w:w="1242" w:type="dxa"/>
            <w:shd w:val="clear" w:color="auto" w:fill="D9E2F3" w:themeFill="accent1" w:themeFillTint="33"/>
            <w:vAlign w:val="center"/>
          </w:tcPr>
          <w:p w14:paraId="457252C3"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lastRenderedPageBreak/>
              <w:t>2011</w:t>
            </w:r>
          </w:p>
        </w:tc>
        <w:tc>
          <w:tcPr>
            <w:tcW w:w="2268" w:type="dxa"/>
            <w:vAlign w:val="center"/>
          </w:tcPr>
          <w:p w14:paraId="4DDDD9C2"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591</w:t>
            </w:r>
          </w:p>
        </w:tc>
        <w:tc>
          <w:tcPr>
            <w:tcW w:w="567" w:type="dxa"/>
            <w:vAlign w:val="center"/>
          </w:tcPr>
          <w:p w14:paraId="52F7B5ED"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340</w:t>
            </w:r>
          </w:p>
        </w:tc>
        <w:tc>
          <w:tcPr>
            <w:tcW w:w="559" w:type="dxa"/>
            <w:vAlign w:val="center"/>
          </w:tcPr>
          <w:p w14:paraId="040B25C2"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21</w:t>
            </w:r>
          </w:p>
        </w:tc>
        <w:tc>
          <w:tcPr>
            <w:tcW w:w="717" w:type="dxa"/>
            <w:vAlign w:val="center"/>
          </w:tcPr>
          <w:p w14:paraId="3AB4431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361</w:t>
            </w:r>
          </w:p>
        </w:tc>
        <w:tc>
          <w:tcPr>
            <w:tcW w:w="567" w:type="dxa"/>
            <w:vAlign w:val="center"/>
          </w:tcPr>
          <w:p w14:paraId="307EAB5D"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214</w:t>
            </w:r>
          </w:p>
        </w:tc>
        <w:tc>
          <w:tcPr>
            <w:tcW w:w="545" w:type="dxa"/>
            <w:vAlign w:val="center"/>
          </w:tcPr>
          <w:p w14:paraId="0680D8BE"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16</w:t>
            </w:r>
          </w:p>
        </w:tc>
        <w:tc>
          <w:tcPr>
            <w:tcW w:w="717" w:type="dxa"/>
            <w:vAlign w:val="center"/>
          </w:tcPr>
          <w:p w14:paraId="1807AF3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230</w:t>
            </w:r>
          </w:p>
        </w:tc>
        <w:tc>
          <w:tcPr>
            <w:tcW w:w="2009" w:type="dxa"/>
            <w:vAlign w:val="center"/>
          </w:tcPr>
          <w:p w14:paraId="79D9A1AD"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6,3 %</w:t>
            </w:r>
          </w:p>
        </w:tc>
      </w:tr>
      <w:tr w:rsidR="00C217CC" w:rsidRPr="00CE357F" w14:paraId="6001704F" w14:textId="77777777" w:rsidTr="7CC7BF57">
        <w:trPr>
          <w:trHeight w:val="204"/>
        </w:trPr>
        <w:tc>
          <w:tcPr>
            <w:tcW w:w="1242" w:type="dxa"/>
            <w:shd w:val="clear" w:color="auto" w:fill="D9E2F3" w:themeFill="accent1" w:themeFillTint="33"/>
            <w:vAlign w:val="center"/>
          </w:tcPr>
          <w:p w14:paraId="33F83F19"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2010</w:t>
            </w:r>
          </w:p>
        </w:tc>
        <w:tc>
          <w:tcPr>
            <w:tcW w:w="2268" w:type="dxa"/>
            <w:vAlign w:val="center"/>
          </w:tcPr>
          <w:p w14:paraId="559968F7"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632</w:t>
            </w:r>
          </w:p>
        </w:tc>
        <w:tc>
          <w:tcPr>
            <w:tcW w:w="567" w:type="dxa"/>
            <w:vAlign w:val="center"/>
          </w:tcPr>
          <w:p w14:paraId="795C9F1F"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361</w:t>
            </w:r>
          </w:p>
        </w:tc>
        <w:tc>
          <w:tcPr>
            <w:tcW w:w="559" w:type="dxa"/>
            <w:vAlign w:val="center"/>
          </w:tcPr>
          <w:p w14:paraId="71516ED5"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19</w:t>
            </w:r>
          </w:p>
        </w:tc>
        <w:tc>
          <w:tcPr>
            <w:tcW w:w="717" w:type="dxa"/>
            <w:vAlign w:val="center"/>
          </w:tcPr>
          <w:p w14:paraId="5C15C3E9"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380</w:t>
            </w:r>
          </w:p>
        </w:tc>
        <w:tc>
          <w:tcPr>
            <w:tcW w:w="567" w:type="dxa"/>
            <w:vAlign w:val="center"/>
          </w:tcPr>
          <w:p w14:paraId="4A09961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236</w:t>
            </w:r>
          </w:p>
        </w:tc>
        <w:tc>
          <w:tcPr>
            <w:tcW w:w="545" w:type="dxa"/>
            <w:vAlign w:val="center"/>
          </w:tcPr>
          <w:p w14:paraId="6CCFBF0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16</w:t>
            </w:r>
          </w:p>
        </w:tc>
        <w:tc>
          <w:tcPr>
            <w:tcW w:w="717" w:type="dxa"/>
            <w:vAlign w:val="center"/>
          </w:tcPr>
          <w:p w14:paraId="78E0651A"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252</w:t>
            </w:r>
          </w:p>
        </w:tc>
        <w:tc>
          <w:tcPr>
            <w:tcW w:w="2009" w:type="dxa"/>
            <w:vAlign w:val="center"/>
          </w:tcPr>
          <w:p w14:paraId="5393967F"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5,5 %</w:t>
            </w:r>
          </w:p>
        </w:tc>
      </w:tr>
      <w:tr w:rsidR="00C217CC" w:rsidRPr="00CE357F" w14:paraId="67DE049E" w14:textId="77777777" w:rsidTr="7CC7BF57">
        <w:trPr>
          <w:trHeight w:val="204"/>
        </w:trPr>
        <w:tc>
          <w:tcPr>
            <w:tcW w:w="1242" w:type="dxa"/>
            <w:shd w:val="clear" w:color="auto" w:fill="D9E2F3" w:themeFill="accent1" w:themeFillTint="33"/>
            <w:vAlign w:val="center"/>
          </w:tcPr>
          <w:p w14:paraId="323E6F4D"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2009</w:t>
            </w:r>
          </w:p>
        </w:tc>
        <w:tc>
          <w:tcPr>
            <w:tcW w:w="2268" w:type="dxa"/>
            <w:vAlign w:val="center"/>
          </w:tcPr>
          <w:p w14:paraId="2040A654"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523</w:t>
            </w:r>
          </w:p>
        </w:tc>
        <w:tc>
          <w:tcPr>
            <w:tcW w:w="567" w:type="dxa"/>
            <w:vAlign w:val="center"/>
          </w:tcPr>
          <w:p w14:paraId="6B39B7AF"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313</w:t>
            </w:r>
          </w:p>
        </w:tc>
        <w:tc>
          <w:tcPr>
            <w:tcW w:w="559" w:type="dxa"/>
            <w:vAlign w:val="center"/>
          </w:tcPr>
          <w:p w14:paraId="2048A63E"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19</w:t>
            </w:r>
          </w:p>
        </w:tc>
        <w:tc>
          <w:tcPr>
            <w:tcW w:w="717" w:type="dxa"/>
            <w:vAlign w:val="center"/>
          </w:tcPr>
          <w:p w14:paraId="1E1E6122"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332</w:t>
            </w:r>
          </w:p>
        </w:tc>
        <w:tc>
          <w:tcPr>
            <w:tcW w:w="567" w:type="dxa"/>
            <w:vAlign w:val="center"/>
          </w:tcPr>
          <w:p w14:paraId="0E810935"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178</w:t>
            </w:r>
          </w:p>
        </w:tc>
        <w:tc>
          <w:tcPr>
            <w:tcW w:w="545" w:type="dxa"/>
            <w:vAlign w:val="center"/>
          </w:tcPr>
          <w:p w14:paraId="074ADE0B"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13</w:t>
            </w:r>
          </w:p>
        </w:tc>
        <w:tc>
          <w:tcPr>
            <w:tcW w:w="717" w:type="dxa"/>
            <w:vAlign w:val="center"/>
          </w:tcPr>
          <w:p w14:paraId="5E3510C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191</w:t>
            </w:r>
          </w:p>
        </w:tc>
        <w:tc>
          <w:tcPr>
            <w:tcW w:w="2009" w:type="dxa"/>
            <w:vAlign w:val="center"/>
          </w:tcPr>
          <w:p w14:paraId="34D198C1"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6,1 %</w:t>
            </w:r>
          </w:p>
        </w:tc>
      </w:tr>
      <w:tr w:rsidR="00C217CC" w:rsidRPr="00CE357F" w14:paraId="04790177" w14:textId="77777777" w:rsidTr="7CC7BF57">
        <w:trPr>
          <w:trHeight w:val="204"/>
        </w:trPr>
        <w:tc>
          <w:tcPr>
            <w:tcW w:w="1242" w:type="dxa"/>
            <w:shd w:val="clear" w:color="auto" w:fill="D9E2F3" w:themeFill="accent1" w:themeFillTint="33"/>
            <w:vAlign w:val="center"/>
          </w:tcPr>
          <w:p w14:paraId="4B641FCD"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2008</w:t>
            </w:r>
          </w:p>
        </w:tc>
        <w:tc>
          <w:tcPr>
            <w:tcW w:w="2268" w:type="dxa"/>
            <w:vAlign w:val="center"/>
          </w:tcPr>
          <w:p w14:paraId="5B24E5B8"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558</w:t>
            </w:r>
          </w:p>
        </w:tc>
        <w:tc>
          <w:tcPr>
            <w:tcW w:w="567" w:type="dxa"/>
            <w:vAlign w:val="center"/>
          </w:tcPr>
          <w:p w14:paraId="318DB36A"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347</w:t>
            </w:r>
          </w:p>
        </w:tc>
        <w:tc>
          <w:tcPr>
            <w:tcW w:w="559" w:type="dxa"/>
            <w:vAlign w:val="center"/>
          </w:tcPr>
          <w:p w14:paraId="2428AEBE"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14</w:t>
            </w:r>
          </w:p>
        </w:tc>
        <w:tc>
          <w:tcPr>
            <w:tcW w:w="717" w:type="dxa"/>
            <w:vAlign w:val="center"/>
          </w:tcPr>
          <w:p w14:paraId="47C48291"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361</w:t>
            </w:r>
          </w:p>
        </w:tc>
        <w:tc>
          <w:tcPr>
            <w:tcW w:w="567" w:type="dxa"/>
            <w:vAlign w:val="center"/>
          </w:tcPr>
          <w:p w14:paraId="58D1E2D2"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182</w:t>
            </w:r>
          </w:p>
        </w:tc>
        <w:tc>
          <w:tcPr>
            <w:tcW w:w="545" w:type="dxa"/>
            <w:vAlign w:val="center"/>
          </w:tcPr>
          <w:p w14:paraId="06F76C95"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15</w:t>
            </w:r>
          </w:p>
        </w:tc>
        <w:tc>
          <w:tcPr>
            <w:tcW w:w="717" w:type="dxa"/>
            <w:vAlign w:val="center"/>
          </w:tcPr>
          <w:p w14:paraId="5D0D3EE2"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197</w:t>
            </w:r>
          </w:p>
        </w:tc>
        <w:tc>
          <w:tcPr>
            <w:tcW w:w="2009" w:type="dxa"/>
            <w:vAlign w:val="center"/>
          </w:tcPr>
          <w:p w14:paraId="60324B20" w14:textId="77777777" w:rsidR="00C217CC" w:rsidRPr="00CE357F" w:rsidRDefault="00C217CC" w:rsidP="004A0C47">
            <w:pPr>
              <w:jc w:val="center"/>
              <w:rPr>
                <w:rFonts w:ascii="Arial Narrow" w:hAnsi="Arial Narrow"/>
                <w:b/>
                <w:bCs/>
                <w:color w:val="C00000"/>
                <w:sz w:val="18"/>
                <w:szCs w:val="18"/>
              </w:rPr>
            </w:pPr>
            <w:r w:rsidRPr="00CE357F">
              <w:rPr>
                <w:rFonts w:ascii="Arial Narrow" w:hAnsi="Arial Narrow"/>
                <w:b/>
                <w:bCs/>
                <w:color w:val="C00000"/>
                <w:sz w:val="18"/>
                <w:szCs w:val="18"/>
              </w:rPr>
              <w:t>5,2 %</w:t>
            </w:r>
          </w:p>
        </w:tc>
      </w:tr>
      <w:tr w:rsidR="00C217CC" w:rsidRPr="00CE357F" w14:paraId="5BA3EBE9" w14:textId="77777777" w:rsidTr="7CC7BF57">
        <w:trPr>
          <w:trHeight w:val="204"/>
        </w:trPr>
        <w:tc>
          <w:tcPr>
            <w:tcW w:w="1242" w:type="dxa"/>
            <w:shd w:val="clear" w:color="auto" w:fill="D9E2F3" w:themeFill="accent1" w:themeFillTint="33"/>
            <w:vAlign w:val="center"/>
          </w:tcPr>
          <w:p w14:paraId="3139E8DB"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2007</w:t>
            </w:r>
          </w:p>
        </w:tc>
        <w:tc>
          <w:tcPr>
            <w:tcW w:w="2268" w:type="dxa"/>
            <w:vAlign w:val="center"/>
          </w:tcPr>
          <w:p w14:paraId="15A6DCFF"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427</w:t>
            </w:r>
          </w:p>
        </w:tc>
        <w:tc>
          <w:tcPr>
            <w:tcW w:w="567" w:type="dxa"/>
            <w:vAlign w:val="center"/>
          </w:tcPr>
          <w:p w14:paraId="3D78E865" w14:textId="77777777" w:rsidR="00C217CC" w:rsidRPr="00CE357F" w:rsidRDefault="00C217CC" w:rsidP="004A0C47">
            <w:pPr>
              <w:jc w:val="center"/>
              <w:rPr>
                <w:rFonts w:ascii="Arial Narrow" w:hAnsi="Arial Narrow"/>
                <w:sz w:val="18"/>
                <w:szCs w:val="18"/>
              </w:rPr>
            </w:pPr>
          </w:p>
        </w:tc>
        <w:tc>
          <w:tcPr>
            <w:tcW w:w="559" w:type="dxa"/>
            <w:vAlign w:val="center"/>
          </w:tcPr>
          <w:p w14:paraId="627848A6" w14:textId="77777777" w:rsidR="00C217CC" w:rsidRPr="00CE357F" w:rsidRDefault="00C217CC" w:rsidP="004A0C47">
            <w:pPr>
              <w:jc w:val="center"/>
              <w:rPr>
                <w:rFonts w:ascii="Arial Narrow" w:hAnsi="Arial Narrow"/>
                <w:sz w:val="18"/>
                <w:szCs w:val="18"/>
              </w:rPr>
            </w:pPr>
          </w:p>
        </w:tc>
        <w:tc>
          <w:tcPr>
            <w:tcW w:w="717" w:type="dxa"/>
            <w:vAlign w:val="center"/>
          </w:tcPr>
          <w:p w14:paraId="3B87FFF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282</w:t>
            </w:r>
          </w:p>
        </w:tc>
        <w:tc>
          <w:tcPr>
            <w:tcW w:w="567" w:type="dxa"/>
            <w:vAlign w:val="center"/>
          </w:tcPr>
          <w:p w14:paraId="6B7383A4" w14:textId="77777777" w:rsidR="00C217CC" w:rsidRPr="00CE357F" w:rsidRDefault="00C217CC" w:rsidP="004A0C47">
            <w:pPr>
              <w:jc w:val="center"/>
              <w:rPr>
                <w:rFonts w:ascii="Arial Narrow" w:hAnsi="Arial Narrow"/>
                <w:sz w:val="18"/>
                <w:szCs w:val="18"/>
              </w:rPr>
            </w:pPr>
          </w:p>
        </w:tc>
        <w:tc>
          <w:tcPr>
            <w:tcW w:w="545" w:type="dxa"/>
            <w:vAlign w:val="center"/>
          </w:tcPr>
          <w:p w14:paraId="498E0D69" w14:textId="77777777" w:rsidR="00C217CC" w:rsidRPr="00CE357F" w:rsidRDefault="00C217CC" w:rsidP="004A0C47">
            <w:pPr>
              <w:jc w:val="center"/>
              <w:rPr>
                <w:rFonts w:ascii="Arial Narrow" w:hAnsi="Arial Narrow"/>
                <w:sz w:val="18"/>
                <w:szCs w:val="18"/>
              </w:rPr>
            </w:pPr>
          </w:p>
        </w:tc>
        <w:tc>
          <w:tcPr>
            <w:tcW w:w="717" w:type="dxa"/>
            <w:vAlign w:val="center"/>
          </w:tcPr>
          <w:p w14:paraId="69A53F19"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145</w:t>
            </w:r>
          </w:p>
        </w:tc>
        <w:tc>
          <w:tcPr>
            <w:tcW w:w="2009" w:type="dxa"/>
            <w:vAlign w:val="center"/>
          </w:tcPr>
          <w:p w14:paraId="037286A4"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w:t>
            </w:r>
          </w:p>
        </w:tc>
      </w:tr>
      <w:tr w:rsidR="00C217CC" w:rsidRPr="00CE357F" w14:paraId="68598CB3" w14:textId="77777777" w:rsidTr="7CC7BF57">
        <w:trPr>
          <w:trHeight w:val="204"/>
        </w:trPr>
        <w:tc>
          <w:tcPr>
            <w:tcW w:w="1242" w:type="dxa"/>
            <w:shd w:val="clear" w:color="auto" w:fill="D9E2F3" w:themeFill="accent1" w:themeFillTint="33"/>
            <w:vAlign w:val="center"/>
          </w:tcPr>
          <w:p w14:paraId="3A9E3B89"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2006</w:t>
            </w:r>
          </w:p>
        </w:tc>
        <w:tc>
          <w:tcPr>
            <w:tcW w:w="2268" w:type="dxa"/>
            <w:vAlign w:val="center"/>
          </w:tcPr>
          <w:p w14:paraId="635ED434"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sz w:val="18"/>
                <w:szCs w:val="18"/>
              </w:rPr>
              <w:t>454</w:t>
            </w:r>
          </w:p>
        </w:tc>
        <w:tc>
          <w:tcPr>
            <w:tcW w:w="567" w:type="dxa"/>
            <w:vAlign w:val="center"/>
          </w:tcPr>
          <w:p w14:paraId="47FFBC23" w14:textId="77777777" w:rsidR="00C217CC" w:rsidRPr="00CE357F" w:rsidRDefault="00C217CC" w:rsidP="004A0C47">
            <w:pPr>
              <w:jc w:val="center"/>
              <w:rPr>
                <w:rFonts w:ascii="Arial Narrow" w:hAnsi="Arial Narrow"/>
                <w:sz w:val="18"/>
                <w:szCs w:val="18"/>
              </w:rPr>
            </w:pPr>
          </w:p>
        </w:tc>
        <w:tc>
          <w:tcPr>
            <w:tcW w:w="559" w:type="dxa"/>
            <w:vAlign w:val="center"/>
          </w:tcPr>
          <w:p w14:paraId="38E15E1C" w14:textId="77777777" w:rsidR="00C217CC" w:rsidRPr="00CE357F" w:rsidRDefault="00C217CC" w:rsidP="004A0C47">
            <w:pPr>
              <w:jc w:val="center"/>
              <w:rPr>
                <w:rFonts w:ascii="Arial Narrow" w:hAnsi="Arial Narrow"/>
                <w:sz w:val="18"/>
                <w:szCs w:val="18"/>
              </w:rPr>
            </w:pPr>
          </w:p>
        </w:tc>
        <w:tc>
          <w:tcPr>
            <w:tcW w:w="717" w:type="dxa"/>
            <w:vAlign w:val="center"/>
          </w:tcPr>
          <w:p w14:paraId="38E43861"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294</w:t>
            </w:r>
          </w:p>
        </w:tc>
        <w:tc>
          <w:tcPr>
            <w:tcW w:w="567" w:type="dxa"/>
            <w:vAlign w:val="center"/>
          </w:tcPr>
          <w:p w14:paraId="2653C3C5" w14:textId="77777777" w:rsidR="00C217CC" w:rsidRPr="00CE357F" w:rsidRDefault="00C217CC" w:rsidP="004A0C47">
            <w:pPr>
              <w:jc w:val="center"/>
              <w:rPr>
                <w:rFonts w:ascii="Arial Narrow" w:hAnsi="Arial Narrow"/>
                <w:sz w:val="18"/>
                <w:szCs w:val="18"/>
              </w:rPr>
            </w:pPr>
          </w:p>
        </w:tc>
        <w:tc>
          <w:tcPr>
            <w:tcW w:w="545" w:type="dxa"/>
            <w:vAlign w:val="center"/>
          </w:tcPr>
          <w:p w14:paraId="768A30EF" w14:textId="77777777" w:rsidR="00C217CC" w:rsidRPr="00CE357F" w:rsidRDefault="00C217CC" w:rsidP="004A0C47">
            <w:pPr>
              <w:jc w:val="center"/>
              <w:rPr>
                <w:rFonts w:ascii="Arial Narrow" w:hAnsi="Arial Narrow"/>
                <w:sz w:val="18"/>
                <w:szCs w:val="18"/>
              </w:rPr>
            </w:pPr>
          </w:p>
        </w:tc>
        <w:tc>
          <w:tcPr>
            <w:tcW w:w="717" w:type="dxa"/>
            <w:vAlign w:val="center"/>
          </w:tcPr>
          <w:p w14:paraId="2E842EE5"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160</w:t>
            </w:r>
          </w:p>
        </w:tc>
        <w:tc>
          <w:tcPr>
            <w:tcW w:w="2009" w:type="dxa"/>
            <w:vAlign w:val="center"/>
          </w:tcPr>
          <w:p w14:paraId="2007DA9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w:t>
            </w:r>
          </w:p>
        </w:tc>
      </w:tr>
    </w:tbl>
    <w:p w14:paraId="4E77918F" w14:textId="77777777" w:rsidR="00C217CC" w:rsidRPr="00CE357F" w:rsidRDefault="00C217CC" w:rsidP="00C217CC">
      <w:pPr>
        <w:rPr>
          <w:rFonts w:ascii="Arial Narrow" w:hAnsi="Arial Narrow"/>
          <w:b/>
          <w:bCs/>
          <w:sz w:val="28"/>
          <w:szCs w:val="28"/>
        </w:rPr>
      </w:pPr>
      <w:bookmarkStart w:id="744" w:name="_Hlk92796299"/>
      <w:bookmarkStart w:id="745" w:name="_Hlk92459808"/>
      <w:bookmarkEnd w:id="743"/>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5C17EF51" w14:textId="77777777" w:rsidR="00C217CC" w:rsidRPr="00CE357F" w:rsidRDefault="00C217CC" w:rsidP="00C217CC">
      <w:pPr>
        <w:spacing w:line="276" w:lineRule="auto"/>
        <w:rPr>
          <w:rFonts w:ascii="Arial Narrow" w:hAnsi="Arial Narrow"/>
          <w:b/>
          <w:bCs/>
        </w:rPr>
      </w:pPr>
    </w:p>
    <w:p w14:paraId="1D44E47F" w14:textId="77777777" w:rsidR="00C217CC" w:rsidRPr="00CE357F" w:rsidRDefault="00C217CC" w:rsidP="00C217CC">
      <w:pPr>
        <w:spacing w:line="276" w:lineRule="auto"/>
        <w:rPr>
          <w:rFonts w:ascii="Arial Narrow" w:hAnsi="Arial Narrow"/>
          <w:b/>
          <w:bCs/>
        </w:rPr>
      </w:pPr>
    </w:p>
    <w:p w14:paraId="76FEAF74" w14:textId="743DA875" w:rsidR="00C217CC" w:rsidRPr="00CE357F" w:rsidRDefault="00C217CC" w:rsidP="00C217CC">
      <w:pPr>
        <w:spacing w:after="240" w:line="276" w:lineRule="auto"/>
        <w:rPr>
          <w:rFonts w:ascii="Arial Narrow" w:hAnsi="Arial Narrow"/>
          <w:b/>
          <w:bCs/>
          <w:color w:val="C00000"/>
        </w:rPr>
      </w:pPr>
      <w:r w:rsidRPr="00CE357F">
        <w:rPr>
          <w:rFonts w:ascii="Arial Narrow" w:hAnsi="Arial Narrow"/>
          <w:b/>
          <w:bCs/>
          <w:color w:val="C00000"/>
        </w:rPr>
        <w:t xml:space="preserve">Osoby s jinou než českou státní příslušností </w:t>
      </w:r>
      <w:r>
        <w:rPr>
          <w:rFonts w:ascii="Arial Narrow" w:hAnsi="Arial Narrow"/>
          <w:b/>
          <w:bCs/>
          <w:color w:val="C00000"/>
        </w:rPr>
        <w:t>v ORP Kuřim v letech 2021, 2022 a 2023</w:t>
      </w:r>
    </w:p>
    <w:p w14:paraId="239DF4BF" w14:textId="77777777" w:rsidR="00C217CC" w:rsidRPr="00CE357F" w:rsidRDefault="00C217CC" w:rsidP="00C217CC">
      <w:pPr>
        <w:spacing w:after="240" w:line="276" w:lineRule="auto"/>
        <w:jc w:val="both"/>
        <w:rPr>
          <w:rFonts w:ascii="Arial Narrow" w:hAnsi="Arial Narrow"/>
          <w:bCs/>
        </w:rPr>
      </w:pPr>
      <w:r w:rsidRPr="00CE357F">
        <w:rPr>
          <w:rFonts w:ascii="Arial Narrow" w:hAnsi="Arial Narrow"/>
          <w:bCs/>
        </w:rPr>
        <w:t xml:space="preserve">Tato kapitola podrobně mapuje počet osob s jinou než českou státní příslušností ve vybraných obcí ORP Kuřim v letech 2021 a 2022 dle věku, pohlaví a podílu těchto osob na celkovém počtu obyvatel daných obcí. </w:t>
      </w:r>
    </w:p>
    <w:p w14:paraId="7DC303BF" w14:textId="77777777" w:rsidR="00C217CC" w:rsidRPr="00CE357F" w:rsidRDefault="00C217CC" w:rsidP="00C217CC">
      <w:pPr>
        <w:spacing w:line="276" w:lineRule="auto"/>
        <w:rPr>
          <w:rFonts w:ascii="Arial Narrow" w:hAnsi="Arial Narrow"/>
          <w:b/>
          <w:bCs/>
        </w:rPr>
      </w:pPr>
      <w:r w:rsidRPr="00CE357F">
        <w:rPr>
          <w:rFonts w:ascii="Arial Narrow" w:hAnsi="Arial Narrow"/>
          <w:b/>
          <w:bCs/>
        </w:rPr>
        <w:t>Osoby s jinou než českou státní příslušností v ORP Kuřim k datu 1. 1. 2021</w:t>
      </w:r>
    </w:p>
    <w:p w14:paraId="3D73B7B7" w14:textId="77777777" w:rsidR="00C217CC" w:rsidRPr="00CE357F" w:rsidRDefault="00C217CC" w:rsidP="00C217CC">
      <w:pPr>
        <w:spacing w:line="276" w:lineRule="auto"/>
        <w:rPr>
          <w:rFonts w:ascii="Arial Narrow" w:hAnsi="Arial Narrow"/>
          <w:b/>
          <w:bCs/>
        </w:rPr>
      </w:pPr>
    </w:p>
    <w:p w14:paraId="1B5BAEBD" w14:textId="77777777" w:rsidR="00C217CC" w:rsidRPr="00CE357F" w:rsidRDefault="00C217CC" w:rsidP="00C217CC">
      <w:pPr>
        <w:spacing w:after="120" w:line="276" w:lineRule="auto"/>
        <w:jc w:val="both"/>
        <w:rPr>
          <w:rFonts w:ascii="Arial Narrow" w:hAnsi="Arial Narrow"/>
          <w:color w:val="000000"/>
        </w:rPr>
      </w:pPr>
      <w:r w:rsidRPr="00CE357F">
        <w:rPr>
          <w:rFonts w:ascii="Arial Narrow" w:hAnsi="Arial Narrow"/>
          <w:color w:val="000000"/>
        </w:rPr>
        <w:t xml:space="preserve">V ORP Kuřim žilo k datu 1. 1. 2021 celkem 898 osob s jinou než českou státní příslušností, což bylo zhruba 3,94 % všech obyvatel ORP Kuřim. Z celkového počtu 898 osob s jinou než českou státní příslušností se jednalo o 357 občanů EU a 541 osob ze třetích zemí. Více než polovina (62,58) % všech osob s jinou než českou státní příslušností na území OPR Kuřim měla přechodný pobyt, 37,42 % těchto osob pak pobyt trvalý. Více než 9 osob s jinou než českou státní příslušností z 10 (93,65 %) mělo více než 15 let. Děti do 15 let tvořily k 1. 1. 2021 celkem 6,35 % všech osob s jinou než českou státní příslušností na území ORP Kuřim. </w:t>
      </w:r>
    </w:p>
    <w:p w14:paraId="10904B60" w14:textId="28DA3FDB" w:rsidR="00C217CC" w:rsidRPr="00CE357F" w:rsidRDefault="00C217CC" w:rsidP="007F06F2">
      <w:pPr>
        <w:spacing w:after="120" w:line="276" w:lineRule="auto"/>
        <w:jc w:val="both"/>
        <w:rPr>
          <w:rFonts w:ascii="Arial Narrow" w:hAnsi="Arial Narrow"/>
          <w:color w:val="000000"/>
        </w:rPr>
      </w:pPr>
      <w:r w:rsidRPr="00CE357F">
        <w:rPr>
          <w:rFonts w:ascii="Arial Narrow" w:hAnsi="Arial Narrow"/>
          <w:color w:val="000000"/>
        </w:rPr>
        <w:t>Nejvyšší podíl osob s jinou než českou státní příslušností na celkovém počtu obyvatel v dané obci byl ve Veverské Bítýšce, kde tyto osoby tvořily 6,74 % všech obyvatel. Druhý nejvyšší podíl osob s jinou než českou státní příslušností byl evidován v obcích Kuřim, kde tyto osoby tvořily 4,70 % všech obyvatel, a dále v obci Česká, kde tyto osoby tvořily 4,34 % všech obyvatel.</w:t>
      </w:r>
      <w:r w:rsidR="007F06F2">
        <w:rPr>
          <w:rFonts w:ascii="Arial Narrow" w:hAnsi="Arial Narrow"/>
          <w:color w:val="000000"/>
        </w:rPr>
        <w:t xml:space="preserve"> </w:t>
      </w:r>
      <w:r w:rsidRPr="00CE357F">
        <w:rPr>
          <w:rFonts w:ascii="Arial Narrow" w:hAnsi="Arial Narrow"/>
          <w:color w:val="000000"/>
        </w:rPr>
        <w:t xml:space="preserve">Počty osob s jinou než českou státní příslušností v daných obcích včetně rozdělení osob s jinou než českou státní příslušností podle pohlaví a věku </w:t>
      </w:r>
      <w:r w:rsidR="007F06F2">
        <w:rPr>
          <w:rFonts w:ascii="Arial Narrow" w:hAnsi="Arial Narrow"/>
          <w:color w:val="000000"/>
        </w:rPr>
        <w:t xml:space="preserve">a jejich podíl na celkovém počtu obyvatel </w:t>
      </w:r>
      <w:r w:rsidRPr="00CE357F">
        <w:rPr>
          <w:rFonts w:ascii="Arial Narrow" w:hAnsi="Arial Narrow"/>
          <w:color w:val="000000"/>
        </w:rPr>
        <w:t>podrobně dokumentuje tabulka</w:t>
      </w:r>
      <w:r w:rsidR="007F06F2">
        <w:rPr>
          <w:rFonts w:ascii="Arial Narrow" w:hAnsi="Arial Narrow"/>
          <w:color w:val="000000"/>
        </w:rPr>
        <w:t xml:space="preserve"> č. 50 a graf č. 120</w:t>
      </w:r>
      <w:r w:rsidRPr="00CE357F">
        <w:rPr>
          <w:rFonts w:ascii="Arial Narrow" w:hAnsi="Arial Narrow"/>
          <w:color w:val="000000"/>
        </w:rPr>
        <w:t xml:space="preserve">. </w:t>
      </w:r>
    </w:p>
    <w:p w14:paraId="0AA85FEB" w14:textId="7C0BAA8A" w:rsidR="00C217CC" w:rsidRPr="00CE357F" w:rsidRDefault="00C217CC" w:rsidP="00C217CC">
      <w:pPr>
        <w:jc w:val="both"/>
        <w:rPr>
          <w:rFonts w:ascii="Arial Narrow" w:hAnsi="Arial Narrow"/>
          <w:b/>
          <w:bCs/>
          <w:sz w:val="24"/>
          <w:szCs w:val="24"/>
        </w:rPr>
      </w:pPr>
      <w:bookmarkStart w:id="746" w:name="_Toc136429261"/>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50</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Kuřim v roce 2021</w:t>
      </w:r>
      <w:bookmarkEnd w:id="746"/>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37"/>
        <w:gridCol w:w="771"/>
        <w:gridCol w:w="1433"/>
        <w:gridCol w:w="2009"/>
        <w:gridCol w:w="559"/>
        <w:gridCol w:w="542"/>
        <w:gridCol w:w="717"/>
        <w:gridCol w:w="559"/>
        <w:gridCol w:w="497"/>
        <w:gridCol w:w="733"/>
      </w:tblGrid>
      <w:tr w:rsidR="00C217CC" w:rsidRPr="00CE357F" w14:paraId="0489946A" w14:textId="77777777" w:rsidTr="002100E9">
        <w:trPr>
          <w:trHeight w:val="204"/>
        </w:trPr>
        <w:tc>
          <w:tcPr>
            <w:tcW w:w="1137" w:type="dxa"/>
            <w:vMerge w:val="restart"/>
            <w:shd w:val="clear" w:color="auto" w:fill="D9E2F3" w:themeFill="accent1" w:themeFillTint="33"/>
            <w:vAlign w:val="center"/>
          </w:tcPr>
          <w:p w14:paraId="78747D21"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771" w:type="dxa"/>
            <w:vMerge w:val="restart"/>
            <w:shd w:val="clear" w:color="auto" w:fill="D9E2F3" w:themeFill="accent1" w:themeFillTint="33"/>
            <w:vAlign w:val="center"/>
          </w:tcPr>
          <w:p w14:paraId="27F15520"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433" w:type="dxa"/>
            <w:vMerge w:val="restart"/>
            <w:shd w:val="clear" w:color="auto" w:fill="D9E2F3" w:themeFill="accent1" w:themeFillTint="33"/>
            <w:vAlign w:val="center"/>
          </w:tcPr>
          <w:p w14:paraId="705B6318"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Osoby s jinou než českou státní příslušností celkem</w:t>
            </w:r>
          </w:p>
        </w:tc>
        <w:tc>
          <w:tcPr>
            <w:tcW w:w="2009" w:type="dxa"/>
            <w:vMerge w:val="restart"/>
            <w:shd w:val="clear" w:color="auto" w:fill="D9E2F3" w:themeFill="accent1" w:themeFillTint="33"/>
            <w:vAlign w:val="center"/>
          </w:tcPr>
          <w:p w14:paraId="7CF591F1" w14:textId="77777777" w:rsidR="00C217CC" w:rsidRPr="00CE357F" w:rsidRDefault="00C217CC"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osob s jinou než českou státní příslušností na celkovém počtu obyvatel</w:t>
            </w:r>
          </w:p>
        </w:tc>
        <w:tc>
          <w:tcPr>
            <w:tcW w:w="1818" w:type="dxa"/>
            <w:gridSpan w:val="3"/>
            <w:shd w:val="clear" w:color="auto" w:fill="D9E2F3" w:themeFill="accent1" w:themeFillTint="33"/>
            <w:vAlign w:val="center"/>
          </w:tcPr>
          <w:p w14:paraId="73ECBF10"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1789" w:type="dxa"/>
            <w:gridSpan w:val="3"/>
            <w:shd w:val="clear" w:color="auto" w:fill="D9E2F3" w:themeFill="accent1" w:themeFillTint="33"/>
            <w:vAlign w:val="center"/>
          </w:tcPr>
          <w:p w14:paraId="5C6AB409"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C217CC" w:rsidRPr="00CE357F" w14:paraId="6E728EF9" w14:textId="77777777" w:rsidTr="002100E9">
        <w:trPr>
          <w:trHeight w:val="204"/>
        </w:trPr>
        <w:tc>
          <w:tcPr>
            <w:tcW w:w="1137" w:type="dxa"/>
            <w:vMerge/>
            <w:shd w:val="clear" w:color="auto" w:fill="D9E2F3" w:themeFill="accent1" w:themeFillTint="33"/>
            <w:vAlign w:val="center"/>
          </w:tcPr>
          <w:p w14:paraId="2D0F6380" w14:textId="77777777" w:rsidR="00C217CC" w:rsidRPr="00CE357F" w:rsidRDefault="00C217CC" w:rsidP="004A0C47">
            <w:pPr>
              <w:jc w:val="center"/>
              <w:rPr>
                <w:rFonts w:ascii="Arial Narrow" w:eastAsia="Times New Roman" w:hAnsi="Arial Narrow" w:cs="Arial"/>
                <w:sz w:val="18"/>
                <w:szCs w:val="18"/>
                <w:lang w:eastAsia="cs-CZ"/>
              </w:rPr>
            </w:pPr>
          </w:p>
        </w:tc>
        <w:tc>
          <w:tcPr>
            <w:tcW w:w="771" w:type="dxa"/>
            <w:vMerge/>
            <w:shd w:val="clear" w:color="auto" w:fill="D9E2F3" w:themeFill="accent1" w:themeFillTint="33"/>
            <w:vAlign w:val="center"/>
          </w:tcPr>
          <w:p w14:paraId="4268F9CB" w14:textId="77777777" w:rsidR="00C217CC" w:rsidRPr="00CE357F" w:rsidRDefault="00C217CC" w:rsidP="004A0C47">
            <w:pPr>
              <w:jc w:val="center"/>
              <w:rPr>
                <w:rFonts w:ascii="Arial Narrow" w:eastAsia="Times New Roman" w:hAnsi="Arial Narrow" w:cs="Arial"/>
                <w:sz w:val="18"/>
                <w:szCs w:val="18"/>
                <w:lang w:eastAsia="cs-CZ"/>
              </w:rPr>
            </w:pPr>
          </w:p>
        </w:tc>
        <w:tc>
          <w:tcPr>
            <w:tcW w:w="1433" w:type="dxa"/>
            <w:vMerge/>
            <w:shd w:val="clear" w:color="auto" w:fill="D9E2F3" w:themeFill="accent1" w:themeFillTint="33"/>
            <w:vAlign w:val="center"/>
          </w:tcPr>
          <w:p w14:paraId="5043C7D9" w14:textId="77777777" w:rsidR="00C217CC" w:rsidRPr="00CE357F" w:rsidRDefault="00C217CC" w:rsidP="004A0C47">
            <w:pPr>
              <w:jc w:val="center"/>
              <w:rPr>
                <w:rFonts w:ascii="Arial Narrow" w:eastAsia="Times New Roman" w:hAnsi="Arial Narrow" w:cs="Arial"/>
                <w:sz w:val="18"/>
                <w:szCs w:val="18"/>
                <w:lang w:eastAsia="cs-CZ"/>
              </w:rPr>
            </w:pPr>
          </w:p>
        </w:tc>
        <w:tc>
          <w:tcPr>
            <w:tcW w:w="2009" w:type="dxa"/>
            <w:vMerge/>
            <w:shd w:val="clear" w:color="auto" w:fill="D9E2F3" w:themeFill="accent1" w:themeFillTint="33"/>
            <w:vAlign w:val="center"/>
          </w:tcPr>
          <w:p w14:paraId="5356A746" w14:textId="77777777" w:rsidR="00C217CC" w:rsidRPr="00CE357F" w:rsidRDefault="00C217CC" w:rsidP="004A0C47">
            <w:pPr>
              <w:jc w:val="center"/>
              <w:rPr>
                <w:rFonts w:ascii="Arial Narrow" w:eastAsia="Times New Roman" w:hAnsi="Arial Narrow" w:cs="Arial"/>
                <w:sz w:val="18"/>
                <w:szCs w:val="18"/>
                <w:lang w:eastAsia="cs-CZ"/>
              </w:rPr>
            </w:pPr>
          </w:p>
        </w:tc>
        <w:tc>
          <w:tcPr>
            <w:tcW w:w="559" w:type="dxa"/>
            <w:shd w:val="clear" w:color="auto" w:fill="D9E2F3" w:themeFill="accent1" w:themeFillTint="33"/>
            <w:vAlign w:val="center"/>
          </w:tcPr>
          <w:p w14:paraId="3E5C014C"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42" w:type="dxa"/>
            <w:shd w:val="clear" w:color="auto" w:fill="D9E2F3" w:themeFill="accent1" w:themeFillTint="33"/>
            <w:vAlign w:val="center"/>
          </w:tcPr>
          <w:p w14:paraId="6AAA846B"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2AA6E579"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59" w:type="dxa"/>
            <w:shd w:val="clear" w:color="auto" w:fill="D9E2F3" w:themeFill="accent1" w:themeFillTint="33"/>
            <w:vAlign w:val="center"/>
          </w:tcPr>
          <w:p w14:paraId="5FBE1C4F"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497" w:type="dxa"/>
            <w:shd w:val="clear" w:color="auto" w:fill="D9E2F3" w:themeFill="accent1" w:themeFillTint="33"/>
            <w:vAlign w:val="center"/>
          </w:tcPr>
          <w:p w14:paraId="1B50FC3C"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33" w:type="dxa"/>
            <w:shd w:val="clear" w:color="auto" w:fill="D9E2F3" w:themeFill="accent1" w:themeFillTint="33"/>
            <w:vAlign w:val="center"/>
          </w:tcPr>
          <w:p w14:paraId="0CE9551A" w14:textId="77777777" w:rsidR="00C217CC" w:rsidRPr="00CE357F" w:rsidRDefault="00C217CC"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C217CC" w:rsidRPr="00CE357F" w14:paraId="1B4CA48F" w14:textId="77777777" w:rsidTr="002100E9">
        <w:trPr>
          <w:trHeight w:val="204"/>
        </w:trPr>
        <w:tc>
          <w:tcPr>
            <w:tcW w:w="1137" w:type="dxa"/>
            <w:shd w:val="clear" w:color="auto" w:fill="D9E2F3" w:themeFill="accent1" w:themeFillTint="33"/>
            <w:vAlign w:val="center"/>
          </w:tcPr>
          <w:p w14:paraId="3BE3E01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Veverská Bítýška</w:t>
            </w:r>
          </w:p>
        </w:tc>
        <w:tc>
          <w:tcPr>
            <w:tcW w:w="771" w:type="dxa"/>
            <w:vAlign w:val="center"/>
          </w:tcPr>
          <w:p w14:paraId="3017BE86"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3 235</w:t>
            </w:r>
          </w:p>
        </w:tc>
        <w:tc>
          <w:tcPr>
            <w:tcW w:w="1433" w:type="dxa"/>
            <w:vAlign w:val="center"/>
          </w:tcPr>
          <w:p w14:paraId="19F4E60F"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218</w:t>
            </w:r>
          </w:p>
        </w:tc>
        <w:tc>
          <w:tcPr>
            <w:tcW w:w="2009" w:type="dxa"/>
            <w:vAlign w:val="center"/>
          </w:tcPr>
          <w:p w14:paraId="632A9CF2" w14:textId="77777777" w:rsidR="00C217CC" w:rsidRPr="00CE357F" w:rsidRDefault="00C217CC" w:rsidP="002100E9">
            <w:pPr>
              <w:jc w:val="center"/>
              <w:rPr>
                <w:rFonts w:ascii="Arial Narrow" w:hAnsi="Arial Narrow"/>
                <w:b/>
                <w:bCs/>
                <w:sz w:val="18"/>
                <w:szCs w:val="18"/>
              </w:rPr>
            </w:pPr>
            <w:r w:rsidRPr="00CE357F">
              <w:rPr>
                <w:rFonts w:ascii="Arial Narrow" w:hAnsi="Arial Narrow"/>
                <w:b/>
                <w:bCs/>
                <w:color w:val="C00000"/>
                <w:sz w:val="18"/>
                <w:szCs w:val="18"/>
              </w:rPr>
              <w:t>6,74 %</w:t>
            </w:r>
          </w:p>
        </w:tc>
        <w:tc>
          <w:tcPr>
            <w:tcW w:w="559" w:type="dxa"/>
            <w:vAlign w:val="center"/>
          </w:tcPr>
          <w:p w14:paraId="74D3E566"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71</w:t>
            </w:r>
          </w:p>
        </w:tc>
        <w:tc>
          <w:tcPr>
            <w:tcW w:w="542" w:type="dxa"/>
            <w:vAlign w:val="center"/>
          </w:tcPr>
          <w:p w14:paraId="0014731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4</w:t>
            </w:r>
          </w:p>
        </w:tc>
        <w:tc>
          <w:tcPr>
            <w:tcW w:w="717" w:type="dxa"/>
            <w:vAlign w:val="center"/>
          </w:tcPr>
          <w:p w14:paraId="2B8F1424"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75</w:t>
            </w:r>
          </w:p>
        </w:tc>
        <w:tc>
          <w:tcPr>
            <w:tcW w:w="559" w:type="dxa"/>
            <w:vAlign w:val="center"/>
          </w:tcPr>
          <w:p w14:paraId="2B046F10"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139</w:t>
            </w:r>
          </w:p>
        </w:tc>
        <w:tc>
          <w:tcPr>
            <w:tcW w:w="497" w:type="dxa"/>
            <w:vAlign w:val="center"/>
          </w:tcPr>
          <w:p w14:paraId="642592F3"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4</w:t>
            </w:r>
          </w:p>
        </w:tc>
        <w:tc>
          <w:tcPr>
            <w:tcW w:w="733" w:type="dxa"/>
            <w:vAlign w:val="center"/>
          </w:tcPr>
          <w:p w14:paraId="108361D3"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143</w:t>
            </w:r>
          </w:p>
        </w:tc>
      </w:tr>
      <w:tr w:rsidR="00C217CC" w:rsidRPr="00CE357F" w14:paraId="461902BF" w14:textId="77777777" w:rsidTr="002100E9">
        <w:trPr>
          <w:trHeight w:val="204"/>
        </w:trPr>
        <w:tc>
          <w:tcPr>
            <w:tcW w:w="1137" w:type="dxa"/>
            <w:shd w:val="clear" w:color="auto" w:fill="D9E2F3" w:themeFill="accent1" w:themeFillTint="33"/>
            <w:vAlign w:val="center"/>
          </w:tcPr>
          <w:p w14:paraId="6651D1AC"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Kuřim</w:t>
            </w:r>
          </w:p>
        </w:tc>
        <w:tc>
          <w:tcPr>
            <w:tcW w:w="771" w:type="dxa"/>
            <w:vAlign w:val="center"/>
          </w:tcPr>
          <w:p w14:paraId="6BE59783"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10 575</w:t>
            </w:r>
          </w:p>
        </w:tc>
        <w:tc>
          <w:tcPr>
            <w:tcW w:w="1433" w:type="dxa"/>
            <w:vAlign w:val="center"/>
          </w:tcPr>
          <w:p w14:paraId="61F2693C"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497</w:t>
            </w:r>
          </w:p>
        </w:tc>
        <w:tc>
          <w:tcPr>
            <w:tcW w:w="2009" w:type="dxa"/>
            <w:vAlign w:val="center"/>
          </w:tcPr>
          <w:p w14:paraId="2BBC0B53" w14:textId="77777777" w:rsidR="00C217CC" w:rsidRPr="00CE357F" w:rsidRDefault="00C217CC" w:rsidP="002100E9">
            <w:pPr>
              <w:jc w:val="center"/>
              <w:rPr>
                <w:rFonts w:ascii="Arial Narrow" w:hAnsi="Arial Narrow"/>
                <w:b/>
                <w:bCs/>
                <w:sz w:val="18"/>
                <w:szCs w:val="18"/>
              </w:rPr>
            </w:pPr>
            <w:r w:rsidRPr="00CE357F">
              <w:rPr>
                <w:rFonts w:ascii="Arial Narrow" w:hAnsi="Arial Narrow"/>
                <w:b/>
                <w:bCs/>
                <w:color w:val="C00000"/>
                <w:sz w:val="18"/>
                <w:szCs w:val="18"/>
              </w:rPr>
              <w:t>4,70 %</w:t>
            </w:r>
          </w:p>
        </w:tc>
        <w:tc>
          <w:tcPr>
            <w:tcW w:w="559" w:type="dxa"/>
            <w:vAlign w:val="center"/>
          </w:tcPr>
          <w:p w14:paraId="680B318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246</w:t>
            </w:r>
          </w:p>
        </w:tc>
        <w:tc>
          <w:tcPr>
            <w:tcW w:w="542" w:type="dxa"/>
            <w:vAlign w:val="center"/>
          </w:tcPr>
          <w:p w14:paraId="1078526D"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10</w:t>
            </w:r>
          </w:p>
        </w:tc>
        <w:tc>
          <w:tcPr>
            <w:tcW w:w="717" w:type="dxa"/>
            <w:vAlign w:val="center"/>
          </w:tcPr>
          <w:p w14:paraId="72FEEA86"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256</w:t>
            </w:r>
          </w:p>
        </w:tc>
        <w:tc>
          <w:tcPr>
            <w:tcW w:w="559" w:type="dxa"/>
            <w:vAlign w:val="center"/>
          </w:tcPr>
          <w:p w14:paraId="3878091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222</w:t>
            </w:r>
          </w:p>
        </w:tc>
        <w:tc>
          <w:tcPr>
            <w:tcW w:w="497" w:type="dxa"/>
            <w:vAlign w:val="center"/>
          </w:tcPr>
          <w:p w14:paraId="7001C5A4"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19</w:t>
            </w:r>
          </w:p>
        </w:tc>
        <w:tc>
          <w:tcPr>
            <w:tcW w:w="733" w:type="dxa"/>
            <w:vAlign w:val="center"/>
          </w:tcPr>
          <w:p w14:paraId="0F082250"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241</w:t>
            </w:r>
          </w:p>
        </w:tc>
      </w:tr>
      <w:tr w:rsidR="00C217CC" w:rsidRPr="00CE357F" w14:paraId="08CAC5AC" w14:textId="77777777" w:rsidTr="002100E9">
        <w:trPr>
          <w:trHeight w:val="204"/>
        </w:trPr>
        <w:tc>
          <w:tcPr>
            <w:tcW w:w="1137" w:type="dxa"/>
            <w:shd w:val="clear" w:color="auto" w:fill="D9E2F3" w:themeFill="accent1" w:themeFillTint="33"/>
            <w:vAlign w:val="center"/>
          </w:tcPr>
          <w:p w14:paraId="488B2F4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Česká</w:t>
            </w:r>
          </w:p>
        </w:tc>
        <w:tc>
          <w:tcPr>
            <w:tcW w:w="771" w:type="dxa"/>
            <w:vAlign w:val="center"/>
          </w:tcPr>
          <w:p w14:paraId="1EA0B099"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990</w:t>
            </w:r>
          </w:p>
        </w:tc>
        <w:tc>
          <w:tcPr>
            <w:tcW w:w="1433" w:type="dxa"/>
            <w:vAlign w:val="center"/>
          </w:tcPr>
          <w:p w14:paraId="15A3AB36"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43</w:t>
            </w:r>
          </w:p>
        </w:tc>
        <w:tc>
          <w:tcPr>
            <w:tcW w:w="2009" w:type="dxa"/>
            <w:vAlign w:val="center"/>
          </w:tcPr>
          <w:p w14:paraId="42EBF0FD" w14:textId="77777777" w:rsidR="00C217CC" w:rsidRPr="00CE357F" w:rsidRDefault="00C217CC" w:rsidP="002100E9">
            <w:pPr>
              <w:jc w:val="center"/>
              <w:rPr>
                <w:rFonts w:ascii="Arial Narrow" w:hAnsi="Arial Narrow"/>
                <w:b/>
                <w:bCs/>
                <w:sz w:val="18"/>
                <w:szCs w:val="18"/>
              </w:rPr>
            </w:pPr>
            <w:r w:rsidRPr="00CE357F">
              <w:rPr>
                <w:rFonts w:ascii="Arial Narrow" w:hAnsi="Arial Narrow"/>
                <w:b/>
                <w:bCs/>
                <w:color w:val="C00000"/>
                <w:sz w:val="18"/>
                <w:szCs w:val="18"/>
              </w:rPr>
              <w:t>4,34 %</w:t>
            </w:r>
          </w:p>
        </w:tc>
        <w:tc>
          <w:tcPr>
            <w:tcW w:w="559" w:type="dxa"/>
            <w:vAlign w:val="center"/>
          </w:tcPr>
          <w:p w14:paraId="7088E07D"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22</w:t>
            </w:r>
          </w:p>
        </w:tc>
        <w:tc>
          <w:tcPr>
            <w:tcW w:w="542" w:type="dxa"/>
            <w:vAlign w:val="center"/>
          </w:tcPr>
          <w:p w14:paraId="4E191FA8"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34E060CD"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22</w:t>
            </w:r>
          </w:p>
        </w:tc>
        <w:tc>
          <w:tcPr>
            <w:tcW w:w="559" w:type="dxa"/>
            <w:vAlign w:val="center"/>
          </w:tcPr>
          <w:p w14:paraId="1EEE5A1D"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17</w:t>
            </w:r>
          </w:p>
        </w:tc>
        <w:tc>
          <w:tcPr>
            <w:tcW w:w="497" w:type="dxa"/>
            <w:vAlign w:val="center"/>
          </w:tcPr>
          <w:p w14:paraId="3903C282"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4</w:t>
            </w:r>
          </w:p>
        </w:tc>
        <w:tc>
          <w:tcPr>
            <w:tcW w:w="733" w:type="dxa"/>
            <w:vAlign w:val="center"/>
          </w:tcPr>
          <w:p w14:paraId="6049C300"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21</w:t>
            </w:r>
          </w:p>
        </w:tc>
      </w:tr>
      <w:tr w:rsidR="00C217CC" w:rsidRPr="00CE357F" w14:paraId="3563723E" w14:textId="77777777" w:rsidTr="002100E9">
        <w:trPr>
          <w:trHeight w:val="204"/>
        </w:trPr>
        <w:tc>
          <w:tcPr>
            <w:tcW w:w="1137" w:type="dxa"/>
            <w:shd w:val="clear" w:color="auto" w:fill="D9E2F3" w:themeFill="accent1" w:themeFillTint="33"/>
            <w:vAlign w:val="center"/>
          </w:tcPr>
          <w:p w14:paraId="17C1540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Čebín</w:t>
            </w:r>
          </w:p>
        </w:tc>
        <w:tc>
          <w:tcPr>
            <w:tcW w:w="771" w:type="dxa"/>
            <w:vAlign w:val="center"/>
          </w:tcPr>
          <w:p w14:paraId="6EC07870"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1826</w:t>
            </w:r>
          </w:p>
        </w:tc>
        <w:tc>
          <w:tcPr>
            <w:tcW w:w="1433" w:type="dxa"/>
            <w:vAlign w:val="center"/>
          </w:tcPr>
          <w:p w14:paraId="68D944DD"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52</w:t>
            </w:r>
          </w:p>
        </w:tc>
        <w:tc>
          <w:tcPr>
            <w:tcW w:w="2009" w:type="dxa"/>
            <w:vAlign w:val="center"/>
          </w:tcPr>
          <w:p w14:paraId="7233CCF1" w14:textId="77777777" w:rsidR="00C217CC" w:rsidRPr="00CE357F" w:rsidRDefault="00C217CC" w:rsidP="002100E9">
            <w:pPr>
              <w:jc w:val="center"/>
              <w:rPr>
                <w:rFonts w:ascii="Arial Narrow" w:hAnsi="Arial Narrow"/>
                <w:sz w:val="18"/>
                <w:szCs w:val="18"/>
              </w:rPr>
            </w:pPr>
            <w:r w:rsidRPr="00CE357F">
              <w:rPr>
                <w:rFonts w:ascii="Arial Narrow" w:hAnsi="Arial Narrow"/>
                <w:sz w:val="18"/>
                <w:szCs w:val="18"/>
              </w:rPr>
              <w:t>2,85 %</w:t>
            </w:r>
          </w:p>
        </w:tc>
        <w:tc>
          <w:tcPr>
            <w:tcW w:w="559" w:type="dxa"/>
            <w:vAlign w:val="center"/>
          </w:tcPr>
          <w:p w14:paraId="484A20A7"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21</w:t>
            </w:r>
          </w:p>
        </w:tc>
        <w:tc>
          <w:tcPr>
            <w:tcW w:w="542" w:type="dxa"/>
            <w:vAlign w:val="center"/>
          </w:tcPr>
          <w:p w14:paraId="5ED37E1C"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8</w:t>
            </w:r>
          </w:p>
        </w:tc>
        <w:tc>
          <w:tcPr>
            <w:tcW w:w="717" w:type="dxa"/>
            <w:vAlign w:val="center"/>
          </w:tcPr>
          <w:p w14:paraId="7299D10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29</w:t>
            </w:r>
          </w:p>
        </w:tc>
        <w:tc>
          <w:tcPr>
            <w:tcW w:w="559" w:type="dxa"/>
            <w:vAlign w:val="center"/>
          </w:tcPr>
          <w:p w14:paraId="11F53072"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23</w:t>
            </w:r>
          </w:p>
        </w:tc>
        <w:tc>
          <w:tcPr>
            <w:tcW w:w="497" w:type="dxa"/>
            <w:vAlign w:val="center"/>
          </w:tcPr>
          <w:p w14:paraId="065047BB"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c>
          <w:tcPr>
            <w:tcW w:w="733" w:type="dxa"/>
            <w:vAlign w:val="center"/>
          </w:tcPr>
          <w:p w14:paraId="50DC7AE5"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23</w:t>
            </w:r>
          </w:p>
        </w:tc>
      </w:tr>
      <w:tr w:rsidR="00C217CC" w:rsidRPr="00CE357F" w14:paraId="47B3B81E" w14:textId="77777777" w:rsidTr="002100E9">
        <w:trPr>
          <w:trHeight w:val="204"/>
        </w:trPr>
        <w:tc>
          <w:tcPr>
            <w:tcW w:w="1137" w:type="dxa"/>
            <w:shd w:val="clear" w:color="auto" w:fill="D9E2F3" w:themeFill="accent1" w:themeFillTint="33"/>
            <w:vAlign w:val="center"/>
          </w:tcPr>
          <w:p w14:paraId="43228033"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Jinačovice</w:t>
            </w:r>
          </w:p>
        </w:tc>
        <w:tc>
          <w:tcPr>
            <w:tcW w:w="771" w:type="dxa"/>
            <w:vAlign w:val="center"/>
          </w:tcPr>
          <w:p w14:paraId="1D9D0FE7"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762</w:t>
            </w:r>
          </w:p>
        </w:tc>
        <w:tc>
          <w:tcPr>
            <w:tcW w:w="1433" w:type="dxa"/>
            <w:vAlign w:val="center"/>
          </w:tcPr>
          <w:p w14:paraId="2D77CF8F"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14</w:t>
            </w:r>
          </w:p>
        </w:tc>
        <w:tc>
          <w:tcPr>
            <w:tcW w:w="2009" w:type="dxa"/>
            <w:vAlign w:val="center"/>
          </w:tcPr>
          <w:p w14:paraId="68627517" w14:textId="77777777" w:rsidR="00C217CC" w:rsidRPr="00CE357F" w:rsidRDefault="00C217CC" w:rsidP="002100E9">
            <w:pPr>
              <w:jc w:val="center"/>
              <w:rPr>
                <w:rFonts w:ascii="Arial Narrow" w:hAnsi="Arial Narrow"/>
                <w:sz w:val="18"/>
                <w:szCs w:val="18"/>
              </w:rPr>
            </w:pPr>
            <w:r w:rsidRPr="00CE357F">
              <w:rPr>
                <w:rFonts w:ascii="Arial Narrow" w:hAnsi="Arial Narrow"/>
                <w:sz w:val="18"/>
                <w:szCs w:val="18"/>
              </w:rPr>
              <w:t>1,84 %</w:t>
            </w:r>
          </w:p>
        </w:tc>
        <w:tc>
          <w:tcPr>
            <w:tcW w:w="559" w:type="dxa"/>
            <w:vAlign w:val="center"/>
          </w:tcPr>
          <w:p w14:paraId="2432F2E3"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8</w:t>
            </w:r>
          </w:p>
        </w:tc>
        <w:tc>
          <w:tcPr>
            <w:tcW w:w="542" w:type="dxa"/>
            <w:vAlign w:val="center"/>
          </w:tcPr>
          <w:p w14:paraId="519CA7C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01DDA224"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9</w:t>
            </w:r>
          </w:p>
        </w:tc>
        <w:tc>
          <w:tcPr>
            <w:tcW w:w="559" w:type="dxa"/>
            <w:vAlign w:val="center"/>
          </w:tcPr>
          <w:p w14:paraId="2EA1E392"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4</w:t>
            </w:r>
          </w:p>
        </w:tc>
        <w:tc>
          <w:tcPr>
            <w:tcW w:w="497" w:type="dxa"/>
            <w:vAlign w:val="center"/>
          </w:tcPr>
          <w:p w14:paraId="13A41D2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733" w:type="dxa"/>
            <w:vAlign w:val="center"/>
          </w:tcPr>
          <w:p w14:paraId="19FE313D"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5</w:t>
            </w:r>
          </w:p>
        </w:tc>
      </w:tr>
      <w:tr w:rsidR="00C217CC" w:rsidRPr="00CE357F" w14:paraId="3A5DF5C5" w14:textId="77777777" w:rsidTr="002100E9">
        <w:trPr>
          <w:trHeight w:val="204"/>
        </w:trPr>
        <w:tc>
          <w:tcPr>
            <w:tcW w:w="1137" w:type="dxa"/>
            <w:shd w:val="clear" w:color="auto" w:fill="D9E2F3" w:themeFill="accent1" w:themeFillTint="33"/>
            <w:vAlign w:val="center"/>
          </w:tcPr>
          <w:p w14:paraId="54AB3143"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Chudčice</w:t>
            </w:r>
          </w:p>
        </w:tc>
        <w:tc>
          <w:tcPr>
            <w:tcW w:w="771" w:type="dxa"/>
            <w:vAlign w:val="center"/>
          </w:tcPr>
          <w:p w14:paraId="468DB36D"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989</w:t>
            </w:r>
          </w:p>
        </w:tc>
        <w:tc>
          <w:tcPr>
            <w:tcW w:w="1433" w:type="dxa"/>
            <w:vAlign w:val="center"/>
          </w:tcPr>
          <w:p w14:paraId="45293F8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16</w:t>
            </w:r>
          </w:p>
        </w:tc>
        <w:tc>
          <w:tcPr>
            <w:tcW w:w="2009" w:type="dxa"/>
            <w:vAlign w:val="center"/>
          </w:tcPr>
          <w:p w14:paraId="5A7608B6" w14:textId="77777777" w:rsidR="00C217CC" w:rsidRPr="00CE357F" w:rsidRDefault="00C217CC" w:rsidP="002100E9">
            <w:pPr>
              <w:jc w:val="center"/>
              <w:rPr>
                <w:rFonts w:ascii="Arial Narrow" w:hAnsi="Arial Narrow"/>
                <w:sz w:val="18"/>
                <w:szCs w:val="18"/>
              </w:rPr>
            </w:pPr>
            <w:r w:rsidRPr="00CE357F">
              <w:rPr>
                <w:rFonts w:ascii="Arial Narrow" w:hAnsi="Arial Narrow"/>
                <w:sz w:val="18"/>
                <w:szCs w:val="18"/>
              </w:rPr>
              <w:t>1,62 %</w:t>
            </w:r>
          </w:p>
        </w:tc>
        <w:tc>
          <w:tcPr>
            <w:tcW w:w="559" w:type="dxa"/>
            <w:vAlign w:val="center"/>
          </w:tcPr>
          <w:p w14:paraId="7D390794"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11</w:t>
            </w:r>
          </w:p>
        </w:tc>
        <w:tc>
          <w:tcPr>
            <w:tcW w:w="542" w:type="dxa"/>
            <w:vAlign w:val="center"/>
          </w:tcPr>
          <w:p w14:paraId="0FE4B453"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53E69BDC"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12</w:t>
            </w:r>
          </w:p>
        </w:tc>
        <w:tc>
          <w:tcPr>
            <w:tcW w:w="559" w:type="dxa"/>
            <w:vAlign w:val="center"/>
          </w:tcPr>
          <w:p w14:paraId="50F61A3E"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3</w:t>
            </w:r>
          </w:p>
        </w:tc>
        <w:tc>
          <w:tcPr>
            <w:tcW w:w="497" w:type="dxa"/>
            <w:vAlign w:val="center"/>
          </w:tcPr>
          <w:p w14:paraId="0C5995C4"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733" w:type="dxa"/>
            <w:vAlign w:val="center"/>
          </w:tcPr>
          <w:p w14:paraId="63D3407D"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4</w:t>
            </w:r>
          </w:p>
        </w:tc>
      </w:tr>
      <w:tr w:rsidR="00C217CC" w:rsidRPr="00CE357F" w14:paraId="3EAAC14C" w14:textId="77777777" w:rsidTr="002100E9">
        <w:trPr>
          <w:trHeight w:val="204"/>
        </w:trPr>
        <w:tc>
          <w:tcPr>
            <w:tcW w:w="1137" w:type="dxa"/>
            <w:shd w:val="clear" w:color="auto" w:fill="D9E2F3" w:themeFill="accent1" w:themeFillTint="33"/>
            <w:vAlign w:val="center"/>
          </w:tcPr>
          <w:p w14:paraId="41AA51CB"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Moravské Knínice</w:t>
            </w:r>
          </w:p>
        </w:tc>
        <w:tc>
          <w:tcPr>
            <w:tcW w:w="771" w:type="dxa"/>
            <w:vAlign w:val="center"/>
          </w:tcPr>
          <w:p w14:paraId="3E10C0AC"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1080</w:t>
            </w:r>
          </w:p>
        </w:tc>
        <w:tc>
          <w:tcPr>
            <w:tcW w:w="1433" w:type="dxa"/>
            <w:vAlign w:val="center"/>
          </w:tcPr>
          <w:p w14:paraId="23BC5DDA"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16</w:t>
            </w:r>
          </w:p>
        </w:tc>
        <w:tc>
          <w:tcPr>
            <w:tcW w:w="2009" w:type="dxa"/>
            <w:vAlign w:val="center"/>
          </w:tcPr>
          <w:p w14:paraId="0C694618" w14:textId="77777777" w:rsidR="00C217CC" w:rsidRPr="00CE357F" w:rsidRDefault="00C217CC" w:rsidP="002100E9">
            <w:pPr>
              <w:jc w:val="center"/>
              <w:rPr>
                <w:rFonts w:ascii="Arial Narrow" w:hAnsi="Arial Narrow"/>
                <w:sz w:val="18"/>
                <w:szCs w:val="18"/>
              </w:rPr>
            </w:pPr>
            <w:r w:rsidRPr="00CE357F">
              <w:rPr>
                <w:rFonts w:ascii="Arial Narrow" w:hAnsi="Arial Narrow"/>
                <w:sz w:val="18"/>
                <w:szCs w:val="18"/>
              </w:rPr>
              <w:t>1,48 %</w:t>
            </w:r>
          </w:p>
        </w:tc>
        <w:tc>
          <w:tcPr>
            <w:tcW w:w="559" w:type="dxa"/>
            <w:vAlign w:val="center"/>
          </w:tcPr>
          <w:p w14:paraId="3DB2CEA6"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8</w:t>
            </w:r>
          </w:p>
        </w:tc>
        <w:tc>
          <w:tcPr>
            <w:tcW w:w="542" w:type="dxa"/>
            <w:vAlign w:val="center"/>
          </w:tcPr>
          <w:p w14:paraId="0FAE9E8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w:t>
            </w:r>
          </w:p>
        </w:tc>
        <w:tc>
          <w:tcPr>
            <w:tcW w:w="717" w:type="dxa"/>
            <w:vAlign w:val="center"/>
          </w:tcPr>
          <w:p w14:paraId="3904944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10</w:t>
            </w:r>
          </w:p>
        </w:tc>
        <w:tc>
          <w:tcPr>
            <w:tcW w:w="559" w:type="dxa"/>
            <w:vAlign w:val="center"/>
          </w:tcPr>
          <w:p w14:paraId="7FB975EE"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6</w:t>
            </w:r>
          </w:p>
        </w:tc>
        <w:tc>
          <w:tcPr>
            <w:tcW w:w="497" w:type="dxa"/>
            <w:vAlign w:val="center"/>
          </w:tcPr>
          <w:p w14:paraId="08EE1B42"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c>
          <w:tcPr>
            <w:tcW w:w="733" w:type="dxa"/>
            <w:vAlign w:val="center"/>
          </w:tcPr>
          <w:p w14:paraId="319866C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6</w:t>
            </w:r>
          </w:p>
        </w:tc>
      </w:tr>
      <w:tr w:rsidR="00C217CC" w:rsidRPr="00CE357F" w14:paraId="1B4FA426" w14:textId="77777777" w:rsidTr="002100E9">
        <w:trPr>
          <w:trHeight w:val="204"/>
        </w:trPr>
        <w:tc>
          <w:tcPr>
            <w:tcW w:w="1137" w:type="dxa"/>
            <w:shd w:val="clear" w:color="auto" w:fill="D9E2F3" w:themeFill="accent1" w:themeFillTint="33"/>
            <w:vAlign w:val="center"/>
          </w:tcPr>
          <w:p w14:paraId="37C64984"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Lelekovice</w:t>
            </w:r>
          </w:p>
        </w:tc>
        <w:tc>
          <w:tcPr>
            <w:tcW w:w="771" w:type="dxa"/>
            <w:vAlign w:val="center"/>
          </w:tcPr>
          <w:p w14:paraId="4CFF1CAD"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1 904</w:t>
            </w:r>
          </w:p>
        </w:tc>
        <w:tc>
          <w:tcPr>
            <w:tcW w:w="1433" w:type="dxa"/>
            <w:vAlign w:val="center"/>
          </w:tcPr>
          <w:p w14:paraId="71FBFCE0"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28</w:t>
            </w:r>
          </w:p>
        </w:tc>
        <w:tc>
          <w:tcPr>
            <w:tcW w:w="2009" w:type="dxa"/>
            <w:vAlign w:val="center"/>
          </w:tcPr>
          <w:p w14:paraId="6B210A05" w14:textId="77777777" w:rsidR="00C217CC" w:rsidRPr="00CE357F" w:rsidRDefault="00C217CC" w:rsidP="002100E9">
            <w:pPr>
              <w:jc w:val="center"/>
              <w:rPr>
                <w:rFonts w:ascii="Arial Narrow" w:hAnsi="Arial Narrow"/>
                <w:sz w:val="18"/>
                <w:szCs w:val="18"/>
              </w:rPr>
            </w:pPr>
            <w:r w:rsidRPr="00CE357F">
              <w:rPr>
                <w:rFonts w:ascii="Arial Narrow" w:hAnsi="Arial Narrow"/>
                <w:sz w:val="18"/>
                <w:szCs w:val="18"/>
              </w:rPr>
              <w:t>1,47 %</w:t>
            </w:r>
          </w:p>
        </w:tc>
        <w:tc>
          <w:tcPr>
            <w:tcW w:w="559" w:type="dxa"/>
            <w:vAlign w:val="center"/>
          </w:tcPr>
          <w:p w14:paraId="6D8A4A57"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17</w:t>
            </w:r>
          </w:p>
        </w:tc>
        <w:tc>
          <w:tcPr>
            <w:tcW w:w="542" w:type="dxa"/>
            <w:vAlign w:val="center"/>
          </w:tcPr>
          <w:p w14:paraId="6D52D46D"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1DAC5E4C"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18</w:t>
            </w:r>
          </w:p>
        </w:tc>
        <w:tc>
          <w:tcPr>
            <w:tcW w:w="559" w:type="dxa"/>
            <w:vAlign w:val="center"/>
          </w:tcPr>
          <w:p w14:paraId="78AA5775"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9</w:t>
            </w:r>
          </w:p>
        </w:tc>
        <w:tc>
          <w:tcPr>
            <w:tcW w:w="497" w:type="dxa"/>
            <w:vAlign w:val="center"/>
          </w:tcPr>
          <w:p w14:paraId="39EA1924"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733" w:type="dxa"/>
            <w:vAlign w:val="center"/>
          </w:tcPr>
          <w:p w14:paraId="64D35ACF"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10</w:t>
            </w:r>
          </w:p>
        </w:tc>
      </w:tr>
      <w:tr w:rsidR="00C217CC" w:rsidRPr="00CE357F" w14:paraId="3655A7B3" w14:textId="77777777" w:rsidTr="002100E9">
        <w:trPr>
          <w:trHeight w:val="204"/>
        </w:trPr>
        <w:tc>
          <w:tcPr>
            <w:tcW w:w="1137" w:type="dxa"/>
            <w:shd w:val="clear" w:color="auto" w:fill="D9E2F3" w:themeFill="accent1" w:themeFillTint="33"/>
            <w:vAlign w:val="center"/>
          </w:tcPr>
          <w:p w14:paraId="5958FD53"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Rozdrojovice</w:t>
            </w:r>
          </w:p>
        </w:tc>
        <w:tc>
          <w:tcPr>
            <w:tcW w:w="771" w:type="dxa"/>
            <w:vAlign w:val="center"/>
          </w:tcPr>
          <w:p w14:paraId="45FB49D8"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1089</w:t>
            </w:r>
          </w:p>
        </w:tc>
        <w:tc>
          <w:tcPr>
            <w:tcW w:w="1433" w:type="dxa"/>
            <w:vAlign w:val="center"/>
          </w:tcPr>
          <w:p w14:paraId="544CC480"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13</w:t>
            </w:r>
          </w:p>
        </w:tc>
        <w:tc>
          <w:tcPr>
            <w:tcW w:w="2009" w:type="dxa"/>
            <w:vAlign w:val="center"/>
          </w:tcPr>
          <w:p w14:paraId="201B44F5" w14:textId="77777777" w:rsidR="00C217CC" w:rsidRPr="00CE357F" w:rsidRDefault="00C217CC" w:rsidP="002100E9">
            <w:pPr>
              <w:jc w:val="center"/>
              <w:rPr>
                <w:rFonts w:ascii="Arial Narrow" w:hAnsi="Arial Narrow"/>
                <w:sz w:val="18"/>
                <w:szCs w:val="18"/>
              </w:rPr>
            </w:pPr>
            <w:r w:rsidRPr="00CE357F">
              <w:rPr>
                <w:rFonts w:ascii="Arial Narrow" w:hAnsi="Arial Narrow"/>
                <w:sz w:val="18"/>
                <w:szCs w:val="18"/>
              </w:rPr>
              <w:t>1,19 %</w:t>
            </w:r>
          </w:p>
        </w:tc>
        <w:tc>
          <w:tcPr>
            <w:tcW w:w="559" w:type="dxa"/>
            <w:vAlign w:val="center"/>
          </w:tcPr>
          <w:p w14:paraId="51313867"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6</w:t>
            </w:r>
          </w:p>
        </w:tc>
        <w:tc>
          <w:tcPr>
            <w:tcW w:w="542" w:type="dxa"/>
            <w:vAlign w:val="center"/>
          </w:tcPr>
          <w:p w14:paraId="684DB99B"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08D6689F"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6</w:t>
            </w:r>
          </w:p>
        </w:tc>
        <w:tc>
          <w:tcPr>
            <w:tcW w:w="559" w:type="dxa"/>
            <w:vAlign w:val="center"/>
          </w:tcPr>
          <w:p w14:paraId="2478522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7</w:t>
            </w:r>
          </w:p>
        </w:tc>
        <w:tc>
          <w:tcPr>
            <w:tcW w:w="497" w:type="dxa"/>
            <w:vAlign w:val="center"/>
          </w:tcPr>
          <w:p w14:paraId="36F4C3CA"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c>
          <w:tcPr>
            <w:tcW w:w="733" w:type="dxa"/>
            <w:vAlign w:val="center"/>
          </w:tcPr>
          <w:p w14:paraId="6707EE8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7</w:t>
            </w:r>
          </w:p>
        </w:tc>
      </w:tr>
      <w:tr w:rsidR="00C217CC" w:rsidRPr="00CE357F" w14:paraId="6D358E34" w14:textId="77777777" w:rsidTr="002100E9">
        <w:trPr>
          <w:trHeight w:val="204"/>
        </w:trPr>
        <w:tc>
          <w:tcPr>
            <w:tcW w:w="1137" w:type="dxa"/>
            <w:shd w:val="clear" w:color="auto" w:fill="D9E2F3" w:themeFill="accent1" w:themeFillTint="33"/>
            <w:vAlign w:val="center"/>
          </w:tcPr>
          <w:p w14:paraId="0F0F59E5"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Hvozdec</w:t>
            </w:r>
          </w:p>
        </w:tc>
        <w:tc>
          <w:tcPr>
            <w:tcW w:w="771" w:type="dxa"/>
            <w:vAlign w:val="center"/>
          </w:tcPr>
          <w:p w14:paraId="5AF84DD4" w14:textId="77777777" w:rsidR="00C217CC" w:rsidRPr="00CE357F" w:rsidRDefault="00C217CC" w:rsidP="002100E9">
            <w:pPr>
              <w:jc w:val="center"/>
              <w:rPr>
                <w:rFonts w:ascii="Arial Narrow" w:hAnsi="Arial Narrow"/>
                <w:color w:val="000000"/>
                <w:sz w:val="18"/>
                <w:szCs w:val="18"/>
              </w:rPr>
            </w:pPr>
            <w:r w:rsidRPr="00CE357F">
              <w:rPr>
                <w:rFonts w:ascii="Arial Narrow" w:hAnsi="Arial Narrow"/>
                <w:color w:val="000000"/>
                <w:sz w:val="18"/>
                <w:szCs w:val="18"/>
              </w:rPr>
              <w:t>343</w:t>
            </w:r>
          </w:p>
        </w:tc>
        <w:tc>
          <w:tcPr>
            <w:tcW w:w="1433" w:type="dxa"/>
            <w:vAlign w:val="center"/>
          </w:tcPr>
          <w:p w14:paraId="02CE9B3B"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2009" w:type="dxa"/>
            <w:vAlign w:val="center"/>
          </w:tcPr>
          <w:p w14:paraId="4B25D869" w14:textId="77777777" w:rsidR="00C217CC" w:rsidRPr="00CE357F" w:rsidRDefault="00C217CC" w:rsidP="002100E9">
            <w:pPr>
              <w:jc w:val="center"/>
              <w:rPr>
                <w:rFonts w:ascii="Arial Narrow" w:hAnsi="Arial Narrow"/>
                <w:sz w:val="18"/>
                <w:szCs w:val="18"/>
              </w:rPr>
            </w:pPr>
            <w:r w:rsidRPr="00CE357F">
              <w:rPr>
                <w:rFonts w:ascii="Arial Narrow" w:hAnsi="Arial Narrow"/>
                <w:sz w:val="18"/>
                <w:szCs w:val="18"/>
              </w:rPr>
              <w:t>0,29 %</w:t>
            </w:r>
          </w:p>
        </w:tc>
        <w:tc>
          <w:tcPr>
            <w:tcW w:w="559" w:type="dxa"/>
            <w:vAlign w:val="center"/>
          </w:tcPr>
          <w:p w14:paraId="05EC13E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542" w:type="dxa"/>
            <w:vAlign w:val="center"/>
          </w:tcPr>
          <w:p w14:paraId="4CC47B01"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28AFB965"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1</w:t>
            </w:r>
          </w:p>
        </w:tc>
        <w:tc>
          <w:tcPr>
            <w:tcW w:w="559" w:type="dxa"/>
            <w:vAlign w:val="center"/>
          </w:tcPr>
          <w:p w14:paraId="78681DF9"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c>
          <w:tcPr>
            <w:tcW w:w="497" w:type="dxa"/>
            <w:vAlign w:val="center"/>
          </w:tcPr>
          <w:p w14:paraId="4D52C1D5"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c>
          <w:tcPr>
            <w:tcW w:w="733" w:type="dxa"/>
            <w:vAlign w:val="center"/>
          </w:tcPr>
          <w:p w14:paraId="7AE2E343" w14:textId="77777777" w:rsidR="00C217CC" w:rsidRPr="00CE357F" w:rsidRDefault="00C217CC" w:rsidP="002100E9">
            <w:pPr>
              <w:jc w:val="center"/>
              <w:rPr>
                <w:rFonts w:ascii="Arial Narrow" w:hAnsi="Arial Narrow"/>
                <w:sz w:val="18"/>
                <w:szCs w:val="18"/>
              </w:rPr>
            </w:pPr>
            <w:r w:rsidRPr="00CE357F">
              <w:rPr>
                <w:rFonts w:ascii="Arial Narrow" w:hAnsi="Arial Narrow"/>
                <w:color w:val="000000"/>
                <w:sz w:val="18"/>
                <w:szCs w:val="18"/>
              </w:rPr>
              <w:t>0</w:t>
            </w:r>
          </w:p>
        </w:tc>
      </w:tr>
    </w:tbl>
    <w:p w14:paraId="3A9D4D50" w14:textId="77777777" w:rsidR="00C217CC" w:rsidRPr="00CE357F" w:rsidRDefault="00C217CC" w:rsidP="00C217CC">
      <w:pPr>
        <w:rPr>
          <w:rFonts w:ascii="Arial Narrow" w:hAnsi="Arial Narrow"/>
          <w:b/>
          <w:bCs/>
          <w:sz w:val="28"/>
          <w:szCs w:val="28"/>
        </w:rPr>
      </w:pPr>
      <w:r w:rsidRPr="00CE357F">
        <w:rPr>
          <w:rFonts w:ascii="Arial Narrow" w:hAnsi="Arial Narrow"/>
          <w:color w:val="000000"/>
          <w:sz w:val="20"/>
          <w:szCs w:val="20"/>
          <w:lang w:eastAsia="cs-CZ"/>
        </w:rPr>
        <w:t>Zdroj: Ministerstvo Vnitra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70ADCD32" w14:textId="77777777" w:rsidR="00F951BF" w:rsidRDefault="00F951BF" w:rsidP="00C217CC">
      <w:pPr>
        <w:spacing w:before="240" w:after="240" w:line="276" w:lineRule="auto"/>
        <w:jc w:val="both"/>
        <w:rPr>
          <w:rFonts w:ascii="Arial Narrow" w:hAnsi="Arial Narrow"/>
          <w:color w:val="000000"/>
        </w:rPr>
      </w:pPr>
    </w:p>
    <w:p w14:paraId="5B740462" w14:textId="77777777" w:rsidR="007F06F2" w:rsidRPr="00CE357F" w:rsidRDefault="007F06F2" w:rsidP="00C217CC">
      <w:pPr>
        <w:spacing w:before="240" w:after="240" w:line="276" w:lineRule="auto"/>
        <w:jc w:val="both"/>
        <w:rPr>
          <w:rFonts w:ascii="Arial Narrow" w:hAnsi="Arial Narrow"/>
          <w:color w:val="000000"/>
        </w:rPr>
      </w:pPr>
    </w:p>
    <w:p w14:paraId="1D76956F" w14:textId="312C0933" w:rsidR="00C217CC" w:rsidRPr="00CE357F" w:rsidRDefault="00C217CC" w:rsidP="00C217CC">
      <w:pPr>
        <w:spacing w:line="276" w:lineRule="auto"/>
        <w:jc w:val="both"/>
        <w:rPr>
          <w:rFonts w:ascii="Arial Narrow" w:hAnsi="Arial Narrow"/>
          <w:b/>
          <w:bCs/>
          <w:sz w:val="20"/>
          <w:szCs w:val="20"/>
        </w:rPr>
      </w:pPr>
      <w:bookmarkStart w:id="747" w:name="_Toc94443812"/>
      <w:bookmarkStart w:id="748" w:name="_Toc136428964"/>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120</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 xml:space="preserve">Podíl osob s jinou než českou státní příslušností na celkovém počtu obyvatel </w:t>
      </w:r>
      <w:r w:rsidR="00F951BF" w:rsidRPr="00F951BF">
        <w:rPr>
          <w:rFonts w:ascii="Arial Narrow" w:hAnsi="Arial Narrow"/>
          <w:b/>
          <w:bCs/>
          <w:sz w:val="20"/>
          <w:szCs w:val="20"/>
        </w:rPr>
        <w:t xml:space="preserve">vybraných obcí </w:t>
      </w:r>
      <w:r w:rsidRPr="00CE357F">
        <w:rPr>
          <w:rFonts w:ascii="Arial Narrow" w:hAnsi="Arial Narrow"/>
          <w:b/>
          <w:bCs/>
          <w:sz w:val="20"/>
          <w:szCs w:val="20"/>
        </w:rPr>
        <w:t>k 1. 1. 2021</w:t>
      </w:r>
      <w:bookmarkEnd w:id="747"/>
      <w:bookmarkEnd w:id="748"/>
    </w:p>
    <w:p w14:paraId="694F7214" w14:textId="77777777" w:rsidR="00C217CC" w:rsidRPr="00CE357F" w:rsidRDefault="00C217CC" w:rsidP="00C217CC">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1AC6B245" wp14:editId="3A009C50">
            <wp:extent cx="5760720" cy="2286000"/>
            <wp:effectExtent l="0" t="0" r="11430" b="0"/>
            <wp:docPr id="9" name="Graf 9">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B95AE1D" w14:textId="4845781C" w:rsidR="007F06F2" w:rsidRDefault="00C217CC" w:rsidP="007F06F2">
      <w:pPr>
        <w:spacing w:after="240"/>
        <w:rPr>
          <w:rFonts w:ascii="Arial Narrow" w:hAnsi="Arial Narrow"/>
          <w:b/>
          <w:bCs/>
        </w:rPr>
      </w:pPr>
      <w:r w:rsidRPr="00CE357F">
        <w:rPr>
          <w:rFonts w:ascii="Arial Narrow" w:hAnsi="Arial Narrow"/>
          <w:color w:val="000000"/>
          <w:lang w:eastAsia="cs-CZ"/>
        </w:rPr>
        <w:t>Zdroj: Ministerstvo Vnitra České republiky</w:t>
      </w:r>
      <w:r w:rsidRPr="00CE357F">
        <w:rPr>
          <w:rFonts w:ascii="Arial Narrow" w:hAnsi="Arial Narrow"/>
        </w:rPr>
        <w:tab/>
      </w:r>
      <w:r w:rsidRPr="00CE357F">
        <w:rPr>
          <w:rFonts w:ascii="Arial Narrow" w:hAnsi="Arial Narrow"/>
        </w:rPr>
        <w:tab/>
      </w:r>
      <w:r w:rsidRPr="00CE357F">
        <w:rPr>
          <w:rFonts w:ascii="Arial Narrow" w:hAnsi="Arial Narrow"/>
        </w:rPr>
        <w:tab/>
      </w:r>
      <w:r w:rsidRPr="00CE357F">
        <w:rPr>
          <w:rFonts w:ascii="Arial Narrow" w:hAnsi="Arial Narrow"/>
        </w:rPr>
        <w:tab/>
        <w:t xml:space="preserve">                 Graf: AUGUR </w:t>
      </w:r>
      <w:proofErr w:type="spellStart"/>
      <w:r w:rsidRPr="00CE357F">
        <w:rPr>
          <w:rFonts w:ascii="Arial Narrow" w:hAnsi="Arial Narrow"/>
        </w:rPr>
        <w:t>Consulting</w:t>
      </w:r>
      <w:proofErr w:type="spellEnd"/>
      <w:r w:rsidRPr="00CE357F">
        <w:rPr>
          <w:rFonts w:ascii="Arial Narrow" w:hAnsi="Arial Narrow"/>
        </w:rPr>
        <w:t>, s.r.o.</w:t>
      </w:r>
    </w:p>
    <w:p w14:paraId="30B9F8D5" w14:textId="26FCCEC9" w:rsidR="00C217CC" w:rsidRPr="007F06F2" w:rsidRDefault="00C217CC" w:rsidP="007F06F2">
      <w:pPr>
        <w:spacing w:after="240"/>
        <w:rPr>
          <w:rFonts w:ascii="Arial Narrow" w:hAnsi="Arial Narrow"/>
          <w:color w:val="000000"/>
          <w:lang w:eastAsia="cs-CZ"/>
        </w:rPr>
      </w:pPr>
      <w:r w:rsidRPr="00CE357F">
        <w:rPr>
          <w:rFonts w:ascii="Arial Narrow" w:hAnsi="Arial Narrow"/>
          <w:b/>
          <w:bCs/>
        </w:rPr>
        <w:t>Osoby s jinou než českou státní příslušností v ORP Kuřim k datu 1. 1. 2022</w:t>
      </w:r>
    </w:p>
    <w:p w14:paraId="698BC6D0" w14:textId="77777777" w:rsidR="00C217CC" w:rsidRPr="00CE357F" w:rsidRDefault="00C217CC" w:rsidP="00C217CC">
      <w:pPr>
        <w:spacing w:after="120" w:line="276" w:lineRule="auto"/>
        <w:jc w:val="both"/>
        <w:rPr>
          <w:rFonts w:ascii="Arial Narrow" w:hAnsi="Arial Narrow"/>
          <w:color w:val="000000"/>
        </w:rPr>
      </w:pPr>
      <w:bookmarkStart w:id="749" w:name="_Hlk92798090"/>
      <w:r w:rsidRPr="00CE357F">
        <w:rPr>
          <w:rFonts w:ascii="Arial Narrow" w:hAnsi="Arial Narrow"/>
          <w:color w:val="000000"/>
        </w:rPr>
        <w:t xml:space="preserve">V ORP Kuřim žilo k datu 1. 1. 2022 celkem 980 osob s jinou než českou státní příslušností, což bylo zhruba 4,3 % všech obyvatel ORP Kuřim. Více než 9 osob s jinou než českou státní příslušností z 10 (92,55 %) mělo více než 15 let. Děti do 15 let tvořily k 1. 1. 2021 celkem 7,45 % všech osob s jinou než českou státní příslušností na území ORP Kuřim. </w:t>
      </w:r>
      <w:bookmarkStart w:id="750" w:name="_Hlk92800519"/>
      <w:bookmarkEnd w:id="749"/>
    </w:p>
    <w:p w14:paraId="4F81E889" w14:textId="29273DBF" w:rsidR="00C217CC" w:rsidRPr="00CE357F" w:rsidRDefault="00C217CC" w:rsidP="00C217CC">
      <w:pPr>
        <w:spacing w:after="120" w:line="276" w:lineRule="auto"/>
        <w:jc w:val="both"/>
        <w:rPr>
          <w:rFonts w:ascii="Arial Narrow" w:hAnsi="Arial Narrow"/>
          <w:color w:val="000000"/>
        </w:rPr>
      </w:pPr>
      <w:r w:rsidRPr="00CE357F">
        <w:rPr>
          <w:rFonts w:ascii="Arial Narrow" w:hAnsi="Arial Narrow"/>
          <w:color w:val="000000"/>
        </w:rPr>
        <w:t xml:space="preserve">Nejvyšší podíl osob s jinou než českou státní příslušností na celkovém počtu obyvatel v dané obci byl ve Veverské Bítýšce (9,04 % všech obyvatel). </w:t>
      </w:r>
      <w:bookmarkEnd w:id="750"/>
      <w:r w:rsidRPr="00CE357F">
        <w:rPr>
          <w:rFonts w:ascii="Arial Narrow" w:hAnsi="Arial Narrow"/>
          <w:color w:val="000000"/>
        </w:rPr>
        <w:t>Druhý nejvyšší podíl osob s jinou než českou státní příslušností byl evidován v obcích Kuřim, kde tyto osoby tvořily 4,74 % všech obyvatel, a v obci Česká, kde tyto osoby tvořily 4,49 % všech obyvatel.</w:t>
      </w:r>
      <w:r w:rsidR="007F06F2">
        <w:rPr>
          <w:rFonts w:ascii="Arial Narrow" w:hAnsi="Arial Narrow"/>
          <w:color w:val="000000"/>
        </w:rPr>
        <w:t xml:space="preserve"> </w:t>
      </w:r>
      <w:r w:rsidRPr="00CE357F">
        <w:rPr>
          <w:rFonts w:ascii="Arial Narrow" w:hAnsi="Arial Narrow"/>
          <w:color w:val="000000"/>
        </w:rPr>
        <w:t xml:space="preserve">Počty osob s jinou než českou státní příslušností v daných obcích včetně rozdělení osob s jinou než českou státní příslušností podle pohlaví a věku </w:t>
      </w:r>
      <w:r w:rsidR="007F06F2">
        <w:rPr>
          <w:rFonts w:ascii="Arial Narrow" w:hAnsi="Arial Narrow"/>
          <w:color w:val="000000"/>
        </w:rPr>
        <w:t xml:space="preserve">a jejich podíl na celkovém počtu obyvatel </w:t>
      </w:r>
      <w:r w:rsidRPr="00CE357F">
        <w:rPr>
          <w:rFonts w:ascii="Arial Narrow" w:hAnsi="Arial Narrow"/>
          <w:color w:val="000000"/>
        </w:rPr>
        <w:t>podrobně dokumentuje následující tabulka</w:t>
      </w:r>
      <w:r w:rsidR="00EC3CF5">
        <w:rPr>
          <w:rFonts w:ascii="Arial Narrow" w:hAnsi="Arial Narrow"/>
          <w:color w:val="000000"/>
        </w:rPr>
        <w:t xml:space="preserve"> č. 51 a graf č. 121</w:t>
      </w:r>
      <w:r w:rsidRPr="00CE357F">
        <w:rPr>
          <w:rFonts w:ascii="Arial Narrow" w:hAnsi="Arial Narrow"/>
          <w:color w:val="000000"/>
        </w:rPr>
        <w:t xml:space="preserve">. </w:t>
      </w:r>
    </w:p>
    <w:p w14:paraId="45C2A111" w14:textId="477AAAD2" w:rsidR="00C217CC" w:rsidRPr="00CE357F" w:rsidRDefault="00C217CC" w:rsidP="00C217CC">
      <w:pPr>
        <w:spacing w:line="276" w:lineRule="auto"/>
        <w:jc w:val="both"/>
        <w:rPr>
          <w:rFonts w:ascii="Arial Narrow" w:hAnsi="Arial Narrow"/>
          <w:b/>
          <w:bCs/>
          <w:sz w:val="24"/>
          <w:szCs w:val="24"/>
        </w:rPr>
      </w:pPr>
      <w:bookmarkStart w:id="751" w:name="_Toc136429262"/>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51</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Kuřim v roce 2022</w:t>
      </w:r>
      <w:bookmarkEnd w:id="751"/>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42"/>
        <w:gridCol w:w="879"/>
        <w:gridCol w:w="1448"/>
        <w:gridCol w:w="1881"/>
        <w:gridCol w:w="559"/>
        <w:gridCol w:w="542"/>
        <w:gridCol w:w="717"/>
        <w:gridCol w:w="559"/>
        <w:gridCol w:w="495"/>
        <w:gridCol w:w="735"/>
      </w:tblGrid>
      <w:tr w:rsidR="00C217CC" w:rsidRPr="00CE357F" w14:paraId="708AA3DB" w14:textId="77777777" w:rsidTr="001E6C18">
        <w:trPr>
          <w:trHeight w:val="204"/>
        </w:trPr>
        <w:tc>
          <w:tcPr>
            <w:tcW w:w="1142" w:type="dxa"/>
            <w:vMerge w:val="restart"/>
            <w:shd w:val="clear" w:color="auto" w:fill="D9E2F3" w:themeFill="accent1" w:themeFillTint="33"/>
            <w:vAlign w:val="center"/>
          </w:tcPr>
          <w:p w14:paraId="56A9E616"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879" w:type="dxa"/>
            <w:vMerge w:val="restart"/>
            <w:shd w:val="clear" w:color="auto" w:fill="D9E2F3" w:themeFill="accent1" w:themeFillTint="33"/>
            <w:vAlign w:val="center"/>
          </w:tcPr>
          <w:p w14:paraId="4EECBCD2" w14:textId="77777777" w:rsidR="00C217CC" w:rsidRPr="00CE357F" w:rsidRDefault="00C217CC" w:rsidP="004A0C47">
            <w:pPr>
              <w:spacing w:after="46"/>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448" w:type="dxa"/>
            <w:vMerge w:val="restart"/>
            <w:shd w:val="clear" w:color="auto" w:fill="D9E2F3" w:themeFill="accent1" w:themeFillTint="33"/>
            <w:vAlign w:val="center"/>
          </w:tcPr>
          <w:p w14:paraId="6B14B488"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Osoby s jinou než českou státní příslušností celkem</w:t>
            </w:r>
          </w:p>
        </w:tc>
        <w:tc>
          <w:tcPr>
            <w:tcW w:w="1881" w:type="dxa"/>
            <w:vMerge w:val="restart"/>
            <w:shd w:val="clear" w:color="auto" w:fill="D9E2F3" w:themeFill="accent1" w:themeFillTint="33"/>
            <w:vAlign w:val="center"/>
          </w:tcPr>
          <w:p w14:paraId="145EA2FF" w14:textId="77777777" w:rsidR="00C217CC" w:rsidRPr="00CE357F" w:rsidRDefault="00C217CC" w:rsidP="004A0C47">
            <w:pPr>
              <w:spacing w:after="46"/>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osob s jinou než českou státní příslušností na celkovém počtu obyvatel</w:t>
            </w:r>
          </w:p>
        </w:tc>
        <w:tc>
          <w:tcPr>
            <w:tcW w:w="1818" w:type="dxa"/>
            <w:gridSpan w:val="3"/>
            <w:shd w:val="clear" w:color="auto" w:fill="D9E2F3" w:themeFill="accent1" w:themeFillTint="33"/>
            <w:vAlign w:val="center"/>
          </w:tcPr>
          <w:p w14:paraId="0D9FBF2C"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1789" w:type="dxa"/>
            <w:gridSpan w:val="3"/>
            <w:shd w:val="clear" w:color="auto" w:fill="D9E2F3" w:themeFill="accent1" w:themeFillTint="33"/>
            <w:vAlign w:val="center"/>
          </w:tcPr>
          <w:p w14:paraId="4475A6BE"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C217CC" w:rsidRPr="00CE357F" w14:paraId="03AD61D4" w14:textId="77777777" w:rsidTr="001E6C18">
        <w:trPr>
          <w:trHeight w:val="204"/>
        </w:trPr>
        <w:tc>
          <w:tcPr>
            <w:tcW w:w="1142" w:type="dxa"/>
            <w:vMerge/>
            <w:shd w:val="clear" w:color="auto" w:fill="D9E2F3" w:themeFill="accent1" w:themeFillTint="33"/>
            <w:vAlign w:val="center"/>
          </w:tcPr>
          <w:p w14:paraId="11BD0ACA" w14:textId="77777777" w:rsidR="00C217CC" w:rsidRPr="00CE357F" w:rsidRDefault="00C217CC" w:rsidP="004A0C47">
            <w:pPr>
              <w:spacing w:after="46"/>
              <w:jc w:val="center"/>
              <w:rPr>
                <w:rFonts w:ascii="Arial Narrow" w:eastAsia="Times New Roman" w:hAnsi="Arial Narrow" w:cs="Arial"/>
                <w:sz w:val="18"/>
                <w:szCs w:val="18"/>
                <w:lang w:eastAsia="cs-CZ"/>
              </w:rPr>
            </w:pPr>
          </w:p>
        </w:tc>
        <w:tc>
          <w:tcPr>
            <w:tcW w:w="879" w:type="dxa"/>
            <w:vMerge/>
            <w:shd w:val="clear" w:color="auto" w:fill="D9E2F3" w:themeFill="accent1" w:themeFillTint="33"/>
            <w:vAlign w:val="center"/>
          </w:tcPr>
          <w:p w14:paraId="1C538F2C" w14:textId="77777777" w:rsidR="00C217CC" w:rsidRPr="00CE357F" w:rsidRDefault="00C217CC" w:rsidP="004A0C47">
            <w:pPr>
              <w:spacing w:after="46"/>
              <w:jc w:val="center"/>
              <w:rPr>
                <w:rFonts w:ascii="Arial Narrow" w:eastAsia="Times New Roman" w:hAnsi="Arial Narrow" w:cs="Arial"/>
                <w:sz w:val="18"/>
                <w:szCs w:val="18"/>
                <w:lang w:eastAsia="cs-CZ"/>
              </w:rPr>
            </w:pPr>
          </w:p>
        </w:tc>
        <w:tc>
          <w:tcPr>
            <w:tcW w:w="1448" w:type="dxa"/>
            <w:vMerge/>
            <w:shd w:val="clear" w:color="auto" w:fill="D9E2F3" w:themeFill="accent1" w:themeFillTint="33"/>
            <w:vAlign w:val="center"/>
          </w:tcPr>
          <w:p w14:paraId="4CA84FC5" w14:textId="77777777" w:rsidR="00C217CC" w:rsidRPr="00CE357F" w:rsidRDefault="00C217CC" w:rsidP="004A0C47">
            <w:pPr>
              <w:spacing w:after="46"/>
              <w:jc w:val="center"/>
              <w:rPr>
                <w:rFonts w:ascii="Arial Narrow" w:eastAsia="Times New Roman" w:hAnsi="Arial Narrow" w:cs="Arial"/>
                <w:sz w:val="18"/>
                <w:szCs w:val="18"/>
                <w:lang w:eastAsia="cs-CZ"/>
              </w:rPr>
            </w:pPr>
          </w:p>
        </w:tc>
        <w:tc>
          <w:tcPr>
            <w:tcW w:w="1881" w:type="dxa"/>
            <w:vMerge/>
            <w:shd w:val="clear" w:color="auto" w:fill="D9E2F3" w:themeFill="accent1" w:themeFillTint="33"/>
            <w:vAlign w:val="center"/>
          </w:tcPr>
          <w:p w14:paraId="700908AA" w14:textId="77777777" w:rsidR="00C217CC" w:rsidRPr="00CE357F" w:rsidRDefault="00C217CC" w:rsidP="004A0C47">
            <w:pPr>
              <w:spacing w:after="46"/>
              <w:jc w:val="center"/>
              <w:rPr>
                <w:rFonts w:ascii="Arial Narrow" w:eastAsia="Times New Roman" w:hAnsi="Arial Narrow" w:cs="Arial"/>
                <w:sz w:val="18"/>
                <w:szCs w:val="18"/>
                <w:lang w:eastAsia="cs-CZ"/>
              </w:rPr>
            </w:pPr>
          </w:p>
        </w:tc>
        <w:tc>
          <w:tcPr>
            <w:tcW w:w="559" w:type="dxa"/>
            <w:shd w:val="clear" w:color="auto" w:fill="D9E2F3" w:themeFill="accent1" w:themeFillTint="33"/>
            <w:vAlign w:val="center"/>
          </w:tcPr>
          <w:p w14:paraId="259E4244"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42" w:type="dxa"/>
            <w:shd w:val="clear" w:color="auto" w:fill="D9E2F3" w:themeFill="accent1" w:themeFillTint="33"/>
            <w:vAlign w:val="center"/>
          </w:tcPr>
          <w:p w14:paraId="436102BE"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7BB31D45"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59" w:type="dxa"/>
            <w:shd w:val="clear" w:color="auto" w:fill="D9E2F3" w:themeFill="accent1" w:themeFillTint="33"/>
            <w:vAlign w:val="center"/>
          </w:tcPr>
          <w:p w14:paraId="2176CFA3"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495" w:type="dxa"/>
            <w:shd w:val="clear" w:color="auto" w:fill="D9E2F3" w:themeFill="accent1" w:themeFillTint="33"/>
            <w:vAlign w:val="center"/>
          </w:tcPr>
          <w:p w14:paraId="66086586"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35" w:type="dxa"/>
            <w:shd w:val="clear" w:color="auto" w:fill="D9E2F3" w:themeFill="accent1" w:themeFillTint="33"/>
            <w:vAlign w:val="center"/>
          </w:tcPr>
          <w:p w14:paraId="6B2BA031" w14:textId="77777777" w:rsidR="00C217CC" w:rsidRPr="00CE357F" w:rsidRDefault="00C217CC"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C217CC" w:rsidRPr="00CE357F" w14:paraId="72C87E59" w14:textId="77777777" w:rsidTr="001E6C18">
        <w:trPr>
          <w:trHeight w:val="204"/>
        </w:trPr>
        <w:tc>
          <w:tcPr>
            <w:tcW w:w="1142" w:type="dxa"/>
            <w:shd w:val="clear" w:color="auto" w:fill="D9E2F3" w:themeFill="accent1" w:themeFillTint="33"/>
            <w:vAlign w:val="center"/>
          </w:tcPr>
          <w:p w14:paraId="2D8EB664"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Veverská Bítýška</w:t>
            </w:r>
          </w:p>
        </w:tc>
        <w:tc>
          <w:tcPr>
            <w:tcW w:w="879" w:type="dxa"/>
            <w:vAlign w:val="center"/>
          </w:tcPr>
          <w:p w14:paraId="56F7F2E4"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3 254</w:t>
            </w:r>
          </w:p>
        </w:tc>
        <w:tc>
          <w:tcPr>
            <w:tcW w:w="1448" w:type="dxa"/>
            <w:vAlign w:val="center"/>
          </w:tcPr>
          <w:p w14:paraId="012E097F"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294</w:t>
            </w:r>
          </w:p>
        </w:tc>
        <w:tc>
          <w:tcPr>
            <w:tcW w:w="1881" w:type="dxa"/>
            <w:vAlign w:val="center"/>
          </w:tcPr>
          <w:p w14:paraId="5E2EF97E"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color w:val="C00000"/>
                <w:sz w:val="18"/>
                <w:szCs w:val="18"/>
              </w:rPr>
              <w:t>9,04 %</w:t>
            </w:r>
          </w:p>
        </w:tc>
        <w:tc>
          <w:tcPr>
            <w:tcW w:w="559" w:type="dxa"/>
            <w:vAlign w:val="center"/>
          </w:tcPr>
          <w:p w14:paraId="4B2644FE"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95</w:t>
            </w:r>
          </w:p>
        </w:tc>
        <w:tc>
          <w:tcPr>
            <w:tcW w:w="542" w:type="dxa"/>
            <w:vAlign w:val="center"/>
          </w:tcPr>
          <w:p w14:paraId="1631B0FF"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6</w:t>
            </w:r>
          </w:p>
        </w:tc>
        <w:tc>
          <w:tcPr>
            <w:tcW w:w="717" w:type="dxa"/>
            <w:vAlign w:val="center"/>
          </w:tcPr>
          <w:p w14:paraId="0B5FEF9F"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101</w:t>
            </w:r>
          </w:p>
        </w:tc>
        <w:tc>
          <w:tcPr>
            <w:tcW w:w="559" w:type="dxa"/>
            <w:vAlign w:val="center"/>
          </w:tcPr>
          <w:p w14:paraId="7A785716"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188</w:t>
            </w:r>
          </w:p>
        </w:tc>
        <w:tc>
          <w:tcPr>
            <w:tcW w:w="495" w:type="dxa"/>
            <w:vAlign w:val="center"/>
          </w:tcPr>
          <w:p w14:paraId="75B1ED43"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5</w:t>
            </w:r>
          </w:p>
        </w:tc>
        <w:tc>
          <w:tcPr>
            <w:tcW w:w="735" w:type="dxa"/>
            <w:vAlign w:val="center"/>
          </w:tcPr>
          <w:p w14:paraId="45E8105C"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193</w:t>
            </w:r>
          </w:p>
        </w:tc>
      </w:tr>
      <w:tr w:rsidR="00C217CC" w:rsidRPr="00CE357F" w14:paraId="15FFFB7B" w14:textId="77777777" w:rsidTr="001E6C18">
        <w:trPr>
          <w:trHeight w:val="204"/>
        </w:trPr>
        <w:tc>
          <w:tcPr>
            <w:tcW w:w="1142" w:type="dxa"/>
            <w:shd w:val="clear" w:color="auto" w:fill="D9E2F3" w:themeFill="accent1" w:themeFillTint="33"/>
            <w:vAlign w:val="center"/>
          </w:tcPr>
          <w:p w14:paraId="10A40FE0"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Kuřim</w:t>
            </w:r>
          </w:p>
        </w:tc>
        <w:tc>
          <w:tcPr>
            <w:tcW w:w="879" w:type="dxa"/>
            <w:vAlign w:val="center"/>
          </w:tcPr>
          <w:p w14:paraId="0101BB74"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10 539</w:t>
            </w:r>
          </w:p>
        </w:tc>
        <w:tc>
          <w:tcPr>
            <w:tcW w:w="1448" w:type="dxa"/>
            <w:vAlign w:val="center"/>
          </w:tcPr>
          <w:p w14:paraId="3A80F1A9"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500</w:t>
            </w:r>
          </w:p>
        </w:tc>
        <w:tc>
          <w:tcPr>
            <w:tcW w:w="1881" w:type="dxa"/>
            <w:vAlign w:val="center"/>
          </w:tcPr>
          <w:p w14:paraId="7FC3B3CA"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color w:val="C00000"/>
                <w:sz w:val="18"/>
                <w:szCs w:val="18"/>
              </w:rPr>
              <w:t>4,74 %</w:t>
            </w:r>
          </w:p>
        </w:tc>
        <w:tc>
          <w:tcPr>
            <w:tcW w:w="559" w:type="dxa"/>
            <w:vAlign w:val="center"/>
          </w:tcPr>
          <w:p w14:paraId="11D5380F"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245</w:t>
            </w:r>
          </w:p>
        </w:tc>
        <w:tc>
          <w:tcPr>
            <w:tcW w:w="542" w:type="dxa"/>
            <w:vAlign w:val="center"/>
          </w:tcPr>
          <w:p w14:paraId="3BD44BAD"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13</w:t>
            </w:r>
          </w:p>
        </w:tc>
        <w:tc>
          <w:tcPr>
            <w:tcW w:w="717" w:type="dxa"/>
            <w:vAlign w:val="center"/>
          </w:tcPr>
          <w:p w14:paraId="5A67F67A"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258</w:t>
            </w:r>
          </w:p>
        </w:tc>
        <w:tc>
          <w:tcPr>
            <w:tcW w:w="559" w:type="dxa"/>
            <w:vAlign w:val="center"/>
          </w:tcPr>
          <w:p w14:paraId="61677CDC"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215</w:t>
            </w:r>
          </w:p>
        </w:tc>
        <w:tc>
          <w:tcPr>
            <w:tcW w:w="495" w:type="dxa"/>
            <w:vAlign w:val="center"/>
          </w:tcPr>
          <w:p w14:paraId="5A2DFC41"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27</w:t>
            </w:r>
          </w:p>
        </w:tc>
        <w:tc>
          <w:tcPr>
            <w:tcW w:w="735" w:type="dxa"/>
            <w:vAlign w:val="center"/>
          </w:tcPr>
          <w:p w14:paraId="31333EE1"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242</w:t>
            </w:r>
          </w:p>
        </w:tc>
      </w:tr>
      <w:tr w:rsidR="00C217CC" w:rsidRPr="00CE357F" w14:paraId="021D19C5" w14:textId="77777777" w:rsidTr="001E6C18">
        <w:trPr>
          <w:trHeight w:val="204"/>
        </w:trPr>
        <w:tc>
          <w:tcPr>
            <w:tcW w:w="1142" w:type="dxa"/>
            <w:shd w:val="clear" w:color="auto" w:fill="D9E2F3" w:themeFill="accent1" w:themeFillTint="33"/>
            <w:vAlign w:val="center"/>
          </w:tcPr>
          <w:p w14:paraId="185F6AF0"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Česká</w:t>
            </w:r>
          </w:p>
        </w:tc>
        <w:tc>
          <w:tcPr>
            <w:tcW w:w="879" w:type="dxa"/>
            <w:vAlign w:val="center"/>
          </w:tcPr>
          <w:p w14:paraId="1F963715"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1 003</w:t>
            </w:r>
          </w:p>
        </w:tc>
        <w:tc>
          <w:tcPr>
            <w:tcW w:w="1448" w:type="dxa"/>
            <w:vAlign w:val="center"/>
          </w:tcPr>
          <w:p w14:paraId="60CBD574"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45</w:t>
            </w:r>
          </w:p>
        </w:tc>
        <w:tc>
          <w:tcPr>
            <w:tcW w:w="1881" w:type="dxa"/>
            <w:vAlign w:val="center"/>
          </w:tcPr>
          <w:p w14:paraId="06C89F28" w14:textId="77777777" w:rsidR="00C217CC" w:rsidRPr="00CE357F" w:rsidRDefault="00C217CC" w:rsidP="004A0C47">
            <w:pPr>
              <w:jc w:val="center"/>
              <w:rPr>
                <w:rFonts w:ascii="Arial Narrow" w:hAnsi="Arial Narrow"/>
                <w:b/>
                <w:bCs/>
                <w:sz w:val="18"/>
                <w:szCs w:val="18"/>
              </w:rPr>
            </w:pPr>
            <w:r w:rsidRPr="00CE357F">
              <w:rPr>
                <w:rFonts w:ascii="Arial Narrow" w:hAnsi="Arial Narrow"/>
                <w:b/>
                <w:bCs/>
                <w:color w:val="C00000"/>
                <w:sz w:val="18"/>
                <w:szCs w:val="18"/>
              </w:rPr>
              <w:t>4,49 %</w:t>
            </w:r>
          </w:p>
        </w:tc>
        <w:tc>
          <w:tcPr>
            <w:tcW w:w="559" w:type="dxa"/>
            <w:vAlign w:val="center"/>
          </w:tcPr>
          <w:p w14:paraId="598E771B"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24</w:t>
            </w:r>
          </w:p>
        </w:tc>
        <w:tc>
          <w:tcPr>
            <w:tcW w:w="542" w:type="dxa"/>
            <w:vAlign w:val="center"/>
          </w:tcPr>
          <w:p w14:paraId="497C1BC7"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39427A62"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24</w:t>
            </w:r>
          </w:p>
        </w:tc>
        <w:tc>
          <w:tcPr>
            <w:tcW w:w="559" w:type="dxa"/>
            <w:vAlign w:val="center"/>
          </w:tcPr>
          <w:p w14:paraId="465DDA51"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18</w:t>
            </w:r>
          </w:p>
        </w:tc>
        <w:tc>
          <w:tcPr>
            <w:tcW w:w="495" w:type="dxa"/>
            <w:vAlign w:val="center"/>
          </w:tcPr>
          <w:p w14:paraId="198D31AA"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3</w:t>
            </w:r>
          </w:p>
        </w:tc>
        <w:tc>
          <w:tcPr>
            <w:tcW w:w="735" w:type="dxa"/>
            <w:vAlign w:val="center"/>
          </w:tcPr>
          <w:p w14:paraId="58B7113C"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21</w:t>
            </w:r>
          </w:p>
        </w:tc>
      </w:tr>
      <w:tr w:rsidR="00C217CC" w:rsidRPr="00CE357F" w14:paraId="538A0F50" w14:textId="77777777" w:rsidTr="001E6C18">
        <w:trPr>
          <w:trHeight w:val="204"/>
        </w:trPr>
        <w:tc>
          <w:tcPr>
            <w:tcW w:w="1142" w:type="dxa"/>
            <w:shd w:val="clear" w:color="auto" w:fill="D9E2F3" w:themeFill="accent1" w:themeFillTint="33"/>
            <w:vAlign w:val="center"/>
          </w:tcPr>
          <w:p w14:paraId="31724E6B"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Čebín</w:t>
            </w:r>
          </w:p>
        </w:tc>
        <w:tc>
          <w:tcPr>
            <w:tcW w:w="879" w:type="dxa"/>
            <w:vAlign w:val="center"/>
          </w:tcPr>
          <w:p w14:paraId="09372D07"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1 805</w:t>
            </w:r>
          </w:p>
        </w:tc>
        <w:tc>
          <w:tcPr>
            <w:tcW w:w="1448" w:type="dxa"/>
            <w:vAlign w:val="center"/>
          </w:tcPr>
          <w:p w14:paraId="24C71AF8"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51</w:t>
            </w:r>
          </w:p>
        </w:tc>
        <w:tc>
          <w:tcPr>
            <w:tcW w:w="1881" w:type="dxa"/>
            <w:vAlign w:val="center"/>
          </w:tcPr>
          <w:p w14:paraId="05626321"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2,83 %</w:t>
            </w:r>
          </w:p>
        </w:tc>
        <w:tc>
          <w:tcPr>
            <w:tcW w:w="559" w:type="dxa"/>
            <w:vAlign w:val="center"/>
          </w:tcPr>
          <w:p w14:paraId="2A81A3F5"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18</w:t>
            </w:r>
          </w:p>
        </w:tc>
        <w:tc>
          <w:tcPr>
            <w:tcW w:w="542" w:type="dxa"/>
            <w:vAlign w:val="center"/>
          </w:tcPr>
          <w:p w14:paraId="4A7BC5F8"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9</w:t>
            </w:r>
          </w:p>
        </w:tc>
        <w:tc>
          <w:tcPr>
            <w:tcW w:w="717" w:type="dxa"/>
            <w:vAlign w:val="center"/>
          </w:tcPr>
          <w:p w14:paraId="09669E61"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27</w:t>
            </w:r>
          </w:p>
        </w:tc>
        <w:tc>
          <w:tcPr>
            <w:tcW w:w="559" w:type="dxa"/>
            <w:vAlign w:val="center"/>
          </w:tcPr>
          <w:p w14:paraId="40D69634"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22</w:t>
            </w:r>
          </w:p>
        </w:tc>
        <w:tc>
          <w:tcPr>
            <w:tcW w:w="495" w:type="dxa"/>
            <w:vAlign w:val="center"/>
          </w:tcPr>
          <w:p w14:paraId="034D0DC1"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2</w:t>
            </w:r>
          </w:p>
        </w:tc>
        <w:tc>
          <w:tcPr>
            <w:tcW w:w="735" w:type="dxa"/>
            <w:vAlign w:val="center"/>
          </w:tcPr>
          <w:p w14:paraId="3E1555D1"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24</w:t>
            </w:r>
          </w:p>
        </w:tc>
      </w:tr>
      <w:tr w:rsidR="00C217CC" w:rsidRPr="00CE357F" w14:paraId="7008C961" w14:textId="77777777" w:rsidTr="001E6C18">
        <w:trPr>
          <w:trHeight w:val="204"/>
        </w:trPr>
        <w:tc>
          <w:tcPr>
            <w:tcW w:w="1142" w:type="dxa"/>
            <w:shd w:val="clear" w:color="auto" w:fill="D9E2F3" w:themeFill="accent1" w:themeFillTint="33"/>
            <w:vAlign w:val="center"/>
          </w:tcPr>
          <w:p w14:paraId="727A5F7A"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Moravské Knínice</w:t>
            </w:r>
          </w:p>
        </w:tc>
        <w:tc>
          <w:tcPr>
            <w:tcW w:w="879" w:type="dxa"/>
            <w:vAlign w:val="center"/>
          </w:tcPr>
          <w:p w14:paraId="5BADCF58"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1 102</w:t>
            </w:r>
          </w:p>
        </w:tc>
        <w:tc>
          <w:tcPr>
            <w:tcW w:w="1448" w:type="dxa"/>
            <w:vAlign w:val="center"/>
          </w:tcPr>
          <w:p w14:paraId="35F83EE8"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19</w:t>
            </w:r>
          </w:p>
        </w:tc>
        <w:tc>
          <w:tcPr>
            <w:tcW w:w="1881" w:type="dxa"/>
            <w:vAlign w:val="center"/>
          </w:tcPr>
          <w:p w14:paraId="0F921F41"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1,72 %</w:t>
            </w:r>
          </w:p>
        </w:tc>
        <w:tc>
          <w:tcPr>
            <w:tcW w:w="559" w:type="dxa"/>
            <w:vAlign w:val="center"/>
          </w:tcPr>
          <w:p w14:paraId="73C5B356"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8</w:t>
            </w:r>
          </w:p>
        </w:tc>
        <w:tc>
          <w:tcPr>
            <w:tcW w:w="542" w:type="dxa"/>
            <w:vAlign w:val="center"/>
          </w:tcPr>
          <w:p w14:paraId="027DE953"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2</w:t>
            </w:r>
          </w:p>
        </w:tc>
        <w:tc>
          <w:tcPr>
            <w:tcW w:w="717" w:type="dxa"/>
            <w:vAlign w:val="center"/>
          </w:tcPr>
          <w:p w14:paraId="336CCB0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10</w:t>
            </w:r>
          </w:p>
        </w:tc>
        <w:tc>
          <w:tcPr>
            <w:tcW w:w="559" w:type="dxa"/>
            <w:vAlign w:val="center"/>
          </w:tcPr>
          <w:p w14:paraId="6FB59605"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9</w:t>
            </w:r>
          </w:p>
        </w:tc>
        <w:tc>
          <w:tcPr>
            <w:tcW w:w="495" w:type="dxa"/>
            <w:vAlign w:val="center"/>
          </w:tcPr>
          <w:p w14:paraId="244943CA"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0</w:t>
            </w:r>
          </w:p>
        </w:tc>
        <w:tc>
          <w:tcPr>
            <w:tcW w:w="735" w:type="dxa"/>
            <w:vAlign w:val="center"/>
          </w:tcPr>
          <w:p w14:paraId="29BA6D88"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9</w:t>
            </w:r>
          </w:p>
        </w:tc>
      </w:tr>
      <w:tr w:rsidR="00C217CC" w:rsidRPr="00CE357F" w14:paraId="7E805B06" w14:textId="77777777" w:rsidTr="001E6C18">
        <w:trPr>
          <w:trHeight w:val="204"/>
        </w:trPr>
        <w:tc>
          <w:tcPr>
            <w:tcW w:w="1142" w:type="dxa"/>
            <w:shd w:val="clear" w:color="auto" w:fill="D9E2F3" w:themeFill="accent1" w:themeFillTint="33"/>
            <w:vAlign w:val="center"/>
          </w:tcPr>
          <w:p w14:paraId="1C227950"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Chudčice</w:t>
            </w:r>
          </w:p>
        </w:tc>
        <w:tc>
          <w:tcPr>
            <w:tcW w:w="879" w:type="dxa"/>
            <w:vAlign w:val="center"/>
          </w:tcPr>
          <w:p w14:paraId="7194BB44"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1 005</w:t>
            </w:r>
          </w:p>
        </w:tc>
        <w:tc>
          <w:tcPr>
            <w:tcW w:w="1448" w:type="dxa"/>
            <w:vAlign w:val="center"/>
          </w:tcPr>
          <w:p w14:paraId="71E10B4C"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17</w:t>
            </w:r>
          </w:p>
        </w:tc>
        <w:tc>
          <w:tcPr>
            <w:tcW w:w="1881" w:type="dxa"/>
            <w:vAlign w:val="center"/>
          </w:tcPr>
          <w:p w14:paraId="617B5C84"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1,69 %</w:t>
            </w:r>
          </w:p>
        </w:tc>
        <w:tc>
          <w:tcPr>
            <w:tcW w:w="559" w:type="dxa"/>
            <w:vAlign w:val="center"/>
          </w:tcPr>
          <w:p w14:paraId="5499222C"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11</w:t>
            </w:r>
          </w:p>
        </w:tc>
        <w:tc>
          <w:tcPr>
            <w:tcW w:w="542" w:type="dxa"/>
            <w:vAlign w:val="center"/>
          </w:tcPr>
          <w:p w14:paraId="11C0D33F"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2D74C286"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12</w:t>
            </w:r>
          </w:p>
        </w:tc>
        <w:tc>
          <w:tcPr>
            <w:tcW w:w="559" w:type="dxa"/>
            <w:vAlign w:val="center"/>
          </w:tcPr>
          <w:p w14:paraId="73574FB7"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4</w:t>
            </w:r>
          </w:p>
        </w:tc>
        <w:tc>
          <w:tcPr>
            <w:tcW w:w="495" w:type="dxa"/>
            <w:vAlign w:val="center"/>
          </w:tcPr>
          <w:p w14:paraId="779A12CB"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w:t>
            </w:r>
          </w:p>
        </w:tc>
        <w:tc>
          <w:tcPr>
            <w:tcW w:w="735" w:type="dxa"/>
            <w:vAlign w:val="center"/>
          </w:tcPr>
          <w:p w14:paraId="6CCFE490"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5</w:t>
            </w:r>
          </w:p>
        </w:tc>
      </w:tr>
      <w:tr w:rsidR="00C217CC" w:rsidRPr="00CE357F" w14:paraId="2C5CF439" w14:textId="77777777" w:rsidTr="001E6C18">
        <w:trPr>
          <w:trHeight w:val="204"/>
        </w:trPr>
        <w:tc>
          <w:tcPr>
            <w:tcW w:w="1142" w:type="dxa"/>
            <w:shd w:val="clear" w:color="auto" w:fill="D9E2F3" w:themeFill="accent1" w:themeFillTint="33"/>
            <w:vAlign w:val="center"/>
          </w:tcPr>
          <w:p w14:paraId="1D30F8FB"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Lelekovice</w:t>
            </w:r>
          </w:p>
        </w:tc>
        <w:tc>
          <w:tcPr>
            <w:tcW w:w="879" w:type="dxa"/>
            <w:vAlign w:val="center"/>
          </w:tcPr>
          <w:p w14:paraId="7ACC7C23"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1 909</w:t>
            </w:r>
          </w:p>
        </w:tc>
        <w:tc>
          <w:tcPr>
            <w:tcW w:w="1448" w:type="dxa"/>
            <w:vAlign w:val="center"/>
          </w:tcPr>
          <w:p w14:paraId="11C34B72"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30</w:t>
            </w:r>
          </w:p>
        </w:tc>
        <w:tc>
          <w:tcPr>
            <w:tcW w:w="1881" w:type="dxa"/>
            <w:vAlign w:val="center"/>
          </w:tcPr>
          <w:p w14:paraId="0C320A4A"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1,57 %</w:t>
            </w:r>
          </w:p>
        </w:tc>
        <w:tc>
          <w:tcPr>
            <w:tcW w:w="559" w:type="dxa"/>
            <w:vAlign w:val="center"/>
          </w:tcPr>
          <w:p w14:paraId="76C1835C"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17</w:t>
            </w:r>
          </w:p>
        </w:tc>
        <w:tc>
          <w:tcPr>
            <w:tcW w:w="542" w:type="dxa"/>
            <w:vAlign w:val="center"/>
          </w:tcPr>
          <w:p w14:paraId="78D94F63"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43C7899E"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18</w:t>
            </w:r>
          </w:p>
        </w:tc>
        <w:tc>
          <w:tcPr>
            <w:tcW w:w="559" w:type="dxa"/>
            <w:vAlign w:val="center"/>
          </w:tcPr>
          <w:p w14:paraId="58F74797"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11</w:t>
            </w:r>
          </w:p>
        </w:tc>
        <w:tc>
          <w:tcPr>
            <w:tcW w:w="495" w:type="dxa"/>
            <w:vAlign w:val="center"/>
          </w:tcPr>
          <w:p w14:paraId="218259DA"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w:t>
            </w:r>
          </w:p>
        </w:tc>
        <w:tc>
          <w:tcPr>
            <w:tcW w:w="735" w:type="dxa"/>
            <w:vAlign w:val="center"/>
          </w:tcPr>
          <w:p w14:paraId="20BDCC8D"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12</w:t>
            </w:r>
          </w:p>
        </w:tc>
      </w:tr>
      <w:tr w:rsidR="00C217CC" w:rsidRPr="00CE357F" w14:paraId="176C37EB" w14:textId="77777777" w:rsidTr="001E6C18">
        <w:trPr>
          <w:trHeight w:val="204"/>
        </w:trPr>
        <w:tc>
          <w:tcPr>
            <w:tcW w:w="1142" w:type="dxa"/>
            <w:shd w:val="clear" w:color="auto" w:fill="D9E2F3" w:themeFill="accent1" w:themeFillTint="33"/>
            <w:vAlign w:val="center"/>
          </w:tcPr>
          <w:p w14:paraId="0511EEA0"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Jinačovice</w:t>
            </w:r>
          </w:p>
        </w:tc>
        <w:tc>
          <w:tcPr>
            <w:tcW w:w="879" w:type="dxa"/>
            <w:vAlign w:val="center"/>
          </w:tcPr>
          <w:p w14:paraId="1BFC2148"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770</w:t>
            </w:r>
          </w:p>
        </w:tc>
        <w:tc>
          <w:tcPr>
            <w:tcW w:w="1448" w:type="dxa"/>
            <w:vAlign w:val="center"/>
          </w:tcPr>
          <w:p w14:paraId="329580A1"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12</w:t>
            </w:r>
          </w:p>
        </w:tc>
        <w:tc>
          <w:tcPr>
            <w:tcW w:w="1881" w:type="dxa"/>
            <w:vAlign w:val="center"/>
          </w:tcPr>
          <w:p w14:paraId="2C74602E"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1,56 %</w:t>
            </w:r>
          </w:p>
        </w:tc>
        <w:tc>
          <w:tcPr>
            <w:tcW w:w="559" w:type="dxa"/>
            <w:vAlign w:val="center"/>
          </w:tcPr>
          <w:p w14:paraId="079A8753"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7</w:t>
            </w:r>
          </w:p>
        </w:tc>
        <w:tc>
          <w:tcPr>
            <w:tcW w:w="542" w:type="dxa"/>
            <w:vAlign w:val="center"/>
          </w:tcPr>
          <w:p w14:paraId="4E4640FC"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7837E879"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8</w:t>
            </w:r>
          </w:p>
        </w:tc>
        <w:tc>
          <w:tcPr>
            <w:tcW w:w="559" w:type="dxa"/>
            <w:vAlign w:val="center"/>
          </w:tcPr>
          <w:p w14:paraId="13DE5D80"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3</w:t>
            </w:r>
          </w:p>
        </w:tc>
        <w:tc>
          <w:tcPr>
            <w:tcW w:w="495" w:type="dxa"/>
            <w:vAlign w:val="center"/>
          </w:tcPr>
          <w:p w14:paraId="54B5AE92"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w:t>
            </w:r>
          </w:p>
        </w:tc>
        <w:tc>
          <w:tcPr>
            <w:tcW w:w="735" w:type="dxa"/>
            <w:vAlign w:val="center"/>
          </w:tcPr>
          <w:p w14:paraId="58F70449"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4</w:t>
            </w:r>
          </w:p>
        </w:tc>
      </w:tr>
      <w:tr w:rsidR="00C217CC" w:rsidRPr="00CE357F" w14:paraId="16D9E21B" w14:textId="77777777" w:rsidTr="001E6C18">
        <w:trPr>
          <w:trHeight w:val="204"/>
        </w:trPr>
        <w:tc>
          <w:tcPr>
            <w:tcW w:w="1142" w:type="dxa"/>
            <w:shd w:val="clear" w:color="auto" w:fill="D9E2F3" w:themeFill="accent1" w:themeFillTint="33"/>
            <w:vAlign w:val="center"/>
          </w:tcPr>
          <w:p w14:paraId="2DA9EC38"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Rozdrojovice</w:t>
            </w:r>
          </w:p>
        </w:tc>
        <w:tc>
          <w:tcPr>
            <w:tcW w:w="879" w:type="dxa"/>
            <w:vAlign w:val="center"/>
          </w:tcPr>
          <w:p w14:paraId="6AD7DC82"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1 075</w:t>
            </w:r>
          </w:p>
        </w:tc>
        <w:tc>
          <w:tcPr>
            <w:tcW w:w="1448" w:type="dxa"/>
            <w:vAlign w:val="center"/>
          </w:tcPr>
          <w:p w14:paraId="763361F5"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11</w:t>
            </w:r>
          </w:p>
        </w:tc>
        <w:tc>
          <w:tcPr>
            <w:tcW w:w="1881" w:type="dxa"/>
            <w:vAlign w:val="center"/>
          </w:tcPr>
          <w:p w14:paraId="2C41E23A"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1,02 %</w:t>
            </w:r>
          </w:p>
        </w:tc>
        <w:tc>
          <w:tcPr>
            <w:tcW w:w="559" w:type="dxa"/>
            <w:vAlign w:val="center"/>
          </w:tcPr>
          <w:p w14:paraId="76908609"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6</w:t>
            </w:r>
          </w:p>
        </w:tc>
        <w:tc>
          <w:tcPr>
            <w:tcW w:w="542" w:type="dxa"/>
            <w:vAlign w:val="center"/>
          </w:tcPr>
          <w:p w14:paraId="2173059A"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54AAA203"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6</w:t>
            </w:r>
          </w:p>
        </w:tc>
        <w:tc>
          <w:tcPr>
            <w:tcW w:w="559" w:type="dxa"/>
            <w:vAlign w:val="center"/>
          </w:tcPr>
          <w:p w14:paraId="3116285B"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5</w:t>
            </w:r>
          </w:p>
        </w:tc>
        <w:tc>
          <w:tcPr>
            <w:tcW w:w="495" w:type="dxa"/>
            <w:vAlign w:val="center"/>
          </w:tcPr>
          <w:p w14:paraId="3A16E7AD"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0</w:t>
            </w:r>
          </w:p>
        </w:tc>
        <w:tc>
          <w:tcPr>
            <w:tcW w:w="735" w:type="dxa"/>
            <w:vAlign w:val="center"/>
          </w:tcPr>
          <w:p w14:paraId="1BC2AFAB"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5</w:t>
            </w:r>
          </w:p>
        </w:tc>
      </w:tr>
      <w:tr w:rsidR="00C217CC" w:rsidRPr="00CE357F" w14:paraId="5E35A395" w14:textId="77777777" w:rsidTr="001E6C18">
        <w:trPr>
          <w:trHeight w:val="204"/>
        </w:trPr>
        <w:tc>
          <w:tcPr>
            <w:tcW w:w="1142" w:type="dxa"/>
            <w:shd w:val="clear" w:color="auto" w:fill="D9E2F3" w:themeFill="accent1" w:themeFillTint="33"/>
            <w:vAlign w:val="center"/>
          </w:tcPr>
          <w:p w14:paraId="3FC3D504"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Hvozdec</w:t>
            </w:r>
          </w:p>
        </w:tc>
        <w:tc>
          <w:tcPr>
            <w:tcW w:w="879" w:type="dxa"/>
            <w:vAlign w:val="center"/>
          </w:tcPr>
          <w:p w14:paraId="56CFBE90" w14:textId="77777777" w:rsidR="00C217CC" w:rsidRPr="00CE357F" w:rsidRDefault="00C217CC" w:rsidP="004A0C47">
            <w:pPr>
              <w:jc w:val="center"/>
              <w:rPr>
                <w:rFonts w:ascii="Arial Narrow" w:hAnsi="Arial Narrow"/>
                <w:color w:val="000000"/>
                <w:sz w:val="18"/>
                <w:szCs w:val="18"/>
              </w:rPr>
            </w:pPr>
            <w:r w:rsidRPr="00CE357F">
              <w:rPr>
                <w:rFonts w:ascii="Arial Narrow" w:hAnsi="Arial Narrow"/>
                <w:color w:val="000000"/>
                <w:sz w:val="18"/>
                <w:szCs w:val="18"/>
              </w:rPr>
              <w:t>352</w:t>
            </w:r>
          </w:p>
        </w:tc>
        <w:tc>
          <w:tcPr>
            <w:tcW w:w="1448" w:type="dxa"/>
            <w:vAlign w:val="center"/>
          </w:tcPr>
          <w:p w14:paraId="7ACE786B"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w:t>
            </w:r>
          </w:p>
        </w:tc>
        <w:tc>
          <w:tcPr>
            <w:tcW w:w="1881" w:type="dxa"/>
            <w:vAlign w:val="center"/>
          </w:tcPr>
          <w:p w14:paraId="5DEEA67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0,28 %</w:t>
            </w:r>
          </w:p>
        </w:tc>
        <w:tc>
          <w:tcPr>
            <w:tcW w:w="559" w:type="dxa"/>
            <w:vAlign w:val="center"/>
          </w:tcPr>
          <w:p w14:paraId="27751E57"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1</w:t>
            </w:r>
          </w:p>
        </w:tc>
        <w:tc>
          <w:tcPr>
            <w:tcW w:w="542" w:type="dxa"/>
            <w:vAlign w:val="center"/>
          </w:tcPr>
          <w:p w14:paraId="5319B3CA"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1C133177"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1</w:t>
            </w:r>
          </w:p>
        </w:tc>
        <w:tc>
          <w:tcPr>
            <w:tcW w:w="559" w:type="dxa"/>
            <w:vAlign w:val="center"/>
          </w:tcPr>
          <w:p w14:paraId="275D56FB"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0</w:t>
            </w:r>
          </w:p>
        </w:tc>
        <w:tc>
          <w:tcPr>
            <w:tcW w:w="495" w:type="dxa"/>
            <w:vAlign w:val="center"/>
          </w:tcPr>
          <w:p w14:paraId="42DEB03A" w14:textId="77777777" w:rsidR="00C217CC" w:rsidRPr="00CE357F" w:rsidRDefault="00C217CC" w:rsidP="004A0C47">
            <w:pPr>
              <w:jc w:val="center"/>
              <w:rPr>
                <w:rFonts w:ascii="Arial Narrow" w:hAnsi="Arial Narrow"/>
                <w:sz w:val="18"/>
                <w:szCs w:val="18"/>
              </w:rPr>
            </w:pPr>
            <w:r w:rsidRPr="00CE357F">
              <w:rPr>
                <w:rFonts w:ascii="Arial Narrow" w:hAnsi="Arial Narrow"/>
                <w:color w:val="000000"/>
                <w:sz w:val="18"/>
                <w:szCs w:val="18"/>
              </w:rPr>
              <w:t>0</w:t>
            </w:r>
          </w:p>
        </w:tc>
        <w:tc>
          <w:tcPr>
            <w:tcW w:w="735" w:type="dxa"/>
            <w:vAlign w:val="center"/>
          </w:tcPr>
          <w:p w14:paraId="741B8120" w14:textId="77777777" w:rsidR="00C217CC" w:rsidRPr="00CE357F" w:rsidRDefault="00C217CC" w:rsidP="004A0C47">
            <w:pPr>
              <w:jc w:val="center"/>
              <w:rPr>
                <w:rFonts w:ascii="Arial Narrow" w:hAnsi="Arial Narrow"/>
                <w:sz w:val="18"/>
                <w:szCs w:val="18"/>
              </w:rPr>
            </w:pPr>
            <w:r w:rsidRPr="00CE357F">
              <w:rPr>
                <w:rFonts w:ascii="Arial Narrow" w:hAnsi="Arial Narrow"/>
                <w:sz w:val="18"/>
                <w:szCs w:val="18"/>
              </w:rPr>
              <w:t>0</w:t>
            </w:r>
          </w:p>
        </w:tc>
      </w:tr>
    </w:tbl>
    <w:p w14:paraId="061FEF8D" w14:textId="77777777" w:rsidR="00C217CC" w:rsidRPr="00CE357F" w:rsidRDefault="00C217CC" w:rsidP="00C217CC">
      <w:pPr>
        <w:rPr>
          <w:rFonts w:ascii="Arial Narrow" w:hAnsi="Arial Narrow"/>
          <w:b/>
          <w:bCs/>
          <w:sz w:val="28"/>
          <w:szCs w:val="28"/>
        </w:rPr>
      </w:pPr>
      <w:r w:rsidRPr="00CE357F">
        <w:rPr>
          <w:rFonts w:ascii="Arial Narrow" w:hAnsi="Arial Narrow"/>
          <w:color w:val="000000"/>
          <w:sz w:val="20"/>
          <w:szCs w:val="20"/>
          <w:lang w:eastAsia="cs-CZ"/>
        </w:rPr>
        <w:t>Zdroj: Ministerstvo Vnitra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6E6EB399" w14:textId="77777777" w:rsidR="00EC3CF5" w:rsidRDefault="00EC3CF5" w:rsidP="00C217CC">
      <w:pPr>
        <w:spacing w:line="276" w:lineRule="auto"/>
        <w:jc w:val="both"/>
        <w:rPr>
          <w:rFonts w:ascii="Arial Narrow" w:hAnsi="Arial Narrow"/>
          <w:color w:val="000000"/>
        </w:rPr>
      </w:pPr>
      <w:bookmarkStart w:id="752" w:name="_Toc94443813"/>
      <w:bookmarkStart w:id="753" w:name="_Toc136428965"/>
    </w:p>
    <w:p w14:paraId="440DE7AB" w14:textId="77777777" w:rsidR="00EC3CF5" w:rsidRDefault="00EC3CF5" w:rsidP="00C217CC">
      <w:pPr>
        <w:spacing w:line="276" w:lineRule="auto"/>
        <w:jc w:val="both"/>
        <w:rPr>
          <w:rFonts w:ascii="Arial Narrow" w:hAnsi="Arial Narrow"/>
          <w:color w:val="000000"/>
        </w:rPr>
      </w:pPr>
    </w:p>
    <w:p w14:paraId="371BBF9F" w14:textId="77777777" w:rsidR="00EC3CF5" w:rsidRDefault="00EC3CF5" w:rsidP="00C217CC">
      <w:pPr>
        <w:spacing w:line="276" w:lineRule="auto"/>
        <w:jc w:val="both"/>
        <w:rPr>
          <w:rFonts w:ascii="Arial Narrow" w:hAnsi="Arial Narrow"/>
          <w:color w:val="000000"/>
        </w:rPr>
      </w:pPr>
    </w:p>
    <w:p w14:paraId="2F5B309B" w14:textId="647D5466" w:rsidR="00C217CC" w:rsidRPr="00CE357F" w:rsidRDefault="00C217CC" w:rsidP="00C217CC">
      <w:pPr>
        <w:spacing w:line="276" w:lineRule="auto"/>
        <w:jc w:val="both"/>
        <w:rPr>
          <w:rFonts w:ascii="Arial Narrow" w:hAnsi="Arial Narrow"/>
          <w:b/>
          <w:bCs/>
          <w:sz w:val="20"/>
          <w:szCs w:val="20"/>
        </w:rPr>
      </w:pPr>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121</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 xml:space="preserve">Podíl osob s jinou než českou státní příslušností na celkovém počtu obyvatel </w:t>
      </w:r>
      <w:r w:rsidR="00F951BF" w:rsidRPr="00F951BF">
        <w:rPr>
          <w:rFonts w:ascii="Arial Narrow" w:hAnsi="Arial Narrow"/>
          <w:b/>
          <w:bCs/>
          <w:sz w:val="20"/>
          <w:szCs w:val="20"/>
        </w:rPr>
        <w:t xml:space="preserve">vybraných obcí </w:t>
      </w:r>
      <w:r w:rsidRPr="00CE357F">
        <w:rPr>
          <w:rFonts w:ascii="Arial Narrow" w:hAnsi="Arial Narrow"/>
          <w:b/>
          <w:bCs/>
          <w:sz w:val="20"/>
          <w:szCs w:val="20"/>
        </w:rPr>
        <w:t>k 1. 1. 2022</w:t>
      </w:r>
      <w:bookmarkEnd w:id="752"/>
      <w:bookmarkEnd w:id="753"/>
    </w:p>
    <w:p w14:paraId="58647A2E" w14:textId="77777777" w:rsidR="00C217CC" w:rsidRPr="00CE357F" w:rsidRDefault="00C217CC" w:rsidP="00C217CC">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64E09939" wp14:editId="74191FCA">
            <wp:extent cx="5760720" cy="2581275"/>
            <wp:effectExtent l="0" t="0" r="11430" b="9525"/>
            <wp:docPr id="54" name="Graf 54">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7E155940" w14:textId="61789077" w:rsidR="00C217CC" w:rsidRPr="00EC3CF5" w:rsidRDefault="00C217CC" w:rsidP="00EC3CF5">
      <w:pPr>
        <w:spacing w:after="240" w:line="276" w:lineRule="auto"/>
        <w:rPr>
          <w:rFonts w:ascii="Arial Narrow" w:hAnsi="Arial Narrow"/>
          <w:color w:val="000000"/>
          <w:sz w:val="20"/>
          <w:lang w:eastAsia="cs-CZ"/>
        </w:rPr>
      </w:pPr>
      <w:r w:rsidRPr="00CE357F">
        <w:rPr>
          <w:rFonts w:ascii="Arial Narrow" w:hAnsi="Arial Narrow"/>
          <w:color w:val="000000"/>
          <w:sz w:val="20"/>
          <w:lang w:eastAsia="cs-CZ"/>
        </w:rPr>
        <w:t>Zdroj: Ministerstvo Vnitra České republiky</w:t>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bookmarkEnd w:id="744"/>
      <w:bookmarkEnd w:id="745"/>
    </w:p>
    <w:p w14:paraId="140DD561" w14:textId="77777777" w:rsidR="00C217CC" w:rsidRPr="00CE357F" w:rsidRDefault="00C217CC" w:rsidP="00C217CC">
      <w:pPr>
        <w:spacing w:after="240" w:line="276" w:lineRule="auto"/>
        <w:rPr>
          <w:rFonts w:ascii="Arial Narrow" w:hAnsi="Arial Narrow"/>
          <w:b/>
          <w:bCs/>
        </w:rPr>
      </w:pPr>
      <w:r w:rsidRPr="00CE357F">
        <w:rPr>
          <w:rFonts w:ascii="Arial Narrow" w:hAnsi="Arial Narrow"/>
          <w:b/>
          <w:bCs/>
        </w:rPr>
        <w:t>Osoby s jinou než českou státní příslušností v ORP Kuřim k datu 1.</w:t>
      </w:r>
      <w:r>
        <w:rPr>
          <w:rFonts w:ascii="Arial Narrow" w:hAnsi="Arial Narrow"/>
          <w:b/>
          <w:bCs/>
        </w:rPr>
        <w:t xml:space="preserve"> 1. 2023</w:t>
      </w:r>
    </w:p>
    <w:p w14:paraId="71BF97B8" w14:textId="54467025" w:rsidR="00C217CC" w:rsidRPr="00CE357F" w:rsidRDefault="00C217CC" w:rsidP="00C217CC">
      <w:pPr>
        <w:spacing w:after="120" w:line="276" w:lineRule="auto"/>
        <w:jc w:val="both"/>
        <w:rPr>
          <w:rFonts w:ascii="Arial Narrow" w:hAnsi="Arial Narrow"/>
          <w:color w:val="000000"/>
        </w:rPr>
      </w:pPr>
      <w:r w:rsidRPr="00CE357F">
        <w:rPr>
          <w:rFonts w:ascii="Arial Narrow" w:hAnsi="Arial Narrow"/>
          <w:color w:val="000000"/>
        </w:rPr>
        <w:t>V </w:t>
      </w:r>
      <w:r>
        <w:rPr>
          <w:rFonts w:ascii="Arial Narrow" w:hAnsi="Arial Narrow"/>
          <w:color w:val="000000"/>
        </w:rPr>
        <w:t>ORP Kuřim žilo k datu 1. 1. 2023 celkem 1 878</w:t>
      </w:r>
      <w:r w:rsidRPr="00CE357F">
        <w:rPr>
          <w:rFonts w:ascii="Arial Narrow" w:hAnsi="Arial Narrow"/>
          <w:color w:val="000000"/>
        </w:rPr>
        <w:t xml:space="preserve"> osob s jinou než českou státní</w:t>
      </w:r>
      <w:r>
        <w:rPr>
          <w:rFonts w:ascii="Arial Narrow" w:hAnsi="Arial Narrow"/>
          <w:color w:val="000000"/>
        </w:rPr>
        <w:t xml:space="preserve"> příslušností, což bylo zhruba </w:t>
      </w:r>
      <w:r w:rsidR="001366B6">
        <w:rPr>
          <w:rFonts w:ascii="Arial Narrow" w:hAnsi="Arial Narrow"/>
          <w:color w:val="000000"/>
        </w:rPr>
        <w:t xml:space="preserve">7,5 </w:t>
      </w:r>
      <w:r w:rsidRPr="00CE357F">
        <w:rPr>
          <w:rFonts w:ascii="Arial Narrow" w:hAnsi="Arial Narrow"/>
          <w:color w:val="000000"/>
        </w:rPr>
        <w:t>% všec</w:t>
      </w:r>
      <w:r>
        <w:rPr>
          <w:rFonts w:ascii="Arial Narrow" w:hAnsi="Arial Narrow"/>
          <w:color w:val="000000"/>
        </w:rPr>
        <w:t>h obyvatel ORP Kuřim. Více než 8</w:t>
      </w:r>
      <w:r w:rsidRPr="00CE357F">
        <w:rPr>
          <w:rFonts w:ascii="Arial Narrow" w:hAnsi="Arial Narrow"/>
          <w:color w:val="000000"/>
        </w:rPr>
        <w:t xml:space="preserve"> osob s jinou než čes</w:t>
      </w:r>
      <w:r>
        <w:rPr>
          <w:rFonts w:ascii="Arial Narrow" w:hAnsi="Arial Narrow"/>
          <w:color w:val="000000"/>
        </w:rPr>
        <w:t>kou státní příslušností z 10 (81,</w:t>
      </w:r>
      <w:r w:rsidRPr="00CE357F">
        <w:rPr>
          <w:rFonts w:ascii="Arial Narrow" w:hAnsi="Arial Narrow"/>
          <w:color w:val="000000"/>
        </w:rPr>
        <w:t>5 %) mělo více než 15 let. Děti do 15 l</w:t>
      </w:r>
      <w:r>
        <w:rPr>
          <w:rFonts w:ascii="Arial Narrow" w:hAnsi="Arial Narrow"/>
          <w:color w:val="000000"/>
        </w:rPr>
        <w:t>et tvořily k 1. 1. 2021 celkem 18,5</w:t>
      </w:r>
      <w:r w:rsidRPr="00CE357F">
        <w:rPr>
          <w:rFonts w:ascii="Arial Narrow" w:hAnsi="Arial Narrow"/>
          <w:color w:val="000000"/>
        </w:rPr>
        <w:t xml:space="preserve"> % všech osob s jinou než českou státní příslušností na území ORP Kuřim. </w:t>
      </w:r>
    </w:p>
    <w:p w14:paraId="653F6574" w14:textId="343B95C3" w:rsidR="00C217CC" w:rsidRPr="00CE357F" w:rsidRDefault="00C217CC" w:rsidP="00C217CC">
      <w:pPr>
        <w:spacing w:after="120" w:line="276" w:lineRule="auto"/>
        <w:jc w:val="both"/>
        <w:rPr>
          <w:rFonts w:ascii="Arial Narrow" w:hAnsi="Arial Narrow"/>
          <w:color w:val="000000"/>
        </w:rPr>
      </w:pPr>
      <w:r w:rsidRPr="00CE357F">
        <w:rPr>
          <w:rFonts w:ascii="Arial Narrow" w:hAnsi="Arial Narrow"/>
          <w:color w:val="000000"/>
        </w:rPr>
        <w:t>Nejvyšší podíl osob s jinou než českou státní příslušností na celkovém počtu obyvatel v dané</w:t>
      </w:r>
      <w:r>
        <w:rPr>
          <w:rFonts w:ascii="Arial Narrow" w:hAnsi="Arial Narrow"/>
          <w:color w:val="000000"/>
        </w:rPr>
        <w:t xml:space="preserve"> obci byl ve Veverské Bítýšce (</w:t>
      </w:r>
      <w:r w:rsidR="006F76B6">
        <w:rPr>
          <w:rFonts w:ascii="Arial Narrow" w:hAnsi="Arial Narrow"/>
          <w:color w:val="000000"/>
        </w:rPr>
        <w:t>10,2</w:t>
      </w:r>
      <w:r w:rsidRPr="00CE357F">
        <w:rPr>
          <w:rFonts w:ascii="Arial Narrow" w:hAnsi="Arial Narrow"/>
          <w:color w:val="000000"/>
        </w:rPr>
        <w:t xml:space="preserve"> % všech obyvatel). Druhý nejvyšší podíl osob s jinou než českou státní příslušností byl evidován v ob</w:t>
      </w:r>
      <w:r>
        <w:rPr>
          <w:rFonts w:ascii="Arial Narrow" w:hAnsi="Arial Narrow"/>
          <w:color w:val="000000"/>
        </w:rPr>
        <w:t>ci</w:t>
      </w:r>
      <w:r w:rsidRPr="00CE357F">
        <w:rPr>
          <w:rFonts w:ascii="Arial Narrow" w:hAnsi="Arial Narrow"/>
          <w:color w:val="000000"/>
        </w:rPr>
        <w:t xml:space="preserve"> </w:t>
      </w:r>
      <w:r>
        <w:rPr>
          <w:rFonts w:ascii="Arial Narrow" w:hAnsi="Arial Narrow"/>
          <w:color w:val="000000"/>
        </w:rPr>
        <w:t xml:space="preserve">Kuřim, kde tyto osoby tvořily </w:t>
      </w:r>
      <w:r w:rsidR="006F76B6">
        <w:rPr>
          <w:rFonts w:ascii="Arial Narrow" w:hAnsi="Arial Narrow"/>
          <w:color w:val="000000"/>
        </w:rPr>
        <w:t>9,4</w:t>
      </w:r>
      <w:r w:rsidRPr="00CE357F">
        <w:rPr>
          <w:rFonts w:ascii="Arial Narrow" w:hAnsi="Arial Narrow"/>
          <w:color w:val="000000"/>
        </w:rPr>
        <w:t xml:space="preserve"> % všech obyvatel</w:t>
      </w:r>
      <w:r>
        <w:rPr>
          <w:rFonts w:ascii="Arial Narrow" w:hAnsi="Arial Narrow"/>
          <w:color w:val="000000"/>
        </w:rPr>
        <w:t>.</w:t>
      </w:r>
      <w:r w:rsidR="00EC3CF5">
        <w:rPr>
          <w:rFonts w:ascii="Arial Narrow" w:hAnsi="Arial Narrow"/>
          <w:color w:val="000000"/>
        </w:rPr>
        <w:t xml:space="preserve"> </w:t>
      </w:r>
      <w:r w:rsidRPr="00CE357F">
        <w:rPr>
          <w:rFonts w:ascii="Arial Narrow" w:hAnsi="Arial Narrow"/>
          <w:color w:val="000000"/>
        </w:rPr>
        <w:t xml:space="preserve">Počty osob s jinou než českou státní příslušností v daných obcích včetně rozdělení osob s jinou než českou státní příslušností podle pohlaví a věku </w:t>
      </w:r>
      <w:r w:rsidR="00EC3CF5">
        <w:rPr>
          <w:rFonts w:ascii="Arial Narrow" w:hAnsi="Arial Narrow"/>
          <w:color w:val="000000"/>
        </w:rPr>
        <w:t xml:space="preserve">a jejich podíl na celkovém počtu obyvatel </w:t>
      </w:r>
      <w:r w:rsidRPr="00CE357F">
        <w:rPr>
          <w:rFonts w:ascii="Arial Narrow" w:hAnsi="Arial Narrow"/>
          <w:color w:val="000000"/>
        </w:rPr>
        <w:t>podrobně dokumentuje následující tabulka</w:t>
      </w:r>
      <w:r w:rsidR="00EC3CF5">
        <w:rPr>
          <w:rFonts w:ascii="Arial Narrow" w:hAnsi="Arial Narrow"/>
          <w:color w:val="000000"/>
        </w:rPr>
        <w:t xml:space="preserve"> č. 52 a graf č. 122</w:t>
      </w:r>
      <w:r w:rsidRPr="00CE357F">
        <w:rPr>
          <w:rFonts w:ascii="Arial Narrow" w:hAnsi="Arial Narrow"/>
          <w:color w:val="000000"/>
        </w:rPr>
        <w:t xml:space="preserve">. </w:t>
      </w:r>
    </w:p>
    <w:p w14:paraId="4C23F7B2" w14:textId="2074D73C" w:rsidR="00C217CC" w:rsidRPr="007B59C4" w:rsidRDefault="00C217CC" w:rsidP="00C217CC">
      <w:pPr>
        <w:spacing w:line="276" w:lineRule="auto"/>
        <w:jc w:val="both"/>
        <w:rPr>
          <w:rFonts w:ascii="Arial Narrow" w:hAnsi="Arial Narrow"/>
          <w:b/>
          <w:bCs/>
          <w:sz w:val="24"/>
          <w:szCs w:val="24"/>
        </w:rPr>
      </w:pPr>
      <w:bookmarkStart w:id="754" w:name="_Toc136429263"/>
      <w:r w:rsidRPr="007B59C4">
        <w:rPr>
          <w:rFonts w:ascii="Arial Narrow" w:hAnsi="Arial Narrow"/>
          <w:b/>
          <w:bCs/>
          <w:sz w:val="20"/>
          <w:szCs w:val="20"/>
        </w:rPr>
        <w:t xml:space="preserve">Tabulka </w:t>
      </w:r>
      <w:r w:rsidRPr="007B59C4">
        <w:rPr>
          <w:rFonts w:ascii="Arial Narrow" w:hAnsi="Arial Narrow"/>
          <w:b/>
          <w:bCs/>
          <w:sz w:val="20"/>
          <w:szCs w:val="20"/>
        </w:rPr>
        <w:fldChar w:fldCharType="begin"/>
      </w:r>
      <w:r w:rsidRPr="007B59C4">
        <w:rPr>
          <w:rFonts w:ascii="Arial Narrow" w:hAnsi="Arial Narrow"/>
          <w:b/>
          <w:bCs/>
          <w:sz w:val="20"/>
          <w:szCs w:val="20"/>
        </w:rPr>
        <w:instrText xml:space="preserve"> SEQ Tabulka \* ARABIC </w:instrText>
      </w:r>
      <w:r w:rsidRPr="007B59C4">
        <w:rPr>
          <w:rFonts w:ascii="Arial Narrow" w:hAnsi="Arial Narrow"/>
          <w:b/>
          <w:bCs/>
          <w:sz w:val="20"/>
          <w:szCs w:val="20"/>
        </w:rPr>
        <w:fldChar w:fldCharType="separate"/>
      </w:r>
      <w:r w:rsidR="00256C97" w:rsidRPr="007B59C4">
        <w:rPr>
          <w:rFonts w:ascii="Arial Narrow" w:hAnsi="Arial Narrow"/>
          <w:b/>
          <w:bCs/>
          <w:noProof/>
          <w:sz w:val="20"/>
          <w:szCs w:val="20"/>
        </w:rPr>
        <w:t>52</w:t>
      </w:r>
      <w:r w:rsidRPr="007B59C4">
        <w:rPr>
          <w:rFonts w:ascii="Arial Narrow" w:hAnsi="Arial Narrow"/>
          <w:b/>
          <w:bCs/>
          <w:sz w:val="20"/>
          <w:szCs w:val="20"/>
        </w:rPr>
        <w:fldChar w:fldCharType="end"/>
      </w:r>
      <w:r w:rsidRPr="007B59C4">
        <w:rPr>
          <w:rFonts w:ascii="Arial Narrow" w:hAnsi="Arial Narrow"/>
          <w:b/>
          <w:bCs/>
          <w:sz w:val="20"/>
          <w:szCs w:val="20"/>
        </w:rPr>
        <w:t xml:space="preserve">:  </w:t>
      </w:r>
      <w:r w:rsidRPr="007B59C4">
        <w:rPr>
          <w:rFonts w:ascii="Arial Narrow" w:eastAsia="Times New Roman" w:hAnsi="Arial Narrow" w:cs="Arial"/>
          <w:b/>
          <w:bCs/>
          <w:sz w:val="20"/>
          <w:szCs w:val="20"/>
          <w:lang w:eastAsia="cs-CZ"/>
        </w:rPr>
        <w:t>Podíl osob s jinou než českou státní příslušností na celkovém počtu obyvatel vybraných obcí v ORP Kuřim v roce 2023</w:t>
      </w:r>
      <w:bookmarkEnd w:id="754"/>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369"/>
        <w:gridCol w:w="860"/>
        <w:gridCol w:w="1371"/>
        <w:gridCol w:w="1733"/>
        <w:gridCol w:w="551"/>
        <w:gridCol w:w="522"/>
        <w:gridCol w:w="717"/>
        <w:gridCol w:w="551"/>
        <w:gridCol w:w="551"/>
        <w:gridCol w:w="732"/>
      </w:tblGrid>
      <w:tr w:rsidR="00C217CC" w:rsidRPr="007B59C4" w14:paraId="5091FB47" w14:textId="77777777" w:rsidTr="004A0C47">
        <w:trPr>
          <w:trHeight w:val="204"/>
        </w:trPr>
        <w:tc>
          <w:tcPr>
            <w:tcW w:w="1369" w:type="dxa"/>
            <w:vMerge w:val="restart"/>
            <w:shd w:val="clear" w:color="auto" w:fill="D9E2F3" w:themeFill="accent1" w:themeFillTint="33"/>
            <w:vAlign w:val="center"/>
          </w:tcPr>
          <w:p w14:paraId="1AE2385D"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Název obce</w:t>
            </w:r>
          </w:p>
        </w:tc>
        <w:tc>
          <w:tcPr>
            <w:tcW w:w="860" w:type="dxa"/>
            <w:vMerge w:val="restart"/>
            <w:shd w:val="clear" w:color="auto" w:fill="D9E2F3" w:themeFill="accent1" w:themeFillTint="33"/>
            <w:vAlign w:val="center"/>
          </w:tcPr>
          <w:p w14:paraId="7399134F" w14:textId="77777777" w:rsidR="00C217CC" w:rsidRPr="007B59C4" w:rsidRDefault="00C217CC" w:rsidP="004A0C47">
            <w:pPr>
              <w:spacing w:after="46"/>
              <w:jc w:val="center"/>
              <w:rPr>
                <w:rFonts w:ascii="Arial Narrow" w:eastAsia="Times New Roman" w:hAnsi="Arial Narrow" w:cs="Arial"/>
                <w:sz w:val="18"/>
                <w:szCs w:val="18"/>
                <w:lang w:eastAsia="cs-CZ"/>
              </w:rPr>
            </w:pPr>
            <w:r w:rsidRPr="007B59C4">
              <w:rPr>
                <w:rFonts w:ascii="Arial Narrow" w:eastAsia="Times New Roman" w:hAnsi="Arial Narrow" w:cs="Arial"/>
                <w:sz w:val="18"/>
                <w:szCs w:val="18"/>
                <w:lang w:eastAsia="cs-CZ"/>
              </w:rPr>
              <w:t>Celkem obyvatel</w:t>
            </w:r>
          </w:p>
        </w:tc>
        <w:tc>
          <w:tcPr>
            <w:tcW w:w="1371" w:type="dxa"/>
            <w:vMerge w:val="restart"/>
            <w:shd w:val="clear" w:color="auto" w:fill="D9E2F3" w:themeFill="accent1" w:themeFillTint="33"/>
            <w:vAlign w:val="center"/>
          </w:tcPr>
          <w:p w14:paraId="5286C17F"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Osoby s jinou než českou státní příslušností celkem</w:t>
            </w:r>
          </w:p>
        </w:tc>
        <w:tc>
          <w:tcPr>
            <w:tcW w:w="1733" w:type="dxa"/>
            <w:vMerge w:val="restart"/>
            <w:shd w:val="clear" w:color="auto" w:fill="D9E2F3" w:themeFill="accent1" w:themeFillTint="33"/>
            <w:vAlign w:val="center"/>
          </w:tcPr>
          <w:p w14:paraId="16BA1276" w14:textId="77777777" w:rsidR="00C217CC" w:rsidRPr="007B59C4" w:rsidRDefault="00C217CC" w:rsidP="004A0C47">
            <w:pPr>
              <w:spacing w:after="46"/>
              <w:jc w:val="center"/>
              <w:rPr>
                <w:rFonts w:ascii="Arial Narrow" w:eastAsia="Times New Roman" w:hAnsi="Arial Narrow" w:cs="Arial"/>
                <w:sz w:val="18"/>
                <w:szCs w:val="18"/>
                <w:lang w:eastAsia="cs-CZ"/>
              </w:rPr>
            </w:pPr>
            <w:r w:rsidRPr="007B59C4">
              <w:rPr>
                <w:rFonts w:ascii="Arial Narrow" w:eastAsia="Times New Roman" w:hAnsi="Arial Narrow" w:cs="Arial"/>
                <w:sz w:val="18"/>
                <w:szCs w:val="18"/>
                <w:lang w:eastAsia="cs-CZ"/>
              </w:rPr>
              <w:t>Podíl osob s jinou než českou státní příslušností na celkovém počtu obyvatel</w:t>
            </w:r>
          </w:p>
        </w:tc>
        <w:tc>
          <w:tcPr>
            <w:tcW w:w="1790" w:type="dxa"/>
            <w:gridSpan w:val="3"/>
            <w:shd w:val="clear" w:color="auto" w:fill="D9E2F3" w:themeFill="accent1" w:themeFillTint="33"/>
            <w:vAlign w:val="center"/>
          </w:tcPr>
          <w:p w14:paraId="7B62ECDD"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Muži</w:t>
            </w:r>
          </w:p>
        </w:tc>
        <w:tc>
          <w:tcPr>
            <w:tcW w:w="1834" w:type="dxa"/>
            <w:gridSpan w:val="3"/>
            <w:shd w:val="clear" w:color="auto" w:fill="D9E2F3" w:themeFill="accent1" w:themeFillTint="33"/>
            <w:vAlign w:val="center"/>
          </w:tcPr>
          <w:p w14:paraId="1D25DCBD"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Ženy</w:t>
            </w:r>
          </w:p>
        </w:tc>
      </w:tr>
      <w:tr w:rsidR="00C217CC" w:rsidRPr="007B59C4" w14:paraId="5F358669" w14:textId="77777777" w:rsidTr="004A0C47">
        <w:trPr>
          <w:trHeight w:val="204"/>
        </w:trPr>
        <w:tc>
          <w:tcPr>
            <w:tcW w:w="1369" w:type="dxa"/>
            <w:vMerge/>
            <w:shd w:val="clear" w:color="auto" w:fill="D9E2F3" w:themeFill="accent1" w:themeFillTint="33"/>
            <w:vAlign w:val="center"/>
          </w:tcPr>
          <w:p w14:paraId="0B61AA9D" w14:textId="77777777" w:rsidR="00C217CC" w:rsidRPr="007B59C4" w:rsidRDefault="00C217CC" w:rsidP="004A0C47">
            <w:pPr>
              <w:spacing w:after="46"/>
              <w:jc w:val="center"/>
              <w:rPr>
                <w:rFonts w:ascii="Arial Narrow" w:eastAsia="Times New Roman" w:hAnsi="Arial Narrow" w:cs="Arial"/>
                <w:sz w:val="18"/>
                <w:szCs w:val="18"/>
                <w:lang w:eastAsia="cs-CZ"/>
              </w:rPr>
            </w:pPr>
          </w:p>
        </w:tc>
        <w:tc>
          <w:tcPr>
            <w:tcW w:w="860" w:type="dxa"/>
            <w:vMerge/>
            <w:shd w:val="clear" w:color="auto" w:fill="D9E2F3" w:themeFill="accent1" w:themeFillTint="33"/>
            <w:vAlign w:val="center"/>
          </w:tcPr>
          <w:p w14:paraId="3CDAF804" w14:textId="77777777" w:rsidR="00C217CC" w:rsidRPr="007B59C4" w:rsidRDefault="00C217CC" w:rsidP="004A0C47">
            <w:pPr>
              <w:spacing w:after="46"/>
              <w:jc w:val="center"/>
              <w:rPr>
                <w:rFonts w:ascii="Arial Narrow" w:eastAsia="Times New Roman" w:hAnsi="Arial Narrow" w:cs="Arial"/>
                <w:sz w:val="18"/>
                <w:szCs w:val="18"/>
                <w:lang w:eastAsia="cs-CZ"/>
              </w:rPr>
            </w:pPr>
          </w:p>
        </w:tc>
        <w:tc>
          <w:tcPr>
            <w:tcW w:w="1371" w:type="dxa"/>
            <w:vMerge/>
            <w:shd w:val="clear" w:color="auto" w:fill="D9E2F3" w:themeFill="accent1" w:themeFillTint="33"/>
            <w:vAlign w:val="center"/>
          </w:tcPr>
          <w:p w14:paraId="37698706" w14:textId="77777777" w:rsidR="00C217CC" w:rsidRPr="007B59C4" w:rsidRDefault="00C217CC" w:rsidP="004A0C47">
            <w:pPr>
              <w:spacing w:after="46"/>
              <w:jc w:val="center"/>
              <w:rPr>
                <w:rFonts w:ascii="Arial Narrow" w:eastAsia="Times New Roman" w:hAnsi="Arial Narrow" w:cs="Arial"/>
                <w:sz w:val="18"/>
                <w:szCs w:val="18"/>
                <w:lang w:eastAsia="cs-CZ"/>
              </w:rPr>
            </w:pPr>
          </w:p>
        </w:tc>
        <w:tc>
          <w:tcPr>
            <w:tcW w:w="1733" w:type="dxa"/>
            <w:vMerge/>
            <w:shd w:val="clear" w:color="auto" w:fill="D9E2F3" w:themeFill="accent1" w:themeFillTint="33"/>
            <w:vAlign w:val="center"/>
          </w:tcPr>
          <w:p w14:paraId="666DB54A" w14:textId="77777777" w:rsidR="00C217CC" w:rsidRPr="007B59C4" w:rsidRDefault="00C217CC" w:rsidP="004A0C47">
            <w:pPr>
              <w:spacing w:after="46"/>
              <w:jc w:val="center"/>
              <w:rPr>
                <w:rFonts w:ascii="Arial Narrow" w:eastAsia="Times New Roman" w:hAnsi="Arial Narrow" w:cs="Arial"/>
                <w:sz w:val="18"/>
                <w:szCs w:val="18"/>
                <w:lang w:eastAsia="cs-CZ"/>
              </w:rPr>
            </w:pPr>
          </w:p>
        </w:tc>
        <w:tc>
          <w:tcPr>
            <w:tcW w:w="551" w:type="dxa"/>
            <w:shd w:val="clear" w:color="auto" w:fill="D9E2F3" w:themeFill="accent1" w:themeFillTint="33"/>
            <w:vAlign w:val="center"/>
          </w:tcPr>
          <w:p w14:paraId="19D0B5FF"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Nad 15</w:t>
            </w:r>
          </w:p>
        </w:tc>
        <w:tc>
          <w:tcPr>
            <w:tcW w:w="522" w:type="dxa"/>
            <w:shd w:val="clear" w:color="auto" w:fill="D9E2F3" w:themeFill="accent1" w:themeFillTint="33"/>
            <w:vAlign w:val="center"/>
          </w:tcPr>
          <w:p w14:paraId="76E2B081"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719A3FE5"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Celkem</w:t>
            </w:r>
          </w:p>
        </w:tc>
        <w:tc>
          <w:tcPr>
            <w:tcW w:w="551" w:type="dxa"/>
            <w:shd w:val="clear" w:color="auto" w:fill="D9E2F3" w:themeFill="accent1" w:themeFillTint="33"/>
            <w:vAlign w:val="center"/>
          </w:tcPr>
          <w:p w14:paraId="459217EC"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Nad 15</w:t>
            </w:r>
          </w:p>
        </w:tc>
        <w:tc>
          <w:tcPr>
            <w:tcW w:w="551" w:type="dxa"/>
            <w:shd w:val="clear" w:color="auto" w:fill="D9E2F3" w:themeFill="accent1" w:themeFillTint="33"/>
            <w:vAlign w:val="center"/>
          </w:tcPr>
          <w:p w14:paraId="10AC8996"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Do 15</w:t>
            </w:r>
          </w:p>
        </w:tc>
        <w:tc>
          <w:tcPr>
            <w:tcW w:w="732" w:type="dxa"/>
            <w:shd w:val="clear" w:color="auto" w:fill="D9E2F3" w:themeFill="accent1" w:themeFillTint="33"/>
            <w:vAlign w:val="center"/>
          </w:tcPr>
          <w:p w14:paraId="4626F298" w14:textId="77777777" w:rsidR="00C217CC" w:rsidRPr="007B59C4" w:rsidRDefault="00C217CC" w:rsidP="004A0C47">
            <w:pPr>
              <w:spacing w:after="46"/>
              <w:jc w:val="center"/>
              <w:rPr>
                <w:rFonts w:ascii="Arial Narrow" w:hAnsi="Arial Narrow"/>
                <w:sz w:val="18"/>
                <w:szCs w:val="18"/>
              </w:rPr>
            </w:pPr>
            <w:r w:rsidRPr="007B59C4">
              <w:rPr>
                <w:rFonts w:ascii="Arial Narrow" w:eastAsia="Times New Roman" w:hAnsi="Arial Narrow" w:cs="Arial"/>
                <w:sz w:val="18"/>
                <w:szCs w:val="18"/>
                <w:lang w:eastAsia="cs-CZ"/>
              </w:rPr>
              <w:t>Celkem</w:t>
            </w:r>
          </w:p>
        </w:tc>
      </w:tr>
      <w:tr w:rsidR="006F76B6" w:rsidRPr="007B59C4" w14:paraId="1403ABBD" w14:textId="77777777" w:rsidTr="00BC1C0D">
        <w:trPr>
          <w:trHeight w:val="204"/>
        </w:trPr>
        <w:tc>
          <w:tcPr>
            <w:tcW w:w="1369" w:type="dxa"/>
            <w:shd w:val="clear" w:color="auto" w:fill="D9E2F3" w:themeFill="accent1" w:themeFillTint="33"/>
            <w:vAlign w:val="bottom"/>
          </w:tcPr>
          <w:p w14:paraId="23725824"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Veverská Bítýška</w:t>
            </w:r>
          </w:p>
        </w:tc>
        <w:tc>
          <w:tcPr>
            <w:tcW w:w="860" w:type="dxa"/>
          </w:tcPr>
          <w:p w14:paraId="74AC296D" w14:textId="73AC99E4"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3 617</w:t>
            </w:r>
          </w:p>
        </w:tc>
        <w:tc>
          <w:tcPr>
            <w:tcW w:w="1371" w:type="dxa"/>
          </w:tcPr>
          <w:p w14:paraId="0BBE3E53" w14:textId="60F21153" w:rsidR="006F76B6" w:rsidRPr="007B59C4" w:rsidRDefault="006F76B6" w:rsidP="006F76B6">
            <w:pPr>
              <w:jc w:val="center"/>
              <w:rPr>
                <w:rFonts w:ascii="Arial Narrow" w:hAnsi="Arial Narrow"/>
                <w:sz w:val="18"/>
                <w:szCs w:val="18"/>
              </w:rPr>
            </w:pPr>
            <w:r w:rsidRPr="007B59C4">
              <w:rPr>
                <w:rFonts w:ascii="Arial Narrow" w:hAnsi="Arial Narrow"/>
                <w:sz w:val="18"/>
                <w:szCs w:val="18"/>
              </w:rPr>
              <w:t>370</w:t>
            </w:r>
          </w:p>
        </w:tc>
        <w:tc>
          <w:tcPr>
            <w:tcW w:w="1733" w:type="dxa"/>
          </w:tcPr>
          <w:p w14:paraId="1C69B638" w14:textId="7AD4571C" w:rsidR="006F76B6" w:rsidRPr="007B59C4" w:rsidRDefault="006F76B6" w:rsidP="006F76B6">
            <w:pPr>
              <w:jc w:val="center"/>
              <w:rPr>
                <w:rFonts w:ascii="Arial Narrow" w:hAnsi="Arial Narrow"/>
                <w:b/>
                <w:bCs/>
                <w:color w:val="C00000"/>
                <w:sz w:val="18"/>
                <w:szCs w:val="18"/>
              </w:rPr>
            </w:pPr>
            <w:r w:rsidRPr="007B59C4">
              <w:rPr>
                <w:rFonts w:ascii="Arial Narrow" w:hAnsi="Arial Narrow"/>
                <w:b/>
                <w:bCs/>
                <w:color w:val="C00000"/>
                <w:sz w:val="18"/>
                <w:szCs w:val="18"/>
              </w:rPr>
              <w:t>10,2 %</w:t>
            </w:r>
          </w:p>
        </w:tc>
        <w:tc>
          <w:tcPr>
            <w:tcW w:w="551" w:type="dxa"/>
            <w:vAlign w:val="bottom"/>
          </w:tcPr>
          <w:p w14:paraId="1E804170"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110</w:t>
            </w:r>
          </w:p>
        </w:tc>
        <w:tc>
          <w:tcPr>
            <w:tcW w:w="522" w:type="dxa"/>
            <w:vAlign w:val="bottom"/>
          </w:tcPr>
          <w:p w14:paraId="395B16EB"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12</w:t>
            </w:r>
          </w:p>
        </w:tc>
        <w:tc>
          <w:tcPr>
            <w:tcW w:w="717" w:type="dxa"/>
            <w:vAlign w:val="bottom"/>
          </w:tcPr>
          <w:p w14:paraId="768AF5CE"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122</w:t>
            </w:r>
          </w:p>
        </w:tc>
        <w:tc>
          <w:tcPr>
            <w:tcW w:w="551" w:type="dxa"/>
            <w:vAlign w:val="bottom"/>
          </w:tcPr>
          <w:p w14:paraId="4C04E821"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230</w:t>
            </w:r>
          </w:p>
        </w:tc>
        <w:tc>
          <w:tcPr>
            <w:tcW w:w="551" w:type="dxa"/>
            <w:vAlign w:val="bottom"/>
          </w:tcPr>
          <w:p w14:paraId="734A2369"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18</w:t>
            </w:r>
          </w:p>
        </w:tc>
        <w:tc>
          <w:tcPr>
            <w:tcW w:w="732" w:type="dxa"/>
            <w:vAlign w:val="bottom"/>
          </w:tcPr>
          <w:p w14:paraId="7E3D62C9"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248</w:t>
            </w:r>
          </w:p>
        </w:tc>
      </w:tr>
      <w:tr w:rsidR="006F76B6" w:rsidRPr="007B59C4" w14:paraId="49FC555C" w14:textId="77777777" w:rsidTr="00BC1C0D">
        <w:trPr>
          <w:trHeight w:val="204"/>
        </w:trPr>
        <w:tc>
          <w:tcPr>
            <w:tcW w:w="1369" w:type="dxa"/>
            <w:shd w:val="clear" w:color="auto" w:fill="D9E2F3" w:themeFill="accent1" w:themeFillTint="33"/>
            <w:vAlign w:val="bottom"/>
          </w:tcPr>
          <w:p w14:paraId="6BE028BB"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Kuřim</w:t>
            </w:r>
          </w:p>
        </w:tc>
        <w:tc>
          <w:tcPr>
            <w:tcW w:w="860" w:type="dxa"/>
          </w:tcPr>
          <w:p w14:paraId="11877B2F" w14:textId="47B6D6F3"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11 607</w:t>
            </w:r>
          </w:p>
        </w:tc>
        <w:tc>
          <w:tcPr>
            <w:tcW w:w="1371" w:type="dxa"/>
          </w:tcPr>
          <w:p w14:paraId="158D6742" w14:textId="3FCEF3C1" w:rsidR="006F76B6" w:rsidRPr="007B59C4" w:rsidRDefault="006F76B6" w:rsidP="006F76B6">
            <w:pPr>
              <w:jc w:val="center"/>
              <w:rPr>
                <w:rFonts w:ascii="Arial Narrow" w:hAnsi="Arial Narrow"/>
                <w:sz w:val="18"/>
                <w:szCs w:val="18"/>
              </w:rPr>
            </w:pPr>
            <w:r w:rsidRPr="007B59C4">
              <w:rPr>
                <w:rFonts w:ascii="Arial Narrow" w:hAnsi="Arial Narrow"/>
                <w:sz w:val="18"/>
                <w:szCs w:val="18"/>
              </w:rPr>
              <w:t>1 093</w:t>
            </w:r>
          </w:p>
        </w:tc>
        <w:tc>
          <w:tcPr>
            <w:tcW w:w="1733" w:type="dxa"/>
          </w:tcPr>
          <w:p w14:paraId="6CBF16C1" w14:textId="3F1EBE3D" w:rsidR="006F76B6" w:rsidRPr="007B59C4" w:rsidRDefault="006F76B6" w:rsidP="006F76B6">
            <w:pPr>
              <w:jc w:val="center"/>
              <w:rPr>
                <w:rFonts w:ascii="Arial Narrow" w:hAnsi="Arial Narrow"/>
                <w:b/>
                <w:bCs/>
                <w:color w:val="C00000"/>
                <w:sz w:val="18"/>
                <w:szCs w:val="18"/>
              </w:rPr>
            </w:pPr>
            <w:r w:rsidRPr="007B59C4">
              <w:rPr>
                <w:rFonts w:ascii="Arial Narrow" w:hAnsi="Arial Narrow"/>
                <w:b/>
                <w:bCs/>
                <w:color w:val="C00000"/>
                <w:sz w:val="18"/>
                <w:szCs w:val="18"/>
              </w:rPr>
              <w:t>9,4 %</w:t>
            </w:r>
          </w:p>
        </w:tc>
        <w:tc>
          <w:tcPr>
            <w:tcW w:w="551" w:type="dxa"/>
            <w:vAlign w:val="bottom"/>
          </w:tcPr>
          <w:p w14:paraId="79D8EAC3"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366</w:t>
            </w:r>
          </w:p>
        </w:tc>
        <w:tc>
          <w:tcPr>
            <w:tcW w:w="522" w:type="dxa"/>
            <w:vAlign w:val="bottom"/>
          </w:tcPr>
          <w:p w14:paraId="11B33666"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98</w:t>
            </w:r>
          </w:p>
        </w:tc>
        <w:tc>
          <w:tcPr>
            <w:tcW w:w="717" w:type="dxa"/>
            <w:vAlign w:val="bottom"/>
          </w:tcPr>
          <w:p w14:paraId="233AAEC3"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464</w:t>
            </w:r>
          </w:p>
        </w:tc>
        <w:tc>
          <w:tcPr>
            <w:tcW w:w="551" w:type="dxa"/>
            <w:vAlign w:val="bottom"/>
          </w:tcPr>
          <w:p w14:paraId="1D4F422A"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506</w:t>
            </w:r>
          </w:p>
        </w:tc>
        <w:tc>
          <w:tcPr>
            <w:tcW w:w="551" w:type="dxa"/>
            <w:vAlign w:val="bottom"/>
          </w:tcPr>
          <w:p w14:paraId="04A9F823"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123</w:t>
            </w:r>
          </w:p>
        </w:tc>
        <w:tc>
          <w:tcPr>
            <w:tcW w:w="732" w:type="dxa"/>
            <w:vAlign w:val="bottom"/>
          </w:tcPr>
          <w:p w14:paraId="07A11702"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629</w:t>
            </w:r>
          </w:p>
        </w:tc>
      </w:tr>
      <w:tr w:rsidR="006F76B6" w:rsidRPr="007B59C4" w14:paraId="5D6E7FD2" w14:textId="77777777" w:rsidTr="00BC1C0D">
        <w:trPr>
          <w:trHeight w:val="204"/>
        </w:trPr>
        <w:tc>
          <w:tcPr>
            <w:tcW w:w="1369" w:type="dxa"/>
            <w:shd w:val="clear" w:color="auto" w:fill="D9E2F3" w:themeFill="accent1" w:themeFillTint="33"/>
            <w:vAlign w:val="bottom"/>
          </w:tcPr>
          <w:p w14:paraId="706375A6"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Čebín</w:t>
            </w:r>
          </w:p>
        </w:tc>
        <w:tc>
          <w:tcPr>
            <w:tcW w:w="860" w:type="dxa"/>
          </w:tcPr>
          <w:p w14:paraId="32A5493B" w14:textId="4AC06FE2"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1 970</w:t>
            </w:r>
          </w:p>
        </w:tc>
        <w:tc>
          <w:tcPr>
            <w:tcW w:w="1371" w:type="dxa"/>
          </w:tcPr>
          <w:p w14:paraId="09F733E1" w14:textId="0148EF9A" w:rsidR="006F76B6" w:rsidRPr="007B59C4" w:rsidRDefault="006F76B6" w:rsidP="006F76B6">
            <w:pPr>
              <w:jc w:val="center"/>
              <w:rPr>
                <w:rFonts w:ascii="Arial Narrow" w:hAnsi="Arial Narrow"/>
                <w:sz w:val="18"/>
                <w:szCs w:val="18"/>
              </w:rPr>
            </w:pPr>
            <w:r w:rsidRPr="007B59C4">
              <w:rPr>
                <w:rFonts w:ascii="Arial Narrow" w:hAnsi="Arial Narrow"/>
                <w:sz w:val="18"/>
                <w:szCs w:val="18"/>
              </w:rPr>
              <w:t>140</w:t>
            </w:r>
          </w:p>
        </w:tc>
        <w:tc>
          <w:tcPr>
            <w:tcW w:w="1733" w:type="dxa"/>
          </w:tcPr>
          <w:p w14:paraId="6B8DF13D" w14:textId="197507C0" w:rsidR="006F76B6" w:rsidRPr="007B59C4" w:rsidRDefault="006F76B6" w:rsidP="006F76B6">
            <w:pPr>
              <w:jc w:val="center"/>
              <w:rPr>
                <w:rFonts w:ascii="Arial Narrow" w:hAnsi="Arial Narrow"/>
                <w:b/>
                <w:bCs/>
                <w:color w:val="C00000"/>
                <w:sz w:val="18"/>
                <w:szCs w:val="18"/>
              </w:rPr>
            </w:pPr>
            <w:r w:rsidRPr="007B59C4">
              <w:rPr>
                <w:rFonts w:ascii="Arial Narrow" w:hAnsi="Arial Narrow"/>
                <w:b/>
                <w:bCs/>
                <w:color w:val="C00000"/>
                <w:sz w:val="18"/>
                <w:szCs w:val="18"/>
              </w:rPr>
              <w:t>7,1 %</w:t>
            </w:r>
          </w:p>
        </w:tc>
        <w:tc>
          <w:tcPr>
            <w:tcW w:w="551" w:type="dxa"/>
            <w:vAlign w:val="bottom"/>
          </w:tcPr>
          <w:p w14:paraId="3F6C9B55"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47</w:t>
            </w:r>
          </w:p>
        </w:tc>
        <w:tc>
          <w:tcPr>
            <w:tcW w:w="522" w:type="dxa"/>
            <w:vAlign w:val="bottom"/>
          </w:tcPr>
          <w:p w14:paraId="448FF48E"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22</w:t>
            </w:r>
          </w:p>
        </w:tc>
        <w:tc>
          <w:tcPr>
            <w:tcW w:w="717" w:type="dxa"/>
            <w:vAlign w:val="bottom"/>
          </w:tcPr>
          <w:p w14:paraId="61A5BBE8"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69</w:t>
            </w:r>
          </w:p>
        </w:tc>
        <w:tc>
          <w:tcPr>
            <w:tcW w:w="551" w:type="dxa"/>
            <w:vAlign w:val="bottom"/>
          </w:tcPr>
          <w:p w14:paraId="2E26A8B2"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56</w:t>
            </w:r>
          </w:p>
        </w:tc>
        <w:tc>
          <w:tcPr>
            <w:tcW w:w="551" w:type="dxa"/>
            <w:vAlign w:val="bottom"/>
          </w:tcPr>
          <w:p w14:paraId="1C228058"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15</w:t>
            </w:r>
          </w:p>
        </w:tc>
        <w:tc>
          <w:tcPr>
            <w:tcW w:w="732" w:type="dxa"/>
            <w:vAlign w:val="bottom"/>
          </w:tcPr>
          <w:p w14:paraId="72A274FA"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71</w:t>
            </w:r>
          </w:p>
        </w:tc>
      </w:tr>
      <w:tr w:rsidR="006F76B6" w:rsidRPr="007B59C4" w14:paraId="42296E57" w14:textId="77777777" w:rsidTr="00BC1C0D">
        <w:trPr>
          <w:trHeight w:val="204"/>
        </w:trPr>
        <w:tc>
          <w:tcPr>
            <w:tcW w:w="1369" w:type="dxa"/>
            <w:shd w:val="clear" w:color="auto" w:fill="D9E2F3" w:themeFill="accent1" w:themeFillTint="33"/>
            <w:vAlign w:val="bottom"/>
          </w:tcPr>
          <w:p w14:paraId="732A95CB"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Chudčice</w:t>
            </w:r>
          </w:p>
        </w:tc>
        <w:tc>
          <w:tcPr>
            <w:tcW w:w="860" w:type="dxa"/>
          </w:tcPr>
          <w:p w14:paraId="43C18C46" w14:textId="690DD201"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1 061</w:t>
            </w:r>
          </w:p>
        </w:tc>
        <w:tc>
          <w:tcPr>
            <w:tcW w:w="1371" w:type="dxa"/>
          </w:tcPr>
          <w:p w14:paraId="732F3943" w14:textId="3D3E0135" w:rsidR="006F76B6" w:rsidRPr="007B59C4" w:rsidRDefault="006F76B6" w:rsidP="006F76B6">
            <w:pPr>
              <w:jc w:val="center"/>
              <w:rPr>
                <w:rFonts w:ascii="Arial Narrow" w:hAnsi="Arial Narrow"/>
                <w:sz w:val="18"/>
                <w:szCs w:val="18"/>
              </w:rPr>
            </w:pPr>
            <w:r w:rsidRPr="007B59C4">
              <w:rPr>
                <w:rFonts w:ascii="Arial Narrow" w:hAnsi="Arial Narrow"/>
                <w:sz w:val="18"/>
                <w:szCs w:val="18"/>
              </w:rPr>
              <w:t>63</w:t>
            </w:r>
          </w:p>
        </w:tc>
        <w:tc>
          <w:tcPr>
            <w:tcW w:w="1733" w:type="dxa"/>
          </w:tcPr>
          <w:p w14:paraId="75B4A564" w14:textId="39B6FF35" w:rsidR="006F76B6" w:rsidRPr="007B59C4" w:rsidRDefault="006F76B6" w:rsidP="006F76B6">
            <w:pPr>
              <w:jc w:val="center"/>
              <w:rPr>
                <w:rFonts w:ascii="Arial Narrow" w:hAnsi="Arial Narrow"/>
                <w:sz w:val="18"/>
                <w:szCs w:val="18"/>
              </w:rPr>
            </w:pPr>
            <w:r w:rsidRPr="007B59C4">
              <w:rPr>
                <w:rFonts w:ascii="Arial Narrow" w:hAnsi="Arial Narrow"/>
                <w:sz w:val="18"/>
                <w:szCs w:val="18"/>
              </w:rPr>
              <w:t>5,9 %</w:t>
            </w:r>
          </w:p>
        </w:tc>
        <w:tc>
          <w:tcPr>
            <w:tcW w:w="551" w:type="dxa"/>
            <w:vAlign w:val="bottom"/>
          </w:tcPr>
          <w:p w14:paraId="2E39D674"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21</w:t>
            </w:r>
          </w:p>
        </w:tc>
        <w:tc>
          <w:tcPr>
            <w:tcW w:w="522" w:type="dxa"/>
            <w:vAlign w:val="bottom"/>
          </w:tcPr>
          <w:p w14:paraId="7BE4F3FB"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8</w:t>
            </w:r>
          </w:p>
        </w:tc>
        <w:tc>
          <w:tcPr>
            <w:tcW w:w="717" w:type="dxa"/>
            <w:vAlign w:val="bottom"/>
          </w:tcPr>
          <w:p w14:paraId="1970EE34"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29</w:t>
            </w:r>
          </w:p>
        </w:tc>
        <w:tc>
          <w:tcPr>
            <w:tcW w:w="551" w:type="dxa"/>
            <w:vAlign w:val="bottom"/>
          </w:tcPr>
          <w:p w14:paraId="1C6F0AD9"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27</w:t>
            </w:r>
          </w:p>
        </w:tc>
        <w:tc>
          <w:tcPr>
            <w:tcW w:w="551" w:type="dxa"/>
            <w:vAlign w:val="bottom"/>
          </w:tcPr>
          <w:p w14:paraId="6AFFE505"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7</w:t>
            </w:r>
          </w:p>
        </w:tc>
        <w:tc>
          <w:tcPr>
            <w:tcW w:w="732" w:type="dxa"/>
            <w:vAlign w:val="bottom"/>
          </w:tcPr>
          <w:p w14:paraId="7601E7E0"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34</w:t>
            </w:r>
          </w:p>
        </w:tc>
      </w:tr>
      <w:tr w:rsidR="006F76B6" w:rsidRPr="007B59C4" w14:paraId="60EB1F69" w14:textId="77777777" w:rsidTr="00BC1C0D">
        <w:trPr>
          <w:trHeight w:val="204"/>
        </w:trPr>
        <w:tc>
          <w:tcPr>
            <w:tcW w:w="1369" w:type="dxa"/>
            <w:shd w:val="clear" w:color="auto" w:fill="D9E2F3" w:themeFill="accent1" w:themeFillTint="33"/>
            <w:vAlign w:val="bottom"/>
          </w:tcPr>
          <w:p w14:paraId="4A7AE416"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Česká</w:t>
            </w:r>
          </w:p>
        </w:tc>
        <w:tc>
          <w:tcPr>
            <w:tcW w:w="860" w:type="dxa"/>
          </w:tcPr>
          <w:p w14:paraId="678CE9B8" w14:textId="158A2AE9"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1 055</w:t>
            </w:r>
          </w:p>
        </w:tc>
        <w:tc>
          <w:tcPr>
            <w:tcW w:w="1371" w:type="dxa"/>
          </w:tcPr>
          <w:p w14:paraId="23EF2DDC" w14:textId="4EDB8516" w:rsidR="006F76B6" w:rsidRPr="007B59C4" w:rsidRDefault="006F76B6" w:rsidP="006F76B6">
            <w:pPr>
              <w:jc w:val="center"/>
              <w:rPr>
                <w:rFonts w:ascii="Arial Narrow" w:hAnsi="Arial Narrow"/>
                <w:sz w:val="18"/>
                <w:szCs w:val="18"/>
              </w:rPr>
            </w:pPr>
            <w:r w:rsidRPr="007B59C4">
              <w:rPr>
                <w:rFonts w:ascii="Arial Narrow" w:hAnsi="Arial Narrow"/>
                <w:sz w:val="18"/>
                <w:szCs w:val="18"/>
              </w:rPr>
              <w:t>49</w:t>
            </w:r>
          </w:p>
        </w:tc>
        <w:tc>
          <w:tcPr>
            <w:tcW w:w="1733" w:type="dxa"/>
          </w:tcPr>
          <w:p w14:paraId="29BF079F" w14:textId="3C695F68" w:rsidR="006F76B6" w:rsidRPr="007B59C4" w:rsidRDefault="006F76B6" w:rsidP="006F76B6">
            <w:pPr>
              <w:jc w:val="center"/>
              <w:rPr>
                <w:rFonts w:ascii="Arial Narrow" w:hAnsi="Arial Narrow"/>
                <w:sz w:val="18"/>
                <w:szCs w:val="18"/>
              </w:rPr>
            </w:pPr>
            <w:r w:rsidRPr="007B59C4">
              <w:rPr>
                <w:rFonts w:ascii="Arial Narrow" w:hAnsi="Arial Narrow"/>
                <w:sz w:val="18"/>
                <w:szCs w:val="18"/>
              </w:rPr>
              <w:t>4,6 %</w:t>
            </w:r>
          </w:p>
        </w:tc>
        <w:tc>
          <w:tcPr>
            <w:tcW w:w="551" w:type="dxa"/>
            <w:vAlign w:val="bottom"/>
          </w:tcPr>
          <w:p w14:paraId="2094292B"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24</w:t>
            </w:r>
          </w:p>
        </w:tc>
        <w:tc>
          <w:tcPr>
            <w:tcW w:w="522" w:type="dxa"/>
            <w:vAlign w:val="bottom"/>
          </w:tcPr>
          <w:p w14:paraId="6EFC1841"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w:t>
            </w:r>
          </w:p>
        </w:tc>
        <w:tc>
          <w:tcPr>
            <w:tcW w:w="717" w:type="dxa"/>
            <w:vAlign w:val="bottom"/>
          </w:tcPr>
          <w:p w14:paraId="583B7A4F"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25</w:t>
            </w:r>
          </w:p>
        </w:tc>
        <w:tc>
          <w:tcPr>
            <w:tcW w:w="551" w:type="dxa"/>
            <w:vAlign w:val="bottom"/>
          </w:tcPr>
          <w:p w14:paraId="7CD01CE9"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21</w:t>
            </w:r>
          </w:p>
        </w:tc>
        <w:tc>
          <w:tcPr>
            <w:tcW w:w="551" w:type="dxa"/>
            <w:vAlign w:val="bottom"/>
          </w:tcPr>
          <w:p w14:paraId="56F20C48"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3</w:t>
            </w:r>
          </w:p>
        </w:tc>
        <w:tc>
          <w:tcPr>
            <w:tcW w:w="732" w:type="dxa"/>
            <w:vAlign w:val="bottom"/>
          </w:tcPr>
          <w:p w14:paraId="1ECE06E4"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24</w:t>
            </w:r>
          </w:p>
        </w:tc>
      </w:tr>
      <w:tr w:rsidR="006F76B6" w:rsidRPr="007B59C4" w14:paraId="49868E60" w14:textId="77777777" w:rsidTr="006F76B6">
        <w:trPr>
          <w:trHeight w:val="204"/>
        </w:trPr>
        <w:tc>
          <w:tcPr>
            <w:tcW w:w="1369" w:type="dxa"/>
            <w:shd w:val="clear" w:color="auto" w:fill="D9E2F3" w:themeFill="accent1" w:themeFillTint="33"/>
            <w:vAlign w:val="bottom"/>
          </w:tcPr>
          <w:p w14:paraId="3720DD08"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Moravské Knínice</w:t>
            </w:r>
          </w:p>
        </w:tc>
        <w:tc>
          <w:tcPr>
            <w:tcW w:w="860" w:type="dxa"/>
            <w:vAlign w:val="center"/>
          </w:tcPr>
          <w:p w14:paraId="02CC463D" w14:textId="0E6046CC"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1 167</w:t>
            </w:r>
          </w:p>
        </w:tc>
        <w:tc>
          <w:tcPr>
            <w:tcW w:w="1371" w:type="dxa"/>
            <w:vAlign w:val="center"/>
          </w:tcPr>
          <w:p w14:paraId="71AF4CD4" w14:textId="7CEB5855" w:rsidR="006F76B6" w:rsidRPr="007B59C4" w:rsidRDefault="006F76B6" w:rsidP="006F76B6">
            <w:pPr>
              <w:jc w:val="center"/>
              <w:rPr>
                <w:rFonts w:ascii="Arial Narrow" w:hAnsi="Arial Narrow"/>
                <w:sz w:val="18"/>
                <w:szCs w:val="18"/>
              </w:rPr>
            </w:pPr>
            <w:r w:rsidRPr="007B59C4">
              <w:rPr>
                <w:rFonts w:ascii="Arial Narrow" w:hAnsi="Arial Narrow"/>
                <w:sz w:val="18"/>
                <w:szCs w:val="18"/>
              </w:rPr>
              <w:t>47</w:t>
            </w:r>
          </w:p>
        </w:tc>
        <w:tc>
          <w:tcPr>
            <w:tcW w:w="1733" w:type="dxa"/>
            <w:vAlign w:val="center"/>
          </w:tcPr>
          <w:p w14:paraId="6D234379" w14:textId="317DF9BD" w:rsidR="006F76B6" w:rsidRPr="007B59C4" w:rsidRDefault="006F76B6" w:rsidP="006F76B6">
            <w:pPr>
              <w:jc w:val="center"/>
              <w:rPr>
                <w:rFonts w:ascii="Arial Narrow" w:hAnsi="Arial Narrow"/>
                <w:sz w:val="18"/>
                <w:szCs w:val="18"/>
              </w:rPr>
            </w:pPr>
            <w:r w:rsidRPr="007B59C4">
              <w:rPr>
                <w:rFonts w:ascii="Arial Narrow" w:hAnsi="Arial Narrow"/>
                <w:sz w:val="18"/>
                <w:szCs w:val="18"/>
              </w:rPr>
              <w:t>4,0 %</w:t>
            </w:r>
          </w:p>
        </w:tc>
        <w:tc>
          <w:tcPr>
            <w:tcW w:w="551" w:type="dxa"/>
            <w:vAlign w:val="center"/>
          </w:tcPr>
          <w:p w14:paraId="7CE05D6F"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13</w:t>
            </w:r>
          </w:p>
        </w:tc>
        <w:tc>
          <w:tcPr>
            <w:tcW w:w="522" w:type="dxa"/>
            <w:vAlign w:val="center"/>
          </w:tcPr>
          <w:p w14:paraId="466D5B7E"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7</w:t>
            </w:r>
          </w:p>
        </w:tc>
        <w:tc>
          <w:tcPr>
            <w:tcW w:w="717" w:type="dxa"/>
            <w:vAlign w:val="center"/>
          </w:tcPr>
          <w:p w14:paraId="6C5BC777"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20</w:t>
            </w:r>
          </w:p>
        </w:tc>
        <w:tc>
          <w:tcPr>
            <w:tcW w:w="551" w:type="dxa"/>
            <w:vAlign w:val="center"/>
          </w:tcPr>
          <w:p w14:paraId="18000024"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21</w:t>
            </w:r>
          </w:p>
        </w:tc>
        <w:tc>
          <w:tcPr>
            <w:tcW w:w="551" w:type="dxa"/>
            <w:vAlign w:val="center"/>
          </w:tcPr>
          <w:p w14:paraId="53122BBC"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6</w:t>
            </w:r>
          </w:p>
        </w:tc>
        <w:tc>
          <w:tcPr>
            <w:tcW w:w="732" w:type="dxa"/>
            <w:vAlign w:val="center"/>
          </w:tcPr>
          <w:p w14:paraId="7B24B026"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27</w:t>
            </w:r>
          </w:p>
        </w:tc>
      </w:tr>
      <w:tr w:rsidR="006F76B6" w:rsidRPr="007B59C4" w14:paraId="0A11266E" w14:textId="77777777" w:rsidTr="00BC1C0D">
        <w:trPr>
          <w:trHeight w:val="204"/>
        </w:trPr>
        <w:tc>
          <w:tcPr>
            <w:tcW w:w="1369" w:type="dxa"/>
            <w:shd w:val="clear" w:color="auto" w:fill="D9E2F3" w:themeFill="accent1" w:themeFillTint="33"/>
            <w:vAlign w:val="bottom"/>
          </w:tcPr>
          <w:p w14:paraId="4A10DA5B"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Lelekovice</w:t>
            </w:r>
          </w:p>
        </w:tc>
        <w:tc>
          <w:tcPr>
            <w:tcW w:w="860" w:type="dxa"/>
          </w:tcPr>
          <w:p w14:paraId="0395BAF7" w14:textId="4A0F3460"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1 998</w:t>
            </w:r>
          </w:p>
        </w:tc>
        <w:tc>
          <w:tcPr>
            <w:tcW w:w="1371" w:type="dxa"/>
          </w:tcPr>
          <w:p w14:paraId="22324A68" w14:textId="2B0C555C" w:rsidR="006F76B6" w:rsidRPr="007B59C4" w:rsidRDefault="006F76B6" w:rsidP="006F76B6">
            <w:pPr>
              <w:jc w:val="center"/>
              <w:rPr>
                <w:rFonts w:ascii="Arial Narrow" w:hAnsi="Arial Narrow"/>
                <w:sz w:val="18"/>
                <w:szCs w:val="18"/>
              </w:rPr>
            </w:pPr>
            <w:r w:rsidRPr="007B59C4">
              <w:rPr>
                <w:rFonts w:ascii="Arial Narrow" w:hAnsi="Arial Narrow"/>
                <w:sz w:val="18"/>
                <w:szCs w:val="18"/>
              </w:rPr>
              <w:t>61</w:t>
            </w:r>
          </w:p>
        </w:tc>
        <w:tc>
          <w:tcPr>
            <w:tcW w:w="1733" w:type="dxa"/>
          </w:tcPr>
          <w:p w14:paraId="7E5D45DA" w14:textId="48E2A326" w:rsidR="006F76B6" w:rsidRPr="007B59C4" w:rsidRDefault="006F76B6" w:rsidP="006F76B6">
            <w:pPr>
              <w:jc w:val="center"/>
              <w:rPr>
                <w:rFonts w:ascii="Arial Narrow" w:hAnsi="Arial Narrow"/>
                <w:sz w:val="18"/>
                <w:szCs w:val="18"/>
              </w:rPr>
            </w:pPr>
            <w:r w:rsidRPr="007B59C4">
              <w:rPr>
                <w:rFonts w:ascii="Arial Narrow" w:hAnsi="Arial Narrow"/>
                <w:sz w:val="18"/>
                <w:szCs w:val="18"/>
              </w:rPr>
              <w:t>3,1 %</w:t>
            </w:r>
          </w:p>
        </w:tc>
        <w:tc>
          <w:tcPr>
            <w:tcW w:w="551" w:type="dxa"/>
            <w:vAlign w:val="bottom"/>
          </w:tcPr>
          <w:p w14:paraId="5B4DC6BD"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24</w:t>
            </w:r>
          </w:p>
        </w:tc>
        <w:tc>
          <w:tcPr>
            <w:tcW w:w="522" w:type="dxa"/>
            <w:vAlign w:val="bottom"/>
          </w:tcPr>
          <w:p w14:paraId="51CE14F4"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7</w:t>
            </w:r>
          </w:p>
        </w:tc>
        <w:tc>
          <w:tcPr>
            <w:tcW w:w="717" w:type="dxa"/>
            <w:vAlign w:val="bottom"/>
          </w:tcPr>
          <w:p w14:paraId="6A06BBBD"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31</w:t>
            </w:r>
          </w:p>
        </w:tc>
        <w:tc>
          <w:tcPr>
            <w:tcW w:w="551" w:type="dxa"/>
            <w:vAlign w:val="bottom"/>
          </w:tcPr>
          <w:p w14:paraId="1F5D3F78"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25</w:t>
            </w:r>
          </w:p>
        </w:tc>
        <w:tc>
          <w:tcPr>
            <w:tcW w:w="551" w:type="dxa"/>
            <w:vAlign w:val="bottom"/>
          </w:tcPr>
          <w:p w14:paraId="57589118"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5</w:t>
            </w:r>
          </w:p>
        </w:tc>
        <w:tc>
          <w:tcPr>
            <w:tcW w:w="732" w:type="dxa"/>
            <w:vAlign w:val="bottom"/>
          </w:tcPr>
          <w:p w14:paraId="7BC32FE4"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30</w:t>
            </w:r>
          </w:p>
        </w:tc>
      </w:tr>
      <w:tr w:rsidR="006F76B6" w:rsidRPr="007B59C4" w14:paraId="1E6F9617" w14:textId="77777777" w:rsidTr="00BC1C0D">
        <w:trPr>
          <w:trHeight w:val="204"/>
        </w:trPr>
        <w:tc>
          <w:tcPr>
            <w:tcW w:w="1369" w:type="dxa"/>
            <w:shd w:val="clear" w:color="auto" w:fill="D9E2F3" w:themeFill="accent1" w:themeFillTint="33"/>
            <w:vAlign w:val="bottom"/>
          </w:tcPr>
          <w:p w14:paraId="4EFC1351"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Rozdrojovice</w:t>
            </w:r>
          </w:p>
        </w:tc>
        <w:tc>
          <w:tcPr>
            <w:tcW w:w="860" w:type="dxa"/>
          </w:tcPr>
          <w:p w14:paraId="377DDD99" w14:textId="06716810"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1 113</w:t>
            </w:r>
          </w:p>
        </w:tc>
        <w:tc>
          <w:tcPr>
            <w:tcW w:w="1371" w:type="dxa"/>
          </w:tcPr>
          <w:p w14:paraId="72AB01E2" w14:textId="11024431" w:rsidR="006F76B6" w:rsidRPr="007B59C4" w:rsidRDefault="006F76B6" w:rsidP="006F76B6">
            <w:pPr>
              <w:jc w:val="center"/>
              <w:rPr>
                <w:rFonts w:ascii="Arial Narrow" w:hAnsi="Arial Narrow"/>
                <w:sz w:val="18"/>
                <w:szCs w:val="18"/>
              </w:rPr>
            </w:pPr>
            <w:r w:rsidRPr="007B59C4">
              <w:rPr>
                <w:rFonts w:ascii="Arial Narrow" w:hAnsi="Arial Narrow"/>
                <w:sz w:val="18"/>
                <w:szCs w:val="18"/>
              </w:rPr>
              <w:t>32</w:t>
            </w:r>
          </w:p>
        </w:tc>
        <w:tc>
          <w:tcPr>
            <w:tcW w:w="1733" w:type="dxa"/>
          </w:tcPr>
          <w:p w14:paraId="257429FF" w14:textId="3999BA54" w:rsidR="006F76B6" w:rsidRPr="007B59C4" w:rsidRDefault="006F76B6" w:rsidP="006F76B6">
            <w:pPr>
              <w:jc w:val="center"/>
              <w:rPr>
                <w:rFonts w:ascii="Arial Narrow" w:hAnsi="Arial Narrow"/>
                <w:sz w:val="18"/>
                <w:szCs w:val="18"/>
              </w:rPr>
            </w:pPr>
            <w:r w:rsidRPr="007B59C4">
              <w:rPr>
                <w:rFonts w:ascii="Arial Narrow" w:hAnsi="Arial Narrow"/>
                <w:sz w:val="18"/>
                <w:szCs w:val="18"/>
              </w:rPr>
              <w:t>2,9 %</w:t>
            </w:r>
          </w:p>
        </w:tc>
        <w:tc>
          <w:tcPr>
            <w:tcW w:w="551" w:type="dxa"/>
            <w:vAlign w:val="bottom"/>
          </w:tcPr>
          <w:p w14:paraId="747BEEE1"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7</w:t>
            </w:r>
          </w:p>
        </w:tc>
        <w:tc>
          <w:tcPr>
            <w:tcW w:w="522" w:type="dxa"/>
            <w:vAlign w:val="bottom"/>
          </w:tcPr>
          <w:p w14:paraId="5188265F"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5</w:t>
            </w:r>
          </w:p>
        </w:tc>
        <w:tc>
          <w:tcPr>
            <w:tcW w:w="717" w:type="dxa"/>
            <w:vAlign w:val="bottom"/>
          </w:tcPr>
          <w:p w14:paraId="6F34F56F"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12</w:t>
            </w:r>
          </w:p>
        </w:tc>
        <w:tc>
          <w:tcPr>
            <w:tcW w:w="551" w:type="dxa"/>
            <w:vAlign w:val="bottom"/>
          </w:tcPr>
          <w:p w14:paraId="5DB884E1"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15</w:t>
            </w:r>
          </w:p>
        </w:tc>
        <w:tc>
          <w:tcPr>
            <w:tcW w:w="551" w:type="dxa"/>
            <w:vAlign w:val="bottom"/>
          </w:tcPr>
          <w:p w14:paraId="0ACE98C3"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5</w:t>
            </w:r>
          </w:p>
        </w:tc>
        <w:tc>
          <w:tcPr>
            <w:tcW w:w="732" w:type="dxa"/>
            <w:vAlign w:val="bottom"/>
          </w:tcPr>
          <w:p w14:paraId="32C72F55"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20</w:t>
            </w:r>
          </w:p>
        </w:tc>
      </w:tr>
      <w:tr w:rsidR="006F76B6" w:rsidRPr="007B59C4" w14:paraId="7BC8C9D1" w14:textId="77777777" w:rsidTr="00BC1C0D">
        <w:trPr>
          <w:trHeight w:val="204"/>
        </w:trPr>
        <w:tc>
          <w:tcPr>
            <w:tcW w:w="1369" w:type="dxa"/>
            <w:shd w:val="clear" w:color="auto" w:fill="D9E2F3" w:themeFill="accent1" w:themeFillTint="33"/>
            <w:vAlign w:val="bottom"/>
          </w:tcPr>
          <w:p w14:paraId="39DDAB66"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Jinačovice</w:t>
            </w:r>
          </w:p>
        </w:tc>
        <w:tc>
          <w:tcPr>
            <w:tcW w:w="860" w:type="dxa"/>
          </w:tcPr>
          <w:p w14:paraId="080546FE" w14:textId="3FD74C60"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807</w:t>
            </w:r>
          </w:p>
        </w:tc>
        <w:tc>
          <w:tcPr>
            <w:tcW w:w="1371" w:type="dxa"/>
          </w:tcPr>
          <w:p w14:paraId="4D813712" w14:textId="44D9C4A3" w:rsidR="006F76B6" w:rsidRPr="007B59C4" w:rsidRDefault="006F76B6" w:rsidP="006F76B6">
            <w:pPr>
              <w:jc w:val="center"/>
              <w:rPr>
                <w:rFonts w:ascii="Arial Narrow" w:hAnsi="Arial Narrow"/>
                <w:sz w:val="18"/>
                <w:szCs w:val="18"/>
              </w:rPr>
            </w:pPr>
            <w:r w:rsidRPr="007B59C4">
              <w:rPr>
                <w:rFonts w:ascii="Arial Narrow" w:hAnsi="Arial Narrow"/>
                <w:sz w:val="18"/>
                <w:szCs w:val="18"/>
              </w:rPr>
              <w:t>20</w:t>
            </w:r>
          </w:p>
        </w:tc>
        <w:tc>
          <w:tcPr>
            <w:tcW w:w="1733" w:type="dxa"/>
          </w:tcPr>
          <w:p w14:paraId="712A7B3D" w14:textId="598DF3F8" w:rsidR="006F76B6" w:rsidRPr="007B59C4" w:rsidRDefault="006F76B6" w:rsidP="006F76B6">
            <w:pPr>
              <w:jc w:val="center"/>
              <w:rPr>
                <w:rFonts w:ascii="Arial Narrow" w:hAnsi="Arial Narrow"/>
                <w:sz w:val="18"/>
                <w:szCs w:val="18"/>
              </w:rPr>
            </w:pPr>
            <w:r w:rsidRPr="007B59C4">
              <w:rPr>
                <w:rFonts w:ascii="Arial Narrow" w:hAnsi="Arial Narrow"/>
                <w:sz w:val="18"/>
                <w:szCs w:val="18"/>
              </w:rPr>
              <w:t>2,5 %</w:t>
            </w:r>
          </w:p>
        </w:tc>
        <w:tc>
          <w:tcPr>
            <w:tcW w:w="551" w:type="dxa"/>
            <w:vAlign w:val="bottom"/>
          </w:tcPr>
          <w:p w14:paraId="05C6BADD"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8</w:t>
            </w:r>
          </w:p>
        </w:tc>
        <w:tc>
          <w:tcPr>
            <w:tcW w:w="522" w:type="dxa"/>
            <w:vAlign w:val="bottom"/>
          </w:tcPr>
          <w:p w14:paraId="33FB72BF"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3</w:t>
            </w:r>
          </w:p>
        </w:tc>
        <w:tc>
          <w:tcPr>
            <w:tcW w:w="717" w:type="dxa"/>
            <w:vAlign w:val="bottom"/>
          </w:tcPr>
          <w:p w14:paraId="506DE7A5"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11</w:t>
            </w:r>
          </w:p>
        </w:tc>
        <w:tc>
          <w:tcPr>
            <w:tcW w:w="551" w:type="dxa"/>
            <w:vAlign w:val="bottom"/>
          </w:tcPr>
          <w:p w14:paraId="235C921D"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7</w:t>
            </w:r>
          </w:p>
        </w:tc>
        <w:tc>
          <w:tcPr>
            <w:tcW w:w="551" w:type="dxa"/>
            <w:vAlign w:val="bottom"/>
          </w:tcPr>
          <w:p w14:paraId="315E2EF7"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2</w:t>
            </w:r>
          </w:p>
        </w:tc>
        <w:tc>
          <w:tcPr>
            <w:tcW w:w="732" w:type="dxa"/>
            <w:vAlign w:val="bottom"/>
          </w:tcPr>
          <w:p w14:paraId="053C77B3" w14:textId="77777777" w:rsidR="006F76B6" w:rsidRPr="007B59C4" w:rsidRDefault="006F76B6" w:rsidP="006F76B6">
            <w:pPr>
              <w:jc w:val="center"/>
              <w:rPr>
                <w:rFonts w:ascii="Arial Narrow" w:hAnsi="Arial Narrow"/>
                <w:sz w:val="18"/>
                <w:szCs w:val="18"/>
              </w:rPr>
            </w:pPr>
            <w:r w:rsidRPr="007B59C4">
              <w:rPr>
                <w:rFonts w:ascii="Arial Narrow" w:hAnsi="Arial Narrow"/>
                <w:color w:val="000000"/>
                <w:sz w:val="18"/>
                <w:szCs w:val="18"/>
              </w:rPr>
              <w:t>9</w:t>
            </w:r>
          </w:p>
        </w:tc>
      </w:tr>
      <w:tr w:rsidR="006F76B6" w:rsidRPr="007B59C4" w14:paraId="6FFBD96E" w14:textId="77777777" w:rsidTr="00BC1C0D">
        <w:trPr>
          <w:trHeight w:val="204"/>
        </w:trPr>
        <w:tc>
          <w:tcPr>
            <w:tcW w:w="1369" w:type="dxa"/>
            <w:shd w:val="clear" w:color="auto" w:fill="D9E2F3" w:themeFill="accent1" w:themeFillTint="33"/>
            <w:vAlign w:val="bottom"/>
          </w:tcPr>
          <w:p w14:paraId="0EEAA9CE" w14:textId="6FFE042F" w:rsidR="006F76B6" w:rsidRPr="007B59C4" w:rsidRDefault="006F76B6" w:rsidP="006F76B6">
            <w:pPr>
              <w:jc w:val="center"/>
              <w:rPr>
                <w:rFonts w:ascii="Arial Narrow" w:hAnsi="Arial Narrow"/>
                <w:color w:val="000000"/>
                <w:sz w:val="18"/>
                <w:szCs w:val="18"/>
              </w:rPr>
            </w:pPr>
            <w:r w:rsidRPr="007B59C4">
              <w:rPr>
                <w:rFonts w:ascii="Arial Narrow" w:hAnsi="Arial Narrow"/>
                <w:color w:val="000000"/>
                <w:sz w:val="18"/>
                <w:szCs w:val="18"/>
              </w:rPr>
              <w:t>Hvozdec</w:t>
            </w:r>
          </w:p>
        </w:tc>
        <w:tc>
          <w:tcPr>
            <w:tcW w:w="860" w:type="dxa"/>
          </w:tcPr>
          <w:p w14:paraId="5B8102B3" w14:textId="2A94B4E7" w:rsidR="006F76B6" w:rsidRPr="007B59C4" w:rsidRDefault="006F76B6" w:rsidP="006F76B6">
            <w:pPr>
              <w:jc w:val="center"/>
              <w:rPr>
                <w:rFonts w:ascii="Arial Narrow" w:hAnsi="Arial Narrow"/>
                <w:color w:val="000000"/>
                <w:sz w:val="18"/>
                <w:szCs w:val="18"/>
              </w:rPr>
            </w:pPr>
            <w:r w:rsidRPr="007B59C4">
              <w:rPr>
                <w:rFonts w:ascii="Arial Narrow" w:hAnsi="Arial Narrow"/>
                <w:sz w:val="18"/>
                <w:szCs w:val="18"/>
              </w:rPr>
              <w:t>355</w:t>
            </w:r>
          </w:p>
        </w:tc>
        <w:tc>
          <w:tcPr>
            <w:tcW w:w="1371" w:type="dxa"/>
          </w:tcPr>
          <w:p w14:paraId="7F517613" w14:textId="0913C609" w:rsidR="006F76B6" w:rsidRPr="007B59C4" w:rsidRDefault="006F76B6" w:rsidP="006F76B6">
            <w:pPr>
              <w:jc w:val="center"/>
              <w:rPr>
                <w:rFonts w:ascii="Arial Narrow" w:hAnsi="Arial Narrow"/>
                <w:bCs/>
                <w:color w:val="000000"/>
                <w:sz w:val="18"/>
                <w:szCs w:val="18"/>
              </w:rPr>
            </w:pPr>
            <w:r w:rsidRPr="007B59C4">
              <w:rPr>
                <w:rFonts w:ascii="Arial Narrow" w:hAnsi="Arial Narrow"/>
                <w:sz w:val="18"/>
                <w:szCs w:val="18"/>
              </w:rPr>
              <w:t>3</w:t>
            </w:r>
          </w:p>
        </w:tc>
        <w:tc>
          <w:tcPr>
            <w:tcW w:w="1733" w:type="dxa"/>
          </w:tcPr>
          <w:p w14:paraId="732BAA10" w14:textId="35D54790" w:rsidR="006F76B6" w:rsidRPr="007B59C4" w:rsidRDefault="006F76B6" w:rsidP="006F76B6">
            <w:pPr>
              <w:jc w:val="center"/>
              <w:rPr>
                <w:rFonts w:ascii="Arial Narrow" w:hAnsi="Arial Narrow"/>
                <w:sz w:val="18"/>
                <w:szCs w:val="18"/>
              </w:rPr>
            </w:pPr>
            <w:r w:rsidRPr="007B59C4">
              <w:rPr>
                <w:rFonts w:ascii="Arial Narrow" w:hAnsi="Arial Narrow"/>
                <w:sz w:val="18"/>
                <w:szCs w:val="18"/>
              </w:rPr>
              <w:t>0,8 %</w:t>
            </w:r>
          </w:p>
        </w:tc>
        <w:tc>
          <w:tcPr>
            <w:tcW w:w="551" w:type="dxa"/>
            <w:vAlign w:val="bottom"/>
          </w:tcPr>
          <w:p w14:paraId="6D282F0E" w14:textId="69B436D3" w:rsidR="006F76B6" w:rsidRPr="007B59C4" w:rsidRDefault="006F76B6" w:rsidP="006F76B6">
            <w:pPr>
              <w:jc w:val="center"/>
              <w:rPr>
                <w:rFonts w:ascii="Arial Narrow" w:hAnsi="Arial Narrow"/>
                <w:color w:val="000000"/>
                <w:sz w:val="18"/>
                <w:szCs w:val="18"/>
              </w:rPr>
            </w:pPr>
            <w:r w:rsidRPr="007B59C4">
              <w:rPr>
                <w:rFonts w:ascii="Arial Narrow" w:hAnsi="Arial Narrow"/>
                <w:color w:val="000000"/>
                <w:sz w:val="18"/>
                <w:szCs w:val="18"/>
              </w:rPr>
              <w:t>1</w:t>
            </w:r>
          </w:p>
        </w:tc>
        <w:tc>
          <w:tcPr>
            <w:tcW w:w="522" w:type="dxa"/>
            <w:vAlign w:val="bottom"/>
          </w:tcPr>
          <w:p w14:paraId="39A2270B" w14:textId="45981EE7" w:rsidR="006F76B6" w:rsidRPr="007B59C4" w:rsidRDefault="006F76B6" w:rsidP="006F76B6">
            <w:pPr>
              <w:jc w:val="center"/>
              <w:rPr>
                <w:rFonts w:ascii="Arial Narrow" w:hAnsi="Arial Narrow"/>
                <w:color w:val="000000"/>
                <w:sz w:val="18"/>
                <w:szCs w:val="18"/>
              </w:rPr>
            </w:pPr>
            <w:r w:rsidRPr="007B59C4">
              <w:rPr>
                <w:rFonts w:ascii="Arial Narrow" w:hAnsi="Arial Narrow"/>
                <w:color w:val="000000"/>
                <w:sz w:val="18"/>
                <w:szCs w:val="18"/>
              </w:rPr>
              <w:t>1</w:t>
            </w:r>
          </w:p>
        </w:tc>
        <w:tc>
          <w:tcPr>
            <w:tcW w:w="717" w:type="dxa"/>
            <w:vAlign w:val="bottom"/>
          </w:tcPr>
          <w:p w14:paraId="1CC0ADAF" w14:textId="6A597B96" w:rsidR="006F76B6" w:rsidRPr="007B59C4" w:rsidRDefault="006F76B6" w:rsidP="006F76B6">
            <w:pPr>
              <w:jc w:val="center"/>
              <w:rPr>
                <w:rFonts w:ascii="Arial Narrow" w:hAnsi="Arial Narrow"/>
                <w:color w:val="000000"/>
                <w:sz w:val="18"/>
                <w:szCs w:val="18"/>
              </w:rPr>
            </w:pPr>
            <w:r w:rsidRPr="007B59C4">
              <w:rPr>
                <w:rFonts w:ascii="Arial Narrow" w:hAnsi="Arial Narrow"/>
                <w:color w:val="000000"/>
                <w:sz w:val="18"/>
                <w:szCs w:val="18"/>
              </w:rPr>
              <w:t>2</w:t>
            </w:r>
          </w:p>
        </w:tc>
        <w:tc>
          <w:tcPr>
            <w:tcW w:w="551" w:type="dxa"/>
            <w:vAlign w:val="bottom"/>
          </w:tcPr>
          <w:p w14:paraId="26D3E080" w14:textId="05E72354" w:rsidR="006F76B6" w:rsidRPr="007B59C4" w:rsidRDefault="006F76B6" w:rsidP="006F76B6">
            <w:pPr>
              <w:jc w:val="center"/>
              <w:rPr>
                <w:rFonts w:ascii="Arial Narrow" w:hAnsi="Arial Narrow"/>
                <w:color w:val="000000"/>
                <w:sz w:val="18"/>
                <w:szCs w:val="18"/>
              </w:rPr>
            </w:pPr>
            <w:r w:rsidRPr="007B59C4">
              <w:rPr>
                <w:rFonts w:ascii="Arial Narrow" w:hAnsi="Arial Narrow"/>
                <w:color w:val="000000"/>
                <w:sz w:val="18"/>
                <w:szCs w:val="18"/>
              </w:rPr>
              <w:t>1</w:t>
            </w:r>
          </w:p>
        </w:tc>
        <w:tc>
          <w:tcPr>
            <w:tcW w:w="551" w:type="dxa"/>
            <w:vAlign w:val="bottom"/>
          </w:tcPr>
          <w:p w14:paraId="295864BF" w14:textId="0F430E55" w:rsidR="006F76B6" w:rsidRPr="007B59C4" w:rsidRDefault="006F76B6" w:rsidP="006F76B6">
            <w:pPr>
              <w:jc w:val="center"/>
              <w:rPr>
                <w:rFonts w:ascii="Arial Narrow" w:hAnsi="Arial Narrow"/>
                <w:color w:val="000000"/>
                <w:sz w:val="18"/>
                <w:szCs w:val="18"/>
              </w:rPr>
            </w:pPr>
            <w:r w:rsidRPr="007B59C4">
              <w:rPr>
                <w:rFonts w:ascii="Arial Narrow" w:hAnsi="Arial Narrow"/>
                <w:color w:val="000000"/>
                <w:sz w:val="18"/>
                <w:szCs w:val="18"/>
              </w:rPr>
              <w:t>0</w:t>
            </w:r>
          </w:p>
        </w:tc>
        <w:tc>
          <w:tcPr>
            <w:tcW w:w="732" w:type="dxa"/>
            <w:vAlign w:val="bottom"/>
          </w:tcPr>
          <w:p w14:paraId="3F1DA97C" w14:textId="1A898AEE" w:rsidR="006F76B6" w:rsidRPr="007B59C4" w:rsidRDefault="006F76B6" w:rsidP="006F76B6">
            <w:pPr>
              <w:jc w:val="center"/>
              <w:rPr>
                <w:rFonts w:ascii="Arial Narrow" w:hAnsi="Arial Narrow"/>
                <w:color w:val="000000"/>
                <w:sz w:val="18"/>
                <w:szCs w:val="18"/>
              </w:rPr>
            </w:pPr>
            <w:r w:rsidRPr="007B59C4">
              <w:rPr>
                <w:rFonts w:ascii="Arial Narrow" w:hAnsi="Arial Narrow"/>
                <w:color w:val="000000"/>
                <w:sz w:val="18"/>
                <w:szCs w:val="18"/>
              </w:rPr>
              <w:t>1</w:t>
            </w:r>
          </w:p>
        </w:tc>
      </w:tr>
    </w:tbl>
    <w:p w14:paraId="60F3552E" w14:textId="77777777" w:rsidR="00C217CC" w:rsidRPr="007B59C4" w:rsidRDefault="00C217CC" w:rsidP="00C217CC">
      <w:pPr>
        <w:rPr>
          <w:rFonts w:ascii="Arial Narrow" w:hAnsi="Arial Narrow"/>
          <w:b/>
          <w:bCs/>
          <w:sz w:val="28"/>
          <w:szCs w:val="28"/>
        </w:rPr>
      </w:pPr>
      <w:r w:rsidRPr="007B59C4">
        <w:rPr>
          <w:rFonts w:ascii="Arial Narrow" w:hAnsi="Arial Narrow"/>
          <w:color w:val="000000"/>
          <w:sz w:val="20"/>
          <w:szCs w:val="20"/>
          <w:lang w:eastAsia="cs-CZ"/>
        </w:rPr>
        <w:t>Zdroj: Ministerstvo Vnitra České republiky</w:t>
      </w:r>
      <w:r w:rsidRPr="007B59C4">
        <w:rPr>
          <w:rFonts w:ascii="Arial Narrow" w:hAnsi="Arial Narrow"/>
          <w:color w:val="000000"/>
          <w:sz w:val="20"/>
          <w:szCs w:val="20"/>
          <w:lang w:eastAsia="cs-CZ"/>
        </w:rPr>
        <w:tab/>
      </w:r>
      <w:r w:rsidRPr="007B59C4">
        <w:rPr>
          <w:rFonts w:ascii="Arial Narrow" w:hAnsi="Arial Narrow"/>
          <w:color w:val="000000"/>
          <w:sz w:val="20"/>
          <w:szCs w:val="20"/>
          <w:lang w:eastAsia="cs-CZ"/>
        </w:rPr>
        <w:tab/>
      </w:r>
      <w:r w:rsidRPr="007B59C4">
        <w:rPr>
          <w:rFonts w:ascii="Arial Narrow" w:hAnsi="Arial Narrow"/>
          <w:color w:val="000000"/>
          <w:sz w:val="20"/>
          <w:szCs w:val="20"/>
          <w:lang w:eastAsia="cs-CZ"/>
        </w:rPr>
        <w:tab/>
      </w:r>
      <w:r w:rsidRPr="007B59C4">
        <w:rPr>
          <w:rFonts w:ascii="Arial Narrow" w:hAnsi="Arial Narrow"/>
          <w:color w:val="000000"/>
          <w:sz w:val="20"/>
          <w:szCs w:val="20"/>
          <w:lang w:eastAsia="cs-CZ"/>
        </w:rPr>
        <w:tab/>
        <w:t xml:space="preserve">             </w:t>
      </w:r>
      <w:r w:rsidRPr="007B59C4">
        <w:rPr>
          <w:rFonts w:ascii="Arial Narrow" w:hAnsi="Arial Narrow"/>
          <w:sz w:val="20"/>
          <w:szCs w:val="20"/>
        </w:rPr>
        <w:t xml:space="preserve">Tabulka: AUGUR </w:t>
      </w:r>
      <w:proofErr w:type="spellStart"/>
      <w:r w:rsidRPr="007B59C4">
        <w:rPr>
          <w:rFonts w:ascii="Arial Narrow" w:hAnsi="Arial Narrow"/>
          <w:sz w:val="20"/>
          <w:szCs w:val="20"/>
        </w:rPr>
        <w:t>Consulting</w:t>
      </w:r>
      <w:proofErr w:type="spellEnd"/>
      <w:r w:rsidRPr="007B59C4">
        <w:rPr>
          <w:rFonts w:ascii="Arial Narrow" w:hAnsi="Arial Narrow"/>
          <w:sz w:val="20"/>
          <w:szCs w:val="20"/>
        </w:rPr>
        <w:t xml:space="preserve"> s.r.o.</w:t>
      </w:r>
    </w:p>
    <w:p w14:paraId="29612798" w14:textId="77777777" w:rsidR="00EC3CF5" w:rsidRPr="007B59C4" w:rsidRDefault="00EC3CF5" w:rsidP="00C217CC">
      <w:pPr>
        <w:spacing w:line="276" w:lineRule="auto"/>
        <w:jc w:val="both"/>
        <w:rPr>
          <w:rFonts w:ascii="Arial Narrow" w:hAnsi="Arial Narrow"/>
          <w:color w:val="000000"/>
        </w:rPr>
      </w:pPr>
      <w:bookmarkStart w:id="755" w:name="_Toc136428966"/>
    </w:p>
    <w:p w14:paraId="1083526D" w14:textId="77777777" w:rsidR="00EC3CF5" w:rsidRPr="007B59C4" w:rsidRDefault="00EC3CF5" w:rsidP="00C217CC">
      <w:pPr>
        <w:spacing w:line="276" w:lineRule="auto"/>
        <w:jc w:val="both"/>
        <w:rPr>
          <w:rFonts w:ascii="Arial Narrow" w:hAnsi="Arial Narrow"/>
          <w:color w:val="000000"/>
        </w:rPr>
      </w:pPr>
    </w:p>
    <w:p w14:paraId="0FB27180" w14:textId="0F38C8FD" w:rsidR="00C217CC" w:rsidRPr="00CE357F" w:rsidRDefault="00C217CC" w:rsidP="00C217CC">
      <w:pPr>
        <w:spacing w:line="276" w:lineRule="auto"/>
        <w:jc w:val="both"/>
        <w:rPr>
          <w:rFonts w:ascii="Arial Narrow" w:hAnsi="Arial Narrow"/>
          <w:b/>
          <w:bCs/>
          <w:sz w:val="20"/>
          <w:szCs w:val="20"/>
        </w:rPr>
      </w:pPr>
      <w:r w:rsidRPr="007B59C4">
        <w:rPr>
          <w:rFonts w:ascii="Arial Narrow" w:hAnsi="Arial Narrow"/>
          <w:b/>
          <w:sz w:val="20"/>
          <w:szCs w:val="20"/>
        </w:rPr>
        <w:lastRenderedPageBreak/>
        <w:t xml:space="preserve">Graf </w:t>
      </w:r>
      <w:r w:rsidRPr="007B59C4">
        <w:rPr>
          <w:rFonts w:ascii="Arial Narrow" w:hAnsi="Arial Narrow"/>
          <w:b/>
          <w:sz w:val="20"/>
          <w:szCs w:val="20"/>
        </w:rPr>
        <w:fldChar w:fldCharType="begin"/>
      </w:r>
      <w:r w:rsidRPr="007B59C4">
        <w:rPr>
          <w:rFonts w:ascii="Arial Narrow" w:hAnsi="Arial Narrow"/>
          <w:b/>
          <w:sz w:val="20"/>
          <w:szCs w:val="20"/>
        </w:rPr>
        <w:instrText xml:space="preserve"> SEQ Graf \* ARABIC </w:instrText>
      </w:r>
      <w:r w:rsidRPr="007B59C4">
        <w:rPr>
          <w:rFonts w:ascii="Arial Narrow" w:hAnsi="Arial Narrow"/>
          <w:b/>
          <w:sz w:val="20"/>
          <w:szCs w:val="20"/>
        </w:rPr>
        <w:fldChar w:fldCharType="separate"/>
      </w:r>
      <w:r w:rsidR="009F49C8" w:rsidRPr="007B59C4">
        <w:rPr>
          <w:rFonts w:ascii="Arial Narrow" w:hAnsi="Arial Narrow"/>
          <w:b/>
          <w:noProof/>
          <w:sz w:val="20"/>
          <w:szCs w:val="20"/>
        </w:rPr>
        <w:t>122</w:t>
      </w:r>
      <w:r w:rsidRPr="007B59C4">
        <w:rPr>
          <w:rFonts w:ascii="Arial Narrow" w:hAnsi="Arial Narrow"/>
          <w:b/>
          <w:sz w:val="20"/>
          <w:szCs w:val="20"/>
        </w:rPr>
        <w:fldChar w:fldCharType="end"/>
      </w:r>
      <w:r w:rsidRPr="007B59C4">
        <w:rPr>
          <w:rFonts w:ascii="Arial Narrow" w:hAnsi="Arial Narrow"/>
          <w:b/>
          <w:sz w:val="20"/>
          <w:szCs w:val="20"/>
        </w:rPr>
        <w:t>:</w:t>
      </w:r>
      <w:r w:rsidRPr="007B59C4">
        <w:rPr>
          <w:rFonts w:ascii="Arial Narrow" w:eastAsiaTheme="minorEastAsia" w:hAnsi="Arial Narrow" w:cstheme="minorBidi"/>
          <w:b/>
          <w:bCs/>
          <w:color w:val="000000" w:themeColor="text1"/>
          <w:kern w:val="24"/>
          <w:sz w:val="20"/>
          <w:szCs w:val="20"/>
          <w:lang w:eastAsia="cs-CZ"/>
        </w:rPr>
        <w:t xml:space="preserve"> </w:t>
      </w:r>
      <w:r w:rsidRPr="007B59C4">
        <w:rPr>
          <w:rFonts w:ascii="Arial Narrow" w:hAnsi="Arial Narrow"/>
          <w:b/>
          <w:bCs/>
          <w:sz w:val="20"/>
          <w:szCs w:val="20"/>
        </w:rPr>
        <w:t xml:space="preserve">Podíl osob s jinou než českou státní příslušností na celkovém počtu obyvatel </w:t>
      </w:r>
      <w:r w:rsidR="00F951BF" w:rsidRPr="007B59C4">
        <w:rPr>
          <w:rFonts w:ascii="Arial Narrow" w:hAnsi="Arial Narrow"/>
          <w:b/>
          <w:bCs/>
          <w:sz w:val="20"/>
          <w:szCs w:val="20"/>
        </w:rPr>
        <w:t xml:space="preserve">vybraných obcí </w:t>
      </w:r>
      <w:r w:rsidRPr="007B59C4">
        <w:rPr>
          <w:rFonts w:ascii="Arial Narrow" w:hAnsi="Arial Narrow"/>
          <w:b/>
          <w:bCs/>
          <w:sz w:val="20"/>
          <w:szCs w:val="20"/>
        </w:rPr>
        <w:t>k 1. 1. 2023</w:t>
      </w:r>
      <w:bookmarkEnd w:id="755"/>
    </w:p>
    <w:p w14:paraId="4BB8FBDD" w14:textId="526803DA" w:rsidR="00C217CC" w:rsidRPr="00CE357F" w:rsidRDefault="006F76B6" w:rsidP="00C217CC">
      <w:pPr>
        <w:spacing w:line="276" w:lineRule="auto"/>
        <w:rPr>
          <w:rFonts w:ascii="Arial Narrow" w:hAnsi="Arial Narrow"/>
        </w:rPr>
      </w:pPr>
      <w:r>
        <w:rPr>
          <w:noProof/>
          <w:lang w:eastAsia="cs-CZ"/>
        </w:rPr>
        <w:drawing>
          <wp:inline distT="0" distB="0" distL="0" distR="0" wp14:anchorId="7B689BA8" wp14:editId="40D527CA">
            <wp:extent cx="5760720" cy="2333625"/>
            <wp:effectExtent l="0" t="0" r="11430" b="9525"/>
            <wp:docPr id="2055663915" name="Graf 1">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12A32840" w14:textId="77777777" w:rsidR="00C217CC" w:rsidRPr="00CE357F" w:rsidRDefault="00C217CC" w:rsidP="00C217CC">
      <w:pPr>
        <w:spacing w:after="240" w:line="276" w:lineRule="auto"/>
        <w:rPr>
          <w:rFonts w:ascii="Arial Narrow" w:hAnsi="Arial Narrow"/>
          <w:color w:val="000000"/>
          <w:sz w:val="20"/>
          <w:lang w:eastAsia="cs-CZ"/>
        </w:rPr>
      </w:pPr>
      <w:r w:rsidRPr="00CE357F">
        <w:rPr>
          <w:rFonts w:ascii="Arial Narrow" w:hAnsi="Arial Narrow"/>
          <w:color w:val="000000"/>
          <w:sz w:val="20"/>
          <w:lang w:eastAsia="cs-CZ"/>
        </w:rPr>
        <w:t>Zdroj: Ministerstvo Vnitra České republiky</w:t>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3D9CD35D" w14:textId="77777777" w:rsidR="0055565E" w:rsidRPr="00CE357F" w:rsidRDefault="0055565E" w:rsidP="0055565E">
      <w:pPr>
        <w:spacing w:line="276" w:lineRule="auto"/>
        <w:rPr>
          <w:rFonts w:ascii="Arial Narrow" w:hAnsi="Arial Narrow"/>
          <w:b/>
          <w:bCs/>
          <w:color w:val="C00000"/>
        </w:rPr>
      </w:pPr>
    </w:p>
    <w:p w14:paraId="446569A8" w14:textId="07344F5D" w:rsidR="0055565E" w:rsidRPr="00CE357F" w:rsidRDefault="0055565E" w:rsidP="0055565E">
      <w:pPr>
        <w:spacing w:line="276" w:lineRule="auto"/>
        <w:rPr>
          <w:rFonts w:ascii="Arial Narrow" w:hAnsi="Arial Narrow"/>
          <w:b/>
          <w:bCs/>
          <w:color w:val="C00000"/>
        </w:rPr>
      </w:pPr>
      <w:r w:rsidRPr="00CE357F">
        <w:rPr>
          <w:rFonts w:ascii="Arial Narrow" w:hAnsi="Arial Narrow"/>
          <w:b/>
          <w:bCs/>
          <w:color w:val="C00000"/>
        </w:rPr>
        <w:t>Vývoj podílu osob s jinou než českou státní příslušností ve vybraných obcích ORP Kuřim mezi lety 2006</w:t>
      </w:r>
      <w:r w:rsidR="00B1616B" w:rsidRPr="00CE357F">
        <w:rPr>
          <w:rFonts w:ascii="Arial Narrow" w:hAnsi="Arial Narrow"/>
          <w:b/>
          <w:bCs/>
          <w:color w:val="C00000"/>
        </w:rPr>
        <w:t>–</w:t>
      </w:r>
      <w:r w:rsidRPr="00CE357F">
        <w:rPr>
          <w:rFonts w:ascii="Arial Narrow" w:hAnsi="Arial Narrow"/>
          <w:b/>
          <w:bCs/>
          <w:color w:val="C00000"/>
        </w:rPr>
        <w:t>2022</w:t>
      </w:r>
    </w:p>
    <w:p w14:paraId="019327D4" w14:textId="77777777" w:rsidR="0055565E" w:rsidRPr="00CE357F" w:rsidRDefault="0055565E" w:rsidP="0055565E">
      <w:pPr>
        <w:spacing w:line="276" w:lineRule="auto"/>
        <w:rPr>
          <w:rFonts w:ascii="Arial Narrow" w:hAnsi="Arial Narrow"/>
          <w:b/>
          <w:bCs/>
          <w:color w:val="C00000"/>
        </w:rPr>
      </w:pPr>
    </w:p>
    <w:p w14:paraId="0D4C4BDF" w14:textId="70770FEC" w:rsidR="0055565E" w:rsidRPr="00E32FA2" w:rsidRDefault="0055565E" w:rsidP="00B1616B">
      <w:pPr>
        <w:spacing w:after="120" w:line="276" w:lineRule="auto"/>
        <w:jc w:val="both"/>
        <w:rPr>
          <w:rFonts w:ascii="Arial Narrow" w:hAnsi="Arial Narrow"/>
          <w:color w:val="000000"/>
        </w:rPr>
      </w:pPr>
      <w:r w:rsidRPr="00CE357F">
        <w:rPr>
          <w:rFonts w:ascii="Arial Narrow" w:hAnsi="Arial Narrow"/>
          <w:color w:val="000000"/>
        </w:rPr>
        <w:t>Podíváme-li se na obce s nejvyšším podílem osob s jinou než českou státní příslušností na celkovém počtu obyvatel obce k 1. 1. 2022, tedy na obce Kuřim a Veverská Bítýška z hlediska vývoje podílu osob s jinou než českou státní příslušností</w:t>
      </w:r>
      <w:r w:rsidR="00B1616B" w:rsidRPr="00CE357F">
        <w:rPr>
          <w:rFonts w:ascii="Arial Narrow" w:hAnsi="Arial Narrow"/>
          <w:color w:val="000000"/>
        </w:rPr>
        <w:t>,</w:t>
      </w:r>
      <w:r w:rsidRPr="00CE357F">
        <w:rPr>
          <w:rFonts w:ascii="Arial Narrow" w:hAnsi="Arial Narrow"/>
          <w:color w:val="000000"/>
        </w:rPr>
        <w:t xml:space="preserve"> v letech 2006</w:t>
      </w:r>
      <w:r w:rsidR="00B1616B" w:rsidRPr="00CE357F">
        <w:rPr>
          <w:rFonts w:ascii="Arial Narrow" w:hAnsi="Arial Narrow"/>
          <w:color w:val="000000"/>
        </w:rPr>
        <w:t>–</w:t>
      </w:r>
      <w:r w:rsidRPr="00CE357F">
        <w:rPr>
          <w:rFonts w:ascii="Arial Narrow" w:hAnsi="Arial Narrow"/>
          <w:color w:val="000000"/>
        </w:rPr>
        <w:t xml:space="preserve">2022, v obou obcích lze zaznamenat významný nárůst podílu osob s jinou než českou státní příslušností na celkovém počtu obyvatel mezi lety 2015 a 2021. O obou případech se jedná o obce, ve kterých se podíl </w:t>
      </w:r>
      <w:r w:rsidR="00B1616B" w:rsidRPr="00CE357F">
        <w:rPr>
          <w:rFonts w:ascii="Arial Narrow" w:hAnsi="Arial Narrow"/>
          <w:color w:val="000000"/>
        </w:rPr>
        <w:t>těchto osob</w:t>
      </w:r>
      <w:r w:rsidRPr="00CE357F">
        <w:rPr>
          <w:rFonts w:ascii="Arial Narrow" w:hAnsi="Arial Narrow"/>
          <w:color w:val="000000"/>
        </w:rPr>
        <w:t xml:space="preserve"> na celkovém počtu obyvatel dlouhodobě zvyšuje. Tento trend je nejvíce patrný u obce Veverská Bítýška. Zatímco v roce 2006 tvořil</w:t>
      </w:r>
      <w:r w:rsidR="00B1616B" w:rsidRPr="00CE357F">
        <w:rPr>
          <w:rFonts w:ascii="Arial Narrow" w:hAnsi="Arial Narrow"/>
          <w:color w:val="000000"/>
        </w:rPr>
        <w:t>y o</w:t>
      </w:r>
      <w:r w:rsidRPr="00CE357F">
        <w:rPr>
          <w:rFonts w:ascii="Arial Narrow" w:hAnsi="Arial Narrow"/>
          <w:color w:val="000000"/>
        </w:rPr>
        <w:t>soby s jinou než českou státní příslušností v této obci pouze 1,5 %, k 1. 1. 2022 to bylo již 9,04 %</w:t>
      </w:r>
      <w:r w:rsidR="006F76B6">
        <w:rPr>
          <w:rFonts w:ascii="Arial Narrow" w:hAnsi="Arial Narrow"/>
          <w:color w:val="000000"/>
        </w:rPr>
        <w:t>, v roce 2023 dokonce 10,2 %</w:t>
      </w:r>
      <w:r w:rsidRPr="00CE357F">
        <w:rPr>
          <w:rFonts w:ascii="Arial Narrow" w:hAnsi="Arial Narrow"/>
          <w:color w:val="000000"/>
        </w:rPr>
        <w:t>. U obce Kuřim byl kolem roku 2015 zaznamenán pokles podílu osob s jinou než českou státní příslušností na celkovém počtu obyvatel. Od roku 2016 se však tento podíl zvyšuje a k 1. 1. 2022 dosáhl 4,74 %</w:t>
      </w:r>
      <w:r w:rsidR="006F76B6">
        <w:rPr>
          <w:rFonts w:ascii="Arial Narrow" w:hAnsi="Arial Narrow"/>
          <w:color w:val="000000"/>
        </w:rPr>
        <w:t>, v roce 2023 dokonce 9,4 %</w:t>
      </w:r>
      <w:r w:rsidRPr="00CE357F">
        <w:rPr>
          <w:rFonts w:ascii="Arial Narrow" w:hAnsi="Arial Narrow"/>
          <w:color w:val="000000"/>
        </w:rPr>
        <w:t xml:space="preserve">. Vývoj podílu osob s jinou než českou státní příslušností na celkovém počtu obyvatel obcí </w:t>
      </w:r>
      <w:r w:rsidR="0033462B" w:rsidRPr="00CE357F">
        <w:rPr>
          <w:rFonts w:ascii="Arial Narrow" w:hAnsi="Arial Narrow"/>
          <w:color w:val="000000"/>
        </w:rPr>
        <w:t>Kuřim a Veverská Bítý</w:t>
      </w:r>
      <w:r w:rsidRPr="00CE357F">
        <w:rPr>
          <w:rFonts w:ascii="Arial Narrow" w:hAnsi="Arial Narrow"/>
          <w:color w:val="000000"/>
        </w:rPr>
        <w:t>ška v letech 2006</w:t>
      </w:r>
      <w:r w:rsidR="00B1616B" w:rsidRPr="00CE357F">
        <w:rPr>
          <w:rFonts w:ascii="Arial Narrow" w:hAnsi="Arial Narrow"/>
          <w:color w:val="000000"/>
        </w:rPr>
        <w:t>–</w:t>
      </w:r>
      <w:r w:rsidRPr="00CE357F">
        <w:rPr>
          <w:rFonts w:ascii="Arial Narrow" w:hAnsi="Arial Narrow"/>
          <w:color w:val="000000"/>
        </w:rPr>
        <w:t>2022 dokumentují následující grafy</w:t>
      </w:r>
      <w:r w:rsidR="00E32FA2">
        <w:rPr>
          <w:rFonts w:ascii="Arial Narrow" w:hAnsi="Arial Narrow"/>
          <w:color w:val="000000"/>
        </w:rPr>
        <w:t xml:space="preserve"> č. 123 a č. 124</w:t>
      </w:r>
      <w:r w:rsidRPr="00CE357F">
        <w:rPr>
          <w:rFonts w:ascii="Arial Narrow" w:hAnsi="Arial Narrow"/>
          <w:color w:val="000000"/>
        </w:rPr>
        <w:t xml:space="preserve">. </w:t>
      </w:r>
    </w:p>
    <w:p w14:paraId="65E95360" w14:textId="77777777" w:rsidR="00F951BF" w:rsidRDefault="00F951BF" w:rsidP="00C217CC">
      <w:pPr>
        <w:spacing w:line="276" w:lineRule="auto"/>
        <w:jc w:val="both"/>
        <w:rPr>
          <w:rFonts w:ascii="Arial Narrow" w:hAnsi="Arial Narrow"/>
          <w:b/>
          <w:sz w:val="20"/>
          <w:szCs w:val="20"/>
        </w:rPr>
      </w:pPr>
    </w:p>
    <w:p w14:paraId="33C445C3" w14:textId="77777777" w:rsidR="00F951BF" w:rsidRDefault="00F951BF" w:rsidP="00C217CC">
      <w:pPr>
        <w:spacing w:line="276" w:lineRule="auto"/>
        <w:jc w:val="both"/>
        <w:rPr>
          <w:rFonts w:ascii="Arial Narrow" w:hAnsi="Arial Narrow"/>
          <w:b/>
          <w:sz w:val="20"/>
          <w:szCs w:val="20"/>
        </w:rPr>
      </w:pPr>
    </w:p>
    <w:p w14:paraId="40546E4E" w14:textId="77777777" w:rsidR="00F951BF" w:rsidRDefault="00F951BF" w:rsidP="00C217CC">
      <w:pPr>
        <w:spacing w:line="276" w:lineRule="auto"/>
        <w:jc w:val="both"/>
        <w:rPr>
          <w:rFonts w:ascii="Arial Narrow" w:hAnsi="Arial Narrow"/>
          <w:b/>
          <w:sz w:val="20"/>
          <w:szCs w:val="20"/>
        </w:rPr>
      </w:pPr>
    </w:p>
    <w:p w14:paraId="7F4DC349" w14:textId="77777777" w:rsidR="00F951BF" w:rsidRDefault="00F951BF" w:rsidP="00C217CC">
      <w:pPr>
        <w:spacing w:line="276" w:lineRule="auto"/>
        <w:jc w:val="both"/>
        <w:rPr>
          <w:rFonts w:ascii="Arial Narrow" w:hAnsi="Arial Narrow"/>
          <w:b/>
          <w:sz w:val="20"/>
          <w:szCs w:val="20"/>
        </w:rPr>
      </w:pPr>
    </w:p>
    <w:p w14:paraId="5A774D58" w14:textId="77777777" w:rsidR="00F951BF" w:rsidRDefault="00F951BF" w:rsidP="00C217CC">
      <w:pPr>
        <w:spacing w:line="276" w:lineRule="auto"/>
        <w:jc w:val="both"/>
        <w:rPr>
          <w:rFonts w:ascii="Arial Narrow" w:hAnsi="Arial Narrow"/>
          <w:b/>
          <w:sz w:val="20"/>
          <w:szCs w:val="20"/>
        </w:rPr>
      </w:pPr>
    </w:p>
    <w:p w14:paraId="60F41FED" w14:textId="77777777" w:rsidR="00F951BF" w:rsidRDefault="00F951BF" w:rsidP="00C217CC">
      <w:pPr>
        <w:spacing w:line="276" w:lineRule="auto"/>
        <w:jc w:val="both"/>
        <w:rPr>
          <w:rFonts w:ascii="Arial Narrow" w:hAnsi="Arial Narrow"/>
          <w:b/>
          <w:sz w:val="20"/>
          <w:szCs w:val="20"/>
        </w:rPr>
      </w:pPr>
    </w:p>
    <w:p w14:paraId="2A640C35" w14:textId="77777777" w:rsidR="00F951BF" w:rsidRDefault="00F951BF" w:rsidP="00C217CC">
      <w:pPr>
        <w:spacing w:line="276" w:lineRule="auto"/>
        <w:jc w:val="both"/>
        <w:rPr>
          <w:rFonts w:ascii="Arial Narrow" w:hAnsi="Arial Narrow"/>
          <w:b/>
          <w:sz w:val="20"/>
          <w:szCs w:val="20"/>
        </w:rPr>
      </w:pPr>
    </w:p>
    <w:p w14:paraId="1EE7CF63" w14:textId="77777777" w:rsidR="00F951BF" w:rsidRDefault="00F951BF" w:rsidP="00C217CC">
      <w:pPr>
        <w:spacing w:line="276" w:lineRule="auto"/>
        <w:jc w:val="both"/>
        <w:rPr>
          <w:rFonts w:ascii="Arial Narrow" w:hAnsi="Arial Narrow"/>
          <w:b/>
          <w:sz w:val="20"/>
          <w:szCs w:val="20"/>
        </w:rPr>
      </w:pPr>
    </w:p>
    <w:p w14:paraId="0BA31598" w14:textId="77777777" w:rsidR="00E32FA2" w:rsidRDefault="00E32FA2" w:rsidP="00C217CC">
      <w:pPr>
        <w:spacing w:line="276" w:lineRule="auto"/>
        <w:jc w:val="both"/>
        <w:rPr>
          <w:rFonts w:ascii="Arial Narrow" w:hAnsi="Arial Narrow"/>
          <w:b/>
          <w:sz w:val="20"/>
          <w:szCs w:val="20"/>
        </w:rPr>
      </w:pPr>
    </w:p>
    <w:p w14:paraId="703A6741" w14:textId="77777777" w:rsidR="00E32FA2" w:rsidRDefault="00E32FA2" w:rsidP="00C217CC">
      <w:pPr>
        <w:spacing w:line="276" w:lineRule="auto"/>
        <w:jc w:val="both"/>
        <w:rPr>
          <w:rFonts w:ascii="Arial Narrow" w:hAnsi="Arial Narrow"/>
          <w:b/>
          <w:sz w:val="20"/>
          <w:szCs w:val="20"/>
        </w:rPr>
      </w:pPr>
    </w:p>
    <w:p w14:paraId="67098F9B" w14:textId="77777777" w:rsidR="00E32FA2" w:rsidRDefault="00E32FA2" w:rsidP="00C217CC">
      <w:pPr>
        <w:spacing w:line="276" w:lineRule="auto"/>
        <w:jc w:val="both"/>
        <w:rPr>
          <w:rFonts w:ascii="Arial Narrow" w:hAnsi="Arial Narrow"/>
          <w:b/>
          <w:sz w:val="20"/>
          <w:szCs w:val="20"/>
        </w:rPr>
      </w:pPr>
    </w:p>
    <w:p w14:paraId="7A0E9965" w14:textId="77777777" w:rsidR="00E32FA2" w:rsidRDefault="00E32FA2" w:rsidP="00C217CC">
      <w:pPr>
        <w:spacing w:line="276" w:lineRule="auto"/>
        <w:jc w:val="both"/>
        <w:rPr>
          <w:rFonts w:ascii="Arial Narrow" w:hAnsi="Arial Narrow"/>
          <w:b/>
          <w:sz w:val="20"/>
          <w:szCs w:val="20"/>
        </w:rPr>
      </w:pPr>
    </w:p>
    <w:p w14:paraId="61E20056" w14:textId="77777777" w:rsidR="00E32FA2" w:rsidRDefault="00E32FA2" w:rsidP="00C217CC">
      <w:pPr>
        <w:spacing w:line="276" w:lineRule="auto"/>
        <w:jc w:val="both"/>
        <w:rPr>
          <w:rFonts w:ascii="Arial Narrow" w:hAnsi="Arial Narrow"/>
          <w:b/>
          <w:sz w:val="20"/>
          <w:szCs w:val="20"/>
        </w:rPr>
      </w:pPr>
    </w:p>
    <w:p w14:paraId="7E30CF06" w14:textId="77777777" w:rsidR="00E32FA2" w:rsidRDefault="00E32FA2" w:rsidP="00C217CC">
      <w:pPr>
        <w:spacing w:line="276" w:lineRule="auto"/>
        <w:jc w:val="both"/>
        <w:rPr>
          <w:rFonts w:ascii="Arial Narrow" w:hAnsi="Arial Narrow"/>
          <w:b/>
          <w:sz w:val="20"/>
          <w:szCs w:val="20"/>
        </w:rPr>
      </w:pPr>
    </w:p>
    <w:p w14:paraId="0DCAB26B" w14:textId="77777777" w:rsidR="00E32FA2" w:rsidRDefault="00E32FA2" w:rsidP="00C217CC">
      <w:pPr>
        <w:spacing w:line="276" w:lineRule="auto"/>
        <w:jc w:val="both"/>
        <w:rPr>
          <w:rFonts w:ascii="Arial Narrow" w:hAnsi="Arial Narrow"/>
          <w:b/>
          <w:sz w:val="20"/>
          <w:szCs w:val="20"/>
        </w:rPr>
      </w:pPr>
    </w:p>
    <w:p w14:paraId="669EC650" w14:textId="77777777" w:rsidR="00F951BF" w:rsidRDefault="00F951BF" w:rsidP="00C217CC">
      <w:pPr>
        <w:spacing w:line="276" w:lineRule="auto"/>
        <w:jc w:val="both"/>
        <w:rPr>
          <w:rFonts w:ascii="Arial Narrow" w:hAnsi="Arial Narrow"/>
          <w:b/>
          <w:sz w:val="20"/>
          <w:szCs w:val="20"/>
        </w:rPr>
      </w:pPr>
    </w:p>
    <w:p w14:paraId="23EFCDE5" w14:textId="277C4E10" w:rsidR="00C217CC" w:rsidRPr="00CE357F" w:rsidRDefault="00C217CC" w:rsidP="00C217CC">
      <w:pPr>
        <w:spacing w:line="276" w:lineRule="auto"/>
        <w:jc w:val="both"/>
        <w:rPr>
          <w:rFonts w:ascii="Arial Narrow" w:hAnsi="Arial Narrow"/>
          <w:b/>
          <w:bCs/>
          <w:sz w:val="20"/>
          <w:szCs w:val="20"/>
        </w:rPr>
      </w:pPr>
      <w:bookmarkStart w:id="756" w:name="_Toc136428967"/>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123</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Vývoj podílu osob s jinou než českou státní příslušností na celkovém počtu obyvatel obce Kuřim v letech 2006-202</w:t>
      </w:r>
      <w:r>
        <w:rPr>
          <w:rFonts w:ascii="Arial Narrow" w:hAnsi="Arial Narrow"/>
          <w:b/>
          <w:bCs/>
          <w:sz w:val="20"/>
          <w:szCs w:val="20"/>
        </w:rPr>
        <w:t>3</w:t>
      </w:r>
      <w:bookmarkEnd w:id="756"/>
    </w:p>
    <w:p w14:paraId="41BA8F0D" w14:textId="77777777" w:rsidR="00C217CC" w:rsidRPr="00CE357F" w:rsidRDefault="00C217CC" w:rsidP="00C217CC">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35C961C8" wp14:editId="30920E15">
            <wp:extent cx="5765800" cy="1581150"/>
            <wp:effectExtent l="0" t="0" r="6350" b="0"/>
            <wp:docPr id="55" name="Graf 55">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2D0EBCCA" w14:textId="77777777" w:rsidR="00C217CC" w:rsidRPr="00CE357F" w:rsidRDefault="00C217CC" w:rsidP="00C217CC">
      <w:pPr>
        <w:spacing w:after="240" w:line="276" w:lineRule="auto"/>
        <w:rPr>
          <w:rFonts w:ascii="Arial Narrow" w:hAnsi="Arial Narrow"/>
          <w:color w:val="000000"/>
          <w:sz w:val="20"/>
          <w:szCs w:val="20"/>
          <w:lang w:eastAsia="cs-CZ"/>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296D6DC5" w14:textId="3F274037" w:rsidR="00C217CC" w:rsidRPr="00CE357F" w:rsidRDefault="00C217CC" w:rsidP="00C217CC">
      <w:pPr>
        <w:spacing w:line="276" w:lineRule="auto"/>
        <w:jc w:val="both"/>
        <w:rPr>
          <w:rFonts w:ascii="Arial Narrow" w:hAnsi="Arial Narrow"/>
          <w:b/>
          <w:bCs/>
          <w:sz w:val="20"/>
          <w:szCs w:val="20"/>
        </w:rPr>
      </w:pPr>
      <w:bookmarkStart w:id="757" w:name="_Toc94443815"/>
      <w:bookmarkStart w:id="758" w:name="_Toc136428968"/>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124</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Vývoj podílu osob s jinou než českou státní příslušností na celkovém počtu obyvatel obce Veverská Bítýška v letech 2006-202</w:t>
      </w:r>
      <w:bookmarkEnd w:id="757"/>
      <w:r>
        <w:rPr>
          <w:rFonts w:ascii="Arial Narrow" w:hAnsi="Arial Narrow"/>
          <w:b/>
          <w:bCs/>
          <w:sz w:val="20"/>
          <w:szCs w:val="20"/>
        </w:rPr>
        <w:t>3</w:t>
      </w:r>
      <w:bookmarkEnd w:id="758"/>
    </w:p>
    <w:p w14:paraId="6618F6FB" w14:textId="77777777" w:rsidR="00C217CC" w:rsidRPr="00CE357F" w:rsidRDefault="00C217CC" w:rsidP="00C217CC">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17FF5611" wp14:editId="50482D9C">
            <wp:extent cx="5765800" cy="1642533"/>
            <wp:effectExtent l="0" t="0" r="6350" b="15240"/>
            <wp:docPr id="56" name="Graf 56">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66C7E1E9" w14:textId="77777777" w:rsidR="00C217CC" w:rsidRPr="00CE357F" w:rsidRDefault="00C217CC" w:rsidP="00C217CC">
      <w:pPr>
        <w:spacing w:after="240" w:line="276" w:lineRule="auto"/>
        <w:rPr>
          <w:rFonts w:ascii="Arial Narrow" w:hAnsi="Arial Narrow"/>
          <w:color w:val="000000"/>
          <w:sz w:val="20"/>
          <w:lang w:eastAsia="cs-CZ"/>
        </w:rPr>
      </w:pPr>
      <w:r w:rsidRPr="00CE357F">
        <w:rPr>
          <w:rFonts w:ascii="Arial Narrow" w:hAnsi="Arial Narrow"/>
          <w:color w:val="000000"/>
          <w:sz w:val="20"/>
          <w:lang w:eastAsia="cs-CZ"/>
        </w:rPr>
        <w:t>Zdroj: Ministerstvo Vnitra České republiky</w:t>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Graf: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6205AA2B" w14:textId="1D32829C" w:rsidR="0055565E" w:rsidRPr="00CE357F" w:rsidRDefault="0055565E" w:rsidP="00C217CC">
      <w:pPr>
        <w:spacing w:line="276" w:lineRule="auto"/>
        <w:jc w:val="both"/>
        <w:rPr>
          <w:rFonts w:ascii="Arial Narrow" w:hAnsi="Arial Narrow"/>
        </w:rPr>
      </w:pPr>
    </w:p>
    <w:p w14:paraId="0F9BC384" w14:textId="3625FB1A" w:rsidR="008F4C72" w:rsidRPr="00CE357F" w:rsidRDefault="0055565E" w:rsidP="0055565E">
      <w:pPr>
        <w:pStyle w:val="Nadpis3"/>
      </w:pPr>
      <w:bookmarkStart w:id="759" w:name="_Toc136876135"/>
      <w:r w:rsidRPr="00CE357F">
        <w:t>Zaměstnanost v ORP Kuřim</w:t>
      </w:r>
      <w:bookmarkEnd w:id="759"/>
    </w:p>
    <w:p w14:paraId="65A86070" w14:textId="77777777" w:rsidR="008F4C72" w:rsidRPr="00CE357F" w:rsidRDefault="008F4C72" w:rsidP="00732A00">
      <w:pPr>
        <w:rPr>
          <w:rFonts w:ascii="Arial Narrow" w:hAnsi="Arial Narrow"/>
        </w:rPr>
      </w:pPr>
    </w:p>
    <w:p w14:paraId="64DE55C5" w14:textId="77777777" w:rsidR="007B2880" w:rsidRPr="00CE357F" w:rsidRDefault="007B2880" w:rsidP="007B2880">
      <w:pPr>
        <w:spacing w:after="120" w:line="276" w:lineRule="auto"/>
        <w:jc w:val="both"/>
        <w:rPr>
          <w:rFonts w:ascii="Arial Narrow" w:hAnsi="Arial Narrow"/>
        </w:rPr>
      </w:pPr>
      <w:bookmarkStart w:id="760" w:name="_Hlk92801128"/>
      <w:proofErr w:type="spellStart"/>
      <w:r w:rsidRPr="00CE357F">
        <w:rPr>
          <w:rFonts w:ascii="Arial Narrow" w:hAnsi="Arial Narrow"/>
        </w:rPr>
        <w:t>Kuřimsko</w:t>
      </w:r>
      <w:proofErr w:type="spellEnd"/>
      <w:r w:rsidRPr="00CE357F">
        <w:rPr>
          <w:rFonts w:ascii="Arial Narrow" w:hAnsi="Arial Narrow"/>
        </w:rPr>
        <w:t xml:space="preserve"> je průmyslovým regionem a patří mezi oblasti s jednou z nižších úrovní nezaměstnaností v kraji. Důvodem je přítomnost většího počtu středních a velkých zaměstnavatelů i dobré dopravní spojení s geograficky blízkým Brnem. V obci Kuřim sídlí jeden z nejvýznamnějších zaměstnavatelů, společnost </w:t>
      </w:r>
      <w:proofErr w:type="spellStart"/>
      <w:r w:rsidRPr="00CE357F">
        <w:rPr>
          <w:rFonts w:ascii="Arial Narrow" w:hAnsi="Arial Narrow"/>
        </w:rPr>
        <w:t>Tyco</w:t>
      </w:r>
      <w:proofErr w:type="spellEnd"/>
      <w:r w:rsidRPr="00CE357F">
        <w:rPr>
          <w:rFonts w:ascii="Arial Narrow" w:hAnsi="Arial Narrow"/>
        </w:rPr>
        <w:t xml:space="preserve"> Electronics Czech (výrobce elektrosoučástek pro automobilový průmysl). Ve Veverské Bítýšce sídlí společnost HARTMANN – RICO a.s. (výrobce zdravotnických a hygienických výrobků).</w:t>
      </w:r>
      <w:r w:rsidRPr="00CE357F">
        <w:rPr>
          <w:rStyle w:val="Znakapoznpodarou"/>
          <w:rFonts w:ascii="Arial Narrow" w:hAnsi="Arial Narrow"/>
        </w:rPr>
        <w:footnoteReference w:id="91"/>
      </w:r>
      <w:r w:rsidRPr="00CE357F">
        <w:rPr>
          <w:rFonts w:ascii="Arial Narrow" w:hAnsi="Arial Narrow"/>
        </w:rPr>
        <w:t xml:space="preserve"> </w:t>
      </w:r>
    </w:p>
    <w:p w14:paraId="408D4F3E" w14:textId="37E7CC3C" w:rsidR="007B2880" w:rsidRPr="00CE357F" w:rsidRDefault="007B2880" w:rsidP="007B2880">
      <w:pPr>
        <w:spacing w:after="120" w:line="276" w:lineRule="auto"/>
        <w:jc w:val="both"/>
        <w:rPr>
          <w:rFonts w:ascii="Arial Narrow" w:hAnsi="Arial Narrow"/>
        </w:rPr>
      </w:pPr>
      <w:r w:rsidRPr="7CC7BF57">
        <w:rPr>
          <w:rFonts w:ascii="Arial Narrow" w:hAnsi="Arial Narrow"/>
        </w:rPr>
        <w:t xml:space="preserve">K 31. 12. 2022 bylo v ORP Kuřim evidováno celkem 492 uchazečů o zaměstnání. </w:t>
      </w:r>
      <w:bookmarkEnd w:id="760"/>
      <w:r w:rsidRPr="7CC7BF57">
        <w:rPr>
          <w:rFonts w:ascii="Arial Narrow" w:hAnsi="Arial Narrow"/>
        </w:rPr>
        <w:t xml:space="preserve">Podíl nezaměstnaných osob na celkovém počtu obyvatel se v letech 2014–2019 meziročně snižoval o průměrně 0,6 %, mírný nárůst lze zaznamenat v letech 2020 a 2022, což může souviset s dopady celosvětové pandemie viru SARS-CoV-2 a příchodem </w:t>
      </w:r>
      <w:r w:rsidR="7047F0C7" w:rsidRPr="7CC7BF57">
        <w:rPr>
          <w:rFonts w:ascii="Arial Narrow" w:hAnsi="Arial Narrow"/>
        </w:rPr>
        <w:t>občanů</w:t>
      </w:r>
      <w:r w:rsidRPr="7CC7BF57">
        <w:rPr>
          <w:rFonts w:ascii="Arial Narrow" w:hAnsi="Arial Narrow"/>
        </w:rPr>
        <w:t xml:space="preserve"> z Ukrajiny</w:t>
      </w:r>
      <w:r w:rsidR="3D86B661" w:rsidRPr="7CC7BF57">
        <w:rPr>
          <w:rFonts w:ascii="Arial Narrow" w:hAnsi="Arial Narrow"/>
        </w:rPr>
        <w:t xml:space="preserve"> z důvodu válečného konfliktu</w:t>
      </w:r>
      <w:r w:rsidRPr="7CC7BF57">
        <w:rPr>
          <w:rFonts w:ascii="Arial Narrow" w:hAnsi="Arial Narrow"/>
        </w:rPr>
        <w:t>.</w:t>
      </w:r>
    </w:p>
    <w:p w14:paraId="0825CDDA" w14:textId="77777777" w:rsidR="007B2880" w:rsidRPr="00CE357F" w:rsidRDefault="007B2880" w:rsidP="007B2880">
      <w:pPr>
        <w:spacing w:after="120" w:line="276" w:lineRule="auto"/>
        <w:jc w:val="both"/>
        <w:rPr>
          <w:rFonts w:ascii="Arial Narrow" w:hAnsi="Arial Narrow"/>
        </w:rPr>
      </w:pPr>
      <w:r w:rsidRPr="00CE357F">
        <w:rPr>
          <w:rFonts w:ascii="Arial Narrow" w:hAnsi="Arial Narrow"/>
        </w:rPr>
        <w:t>Podíváme-li se na vývoj počtu uchazečů o zaměstnání v ORP Kuřim v letech 2005–2</w:t>
      </w:r>
      <w:r>
        <w:rPr>
          <w:rFonts w:ascii="Arial Narrow" w:hAnsi="Arial Narrow"/>
        </w:rPr>
        <w:t>022</w:t>
      </w:r>
      <w:r w:rsidRPr="00CE357F">
        <w:rPr>
          <w:rFonts w:ascii="Arial Narrow" w:hAnsi="Arial Narrow"/>
        </w:rPr>
        <w:t xml:space="preserve">, mezi lety 2009–2011 je patrný, podobně jako v případě jiných ORP, výrazný nárůst počtu uchazečů o zaměstnání, který může v tomto období souviset s dopady celosvětové ekonomické krize. Nejnižší počet uchazečů o zaměstnání v ORP Kuřim byl zaznamenán v prosinci roku 2013 (183 uchazečů), následoval jejich prudký nárůst, a to na 782 uchazečů v prosinci </w:t>
      </w:r>
      <w:r w:rsidRPr="00CE357F">
        <w:rPr>
          <w:rFonts w:ascii="Arial Narrow" w:hAnsi="Arial Narrow"/>
        </w:rPr>
        <w:lastRenderedPageBreak/>
        <w:t xml:space="preserve">roku 2014.  Do roku 2019 počet uchazečů o zaměstnání v ORP mírně klesal a nárůst počtu uchazečů je patrný opět až v roce 2020, což může souviset s dopady celosvětové pandemie viru SARS-CoV-2. </w:t>
      </w:r>
    </w:p>
    <w:p w14:paraId="75FEC5C7" w14:textId="6EB8918B" w:rsidR="007B2880" w:rsidRPr="00CE357F" w:rsidRDefault="007B2880" w:rsidP="007B2880">
      <w:pPr>
        <w:spacing w:after="120" w:line="276" w:lineRule="auto"/>
        <w:jc w:val="both"/>
        <w:rPr>
          <w:rFonts w:ascii="Arial Narrow" w:hAnsi="Arial Narrow"/>
        </w:rPr>
      </w:pPr>
      <w:r w:rsidRPr="00CE357F">
        <w:rPr>
          <w:rFonts w:ascii="Arial Narrow" w:hAnsi="Arial Narrow"/>
        </w:rPr>
        <w:t>Nejvyšší počet evidovaných uchazečů o zaměstnání připadajících na 1 volné pracovní místo v ORP Kuřim byl zaznamenán v roce 2012 (15,5 uchazečů na 1 volné místo). Vysoký počet uchazečů o zaměstnání připadajících na 1 volné pracovní místo byl zaznamenán také v roce 2010, 2011 a 2013 (11,6 v roce 2010, 10,3 v roce 2011 a 10,2 v roce 2013). V období celosvětové pandemie viru SARS-CoV-2 se počet uchazečů o zaměstnání připadajících na 1 volné pracovní místo v ORP Kuřim oproti předchozím letům mírně zvýšil, hodnota zvýšení je však nesrovnatelně nižší než v době počínajíc</w:t>
      </w:r>
      <w:r>
        <w:rPr>
          <w:rFonts w:ascii="Arial Narrow" w:hAnsi="Arial Narrow"/>
        </w:rPr>
        <w:t xml:space="preserve">í ekonomické krize po roce 2008 a na jednoho nezaměstnaného zde stále připadají 2 volná pracovní místa. </w:t>
      </w:r>
      <w:r w:rsidRPr="00CE357F">
        <w:rPr>
          <w:rFonts w:ascii="Arial Narrow" w:hAnsi="Arial Narrow"/>
        </w:rPr>
        <w:t>Vývoj počtu uchazečů o zaměstnání a volných pracovních míst v ORP Kuřim v letech 2005–</w:t>
      </w:r>
      <w:r>
        <w:rPr>
          <w:rFonts w:ascii="Arial Narrow" w:hAnsi="Arial Narrow"/>
        </w:rPr>
        <w:t>2022</w:t>
      </w:r>
      <w:r w:rsidRPr="00CE357F">
        <w:rPr>
          <w:rFonts w:ascii="Arial Narrow" w:hAnsi="Arial Narrow"/>
        </w:rPr>
        <w:t xml:space="preserve"> podrobně dokumentuj</w:t>
      </w:r>
      <w:r w:rsidR="00E32FA2">
        <w:rPr>
          <w:rFonts w:ascii="Arial Narrow" w:hAnsi="Arial Narrow"/>
        </w:rPr>
        <w:t xml:space="preserve">e </w:t>
      </w:r>
      <w:r w:rsidRPr="00CE357F">
        <w:rPr>
          <w:rFonts w:ascii="Arial Narrow" w:hAnsi="Arial Narrow"/>
        </w:rPr>
        <w:t>tabulka</w:t>
      </w:r>
      <w:r w:rsidR="00E32FA2">
        <w:rPr>
          <w:rFonts w:ascii="Arial Narrow" w:hAnsi="Arial Narrow"/>
        </w:rPr>
        <w:t xml:space="preserve"> č. 53</w:t>
      </w:r>
      <w:r w:rsidRPr="00CE357F">
        <w:rPr>
          <w:rFonts w:ascii="Arial Narrow" w:hAnsi="Arial Narrow"/>
        </w:rPr>
        <w:t xml:space="preserve">. </w:t>
      </w:r>
    </w:p>
    <w:p w14:paraId="0934B4D7" w14:textId="50EB90A6" w:rsidR="007B2880" w:rsidRPr="00CE357F" w:rsidRDefault="007B2880" w:rsidP="007B2880">
      <w:pPr>
        <w:spacing w:before="240"/>
        <w:jc w:val="both"/>
        <w:rPr>
          <w:rFonts w:ascii="Arial Narrow" w:hAnsi="Arial Narrow"/>
          <w:b/>
          <w:bCs/>
          <w:sz w:val="24"/>
          <w:szCs w:val="24"/>
        </w:rPr>
      </w:pPr>
      <w:bookmarkStart w:id="761" w:name="_Toc136429264"/>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53</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Vývoj počtu uchazečů o zaměstnání a volných pracovních míst v ORP Kuřim v letech 2005-202</w:t>
      </w:r>
      <w:r>
        <w:rPr>
          <w:rFonts w:ascii="Arial Narrow" w:eastAsia="Times New Roman" w:hAnsi="Arial Narrow" w:cs="Arial"/>
          <w:b/>
          <w:bCs/>
          <w:sz w:val="20"/>
          <w:szCs w:val="20"/>
          <w:lang w:eastAsia="cs-CZ"/>
        </w:rPr>
        <w:t>2</w:t>
      </w:r>
      <w:bookmarkEnd w:id="761"/>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035"/>
        <w:gridCol w:w="1200"/>
        <w:gridCol w:w="1092"/>
        <w:gridCol w:w="1128"/>
        <w:gridCol w:w="1794"/>
        <w:gridCol w:w="1100"/>
        <w:gridCol w:w="1608"/>
      </w:tblGrid>
      <w:tr w:rsidR="007B2880" w:rsidRPr="00CE357F" w14:paraId="6AE22B52" w14:textId="77777777" w:rsidTr="004A0C47">
        <w:trPr>
          <w:trHeight w:val="170"/>
        </w:trPr>
        <w:tc>
          <w:tcPr>
            <w:tcW w:w="1072" w:type="dxa"/>
            <w:shd w:val="clear" w:color="auto" w:fill="D9E2F3" w:themeFill="accent1" w:themeFillTint="33"/>
            <w:vAlign w:val="center"/>
          </w:tcPr>
          <w:p w14:paraId="460A50D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ORP KUŘIM</w:t>
            </w:r>
          </w:p>
        </w:tc>
        <w:tc>
          <w:tcPr>
            <w:tcW w:w="1223" w:type="dxa"/>
            <w:shd w:val="clear" w:color="auto" w:fill="D9E2F3" w:themeFill="accent1" w:themeFillTint="33"/>
            <w:vAlign w:val="center"/>
          </w:tcPr>
          <w:p w14:paraId="14CCB69B" w14:textId="77777777" w:rsidR="007B2880" w:rsidRPr="00CE357F" w:rsidRDefault="007B2880"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Uchazeči o zaměstnání</w:t>
            </w:r>
          </w:p>
        </w:tc>
        <w:tc>
          <w:tcPr>
            <w:tcW w:w="1107" w:type="dxa"/>
            <w:shd w:val="clear" w:color="auto" w:fill="D9E2F3" w:themeFill="accent1" w:themeFillTint="33"/>
            <w:vAlign w:val="center"/>
          </w:tcPr>
          <w:p w14:paraId="0C861202"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Dosažitelní uchazeči 15–64 let</w:t>
            </w:r>
          </w:p>
        </w:tc>
        <w:tc>
          <w:tcPr>
            <w:tcW w:w="1134" w:type="dxa"/>
            <w:shd w:val="clear" w:color="auto" w:fill="D9E2F3" w:themeFill="accent1" w:themeFillTint="33"/>
            <w:vAlign w:val="center"/>
          </w:tcPr>
          <w:p w14:paraId="0E6D84F6" w14:textId="77777777" w:rsidR="007B2880" w:rsidRPr="00CE357F" w:rsidRDefault="007B2880"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Obyvatelstvo 15–64 let</w:t>
            </w:r>
          </w:p>
        </w:tc>
        <w:tc>
          <w:tcPr>
            <w:tcW w:w="1843" w:type="dxa"/>
            <w:shd w:val="clear" w:color="auto" w:fill="D9E2F3" w:themeFill="accent1" w:themeFillTint="33"/>
            <w:vAlign w:val="center"/>
          </w:tcPr>
          <w:p w14:paraId="1A92879E" w14:textId="77777777" w:rsidR="007B2880" w:rsidRPr="00CE357F" w:rsidRDefault="007B2880"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Podíl nezaměstnanosti osob (v %)</w:t>
            </w:r>
          </w:p>
        </w:tc>
        <w:tc>
          <w:tcPr>
            <w:tcW w:w="1134" w:type="dxa"/>
            <w:shd w:val="clear" w:color="auto" w:fill="D9E2F3" w:themeFill="accent1" w:themeFillTint="33"/>
            <w:vAlign w:val="center"/>
          </w:tcPr>
          <w:p w14:paraId="02697F5C" w14:textId="77777777" w:rsidR="007B2880" w:rsidRPr="00CE357F" w:rsidRDefault="007B2880"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Volná pracovní místa</w:t>
            </w:r>
          </w:p>
        </w:tc>
        <w:tc>
          <w:tcPr>
            <w:tcW w:w="1667" w:type="dxa"/>
            <w:shd w:val="clear" w:color="auto" w:fill="D9E2F3" w:themeFill="accent1" w:themeFillTint="33"/>
          </w:tcPr>
          <w:p w14:paraId="2447A06D" w14:textId="77777777" w:rsidR="007B2880" w:rsidRPr="00CE357F" w:rsidRDefault="007B2880"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Počet uchazečů připadajících na 1 volné pracovní místo</w:t>
            </w:r>
          </w:p>
        </w:tc>
      </w:tr>
      <w:tr w:rsidR="007B2880" w:rsidRPr="00CE357F" w14:paraId="13F7B432" w14:textId="77777777" w:rsidTr="004A0C47">
        <w:trPr>
          <w:trHeight w:val="186"/>
        </w:trPr>
        <w:tc>
          <w:tcPr>
            <w:tcW w:w="1072" w:type="dxa"/>
            <w:shd w:val="clear" w:color="auto" w:fill="D9E2F3" w:themeFill="accent1" w:themeFillTint="33"/>
            <w:vAlign w:val="center"/>
          </w:tcPr>
          <w:p w14:paraId="01A4E2B4" w14:textId="77777777" w:rsidR="007B2880" w:rsidRPr="00CE357F" w:rsidRDefault="007B2880" w:rsidP="004A0C47">
            <w:pPr>
              <w:jc w:val="center"/>
              <w:rPr>
                <w:rFonts w:ascii="Arial Narrow" w:hAnsi="Arial Narrow" w:cs="Arial"/>
                <w:b/>
                <w:sz w:val="18"/>
                <w:szCs w:val="18"/>
              </w:rPr>
            </w:pPr>
            <w:r>
              <w:rPr>
                <w:rFonts w:ascii="Arial Narrow" w:hAnsi="Arial Narrow" w:cs="Arial"/>
                <w:b/>
                <w:sz w:val="18"/>
                <w:szCs w:val="18"/>
              </w:rPr>
              <w:t>2022</w:t>
            </w:r>
          </w:p>
        </w:tc>
        <w:tc>
          <w:tcPr>
            <w:tcW w:w="1223" w:type="dxa"/>
            <w:vAlign w:val="center"/>
          </w:tcPr>
          <w:p w14:paraId="2D99B4E3" w14:textId="77777777" w:rsidR="007B2880" w:rsidRPr="00CE357F" w:rsidRDefault="007B2880" w:rsidP="004A0C47">
            <w:pPr>
              <w:jc w:val="center"/>
              <w:rPr>
                <w:rFonts w:ascii="Arial Narrow" w:hAnsi="Arial Narrow"/>
                <w:bCs/>
                <w:sz w:val="18"/>
                <w:szCs w:val="18"/>
              </w:rPr>
            </w:pPr>
            <w:r>
              <w:rPr>
                <w:rFonts w:ascii="Arial Narrow" w:hAnsi="Arial Narrow"/>
                <w:bCs/>
                <w:sz w:val="18"/>
                <w:szCs w:val="18"/>
              </w:rPr>
              <w:t>492</w:t>
            </w:r>
          </w:p>
        </w:tc>
        <w:tc>
          <w:tcPr>
            <w:tcW w:w="1107" w:type="dxa"/>
            <w:vAlign w:val="center"/>
          </w:tcPr>
          <w:p w14:paraId="7CBD235B" w14:textId="77777777" w:rsidR="007B2880" w:rsidRPr="00CE357F" w:rsidRDefault="007B2880" w:rsidP="004A0C47">
            <w:pPr>
              <w:jc w:val="center"/>
              <w:rPr>
                <w:rFonts w:ascii="Arial Narrow" w:hAnsi="Arial Narrow"/>
                <w:sz w:val="18"/>
                <w:szCs w:val="18"/>
              </w:rPr>
            </w:pPr>
            <w:r>
              <w:rPr>
                <w:rFonts w:ascii="Arial Narrow" w:hAnsi="Arial Narrow"/>
                <w:sz w:val="18"/>
                <w:szCs w:val="18"/>
              </w:rPr>
              <w:t>449</w:t>
            </w:r>
          </w:p>
        </w:tc>
        <w:tc>
          <w:tcPr>
            <w:tcW w:w="1134" w:type="dxa"/>
            <w:vAlign w:val="center"/>
          </w:tcPr>
          <w:p w14:paraId="7F025CEB" w14:textId="77777777" w:rsidR="007B2880" w:rsidRPr="00CE357F" w:rsidRDefault="007B2880" w:rsidP="004A0C47">
            <w:pPr>
              <w:jc w:val="center"/>
              <w:rPr>
                <w:rFonts w:ascii="Arial Narrow" w:hAnsi="Arial Narrow"/>
                <w:sz w:val="18"/>
                <w:szCs w:val="18"/>
              </w:rPr>
            </w:pPr>
            <w:r>
              <w:rPr>
                <w:rFonts w:ascii="Arial Narrow" w:hAnsi="Arial Narrow"/>
                <w:sz w:val="18"/>
                <w:szCs w:val="18"/>
              </w:rPr>
              <w:t>14 828</w:t>
            </w:r>
          </w:p>
        </w:tc>
        <w:tc>
          <w:tcPr>
            <w:tcW w:w="1843" w:type="dxa"/>
            <w:vAlign w:val="center"/>
          </w:tcPr>
          <w:p w14:paraId="18B39989" w14:textId="77777777" w:rsidR="007B2880" w:rsidRPr="00CE357F" w:rsidRDefault="007B2880" w:rsidP="004A0C47">
            <w:pPr>
              <w:jc w:val="center"/>
              <w:rPr>
                <w:rFonts w:ascii="Arial Narrow" w:hAnsi="Arial Narrow"/>
                <w:sz w:val="18"/>
                <w:szCs w:val="18"/>
              </w:rPr>
            </w:pPr>
            <w:r>
              <w:rPr>
                <w:rFonts w:ascii="Arial Narrow" w:hAnsi="Arial Narrow"/>
                <w:sz w:val="18"/>
                <w:szCs w:val="18"/>
              </w:rPr>
              <w:t>3,0</w:t>
            </w:r>
          </w:p>
        </w:tc>
        <w:tc>
          <w:tcPr>
            <w:tcW w:w="1134" w:type="dxa"/>
            <w:vAlign w:val="center"/>
          </w:tcPr>
          <w:p w14:paraId="3D15E17B" w14:textId="77777777" w:rsidR="007B2880" w:rsidRPr="00CE357F" w:rsidRDefault="007B2880" w:rsidP="004A0C47">
            <w:pPr>
              <w:jc w:val="center"/>
              <w:rPr>
                <w:rFonts w:ascii="Arial Narrow" w:hAnsi="Arial Narrow"/>
                <w:sz w:val="18"/>
                <w:szCs w:val="18"/>
              </w:rPr>
            </w:pPr>
            <w:r>
              <w:rPr>
                <w:rFonts w:ascii="Arial Narrow" w:hAnsi="Arial Narrow"/>
                <w:sz w:val="18"/>
                <w:szCs w:val="18"/>
              </w:rPr>
              <w:t>966</w:t>
            </w:r>
          </w:p>
        </w:tc>
        <w:tc>
          <w:tcPr>
            <w:tcW w:w="1667" w:type="dxa"/>
          </w:tcPr>
          <w:p w14:paraId="0B77F4D1" w14:textId="77777777" w:rsidR="007B2880" w:rsidRPr="00CE357F" w:rsidRDefault="007B2880" w:rsidP="004A0C47">
            <w:pPr>
              <w:jc w:val="center"/>
              <w:rPr>
                <w:rFonts w:ascii="Arial Narrow" w:hAnsi="Arial Narrow"/>
                <w:sz w:val="18"/>
                <w:szCs w:val="18"/>
              </w:rPr>
            </w:pPr>
            <w:r>
              <w:rPr>
                <w:rFonts w:ascii="Arial Narrow" w:hAnsi="Arial Narrow"/>
                <w:sz w:val="18"/>
                <w:szCs w:val="18"/>
              </w:rPr>
              <w:t>0,5</w:t>
            </w:r>
          </w:p>
        </w:tc>
      </w:tr>
      <w:tr w:rsidR="007B2880" w:rsidRPr="00CE357F" w14:paraId="05CB7918" w14:textId="77777777" w:rsidTr="004A0C47">
        <w:trPr>
          <w:trHeight w:val="186"/>
        </w:trPr>
        <w:tc>
          <w:tcPr>
            <w:tcW w:w="1072" w:type="dxa"/>
            <w:shd w:val="clear" w:color="auto" w:fill="D9E2F3" w:themeFill="accent1" w:themeFillTint="33"/>
            <w:vAlign w:val="center"/>
          </w:tcPr>
          <w:p w14:paraId="20C89378"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2021</w:t>
            </w:r>
          </w:p>
        </w:tc>
        <w:tc>
          <w:tcPr>
            <w:tcW w:w="1223" w:type="dxa"/>
            <w:vAlign w:val="center"/>
          </w:tcPr>
          <w:p w14:paraId="49CE2A00"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477</w:t>
            </w:r>
          </w:p>
        </w:tc>
        <w:tc>
          <w:tcPr>
            <w:tcW w:w="1107" w:type="dxa"/>
            <w:vAlign w:val="center"/>
          </w:tcPr>
          <w:p w14:paraId="052E1FD0"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441</w:t>
            </w:r>
          </w:p>
        </w:tc>
        <w:tc>
          <w:tcPr>
            <w:tcW w:w="1134" w:type="dxa"/>
            <w:vAlign w:val="center"/>
          </w:tcPr>
          <w:p w14:paraId="558731E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15 051</w:t>
            </w:r>
          </w:p>
        </w:tc>
        <w:tc>
          <w:tcPr>
            <w:tcW w:w="1843" w:type="dxa"/>
            <w:vAlign w:val="center"/>
          </w:tcPr>
          <w:p w14:paraId="3E930FE3"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2,9</w:t>
            </w:r>
          </w:p>
        </w:tc>
        <w:tc>
          <w:tcPr>
            <w:tcW w:w="1134" w:type="dxa"/>
            <w:vAlign w:val="center"/>
          </w:tcPr>
          <w:p w14:paraId="2AD5598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1 053</w:t>
            </w:r>
          </w:p>
        </w:tc>
        <w:tc>
          <w:tcPr>
            <w:tcW w:w="1667" w:type="dxa"/>
          </w:tcPr>
          <w:p w14:paraId="55D920C8"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0,5</w:t>
            </w:r>
          </w:p>
        </w:tc>
      </w:tr>
      <w:tr w:rsidR="007B2880" w:rsidRPr="00CE357F" w14:paraId="273BC04A" w14:textId="77777777" w:rsidTr="004A0C47">
        <w:trPr>
          <w:trHeight w:val="186"/>
        </w:trPr>
        <w:tc>
          <w:tcPr>
            <w:tcW w:w="1072" w:type="dxa"/>
            <w:shd w:val="clear" w:color="auto" w:fill="D9E2F3" w:themeFill="accent1" w:themeFillTint="33"/>
            <w:vAlign w:val="center"/>
          </w:tcPr>
          <w:p w14:paraId="69F1386D"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2020</w:t>
            </w:r>
          </w:p>
        </w:tc>
        <w:tc>
          <w:tcPr>
            <w:tcW w:w="1223" w:type="dxa"/>
            <w:vAlign w:val="center"/>
          </w:tcPr>
          <w:p w14:paraId="660E9BF7"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515</w:t>
            </w:r>
          </w:p>
        </w:tc>
        <w:tc>
          <w:tcPr>
            <w:tcW w:w="1107" w:type="dxa"/>
            <w:vAlign w:val="center"/>
          </w:tcPr>
          <w:p w14:paraId="598241E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483</w:t>
            </w:r>
          </w:p>
        </w:tc>
        <w:tc>
          <w:tcPr>
            <w:tcW w:w="1134" w:type="dxa"/>
            <w:vAlign w:val="center"/>
          </w:tcPr>
          <w:p w14:paraId="7527E9DA"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14 885</w:t>
            </w:r>
          </w:p>
        </w:tc>
        <w:tc>
          <w:tcPr>
            <w:tcW w:w="1843" w:type="dxa"/>
            <w:vAlign w:val="center"/>
          </w:tcPr>
          <w:p w14:paraId="17433859"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3,2</w:t>
            </w:r>
          </w:p>
        </w:tc>
        <w:tc>
          <w:tcPr>
            <w:tcW w:w="1134" w:type="dxa"/>
            <w:vAlign w:val="center"/>
          </w:tcPr>
          <w:p w14:paraId="08D57465"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1097</w:t>
            </w:r>
          </w:p>
        </w:tc>
        <w:tc>
          <w:tcPr>
            <w:tcW w:w="1667" w:type="dxa"/>
          </w:tcPr>
          <w:p w14:paraId="7FDEF3C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0,5</w:t>
            </w:r>
          </w:p>
        </w:tc>
      </w:tr>
      <w:tr w:rsidR="007B2880" w:rsidRPr="00CE357F" w14:paraId="46FC3613" w14:textId="77777777" w:rsidTr="004A0C47">
        <w:trPr>
          <w:trHeight w:val="186"/>
        </w:trPr>
        <w:tc>
          <w:tcPr>
            <w:tcW w:w="1072" w:type="dxa"/>
            <w:shd w:val="clear" w:color="auto" w:fill="D9E2F3" w:themeFill="accent1" w:themeFillTint="33"/>
            <w:vAlign w:val="center"/>
          </w:tcPr>
          <w:p w14:paraId="3A4C8F01"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2019</w:t>
            </w:r>
          </w:p>
        </w:tc>
        <w:tc>
          <w:tcPr>
            <w:tcW w:w="1223" w:type="dxa"/>
            <w:vAlign w:val="center"/>
          </w:tcPr>
          <w:p w14:paraId="2616F514"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375</w:t>
            </w:r>
          </w:p>
        </w:tc>
        <w:tc>
          <w:tcPr>
            <w:tcW w:w="1107" w:type="dxa"/>
            <w:vAlign w:val="center"/>
          </w:tcPr>
          <w:p w14:paraId="59C4C054"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334</w:t>
            </w:r>
          </w:p>
        </w:tc>
        <w:tc>
          <w:tcPr>
            <w:tcW w:w="1134" w:type="dxa"/>
            <w:vAlign w:val="center"/>
          </w:tcPr>
          <w:p w14:paraId="6C133BF7"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14 675</w:t>
            </w:r>
          </w:p>
        </w:tc>
        <w:tc>
          <w:tcPr>
            <w:tcW w:w="1843" w:type="dxa"/>
            <w:vAlign w:val="center"/>
          </w:tcPr>
          <w:p w14:paraId="38F070B0"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2,3</w:t>
            </w:r>
          </w:p>
        </w:tc>
        <w:tc>
          <w:tcPr>
            <w:tcW w:w="1134" w:type="dxa"/>
            <w:vAlign w:val="center"/>
          </w:tcPr>
          <w:p w14:paraId="7B1FD073"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948</w:t>
            </w:r>
          </w:p>
        </w:tc>
        <w:tc>
          <w:tcPr>
            <w:tcW w:w="1667" w:type="dxa"/>
          </w:tcPr>
          <w:p w14:paraId="0E8CB4AE"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0,4</w:t>
            </w:r>
          </w:p>
        </w:tc>
      </w:tr>
      <w:tr w:rsidR="007B2880" w:rsidRPr="00CE357F" w14:paraId="2F44F551" w14:textId="77777777" w:rsidTr="004A0C47">
        <w:trPr>
          <w:trHeight w:val="186"/>
        </w:trPr>
        <w:tc>
          <w:tcPr>
            <w:tcW w:w="1072" w:type="dxa"/>
            <w:shd w:val="clear" w:color="auto" w:fill="D9E2F3" w:themeFill="accent1" w:themeFillTint="33"/>
            <w:vAlign w:val="center"/>
          </w:tcPr>
          <w:p w14:paraId="54B35FF3"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2018</w:t>
            </w:r>
          </w:p>
        </w:tc>
        <w:tc>
          <w:tcPr>
            <w:tcW w:w="1223" w:type="dxa"/>
            <w:vAlign w:val="center"/>
          </w:tcPr>
          <w:p w14:paraId="0074E072"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377</w:t>
            </w:r>
          </w:p>
        </w:tc>
        <w:tc>
          <w:tcPr>
            <w:tcW w:w="1107" w:type="dxa"/>
            <w:vAlign w:val="center"/>
          </w:tcPr>
          <w:p w14:paraId="1ED32FD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344</w:t>
            </w:r>
          </w:p>
        </w:tc>
        <w:tc>
          <w:tcPr>
            <w:tcW w:w="1134" w:type="dxa"/>
            <w:vAlign w:val="center"/>
          </w:tcPr>
          <w:p w14:paraId="26DFD87A"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14 604</w:t>
            </w:r>
          </w:p>
        </w:tc>
        <w:tc>
          <w:tcPr>
            <w:tcW w:w="1843" w:type="dxa"/>
            <w:vAlign w:val="center"/>
          </w:tcPr>
          <w:p w14:paraId="74807F38"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2,4</w:t>
            </w:r>
          </w:p>
        </w:tc>
        <w:tc>
          <w:tcPr>
            <w:tcW w:w="1134" w:type="dxa"/>
            <w:vAlign w:val="center"/>
          </w:tcPr>
          <w:p w14:paraId="009D8710"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1023</w:t>
            </w:r>
          </w:p>
        </w:tc>
        <w:tc>
          <w:tcPr>
            <w:tcW w:w="1667" w:type="dxa"/>
          </w:tcPr>
          <w:p w14:paraId="3653287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0,4</w:t>
            </w:r>
          </w:p>
        </w:tc>
      </w:tr>
      <w:tr w:rsidR="007B2880" w:rsidRPr="00CE357F" w14:paraId="63F0E472" w14:textId="77777777" w:rsidTr="004A0C47">
        <w:trPr>
          <w:trHeight w:val="186"/>
        </w:trPr>
        <w:tc>
          <w:tcPr>
            <w:tcW w:w="1072" w:type="dxa"/>
            <w:shd w:val="clear" w:color="auto" w:fill="D9E2F3" w:themeFill="accent1" w:themeFillTint="33"/>
            <w:vAlign w:val="center"/>
          </w:tcPr>
          <w:p w14:paraId="0383E252"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2017</w:t>
            </w:r>
          </w:p>
        </w:tc>
        <w:tc>
          <w:tcPr>
            <w:tcW w:w="1223" w:type="dxa"/>
            <w:vAlign w:val="center"/>
          </w:tcPr>
          <w:p w14:paraId="758E189C"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461</w:t>
            </w:r>
          </w:p>
        </w:tc>
        <w:tc>
          <w:tcPr>
            <w:tcW w:w="1107" w:type="dxa"/>
            <w:vAlign w:val="center"/>
          </w:tcPr>
          <w:p w14:paraId="67531B0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459</w:t>
            </w:r>
          </w:p>
        </w:tc>
        <w:tc>
          <w:tcPr>
            <w:tcW w:w="1134" w:type="dxa"/>
            <w:vAlign w:val="center"/>
          </w:tcPr>
          <w:p w14:paraId="7A41774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14 606</w:t>
            </w:r>
          </w:p>
        </w:tc>
        <w:tc>
          <w:tcPr>
            <w:tcW w:w="1843" w:type="dxa"/>
            <w:vAlign w:val="center"/>
          </w:tcPr>
          <w:p w14:paraId="3C8A7394"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3,1</w:t>
            </w:r>
          </w:p>
        </w:tc>
        <w:tc>
          <w:tcPr>
            <w:tcW w:w="1134" w:type="dxa"/>
            <w:vAlign w:val="center"/>
          </w:tcPr>
          <w:p w14:paraId="2680CE02"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426</w:t>
            </w:r>
          </w:p>
        </w:tc>
        <w:tc>
          <w:tcPr>
            <w:tcW w:w="1667" w:type="dxa"/>
          </w:tcPr>
          <w:p w14:paraId="366BE304"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1,1</w:t>
            </w:r>
          </w:p>
        </w:tc>
      </w:tr>
      <w:tr w:rsidR="007B2880" w:rsidRPr="00CE357F" w14:paraId="2B02615D" w14:textId="77777777" w:rsidTr="004A0C47">
        <w:trPr>
          <w:trHeight w:val="186"/>
        </w:trPr>
        <w:tc>
          <w:tcPr>
            <w:tcW w:w="1072" w:type="dxa"/>
            <w:shd w:val="clear" w:color="auto" w:fill="D9E2F3" w:themeFill="accent1" w:themeFillTint="33"/>
            <w:vAlign w:val="center"/>
          </w:tcPr>
          <w:p w14:paraId="2B78DB02"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2016</w:t>
            </w:r>
          </w:p>
        </w:tc>
        <w:tc>
          <w:tcPr>
            <w:tcW w:w="1223" w:type="dxa"/>
            <w:vAlign w:val="center"/>
          </w:tcPr>
          <w:p w14:paraId="56769D4A"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623</w:t>
            </w:r>
          </w:p>
        </w:tc>
        <w:tc>
          <w:tcPr>
            <w:tcW w:w="1107" w:type="dxa"/>
            <w:vAlign w:val="center"/>
          </w:tcPr>
          <w:p w14:paraId="1F7CF740"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619</w:t>
            </w:r>
          </w:p>
        </w:tc>
        <w:tc>
          <w:tcPr>
            <w:tcW w:w="1134" w:type="dxa"/>
            <w:vAlign w:val="center"/>
          </w:tcPr>
          <w:p w14:paraId="18262426"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14 618</w:t>
            </w:r>
          </w:p>
        </w:tc>
        <w:tc>
          <w:tcPr>
            <w:tcW w:w="1843" w:type="dxa"/>
            <w:vAlign w:val="center"/>
          </w:tcPr>
          <w:p w14:paraId="0A458DBD"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4,2</w:t>
            </w:r>
          </w:p>
        </w:tc>
        <w:tc>
          <w:tcPr>
            <w:tcW w:w="1134" w:type="dxa"/>
            <w:vAlign w:val="center"/>
          </w:tcPr>
          <w:p w14:paraId="295B4D86"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421</w:t>
            </w:r>
          </w:p>
        </w:tc>
        <w:tc>
          <w:tcPr>
            <w:tcW w:w="1667" w:type="dxa"/>
          </w:tcPr>
          <w:p w14:paraId="2EB9DA8F"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1,5</w:t>
            </w:r>
          </w:p>
        </w:tc>
      </w:tr>
      <w:tr w:rsidR="007B2880" w:rsidRPr="00CE357F" w14:paraId="58492A5F" w14:textId="77777777" w:rsidTr="004A0C47">
        <w:trPr>
          <w:trHeight w:val="186"/>
        </w:trPr>
        <w:tc>
          <w:tcPr>
            <w:tcW w:w="1072" w:type="dxa"/>
            <w:shd w:val="clear" w:color="auto" w:fill="D9E2F3" w:themeFill="accent1" w:themeFillTint="33"/>
            <w:vAlign w:val="center"/>
          </w:tcPr>
          <w:p w14:paraId="155DF638"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2015</w:t>
            </w:r>
          </w:p>
        </w:tc>
        <w:tc>
          <w:tcPr>
            <w:tcW w:w="1223" w:type="dxa"/>
            <w:vAlign w:val="center"/>
          </w:tcPr>
          <w:p w14:paraId="50BB761E"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688</w:t>
            </w:r>
          </w:p>
        </w:tc>
        <w:tc>
          <w:tcPr>
            <w:tcW w:w="1107" w:type="dxa"/>
            <w:vAlign w:val="center"/>
          </w:tcPr>
          <w:p w14:paraId="42AF4A72"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687</w:t>
            </w:r>
          </w:p>
        </w:tc>
        <w:tc>
          <w:tcPr>
            <w:tcW w:w="1134" w:type="dxa"/>
            <w:vAlign w:val="center"/>
          </w:tcPr>
          <w:p w14:paraId="59C7C051"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14 608</w:t>
            </w:r>
          </w:p>
        </w:tc>
        <w:tc>
          <w:tcPr>
            <w:tcW w:w="1843" w:type="dxa"/>
            <w:vAlign w:val="center"/>
          </w:tcPr>
          <w:p w14:paraId="5F29D983"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4,7</w:t>
            </w:r>
          </w:p>
        </w:tc>
        <w:tc>
          <w:tcPr>
            <w:tcW w:w="1134" w:type="dxa"/>
            <w:vAlign w:val="center"/>
          </w:tcPr>
          <w:p w14:paraId="638A5A9E"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165</w:t>
            </w:r>
          </w:p>
        </w:tc>
        <w:tc>
          <w:tcPr>
            <w:tcW w:w="1667" w:type="dxa"/>
          </w:tcPr>
          <w:p w14:paraId="4DC34C0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4,2</w:t>
            </w:r>
          </w:p>
        </w:tc>
      </w:tr>
      <w:tr w:rsidR="007B2880" w:rsidRPr="00CE357F" w14:paraId="314DFAF1" w14:textId="77777777" w:rsidTr="004A0C47">
        <w:trPr>
          <w:trHeight w:val="186"/>
        </w:trPr>
        <w:tc>
          <w:tcPr>
            <w:tcW w:w="1072" w:type="dxa"/>
            <w:shd w:val="clear" w:color="auto" w:fill="D9E2F3" w:themeFill="accent1" w:themeFillTint="33"/>
            <w:vAlign w:val="center"/>
          </w:tcPr>
          <w:p w14:paraId="09EB5954"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2014</w:t>
            </w:r>
          </w:p>
        </w:tc>
        <w:tc>
          <w:tcPr>
            <w:tcW w:w="1223" w:type="dxa"/>
            <w:vAlign w:val="center"/>
          </w:tcPr>
          <w:p w14:paraId="24CEA4B0"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782</w:t>
            </w:r>
          </w:p>
        </w:tc>
        <w:tc>
          <w:tcPr>
            <w:tcW w:w="1107" w:type="dxa"/>
            <w:vAlign w:val="center"/>
          </w:tcPr>
          <w:p w14:paraId="2690BE1E"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778</w:t>
            </w:r>
          </w:p>
        </w:tc>
        <w:tc>
          <w:tcPr>
            <w:tcW w:w="1134" w:type="dxa"/>
            <w:vAlign w:val="center"/>
          </w:tcPr>
          <w:p w14:paraId="19DA57FF"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14 601</w:t>
            </w:r>
          </w:p>
        </w:tc>
        <w:tc>
          <w:tcPr>
            <w:tcW w:w="1843" w:type="dxa"/>
            <w:vAlign w:val="center"/>
          </w:tcPr>
          <w:p w14:paraId="686E95F8"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5,3</w:t>
            </w:r>
          </w:p>
        </w:tc>
        <w:tc>
          <w:tcPr>
            <w:tcW w:w="1134" w:type="dxa"/>
            <w:vAlign w:val="center"/>
          </w:tcPr>
          <w:p w14:paraId="757C3E1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94</w:t>
            </w:r>
          </w:p>
        </w:tc>
        <w:tc>
          <w:tcPr>
            <w:tcW w:w="1667" w:type="dxa"/>
          </w:tcPr>
          <w:p w14:paraId="3A678B0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8,3</w:t>
            </w:r>
          </w:p>
        </w:tc>
      </w:tr>
      <w:tr w:rsidR="007B2880" w:rsidRPr="00CE357F" w14:paraId="4EA3EB86" w14:textId="77777777" w:rsidTr="004A0C47">
        <w:trPr>
          <w:trHeight w:val="186"/>
        </w:trPr>
        <w:tc>
          <w:tcPr>
            <w:tcW w:w="1072" w:type="dxa"/>
            <w:shd w:val="clear" w:color="auto" w:fill="D9E2F3" w:themeFill="accent1" w:themeFillTint="33"/>
            <w:vAlign w:val="center"/>
          </w:tcPr>
          <w:p w14:paraId="17A0B024"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2013</w:t>
            </w:r>
          </w:p>
        </w:tc>
        <w:tc>
          <w:tcPr>
            <w:tcW w:w="1223" w:type="dxa"/>
            <w:vAlign w:val="center"/>
          </w:tcPr>
          <w:p w14:paraId="0A921E96"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183</w:t>
            </w:r>
          </w:p>
        </w:tc>
        <w:tc>
          <w:tcPr>
            <w:tcW w:w="1107" w:type="dxa"/>
            <w:vAlign w:val="center"/>
          </w:tcPr>
          <w:p w14:paraId="22AC1B3D"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3F9DB639"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206471FD"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4875C31D"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18</w:t>
            </w:r>
          </w:p>
        </w:tc>
        <w:tc>
          <w:tcPr>
            <w:tcW w:w="1667" w:type="dxa"/>
          </w:tcPr>
          <w:p w14:paraId="68CAFEF5" w14:textId="77777777" w:rsidR="007B2880" w:rsidRPr="00CE357F" w:rsidRDefault="007B2880" w:rsidP="004A0C47">
            <w:pPr>
              <w:jc w:val="center"/>
              <w:rPr>
                <w:rFonts w:ascii="Arial Narrow" w:hAnsi="Arial Narrow"/>
                <w:b/>
                <w:bCs/>
                <w:sz w:val="18"/>
                <w:szCs w:val="18"/>
              </w:rPr>
            </w:pPr>
            <w:r w:rsidRPr="00CE357F">
              <w:rPr>
                <w:rFonts w:ascii="Arial Narrow" w:hAnsi="Arial Narrow"/>
                <w:b/>
                <w:bCs/>
                <w:color w:val="C00000"/>
                <w:sz w:val="18"/>
                <w:szCs w:val="18"/>
              </w:rPr>
              <w:t>10,2</w:t>
            </w:r>
          </w:p>
        </w:tc>
      </w:tr>
      <w:tr w:rsidR="007B2880" w:rsidRPr="00CE357F" w14:paraId="3A5F512A" w14:textId="77777777" w:rsidTr="004A0C47">
        <w:trPr>
          <w:trHeight w:val="186"/>
        </w:trPr>
        <w:tc>
          <w:tcPr>
            <w:tcW w:w="1072" w:type="dxa"/>
            <w:shd w:val="clear" w:color="auto" w:fill="D9E2F3" w:themeFill="accent1" w:themeFillTint="33"/>
            <w:vAlign w:val="center"/>
          </w:tcPr>
          <w:p w14:paraId="018F4A73"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2012</w:t>
            </w:r>
          </w:p>
        </w:tc>
        <w:tc>
          <w:tcPr>
            <w:tcW w:w="1223" w:type="dxa"/>
            <w:vAlign w:val="center"/>
          </w:tcPr>
          <w:p w14:paraId="7127DE4A"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279</w:t>
            </w:r>
          </w:p>
        </w:tc>
        <w:tc>
          <w:tcPr>
            <w:tcW w:w="1107" w:type="dxa"/>
            <w:vAlign w:val="center"/>
          </w:tcPr>
          <w:p w14:paraId="2187A5C9"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6BEFDA6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6B9B493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3F556122"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18</w:t>
            </w:r>
          </w:p>
        </w:tc>
        <w:tc>
          <w:tcPr>
            <w:tcW w:w="1667" w:type="dxa"/>
          </w:tcPr>
          <w:p w14:paraId="497C2334" w14:textId="77777777" w:rsidR="007B2880" w:rsidRPr="00CE357F" w:rsidRDefault="007B2880" w:rsidP="004A0C47">
            <w:pPr>
              <w:jc w:val="center"/>
              <w:rPr>
                <w:rFonts w:ascii="Arial Narrow" w:hAnsi="Arial Narrow"/>
                <w:b/>
                <w:bCs/>
                <w:color w:val="C00000"/>
                <w:sz w:val="18"/>
                <w:szCs w:val="18"/>
              </w:rPr>
            </w:pPr>
            <w:r w:rsidRPr="00CE357F">
              <w:rPr>
                <w:rFonts w:ascii="Arial Narrow" w:hAnsi="Arial Narrow"/>
                <w:b/>
                <w:bCs/>
                <w:color w:val="C00000"/>
                <w:sz w:val="18"/>
                <w:szCs w:val="18"/>
              </w:rPr>
              <w:t>15,5</w:t>
            </w:r>
          </w:p>
        </w:tc>
      </w:tr>
      <w:tr w:rsidR="007B2880" w:rsidRPr="00CE357F" w14:paraId="3DE282E8" w14:textId="77777777" w:rsidTr="004A0C47">
        <w:trPr>
          <w:trHeight w:val="186"/>
        </w:trPr>
        <w:tc>
          <w:tcPr>
            <w:tcW w:w="1072" w:type="dxa"/>
            <w:shd w:val="clear" w:color="auto" w:fill="D9E2F3" w:themeFill="accent1" w:themeFillTint="33"/>
            <w:vAlign w:val="center"/>
          </w:tcPr>
          <w:p w14:paraId="75B998D6"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2011</w:t>
            </w:r>
          </w:p>
        </w:tc>
        <w:tc>
          <w:tcPr>
            <w:tcW w:w="1223" w:type="dxa"/>
            <w:vAlign w:val="center"/>
          </w:tcPr>
          <w:p w14:paraId="6C294F1D" w14:textId="77777777" w:rsidR="007B2880" w:rsidRPr="00CE357F" w:rsidRDefault="007B2880" w:rsidP="004A0C47">
            <w:pPr>
              <w:jc w:val="center"/>
              <w:rPr>
                <w:rFonts w:ascii="Arial Narrow" w:hAnsi="Arial Narrow"/>
                <w:b/>
                <w:color w:val="C00000"/>
                <w:sz w:val="18"/>
                <w:szCs w:val="18"/>
              </w:rPr>
            </w:pPr>
            <w:r w:rsidRPr="00CE357F">
              <w:rPr>
                <w:rFonts w:ascii="Arial Narrow" w:hAnsi="Arial Narrow"/>
                <w:b/>
                <w:color w:val="C00000"/>
                <w:sz w:val="18"/>
                <w:szCs w:val="18"/>
              </w:rPr>
              <w:t>760</w:t>
            </w:r>
          </w:p>
        </w:tc>
        <w:tc>
          <w:tcPr>
            <w:tcW w:w="1107" w:type="dxa"/>
            <w:vAlign w:val="center"/>
          </w:tcPr>
          <w:p w14:paraId="07CCF1A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5C5FD069"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62CB3B30"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29AA819F"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74</w:t>
            </w:r>
          </w:p>
        </w:tc>
        <w:tc>
          <w:tcPr>
            <w:tcW w:w="1667" w:type="dxa"/>
          </w:tcPr>
          <w:p w14:paraId="0D3B7ACB" w14:textId="77777777" w:rsidR="007B2880" w:rsidRPr="00CE357F" w:rsidRDefault="007B2880" w:rsidP="004A0C47">
            <w:pPr>
              <w:jc w:val="center"/>
              <w:rPr>
                <w:rFonts w:ascii="Arial Narrow" w:hAnsi="Arial Narrow"/>
                <w:b/>
                <w:bCs/>
                <w:color w:val="C00000"/>
                <w:sz w:val="18"/>
                <w:szCs w:val="18"/>
              </w:rPr>
            </w:pPr>
            <w:r w:rsidRPr="00CE357F">
              <w:rPr>
                <w:rFonts w:ascii="Arial Narrow" w:hAnsi="Arial Narrow"/>
                <w:b/>
                <w:bCs/>
                <w:color w:val="C00000"/>
                <w:sz w:val="18"/>
                <w:szCs w:val="18"/>
              </w:rPr>
              <w:t>10,3</w:t>
            </w:r>
          </w:p>
        </w:tc>
      </w:tr>
      <w:tr w:rsidR="007B2880" w:rsidRPr="00CE357F" w14:paraId="1403A3A8" w14:textId="77777777" w:rsidTr="004A0C47">
        <w:trPr>
          <w:trHeight w:val="186"/>
        </w:trPr>
        <w:tc>
          <w:tcPr>
            <w:tcW w:w="1072" w:type="dxa"/>
            <w:shd w:val="clear" w:color="auto" w:fill="D9E2F3" w:themeFill="accent1" w:themeFillTint="33"/>
            <w:vAlign w:val="center"/>
          </w:tcPr>
          <w:p w14:paraId="35C4CADC"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2010</w:t>
            </w:r>
          </w:p>
        </w:tc>
        <w:tc>
          <w:tcPr>
            <w:tcW w:w="1223" w:type="dxa"/>
            <w:vAlign w:val="center"/>
          </w:tcPr>
          <w:p w14:paraId="59A725D3" w14:textId="77777777" w:rsidR="007B2880" w:rsidRPr="00CE357F" w:rsidRDefault="007B2880" w:rsidP="004A0C47">
            <w:pPr>
              <w:jc w:val="center"/>
              <w:rPr>
                <w:rFonts w:ascii="Arial Narrow" w:hAnsi="Arial Narrow"/>
                <w:b/>
                <w:color w:val="C00000"/>
                <w:sz w:val="18"/>
                <w:szCs w:val="18"/>
              </w:rPr>
            </w:pPr>
            <w:r w:rsidRPr="00CE357F">
              <w:rPr>
                <w:rFonts w:ascii="Arial Narrow" w:hAnsi="Arial Narrow"/>
                <w:b/>
                <w:color w:val="C00000"/>
                <w:sz w:val="18"/>
                <w:szCs w:val="18"/>
              </w:rPr>
              <w:t>809</w:t>
            </w:r>
          </w:p>
        </w:tc>
        <w:tc>
          <w:tcPr>
            <w:tcW w:w="1107" w:type="dxa"/>
            <w:vAlign w:val="center"/>
          </w:tcPr>
          <w:p w14:paraId="7C62E990"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79A73850"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1F2850C5"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68AF6B35"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70</w:t>
            </w:r>
          </w:p>
        </w:tc>
        <w:tc>
          <w:tcPr>
            <w:tcW w:w="1667" w:type="dxa"/>
          </w:tcPr>
          <w:p w14:paraId="2CB0C1B2" w14:textId="77777777" w:rsidR="007B2880" w:rsidRPr="00CE357F" w:rsidRDefault="007B2880" w:rsidP="004A0C47">
            <w:pPr>
              <w:jc w:val="center"/>
              <w:rPr>
                <w:rFonts w:ascii="Arial Narrow" w:hAnsi="Arial Narrow"/>
                <w:b/>
                <w:bCs/>
                <w:color w:val="C00000"/>
                <w:sz w:val="18"/>
                <w:szCs w:val="18"/>
              </w:rPr>
            </w:pPr>
            <w:r w:rsidRPr="00CE357F">
              <w:rPr>
                <w:rFonts w:ascii="Arial Narrow" w:hAnsi="Arial Narrow"/>
                <w:b/>
                <w:bCs/>
                <w:color w:val="C00000"/>
                <w:sz w:val="18"/>
                <w:szCs w:val="18"/>
              </w:rPr>
              <w:t>11,6</w:t>
            </w:r>
          </w:p>
        </w:tc>
      </w:tr>
      <w:tr w:rsidR="007B2880" w:rsidRPr="00CE357F" w14:paraId="3DDC3C26" w14:textId="77777777" w:rsidTr="004A0C47">
        <w:trPr>
          <w:trHeight w:val="186"/>
        </w:trPr>
        <w:tc>
          <w:tcPr>
            <w:tcW w:w="1072" w:type="dxa"/>
            <w:shd w:val="clear" w:color="auto" w:fill="D9E2F3" w:themeFill="accent1" w:themeFillTint="33"/>
            <w:vAlign w:val="center"/>
          </w:tcPr>
          <w:p w14:paraId="6AAA1D46"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2009</w:t>
            </w:r>
          </w:p>
        </w:tc>
        <w:tc>
          <w:tcPr>
            <w:tcW w:w="1223" w:type="dxa"/>
            <w:vAlign w:val="center"/>
          </w:tcPr>
          <w:p w14:paraId="1B31FDF1" w14:textId="77777777" w:rsidR="007B2880" w:rsidRPr="00CE357F" w:rsidRDefault="007B2880" w:rsidP="004A0C47">
            <w:pPr>
              <w:jc w:val="center"/>
              <w:rPr>
                <w:rFonts w:ascii="Arial Narrow" w:hAnsi="Arial Narrow"/>
                <w:b/>
                <w:color w:val="C00000"/>
                <w:sz w:val="18"/>
                <w:szCs w:val="18"/>
              </w:rPr>
            </w:pPr>
            <w:r w:rsidRPr="00CE357F">
              <w:rPr>
                <w:rFonts w:ascii="Arial Narrow" w:hAnsi="Arial Narrow"/>
                <w:b/>
                <w:color w:val="C00000"/>
                <w:sz w:val="18"/>
                <w:szCs w:val="18"/>
              </w:rPr>
              <w:t>794</w:t>
            </w:r>
          </w:p>
        </w:tc>
        <w:tc>
          <w:tcPr>
            <w:tcW w:w="1107" w:type="dxa"/>
            <w:vAlign w:val="center"/>
          </w:tcPr>
          <w:p w14:paraId="67E7D586"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43F760C1"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0447953F"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49355027"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81</w:t>
            </w:r>
          </w:p>
        </w:tc>
        <w:tc>
          <w:tcPr>
            <w:tcW w:w="1667" w:type="dxa"/>
          </w:tcPr>
          <w:p w14:paraId="1D50BFD6"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9,8</w:t>
            </w:r>
          </w:p>
        </w:tc>
      </w:tr>
      <w:tr w:rsidR="007B2880" w:rsidRPr="00CE357F" w14:paraId="2B6E1604" w14:textId="77777777" w:rsidTr="004A0C47">
        <w:trPr>
          <w:trHeight w:val="186"/>
        </w:trPr>
        <w:tc>
          <w:tcPr>
            <w:tcW w:w="1072" w:type="dxa"/>
            <w:shd w:val="clear" w:color="auto" w:fill="D9E2F3" w:themeFill="accent1" w:themeFillTint="33"/>
            <w:vAlign w:val="center"/>
          </w:tcPr>
          <w:p w14:paraId="44FC5B9D"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2008</w:t>
            </w:r>
          </w:p>
        </w:tc>
        <w:tc>
          <w:tcPr>
            <w:tcW w:w="1223" w:type="dxa"/>
            <w:vAlign w:val="center"/>
          </w:tcPr>
          <w:p w14:paraId="20537FC3"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432</w:t>
            </w:r>
          </w:p>
        </w:tc>
        <w:tc>
          <w:tcPr>
            <w:tcW w:w="1107" w:type="dxa"/>
            <w:vAlign w:val="center"/>
          </w:tcPr>
          <w:p w14:paraId="3E591AA1"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7B5F7491"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1807D5F7"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7FA81EC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270</w:t>
            </w:r>
          </w:p>
        </w:tc>
        <w:tc>
          <w:tcPr>
            <w:tcW w:w="1667" w:type="dxa"/>
          </w:tcPr>
          <w:p w14:paraId="6FB26F8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1,6</w:t>
            </w:r>
          </w:p>
        </w:tc>
      </w:tr>
      <w:tr w:rsidR="007B2880" w:rsidRPr="00CE357F" w14:paraId="7F7798B5" w14:textId="77777777" w:rsidTr="004A0C47">
        <w:trPr>
          <w:trHeight w:val="186"/>
        </w:trPr>
        <w:tc>
          <w:tcPr>
            <w:tcW w:w="1072" w:type="dxa"/>
            <w:shd w:val="clear" w:color="auto" w:fill="D9E2F3" w:themeFill="accent1" w:themeFillTint="33"/>
            <w:vAlign w:val="center"/>
          </w:tcPr>
          <w:p w14:paraId="394F6E4C"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2007</w:t>
            </w:r>
          </w:p>
        </w:tc>
        <w:tc>
          <w:tcPr>
            <w:tcW w:w="1223" w:type="dxa"/>
            <w:vAlign w:val="center"/>
          </w:tcPr>
          <w:p w14:paraId="37472118"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403</w:t>
            </w:r>
          </w:p>
        </w:tc>
        <w:tc>
          <w:tcPr>
            <w:tcW w:w="1107" w:type="dxa"/>
            <w:vAlign w:val="center"/>
          </w:tcPr>
          <w:p w14:paraId="3ECD5422"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662181F4"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2E83532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7F1A772D"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416</w:t>
            </w:r>
          </w:p>
        </w:tc>
        <w:tc>
          <w:tcPr>
            <w:tcW w:w="1667" w:type="dxa"/>
          </w:tcPr>
          <w:p w14:paraId="355B0264"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1,0</w:t>
            </w:r>
          </w:p>
        </w:tc>
      </w:tr>
      <w:tr w:rsidR="007B2880" w:rsidRPr="00CE357F" w14:paraId="27320C6C" w14:textId="77777777" w:rsidTr="004A0C47">
        <w:trPr>
          <w:trHeight w:val="186"/>
        </w:trPr>
        <w:tc>
          <w:tcPr>
            <w:tcW w:w="1072" w:type="dxa"/>
            <w:shd w:val="clear" w:color="auto" w:fill="D9E2F3" w:themeFill="accent1" w:themeFillTint="33"/>
            <w:vAlign w:val="center"/>
          </w:tcPr>
          <w:p w14:paraId="2A2A448D"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2006</w:t>
            </w:r>
          </w:p>
        </w:tc>
        <w:tc>
          <w:tcPr>
            <w:tcW w:w="1223" w:type="dxa"/>
            <w:vAlign w:val="center"/>
          </w:tcPr>
          <w:p w14:paraId="3294A52C"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534</w:t>
            </w:r>
          </w:p>
        </w:tc>
        <w:tc>
          <w:tcPr>
            <w:tcW w:w="1107" w:type="dxa"/>
            <w:vAlign w:val="center"/>
          </w:tcPr>
          <w:p w14:paraId="0B915B8F"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627236DE"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52AFCC26"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3D379E0E"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240</w:t>
            </w:r>
          </w:p>
        </w:tc>
        <w:tc>
          <w:tcPr>
            <w:tcW w:w="1667" w:type="dxa"/>
          </w:tcPr>
          <w:p w14:paraId="19B7472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2,2</w:t>
            </w:r>
          </w:p>
        </w:tc>
      </w:tr>
      <w:tr w:rsidR="007B2880" w:rsidRPr="00CE357F" w14:paraId="3D25DA77" w14:textId="77777777" w:rsidTr="004A0C47">
        <w:trPr>
          <w:trHeight w:val="186"/>
        </w:trPr>
        <w:tc>
          <w:tcPr>
            <w:tcW w:w="1072" w:type="dxa"/>
            <w:shd w:val="clear" w:color="auto" w:fill="D9E2F3" w:themeFill="accent1" w:themeFillTint="33"/>
            <w:vAlign w:val="center"/>
          </w:tcPr>
          <w:p w14:paraId="46134FDE" w14:textId="77777777" w:rsidR="007B2880" w:rsidRPr="00CE357F" w:rsidRDefault="007B2880" w:rsidP="004A0C47">
            <w:pPr>
              <w:jc w:val="center"/>
              <w:rPr>
                <w:rFonts w:ascii="Arial Narrow" w:hAnsi="Arial Narrow" w:cs="Arial"/>
                <w:b/>
                <w:sz w:val="18"/>
                <w:szCs w:val="18"/>
              </w:rPr>
            </w:pPr>
            <w:r w:rsidRPr="00CE357F">
              <w:rPr>
                <w:rFonts w:ascii="Arial Narrow" w:hAnsi="Arial Narrow" w:cs="Arial"/>
                <w:b/>
                <w:sz w:val="18"/>
                <w:szCs w:val="18"/>
              </w:rPr>
              <w:t>2005</w:t>
            </w:r>
          </w:p>
        </w:tc>
        <w:tc>
          <w:tcPr>
            <w:tcW w:w="1223" w:type="dxa"/>
            <w:vAlign w:val="center"/>
          </w:tcPr>
          <w:p w14:paraId="6DEBE02C" w14:textId="77777777" w:rsidR="007B2880" w:rsidRPr="00CE357F" w:rsidRDefault="007B2880" w:rsidP="004A0C47">
            <w:pPr>
              <w:jc w:val="center"/>
              <w:rPr>
                <w:rFonts w:ascii="Arial Narrow" w:hAnsi="Arial Narrow"/>
                <w:bCs/>
                <w:sz w:val="18"/>
                <w:szCs w:val="18"/>
              </w:rPr>
            </w:pPr>
            <w:r w:rsidRPr="00CE357F">
              <w:rPr>
                <w:rFonts w:ascii="Arial Narrow" w:hAnsi="Arial Narrow"/>
                <w:bCs/>
                <w:sz w:val="18"/>
                <w:szCs w:val="18"/>
              </w:rPr>
              <w:t>627</w:t>
            </w:r>
          </w:p>
        </w:tc>
        <w:tc>
          <w:tcPr>
            <w:tcW w:w="1107" w:type="dxa"/>
            <w:vAlign w:val="center"/>
          </w:tcPr>
          <w:p w14:paraId="0D03E0BD"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68D163BC"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843" w:type="dxa"/>
            <w:vAlign w:val="center"/>
          </w:tcPr>
          <w:p w14:paraId="43EC2286"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w:t>
            </w:r>
          </w:p>
        </w:tc>
        <w:tc>
          <w:tcPr>
            <w:tcW w:w="1134" w:type="dxa"/>
            <w:vAlign w:val="center"/>
          </w:tcPr>
          <w:p w14:paraId="54F558DA"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85</w:t>
            </w:r>
          </w:p>
        </w:tc>
        <w:tc>
          <w:tcPr>
            <w:tcW w:w="1667" w:type="dxa"/>
          </w:tcPr>
          <w:p w14:paraId="635E8BCB" w14:textId="77777777" w:rsidR="007B2880" w:rsidRPr="00CE357F" w:rsidRDefault="007B2880" w:rsidP="004A0C47">
            <w:pPr>
              <w:jc w:val="center"/>
              <w:rPr>
                <w:rFonts w:ascii="Arial Narrow" w:hAnsi="Arial Narrow"/>
                <w:sz w:val="18"/>
                <w:szCs w:val="18"/>
              </w:rPr>
            </w:pPr>
            <w:r w:rsidRPr="00CE357F">
              <w:rPr>
                <w:rFonts w:ascii="Arial Narrow" w:hAnsi="Arial Narrow"/>
                <w:sz w:val="18"/>
                <w:szCs w:val="18"/>
              </w:rPr>
              <w:t>7,4</w:t>
            </w:r>
          </w:p>
        </w:tc>
      </w:tr>
    </w:tbl>
    <w:p w14:paraId="3F8DD4FF" w14:textId="39B47569" w:rsidR="001828B7" w:rsidRPr="00CE357F" w:rsidRDefault="007B2880" w:rsidP="0055565E">
      <w:pPr>
        <w:spacing w:after="240" w:line="276" w:lineRule="auto"/>
        <w:rPr>
          <w:rFonts w:ascii="Arial Narrow" w:hAnsi="Arial Narrow"/>
          <w:sz w:val="20"/>
        </w:rPr>
      </w:pPr>
      <w:r w:rsidRPr="00CE357F">
        <w:rPr>
          <w:rFonts w:ascii="Arial Narrow" w:hAnsi="Arial Narrow"/>
          <w:color w:val="000000"/>
          <w:sz w:val="20"/>
          <w:lang w:eastAsia="cs-CZ"/>
        </w:rPr>
        <w:t xml:space="preserve">Zdroj: Ministerstvo práce a sociálních věcí (data za prosinec daného roku)      </w:t>
      </w:r>
      <w:r w:rsidRPr="00CE357F">
        <w:rPr>
          <w:rFonts w:ascii="Arial Narrow" w:hAnsi="Arial Narrow"/>
          <w:sz w:val="20"/>
        </w:rPr>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xml:space="preserve"> s.r.o.</w:t>
      </w:r>
    </w:p>
    <w:p w14:paraId="5ADEAB2C" w14:textId="77777777" w:rsidR="0055565E" w:rsidRPr="00CE357F" w:rsidRDefault="0055565E" w:rsidP="001828B7">
      <w:pPr>
        <w:pStyle w:val="Nadpis3"/>
        <w:ind w:left="709"/>
      </w:pPr>
      <w:bookmarkStart w:id="762" w:name="_Toc94215423"/>
      <w:bookmarkStart w:id="763" w:name="_Toc136876136"/>
      <w:r w:rsidRPr="00CE357F">
        <w:t>Osoby s jinou než českou státní příslušností zaměstnaní v roce 2020 ve firmách na území ORP</w:t>
      </w:r>
      <w:bookmarkEnd w:id="762"/>
      <w:r w:rsidRPr="00CE357F">
        <w:t xml:space="preserve"> Kuřim</w:t>
      </w:r>
      <w:bookmarkEnd w:id="763"/>
    </w:p>
    <w:p w14:paraId="092BAFC4" w14:textId="6C02A7C6" w:rsidR="00427192" w:rsidRPr="00CE357F" w:rsidRDefault="00427192" w:rsidP="00732A00">
      <w:pPr>
        <w:rPr>
          <w:rFonts w:ascii="Arial Narrow" w:hAnsi="Arial Narrow"/>
        </w:rPr>
      </w:pPr>
    </w:p>
    <w:p w14:paraId="11283F27" w14:textId="330735A7" w:rsidR="0055565E" w:rsidRPr="00CE357F" w:rsidRDefault="0055565E" w:rsidP="0055565E">
      <w:pPr>
        <w:spacing w:line="276" w:lineRule="auto"/>
        <w:rPr>
          <w:rFonts w:ascii="Arial Narrow" w:hAnsi="Arial Narrow"/>
          <w:b/>
          <w:bCs/>
          <w:color w:val="C00000"/>
        </w:rPr>
      </w:pPr>
      <w:r w:rsidRPr="00CE357F">
        <w:rPr>
          <w:rFonts w:ascii="Arial Narrow" w:hAnsi="Arial Narrow"/>
          <w:b/>
          <w:bCs/>
          <w:color w:val="C00000"/>
        </w:rPr>
        <w:t xml:space="preserve">Soupis </w:t>
      </w:r>
      <w:r w:rsidR="00A533A2">
        <w:rPr>
          <w:rFonts w:ascii="Arial Narrow" w:hAnsi="Arial Narrow"/>
          <w:b/>
          <w:bCs/>
          <w:color w:val="C00000"/>
        </w:rPr>
        <w:t>významných</w:t>
      </w:r>
      <w:r w:rsidRPr="00CE357F">
        <w:rPr>
          <w:rFonts w:ascii="Arial Narrow" w:hAnsi="Arial Narrow"/>
          <w:b/>
          <w:bCs/>
          <w:color w:val="C00000"/>
        </w:rPr>
        <w:t xml:space="preserve"> zaměstnavatelů osob s jinou než českou státní příslušností v ORP Kuřim </w:t>
      </w:r>
    </w:p>
    <w:p w14:paraId="500B7875" w14:textId="77777777" w:rsidR="0055565E" w:rsidRPr="00CE357F" w:rsidRDefault="0055565E" w:rsidP="0055565E">
      <w:pPr>
        <w:spacing w:line="276" w:lineRule="auto"/>
        <w:rPr>
          <w:rFonts w:ascii="Arial Narrow" w:hAnsi="Arial Narrow"/>
          <w:b/>
          <w:bCs/>
          <w:color w:val="C00000"/>
        </w:rPr>
      </w:pPr>
    </w:p>
    <w:p w14:paraId="631910AB" w14:textId="77777777" w:rsidR="0055565E" w:rsidRPr="00CE357F" w:rsidRDefault="0055565E" w:rsidP="00593AB7">
      <w:pPr>
        <w:spacing w:after="120" w:line="276" w:lineRule="auto"/>
        <w:jc w:val="both"/>
        <w:rPr>
          <w:rFonts w:ascii="Arial Narrow" w:hAnsi="Arial Narrow"/>
        </w:rPr>
      </w:pPr>
      <w:r w:rsidRPr="00CE357F">
        <w:rPr>
          <w:rFonts w:ascii="Arial Narrow" w:hAnsi="Arial Narrow"/>
        </w:rPr>
        <w:t>Níže uvedená tabulka dokumentuje přehled zaměstnavatelů, u nichž bylo v rámci Průzkumu zaměstnanosti v Jihomoravském kraji prokazatelně identifikované, že v roce 2020 zaměstnávali alespoň 5 osob s jinou než českou státní příslušností. Přehled všech zaměstnavatelů, u nichž bylo prokazatelně identifikované, že v roce 2020 zaměstnávali alespoň 1 osobu s jinou než českou státní příslušností je z důvodu rozsahu součástí přílohy této zprávy.</w:t>
      </w:r>
    </w:p>
    <w:p w14:paraId="72E35762" w14:textId="5DFA3564" w:rsidR="0055565E" w:rsidRPr="00CE357F" w:rsidRDefault="0055565E" w:rsidP="00593AB7">
      <w:pPr>
        <w:spacing w:after="120" w:line="276" w:lineRule="auto"/>
        <w:jc w:val="both"/>
        <w:rPr>
          <w:rFonts w:ascii="Arial Narrow" w:hAnsi="Arial Narrow"/>
        </w:rPr>
      </w:pPr>
      <w:r w:rsidRPr="00CE357F">
        <w:rPr>
          <w:rFonts w:ascii="Arial Narrow" w:hAnsi="Arial Narrow"/>
        </w:rPr>
        <w:t xml:space="preserve">Dle těchto údajů byl v ORP Kuřim v roce 2020 </w:t>
      </w:r>
      <w:r w:rsidR="00A533A2">
        <w:rPr>
          <w:rFonts w:ascii="Arial Narrow" w:hAnsi="Arial Narrow"/>
        </w:rPr>
        <w:t>významný</w:t>
      </w:r>
      <w:r w:rsidRPr="00CE357F">
        <w:rPr>
          <w:rFonts w:ascii="Arial Narrow" w:hAnsi="Arial Narrow"/>
        </w:rPr>
        <w:t xml:space="preserve"> zaměstnavatel </w:t>
      </w:r>
      <w:r w:rsidR="00A533A2">
        <w:rPr>
          <w:rFonts w:ascii="Arial Narrow" w:hAnsi="Arial Narrow"/>
        </w:rPr>
        <w:t>osob</w:t>
      </w:r>
      <w:r w:rsidRPr="00CE357F">
        <w:rPr>
          <w:rFonts w:ascii="Arial Narrow" w:hAnsi="Arial Narrow"/>
        </w:rPr>
        <w:t xml:space="preserve"> s jinou než českou státní příslušností firma </w:t>
      </w:r>
      <w:proofErr w:type="spellStart"/>
      <w:r w:rsidRPr="00CE357F">
        <w:rPr>
          <w:rFonts w:ascii="Arial Narrow" w:hAnsi="Arial Narrow"/>
          <w:b/>
        </w:rPr>
        <w:t>Tyco</w:t>
      </w:r>
      <w:proofErr w:type="spellEnd"/>
      <w:r w:rsidRPr="00CE357F">
        <w:rPr>
          <w:rFonts w:ascii="Arial Narrow" w:hAnsi="Arial Narrow"/>
          <w:b/>
        </w:rPr>
        <w:t xml:space="preserve"> Electronics Czech s.r.o.,</w:t>
      </w:r>
      <w:r w:rsidRPr="00CE357F">
        <w:rPr>
          <w:rFonts w:ascii="Arial Narrow" w:hAnsi="Arial Narrow"/>
        </w:rPr>
        <w:t xml:space="preserve"> která v roce 2020 </w:t>
      </w:r>
      <w:r w:rsidR="00593AB7" w:rsidRPr="00CE357F">
        <w:rPr>
          <w:rFonts w:ascii="Arial Narrow" w:hAnsi="Arial Narrow"/>
        </w:rPr>
        <w:t xml:space="preserve">zaměstnávala </w:t>
      </w:r>
      <w:r w:rsidRPr="00CE357F">
        <w:rPr>
          <w:rFonts w:ascii="Arial Narrow" w:hAnsi="Arial Narrow"/>
        </w:rPr>
        <w:t xml:space="preserve">celkem 232 osob s jinou než českou státní příslušností, z toho 77 občanů SK, 27 </w:t>
      </w:r>
      <w:r w:rsidR="00593AB7" w:rsidRPr="00CE357F">
        <w:rPr>
          <w:rFonts w:ascii="Arial Narrow" w:hAnsi="Arial Narrow"/>
        </w:rPr>
        <w:t>osob</w:t>
      </w:r>
      <w:r w:rsidRPr="00CE357F">
        <w:rPr>
          <w:rFonts w:ascii="Arial Narrow" w:hAnsi="Arial Narrow"/>
        </w:rPr>
        <w:t xml:space="preserve"> z EZ/EHP a Švýcarska a 128 občanů třetích zemí. Tato firma v roce 2020 zaměstnávala 64,4 % všech zaměstnaných osob s jinou než českou státní příslušností v ORP Kuřim. Druhým </w:t>
      </w:r>
      <w:r w:rsidR="00A533A2">
        <w:rPr>
          <w:rFonts w:ascii="Arial Narrow" w:hAnsi="Arial Narrow"/>
        </w:rPr>
        <w:t>významným</w:t>
      </w:r>
      <w:r w:rsidRPr="00CE357F">
        <w:rPr>
          <w:rFonts w:ascii="Arial Narrow" w:hAnsi="Arial Narrow"/>
        </w:rPr>
        <w:t xml:space="preserve"> zaměstnavatelem byla podle těchto údajů firma </w:t>
      </w:r>
      <w:r w:rsidRPr="00CE357F">
        <w:rPr>
          <w:rFonts w:ascii="Arial Narrow" w:hAnsi="Arial Narrow"/>
          <w:b/>
          <w:bCs/>
        </w:rPr>
        <w:t>AMB PLUS, s.r.o.,</w:t>
      </w:r>
      <w:r w:rsidRPr="00CE357F">
        <w:rPr>
          <w:rFonts w:ascii="Arial Narrow" w:hAnsi="Arial Narrow"/>
        </w:rPr>
        <w:t xml:space="preserve"> která v roce 2020 zaměstnávala 35 občanů z třetích zemí. Mezi další významné zaměstnavatele občanů s jinou než českou státní příslušností </w:t>
      </w:r>
      <w:r w:rsidRPr="00CE357F">
        <w:rPr>
          <w:rFonts w:ascii="Arial Narrow" w:hAnsi="Arial Narrow"/>
        </w:rPr>
        <w:lastRenderedPageBreak/>
        <w:t>v ORP Kuřim patřil</w:t>
      </w:r>
      <w:r w:rsidR="00593AB7" w:rsidRPr="00CE357F">
        <w:rPr>
          <w:rFonts w:ascii="Arial Narrow" w:hAnsi="Arial Narrow"/>
        </w:rPr>
        <w:t>a</w:t>
      </w:r>
      <w:r w:rsidRPr="00CE357F">
        <w:rPr>
          <w:rFonts w:ascii="Arial Narrow" w:hAnsi="Arial Narrow"/>
        </w:rPr>
        <w:t xml:space="preserve"> v roce 2020 firma OKNOSTYL </w:t>
      </w:r>
      <w:proofErr w:type="spellStart"/>
      <w:r w:rsidRPr="00CE357F">
        <w:rPr>
          <w:rFonts w:ascii="Arial Narrow" w:hAnsi="Arial Narrow"/>
        </w:rPr>
        <w:t>group</w:t>
      </w:r>
      <w:proofErr w:type="spellEnd"/>
      <w:r w:rsidRPr="00CE357F">
        <w:rPr>
          <w:rFonts w:ascii="Arial Narrow" w:hAnsi="Arial Narrow"/>
        </w:rPr>
        <w:t xml:space="preserve">, s.r.o., která zaměstnávala 16 občanů z třetích zemí, firma Walter, s.r.o. (9 zaměstnanců) či firma </w:t>
      </w:r>
      <w:proofErr w:type="spellStart"/>
      <w:r w:rsidRPr="00CE357F">
        <w:rPr>
          <w:rFonts w:ascii="Arial Narrow" w:hAnsi="Arial Narrow"/>
        </w:rPr>
        <w:t>Savrin</w:t>
      </w:r>
      <w:proofErr w:type="spellEnd"/>
      <w:r w:rsidRPr="00CE357F">
        <w:rPr>
          <w:rFonts w:ascii="Arial Narrow" w:hAnsi="Arial Narrow"/>
        </w:rPr>
        <w:t>, s.r.o. (9 zaměstnanců).</w:t>
      </w:r>
      <w:r w:rsidR="006F76B6">
        <w:rPr>
          <w:rStyle w:val="Znakapoznpodarou"/>
          <w:rFonts w:ascii="Arial Narrow" w:hAnsi="Arial Narrow"/>
        </w:rPr>
        <w:footnoteReference w:id="92"/>
      </w:r>
      <w:r w:rsidRPr="00CE357F">
        <w:rPr>
          <w:rFonts w:ascii="Arial Narrow" w:hAnsi="Arial Narrow"/>
        </w:rPr>
        <w:t xml:space="preserve"> </w:t>
      </w:r>
    </w:p>
    <w:p w14:paraId="169C3BBF" w14:textId="526D6638" w:rsidR="0055565E" w:rsidRPr="00CE357F" w:rsidRDefault="0055565E" w:rsidP="00593AB7">
      <w:pPr>
        <w:spacing w:after="120" w:line="276" w:lineRule="auto"/>
        <w:jc w:val="both"/>
        <w:rPr>
          <w:rFonts w:ascii="Arial Narrow" w:hAnsi="Arial Narrow"/>
        </w:rPr>
      </w:pPr>
      <w:r w:rsidRPr="00CE357F">
        <w:rPr>
          <w:rFonts w:ascii="Arial Narrow" w:hAnsi="Arial Narrow"/>
        </w:rPr>
        <w:t>Z celkových 360 zaměstnanců-</w:t>
      </w:r>
      <w:r w:rsidR="00A533A2">
        <w:rPr>
          <w:rFonts w:ascii="Arial Narrow" w:hAnsi="Arial Narrow"/>
        </w:rPr>
        <w:t>osob</w:t>
      </w:r>
      <w:r w:rsidRPr="00CE357F">
        <w:rPr>
          <w:rFonts w:ascii="Arial Narrow" w:hAnsi="Arial Narrow"/>
        </w:rPr>
        <w:t xml:space="preserve"> s jinou než českou příslušností jich bylo 86,7 % zaměstnaných v obci Kuřim a 13,3 % v obcích Lelekovice, Jinačovice, či Veverské Bítýšce. </w:t>
      </w:r>
    </w:p>
    <w:p w14:paraId="6F12CB40" w14:textId="5CB31A06" w:rsidR="0055565E" w:rsidRPr="00CE357F" w:rsidRDefault="0055565E" w:rsidP="001828B7">
      <w:pPr>
        <w:jc w:val="both"/>
        <w:rPr>
          <w:rFonts w:ascii="Arial Narrow" w:hAnsi="Arial Narrow"/>
          <w:b/>
          <w:bCs/>
          <w:sz w:val="24"/>
          <w:szCs w:val="24"/>
        </w:rPr>
      </w:pPr>
      <w:bookmarkStart w:id="764" w:name="_Toc136429265"/>
      <w:r w:rsidRPr="7CC7BF57">
        <w:rPr>
          <w:rFonts w:ascii="Arial Narrow" w:hAnsi="Arial Narrow"/>
          <w:b/>
          <w:bCs/>
          <w:sz w:val="20"/>
          <w:szCs w:val="20"/>
        </w:rPr>
        <w:t xml:space="preserve">Tabulka </w:t>
      </w:r>
      <w:r w:rsidRPr="7CC7BF57">
        <w:rPr>
          <w:rFonts w:ascii="Arial Narrow" w:hAnsi="Arial Narrow"/>
          <w:b/>
          <w:bCs/>
          <w:sz w:val="20"/>
          <w:szCs w:val="20"/>
        </w:rPr>
        <w:fldChar w:fldCharType="begin"/>
      </w:r>
      <w:r w:rsidRPr="7CC7BF57">
        <w:rPr>
          <w:rFonts w:ascii="Arial Narrow" w:hAnsi="Arial Narrow"/>
          <w:b/>
          <w:bCs/>
          <w:sz w:val="20"/>
          <w:szCs w:val="20"/>
        </w:rPr>
        <w:instrText xml:space="preserve"> SEQ Tabulka \* ARABIC </w:instrText>
      </w:r>
      <w:r w:rsidRPr="7CC7BF57">
        <w:rPr>
          <w:rFonts w:ascii="Arial Narrow" w:hAnsi="Arial Narrow"/>
          <w:b/>
          <w:bCs/>
          <w:sz w:val="20"/>
          <w:szCs w:val="20"/>
        </w:rPr>
        <w:fldChar w:fldCharType="separate"/>
      </w:r>
      <w:r w:rsidR="00256C97" w:rsidRPr="7CC7BF57">
        <w:rPr>
          <w:rFonts w:ascii="Arial Narrow" w:hAnsi="Arial Narrow"/>
          <w:b/>
          <w:bCs/>
          <w:noProof/>
          <w:sz w:val="20"/>
          <w:szCs w:val="20"/>
        </w:rPr>
        <w:t>54</w:t>
      </w:r>
      <w:r w:rsidRPr="7CC7BF57">
        <w:rPr>
          <w:rFonts w:ascii="Arial Narrow" w:hAnsi="Arial Narrow"/>
          <w:b/>
          <w:bCs/>
          <w:sz w:val="20"/>
          <w:szCs w:val="20"/>
        </w:rPr>
        <w:fldChar w:fldCharType="end"/>
      </w:r>
      <w:r w:rsidRPr="7CC7BF57">
        <w:rPr>
          <w:rFonts w:ascii="Arial Narrow" w:hAnsi="Arial Narrow"/>
          <w:b/>
          <w:bCs/>
          <w:sz w:val="20"/>
          <w:szCs w:val="20"/>
        </w:rPr>
        <w:t xml:space="preserve">: </w:t>
      </w:r>
      <w:r w:rsidRPr="7CC7BF57">
        <w:rPr>
          <w:rFonts w:ascii="Arial Narrow" w:eastAsia="Times New Roman" w:hAnsi="Arial Narrow" w:cs="Arial"/>
          <w:b/>
          <w:bCs/>
          <w:sz w:val="20"/>
          <w:szCs w:val="20"/>
          <w:lang w:eastAsia="cs-CZ"/>
        </w:rPr>
        <w:t xml:space="preserve">Soupis </w:t>
      </w:r>
      <w:r w:rsidR="00A533A2" w:rsidRPr="7CC7BF57">
        <w:rPr>
          <w:rFonts w:ascii="Arial Narrow" w:eastAsia="Times New Roman" w:hAnsi="Arial Narrow" w:cs="Arial"/>
          <w:b/>
          <w:bCs/>
          <w:sz w:val="20"/>
          <w:szCs w:val="20"/>
          <w:lang w:eastAsia="cs-CZ"/>
        </w:rPr>
        <w:t>významných</w:t>
      </w:r>
      <w:r w:rsidRPr="7CC7BF57">
        <w:rPr>
          <w:rFonts w:ascii="Arial Narrow" w:eastAsia="Times New Roman" w:hAnsi="Arial Narrow" w:cs="Arial"/>
          <w:b/>
          <w:bCs/>
          <w:sz w:val="20"/>
          <w:szCs w:val="20"/>
          <w:lang w:eastAsia="cs-CZ"/>
        </w:rPr>
        <w:t xml:space="preserve"> zaměstnavatelů osob s jinou než českou státní příslušností v ORP </w:t>
      </w:r>
      <w:r w:rsidR="00BC6891" w:rsidRPr="7CC7BF57">
        <w:rPr>
          <w:rFonts w:ascii="Arial Narrow" w:eastAsia="Times New Roman" w:hAnsi="Arial Narrow" w:cs="Arial"/>
          <w:b/>
          <w:bCs/>
          <w:sz w:val="20"/>
          <w:szCs w:val="20"/>
          <w:lang w:eastAsia="cs-CZ"/>
        </w:rPr>
        <w:t>Kuřim</w:t>
      </w:r>
      <w:r w:rsidRPr="7CC7BF57">
        <w:rPr>
          <w:rFonts w:ascii="Arial Narrow" w:eastAsia="Times New Roman" w:hAnsi="Arial Narrow" w:cs="Arial"/>
          <w:b/>
          <w:bCs/>
          <w:sz w:val="20"/>
          <w:szCs w:val="20"/>
          <w:lang w:eastAsia="cs-CZ"/>
        </w:rPr>
        <w:t xml:space="preserve"> v roce 2020</w:t>
      </w:r>
      <w:bookmarkEnd w:id="764"/>
    </w:p>
    <w:tbl>
      <w:tblPr>
        <w:tblW w:w="9072" w:type="dxa"/>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168"/>
        <w:gridCol w:w="2977"/>
        <w:gridCol w:w="850"/>
        <w:gridCol w:w="2014"/>
        <w:gridCol w:w="1216"/>
        <w:gridCol w:w="847"/>
      </w:tblGrid>
      <w:tr w:rsidR="0055565E" w:rsidRPr="00CE357F" w14:paraId="7E09D3BF" w14:textId="77777777" w:rsidTr="00BC6891">
        <w:trPr>
          <w:trHeight w:val="135"/>
        </w:trPr>
        <w:tc>
          <w:tcPr>
            <w:tcW w:w="1168" w:type="dxa"/>
            <w:vMerge w:val="restart"/>
            <w:shd w:val="clear" w:color="auto" w:fill="D9E2F3" w:themeFill="accent1" w:themeFillTint="33"/>
            <w:vAlign w:val="center"/>
            <w:hideMark/>
          </w:tcPr>
          <w:p w14:paraId="1A8AA8DF"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Obec</w:t>
            </w:r>
          </w:p>
        </w:tc>
        <w:tc>
          <w:tcPr>
            <w:tcW w:w="2977" w:type="dxa"/>
            <w:vMerge w:val="restart"/>
            <w:shd w:val="clear" w:color="auto" w:fill="D9E2F3" w:themeFill="accent1" w:themeFillTint="33"/>
            <w:vAlign w:val="center"/>
            <w:hideMark/>
          </w:tcPr>
          <w:p w14:paraId="547D40B6"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Název zaměstnavatele</w:t>
            </w:r>
          </w:p>
        </w:tc>
        <w:tc>
          <w:tcPr>
            <w:tcW w:w="4927" w:type="dxa"/>
            <w:gridSpan w:val="4"/>
            <w:shd w:val="clear" w:color="auto" w:fill="D9E2F3" w:themeFill="accent1" w:themeFillTint="33"/>
            <w:vAlign w:val="center"/>
          </w:tcPr>
          <w:p w14:paraId="64286DD1" w14:textId="0CEC2495"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Zaměstnan</w:t>
            </w:r>
            <w:r w:rsidR="008E64A4" w:rsidRPr="00CE357F">
              <w:rPr>
                <w:rFonts w:ascii="Arial Narrow" w:eastAsia="Times New Roman" w:hAnsi="Arial Narrow" w:cs="Arial"/>
                <w:b/>
                <w:bCs/>
                <w:sz w:val="18"/>
                <w:szCs w:val="18"/>
                <w:lang w:eastAsia="cs-CZ"/>
              </w:rPr>
              <w:t xml:space="preserve">é osoby </w:t>
            </w:r>
            <w:r w:rsidRPr="00CE357F">
              <w:rPr>
                <w:rFonts w:ascii="Arial Narrow" w:eastAsia="Times New Roman" w:hAnsi="Arial Narrow" w:cs="Arial"/>
                <w:b/>
                <w:bCs/>
                <w:sz w:val="18"/>
                <w:szCs w:val="18"/>
                <w:lang w:eastAsia="cs-CZ"/>
              </w:rPr>
              <w:t>s jinou než českou státní příslušností</w:t>
            </w:r>
          </w:p>
        </w:tc>
      </w:tr>
      <w:tr w:rsidR="0055565E" w:rsidRPr="00CE357F" w14:paraId="1EB4E61B" w14:textId="77777777" w:rsidTr="00BC6891">
        <w:trPr>
          <w:trHeight w:val="451"/>
        </w:trPr>
        <w:tc>
          <w:tcPr>
            <w:tcW w:w="1168" w:type="dxa"/>
            <w:vMerge/>
            <w:shd w:val="clear" w:color="auto" w:fill="D9E2F3" w:themeFill="accent1" w:themeFillTint="33"/>
            <w:vAlign w:val="center"/>
            <w:hideMark/>
          </w:tcPr>
          <w:p w14:paraId="5A0D4B02" w14:textId="77777777" w:rsidR="0055565E" w:rsidRPr="00CE357F" w:rsidRDefault="0055565E" w:rsidP="008E64A4">
            <w:pPr>
              <w:jc w:val="center"/>
              <w:rPr>
                <w:rFonts w:ascii="Arial Narrow" w:eastAsia="Times New Roman" w:hAnsi="Arial Narrow" w:cs="Arial"/>
                <w:b/>
                <w:bCs/>
                <w:sz w:val="18"/>
                <w:szCs w:val="18"/>
                <w:lang w:eastAsia="cs-CZ"/>
              </w:rPr>
            </w:pPr>
          </w:p>
        </w:tc>
        <w:tc>
          <w:tcPr>
            <w:tcW w:w="2977" w:type="dxa"/>
            <w:vMerge/>
            <w:shd w:val="clear" w:color="auto" w:fill="D9E2F3" w:themeFill="accent1" w:themeFillTint="33"/>
            <w:vAlign w:val="center"/>
            <w:hideMark/>
          </w:tcPr>
          <w:p w14:paraId="4B0378E6" w14:textId="77777777" w:rsidR="0055565E" w:rsidRPr="00CE357F" w:rsidRDefault="0055565E" w:rsidP="008E64A4">
            <w:pPr>
              <w:jc w:val="center"/>
              <w:rPr>
                <w:rFonts w:ascii="Arial Narrow" w:eastAsia="Times New Roman" w:hAnsi="Arial Narrow" w:cs="Arial"/>
                <w:b/>
                <w:bCs/>
                <w:sz w:val="18"/>
                <w:szCs w:val="18"/>
                <w:lang w:eastAsia="cs-CZ"/>
              </w:rPr>
            </w:pPr>
          </w:p>
        </w:tc>
        <w:tc>
          <w:tcPr>
            <w:tcW w:w="850" w:type="dxa"/>
            <w:shd w:val="clear" w:color="auto" w:fill="D9E2F3" w:themeFill="accent1" w:themeFillTint="33"/>
            <w:vAlign w:val="center"/>
          </w:tcPr>
          <w:p w14:paraId="5F41DBFB"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SK</w:t>
            </w:r>
          </w:p>
        </w:tc>
        <w:tc>
          <w:tcPr>
            <w:tcW w:w="2014" w:type="dxa"/>
            <w:shd w:val="clear" w:color="auto" w:fill="D9E2F3" w:themeFill="accent1" w:themeFillTint="33"/>
            <w:vAlign w:val="center"/>
          </w:tcPr>
          <w:p w14:paraId="7CA11082"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EU/EHP a Švýcarska (mimo občanů SK)</w:t>
            </w:r>
          </w:p>
        </w:tc>
        <w:tc>
          <w:tcPr>
            <w:tcW w:w="1216" w:type="dxa"/>
            <w:shd w:val="clear" w:color="auto" w:fill="D9E2F3" w:themeFill="accent1" w:themeFillTint="33"/>
            <w:vAlign w:val="center"/>
          </w:tcPr>
          <w:p w14:paraId="4A0353BF"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ostatních zemí (celkem)</w:t>
            </w:r>
          </w:p>
        </w:tc>
        <w:tc>
          <w:tcPr>
            <w:tcW w:w="847" w:type="dxa"/>
            <w:shd w:val="clear" w:color="auto" w:fill="D9E2F3" w:themeFill="accent1" w:themeFillTint="33"/>
            <w:vAlign w:val="center"/>
          </w:tcPr>
          <w:p w14:paraId="7CB09E46"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w:t>
            </w:r>
          </w:p>
        </w:tc>
      </w:tr>
      <w:tr w:rsidR="0055565E" w:rsidRPr="00CE357F" w14:paraId="210B2229" w14:textId="77777777" w:rsidTr="00BC6891">
        <w:trPr>
          <w:trHeight w:val="227"/>
        </w:trPr>
        <w:tc>
          <w:tcPr>
            <w:tcW w:w="1168" w:type="dxa"/>
            <w:shd w:val="clear" w:color="auto" w:fill="D9E2F3" w:themeFill="accent1" w:themeFillTint="33"/>
            <w:vAlign w:val="center"/>
          </w:tcPr>
          <w:p w14:paraId="1CEC6B42"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Kuřim</w:t>
            </w:r>
          </w:p>
        </w:tc>
        <w:tc>
          <w:tcPr>
            <w:tcW w:w="2977" w:type="dxa"/>
            <w:vAlign w:val="center"/>
          </w:tcPr>
          <w:p w14:paraId="34DB8776" w14:textId="77777777" w:rsidR="0055565E" w:rsidRPr="00CE357F" w:rsidRDefault="0055565E" w:rsidP="008E64A4">
            <w:pPr>
              <w:jc w:val="center"/>
              <w:rPr>
                <w:rFonts w:ascii="Arial Narrow" w:eastAsia="Times New Roman" w:hAnsi="Arial Narrow" w:cs="Arial"/>
                <w:sz w:val="18"/>
                <w:szCs w:val="18"/>
                <w:lang w:eastAsia="cs-CZ"/>
              </w:rPr>
            </w:pPr>
            <w:proofErr w:type="spellStart"/>
            <w:r w:rsidRPr="00CE357F">
              <w:rPr>
                <w:rFonts w:ascii="Arial Narrow" w:hAnsi="Arial Narrow"/>
                <w:sz w:val="18"/>
                <w:szCs w:val="18"/>
              </w:rPr>
              <w:t>Tyco</w:t>
            </w:r>
            <w:proofErr w:type="spellEnd"/>
            <w:r w:rsidRPr="00CE357F">
              <w:rPr>
                <w:rFonts w:ascii="Arial Narrow" w:hAnsi="Arial Narrow"/>
                <w:sz w:val="18"/>
                <w:szCs w:val="18"/>
              </w:rPr>
              <w:t xml:space="preserve"> Electronics Czech s.r.o.</w:t>
            </w:r>
          </w:p>
        </w:tc>
        <w:tc>
          <w:tcPr>
            <w:tcW w:w="850" w:type="dxa"/>
            <w:vAlign w:val="center"/>
          </w:tcPr>
          <w:p w14:paraId="64E89474" w14:textId="77777777" w:rsidR="0055565E" w:rsidRPr="00CE357F" w:rsidRDefault="0055565E" w:rsidP="008E64A4">
            <w:pPr>
              <w:jc w:val="center"/>
              <w:rPr>
                <w:rFonts w:ascii="Arial Narrow" w:hAnsi="Arial Narrow" w:cs="Arial"/>
                <w:b/>
                <w:bCs/>
                <w:sz w:val="18"/>
                <w:szCs w:val="18"/>
              </w:rPr>
            </w:pPr>
            <w:r w:rsidRPr="00CE357F">
              <w:rPr>
                <w:rFonts w:ascii="Arial Narrow" w:hAnsi="Arial Narrow"/>
                <w:sz w:val="18"/>
                <w:szCs w:val="18"/>
              </w:rPr>
              <w:t>77</w:t>
            </w:r>
          </w:p>
        </w:tc>
        <w:tc>
          <w:tcPr>
            <w:tcW w:w="2014" w:type="dxa"/>
            <w:vAlign w:val="center"/>
          </w:tcPr>
          <w:p w14:paraId="49941722" w14:textId="77777777" w:rsidR="0055565E" w:rsidRPr="00CE357F" w:rsidRDefault="0055565E" w:rsidP="008E64A4">
            <w:pPr>
              <w:jc w:val="center"/>
              <w:rPr>
                <w:rFonts w:ascii="Arial Narrow" w:hAnsi="Arial Narrow" w:cs="Arial"/>
                <w:b/>
                <w:bCs/>
                <w:sz w:val="18"/>
                <w:szCs w:val="18"/>
              </w:rPr>
            </w:pPr>
            <w:r w:rsidRPr="00CE357F">
              <w:rPr>
                <w:rFonts w:ascii="Arial Narrow" w:hAnsi="Arial Narrow"/>
                <w:sz w:val="18"/>
                <w:szCs w:val="18"/>
              </w:rPr>
              <w:t>27</w:t>
            </w:r>
          </w:p>
        </w:tc>
        <w:tc>
          <w:tcPr>
            <w:tcW w:w="1216" w:type="dxa"/>
            <w:vAlign w:val="center"/>
          </w:tcPr>
          <w:p w14:paraId="514849E5" w14:textId="77777777" w:rsidR="0055565E" w:rsidRPr="00CE357F" w:rsidRDefault="0055565E" w:rsidP="008E64A4">
            <w:pPr>
              <w:jc w:val="center"/>
              <w:rPr>
                <w:rFonts w:ascii="Arial Narrow" w:hAnsi="Arial Narrow" w:cs="Arial"/>
                <w:b/>
                <w:bCs/>
                <w:sz w:val="18"/>
                <w:szCs w:val="18"/>
              </w:rPr>
            </w:pPr>
            <w:r w:rsidRPr="00CE357F">
              <w:rPr>
                <w:rFonts w:ascii="Arial Narrow" w:hAnsi="Arial Narrow"/>
                <w:sz w:val="18"/>
                <w:szCs w:val="18"/>
              </w:rPr>
              <w:t>128</w:t>
            </w:r>
          </w:p>
        </w:tc>
        <w:tc>
          <w:tcPr>
            <w:tcW w:w="847" w:type="dxa"/>
            <w:vAlign w:val="center"/>
          </w:tcPr>
          <w:p w14:paraId="5D47A829" w14:textId="77777777" w:rsidR="0055565E" w:rsidRPr="00CE357F" w:rsidRDefault="0055565E" w:rsidP="008E64A4">
            <w:pPr>
              <w:jc w:val="center"/>
              <w:rPr>
                <w:rFonts w:ascii="Arial Narrow" w:hAnsi="Arial Narrow" w:cs="Arial"/>
                <w:b/>
                <w:bCs/>
                <w:color w:val="C00000"/>
                <w:sz w:val="18"/>
                <w:szCs w:val="18"/>
              </w:rPr>
            </w:pPr>
            <w:r w:rsidRPr="00CE357F">
              <w:rPr>
                <w:rFonts w:ascii="Arial Narrow" w:hAnsi="Arial Narrow"/>
                <w:b/>
                <w:color w:val="C00000"/>
                <w:sz w:val="18"/>
                <w:szCs w:val="18"/>
              </w:rPr>
              <w:t>232</w:t>
            </w:r>
          </w:p>
        </w:tc>
      </w:tr>
      <w:tr w:rsidR="0055565E" w:rsidRPr="00CE357F" w14:paraId="4154F8AF" w14:textId="77777777" w:rsidTr="00BC6891">
        <w:trPr>
          <w:trHeight w:val="227"/>
        </w:trPr>
        <w:tc>
          <w:tcPr>
            <w:tcW w:w="1168" w:type="dxa"/>
            <w:shd w:val="clear" w:color="auto" w:fill="D9E2F3" w:themeFill="accent1" w:themeFillTint="33"/>
            <w:vAlign w:val="center"/>
          </w:tcPr>
          <w:p w14:paraId="432A3CA3"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Lelekovice</w:t>
            </w:r>
          </w:p>
        </w:tc>
        <w:tc>
          <w:tcPr>
            <w:tcW w:w="2977" w:type="dxa"/>
            <w:vAlign w:val="center"/>
          </w:tcPr>
          <w:p w14:paraId="46650677"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AMB PLUS, s.r.o.</w:t>
            </w:r>
          </w:p>
        </w:tc>
        <w:tc>
          <w:tcPr>
            <w:tcW w:w="850" w:type="dxa"/>
            <w:vAlign w:val="center"/>
          </w:tcPr>
          <w:p w14:paraId="2CB5E77C"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2014" w:type="dxa"/>
            <w:vAlign w:val="center"/>
          </w:tcPr>
          <w:p w14:paraId="597E5B3C"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1216" w:type="dxa"/>
            <w:vAlign w:val="center"/>
          </w:tcPr>
          <w:p w14:paraId="5F7EE8CF"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35</w:t>
            </w:r>
          </w:p>
        </w:tc>
        <w:tc>
          <w:tcPr>
            <w:tcW w:w="847" w:type="dxa"/>
            <w:vAlign w:val="center"/>
          </w:tcPr>
          <w:p w14:paraId="22B62923" w14:textId="77777777" w:rsidR="0055565E" w:rsidRPr="00CE357F" w:rsidRDefault="0055565E" w:rsidP="008E64A4">
            <w:pPr>
              <w:jc w:val="center"/>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35</w:t>
            </w:r>
          </w:p>
        </w:tc>
      </w:tr>
      <w:tr w:rsidR="0055565E" w:rsidRPr="00CE357F" w14:paraId="662CE40D" w14:textId="77777777" w:rsidTr="00BC6891">
        <w:trPr>
          <w:trHeight w:val="227"/>
        </w:trPr>
        <w:tc>
          <w:tcPr>
            <w:tcW w:w="1168" w:type="dxa"/>
            <w:shd w:val="clear" w:color="auto" w:fill="D9E2F3" w:themeFill="accent1" w:themeFillTint="33"/>
            <w:vAlign w:val="center"/>
          </w:tcPr>
          <w:p w14:paraId="73D52AA9"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Kuřim</w:t>
            </w:r>
          </w:p>
        </w:tc>
        <w:tc>
          <w:tcPr>
            <w:tcW w:w="2977" w:type="dxa"/>
            <w:vAlign w:val="center"/>
          </w:tcPr>
          <w:p w14:paraId="53D29479"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 xml:space="preserve">OKNOSTYL </w:t>
            </w:r>
            <w:proofErr w:type="spellStart"/>
            <w:r w:rsidRPr="00CE357F">
              <w:rPr>
                <w:rFonts w:ascii="Arial Narrow" w:hAnsi="Arial Narrow"/>
                <w:sz w:val="18"/>
                <w:szCs w:val="18"/>
              </w:rPr>
              <w:t>group</w:t>
            </w:r>
            <w:proofErr w:type="spellEnd"/>
            <w:r w:rsidRPr="00CE357F">
              <w:rPr>
                <w:rFonts w:ascii="Arial Narrow" w:hAnsi="Arial Narrow"/>
                <w:sz w:val="18"/>
                <w:szCs w:val="18"/>
              </w:rPr>
              <w:t xml:space="preserve"> s.r.o.</w:t>
            </w:r>
          </w:p>
        </w:tc>
        <w:tc>
          <w:tcPr>
            <w:tcW w:w="850" w:type="dxa"/>
            <w:vAlign w:val="center"/>
          </w:tcPr>
          <w:p w14:paraId="5096C231"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2014" w:type="dxa"/>
            <w:vAlign w:val="center"/>
          </w:tcPr>
          <w:p w14:paraId="42A4C2A5"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1216" w:type="dxa"/>
            <w:vAlign w:val="center"/>
          </w:tcPr>
          <w:p w14:paraId="45CBFC8C"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16</w:t>
            </w:r>
          </w:p>
        </w:tc>
        <w:tc>
          <w:tcPr>
            <w:tcW w:w="847" w:type="dxa"/>
            <w:vAlign w:val="center"/>
          </w:tcPr>
          <w:p w14:paraId="3DA46113" w14:textId="77777777" w:rsidR="0055565E" w:rsidRPr="00CE357F" w:rsidRDefault="0055565E" w:rsidP="008E64A4">
            <w:pPr>
              <w:jc w:val="center"/>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16</w:t>
            </w:r>
          </w:p>
        </w:tc>
      </w:tr>
      <w:tr w:rsidR="0055565E" w:rsidRPr="00CE357F" w14:paraId="175483E2" w14:textId="77777777" w:rsidTr="00BC6891">
        <w:trPr>
          <w:trHeight w:val="227"/>
        </w:trPr>
        <w:tc>
          <w:tcPr>
            <w:tcW w:w="1168" w:type="dxa"/>
            <w:shd w:val="clear" w:color="auto" w:fill="D9E2F3" w:themeFill="accent1" w:themeFillTint="33"/>
            <w:vAlign w:val="center"/>
          </w:tcPr>
          <w:p w14:paraId="6335B1DE"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Kuřim</w:t>
            </w:r>
          </w:p>
        </w:tc>
        <w:tc>
          <w:tcPr>
            <w:tcW w:w="2977" w:type="dxa"/>
            <w:vAlign w:val="center"/>
          </w:tcPr>
          <w:p w14:paraId="1DF5881D"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Walter s.r.o.</w:t>
            </w:r>
          </w:p>
        </w:tc>
        <w:tc>
          <w:tcPr>
            <w:tcW w:w="850" w:type="dxa"/>
            <w:vAlign w:val="center"/>
          </w:tcPr>
          <w:p w14:paraId="6F737AAD"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3</w:t>
            </w:r>
          </w:p>
        </w:tc>
        <w:tc>
          <w:tcPr>
            <w:tcW w:w="2014" w:type="dxa"/>
            <w:vAlign w:val="center"/>
          </w:tcPr>
          <w:p w14:paraId="3C363D41"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5</w:t>
            </w:r>
          </w:p>
        </w:tc>
        <w:tc>
          <w:tcPr>
            <w:tcW w:w="1216" w:type="dxa"/>
            <w:vAlign w:val="center"/>
          </w:tcPr>
          <w:p w14:paraId="07D8AA94"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1</w:t>
            </w:r>
          </w:p>
        </w:tc>
        <w:tc>
          <w:tcPr>
            <w:tcW w:w="847" w:type="dxa"/>
            <w:vAlign w:val="center"/>
          </w:tcPr>
          <w:p w14:paraId="1E149994" w14:textId="77777777" w:rsidR="0055565E" w:rsidRPr="00CE357F" w:rsidRDefault="0055565E" w:rsidP="008E64A4">
            <w:pPr>
              <w:jc w:val="center"/>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9</w:t>
            </w:r>
          </w:p>
        </w:tc>
      </w:tr>
      <w:tr w:rsidR="0055565E" w:rsidRPr="00CE357F" w14:paraId="2CC65C64" w14:textId="77777777" w:rsidTr="00BC6891">
        <w:trPr>
          <w:trHeight w:val="227"/>
        </w:trPr>
        <w:tc>
          <w:tcPr>
            <w:tcW w:w="1168" w:type="dxa"/>
            <w:shd w:val="clear" w:color="auto" w:fill="D9E2F3" w:themeFill="accent1" w:themeFillTint="33"/>
            <w:vAlign w:val="center"/>
          </w:tcPr>
          <w:p w14:paraId="205422A9"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Kuřim</w:t>
            </w:r>
          </w:p>
        </w:tc>
        <w:tc>
          <w:tcPr>
            <w:tcW w:w="2977" w:type="dxa"/>
            <w:vAlign w:val="center"/>
          </w:tcPr>
          <w:p w14:paraId="56C271A7" w14:textId="77777777" w:rsidR="0055565E" w:rsidRPr="00CE357F" w:rsidRDefault="0055565E" w:rsidP="008E64A4">
            <w:pPr>
              <w:jc w:val="center"/>
              <w:rPr>
                <w:rFonts w:ascii="Arial Narrow" w:eastAsia="Times New Roman" w:hAnsi="Arial Narrow" w:cs="Arial"/>
                <w:sz w:val="18"/>
                <w:szCs w:val="18"/>
                <w:lang w:eastAsia="cs-CZ"/>
              </w:rPr>
            </w:pPr>
            <w:proofErr w:type="spellStart"/>
            <w:r w:rsidRPr="00CE357F">
              <w:rPr>
                <w:rFonts w:ascii="Arial Narrow" w:hAnsi="Arial Narrow"/>
                <w:sz w:val="18"/>
                <w:szCs w:val="18"/>
              </w:rPr>
              <w:t>Savrin</w:t>
            </w:r>
            <w:proofErr w:type="spellEnd"/>
            <w:r w:rsidRPr="00CE357F">
              <w:rPr>
                <w:rFonts w:ascii="Arial Narrow" w:hAnsi="Arial Narrow"/>
                <w:sz w:val="18"/>
                <w:szCs w:val="18"/>
              </w:rPr>
              <w:t xml:space="preserve"> s.r.o.</w:t>
            </w:r>
          </w:p>
        </w:tc>
        <w:tc>
          <w:tcPr>
            <w:tcW w:w="850" w:type="dxa"/>
            <w:vAlign w:val="center"/>
          </w:tcPr>
          <w:p w14:paraId="7C8EFFB6"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2014" w:type="dxa"/>
            <w:vAlign w:val="center"/>
          </w:tcPr>
          <w:p w14:paraId="14F4E67A"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1216" w:type="dxa"/>
            <w:vAlign w:val="center"/>
          </w:tcPr>
          <w:p w14:paraId="123A8574"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9</w:t>
            </w:r>
          </w:p>
        </w:tc>
        <w:tc>
          <w:tcPr>
            <w:tcW w:w="847" w:type="dxa"/>
            <w:vAlign w:val="center"/>
          </w:tcPr>
          <w:p w14:paraId="6A1E7048" w14:textId="77777777" w:rsidR="0055565E" w:rsidRPr="00CE357F" w:rsidRDefault="0055565E" w:rsidP="008E64A4">
            <w:pPr>
              <w:jc w:val="center"/>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9</w:t>
            </w:r>
          </w:p>
        </w:tc>
      </w:tr>
      <w:tr w:rsidR="0055565E" w:rsidRPr="00CE357F" w14:paraId="677C69C9" w14:textId="77777777" w:rsidTr="00BC6891">
        <w:trPr>
          <w:trHeight w:val="227"/>
        </w:trPr>
        <w:tc>
          <w:tcPr>
            <w:tcW w:w="1168" w:type="dxa"/>
            <w:shd w:val="clear" w:color="auto" w:fill="D9E2F3" w:themeFill="accent1" w:themeFillTint="33"/>
            <w:vAlign w:val="center"/>
          </w:tcPr>
          <w:p w14:paraId="50D320D3"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Kuřim</w:t>
            </w:r>
          </w:p>
        </w:tc>
        <w:tc>
          <w:tcPr>
            <w:tcW w:w="2977" w:type="dxa"/>
            <w:vAlign w:val="center"/>
          </w:tcPr>
          <w:p w14:paraId="4E9F16D8"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ELEKTROBOCK CZ s.r.o.</w:t>
            </w:r>
          </w:p>
        </w:tc>
        <w:tc>
          <w:tcPr>
            <w:tcW w:w="850" w:type="dxa"/>
            <w:vAlign w:val="center"/>
          </w:tcPr>
          <w:p w14:paraId="483C2E4A"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2014" w:type="dxa"/>
            <w:vAlign w:val="center"/>
          </w:tcPr>
          <w:p w14:paraId="47C8B435"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1216" w:type="dxa"/>
            <w:vAlign w:val="center"/>
          </w:tcPr>
          <w:p w14:paraId="79B64199"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7</w:t>
            </w:r>
          </w:p>
        </w:tc>
        <w:tc>
          <w:tcPr>
            <w:tcW w:w="847" w:type="dxa"/>
            <w:vAlign w:val="center"/>
          </w:tcPr>
          <w:p w14:paraId="5FFF7D72" w14:textId="77777777" w:rsidR="0055565E" w:rsidRPr="00CE357F" w:rsidRDefault="0055565E" w:rsidP="008E64A4">
            <w:pPr>
              <w:jc w:val="center"/>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7</w:t>
            </w:r>
          </w:p>
        </w:tc>
      </w:tr>
      <w:tr w:rsidR="0055565E" w:rsidRPr="00CE357F" w14:paraId="5C3389BE" w14:textId="77777777" w:rsidTr="00BC6891">
        <w:trPr>
          <w:trHeight w:val="227"/>
        </w:trPr>
        <w:tc>
          <w:tcPr>
            <w:tcW w:w="1168" w:type="dxa"/>
            <w:shd w:val="clear" w:color="auto" w:fill="D9E2F3" w:themeFill="accent1" w:themeFillTint="33"/>
            <w:vAlign w:val="center"/>
          </w:tcPr>
          <w:p w14:paraId="2AF32906"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Jinačovice</w:t>
            </w:r>
          </w:p>
        </w:tc>
        <w:tc>
          <w:tcPr>
            <w:tcW w:w="2977" w:type="dxa"/>
            <w:vAlign w:val="center"/>
          </w:tcPr>
          <w:p w14:paraId="4D799F53"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ASPIRE SPORTS, s.r.o.</w:t>
            </w:r>
          </w:p>
        </w:tc>
        <w:tc>
          <w:tcPr>
            <w:tcW w:w="850" w:type="dxa"/>
            <w:vAlign w:val="center"/>
          </w:tcPr>
          <w:p w14:paraId="4DE20C51"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2014" w:type="dxa"/>
            <w:vAlign w:val="center"/>
          </w:tcPr>
          <w:p w14:paraId="73FF5F1B"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1216" w:type="dxa"/>
            <w:vAlign w:val="center"/>
          </w:tcPr>
          <w:p w14:paraId="26F08D4A"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7</w:t>
            </w:r>
          </w:p>
        </w:tc>
        <w:tc>
          <w:tcPr>
            <w:tcW w:w="847" w:type="dxa"/>
            <w:vAlign w:val="center"/>
          </w:tcPr>
          <w:p w14:paraId="75691ABC" w14:textId="77777777" w:rsidR="0055565E" w:rsidRPr="00CE357F" w:rsidRDefault="0055565E" w:rsidP="008E64A4">
            <w:pPr>
              <w:jc w:val="center"/>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7</w:t>
            </w:r>
          </w:p>
        </w:tc>
      </w:tr>
      <w:tr w:rsidR="0055565E" w:rsidRPr="00CE357F" w14:paraId="601F9234" w14:textId="77777777" w:rsidTr="00BC6891">
        <w:trPr>
          <w:trHeight w:val="227"/>
        </w:trPr>
        <w:tc>
          <w:tcPr>
            <w:tcW w:w="1168" w:type="dxa"/>
            <w:shd w:val="clear" w:color="auto" w:fill="D9E2F3" w:themeFill="accent1" w:themeFillTint="33"/>
            <w:vAlign w:val="center"/>
          </w:tcPr>
          <w:p w14:paraId="403829FF"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Kuřim</w:t>
            </w:r>
          </w:p>
        </w:tc>
        <w:tc>
          <w:tcPr>
            <w:tcW w:w="2977" w:type="dxa"/>
            <w:vAlign w:val="center"/>
          </w:tcPr>
          <w:p w14:paraId="45AFEBA9"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TOS KUŘIM - OS, a.s.</w:t>
            </w:r>
          </w:p>
        </w:tc>
        <w:tc>
          <w:tcPr>
            <w:tcW w:w="850" w:type="dxa"/>
            <w:vAlign w:val="center"/>
          </w:tcPr>
          <w:p w14:paraId="08F08BF0"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4</w:t>
            </w:r>
          </w:p>
        </w:tc>
        <w:tc>
          <w:tcPr>
            <w:tcW w:w="2014" w:type="dxa"/>
            <w:vAlign w:val="center"/>
          </w:tcPr>
          <w:p w14:paraId="0F352BFD"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1216" w:type="dxa"/>
            <w:vAlign w:val="center"/>
          </w:tcPr>
          <w:p w14:paraId="05E54C6D"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2</w:t>
            </w:r>
          </w:p>
        </w:tc>
        <w:tc>
          <w:tcPr>
            <w:tcW w:w="847" w:type="dxa"/>
            <w:vAlign w:val="center"/>
          </w:tcPr>
          <w:p w14:paraId="48B197F6" w14:textId="77777777" w:rsidR="0055565E" w:rsidRPr="00CE357F" w:rsidRDefault="0055565E" w:rsidP="008E64A4">
            <w:pPr>
              <w:jc w:val="center"/>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6</w:t>
            </w:r>
          </w:p>
        </w:tc>
      </w:tr>
      <w:tr w:rsidR="0055565E" w:rsidRPr="00CE357F" w14:paraId="122586C2" w14:textId="77777777" w:rsidTr="00BC6891">
        <w:trPr>
          <w:trHeight w:val="227"/>
        </w:trPr>
        <w:tc>
          <w:tcPr>
            <w:tcW w:w="1168" w:type="dxa"/>
            <w:shd w:val="clear" w:color="auto" w:fill="D9E2F3" w:themeFill="accent1" w:themeFillTint="33"/>
            <w:vAlign w:val="center"/>
          </w:tcPr>
          <w:p w14:paraId="3638CCED" w14:textId="77777777" w:rsidR="0055565E" w:rsidRPr="00CE357F" w:rsidRDefault="0055565E" w:rsidP="008E64A4">
            <w:pPr>
              <w:jc w:val="center"/>
              <w:rPr>
                <w:rFonts w:ascii="Arial Narrow" w:eastAsia="Times New Roman" w:hAnsi="Arial Narrow" w:cs="Arial"/>
                <w:b/>
                <w:bCs/>
                <w:sz w:val="18"/>
                <w:szCs w:val="18"/>
                <w:lang w:eastAsia="cs-CZ"/>
              </w:rPr>
            </w:pPr>
            <w:r w:rsidRPr="00CE357F">
              <w:rPr>
                <w:rFonts w:ascii="Arial Narrow" w:hAnsi="Arial Narrow"/>
                <w:sz w:val="18"/>
                <w:szCs w:val="18"/>
              </w:rPr>
              <w:t>Kuřim</w:t>
            </w:r>
          </w:p>
        </w:tc>
        <w:tc>
          <w:tcPr>
            <w:tcW w:w="2977" w:type="dxa"/>
            <w:vAlign w:val="center"/>
          </w:tcPr>
          <w:p w14:paraId="3C1A797D" w14:textId="77777777" w:rsidR="0055565E" w:rsidRPr="00CE357F" w:rsidRDefault="0055565E" w:rsidP="008E64A4">
            <w:pPr>
              <w:jc w:val="center"/>
              <w:rPr>
                <w:rFonts w:ascii="Arial Narrow" w:eastAsia="Times New Roman" w:hAnsi="Arial Narrow" w:cs="Arial"/>
                <w:sz w:val="18"/>
                <w:szCs w:val="18"/>
                <w:lang w:eastAsia="cs-CZ"/>
              </w:rPr>
            </w:pPr>
            <w:proofErr w:type="spellStart"/>
            <w:r w:rsidRPr="00CE357F">
              <w:rPr>
                <w:rFonts w:ascii="Arial Narrow" w:hAnsi="Arial Narrow"/>
                <w:sz w:val="18"/>
                <w:szCs w:val="18"/>
              </w:rPr>
              <w:t>Mechatronic</w:t>
            </w:r>
            <w:proofErr w:type="spellEnd"/>
            <w:r w:rsidRPr="00CE357F">
              <w:rPr>
                <w:rFonts w:ascii="Arial Narrow" w:hAnsi="Arial Narrow"/>
                <w:sz w:val="18"/>
                <w:szCs w:val="18"/>
              </w:rPr>
              <w:t xml:space="preserve"> Design &amp; </w:t>
            </w:r>
            <w:proofErr w:type="spellStart"/>
            <w:r w:rsidRPr="00CE357F">
              <w:rPr>
                <w:rFonts w:ascii="Arial Narrow" w:hAnsi="Arial Narrow"/>
                <w:sz w:val="18"/>
                <w:szCs w:val="18"/>
              </w:rPr>
              <w:t>Solutions</w:t>
            </w:r>
            <w:proofErr w:type="spellEnd"/>
            <w:r w:rsidRPr="00CE357F">
              <w:rPr>
                <w:rFonts w:ascii="Arial Narrow" w:hAnsi="Arial Narrow"/>
                <w:sz w:val="18"/>
                <w:szCs w:val="18"/>
              </w:rPr>
              <w:t xml:space="preserve"> </w:t>
            </w:r>
            <w:proofErr w:type="spellStart"/>
            <w:r w:rsidRPr="00CE357F">
              <w:rPr>
                <w:rFonts w:ascii="Arial Narrow" w:hAnsi="Arial Narrow"/>
                <w:sz w:val="18"/>
                <w:szCs w:val="18"/>
              </w:rPr>
              <w:t>s.r.o</w:t>
            </w:r>
            <w:proofErr w:type="spellEnd"/>
          </w:p>
        </w:tc>
        <w:tc>
          <w:tcPr>
            <w:tcW w:w="850" w:type="dxa"/>
            <w:vAlign w:val="center"/>
          </w:tcPr>
          <w:p w14:paraId="5EB37EA2"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6</w:t>
            </w:r>
          </w:p>
        </w:tc>
        <w:tc>
          <w:tcPr>
            <w:tcW w:w="2014" w:type="dxa"/>
            <w:vAlign w:val="center"/>
          </w:tcPr>
          <w:p w14:paraId="270DFEF8"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1216" w:type="dxa"/>
            <w:vAlign w:val="center"/>
          </w:tcPr>
          <w:p w14:paraId="5EFB3C12"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sz w:val="18"/>
                <w:szCs w:val="18"/>
              </w:rPr>
              <w:t>0</w:t>
            </w:r>
          </w:p>
        </w:tc>
        <w:tc>
          <w:tcPr>
            <w:tcW w:w="847" w:type="dxa"/>
            <w:vAlign w:val="center"/>
          </w:tcPr>
          <w:p w14:paraId="673C5F6B" w14:textId="77777777" w:rsidR="0055565E" w:rsidRPr="00CE357F" w:rsidRDefault="0055565E" w:rsidP="008E64A4">
            <w:pPr>
              <w:jc w:val="center"/>
              <w:rPr>
                <w:rFonts w:ascii="Arial Narrow" w:eastAsia="Times New Roman" w:hAnsi="Arial Narrow" w:cs="Arial"/>
                <w:b/>
                <w:color w:val="C00000"/>
                <w:sz w:val="18"/>
                <w:szCs w:val="18"/>
                <w:lang w:eastAsia="cs-CZ"/>
              </w:rPr>
            </w:pPr>
            <w:r w:rsidRPr="00CE357F">
              <w:rPr>
                <w:rFonts w:ascii="Arial Narrow" w:hAnsi="Arial Narrow"/>
                <w:b/>
                <w:color w:val="C00000"/>
                <w:sz w:val="18"/>
                <w:szCs w:val="18"/>
              </w:rPr>
              <w:t>6</w:t>
            </w:r>
          </w:p>
        </w:tc>
      </w:tr>
      <w:tr w:rsidR="0055565E" w:rsidRPr="00CE357F" w14:paraId="3065926D" w14:textId="77777777" w:rsidTr="00BC6891">
        <w:trPr>
          <w:trHeight w:val="227"/>
        </w:trPr>
        <w:tc>
          <w:tcPr>
            <w:tcW w:w="1168" w:type="dxa"/>
            <w:shd w:val="clear" w:color="auto" w:fill="D9E2F3" w:themeFill="accent1" w:themeFillTint="33"/>
            <w:vAlign w:val="center"/>
          </w:tcPr>
          <w:p w14:paraId="44AF6FC2" w14:textId="77777777" w:rsidR="0055565E" w:rsidRPr="00CE357F" w:rsidRDefault="0055565E" w:rsidP="008E64A4">
            <w:pPr>
              <w:jc w:val="center"/>
              <w:rPr>
                <w:rFonts w:ascii="Arial Narrow" w:eastAsia="Times New Roman" w:hAnsi="Arial Narrow" w:cs="Arial"/>
                <w:b/>
                <w:bCs/>
                <w:sz w:val="18"/>
                <w:szCs w:val="18"/>
                <w:lang w:eastAsia="cs-CZ"/>
              </w:rPr>
            </w:pPr>
          </w:p>
        </w:tc>
        <w:tc>
          <w:tcPr>
            <w:tcW w:w="2977" w:type="dxa"/>
            <w:vAlign w:val="center"/>
          </w:tcPr>
          <w:p w14:paraId="195F308F" w14:textId="77777777" w:rsidR="0055565E" w:rsidRPr="00CE357F" w:rsidRDefault="0055565E" w:rsidP="008E64A4">
            <w:pPr>
              <w:jc w:val="center"/>
              <w:rPr>
                <w:rFonts w:ascii="Arial Narrow" w:eastAsia="Times New Roman" w:hAnsi="Arial Narrow" w:cs="Arial"/>
                <w:sz w:val="18"/>
                <w:szCs w:val="18"/>
                <w:lang w:eastAsia="cs-CZ"/>
              </w:rPr>
            </w:pPr>
            <w:r w:rsidRPr="00CE357F">
              <w:rPr>
                <w:rFonts w:ascii="Arial Narrow" w:hAnsi="Arial Narrow"/>
                <w:color w:val="000000"/>
                <w:sz w:val="18"/>
                <w:szCs w:val="18"/>
              </w:rPr>
              <w:t>Ostatní zaměstnavatelé s méně než 10 zaměstnanci s jinou než českou státní příslušností</w:t>
            </w:r>
          </w:p>
        </w:tc>
        <w:tc>
          <w:tcPr>
            <w:tcW w:w="850" w:type="dxa"/>
            <w:vAlign w:val="center"/>
          </w:tcPr>
          <w:p w14:paraId="73D69192" w14:textId="77777777" w:rsidR="0055565E" w:rsidRPr="00CE357F" w:rsidRDefault="0055565E" w:rsidP="008E64A4">
            <w:pPr>
              <w:jc w:val="center"/>
              <w:rPr>
                <w:rFonts w:ascii="Arial Narrow" w:hAnsi="Arial Narrow" w:cs="Arial"/>
                <w:sz w:val="18"/>
                <w:szCs w:val="18"/>
              </w:rPr>
            </w:pPr>
            <w:r w:rsidRPr="00CE357F">
              <w:rPr>
                <w:rFonts w:ascii="Arial Narrow" w:hAnsi="Arial Narrow" w:cs="Arial"/>
                <w:sz w:val="18"/>
                <w:szCs w:val="18"/>
              </w:rPr>
              <w:t>20</w:t>
            </w:r>
          </w:p>
        </w:tc>
        <w:tc>
          <w:tcPr>
            <w:tcW w:w="2014" w:type="dxa"/>
            <w:vAlign w:val="center"/>
          </w:tcPr>
          <w:p w14:paraId="099B9404" w14:textId="77777777" w:rsidR="0055565E" w:rsidRPr="00CE357F" w:rsidRDefault="0055565E" w:rsidP="008E64A4">
            <w:pPr>
              <w:jc w:val="center"/>
              <w:rPr>
                <w:rFonts w:ascii="Arial Narrow" w:hAnsi="Arial Narrow" w:cs="Arial"/>
                <w:sz w:val="18"/>
                <w:szCs w:val="18"/>
              </w:rPr>
            </w:pPr>
            <w:r w:rsidRPr="00CE357F">
              <w:rPr>
                <w:rFonts w:ascii="Arial Narrow" w:hAnsi="Arial Narrow" w:cs="Arial"/>
                <w:sz w:val="18"/>
                <w:szCs w:val="18"/>
              </w:rPr>
              <w:t>5</w:t>
            </w:r>
          </w:p>
        </w:tc>
        <w:tc>
          <w:tcPr>
            <w:tcW w:w="1216" w:type="dxa"/>
            <w:vAlign w:val="center"/>
          </w:tcPr>
          <w:p w14:paraId="308A083D" w14:textId="77777777" w:rsidR="0055565E" w:rsidRPr="00CE357F" w:rsidRDefault="0055565E" w:rsidP="008E64A4">
            <w:pPr>
              <w:jc w:val="center"/>
              <w:rPr>
                <w:rFonts w:ascii="Arial Narrow" w:hAnsi="Arial Narrow" w:cs="Arial"/>
                <w:sz w:val="18"/>
                <w:szCs w:val="18"/>
              </w:rPr>
            </w:pPr>
            <w:r w:rsidRPr="00CE357F">
              <w:rPr>
                <w:rFonts w:ascii="Arial Narrow" w:hAnsi="Arial Narrow" w:cs="Arial"/>
                <w:sz w:val="18"/>
                <w:szCs w:val="18"/>
              </w:rPr>
              <w:t>8</w:t>
            </w:r>
          </w:p>
        </w:tc>
        <w:tc>
          <w:tcPr>
            <w:tcW w:w="847" w:type="dxa"/>
            <w:vAlign w:val="center"/>
          </w:tcPr>
          <w:p w14:paraId="3A6ADB23" w14:textId="77777777" w:rsidR="0055565E" w:rsidRPr="00CE357F" w:rsidRDefault="0055565E" w:rsidP="008E64A4">
            <w:pPr>
              <w:jc w:val="center"/>
              <w:rPr>
                <w:rFonts w:ascii="Arial Narrow" w:hAnsi="Arial Narrow" w:cs="Arial"/>
                <w:b/>
                <w:color w:val="C00000"/>
                <w:sz w:val="18"/>
                <w:szCs w:val="18"/>
              </w:rPr>
            </w:pPr>
            <w:r w:rsidRPr="00CE357F">
              <w:rPr>
                <w:rFonts w:ascii="Arial Narrow" w:hAnsi="Arial Narrow" w:cs="Arial"/>
                <w:b/>
                <w:color w:val="C00000"/>
                <w:sz w:val="18"/>
                <w:szCs w:val="18"/>
              </w:rPr>
              <w:t>33</w:t>
            </w:r>
          </w:p>
        </w:tc>
      </w:tr>
      <w:tr w:rsidR="0055565E" w:rsidRPr="00CE357F" w14:paraId="06B741BF" w14:textId="77777777" w:rsidTr="00BC6891">
        <w:trPr>
          <w:trHeight w:val="272"/>
        </w:trPr>
        <w:tc>
          <w:tcPr>
            <w:tcW w:w="1168" w:type="dxa"/>
            <w:shd w:val="clear" w:color="auto" w:fill="D9E2F3" w:themeFill="accent1" w:themeFillTint="33"/>
            <w:vAlign w:val="center"/>
          </w:tcPr>
          <w:p w14:paraId="43AF28BA" w14:textId="77777777" w:rsidR="0055565E" w:rsidRPr="00CE357F" w:rsidRDefault="0055565E" w:rsidP="008E64A4">
            <w:pPr>
              <w:jc w:val="center"/>
              <w:rPr>
                <w:rFonts w:ascii="Arial Narrow" w:hAnsi="Arial Narrow"/>
                <w:b/>
                <w:bCs/>
                <w:sz w:val="18"/>
                <w:szCs w:val="18"/>
              </w:rPr>
            </w:pPr>
            <w:r w:rsidRPr="00CE357F">
              <w:rPr>
                <w:rFonts w:ascii="Arial Narrow" w:hAnsi="Arial Narrow"/>
                <w:sz w:val="18"/>
                <w:szCs w:val="18"/>
              </w:rPr>
              <w:t>ORP CELKEM</w:t>
            </w:r>
          </w:p>
        </w:tc>
        <w:tc>
          <w:tcPr>
            <w:tcW w:w="2977" w:type="dxa"/>
            <w:shd w:val="clear" w:color="auto" w:fill="D9E2F3" w:themeFill="accent1" w:themeFillTint="33"/>
            <w:vAlign w:val="center"/>
          </w:tcPr>
          <w:p w14:paraId="31BA4C33" w14:textId="77777777" w:rsidR="0055565E" w:rsidRPr="00CE357F" w:rsidRDefault="0055565E" w:rsidP="008E64A4">
            <w:pPr>
              <w:jc w:val="center"/>
              <w:rPr>
                <w:rFonts w:ascii="Arial Narrow" w:hAnsi="Arial Narrow"/>
                <w:b/>
                <w:bCs/>
                <w:sz w:val="18"/>
                <w:szCs w:val="18"/>
              </w:rPr>
            </w:pPr>
          </w:p>
        </w:tc>
        <w:tc>
          <w:tcPr>
            <w:tcW w:w="850" w:type="dxa"/>
            <w:shd w:val="clear" w:color="auto" w:fill="D9E2F3" w:themeFill="accent1" w:themeFillTint="33"/>
            <w:vAlign w:val="center"/>
          </w:tcPr>
          <w:p w14:paraId="530A1831" w14:textId="77777777" w:rsidR="0055565E" w:rsidRPr="00CE357F" w:rsidRDefault="0055565E" w:rsidP="008E64A4">
            <w:pPr>
              <w:jc w:val="center"/>
              <w:rPr>
                <w:rFonts w:ascii="Arial Narrow" w:hAnsi="Arial Narrow"/>
                <w:b/>
                <w:bCs/>
                <w:sz w:val="18"/>
                <w:szCs w:val="18"/>
              </w:rPr>
            </w:pPr>
            <w:r w:rsidRPr="00CE357F">
              <w:rPr>
                <w:rFonts w:ascii="Arial Narrow" w:hAnsi="Arial Narrow"/>
                <w:b/>
                <w:bCs/>
                <w:sz w:val="18"/>
                <w:szCs w:val="18"/>
              </w:rPr>
              <w:t>110</w:t>
            </w:r>
          </w:p>
        </w:tc>
        <w:tc>
          <w:tcPr>
            <w:tcW w:w="2014" w:type="dxa"/>
            <w:shd w:val="clear" w:color="auto" w:fill="D9E2F3" w:themeFill="accent1" w:themeFillTint="33"/>
            <w:vAlign w:val="center"/>
          </w:tcPr>
          <w:p w14:paraId="454EFD92" w14:textId="77777777" w:rsidR="0055565E" w:rsidRPr="00CE357F" w:rsidRDefault="0055565E" w:rsidP="008E64A4">
            <w:pPr>
              <w:jc w:val="center"/>
              <w:rPr>
                <w:rFonts w:ascii="Arial Narrow" w:hAnsi="Arial Narrow"/>
                <w:b/>
                <w:bCs/>
                <w:sz w:val="18"/>
                <w:szCs w:val="18"/>
              </w:rPr>
            </w:pPr>
            <w:r w:rsidRPr="00CE357F">
              <w:rPr>
                <w:rFonts w:ascii="Arial Narrow" w:hAnsi="Arial Narrow"/>
                <w:b/>
                <w:bCs/>
                <w:sz w:val="18"/>
                <w:szCs w:val="18"/>
              </w:rPr>
              <w:t>37</w:t>
            </w:r>
          </w:p>
        </w:tc>
        <w:tc>
          <w:tcPr>
            <w:tcW w:w="1216" w:type="dxa"/>
            <w:shd w:val="clear" w:color="auto" w:fill="D9E2F3" w:themeFill="accent1" w:themeFillTint="33"/>
            <w:vAlign w:val="center"/>
          </w:tcPr>
          <w:p w14:paraId="0262A7DA" w14:textId="77777777" w:rsidR="0055565E" w:rsidRPr="00CE357F" w:rsidRDefault="0055565E" w:rsidP="008E64A4">
            <w:pPr>
              <w:jc w:val="center"/>
              <w:rPr>
                <w:rFonts w:ascii="Arial Narrow" w:hAnsi="Arial Narrow"/>
                <w:b/>
                <w:bCs/>
                <w:sz w:val="18"/>
                <w:szCs w:val="18"/>
              </w:rPr>
            </w:pPr>
            <w:r w:rsidRPr="00CE357F">
              <w:rPr>
                <w:rFonts w:ascii="Arial Narrow" w:hAnsi="Arial Narrow"/>
                <w:b/>
                <w:bCs/>
                <w:sz w:val="18"/>
                <w:szCs w:val="18"/>
              </w:rPr>
              <w:t>213</w:t>
            </w:r>
          </w:p>
        </w:tc>
        <w:tc>
          <w:tcPr>
            <w:tcW w:w="847" w:type="dxa"/>
            <w:shd w:val="clear" w:color="auto" w:fill="D9E2F3" w:themeFill="accent1" w:themeFillTint="33"/>
            <w:vAlign w:val="center"/>
          </w:tcPr>
          <w:p w14:paraId="1DCE198F" w14:textId="77777777" w:rsidR="0055565E" w:rsidRPr="00CE357F" w:rsidRDefault="0055565E" w:rsidP="008E64A4">
            <w:pPr>
              <w:jc w:val="center"/>
              <w:rPr>
                <w:rFonts w:ascii="Arial Narrow" w:hAnsi="Arial Narrow"/>
                <w:b/>
                <w:bCs/>
                <w:sz w:val="18"/>
                <w:szCs w:val="18"/>
              </w:rPr>
            </w:pPr>
            <w:r w:rsidRPr="00CE357F">
              <w:rPr>
                <w:rFonts w:ascii="Arial Narrow" w:hAnsi="Arial Narrow"/>
                <w:b/>
                <w:bCs/>
                <w:sz w:val="18"/>
                <w:szCs w:val="18"/>
              </w:rPr>
              <w:t>360</w:t>
            </w:r>
          </w:p>
        </w:tc>
      </w:tr>
    </w:tbl>
    <w:p w14:paraId="3F61E8BF" w14:textId="77777777" w:rsidR="0055565E" w:rsidRPr="00CE357F" w:rsidRDefault="0055565E" w:rsidP="0055565E">
      <w:pPr>
        <w:spacing w:after="240" w:line="276" w:lineRule="auto"/>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4291BEC8" w14:textId="5DC72396" w:rsidR="0055565E" w:rsidRPr="00CE357F" w:rsidRDefault="008E64A4" w:rsidP="0055565E">
      <w:pPr>
        <w:spacing w:before="240" w:after="240" w:line="276" w:lineRule="auto"/>
        <w:jc w:val="both"/>
        <w:rPr>
          <w:rFonts w:ascii="Arial Narrow" w:hAnsi="Arial Narrow"/>
          <w:b/>
          <w:bCs/>
          <w:color w:val="C00000"/>
          <w:sz w:val="28"/>
        </w:rPr>
      </w:pPr>
      <w:r w:rsidRPr="00CE357F">
        <w:rPr>
          <w:rFonts w:ascii="Arial Narrow" w:hAnsi="Arial Narrow"/>
          <w:color w:val="C00000"/>
        </w:rPr>
        <w:br/>
      </w:r>
      <w:r w:rsidR="0055565E" w:rsidRPr="00CE357F">
        <w:rPr>
          <w:rFonts w:ascii="Arial Narrow" w:hAnsi="Arial Narrow"/>
          <w:b/>
          <w:bCs/>
          <w:color w:val="C00000"/>
          <w:szCs w:val="18"/>
        </w:rPr>
        <w:t xml:space="preserve">Zaměstnané </w:t>
      </w:r>
      <w:r w:rsidR="0055565E" w:rsidRPr="00CE357F">
        <w:rPr>
          <w:rFonts w:ascii="Arial Narrow" w:eastAsia="Times New Roman" w:hAnsi="Arial Narrow" w:cs="Arial"/>
          <w:b/>
          <w:bCs/>
          <w:color w:val="C00000"/>
          <w:szCs w:val="18"/>
          <w:lang w:eastAsia="cs-CZ"/>
        </w:rPr>
        <w:t>osoby s jinou než českou státní příslušností v ORP Kuřim podle klasifikace ekonomické činnosti</w:t>
      </w:r>
    </w:p>
    <w:p w14:paraId="733B2111" w14:textId="5F14E8DA" w:rsidR="0055565E" w:rsidRPr="00CE357F" w:rsidRDefault="0055565E" w:rsidP="008E64A4">
      <w:pPr>
        <w:spacing w:after="120" w:line="276" w:lineRule="auto"/>
        <w:jc w:val="both"/>
        <w:rPr>
          <w:rFonts w:ascii="Arial Narrow" w:hAnsi="Arial Narrow"/>
        </w:rPr>
      </w:pPr>
      <w:r w:rsidRPr="00CE357F">
        <w:rPr>
          <w:rFonts w:ascii="Arial Narrow" w:hAnsi="Arial Narrow"/>
        </w:rPr>
        <w:t>Dle klasifikace ekonomických činností CZ-NACE</w:t>
      </w:r>
      <w:r w:rsidRPr="00CE357F">
        <w:rPr>
          <w:rStyle w:val="Znakapoznpodarou"/>
          <w:rFonts w:ascii="Arial Narrow" w:hAnsi="Arial Narrow"/>
        </w:rPr>
        <w:footnoteReference w:id="93"/>
      </w:r>
      <w:r w:rsidRPr="00CE357F">
        <w:rPr>
          <w:rFonts w:ascii="Arial Narrow" w:hAnsi="Arial Narrow"/>
        </w:rPr>
        <w:t xml:space="preserve">  bylo nejvíce zaměstnaných osob s jinou než českou státní příslušností v ORP Kuřim k datu 31. 12. 2020 zaměstnáno ve zpracovatelském průmyslu (76,7 %). Druhou oblastí, ve které bylo zaměstnáno nejvíce osob s jinou než českou státní příslušností, bylo ubytování, stravování a pohostinství (10,0 %). Významnější počet osob s jinou než českou státní příslušností byl zaměstnán také v oblasti stavebnictví (7,2 %) a v oblasti velkoobchodu a maloobchodu, oprav a údržby motorových vozidel (4,7 %)</w:t>
      </w:r>
      <w:r w:rsidR="00E32FA2">
        <w:rPr>
          <w:rFonts w:ascii="Arial Narrow" w:hAnsi="Arial Narrow"/>
        </w:rPr>
        <w:t xml:space="preserve"> </w:t>
      </w:r>
      <w:r w:rsidRPr="00CE357F">
        <w:rPr>
          <w:rFonts w:ascii="Arial Narrow" w:hAnsi="Arial Narrow"/>
        </w:rPr>
        <w:t>Zaměstnané osoby s jinou než českou státní příslušností v ORP Kuřim k 31. 12. 2020 podle klasifikace ekonomických činností CZ-NACE podrobně dokumentuje tabulka</w:t>
      </w:r>
      <w:r w:rsidR="00E32FA2">
        <w:rPr>
          <w:rFonts w:ascii="Arial Narrow" w:hAnsi="Arial Narrow"/>
        </w:rPr>
        <w:t xml:space="preserve"> č. 55</w:t>
      </w:r>
      <w:r w:rsidRPr="00CE357F">
        <w:rPr>
          <w:rFonts w:ascii="Arial Narrow" w:hAnsi="Arial Narrow"/>
        </w:rPr>
        <w:t xml:space="preserve">. </w:t>
      </w:r>
    </w:p>
    <w:p w14:paraId="7C64B63A" w14:textId="51ED9835" w:rsidR="0055565E" w:rsidRPr="00CE357F" w:rsidRDefault="0055565E" w:rsidP="0055565E">
      <w:pPr>
        <w:spacing w:line="276" w:lineRule="auto"/>
        <w:jc w:val="both"/>
        <w:rPr>
          <w:rFonts w:ascii="Arial Narrow" w:hAnsi="Arial Narrow"/>
          <w:b/>
          <w:bCs/>
          <w:sz w:val="24"/>
          <w:szCs w:val="24"/>
        </w:rPr>
      </w:pPr>
      <w:bookmarkStart w:id="765" w:name="_Toc136429266"/>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55</w:t>
      </w:r>
      <w:r w:rsidRPr="00CE357F">
        <w:rPr>
          <w:rFonts w:ascii="Arial Narrow" w:hAnsi="Arial Narrow"/>
          <w:b/>
          <w:bCs/>
          <w:sz w:val="20"/>
          <w:szCs w:val="20"/>
        </w:rPr>
        <w:fldChar w:fldCharType="end"/>
      </w:r>
      <w:r w:rsidRPr="00CE357F">
        <w:rPr>
          <w:rFonts w:ascii="Arial Narrow" w:hAnsi="Arial Narrow"/>
          <w:b/>
          <w:bCs/>
          <w:sz w:val="20"/>
          <w:szCs w:val="20"/>
        </w:rPr>
        <w:t xml:space="preserve">:  Zaměstnané </w:t>
      </w:r>
      <w:r w:rsidRPr="00CE357F">
        <w:rPr>
          <w:rFonts w:ascii="Arial Narrow" w:eastAsia="Times New Roman" w:hAnsi="Arial Narrow" w:cs="Arial"/>
          <w:b/>
          <w:bCs/>
          <w:sz w:val="20"/>
          <w:szCs w:val="20"/>
          <w:lang w:eastAsia="cs-CZ"/>
        </w:rPr>
        <w:t>osoby s jinou než českou státní příslušností v ORP Kuřim podle klasifikace ekonomické činnosti</w:t>
      </w:r>
      <w:bookmarkEnd w:id="765"/>
    </w:p>
    <w:tbl>
      <w:tblPr>
        <w:tblW w:w="9008"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5969"/>
        <w:gridCol w:w="3039"/>
      </w:tblGrid>
      <w:tr w:rsidR="0055565E" w:rsidRPr="00CE357F" w14:paraId="65561A9F" w14:textId="77777777" w:rsidTr="0055565E">
        <w:trPr>
          <w:trHeight w:val="509"/>
          <w:jc w:val="center"/>
        </w:trPr>
        <w:tc>
          <w:tcPr>
            <w:tcW w:w="5969" w:type="dxa"/>
            <w:vMerge w:val="restart"/>
            <w:shd w:val="clear" w:color="auto" w:fill="D9E2F3" w:themeFill="accent1" w:themeFillTint="33"/>
            <w:vAlign w:val="center"/>
            <w:hideMark/>
          </w:tcPr>
          <w:p w14:paraId="3EAFC1B6" w14:textId="77777777" w:rsidR="0055565E" w:rsidRPr="00CE357F" w:rsidRDefault="0055565E" w:rsidP="0055565E">
            <w:pPr>
              <w:jc w:val="center"/>
              <w:rPr>
                <w:rFonts w:ascii="Arial Narrow" w:eastAsia="Times New Roman" w:hAnsi="Arial Narrow" w:cs="Arial"/>
                <w:b/>
                <w:sz w:val="18"/>
                <w:szCs w:val="18"/>
                <w:lang w:eastAsia="cs-CZ"/>
              </w:rPr>
            </w:pPr>
            <w:r w:rsidRPr="00CE357F">
              <w:rPr>
                <w:rFonts w:ascii="Arial Narrow" w:eastAsia="Times New Roman" w:hAnsi="Arial Narrow" w:cs="Arial"/>
                <w:b/>
                <w:sz w:val="18"/>
                <w:szCs w:val="18"/>
                <w:lang w:eastAsia="cs-CZ"/>
              </w:rPr>
              <w:t>Klasifikace ekonomické činnosti</w:t>
            </w:r>
          </w:p>
        </w:tc>
        <w:tc>
          <w:tcPr>
            <w:tcW w:w="3039" w:type="dxa"/>
            <w:vMerge w:val="restart"/>
            <w:shd w:val="clear" w:color="auto" w:fill="D9E2F3" w:themeFill="accent1" w:themeFillTint="33"/>
            <w:vAlign w:val="center"/>
            <w:hideMark/>
          </w:tcPr>
          <w:p w14:paraId="77A73982" w14:textId="77777777" w:rsidR="0055565E" w:rsidRPr="00CE357F" w:rsidRDefault="0055565E" w:rsidP="0055565E">
            <w:pPr>
              <w:jc w:val="center"/>
              <w:rPr>
                <w:rFonts w:ascii="Arial Narrow" w:eastAsia="Times New Roman" w:hAnsi="Arial Narrow" w:cs="Arial"/>
                <w:bCs/>
                <w:sz w:val="18"/>
                <w:szCs w:val="18"/>
                <w:lang w:eastAsia="cs-CZ"/>
              </w:rPr>
            </w:pPr>
            <w:r w:rsidRPr="00CE357F">
              <w:rPr>
                <w:rFonts w:ascii="Arial Narrow" w:eastAsia="Times New Roman" w:hAnsi="Arial Narrow" w:cs="Arial"/>
                <w:b/>
                <w:bCs/>
                <w:sz w:val="18"/>
                <w:szCs w:val="18"/>
                <w:lang w:eastAsia="cs-CZ"/>
              </w:rPr>
              <w:t>Počet osob s jinou než českou státní příslušností pracujících v daném oboru</w:t>
            </w:r>
          </w:p>
        </w:tc>
      </w:tr>
      <w:tr w:rsidR="0055565E" w:rsidRPr="00CE357F" w14:paraId="799CF2BE" w14:textId="77777777" w:rsidTr="001828B7">
        <w:trPr>
          <w:trHeight w:val="450"/>
          <w:jc w:val="center"/>
        </w:trPr>
        <w:tc>
          <w:tcPr>
            <w:tcW w:w="5969" w:type="dxa"/>
            <w:vMerge/>
            <w:shd w:val="clear" w:color="auto" w:fill="D9E2F3" w:themeFill="accent1" w:themeFillTint="33"/>
            <w:hideMark/>
          </w:tcPr>
          <w:p w14:paraId="33484345" w14:textId="77777777" w:rsidR="0055565E" w:rsidRPr="00CE357F" w:rsidRDefault="0055565E" w:rsidP="0055565E">
            <w:pPr>
              <w:jc w:val="center"/>
              <w:rPr>
                <w:rFonts w:ascii="Arial Narrow" w:eastAsia="Times New Roman" w:hAnsi="Arial Narrow" w:cs="Arial"/>
                <w:b/>
                <w:bCs/>
                <w:sz w:val="18"/>
                <w:szCs w:val="18"/>
                <w:lang w:eastAsia="cs-CZ"/>
              </w:rPr>
            </w:pPr>
          </w:p>
        </w:tc>
        <w:tc>
          <w:tcPr>
            <w:tcW w:w="3039" w:type="dxa"/>
            <w:vMerge/>
            <w:shd w:val="clear" w:color="auto" w:fill="D9E2F3" w:themeFill="accent1" w:themeFillTint="33"/>
            <w:hideMark/>
          </w:tcPr>
          <w:p w14:paraId="76496B0E" w14:textId="77777777" w:rsidR="0055565E" w:rsidRPr="00CE357F" w:rsidRDefault="0055565E" w:rsidP="0055565E">
            <w:pPr>
              <w:jc w:val="center"/>
              <w:rPr>
                <w:rFonts w:ascii="Arial Narrow" w:eastAsia="Times New Roman" w:hAnsi="Arial Narrow" w:cs="Arial"/>
                <w:b/>
                <w:bCs/>
                <w:sz w:val="18"/>
                <w:szCs w:val="18"/>
                <w:lang w:eastAsia="cs-CZ"/>
              </w:rPr>
            </w:pPr>
          </w:p>
        </w:tc>
      </w:tr>
      <w:tr w:rsidR="0055565E" w:rsidRPr="00CE357F" w14:paraId="6F6FFFCD" w14:textId="77777777" w:rsidTr="0055565E">
        <w:trPr>
          <w:trHeight w:val="227"/>
          <w:jc w:val="center"/>
        </w:trPr>
        <w:tc>
          <w:tcPr>
            <w:tcW w:w="5969" w:type="dxa"/>
            <w:shd w:val="clear" w:color="auto" w:fill="D9E2F3" w:themeFill="accent1" w:themeFillTint="33"/>
          </w:tcPr>
          <w:p w14:paraId="15194A34"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A – Zemědělství, lesnictví, rybářství</w:t>
            </w:r>
          </w:p>
        </w:tc>
        <w:tc>
          <w:tcPr>
            <w:tcW w:w="3039" w:type="dxa"/>
          </w:tcPr>
          <w:p w14:paraId="06406504"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475FD630" w14:textId="77777777" w:rsidTr="0055565E">
        <w:trPr>
          <w:trHeight w:val="227"/>
          <w:jc w:val="center"/>
        </w:trPr>
        <w:tc>
          <w:tcPr>
            <w:tcW w:w="5969" w:type="dxa"/>
            <w:shd w:val="clear" w:color="auto" w:fill="D9E2F3" w:themeFill="accent1" w:themeFillTint="33"/>
          </w:tcPr>
          <w:p w14:paraId="36B541E7"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B – Těžba a dobývání</w:t>
            </w:r>
          </w:p>
        </w:tc>
        <w:tc>
          <w:tcPr>
            <w:tcW w:w="3039" w:type="dxa"/>
          </w:tcPr>
          <w:p w14:paraId="62ADFA15"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2C61CFB8" w14:textId="77777777" w:rsidTr="0055565E">
        <w:trPr>
          <w:trHeight w:val="227"/>
          <w:jc w:val="center"/>
        </w:trPr>
        <w:tc>
          <w:tcPr>
            <w:tcW w:w="5969" w:type="dxa"/>
            <w:shd w:val="clear" w:color="auto" w:fill="D9E2F3" w:themeFill="accent1" w:themeFillTint="33"/>
          </w:tcPr>
          <w:p w14:paraId="42A8D21E" w14:textId="77777777" w:rsidR="0055565E" w:rsidRPr="00CE357F" w:rsidRDefault="0055565E" w:rsidP="0055565E">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lastRenderedPageBreak/>
              <w:t>C – Zpracovatelský průmysl</w:t>
            </w:r>
          </w:p>
        </w:tc>
        <w:tc>
          <w:tcPr>
            <w:tcW w:w="3039" w:type="dxa"/>
          </w:tcPr>
          <w:p w14:paraId="6191AB34" w14:textId="77777777" w:rsidR="0055565E" w:rsidRPr="00CE357F" w:rsidRDefault="0055565E" w:rsidP="0055565E">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color w:val="C00000"/>
                <w:sz w:val="18"/>
                <w:szCs w:val="18"/>
                <w:lang w:eastAsia="cs-CZ"/>
              </w:rPr>
              <w:t>276</w:t>
            </w:r>
          </w:p>
        </w:tc>
      </w:tr>
      <w:tr w:rsidR="0055565E" w:rsidRPr="00CE357F" w14:paraId="3BD346B2" w14:textId="77777777" w:rsidTr="0055565E">
        <w:trPr>
          <w:trHeight w:val="227"/>
          <w:jc w:val="center"/>
        </w:trPr>
        <w:tc>
          <w:tcPr>
            <w:tcW w:w="5969" w:type="dxa"/>
            <w:shd w:val="clear" w:color="auto" w:fill="D9E2F3" w:themeFill="accent1" w:themeFillTint="33"/>
          </w:tcPr>
          <w:p w14:paraId="3F6A99EA"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D – Výroba a rozvod elektřiny, plynu, tepla a klimatizovaného vzduchu</w:t>
            </w:r>
          </w:p>
        </w:tc>
        <w:tc>
          <w:tcPr>
            <w:tcW w:w="3039" w:type="dxa"/>
          </w:tcPr>
          <w:p w14:paraId="779F7833"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11862E39" w14:textId="77777777" w:rsidTr="0055565E">
        <w:trPr>
          <w:trHeight w:val="227"/>
          <w:jc w:val="center"/>
        </w:trPr>
        <w:tc>
          <w:tcPr>
            <w:tcW w:w="5969" w:type="dxa"/>
            <w:shd w:val="clear" w:color="auto" w:fill="D9E2F3" w:themeFill="accent1" w:themeFillTint="33"/>
          </w:tcPr>
          <w:p w14:paraId="334BF268"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E – Zásobování vodou; činnosti související s odpadními vodami, odpady a sanacemi</w:t>
            </w:r>
          </w:p>
        </w:tc>
        <w:tc>
          <w:tcPr>
            <w:tcW w:w="3039" w:type="dxa"/>
          </w:tcPr>
          <w:p w14:paraId="039F4E29"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27BABB0D" w14:textId="77777777" w:rsidTr="0055565E">
        <w:trPr>
          <w:trHeight w:val="227"/>
          <w:jc w:val="center"/>
        </w:trPr>
        <w:tc>
          <w:tcPr>
            <w:tcW w:w="5969" w:type="dxa"/>
            <w:shd w:val="clear" w:color="auto" w:fill="D9E2F3" w:themeFill="accent1" w:themeFillTint="33"/>
          </w:tcPr>
          <w:p w14:paraId="63A80471" w14:textId="77777777" w:rsidR="0055565E" w:rsidRPr="00CE357F" w:rsidRDefault="0055565E" w:rsidP="0055565E">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F – Stavebnictví</w:t>
            </w:r>
          </w:p>
        </w:tc>
        <w:tc>
          <w:tcPr>
            <w:tcW w:w="3039" w:type="dxa"/>
          </w:tcPr>
          <w:p w14:paraId="3FBF44AF" w14:textId="77777777" w:rsidR="0055565E" w:rsidRPr="00CE357F" w:rsidRDefault="0055565E" w:rsidP="0055565E">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26</w:t>
            </w:r>
          </w:p>
        </w:tc>
      </w:tr>
      <w:tr w:rsidR="0055565E" w:rsidRPr="00CE357F" w14:paraId="3CCC3F37" w14:textId="77777777" w:rsidTr="0055565E">
        <w:trPr>
          <w:trHeight w:val="227"/>
          <w:jc w:val="center"/>
        </w:trPr>
        <w:tc>
          <w:tcPr>
            <w:tcW w:w="5969" w:type="dxa"/>
            <w:shd w:val="clear" w:color="auto" w:fill="D9E2F3" w:themeFill="accent1" w:themeFillTint="33"/>
          </w:tcPr>
          <w:p w14:paraId="41A6B485" w14:textId="77777777" w:rsidR="0055565E" w:rsidRPr="00CE357F" w:rsidRDefault="0055565E" w:rsidP="0055565E">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G – Velkoobchod a maloobchod; opravy a údržba motorových vozidel</w:t>
            </w:r>
          </w:p>
        </w:tc>
        <w:tc>
          <w:tcPr>
            <w:tcW w:w="3039" w:type="dxa"/>
          </w:tcPr>
          <w:p w14:paraId="33682124" w14:textId="77777777" w:rsidR="0055565E" w:rsidRPr="00CE357F" w:rsidRDefault="0055565E" w:rsidP="0055565E">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17</w:t>
            </w:r>
          </w:p>
        </w:tc>
      </w:tr>
      <w:tr w:rsidR="0055565E" w:rsidRPr="00CE357F" w14:paraId="0CC8C81E" w14:textId="77777777" w:rsidTr="0055565E">
        <w:trPr>
          <w:trHeight w:val="227"/>
          <w:jc w:val="center"/>
        </w:trPr>
        <w:tc>
          <w:tcPr>
            <w:tcW w:w="5969" w:type="dxa"/>
            <w:shd w:val="clear" w:color="auto" w:fill="D9E2F3" w:themeFill="accent1" w:themeFillTint="33"/>
          </w:tcPr>
          <w:p w14:paraId="02A1F25B"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H – Doprava a skladování</w:t>
            </w:r>
          </w:p>
        </w:tc>
        <w:tc>
          <w:tcPr>
            <w:tcW w:w="3039" w:type="dxa"/>
          </w:tcPr>
          <w:p w14:paraId="19DB4A94"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578CD56C" w14:textId="77777777" w:rsidTr="0055565E">
        <w:trPr>
          <w:trHeight w:val="227"/>
          <w:jc w:val="center"/>
        </w:trPr>
        <w:tc>
          <w:tcPr>
            <w:tcW w:w="5969" w:type="dxa"/>
            <w:shd w:val="clear" w:color="auto" w:fill="D9E2F3" w:themeFill="accent1" w:themeFillTint="33"/>
          </w:tcPr>
          <w:p w14:paraId="0DB1E1CC" w14:textId="77777777" w:rsidR="0055565E" w:rsidRPr="00CE357F" w:rsidRDefault="0055565E" w:rsidP="0055565E">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I – Ubytování, stravování a pohostinství</w:t>
            </w:r>
          </w:p>
        </w:tc>
        <w:tc>
          <w:tcPr>
            <w:tcW w:w="3039" w:type="dxa"/>
          </w:tcPr>
          <w:p w14:paraId="7C2FF9BD" w14:textId="77777777" w:rsidR="0055565E" w:rsidRPr="00CE357F" w:rsidRDefault="0055565E" w:rsidP="0055565E">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36</w:t>
            </w:r>
          </w:p>
        </w:tc>
      </w:tr>
      <w:tr w:rsidR="0055565E" w:rsidRPr="00CE357F" w14:paraId="742D7F9D" w14:textId="77777777" w:rsidTr="0055565E">
        <w:trPr>
          <w:trHeight w:val="227"/>
          <w:jc w:val="center"/>
        </w:trPr>
        <w:tc>
          <w:tcPr>
            <w:tcW w:w="5969" w:type="dxa"/>
            <w:shd w:val="clear" w:color="auto" w:fill="D9E2F3" w:themeFill="accent1" w:themeFillTint="33"/>
          </w:tcPr>
          <w:p w14:paraId="50E4838C"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J – Informační a komunikační činnosti</w:t>
            </w:r>
          </w:p>
        </w:tc>
        <w:tc>
          <w:tcPr>
            <w:tcW w:w="3039" w:type="dxa"/>
          </w:tcPr>
          <w:p w14:paraId="6997809A"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1272F8CA" w14:textId="77777777" w:rsidTr="0055565E">
        <w:trPr>
          <w:trHeight w:val="227"/>
          <w:jc w:val="center"/>
        </w:trPr>
        <w:tc>
          <w:tcPr>
            <w:tcW w:w="5969" w:type="dxa"/>
            <w:shd w:val="clear" w:color="auto" w:fill="D9E2F3" w:themeFill="accent1" w:themeFillTint="33"/>
          </w:tcPr>
          <w:p w14:paraId="1085AAEA"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K – Peněžnictví a pojišťovnictví</w:t>
            </w:r>
          </w:p>
        </w:tc>
        <w:tc>
          <w:tcPr>
            <w:tcW w:w="3039" w:type="dxa"/>
          </w:tcPr>
          <w:p w14:paraId="72FA96AA"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102DB5A3" w14:textId="77777777" w:rsidTr="0055565E">
        <w:trPr>
          <w:trHeight w:val="227"/>
          <w:jc w:val="center"/>
        </w:trPr>
        <w:tc>
          <w:tcPr>
            <w:tcW w:w="5969" w:type="dxa"/>
            <w:shd w:val="clear" w:color="auto" w:fill="D9E2F3" w:themeFill="accent1" w:themeFillTint="33"/>
          </w:tcPr>
          <w:p w14:paraId="5FBF089D"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L – Činnosti v oblasti nemovitostí</w:t>
            </w:r>
          </w:p>
        </w:tc>
        <w:tc>
          <w:tcPr>
            <w:tcW w:w="3039" w:type="dxa"/>
          </w:tcPr>
          <w:p w14:paraId="3EBA67D2"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073760F9" w14:textId="77777777" w:rsidTr="0055565E">
        <w:trPr>
          <w:trHeight w:val="227"/>
          <w:jc w:val="center"/>
        </w:trPr>
        <w:tc>
          <w:tcPr>
            <w:tcW w:w="5969" w:type="dxa"/>
            <w:shd w:val="clear" w:color="auto" w:fill="D9E2F3" w:themeFill="accent1" w:themeFillTint="33"/>
          </w:tcPr>
          <w:p w14:paraId="449DF998"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M – Profesní, vědecké a technické činnosti</w:t>
            </w:r>
          </w:p>
        </w:tc>
        <w:tc>
          <w:tcPr>
            <w:tcW w:w="3039" w:type="dxa"/>
          </w:tcPr>
          <w:p w14:paraId="7B7D0BB7"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63FF4105" w14:textId="77777777" w:rsidTr="0055565E">
        <w:trPr>
          <w:trHeight w:val="227"/>
          <w:jc w:val="center"/>
        </w:trPr>
        <w:tc>
          <w:tcPr>
            <w:tcW w:w="5969" w:type="dxa"/>
            <w:shd w:val="clear" w:color="auto" w:fill="D9E2F3" w:themeFill="accent1" w:themeFillTint="33"/>
          </w:tcPr>
          <w:p w14:paraId="728FDCBD"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 – Administrativní a podpůrné činnosti</w:t>
            </w:r>
          </w:p>
        </w:tc>
        <w:tc>
          <w:tcPr>
            <w:tcW w:w="3039" w:type="dxa"/>
          </w:tcPr>
          <w:p w14:paraId="141425EA"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2</w:t>
            </w:r>
          </w:p>
        </w:tc>
      </w:tr>
      <w:tr w:rsidR="0055565E" w:rsidRPr="00CE357F" w14:paraId="0D0E6640" w14:textId="77777777" w:rsidTr="0055565E">
        <w:trPr>
          <w:trHeight w:val="227"/>
          <w:jc w:val="center"/>
        </w:trPr>
        <w:tc>
          <w:tcPr>
            <w:tcW w:w="5969" w:type="dxa"/>
            <w:shd w:val="clear" w:color="auto" w:fill="D9E2F3" w:themeFill="accent1" w:themeFillTint="33"/>
          </w:tcPr>
          <w:p w14:paraId="526E53CD"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 – Veřejná správa a obrana; povinné sociální zabezpečení</w:t>
            </w:r>
          </w:p>
        </w:tc>
        <w:tc>
          <w:tcPr>
            <w:tcW w:w="3039" w:type="dxa"/>
          </w:tcPr>
          <w:p w14:paraId="6D91CA65"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6F1B9924" w14:textId="77777777" w:rsidTr="0055565E">
        <w:trPr>
          <w:trHeight w:val="227"/>
          <w:jc w:val="center"/>
        </w:trPr>
        <w:tc>
          <w:tcPr>
            <w:tcW w:w="5969" w:type="dxa"/>
            <w:shd w:val="clear" w:color="auto" w:fill="D9E2F3" w:themeFill="accent1" w:themeFillTint="33"/>
          </w:tcPr>
          <w:p w14:paraId="7C756BC1"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 – Vzdělávání</w:t>
            </w:r>
          </w:p>
        </w:tc>
        <w:tc>
          <w:tcPr>
            <w:tcW w:w="3039" w:type="dxa"/>
          </w:tcPr>
          <w:p w14:paraId="3FB3C865"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3</w:t>
            </w:r>
          </w:p>
        </w:tc>
      </w:tr>
      <w:tr w:rsidR="0055565E" w:rsidRPr="00CE357F" w14:paraId="210A1370" w14:textId="77777777" w:rsidTr="0055565E">
        <w:trPr>
          <w:trHeight w:val="227"/>
          <w:jc w:val="center"/>
        </w:trPr>
        <w:tc>
          <w:tcPr>
            <w:tcW w:w="5969" w:type="dxa"/>
            <w:shd w:val="clear" w:color="auto" w:fill="D9E2F3" w:themeFill="accent1" w:themeFillTint="33"/>
          </w:tcPr>
          <w:p w14:paraId="10CEDABD"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Q – Zdravotní a sociální péče</w:t>
            </w:r>
          </w:p>
        </w:tc>
        <w:tc>
          <w:tcPr>
            <w:tcW w:w="3039" w:type="dxa"/>
          </w:tcPr>
          <w:p w14:paraId="6AAA4446"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418A820D" w14:textId="77777777" w:rsidTr="0055565E">
        <w:trPr>
          <w:trHeight w:val="227"/>
          <w:jc w:val="center"/>
        </w:trPr>
        <w:tc>
          <w:tcPr>
            <w:tcW w:w="5969" w:type="dxa"/>
            <w:shd w:val="clear" w:color="auto" w:fill="D9E2F3" w:themeFill="accent1" w:themeFillTint="33"/>
          </w:tcPr>
          <w:p w14:paraId="1A9879A5"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 – Kulturní, zábavní a rekreační činnosti</w:t>
            </w:r>
          </w:p>
        </w:tc>
        <w:tc>
          <w:tcPr>
            <w:tcW w:w="3039" w:type="dxa"/>
          </w:tcPr>
          <w:p w14:paraId="667F6D21"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4DA502E5" w14:textId="77777777" w:rsidTr="0055565E">
        <w:trPr>
          <w:trHeight w:val="227"/>
          <w:jc w:val="center"/>
        </w:trPr>
        <w:tc>
          <w:tcPr>
            <w:tcW w:w="5969" w:type="dxa"/>
            <w:shd w:val="clear" w:color="auto" w:fill="D9E2F3" w:themeFill="accent1" w:themeFillTint="33"/>
          </w:tcPr>
          <w:p w14:paraId="79ABF83F"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S – Ostatní činnosti</w:t>
            </w:r>
          </w:p>
        </w:tc>
        <w:tc>
          <w:tcPr>
            <w:tcW w:w="3039" w:type="dxa"/>
          </w:tcPr>
          <w:p w14:paraId="555F8CAF"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5B502D63" w14:textId="77777777" w:rsidTr="0055565E">
        <w:trPr>
          <w:trHeight w:val="227"/>
          <w:jc w:val="center"/>
        </w:trPr>
        <w:tc>
          <w:tcPr>
            <w:tcW w:w="5969" w:type="dxa"/>
            <w:shd w:val="clear" w:color="auto" w:fill="D9E2F3" w:themeFill="accent1" w:themeFillTint="33"/>
          </w:tcPr>
          <w:p w14:paraId="4E6CE58E"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T – Činnosti domácností</w:t>
            </w:r>
          </w:p>
        </w:tc>
        <w:tc>
          <w:tcPr>
            <w:tcW w:w="3039" w:type="dxa"/>
          </w:tcPr>
          <w:p w14:paraId="42AF54AC"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1E99B1C2" w14:textId="77777777" w:rsidTr="0055565E">
        <w:trPr>
          <w:trHeight w:val="227"/>
          <w:jc w:val="center"/>
        </w:trPr>
        <w:tc>
          <w:tcPr>
            <w:tcW w:w="5969" w:type="dxa"/>
            <w:shd w:val="clear" w:color="auto" w:fill="D9E2F3" w:themeFill="accent1" w:themeFillTint="33"/>
          </w:tcPr>
          <w:p w14:paraId="2DEA262D"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U – Činnosti exteritoriálních organizací a orgánů</w:t>
            </w:r>
          </w:p>
        </w:tc>
        <w:tc>
          <w:tcPr>
            <w:tcW w:w="3039" w:type="dxa"/>
          </w:tcPr>
          <w:p w14:paraId="0AC765D1"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6417D70A" w14:textId="77777777" w:rsidTr="0055565E">
        <w:trPr>
          <w:trHeight w:val="227"/>
          <w:jc w:val="center"/>
        </w:trPr>
        <w:tc>
          <w:tcPr>
            <w:tcW w:w="5969" w:type="dxa"/>
            <w:shd w:val="clear" w:color="auto" w:fill="D9E2F3" w:themeFill="accent1" w:themeFillTint="33"/>
          </w:tcPr>
          <w:p w14:paraId="0945271D"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neuvedeno</w:t>
            </w:r>
          </w:p>
        </w:tc>
        <w:tc>
          <w:tcPr>
            <w:tcW w:w="3039" w:type="dxa"/>
          </w:tcPr>
          <w:p w14:paraId="3CFA2986" w14:textId="77777777" w:rsidR="0055565E" w:rsidRPr="00CE357F" w:rsidRDefault="0055565E" w:rsidP="0055565E">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0</w:t>
            </w:r>
          </w:p>
        </w:tc>
      </w:tr>
      <w:tr w:rsidR="0055565E" w:rsidRPr="00CE357F" w14:paraId="1585FEBB" w14:textId="77777777" w:rsidTr="0055565E">
        <w:trPr>
          <w:trHeight w:val="272"/>
          <w:jc w:val="center"/>
        </w:trPr>
        <w:tc>
          <w:tcPr>
            <w:tcW w:w="5969" w:type="dxa"/>
            <w:shd w:val="clear" w:color="auto" w:fill="D9E2F3" w:themeFill="accent1" w:themeFillTint="33"/>
            <w:vAlign w:val="center"/>
          </w:tcPr>
          <w:p w14:paraId="01A180EA" w14:textId="77777777" w:rsidR="0055565E" w:rsidRPr="00CE357F" w:rsidRDefault="0055565E" w:rsidP="0055565E">
            <w:pPr>
              <w:jc w:val="center"/>
              <w:rPr>
                <w:rFonts w:ascii="Arial Narrow" w:hAnsi="Arial Narrow"/>
                <w:b/>
                <w:bCs/>
                <w:sz w:val="18"/>
                <w:szCs w:val="18"/>
              </w:rPr>
            </w:pPr>
            <w:r w:rsidRPr="00CE357F">
              <w:rPr>
                <w:rFonts w:ascii="Arial Narrow" w:hAnsi="Arial Narrow"/>
                <w:b/>
                <w:bCs/>
                <w:sz w:val="18"/>
                <w:szCs w:val="18"/>
              </w:rPr>
              <w:t>Počet pracujících osob s jinou než českou státní příslušností v ORP celkem</w:t>
            </w:r>
          </w:p>
        </w:tc>
        <w:tc>
          <w:tcPr>
            <w:tcW w:w="3039" w:type="dxa"/>
            <w:vAlign w:val="center"/>
          </w:tcPr>
          <w:p w14:paraId="2BDB422A" w14:textId="77777777" w:rsidR="0055565E" w:rsidRPr="00CE357F" w:rsidRDefault="0055565E" w:rsidP="0055565E">
            <w:pPr>
              <w:jc w:val="center"/>
              <w:rPr>
                <w:rFonts w:ascii="Arial Narrow" w:hAnsi="Arial Narrow"/>
                <w:b/>
                <w:bCs/>
                <w:sz w:val="18"/>
                <w:szCs w:val="18"/>
              </w:rPr>
            </w:pPr>
            <w:r w:rsidRPr="00CE357F">
              <w:rPr>
                <w:rFonts w:ascii="Arial Narrow" w:hAnsi="Arial Narrow"/>
                <w:b/>
                <w:bCs/>
                <w:sz w:val="18"/>
                <w:szCs w:val="18"/>
              </w:rPr>
              <w:t>360</w:t>
            </w:r>
          </w:p>
        </w:tc>
      </w:tr>
    </w:tbl>
    <w:p w14:paraId="6BEDBD02" w14:textId="4035D8E0" w:rsidR="00513F64" w:rsidRDefault="001828B7" w:rsidP="001828B7">
      <w:pPr>
        <w:spacing w:after="240"/>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t xml:space="preserve">                </w:t>
      </w:r>
      <w:r w:rsidRPr="00CE357F">
        <w:rPr>
          <w:rFonts w:ascii="Arial Narrow" w:hAnsi="Arial Narrow"/>
          <w:sz w:val="20"/>
        </w:rPr>
        <w:t xml:space="preserve">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2E9E88AB" w14:textId="77777777" w:rsidR="00E32FA2" w:rsidRPr="00CE357F" w:rsidRDefault="00E32FA2" w:rsidP="001828B7">
      <w:pPr>
        <w:spacing w:after="240"/>
        <w:rPr>
          <w:rFonts w:ascii="Arial Narrow" w:hAnsi="Arial Narrow"/>
          <w:sz w:val="20"/>
        </w:rPr>
      </w:pPr>
    </w:p>
    <w:p w14:paraId="39D7BF88" w14:textId="77777777" w:rsidR="00513F64" w:rsidRPr="00513F64" w:rsidRDefault="00513F64" w:rsidP="008B3D36">
      <w:pPr>
        <w:pStyle w:val="Odstavecseseznamem"/>
        <w:keepNext/>
        <w:keepLines/>
        <w:numPr>
          <w:ilvl w:val="2"/>
          <w:numId w:val="29"/>
        </w:numPr>
        <w:spacing w:before="200"/>
        <w:contextualSpacing w:val="0"/>
        <w:jc w:val="both"/>
        <w:outlineLvl w:val="2"/>
        <w:rPr>
          <w:rFonts w:ascii="Arial Narrow" w:eastAsiaTheme="majorEastAsia" w:hAnsi="Arial Narrow" w:cs="Arial"/>
          <w:b/>
          <w:bCs/>
          <w:vanish/>
          <w:color w:val="002060"/>
          <w:sz w:val="26"/>
          <w:szCs w:val="26"/>
          <w:u w:val="single"/>
        </w:rPr>
      </w:pPr>
      <w:bookmarkStart w:id="766" w:name="_Toc95986756"/>
      <w:bookmarkStart w:id="767" w:name="_Toc125635483"/>
      <w:bookmarkStart w:id="768" w:name="_Toc132629190"/>
      <w:bookmarkStart w:id="769" w:name="_Toc136876137"/>
      <w:bookmarkEnd w:id="766"/>
      <w:bookmarkEnd w:id="767"/>
      <w:bookmarkEnd w:id="768"/>
      <w:bookmarkEnd w:id="769"/>
    </w:p>
    <w:p w14:paraId="14E8CFE0" w14:textId="77777777" w:rsidR="00513F64" w:rsidRPr="00513F64" w:rsidRDefault="00513F64" w:rsidP="008B3D36">
      <w:pPr>
        <w:pStyle w:val="Odstavecseseznamem"/>
        <w:keepNext/>
        <w:keepLines/>
        <w:numPr>
          <w:ilvl w:val="2"/>
          <w:numId w:val="29"/>
        </w:numPr>
        <w:spacing w:before="200"/>
        <w:contextualSpacing w:val="0"/>
        <w:jc w:val="both"/>
        <w:outlineLvl w:val="2"/>
        <w:rPr>
          <w:rFonts w:ascii="Arial Narrow" w:eastAsiaTheme="majorEastAsia" w:hAnsi="Arial Narrow" w:cs="Arial"/>
          <w:b/>
          <w:bCs/>
          <w:vanish/>
          <w:color w:val="002060"/>
          <w:sz w:val="26"/>
          <w:szCs w:val="26"/>
          <w:u w:val="single"/>
        </w:rPr>
      </w:pPr>
      <w:bookmarkStart w:id="770" w:name="_Toc95986757"/>
      <w:bookmarkStart w:id="771" w:name="_Toc125635484"/>
      <w:bookmarkStart w:id="772" w:name="_Toc132629191"/>
      <w:bookmarkStart w:id="773" w:name="_Toc136876138"/>
      <w:bookmarkEnd w:id="770"/>
      <w:bookmarkEnd w:id="771"/>
      <w:bookmarkEnd w:id="772"/>
      <w:bookmarkEnd w:id="773"/>
    </w:p>
    <w:p w14:paraId="19664D31" w14:textId="77777777" w:rsidR="00513F64" w:rsidRPr="00513F64" w:rsidRDefault="00513F64" w:rsidP="008B3D36">
      <w:pPr>
        <w:pStyle w:val="Odstavecseseznamem"/>
        <w:keepNext/>
        <w:keepLines/>
        <w:numPr>
          <w:ilvl w:val="2"/>
          <w:numId w:val="29"/>
        </w:numPr>
        <w:spacing w:before="200"/>
        <w:contextualSpacing w:val="0"/>
        <w:jc w:val="both"/>
        <w:outlineLvl w:val="2"/>
        <w:rPr>
          <w:rFonts w:ascii="Arial Narrow" w:eastAsiaTheme="majorEastAsia" w:hAnsi="Arial Narrow" w:cs="Arial"/>
          <w:b/>
          <w:bCs/>
          <w:vanish/>
          <w:color w:val="002060"/>
          <w:sz w:val="26"/>
          <w:szCs w:val="26"/>
          <w:u w:val="single"/>
        </w:rPr>
      </w:pPr>
      <w:bookmarkStart w:id="774" w:name="_Toc95986758"/>
      <w:bookmarkStart w:id="775" w:name="_Toc125635485"/>
      <w:bookmarkStart w:id="776" w:name="_Toc132629192"/>
      <w:bookmarkStart w:id="777" w:name="_Toc136876139"/>
      <w:bookmarkEnd w:id="774"/>
      <w:bookmarkEnd w:id="775"/>
      <w:bookmarkEnd w:id="776"/>
      <w:bookmarkEnd w:id="777"/>
    </w:p>
    <w:p w14:paraId="594645C5" w14:textId="77777777" w:rsidR="00513F64" w:rsidRPr="00513F64" w:rsidRDefault="00513F64" w:rsidP="008B3D36">
      <w:pPr>
        <w:pStyle w:val="Odstavecseseznamem"/>
        <w:keepNext/>
        <w:keepLines/>
        <w:numPr>
          <w:ilvl w:val="2"/>
          <w:numId w:val="29"/>
        </w:numPr>
        <w:spacing w:before="200"/>
        <w:contextualSpacing w:val="0"/>
        <w:jc w:val="both"/>
        <w:outlineLvl w:val="2"/>
        <w:rPr>
          <w:rFonts w:ascii="Arial Narrow" w:eastAsiaTheme="majorEastAsia" w:hAnsi="Arial Narrow" w:cs="Arial"/>
          <w:b/>
          <w:bCs/>
          <w:vanish/>
          <w:color w:val="002060"/>
          <w:sz w:val="26"/>
          <w:szCs w:val="26"/>
          <w:u w:val="single"/>
        </w:rPr>
      </w:pPr>
      <w:bookmarkStart w:id="778" w:name="_Toc95986759"/>
      <w:bookmarkStart w:id="779" w:name="_Toc125635486"/>
      <w:bookmarkStart w:id="780" w:name="_Toc132629193"/>
      <w:bookmarkStart w:id="781" w:name="_Toc136876140"/>
      <w:bookmarkEnd w:id="778"/>
      <w:bookmarkEnd w:id="779"/>
      <w:bookmarkEnd w:id="780"/>
      <w:bookmarkEnd w:id="781"/>
    </w:p>
    <w:p w14:paraId="2F84CE80" w14:textId="2894C810" w:rsidR="00513F64" w:rsidRPr="00366165" w:rsidRDefault="00513F64" w:rsidP="008B3D36">
      <w:pPr>
        <w:pStyle w:val="Nadpis3"/>
        <w:numPr>
          <w:ilvl w:val="2"/>
          <w:numId w:val="29"/>
        </w:numPr>
      </w:pPr>
      <w:bookmarkStart w:id="782" w:name="_Toc136876141"/>
      <w:r w:rsidRPr="00366165">
        <w:t>Shrnutí poznatků ORP Kuřim</w:t>
      </w:r>
      <w:bookmarkEnd w:id="782"/>
    </w:p>
    <w:p w14:paraId="032311A5" w14:textId="77777777" w:rsidR="005D5389" w:rsidRPr="00513F64" w:rsidRDefault="00513F64" w:rsidP="005D5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Arial Narrow" w:hAnsi="Arial Narrow" w:cs="Arial Narrow"/>
          <w:color w:val="000000"/>
          <w:u w:color="000000"/>
          <w:shd w:val="clear" w:color="auto" w:fill="FFFFFF"/>
        </w:rPr>
      </w:pPr>
      <w:r>
        <w:br/>
      </w:r>
      <w:r w:rsidR="005D5389" w:rsidRPr="00513F64">
        <w:rPr>
          <w:rFonts w:ascii="Arial Narrow" w:eastAsia="Calibri" w:hAnsi="Arial Narrow"/>
          <w:color w:val="000000"/>
          <w:u w:color="000000"/>
        </w:rPr>
        <w:t>Závěrem této kapitoly si dovolujeme</w:t>
      </w:r>
      <w:r w:rsidR="005D5389">
        <w:rPr>
          <w:rFonts w:ascii="Arial Narrow" w:eastAsia="Calibri" w:hAnsi="Arial Narrow"/>
          <w:color w:val="000000"/>
          <w:u w:color="000000"/>
        </w:rPr>
        <w:t xml:space="preserve"> předložit</w:t>
      </w:r>
      <w:r w:rsidR="005D5389" w:rsidRPr="00513F64">
        <w:rPr>
          <w:rFonts w:ascii="Arial Narrow" w:eastAsia="Calibri" w:hAnsi="Arial Narrow"/>
          <w:color w:val="000000"/>
          <w:u w:color="000000"/>
        </w:rPr>
        <w:t xml:space="preserve"> stručné shrnutí základních poznatků, které vyplývají ze sekundární analýzy dat k osobám s jinou než českou státní příslušností v</w:t>
      </w:r>
      <w:r w:rsidR="005D5389">
        <w:rPr>
          <w:rFonts w:ascii="Arial Narrow" w:eastAsia="Calibri" w:hAnsi="Arial Narrow"/>
          <w:color w:val="000000"/>
          <w:u w:color="000000"/>
        </w:rPr>
        <w:t> ORP Kuřim</w:t>
      </w:r>
      <w:r w:rsidR="005D5389" w:rsidRPr="00513F64">
        <w:rPr>
          <w:rFonts w:ascii="Arial Narrow" w:eastAsia="Calibri" w:hAnsi="Arial Narrow"/>
          <w:color w:val="000000"/>
          <w:u w:color="000000"/>
        </w:rPr>
        <w:t xml:space="preserve">. Tyto údaje jsou součástí projektu </w:t>
      </w:r>
      <w:r w:rsidR="005D5389" w:rsidRPr="00513F64">
        <w:rPr>
          <w:rFonts w:ascii="Arial Narrow" w:eastAsia="Calibri" w:hAnsi="Arial Narrow"/>
          <w:color w:val="000000"/>
          <w:u w:color="000000"/>
          <w:shd w:val="clear" w:color="auto" w:fill="FFFFFF"/>
        </w:rPr>
        <w:t>„Analýza potřeb klíčových aktérů v</w:t>
      </w:r>
      <w:r w:rsidR="005D5389" w:rsidRPr="00513F64">
        <w:rPr>
          <w:rFonts w:ascii="Arial" w:eastAsia="Calibri" w:hAnsi="Arial" w:cs="Arial"/>
          <w:color w:val="000000"/>
          <w:u w:color="000000"/>
          <w:shd w:val="clear" w:color="auto" w:fill="FFFFFF"/>
        </w:rPr>
        <w:t> </w:t>
      </w:r>
      <w:r w:rsidR="005D5389" w:rsidRPr="00513F64">
        <w:rPr>
          <w:rFonts w:ascii="Arial Narrow" w:eastAsia="Calibri" w:hAnsi="Arial Narrow"/>
          <w:color w:val="000000"/>
          <w:u w:color="000000"/>
          <w:shd w:val="clear" w:color="auto" w:fill="FFFFFF"/>
        </w:rPr>
        <w:t>oblasti zaměstnávání cizinců v JMK“.</w:t>
      </w:r>
    </w:p>
    <w:p w14:paraId="01FB86A4" w14:textId="1FB412EB" w:rsidR="005D5389" w:rsidRDefault="005D5389" w:rsidP="005D5389">
      <w:pPr>
        <w:spacing w:after="240" w:line="276" w:lineRule="auto"/>
        <w:jc w:val="both"/>
        <w:rPr>
          <w:rFonts w:ascii="Arial Narrow" w:hAnsi="Arial Narrow"/>
        </w:rPr>
      </w:pPr>
      <w:r>
        <w:rPr>
          <w:rFonts w:ascii="Arial Narrow" w:hAnsi="Arial Narrow"/>
        </w:rPr>
        <w:t>K 31. 12. 2021</w:t>
      </w:r>
      <w:r w:rsidRPr="00CE357F">
        <w:rPr>
          <w:rFonts w:ascii="Arial Narrow" w:hAnsi="Arial Narrow"/>
        </w:rPr>
        <w:t xml:space="preserve"> žilo</w:t>
      </w:r>
      <w:r>
        <w:rPr>
          <w:rFonts w:ascii="Arial Narrow" w:hAnsi="Arial Narrow"/>
        </w:rPr>
        <w:t xml:space="preserve"> na území ORP Kuřim celkem 23 3</w:t>
      </w:r>
      <w:r w:rsidRPr="00CE357F">
        <w:rPr>
          <w:rFonts w:ascii="Arial Narrow" w:hAnsi="Arial Narrow"/>
        </w:rPr>
        <w:t>4</w:t>
      </w:r>
      <w:r>
        <w:rPr>
          <w:rFonts w:ascii="Arial Narrow" w:hAnsi="Arial Narrow"/>
        </w:rPr>
        <w:t>5</w:t>
      </w:r>
      <w:r w:rsidRPr="00CE357F">
        <w:rPr>
          <w:rFonts w:ascii="Arial Narrow" w:hAnsi="Arial Narrow"/>
        </w:rPr>
        <w:t xml:space="preserve"> obyvatel, což představovalo zhruba 2,0 % všech obyvatel Jihomoravského kraje. Mezi obyvateli ORP Kuřim byli k tomuto datu muži a ženy</w:t>
      </w:r>
      <w:r>
        <w:rPr>
          <w:rFonts w:ascii="Arial Narrow" w:hAnsi="Arial Narrow"/>
        </w:rPr>
        <w:t xml:space="preserve"> téměř rovnoměrně zastoupeni (48,9 % mužů a 51,1</w:t>
      </w:r>
      <w:r w:rsidRPr="00CE357F">
        <w:rPr>
          <w:rFonts w:ascii="Arial Narrow" w:hAnsi="Arial Narrow"/>
        </w:rPr>
        <w:t xml:space="preserve"> % žen).  Zastoupení mužů a žen mezi obyvateli ORP Kuřim zůstává, stejně jako podíl obyvatel na celkovém počtu obyvatel JMK, dlouhodobě stabilní. Meziročně vzrůstá pouze průměrný věk obyvatel. Zatímco v roce 2005 byl průměrný věk obyvatel</w:t>
      </w:r>
      <w:r>
        <w:rPr>
          <w:rFonts w:ascii="Arial Narrow" w:hAnsi="Arial Narrow"/>
        </w:rPr>
        <w:t xml:space="preserve"> ORP Kuřim 39,5 let, v roce 2021</w:t>
      </w:r>
      <w:r w:rsidRPr="00CE357F">
        <w:rPr>
          <w:rFonts w:ascii="Arial Narrow" w:hAnsi="Arial Narrow"/>
        </w:rPr>
        <w:t xml:space="preserve"> to bylo</w:t>
      </w:r>
      <w:r>
        <w:rPr>
          <w:rFonts w:ascii="Arial Narrow" w:hAnsi="Arial Narrow"/>
        </w:rPr>
        <w:t xml:space="preserve"> 41,4</w:t>
      </w:r>
      <w:r w:rsidRPr="00CE357F">
        <w:rPr>
          <w:rFonts w:ascii="Arial Narrow" w:hAnsi="Arial Narrow"/>
        </w:rPr>
        <w:t xml:space="preserve"> let. Jedná se ale o trend, který je charakteristický pro území celé České republiky</w:t>
      </w:r>
      <w:bookmarkStart w:id="783" w:name="_Hlk131416126"/>
      <w:r w:rsidR="00CD4CCC">
        <w:rPr>
          <w:rFonts w:ascii="Arial Narrow" w:hAnsi="Arial Narrow"/>
        </w:rPr>
        <w:t>.</w:t>
      </w:r>
      <w:r>
        <w:rPr>
          <w:rStyle w:val="Znakapoznpodarou"/>
          <w:rFonts w:ascii="Arial Narrow" w:eastAsia="Times New Roman" w:hAnsi="Arial Narrow" w:cs="Arial"/>
          <w:sz w:val="18"/>
          <w:szCs w:val="18"/>
          <w:lang w:eastAsia="cs-CZ"/>
        </w:rPr>
        <w:footnoteReference w:id="94"/>
      </w:r>
      <w:bookmarkEnd w:id="783"/>
      <w:r w:rsidRPr="00CE357F">
        <w:rPr>
          <w:rFonts w:ascii="Arial Narrow" w:hAnsi="Arial Narrow"/>
        </w:rPr>
        <w:t xml:space="preserve"> </w:t>
      </w:r>
    </w:p>
    <w:p w14:paraId="0DB3FB2A" w14:textId="7055B897" w:rsidR="005D5389" w:rsidRPr="005D5389" w:rsidRDefault="005D5389" w:rsidP="005D5389">
      <w:pPr>
        <w:spacing w:after="240" w:line="276" w:lineRule="auto"/>
        <w:jc w:val="both"/>
        <w:rPr>
          <w:rFonts w:ascii="Arial Narrow" w:hAnsi="Arial Narrow"/>
        </w:rPr>
      </w:pPr>
      <w:r w:rsidRPr="7CC7BF57">
        <w:rPr>
          <w:rFonts w:ascii="Arial Narrow" w:eastAsia="Calibri" w:hAnsi="Arial Narrow"/>
          <w:color w:val="000000" w:themeColor="text1"/>
        </w:rPr>
        <w:t xml:space="preserve">ORP Kuřim v současné době představuje, ve srovnání s jinými ORP Jihomoravského kraje, </w:t>
      </w:r>
      <w:r w:rsidRPr="7CC7BF57">
        <w:rPr>
          <w:rFonts w:ascii="Arial Narrow" w:eastAsia="Calibri" w:hAnsi="Arial Narrow"/>
          <w:b/>
          <w:bCs/>
          <w:color w:val="000000" w:themeColor="text1"/>
        </w:rPr>
        <w:t>oblast s vyšším podílem osob s jinou než českou příslušností.</w:t>
      </w:r>
      <w:r w:rsidRPr="7CC7BF57">
        <w:rPr>
          <w:rFonts w:ascii="Arial Narrow" w:eastAsia="Calibri" w:hAnsi="Arial Narrow"/>
          <w:color w:val="000000" w:themeColor="text1"/>
        </w:rPr>
        <w:t xml:space="preserve"> K 1.1</w:t>
      </w:r>
      <w:r w:rsidR="002100E9" w:rsidRPr="7CC7BF57">
        <w:rPr>
          <w:rFonts w:ascii="Arial Narrow" w:eastAsia="Calibri" w:hAnsi="Arial Narrow"/>
          <w:color w:val="000000" w:themeColor="text1"/>
        </w:rPr>
        <w:t>.</w:t>
      </w:r>
      <w:r w:rsidRPr="7CC7BF57">
        <w:rPr>
          <w:rFonts w:ascii="Arial Narrow" w:eastAsia="Calibri" w:hAnsi="Arial Narrow"/>
          <w:color w:val="000000" w:themeColor="text1"/>
        </w:rPr>
        <w:t xml:space="preserve"> 2023 žilo na území ORP Kuřim celkem 1 878 osob s jinou než českou státní příslušností, což představuje zhruba </w:t>
      </w:r>
      <w:r w:rsidR="00CD4CCC">
        <w:rPr>
          <w:rFonts w:ascii="Arial Narrow" w:eastAsia="Calibri" w:hAnsi="Arial Narrow"/>
          <w:color w:val="000000" w:themeColor="text1"/>
        </w:rPr>
        <w:t>7,5</w:t>
      </w:r>
      <w:r w:rsidRPr="7CC7BF57">
        <w:rPr>
          <w:rFonts w:ascii="Arial Narrow" w:eastAsia="Calibri" w:hAnsi="Arial Narrow"/>
          <w:color w:val="000000" w:themeColor="text1"/>
        </w:rPr>
        <w:t xml:space="preserve"> % všech obyvatel ORP Kuřim. Podíl osob s jinou než českou státní příslušností na celkovém počtu obyvatel v posledních letech</w:t>
      </w:r>
      <w:r w:rsidRPr="7CC7BF57">
        <w:rPr>
          <w:rFonts w:ascii="Arial Narrow" w:eastAsia="Calibri" w:hAnsi="Arial Narrow"/>
          <w:b/>
          <w:bCs/>
          <w:color w:val="000000" w:themeColor="text1"/>
        </w:rPr>
        <w:t xml:space="preserve"> narůstá </w:t>
      </w:r>
      <w:r w:rsidRPr="7CC7BF57">
        <w:rPr>
          <w:rFonts w:ascii="Arial Narrow" w:eastAsia="Calibri" w:hAnsi="Arial Narrow"/>
          <w:color w:val="000000" w:themeColor="text1"/>
        </w:rPr>
        <w:t>a od roku 2018 do současnosti je jejich podíl na celkovém počtu obyvatel ORP Kuřim více než čtyřnásobný (2,0 % v roce 2018</w:t>
      </w:r>
      <w:r w:rsidR="00E476AA" w:rsidRPr="7CC7BF57">
        <w:rPr>
          <w:rFonts w:ascii="Arial Narrow" w:eastAsia="Calibri" w:hAnsi="Arial Narrow"/>
          <w:color w:val="000000" w:themeColor="text1"/>
        </w:rPr>
        <w:t>, 4,3 % v roce 2021</w:t>
      </w:r>
      <w:r w:rsidRPr="7CC7BF57">
        <w:rPr>
          <w:rFonts w:ascii="Arial Narrow" w:eastAsia="Calibri" w:hAnsi="Arial Narrow"/>
          <w:color w:val="000000" w:themeColor="text1"/>
        </w:rPr>
        <w:t xml:space="preserve"> a </w:t>
      </w:r>
      <w:r w:rsidR="00CD4CCC">
        <w:rPr>
          <w:rFonts w:ascii="Arial Narrow" w:eastAsia="Calibri" w:hAnsi="Arial Narrow"/>
          <w:color w:val="000000" w:themeColor="text1"/>
        </w:rPr>
        <w:t>7,5</w:t>
      </w:r>
      <w:r w:rsidRPr="7CC7BF57">
        <w:rPr>
          <w:rFonts w:ascii="Arial Narrow" w:eastAsia="Calibri" w:hAnsi="Arial Narrow"/>
          <w:color w:val="000000" w:themeColor="text1"/>
        </w:rPr>
        <w:t xml:space="preserve"> % k</w:t>
      </w:r>
      <w:r w:rsidR="00D562C4" w:rsidRPr="7CC7BF57">
        <w:rPr>
          <w:rFonts w:ascii="Arial Narrow" w:eastAsia="Calibri" w:hAnsi="Arial Narrow"/>
          <w:color w:val="000000" w:themeColor="text1"/>
        </w:rPr>
        <w:t xml:space="preserve"> 1. 1. </w:t>
      </w:r>
      <w:r w:rsidRPr="7CC7BF57">
        <w:rPr>
          <w:rFonts w:ascii="Arial Narrow" w:eastAsia="Calibri" w:hAnsi="Arial Narrow"/>
          <w:color w:val="000000" w:themeColor="text1"/>
        </w:rPr>
        <w:t xml:space="preserve">2023). </w:t>
      </w:r>
      <w:r w:rsidR="006B2844" w:rsidRPr="7CC7BF57">
        <w:rPr>
          <w:rFonts w:ascii="Arial Narrow" w:eastAsia="Calibri" w:hAnsi="Arial Narrow"/>
          <w:b/>
          <w:bCs/>
          <w:color w:val="000000" w:themeColor="text1"/>
        </w:rPr>
        <w:t xml:space="preserve">V posledním roce se podíl osob s jinou než českou státní příslušností </w:t>
      </w:r>
      <w:r w:rsidR="006B2844" w:rsidRPr="7CC7BF57">
        <w:rPr>
          <w:rFonts w:ascii="Arial Narrow" w:hAnsi="Arial Narrow"/>
          <w:b/>
          <w:bCs/>
        </w:rPr>
        <w:t>zvýšil téměř dvojnásobně, což bylo pravděpodobně způsobeno především válečným konfliktem na Ukrajině.</w:t>
      </w:r>
    </w:p>
    <w:p w14:paraId="4CB7233E" w14:textId="10E9842C" w:rsidR="005D5389" w:rsidRPr="00513F64" w:rsidRDefault="005D5389" w:rsidP="005D5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Arial Narrow" w:hAnsi="Arial Narrow" w:cs="Arial Narrow"/>
          <w:color w:val="000000"/>
          <w:u w:color="000000"/>
        </w:rPr>
      </w:pPr>
      <w:r>
        <w:rPr>
          <w:rFonts w:ascii="Arial Narrow" w:eastAsia="Calibri" w:hAnsi="Arial Narrow"/>
          <w:color w:val="000000"/>
          <w:u w:color="000000"/>
        </w:rPr>
        <w:t>V ORP Kuřim bylo k 1. 1. 2023</w:t>
      </w:r>
      <w:r w:rsidR="00DF7430">
        <w:rPr>
          <w:rFonts w:ascii="Arial Narrow" w:eastAsia="Calibri" w:hAnsi="Arial Narrow"/>
          <w:color w:val="000000"/>
          <w:u w:color="000000"/>
        </w:rPr>
        <w:t xml:space="preserve"> celkem</w:t>
      </w:r>
      <w:r w:rsidRPr="00513F64">
        <w:rPr>
          <w:rFonts w:ascii="Arial Narrow" w:eastAsia="Calibri" w:hAnsi="Arial Narrow"/>
          <w:color w:val="000000"/>
          <w:u w:color="000000"/>
        </w:rPr>
        <w:t xml:space="preserve"> 10 obcí, přičemž ve všech byla evidována alespoň jedna osoba s jinou než českou státní příslušností. Nejvyšší podíl osob s jinou než českou státní příslušností na celkovém počtu obyvatel dané obce byl k tomuto datu evido</w:t>
      </w:r>
      <w:r>
        <w:rPr>
          <w:rFonts w:ascii="Arial Narrow" w:eastAsia="Calibri" w:hAnsi="Arial Narrow"/>
          <w:color w:val="000000"/>
          <w:u w:color="000000"/>
        </w:rPr>
        <w:t>ván v obcích Veverská Bítýška (11,4 %) a Kuřim (10,4</w:t>
      </w:r>
      <w:r w:rsidRPr="00513F64">
        <w:rPr>
          <w:rFonts w:ascii="Arial Narrow" w:eastAsia="Calibri" w:hAnsi="Arial Narrow"/>
          <w:color w:val="000000"/>
          <w:u w:color="000000"/>
        </w:rPr>
        <w:t xml:space="preserve"> %). V obou těchto obcích </w:t>
      </w:r>
      <w:r w:rsidRPr="00513F64">
        <w:rPr>
          <w:rFonts w:ascii="Arial Narrow" w:eastAsia="Calibri" w:hAnsi="Arial Narrow"/>
          <w:color w:val="000000"/>
          <w:u w:color="000000"/>
        </w:rPr>
        <w:lastRenderedPageBreak/>
        <w:t>byl, podobně jako v řadě dalších obcí Jihomoravského kraje, zaznamenán prudký nárůst podílu osob s jinou než českou státní příslušnos</w:t>
      </w:r>
      <w:r>
        <w:rPr>
          <w:rFonts w:ascii="Arial Narrow" w:eastAsia="Calibri" w:hAnsi="Arial Narrow"/>
          <w:color w:val="000000"/>
          <w:u w:color="000000"/>
        </w:rPr>
        <w:t>tí zejména mezi lety 2015 a 202</w:t>
      </w:r>
      <w:r w:rsidR="00DF7430">
        <w:rPr>
          <w:rFonts w:ascii="Arial Narrow" w:eastAsia="Calibri" w:hAnsi="Arial Narrow"/>
          <w:color w:val="000000"/>
          <w:u w:color="000000"/>
        </w:rPr>
        <w:t>2</w:t>
      </w:r>
      <w:r w:rsidRPr="00513F64">
        <w:rPr>
          <w:rFonts w:ascii="Arial Narrow" w:eastAsia="Calibri" w:hAnsi="Arial Narrow"/>
          <w:color w:val="000000"/>
          <w:u w:color="000000"/>
        </w:rPr>
        <w:t>. Zatímco podíl osob s jinou než českou stá</w:t>
      </w:r>
      <w:r>
        <w:rPr>
          <w:rFonts w:ascii="Arial Narrow" w:eastAsia="Calibri" w:hAnsi="Arial Narrow"/>
          <w:color w:val="000000"/>
          <w:u w:color="000000"/>
        </w:rPr>
        <w:t>tní příslušností v obci Kuřim</w:t>
      </w:r>
      <w:r w:rsidRPr="00513F64">
        <w:rPr>
          <w:rFonts w:ascii="Arial Narrow" w:eastAsia="Calibri" w:hAnsi="Arial Narrow"/>
          <w:color w:val="000000"/>
          <w:u w:color="000000"/>
        </w:rPr>
        <w:t xml:space="preserve"> za tuto dobu </w:t>
      </w:r>
      <w:r>
        <w:rPr>
          <w:rFonts w:ascii="Arial Narrow" w:eastAsia="Calibri" w:hAnsi="Arial Narrow"/>
          <w:color w:val="000000"/>
          <w:u w:color="000000"/>
        </w:rPr>
        <w:t xml:space="preserve">stoupl </w:t>
      </w:r>
      <w:r w:rsidRPr="00513F64">
        <w:rPr>
          <w:rFonts w:ascii="Arial Narrow" w:eastAsia="Calibri" w:hAnsi="Arial Narrow"/>
          <w:color w:val="000000"/>
          <w:u w:color="000000"/>
        </w:rPr>
        <w:t xml:space="preserve">téměř </w:t>
      </w:r>
      <w:r>
        <w:rPr>
          <w:rFonts w:ascii="Arial Narrow" w:eastAsia="Calibri" w:hAnsi="Arial Narrow"/>
          <w:color w:val="000000"/>
          <w:u w:color="000000"/>
        </w:rPr>
        <w:t>o pětinásobek</w:t>
      </w:r>
      <w:r w:rsidRPr="00513F64">
        <w:rPr>
          <w:rFonts w:ascii="Arial Narrow" w:eastAsia="Calibri" w:hAnsi="Arial Narrow"/>
          <w:color w:val="000000"/>
          <w:u w:color="000000"/>
        </w:rPr>
        <w:t>, v obci Veve</w:t>
      </w:r>
      <w:r>
        <w:rPr>
          <w:rFonts w:ascii="Arial Narrow" w:eastAsia="Calibri" w:hAnsi="Arial Narrow"/>
          <w:color w:val="000000"/>
          <w:u w:color="000000"/>
        </w:rPr>
        <w:t xml:space="preserve">rská Bítýška narostl více než devětkrát </w:t>
      </w:r>
      <w:r w:rsidR="00DF7430">
        <w:rPr>
          <w:rFonts w:ascii="Arial Narrow" w:eastAsia="Calibri" w:hAnsi="Arial Narrow"/>
          <w:color w:val="000000"/>
          <w:u w:color="000000"/>
        </w:rPr>
        <w:br/>
      </w:r>
      <w:r>
        <w:rPr>
          <w:rFonts w:ascii="Arial Narrow" w:eastAsia="Calibri" w:hAnsi="Arial Narrow"/>
          <w:color w:val="000000"/>
          <w:u w:color="000000"/>
        </w:rPr>
        <w:t>(z 1,23 % v roce 2015 na 11,4 % k</w:t>
      </w:r>
      <w:r w:rsidR="00450BCF">
        <w:rPr>
          <w:rFonts w:ascii="Arial Narrow" w:eastAsia="Calibri" w:hAnsi="Arial Narrow"/>
          <w:color w:val="000000"/>
          <w:u w:color="000000"/>
        </w:rPr>
        <w:t> 1. 1.</w:t>
      </w:r>
      <w:r>
        <w:rPr>
          <w:rFonts w:ascii="Arial Narrow" w:eastAsia="Calibri" w:hAnsi="Arial Narrow"/>
          <w:color w:val="000000"/>
          <w:u w:color="000000"/>
        </w:rPr>
        <w:t xml:space="preserve"> 2023). </w:t>
      </w:r>
    </w:p>
    <w:p w14:paraId="28CFE913" w14:textId="18FC5E29" w:rsidR="005D5389" w:rsidRPr="005423B0" w:rsidRDefault="005D5389" w:rsidP="005D5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Arial Narrow" w:hAnsi="Arial Narrow" w:cs="Arial Narrow"/>
          <w:color w:val="000000"/>
          <w:u w:color="000000"/>
        </w:rPr>
      </w:pPr>
      <w:r w:rsidRPr="00513F64">
        <w:rPr>
          <w:rFonts w:ascii="Arial Narrow" w:eastAsia="Calibri" w:hAnsi="Arial Narrow"/>
          <w:color w:val="000000"/>
          <w:u w:color="000000"/>
        </w:rPr>
        <w:t>V populaci osob s jinou než českou státní příslušností v ORP Kuřim dlouhodobě převažoval počet mužů nad počtem žen. Jejich podíl se ale meziročně se snižoval a tento trend se změnil v roce 2021, kdy byl podíl žen v populaci osob s jinou než českou státní příslušností poprvé vyšší než podíl mužů</w:t>
      </w:r>
      <w:r>
        <w:rPr>
          <w:rFonts w:ascii="Arial Narrow" w:eastAsia="Calibri" w:hAnsi="Arial Narrow"/>
          <w:color w:val="000000"/>
          <w:u w:color="000000"/>
        </w:rPr>
        <w:t xml:space="preserve"> a ještě se zvýšil k roku 2023, kdy bylo zaznamenáno </w:t>
      </w:r>
      <w:r w:rsidRPr="003D7EF9">
        <w:rPr>
          <w:rFonts w:ascii="Arial Narrow" w:eastAsia="Calibri" w:hAnsi="Arial Narrow"/>
          <w:b/>
          <w:bCs/>
          <w:color w:val="000000"/>
          <w:u w:color="000000"/>
        </w:rPr>
        <w:t>58,2 % žen a 41,2 % mužů</w:t>
      </w:r>
      <w:r w:rsidRPr="00513F64">
        <w:rPr>
          <w:rFonts w:ascii="Arial Narrow" w:eastAsia="Calibri" w:hAnsi="Arial Narrow"/>
          <w:color w:val="000000"/>
          <w:u w:color="000000"/>
        </w:rPr>
        <w:t>.  Ačkoliv se</w:t>
      </w:r>
      <w:r>
        <w:rPr>
          <w:rFonts w:ascii="Arial Narrow" w:eastAsia="Calibri" w:hAnsi="Arial Narrow"/>
          <w:color w:val="000000"/>
          <w:u w:color="000000"/>
        </w:rPr>
        <w:t xml:space="preserve"> </w:t>
      </w:r>
      <w:r w:rsidRPr="00513F64">
        <w:rPr>
          <w:rFonts w:ascii="Arial Narrow" w:eastAsia="Calibri" w:hAnsi="Arial Narrow"/>
          <w:color w:val="000000"/>
          <w:u w:color="000000"/>
        </w:rPr>
        <w:t xml:space="preserve">podíl žen na celkovém počtu osob s jinou než českou státní příslušností v ORP Kuřim meziročně zvyšuje, podíl dětí do 15 let na celkovém počtu osob s jinou než českou státní příslušností se </w:t>
      </w:r>
      <w:r>
        <w:rPr>
          <w:rFonts w:ascii="Arial Narrow" w:eastAsia="Calibri" w:hAnsi="Arial Narrow"/>
          <w:color w:val="000000"/>
          <w:u w:color="000000"/>
        </w:rPr>
        <w:t>do roku 2022 zvyšoval</w:t>
      </w:r>
      <w:r w:rsidRPr="00513F64">
        <w:rPr>
          <w:rFonts w:ascii="Arial Narrow" w:eastAsia="Calibri" w:hAnsi="Arial Narrow"/>
          <w:color w:val="000000"/>
          <w:u w:color="000000"/>
        </w:rPr>
        <w:t xml:space="preserve"> pouze mírně</w:t>
      </w:r>
      <w:r>
        <w:rPr>
          <w:rFonts w:ascii="Arial Narrow" w:eastAsia="Calibri" w:hAnsi="Arial Narrow"/>
          <w:color w:val="000000"/>
          <w:u w:color="000000"/>
        </w:rPr>
        <w:t>. K roku 2023 se ale jejich počet výrazně zvýšil a děti do 15 let tvořily v ORP Kuřim 18,5 % všech osob s jinou než českou státní příslušností</w:t>
      </w:r>
      <w:r w:rsidR="003D7EF9">
        <w:rPr>
          <w:rFonts w:ascii="Arial Narrow" w:eastAsia="Calibri" w:hAnsi="Arial Narrow"/>
          <w:color w:val="000000"/>
          <w:u w:color="000000"/>
        </w:rPr>
        <w:t xml:space="preserve">. </w:t>
      </w:r>
      <w:r w:rsidR="003D7EF9" w:rsidRPr="007018A8">
        <w:rPr>
          <w:rFonts w:ascii="Arial Narrow" w:eastAsia="Calibri" w:hAnsi="Arial Narrow"/>
          <w:b/>
          <w:bCs/>
          <w:color w:val="000000"/>
          <w:u w:color="000000"/>
        </w:rPr>
        <w:t>Výkyvy</w:t>
      </w:r>
      <w:r w:rsidR="003D7EF9" w:rsidRPr="003D7EF9">
        <w:rPr>
          <w:rFonts w:ascii="Arial Narrow" w:eastAsia="Calibri" w:hAnsi="Arial Narrow"/>
          <w:b/>
          <w:bCs/>
          <w:color w:val="000000"/>
          <w:u w:color="000000"/>
        </w:rPr>
        <w:t xml:space="preserve"> v trendech jsou pravděpodobně </w:t>
      </w:r>
      <w:r w:rsidRPr="003D7EF9">
        <w:rPr>
          <w:rFonts w:ascii="Arial Narrow" w:eastAsia="Calibri" w:hAnsi="Arial Narrow"/>
          <w:b/>
          <w:bCs/>
          <w:color w:val="000000"/>
          <w:u w:color="000000"/>
        </w:rPr>
        <w:t>způsoben</w:t>
      </w:r>
      <w:r w:rsidR="003D7EF9" w:rsidRPr="003D7EF9">
        <w:rPr>
          <w:rFonts w:ascii="Arial Narrow" w:eastAsia="Calibri" w:hAnsi="Arial Narrow"/>
          <w:b/>
          <w:bCs/>
          <w:color w:val="000000"/>
          <w:u w:color="000000"/>
        </w:rPr>
        <w:t>y</w:t>
      </w:r>
      <w:r w:rsidRPr="003D7EF9">
        <w:rPr>
          <w:rFonts w:ascii="Arial Narrow" w:eastAsia="Calibri" w:hAnsi="Arial Narrow"/>
          <w:b/>
          <w:bCs/>
          <w:color w:val="000000"/>
          <w:u w:color="000000"/>
        </w:rPr>
        <w:t xml:space="preserve"> především válečným konfliktem na Ukrajině</w:t>
      </w:r>
      <w:r w:rsidR="003D7EF9" w:rsidRPr="003D7EF9">
        <w:rPr>
          <w:rFonts w:ascii="Arial Narrow" w:eastAsia="Calibri" w:hAnsi="Arial Narrow"/>
          <w:b/>
          <w:bCs/>
          <w:color w:val="000000"/>
          <w:u w:color="000000"/>
        </w:rPr>
        <w:t>. K</w:t>
      </w:r>
      <w:r w:rsidRPr="003D7EF9">
        <w:rPr>
          <w:rFonts w:ascii="Arial Narrow" w:eastAsia="Calibri" w:hAnsi="Arial Narrow"/>
          <w:b/>
          <w:bCs/>
          <w:color w:val="000000"/>
          <w:u w:color="000000"/>
        </w:rPr>
        <w:t xml:space="preserve"> podobným skokovým zvýšením docházelo v posledním roce i v dalších sledovaných ORP Jihomoravského kraje. </w:t>
      </w:r>
    </w:p>
    <w:p w14:paraId="25B423E3" w14:textId="24B5062A" w:rsidR="005D5389" w:rsidRPr="00287A2A" w:rsidRDefault="005D5389" w:rsidP="005D5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u w:color="000000"/>
        </w:rPr>
      </w:pPr>
      <w:proofErr w:type="spellStart"/>
      <w:r w:rsidRPr="00287A2A">
        <w:rPr>
          <w:rFonts w:ascii="Arial Narrow" w:eastAsia="Calibri" w:hAnsi="Arial Narrow"/>
          <w:color w:val="000000"/>
          <w:u w:color="000000"/>
        </w:rPr>
        <w:t>Kuřimsko</w:t>
      </w:r>
      <w:proofErr w:type="spellEnd"/>
      <w:r w:rsidRPr="00287A2A">
        <w:rPr>
          <w:rFonts w:ascii="Arial Narrow" w:eastAsia="Calibri" w:hAnsi="Arial Narrow"/>
          <w:color w:val="000000"/>
          <w:u w:color="000000"/>
        </w:rPr>
        <w:t xml:space="preserve"> je průmyslovým regionem a patří mezi oblasti s jednou z nižších úrovní nezaměstnaností v kraji. Důvodem je přítomnost většího počtu středních a velkých zaměstnavatelů i dobré dopravní spojení s geograficky blízkým </w:t>
      </w:r>
      <w:r w:rsidRPr="00287A2A">
        <w:rPr>
          <w:rFonts w:ascii="Arial Narrow" w:eastAsia="Calibri" w:hAnsi="Arial Narrow"/>
          <w:u w:color="000000"/>
        </w:rPr>
        <w:t>Brnem. V rámci průzkumu zaměstnanosti k 31. 12. 2020 byly v SO ORP Kuřim získány údaje od 78 subjektů a bylo sečteno 5 231 zaměstnaných. Z nich v primárním sektoru byli zaměstnáni pouze 2,0 % zaměstnanců. Nejvíce zaměstnanců pracovalo v sekundárním sektoru, celkem 81,1 % všech zaměstnanců. Nejčastěji pracovníci byli zaměstnaní ve strojírenském průmyslu (56,5 %) a v hutnickém a kovozpracujícím průmyslu (8,3 %). V terciéru bylo, v porovnání s jinými vybranými ORP Jihomoravského kraje, zaměstnáno nejméně pracovníků, pouze 16,9 %. Nejčastěji zaměstnanci pracovali ve vzdělávání (6,5 %) a ve velkoobchodě a maloobchodě (4,6 %).</w:t>
      </w:r>
      <w:r w:rsidRPr="00287A2A">
        <w:rPr>
          <w:rStyle w:val="Znakapoznpodarou"/>
          <w:rFonts w:ascii="Arial Narrow" w:eastAsia="Calibri" w:hAnsi="Arial Narrow"/>
          <w:u w:color="000000"/>
        </w:rPr>
        <w:footnoteReference w:id="95"/>
      </w:r>
    </w:p>
    <w:p w14:paraId="0AD18187" w14:textId="77777777" w:rsidR="005D5389" w:rsidRPr="00287A2A" w:rsidRDefault="005D5389" w:rsidP="005D5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color w:val="000000"/>
          <w:u w:color="000000"/>
        </w:rPr>
      </w:pPr>
      <w:r w:rsidRPr="00287A2A">
        <w:rPr>
          <w:rFonts w:ascii="Arial Narrow" w:eastAsia="Calibri" w:hAnsi="Arial Narrow"/>
          <w:color w:val="000000"/>
          <w:u w:color="000000"/>
        </w:rPr>
        <w:t xml:space="preserve">V obci Kuřim sídlí jeden z nejvýznamnějších zaměstnavatelů, společnost </w:t>
      </w:r>
      <w:proofErr w:type="spellStart"/>
      <w:r w:rsidRPr="00287A2A">
        <w:rPr>
          <w:rFonts w:ascii="Arial Narrow" w:eastAsia="Calibri" w:hAnsi="Arial Narrow"/>
          <w:b/>
          <w:bCs/>
          <w:color w:val="000000"/>
          <w:u w:color="000000"/>
        </w:rPr>
        <w:t>Tyco</w:t>
      </w:r>
      <w:proofErr w:type="spellEnd"/>
      <w:r w:rsidRPr="00287A2A">
        <w:rPr>
          <w:rFonts w:ascii="Arial Narrow" w:eastAsia="Calibri" w:hAnsi="Arial Narrow"/>
          <w:b/>
          <w:bCs/>
          <w:color w:val="000000"/>
          <w:u w:color="000000"/>
        </w:rPr>
        <w:t xml:space="preserve"> Electronics Czech (</w:t>
      </w:r>
      <w:r w:rsidRPr="00287A2A">
        <w:rPr>
          <w:rFonts w:ascii="Arial Narrow" w:eastAsia="Calibri" w:hAnsi="Arial Narrow"/>
          <w:color w:val="000000"/>
          <w:u w:color="000000"/>
        </w:rPr>
        <w:t xml:space="preserve">výrobce elektrosoučástek pro automobilový průmysl). Ve Veverské Bítýšce sídlí společnost </w:t>
      </w:r>
      <w:r w:rsidRPr="00287A2A">
        <w:rPr>
          <w:rFonts w:ascii="Arial Narrow" w:eastAsia="Calibri" w:hAnsi="Arial Narrow"/>
          <w:b/>
          <w:bCs/>
          <w:color w:val="000000"/>
          <w:u w:color="000000"/>
        </w:rPr>
        <w:t>HARTMANN – RICO a.s</w:t>
      </w:r>
      <w:r w:rsidRPr="00287A2A">
        <w:rPr>
          <w:rFonts w:ascii="Arial Narrow" w:eastAsia="Calibri" w:hAnsi="Arial Narrow"/>
          <w:color w:val="000000"/>
          <w:u w:color="000000"/>
        </w:rPr>
        <w:t>. (výrobce zdravotnických a hygienických výrobků).</w:t>
      </w:r>
      <w:r w:rsidRPr="00287A2A">
        <w:rPr>
          <w:rFonts w:ascii="Arial Narrow" w:eastAsia="Arial Narrow" w:hAnsi="Arial Narrow" w:cs="Arial Narrow"/>
          <w:color w:val="000000"/>
          <w:u w:color="000000"/>
          <w:vertAlign w:val="superscript"/>
        </w:rPr>
        <w:footnoteReference w:id="96"/>
      </w:r>
      <w:r w:rsidRPr="00287A2A">
        <w:rPr>
          <w:rFonts w:ascii="Arial Narrow" w:eastAsia="Calibri" w:hAnsi="Arial Narrow"/>
          <w:color w:val="000000"/>
          <w:u w:color="000000"/>
        </w:rPr>
        <w:t xml:space="preserve"> Společně s firmou </w:t>
      </w:r>
      <w:r w:rsidRPr="00287A2A">
        <w:rPr>
          <w:rFonts w:ascii="Arial Narrow" w:eastAsia="Calibri" w:hAnsi="Arial Narrow"/>
          <w:b/>
          <w:bCs/>
          <w:color w:val="000000"/>
          <w:u w:color="000000"/>
        </w:rPr>
        <w:t xml:space="preserve">AMB PLUS, s.r.o. </w:t>
      </w:r>
      <w:r w:rsidRPr="00287A2A">
        <w:rPr>
          <w:rFonts w:ascii="Arial Narrow" w:eastAsia="Calibri" w:hAnsi="Arial Narrow"/>
          <w:color w:val="000000"/>
          <w:u w:color="000000"/>
        </w:rPr>
        <w:t xml:space="preserve">se jedná také o významné zaměstnavatele osob s jinou než českou státní příslušností. </w:t>
      </w:r>
    </w:p>
    <w:p w14:paraId="2262C527" w14:textId="77777777" w:rsidR="005D5389" w:rsidRPr="00513F64" w:rsidRDefault="005D5389" w:rsidP="005D5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hAnsi="Arial Narrow"/>
        </w:rPr>
      </w:pPr>
      <w:r w:rsidRPr="00287A2A">
        <w:rPr>
          <w:rFonts w:ascii="Arial Narrow" w:eastAsia="Calibri" w:hAnsi="Arial Narrow"/>
          <w:color w:val="000000"/>
          <w:u w:color="000000"/>
        </w:rPr>
        <w:t>Nejvíce osob s jinou než českou státní příslušností v ORP Kuřim bylo v roce 2020 zaměstnáno ve zpracovatelském průmyslu (76,7 %) a v oblasti ubytování, stravování a pohostinství (10,0 %).</w:t>
      </w:r>
    </w:p>
    <w:p w14:paraId="33D18115" w14:textId="7169D299" w:rsidR="00513F64" w:rsidRPr="00FD3F4E" w:rsidRDefault="00FD3F4E" w:rsidP="005D5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hAnsi="Arial Narrow"/>
        </w:rPr>
      </w:pPr>
      <w:r>
        <w:rPr>
          <w:rFonts w:ascii="Arial Narrow" w:hAnsi="Arial Narrow"/>
        </w:rPr>
        <w:br/>
      </w:r>
      <w:r w:rsidRPr="00FD3F4E">
        <w:rPr>
          <w:rFonts w:ascii="Arial Narrow" w:hAnsi="Arial Narrow"/>
        </w:rPr>
        <w:t>Je pravděpodobné, že z</w:t>
      </w:r>
      <w:r>
        <w:rPr>
          <w:rFonts w:ascii="Arial Narrow" w:hAnsi="Arial Narrow"/>
        </w:rPr>
        <w:t> </w:t>
      </w:r>
      <w:r w:rsidRPr="00FD3F4E">
        <w:rPr>
          <w:rFonts w:ascii="Arial Narrow" w:hAnsi="Arial Narrow"/>
        </w:rPr>
        <w:t>důvodu</w:t>
      </w:r>
      <w:r>
        <w:rPr>
          <w:rFonts w:ascii="Arial Narrow" w:hAnsi="Arial Narrow"/>
        </w:rPr>
        <w:t xml:space="preserve"> výraznějších</w:t>
      </w:r>
      <w:r w:rsidRPr="00FD3F4E">
        <w:rPr>
          <w:rFonts w:ascii="Arial Narrow" w:hAnsi="Arial Narrow"/>
        </w:rPr>
        <w:t xml:space="preserve"> změn v</w:t>
      </w:r>
      <w:r w:rsidRPr="00FD3F4E">
        <w:rPr>
          <w:rFonts w:ascii="Arial Narrow" w:eastAsia="Calibri" w:hAnsi="Arial Narrow"/>
          <w:color w:val="000000"/>
          <w:u w:color="000000"/>
        </w:rPr>
        <w:t> populaci osob s jinou než českou státní příslušností v ORP Kuřim</w:t>
      </w:r>
      <w:r>
        <w:rPr>
          <w:rFonts w:ascii="Arial Narrow" w:eastAsia="Calibri" w:hAnsi="Arial Narrow"/>
          <w:color w:val="000000"/>
          <w:u w:color="000000"/>
        </w:rPr>
        <w:t xml:space="preserve"> během roku 2022 a 2023, především v návaznosti na rusko-ukrajinský konflikt</w:t>
      </w:r>
      <w:r w:rsidR="009931FE">
        <w:rPr>
          <w:rFonts w:ascii="Arial Narrow" w:eastAsia="Calibri" w:hAnsi="Arial Narrow"/>
          <w:color w:val="000000"/>
          <w:u w:color="000000"/>
        </w:rPr>
        <w:t>,</w:t>
      </w:r>
      <w:r>
        <w:rPr>
          <w:rFonts w:ascii="Arial Narrow" w:eastAsia="Calibri" w:hAnsi="Arial Narrow"/>
          <w:color w:val="000000"/>
          <w:u w:color="000000"/>
        </w:rPr>
        <w:t xml:space="preserve"> se změní také struktura zaměstnanosti v ORP Kuřim. Změny budou patrné také po ukončení konfliktu, kdy je očekáván návrat části </w:t>
      </w:r>
      <w:r w:rsidRPr="00FD3F4E">
        <w:rPr>
          <w:rFonts w:ascii="Arial Narrow" w:eastAsia="Calibri" w:hAnsi="Arial Narrow"/>
          <w:color w:val="000000"/>
          <w:u w:color="000000"/>
        </w:rPr>
        <w:t>osob s </w:t>
      </w:r>
      <w:r>
        <w:rPr>
          <w:rFonts w:ascii="Arial Narrow" w:eastAsia="Calibri" w:hAnsi="Arial Narrow"/>
          <w:color w:val="000000"/>
          <w:u w:color="000000"/>
        </w:rPr>
        <w:t>ukrajinskou</w:t>
      </w:r>
      <w:r w:rsidRPr="00FD3F4E">
        <w:rPr>
          <w:rFonts w:ascii="Arial Narrow" w:eastAsia="Calibri" w:hAnsi="Arial Narrow"/>
          <w:color w:val="000000"/>
          <w:u w:color="000000"/>
        </w:rPr>
        <w:t xml:space="preserve"> státní příslušností</w:t>
      </w:r>
      <w:r>
        <w:rPr>
          <w:rFonts w:ascii="Arial Narrow" w:eastAsia="Calibri" w:hAnsi="Arial Narrow"/>
          <w:color w:val="000000"/>
          <w:u w:color="000000"/>
        </w:rPr>
        <w:t xml:space="preserve"> zpět do země původu.</w:t>
      </w:r>
      <w:r w:rsidRPr="00FD3F4E">
        <w:rPr>
          <w:rFonts w:ascii="Arial Narrow" w:hAnsi="Arial Narrow"/>
        </w:rPr>
        <w:t xml:space="preserve"> </w:t>
      </w:r>
    </w:p>
    <w:p w14:paraId="60C92DF2" w14:textId="20F49267" w:rsidR="0055565E" w:rsidRPr="00CE357F" w:rsidRDefault="00F44E6E" w:rsidP="00F44E6E">
      <w:pPr>
        <w:spacing w:after="160" w:line="259" w:lineRule="auto"/>
        <w:rPr>
          <w:rFonts w:ascii="Arial Narrow" w:hAnsi="Arial Narrow"/>
        </w:rPr>
      </w:pPr>
      <w:r>
        <w:rPr>
          <w:rFonts w:ascii="Arial Narrow" w:hAnsi="Arial Narrow"/>
        </w:rPr>
        <w:br w:type="page"/>
      </w:r>
    </w:p>
    <w:p w14:paraId="33726120" w14:textId="014230EB" w:rsidR="0055565E" w:rsidRPr="00CE357F" w:rsidRDefault="001828B7" w:rsidP="001828B7">
      <w:pPr>
        <w:pStyle w:val="Nadpis2"/>
        <w:ind w:left="426"/>
        <w:jc w:val="both"/>
        <w:rPr>
          <w:rFonts w:ascii="Arial Narrow" w:hAnsi="Arial Narrow"/>
          <w:sz w:val="30"/>
          <w:szCs w:val="30"/>
        </w:rPr>
      </w:pPr>
      <w:bookmarkStart w:id="784" w:name="_Toc136876142"/>
      <w:r w:rsidRPr="00CE357F">
        <w:rPr>
          <w:rFonts w:ascii="Arial Narrow" w:hAnsi="Arial Narrow"/>
          <w:sz w:val="30"/>
          <w:szCs w:val="30"/>
        </w:rPr>
        <w:lastRenderedPageBreak/>
        <w:t>OSOBY S JINOU NEŽ ČESKOU STÁTNÍ PŘÍSLUŠNOSTÍ V ORP TIŠNOV</w:t>
      </w:r>
      <w:bookmarkEnd w:id="784"/>
    </w:p>
    <w:p w14:paraId="7D3F8CAE" w14:textId="77777777" w:rsidR="0055565E" w:rsidRPr="00CE357F" w:rsidRDefault="0055565E" w:rsidP="0055565E">
      <w:pPr>
        <w:rPr>
          <w:rFonts w:ascii="Arial Narrow" w:hAnsi="Arial Narrow"/>
        </w:rPr>
      </w:pPr>
    </w:p>
    <w:p w14:paraId="77A9E68C" w14:textId="66A76C81" w:rsidR="0055565E" w:rsidRPr="00CE357F" w:rsidRDefault="0055565E" w:rsidP="00B31262">
      <w:pPr>
        <w:pStyle w:val="Nadpis3"/>
        <w:spacing w:after="240"/>
      </w:pPr>
      <w:bookmarkStart w:id="785" w:name="_Toc136876143"/>
      <w:r w:rsidRPr="00CE357F">
        <w:t>Základní demografické údaje o ORP Tišnov</w:t>
      </w:r>
      <w:bookmarkEnd w:id="785"/>
      <w:r w:rsidRPr="00CE357F">
        <w:t xml:space="preserve"> </w:t>
      </w:r>
    </w:p>
    <w:p w14:paraId="1F99087F" w14:textId="4998796F" w:rsidR="00C475C3" w:rsidRPr="00CE357F" w:rsidRDefault="00C475C3" w:rsidP="00C475C3">
      <w:pPr>
        <w:spacing w:line="276" w:lineRule="auto"/>
        <w:jc w:val="both"/>
        <w:rPr>
          <w:rFonts w:ascii="Arial Narrow" w:hAnsi="Arial Narrow"/>
        </w:rPr>
      </w:pPr>
      <w:r w:rsidRPr="00CE357F">
        <w:rPr>
          <w:rFonts w:ascii="Arial Narrow" w:hAnsi="Arial Narrow"/>
        </w:rPr>
        <w:t>K 31. 12. 202</w:t>
      </w:r>
      <w:r w:rsidR="001B5FC8">
        <w:rPr>
          <w:rFonts w:ascii="Arial Narrow" w:hAnsi="Arial Narrow"/>
        </w:rPr>
        <w:t>1</w:t>
      </w:r>
      <w:r w:rsidR="00F32F86">
        <w:rPr>
          <w:rStyle w:val="Znakapoznpodarou"/>
          <w:rFonts w:ascii="Arial Narrow" w:hAnsi="Arial Narrow"/>
        </w:rPr>
        <w:footnoteReference w:id="97"/>
      </w:r>
      <w:r w:rsidRPr="00CE357F">
        <w:rPr>
          <w:rFonts w:ascii="Arial Narrow" w:hAnsi="Arial Narrow"/>
        </w:rPr>
        <w:t xml:space="preserve"> žilo na území ORP Tišnov celkem 31 8</w:t>
      </w:r>
      <w:r w:rsidR="001B5FC8">
        <w:rPr>
          <w:rFonts w:ascii="Arial Narrow" w:hAnsi="Arial Narrow"/>
        </w:rPr>
        <w:t>53</w:t>
      </w:r>
      <w:r w:rsidRPr="00CE357F">
        <w:rPr>
          <w:rFonts w:ascii="Arial Narrow" w:hAnsi="Arial Narrow"/>
        </w:rPr>
        <w:t xml:space="preserve"> obyvatel, což představovalo zhruba 2,7 % všech obyvatel Jihomoravského kraje. Mezi obyvateli ORP Tišnov byli k tomuto datu muži a ženy téměř rovnoměrně zastoupeni (49,2 % mužů a 50,8 % žen).  Zastoupení mužů a žen mezi obyvateli ORP Tišnov zůstává, stejně jako podíl obyvatel na celkovém počtu obyvatel JMK, dlouhodobě stabilní. Meziročně vzrůstá pouze průměrný věk obyvatel. Zatímco v roce 2005 byl průměrný věk obyvatel ORP Tišnov 40,5 let, v roce 202</w:t>
      </w:r>
      <w:r w:rsidR="001B5FC8">
        <w:rPr>
          <w:rFonts w:ascii="Arial Narrow" w:hAnsi="Arial Narrow"/>
        </w:rPr>
        <w:t>1</w:t>
      </w:r>
      <w:r w:rsidRPr="00CE357F">
        <w:rPr>
          <w:rFonts w:ascii="Arial Narrow" w:hAnsi="Arial Narrow"/>
        </w:rPr>
        <w:t xml:space="preserve"> to bylo 41,</w:t>
      </w:r>
      <w:r w:rsidR="001B5FC8">
        <w:rPr>
          <w:rFonts w:ascii="Arial Narrow" w:hAnsi="Arial Narrow"/>
        </w:rPr>
        <w:t>7</w:t>
      </w:r>
      <w:r w:rsidRPr="00CE357F">
        <w:rPr>
          <w:rFonts w:ascii="Arial Narrow" w:hAnsi="Arial Narrow"/>
        </w:rPr>
        <w:t xml:space="preserve"> let. Jedná se ale o trend, který je charakteristický pro území celé České republiky. </w:t>
      </w:r>
    </w:p>
    <w:p w14:paraId="4CE7C362" w14:textId="77777777" w:rsidR="00C475C3" w:rsidRPr="00CE357F" w:rsidRDefault="00C475C3" w:rsidP="00C475C3">
      <w:pPr>
        <w:spacing w:line="276" w:lineRule="auto"/>
        <w:rPr>
          <w:rFonts w:ascii="Arial Narrow" w:hAnsi="Arial Narrow"/>
        </w:rPr>
      </w:pPr>
    </w:p>
    <w:p w14:paraId="723F58DF" w14:textId="7600F11D" w:rsidR="00C475C3" w:rsidRPr="00CE357F" w:rsidRDefault="00C475C3" w:rsidP="00C475C3">
      <w:pPr>
        <w:spacing w:line="276" w:lineRule="auto"/>
        <w:rPr>
          <w:rFonts w:ascii="Arial Narrow" w:hAnsi="Arial Narrow"/>
          <w:b/>
        </w:rPr>
      </w:pPr>
      <w:bookmarkStart w:id="786" w:name="_Toc136429267"/>
      <w:r w:rsidRPr="00CE357F">
        <w:rPr>
          <w:rFonts w:ascii="Arial Narrow" w:hAnsi="Arial Narrow"/>
          <w:b/>
          <w:sz w:val="20"/>
          <w:szCs w:val="20"/>
        </w:rPr>
        <w:t xml:space="preserve">Tabulka </w:t>
      </w:r>
      <w:r w:rsidRPr="00CE357F">
        <w:rPr>
          <w:rFonts w:ascii="Arial Narrow" w:hAnsi="Arial Narrow"/>
          <w:b/>
          <w:sz w:val="20"/>
          <w:szCs w:val="20"/>
        </w:rPr>
        <w:fldChar w:fldCharType="begin"/>
      </w:r>
      <w:r w:rsidRPr="00CE357F">
        <w:rPr>
          <w:rFonts w:ascii="Arial Narrow" w:hAnsi="Arial Narrow"/>
          <w:b/>
          <w:sz w:val="20"/>
          <w:szCs w:val="20"/>
        </w:rPr>
        <w:instrText xml:space="preserve"> SEQ Tabulka \* ARABIC </w:instrText>
      </w:r>
      <w:r w:rsidRPr="00CE357F">
        <w:rPr>
          <w:rFonts w:ascii="Arial Narrow" w:hAnsi="Arial Narrow"/>
          <w:b/>
          <w:sz w:val="20"/>
          <w:szCs w:val="20"/>
        </w:rPr>
        <w:fldChar w:fldCharType="separate"/>
      </w:r>
      <w:r w:rsidR="00256C97">
        <w:rPr>
          <w:rFonts w:ascii="Arial Narrow" w:hAnsi="Arial Narrow"/>
          <w:b/>
          <w:noProof/>
          <w:sz w:val="20"/>
          <w:szCs w:val="20"/>
        </w:rPr>
        <w:t>56</w:t>
      </w:r>
      <w:r w:rsidRPr="00CE357F">
        <w:rPr>
          <w:rFonts w:ascii="Arial Narrow" w:hAnsi="Arial Narrow"/>
          <w:b/>
          <w:sz w:val="20"/>
          <w:szCs w:val="20"/>
        </w:rPr>
        <w:fldChar w:fldCharType="end"/>
      </w:r>
      <w:r w:rsidRPr="00CE357F">
        <w:rPr>
          <w:rFonts w:ascii="Arial Narrow" w:hAnsi="Arial Narrow"/>
          <w:b/>
          <w:sz w:val="20"/>
          <w:szCs w:val="20"/>
        </w:rPr>
        <w:t>: Vývoj počtu obyvatel v ORP Tišnov v letech 2005-202</w:t>
      </w:r>
      <w:r w:rsidR="00F32F86">
        <w:rPr>
          <w:rFonts w:ascii="Arial Narrow" w:hAnsi="Arial Narrow"/>
          <w:b/>
          <w:sz w:val="20"/>
          <w:szCs w:val="20"/>
        </w:rPr>
        <w:t>1</w:t>
      </w:r>
      <w:bookmarkEnd w:id="786"/>
    </w:p>
    <w:tbl>
      <w:tblPr>
        <w:tblpPr w:leftFromText="141" w:rightFromText="141" w:vertAnchor="text" w:tblpXSpec="center" w:tblpY="1"/>
        <w:tblW w:w="4927"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418"/>
        <w:gridCol w:w="1842"/>
        <w:gridCol w:w="2410"/>
        <w:gridCol w:w="1134"/>
        <w:gridCol w:w="851"/>
        <w:gridCol w:w="1275"/>
      </w:tblGrid>
      <w:tr w:rsidR="00C475C3" w:rsidRPr="00CE357F" w14:paraId="35D4DD65" w14:textId="77777777" w:rsidTr="00C475C3">
        <w:trPr>
          <w:trHeight w:val="271"/>
          <w:jc w:val="center"/>
        </w:trPr>
        <w:tc>
          <w:tcPr>
            <w:tcW w:w="1418" w:type="dxa"/>
            <w:vMerge w:val="restart"/>
            <w:shd w:val="clear" w:color="auto" w:fill="D9E2F3" w:themeFill="accent1" w:themeFillTint="33"/>
            <w:vAlign w:val="center"/>
            <w:hideMark/>
          </w:tcPr>
          <w:p w14:paraId="03414DCA" w14:textId="77777777" w:rsidR="00C475C3" w:rsidRPr="00CE357F" w:rsidRDefault="00C475C3" w:rsidP="00C475C3">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Rok</w:t>
            </w:r>
          </w:p>
          <w:p w14:paraId="7B51EBB6" w14:textId="398D50EB" w:rsidR="00C475C3" w:rsidRPr="00F951BF" w:rsidRDefault="00C475C3" w:rsidP="00C475C3">
            <w:pPr>
              <w:jc w:val="center"/>
              <w:rPr>
                <w:rFonts w:ascii="Arial Narrow" w:hAnsi="Arial Narrow" w:cstheme="minorBidi"/>
                <w:sz w:val="18"/>
                <w:szCs w:val="18"/>
              </w:rPr>
            </w:pPr>
            <w:r w:rsidRPr="00F951BF">
              <w:rPr>
                <w:rFonts w:ascii="Arial Narrow" w:eastAsia="Times New Roman" w:hAnsi="Arial Narrow" w:cs="Arial"/>
                <w:sz w:val="18"/>
                <w:szCs w:val="18"/>
                <w:lang w:eastAsia="cs-CZ"/>
              </w:rPr>
              <w:t>(k 31. 12.)</w:t>
            </w:r>
            <w:r w:rsidR="00F951BF" w:rsidRPr="00F951BF">
              <w:rPr>
                <w:rStyle w:val="Znakapoznpodarou"/>
                <w:rFonts w:ascii="Arial Narrow" w:eastAsia="Times New Roman" w:hAnsi="Arial Narrow" w:cs="Arial"/>
                <w:sz w:val="18"/>
                <w:szCs w:val="18"/>
                <w:lang w:eastAsia="cs-CZ"/>
              </w:rPr>
              <w:footnoteReference w:id="98"/>
            </w:r>
          </w:p>
        </w:tc>
        <w:tc>
          <w:tcPr>
            <w:tcW w:w="1842" w:type="dxa"/>
            <w:vMerge w:val="restart"/>
            <w:shd w:val="clear" w:color="auto" w:fill="D9E2F3" w:themeFill="accent1" w:themeFillTint="33"/>
            <w:vAlign w:val="center"/>
            <w:hideMark/>
          </w:tcPr>
          <w:p w14:paraId="10CCA134" w14:textId="77777777" w:rsidR="00C475C3" w:rsidRPr="00CE357F" w:rsidRDefault="00C475C3" w:rsidP="00C475C3">
            <w:pPr>
              <w:jc w:val="center"/>
              <w:rPr>
                <w:rFonts w:ascii="Arial Narrow" w:hAnsi="Arial Narrow"/>
                <w:sz w:val="18"/>
                <w:szCs w:val="18"/>
              </w:rPr>
            </w:pPr>
            <w:r w:rsidRPr="00CE357F">
              <w:rPr>
                <w:rFonts w:ascii="Arial Narrow" w:eastAsia="Times New Roman" w:hAnsi="Arial Narrow" w:cs="Arial"/>
                <w:sz w:val="18"/>
                <w:szCs w:val="18"/>
                <w:lang w:eastAsia="cs-CZ"/>
              </w:rPr>
              <w:t>Počet obyvatel celkem</w:t>
            </w:r>
          </w:p>
        </w:tc>
        <w:tc>
          <w:tcPr>
            <w:tcW w:w="2410" w:type="dxa"/>
            <w:vMerge w:val="restart"/>
            <w:shd w:val="clear" w:color="auto" w:fill="D9E2F3" w:themeFill="accent1" w:themeFillTint="33"/>
            <w:vAlign w:val="center"/>
          </w:tcPr>
          <w:p w14:paraId="15510A81" w14:textId="77777777" w:rsidR="00C475C3" w:rsidRPr="00CE357F" w:rsidRDefault="00C475C3" w:rsidP="00C475C3">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obyvatel na celkovém počtu obyvatel v JMK</w:t>
            </w:r>
          </w:p>
        </w:tc>
        <w:tc>
          <w:tcPr>
            <w:tcW w:w="1985" w:type="dxa"/>
            <w:gridSpan w:val="2"/>
            <w:shd w:val="clear" w:color="auto" w:fill="D9E2F3" w:themeFill="accent1" w:themeFillTint="33"/>
            <w:vAlign w:val="center"/>
          </w:tcPr>
          <w:p w14:paraId="610CBCB2" w14:textId="77777777" w:rsidR="00C475C3" w:rsidRPr="00CE357F" w:rsidRDefault="00C475C3" w:rsidP="00C475C3">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toho</w:t>
            </w:r>
          </w:p>
        </w:tc>
        <w:tc>
          <w:tcPr>
            <w:tcW w:w="1275" w:type="dxa"/>
            <w:vMerge w:val="restart"/>
            <w:shd w:val="clear" w:color="auto" w:fill="D9E2F3" w:themeFill="accent1" w:themeFillTint="33"/>
            <w:vAlign w:val="center"/>
          </w:tcPr>
          <w:p w14:paraId="40AFDD98" w14:textId="77777777" w:rsidR="00C475C3" w:rsidRPr="00CE357F" w:rsidRDefault="00C475C3" w:rsidP="00C475C3">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Průměrný věk</w:t>
            </w:r>
          </w:p>
        </w:tc>
      </w:tr>
      <w:tr w:rsidR="00C475C3" w:rsidRPr="00CE357F" w14:paraId="59C8D9A1" w14:textId="77777777" w:rsidTr="00C475C3">
        <w:trPr>
          <w:trHeight w:val="275"/>
          <w:jc w:val="center"/>
        </w:trPr>
        <w:tc>
          <w:tcPr>
            <w:tcW w:w="1418" w:type="dxa"/>
            <w:vMerge/>
            <w:hideMark/>
          </w:tcPr>
          <w:p w14:paraId="423E48FA" w14:textId="77777777" w:rsidR="00C475C3" w:rsidRPr="00CE357F" w:rsidRDefault="00C475C3" w:rsidP="00C475C3">
            <w:pPr>
              <w:rPr>
                <w:rFonts w:ascii="Arial Narrow" w:hAnsi="Arial Narrow"/>
                <w:sz w:val="18"/>
                <w:szCs w:val="18"/>
              </w:rPr>
            </w:pPr>
          </w:p>
        </w:tc>
        <w:tc>
          <w:tcPr>
            <w:tcW w:w="1842" w:type="dxa"/>
            <w:vMerge/>
            <w:hideMark/>
          </w:tcPr>
          <w:p w14:paraId="6A827E20" w14:textId="77777777" w:rsidR="00C475C3" w:rsidRPr="00CE357F" w:rsidRDefault="00C475C3" w:rsidP="00C475C3">
            <w:pPr>
              <w:rPr>
                <w:rFonts w:ascii="Arial Narrow" w:hAnsi="Arial Narrow"/>
                <w:sz w:val="18"/>
                <w:szCs w:val="18"/>
              </w:rPr>
            </w:pPr>
          </w:p>
        </w:tc>
        <w:tc>
          <w:tcPr>
            <w:tcW w:w="2410" w:type="dxa"/>
            <w:vMerge/>
          </w:tcPr>
          <w:p w14:paraId="2B2D93A1" w14:textId="77777777" w:rsidR="00C475C3" w:rsidRPr="00CE357F" w:rsidRDefault="00C475C3" w:rsidP="00C475C3">
            <w:pPr>
              <w:jc w:val="center"/>
              <w:rPr>
                <w:rFonts w:ascii="Arial Narrow" w:hAnsi="Arial Narrow"/>
                <w:sz w:val="18"/>
                <w:szCs w:val="18"/>
              </w:rPr>
            </w:pPr>
          </w:p>
        </w:tc>
        <w:tc>
          <w:tcPr>
            <w:tcW w:w="1134" w:type="dxa"/>
            <w:shd w:val="clear" w:color="auto" w:fill="D9E2F3" w:themeFill="accent1" w:themeFillTint="33"/>
            <w:vAlign w:val="center"/>
          </w:tcPr>
          <w:p w14:paraId="0E854096" w14:textId="77777777" w:rsidR="00C475C3" w:rsidRPr="00CE357F" w:rsidRDefault="00C475C3" w:rsidP="00C475C3">
            <w:pPr>
              <w:jc w:val="center"/>
              <w:rPr>
                <w:rFonts w:ascii="Arial Narrow" w:hAnsi="Arial Narrow"/>
                <w:b/>
                <w:bCs/>
                <w:sz w:val="18"/>
                <w:szCs w:val="18"/>
              </w:rPr>
            </w:pPr>
            <w:r w:rsidRPr="00CE357F">
              <w:rPr>
                <w:rFonts w:ascii="Arial Narrow" w:hAnsi="Arial Narrow"/>
                <w:b/>
                <w:bCs/>
                <w:sz w:val="18"/>
                <w:szCs w:val="18"/>
              </w:rPr>
              <w:t>Muži</w:t>
            </w:r>
          </w:p>
        </w:tc>
        <w:tc>
          <w:tcPr>
            <w:tcW w:w="851" w:type="dxa"/>
            <w:shd w:val="clear" w:color="auto" w:fill="D9E2F3" w:themeFill="accent1" w:themeFillTint="33"/>
            <w:vAlign w:val="center"/>
          </w:tcPr>
          <w:p w14:paraId="290B7DB4" w14:textId="77777777" w:rsidR="00C475C3" w:rsidRPr="00CE357F" w:rsidRDefault="00C475C3" w:rsidP="00C475C3">
            <w:pPr>
              <w:jc w:val="center"/>
              <w:rPr>
                <w:rFonts w:ascii="Arial Narrow" w:hAnsi="Arial Narrow"/>
                <w:b/>
                <w:bCs/>
                <w:sz w:val="18"/>
                <w:szCs w:val="18"/>
              </w:rPr>
            </w:pPr>
            <w:r w:rsidRPr="00CE357F">
              <w:rPr>
                <w:rFonts w:ascii="Arial Narrow" w:hAnsi="Arial Narrow"/>
                <w:b/>
                <w:bCs/>
                <w:sz w:val="18"/>
                <w:szCs w:val="18"/>
              </w:rPr>
              <w:t>Ženy</w:t>
            </w:r>
          </w:p>
        </w:tc>
        <w:tc>
          <w:tcPr>
            <w:tcW w:w="1275" w:type="dxa"/>
            <w:vMerge/>
          </w:tcPr>
          <w:p w14:paraId="38E2399C" w14:textId="77777777" w:rsidR="00C475C3" w:rsidRPr="00CE357F" w:rsidRDefault="00C475C3" w:rsidP="00C475C3">
            <w:pPr>
              <w:jc w:val="center"/>
              <w:rPr>
                <w:rFonts w:ascii="Arial Narrow" w:hAnsi="Arial Narrow"/>
                <w:color w:val="FFFFFF" w:themeColor="background1"/>
                <w:sz w:val="18"/>
                <w:szCs w:val="18"/>
              </w:rPr>
            </w:pPr>
          </w:p>
        </w:tc>
      </w:tr>
      <w:tr w:rsidR="001B5FC8" w:rsidRPr="00CE357F" w14:paraId="1B40960B" w14:textId="77777777" w:rsidTr="00C475C3">
        <w:trPr>
          <w:trHeight w:val="204"/>
          <w:jc w:val="center"/>
        </w:trPr>
        <w:tc>
          <w:tcPr>
            <w:tcW w:w="1418" w:type="dxa"/>
            <w:shd w:val="clear" w:color="auto" w:fill="D9E2F3" w:themeFill="accent1" w:themeFillTint="33"/>
            <w:vAlign w:val="center"/>
          </w:tcPr>
          <w:p w14:paraId="6BAD4D3F" w14:textId="05DD5A5B" w:rsidR="001B5FC8" w:rsidRPr="00CE357F" w:rsidRDefault="001B5FC8" w:rsidP="001B5FC8">
            <w:pPr>
              <w:jc w:val="center"/>
              <w:rPr>
                <w:rFonts w:ascii="Arial Narrow" w:hAnsi="Arial Narrow"/>
                <w:sz w:val="18"/>
                <w:szCs w:val="18"/>
              </w:rPr>
            </w:pPr>
            <w:r>
              <w:rPr>
                <w:rFonts w:ascii="Arial Narrow" w:hAnsi="Arial Narrow"/>
                <w:sz w:val="18"/>
                <w:szCs w:val="18"/>
              </w:rPr>
              <w:t>2021</w:t>
            </w:r>
          </w:p>
        </w:tc>
        <w:tc>
          <w:tcPr>
            <w:tcW w:w="1842" w:type="dxa"/>
            <w:vAlign w:val="center"/>
          </w:tcPr>
          <w:p w14:paraId="72794B84" w14:textId="17DFF61B" w:rsidR="001B5FC8" w:rsidRPr="00CE357F" w:rsidRDefault="001B5FC8" w:rsidP="001B5FC8">
            <w:pPr>
              <w:jc w:val="center"/>
              <w:rPr>
                <w:rFonts w:ascii="Arial Narrow" w:hAnsi="Arial Narrow"/>
                <w:b/>
                <w:sz w:val="18"/>
                <w:szCs w:val="18"/>
              </w:rPr>
            </w:pPr>
            <w:r>
              <w:rPr>
                <w:rFonts w:ascii="Arial Narrow" w:hAnsi="Arial Narrow"/>
                <w:b/>
                <w:sz w:val="18"/>
                <w:szCs w:val="18"/>
              </w:rPr>
              <w:t>31 853</w:t>
            </w:r>
          </w:p>
        </w:tc>
        <w:tc>
          <w:tcPr>
            <w:tcW w:w="2410" w:type="dxa"/>
            <w:vAlign w:val="center"/>
          </w:tcPr>
          <w:p w14:paraId="3252FADE" w14:textId="05F12142" w:rsidR="001B5FC8" w:rsidRPr="00CE357F" w:rsidRDefault="001B5FC8" w:rsidP="001B5FC8">
            <w:pPr>
              <w:jc w:val="center"/>
              <w:rPr>
                <w:rFonts w:ascii="Arial Narrow" w:hAnsi="Arial Narrow"/>
                <w:color w:val="000000"/>
                <w:sz w:val="18"/>
                <w:szCs w:val="18"/>
              </w:rPr>
            </w:pPr>
            <w:r>
              <w:rPr>
                <w:rFonts w:ascii="Arial Narrow" w:hAnsi="Arial Narrow"/>
                <w:color w:val="000000"/>
                <w:sz w:val="18"/>
                <w:szCs w:val="18"/>
              </w:rPr>
              <w:t>2,7 %</w:t>
            </w:r>
          </w:p>
        </w:tc>
        <w:tc>
          <w:tcPr>
            <w:tcW w:w="1134" w:type="dxa"/>
            <w:vAlign w:val="center"/>
          </w:tcPr>
          <w:p w14:paraId="346EF07D" w14:textId="0E95A457" w:rsidR="001B5FC8" w:rsidRPr="00CE357F" w:rsidRDefault="001B5FC8" w:rsidP="001B5FC8">
            <w:pPr>
              <w:jc w:val="center"/>
              <w:rPr>
                <w:rFonts w:ascii="Arial Narrow" w:hAnsi="Arial Narrow"/>
                <w:sz w:val="18"/>
                <w:szCs w:val="18"/>
              </w:rPr>
            </w:pPr>
            <w:r>
              <w:rPr>
                <w:rFonts w:ascii="Arial Narrow" w:hAnsi="Arial Narrow"/>
                <w:sz w:val="18"/>
                <w:szCs w:val="18"/>
              </w:rPr>
              <w:t>15 701</w:t>
            </w:r>
          </w:p>
        </w:tc>
        <w:tc>
          <w:tcPr>
            <w:tcW w:w="851" w:type="dxa"/>
            <w:vAlign w:val="center"/>
          </w:tcPr>
          <w:p w14:paraId="1F0CBD16" w14:textId="1DCE5C66" w:rsidR="001B5FC8" w:rsidRPr="00CE357F" w:rsidRDefault="001B5FC8" w:rsidP="001B5FC8">
            <w:pPr>
              <w:jc w:val="center"/>
              <w:rPr>
                <w:rFonts w:ascii="Arial Narrow" w:hAnsi="Arial Narrow"/>
                <w:sz w:val="18"/>
                <w:szCs w:val="18"/>
              </w:rPr>
            </w:pPr>
            <w:r>
              <w:rPr>
                <w:rFonts w:ascii="Arial Narrow" w:hAnsi="Arial Narrow"/>
                <w:sz w:val="18"/>
                <w:szCs w:val="18"/>
              </w:rPr>
              <w:t>16 152</w:t>
            </w:r>
          </w:p>
        </w:tc>
        <w:tc>
          <w:tcPr>
            <w:tcW w:w="1275" w:type="dxa"/>
            <w:vAlign w:val="center"/>
          </w:tcPr>
          <w:p w14:paraId="46BEA805" w14:textId="10BB70C7" w:rsidR="001B5FC8" w:rsidRPr="00CE357F" w:rsidRDefault="001B5FC8" w:rsidP="001B5FC8">
            <w:pPr>
              <w:jc w:val="center"/>
              <w:rPr>
                <w:rFonts w:ascii="Arial Narrow" w:hAnsi="Arial Narrow"/>
                <w:sz w:val="18"/>
                <w:szCs w:val="18"/>
              </w:rPr>
            </w:pPr>
            <w:r>
              <w:rPr>
                <w:rFonts w:ascii="Arial Narrow" w:hAnsi="Arial Narrow"/>
                <w:sz w:val="18"/>
                <w:szCs w:val="18"/>
              </w:rPr>
              <w:t>41,7</w:t>
            </w:r>
          </w:p>
        </w:tc>
      </w:tr>
      <w:tr w:rsidR="001B5FC8" w:rsidRPr="00CE357F" w14:paraId="57F4029B" w14:textId="77777777" w:rsidTr="00C475C3">
        <w:trPr>
          <w:trHeight w:val="204"/>
          <w:jc w:val="center"/>
        </w:trPr>
        <w:tc>
          <w:tcPr>
            <w:tcW w:w="1418" w:type="dxa"/>
            <w:shd w:val="clear" w:color="auto" w:fill="D9E2F3" w:themeFill="accent1" w:themeFillTint="33"/>
            <w:vAlign w:val="center"/>
          </w:tcPr>
          <w:p w14:paraId="0951EC07"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2020</w:t>
            </w:r>
          </w:p>
        </w:tc>
        <w:tc>
          <w:tcPr>
            <w:tcW w:w="1842" w:type="dxa"/>
            <w:vAlign w:val="center"/>
          </w:tcPr>
          <w:p w14:paraId="26D889A8"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31 895</w:t>
            </w:r>
          </w:p>
        </w:tc>
        <w:tc>
          <w:tcPr>
            <w:tcW w:w="2410" w:type="dxa"/>
            <w:vAlign w:val="center"/>
          </w:tcPr>
          <w:p w14:paraId="5C25C5F3"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2,7 %</w:t>
            </w:r>
          </w:p>
        </w:tc>
        <w:tc>
          <w:tcPr>
            <w:tcW w:w="1134" w:type="dxa"/>
            <w:vAlign w:val="center"/>
          </w:tcPr>
          <w:p w14:paraId="3027E5E7"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15 704</w:t>
            </w:r>
          </w:p>
        </w:tc>
        <w:tc>
          <w:tcPr>
            <w:tcW w:w="851" w:type="dxa"/>
            <w:vAlign w:val="center"/>
          </w:tcPr>
          <w:p w14:paraId="05AB949B"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16 191</w:t>
            </w:r>
          </w:p>
        </w:tc>
        <w:tc>
          <w:tcPr>
            <w:tcW w:w="1275" w:type="dxa"/>
            <w:vAlign w:val="center"/>
          </w:tcPr>
          <w:p w14:paraId="2270AEF0"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 xml:space="preserve">41,6 </w:t>
            </w:r>
          </w:p>
        </w:tc>
      </w:tr>
      <w:tr w:rsidR="001B5FC8" w:rsidRPr="00CE357F" w14:paraId="35030F85" w14:textId="77777777" w:rsidTr="00C475C3">
        <w:trPr>
          <w:trHeight w:val="204"/>
          <w:jc w:val="center"/>
        </w:trPr>
        <w:tc>
          <w:tcPr>
            <w:tcW w:w="1418" w:type="dxa"/>
            <w:shd w:val="clear" w:color="auto" w:fill="D9E2F3" w:themeFill="accent1" w:themeFillTint="33"/>
            <w:vAlign w:val="center"/>
          </w:tcPr>
          <w:p w14:paraId="4714D0D8"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2019</w:t>
            </w:r>
          </w:p>
        </w:tc>
        <w:tc>
          <w:tcPr>
            <w:tcW w:w="1842" w:type="dxa"/>
            <w:vAlign w:val="center"/>
          </w:tcPr>
          <w:p w14:paraId="049CD4D3"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31 725</w:t>
            </w:r>
          </w:p>
        </w:tc>
        <w:tc>
          <w:tcPr>
            <w:tcW w:w="2410" w:type="dxa"/>
            <w:vAlign w:val="center"/>
          </w:tcPr>
          <w:p w14:paraId="0F9D5AC7"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2,7 %</w:t>
            </w:r>
          </w:p>
        </w:tc>
        <w:tc>
          <w:tcPr>
            <w:tcW w:w="1134" w:type="dxa"/>
            <w:vAlign w:val="center"/>
          </w:tcPr>
          <w:p w14:paraId="22B039A5"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15 630</w:t>
            </w:r>
          </w:p>
        </w:tc>
        <w:tc>
          <w:tcPr>
            <w:tcW w:w="851" w:type="dxa"/>
            <w:vAlign w:val="center"/>
          </w:tcPr>
          <w:p w14:paraId="5DA02F01"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16 095</w:t>
            </w:r>
          </w:p>
        </w:tc>
        <w:tc>
          <w:tcPr>
            <w:tcW w:w="1275" w:type="dxa"/>
            <w:vAlign w:val="center"/>
          </w:tcPr>
          <w:p w14:paraId="65381ED0"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41,6</w:t>
            </w:r>
          </w:p>
        </w:tc>
      </w:tr>
      <w:tr w:rsidR="001B5FC8" w:rsidRPr="00CE357F" w14:paraId="1FD5DACB" w14:textId="77777777" w:rsidTr="00C475C3">
        <w:trPr>
          <w:trHeight w:val="300"/>
          <w:jc w:val="center"/>
        </w:trPr>
        <w:tc>
          <w:tcPr>
            <w:tcW w:w="1418" w:type="dxa"/>
            <w:shd w:val="clear" w:color="auto" w:fill="D9E2F3" w:themeFill="accent1" w:themeFillTint="33"/>
            <w:vAlign w:val="center"/>
          </w:tcPr>
          <w:p w14:paraId="517721C1"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2018</w:t>
            </w:r>
          </w:p>
        </w:tc>
        <w:tc>
          <w:tcPr>
            <w:tcW w:w="1842" w:type="dxa"/>
            <w:vAlign w:val="center"/>
          </w:tcPr>
          <w:p w14:paraId="6256CB0B"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31 482</w:t>
            </w:r>
          </w:p>
        </w:tc>
        <w:tc>
          <w:tcPr>
            <w:tcW w:w="2410" w:type="dxa"/>
            <w:vAlign w:val="center"/>
          </w:tcPr>
          <w:p w14:paraId="36B84E59"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2,7 %</w:t>
            </w:r>
          </w:p>
        </w:tc>
        <w:tc>
          <w:tcPr>
            <w:tcW w:w="1134" w:type="dxa"/>
            <w:vAlign w:val="center"/>
          </w:tcPr>
          <w:p w14:paraId="57A26EA4"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15 508</w:t>
            </w:r>
          </w:p>
        </w:tc>
        <w:tc>
          <w:tcPr>
            <w:tcW w:w="851" w:type="dxa"/>
            <w:vAlign w:val="center"/>
          </w:tcPr>
          <w:p w14:paraId="0D7B8045"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15 974</w:t>
            </w:r>
          </w:p>
        </w:tc>
        <w:tc>
          <w:tcPr>
            <w:tcW w:w="1275" w:type="dxa"/>
            <w:vAlign w:val="center"/>
          </w:tcPr>
          <w:p w14:paraId="55F47FC0"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41,5</w:t>
            </w:r>
          </w:p>
        </w:tc>
      </w:tr>
      <w:tr w:rsidR="001B5FC8" w:rsidRPr="00CE357F" w14:paraId="1CCCEAF5" w14:textId="77777777" w:rsidTr="00C475C3">
        <w:trPr>
          <w:trHeight w:val="204"/>
          <w:jc w:val="center"/>
        </w:trPr>
        <w:tc>
          <w:tcPr>
            <w:tcW w:w="1418" w:type="dxa"/>
            <w:shd w:val="clear" w:color="auto" w:fill="D9E2F3" w:themeFill="accent1" w:themeFillTint="33"/>
            <w:vAlign w:val="center"/>
          </w:tcPr>
          <w:p w14:paraId="6A3762C1"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2017</w:t>
            </w:r>
          </w:p>
        </w:tc>
        <w:tc>
          <w:tcPr>
            <w:tcW w:w="1842" w:type="dxa"/>
            <w:vAlign w:val="center"/>
          </w:tcPr>
          <w:p w14:paraId="69D46B1D"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31 167</w:t>
            </w:r>
          </w:p>
        </w:tc>
        <w:tc>
          <w:tcPr>
            <w:tcW w:w="2410" w:type="dxa"/>
            <w:vAlign w:val="center"/>
          </w:tcPr>
          <w:p w14:paraId="151E320C"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2,6 %</w:t>
            </w:r>
          </w:p>
        </w:tc>
        <w:tc>
          <w:tcPr>
            <w:tcW w:w="1134" w:type="dxa"/>
            <w:vAlign w:val="center"/>
          </w:tcPr>
          <w:p w14:paraId="4272A929"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15 351</w:t>
            </w:r>
          </w:p>
        </w:tc>
        <w:tc>
          <w:tcPr>
            <w:tcW w:w="851" w:type="dxa"/>
            <w:vAlign w:val="center"/>
          </w:tcPr>
          <w:p w14:paraId="43D06994"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15 816</w:t>
            </w:r>
          </w:p>
        </w:tc>
        <w:tc>
          <w:tcPr>
            <w:tcW w:w="1275" w:type="dxa"/>
            <w:vAlign w:val="center"/>
          </w:tcPr>
          <w:p w14:paraId="2D6F2AE2"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41,5</w:t>
            </w:r>
          </w:p>
        </w:tc>
      </w:tr>
      <w:tr w:rsidR="001B5FC8" w:rsidRPr="00CE357F" w14:paraId="6BC3CBEC" w14:textId="77777777" w:rsidTr="00C475C3">
        <w:trPr>
          <w:trHeight w:val="204"/>
          <w:jc w:val="center"/>
        </w:trPr>
        <w:tc>
          <w:tcPr>
            <w:tcW w:w="1418" w:type="dxa"/>
            <w:shd w:val="clear" w:color="auto" w:fill="D9E2F3" w:themeFill="accent1" w:themeFillTint="33"/>
            <w:vAlign w:val="center"/>
          </w:tcPr>
          <w:p w14:paraId="7C5E7E16"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2016</w:t>
            </w:r>
          </w:p>
        </w:tc>
        <w:tc>
          <w:tcPr>
            <w:tcW w:w="1842" w:type="dxa"/>
            <w:vAlign w:val="center"/>
          </w:tcPr>
          <w:p w14:paraId="5017FDF7"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30 836</w:t>
            </w:r>
          </w:p>
        </w:tc>
        <w:tc>
          <w:tcPr>
            <w:tcW w:w="2410" w:type="dxa"/>
            <w:vAlign w:val="center"/>
          </w:tcPr>
          <w:p w14:paraId="4376BCD4"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2,6 %</w:t>
            </w:r>
          </w:p>
        </w:tc>
        <w:tc>
          <w:tcPr>
            <w:tcW w:w="1134" w:type="dxa"/>
            <w:vAlign w:val="center"/>
          </w:tcPr>
          <w:p w14:paraId="3D36F186"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15 180</w:t>
            </w:r>
          </w:p>
        </w:tc>
        <w:tc>
          <w:tcPr>
            <w:tcW w:w="851" w:type="dxa"/>
            <w:vAlign w:val="center"/>
          </w:tcPr>
          <w:p w14:paraId="7FDC79B8"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15 656</w:t>
            </w:r>
          </w:p>
        </w:tc>
        <w:tc>
          <w:tcPr>
            <w:tcW w:w="1275" w:type="dxa"/>
            <w:vAlign w:val="center"/>
          </w:tcPr>
          <w:p w14:paraId="48367218"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41,5</w:t>
            </w:r>
          </w:p>
        </w:tc>
      </w:tr>
      <w:tr w:rsidR="001B5FC8" w:rsidRPr="00CE357F" w14:paraId="38F97135" w14:textId="77777777" w:rsidTr="00C475C3">
        <w:trPr>
          <w:trHeight w:val="204"/>
          <w:jc w:val="center"/>
        </w:trPr>
        <w:tc>
          <w:tcPr>
            <w:tcW w:w="1418" w:type="dxa"/>
            <w:shd w:val="clear" w:color="auto" w:fill="D9E2F3" w:themeFill="accent1" w:themeFillTint="33"/>
            <w:vAlign w:val="center"/>
          </w:tcPr>
          <w:p w14:paraId="51730855"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2015</w:t>
            </w:r>
          </w:p>
        </w:tc>
        <w:tc>
          <w:tcPr>
            <w:tcW w:w="1842" w:type="dxa"/>
            <w:vAlign w:val="center"/>
          </w:tcPr>
          <w:p w14:paraId="4513786D"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30 553</w:t>
            </w:r>
          </w:p>
        </w:tc>
        <w:tc>
          <w:tcPr>
            <w:tcW w:w="2410" w:type="dxa"/>
            <w:vAlign w:val="center"/>
          </w:tcPr>
          <w:p w14:paraId="16FFB562"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2,6 %</w:t>
            </w:r>
          </w:p>
        </w:tc>
        <w:tc>
          <w:tcPr>
            <w:tcW w:w="1134" w:type="dxa"/>
            <w:vAlign w:val="center"/>
          </w:tcPr>
          <w:p w14:paraId="6ADE2486"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15 039</w:t>
            </w:r>
          </w:p>
        </w:tc>
        <w:tc>
          <w:tcPr>
            <w:tcW w:w="851" w:type="dxa"/>
            <w:vAlign w:val="center"/>
          </w:tcPr>
          <w:p w14:paraId="672C2429"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15 514</w:t>
            </w:r>
          </w:p>
        </w:tc>
        <w:tc>
          <w:tcPr>
            <w:tcW w:w="1275" w:type="dxa"/>
            <w:vAlign w:val="center"/>
          </w:tcPr>
          <w:p w14:paraId="23741FEC"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41,4</w:t>
            </w:r>
          </w:p>
        </w:tc>
      </w:tr>
      <w:tr w:rsidR="001B5FC8" w:rsidRPr="00CE357F" w14:paraId="31132914" w14:textId="77777777" w:rsidTr="00C475C3">
        <w:trPr>
          <w:trHeight w:val="204"/>
          <w:jc w:val="center"/>
        </w:trPr>
        <w:tc>
          <w:tcPr>
            <w:tcW w:w="1418" w:type="dxa"/>
            <w:shd w:val="clear" w:color="auto" w:fill="D9E2F3" w:themeFill="accent1" w:themeFillTint="33"/>
            <w:vAlign w:val="center"/>
          </w:tcPr>
          <w:p w14:paraId="5478DB3D"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2014</w:t>
            </w:r>
          </w:p>
        </w:tc>
        <w:tc>
          <w:tcPr>
            <w:tcW w:w="1842" w:type="dxa"/>
            <w:vAlign w:val="center"/>
          </w:tcPr>
          <w:p w14:paraId="3B7F9CF6"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30 248</w:t>
            </w:r>
          </w:p>
        </w:tc>
        <w:tc>
          <w:tcPr>
            <w:tcW w:w="2410" w:type="dxa"/>
            <w:vAlign w:val="center"/>
          </w:tcPr>
          <w:p w14:paraId="29B54F21"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2,6 %</w:t>
            </w:r>
          </w:p>
        </w:tc>
        <w:tc>
          <w:tcPr>
            <w:tcW w:w="1134" w:type="dxa"/>
            <w:vAlign w:val="center"/>
          </w:tcPr>
          <w:p w14:paraId="2BA95C96"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14 869</w:t>
            </w:r>
          </w:p>
        </w:tc>
        <w:tc>
          <w:tcPr>
            <w:tcW w:w="851" w:type="dxa"/>
            <w:vAlign w:val="center"/>
          </w:tcPr>
          <w:p w14:paraId="1B51B7CB"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15 379</w:t>
            </w:r>
          </w:p>
        </w:tc>
        <w:tc>
          <w:tcPr>
            <w:tcW w:w="1275" w:type="dxa"/>
            <w:vAlign w:val="center"/>
          </w:tcPr>
          <w:p w14:paraId="29049D4C"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41,4</w:t>
            </w:r>
          </w:p>
        </w:tc>
      </w:tr>
      <w:tr w:rsidR="001B5FC8" w:rsidRPr="00CE357F" w14:paraId="07C1A7FD" w14:textId="77777777" w:rsidTr="00C475C3">
        <w:trPr>
          <w:trHeight w:val="204"/>
          <w:jc w:val="center"/>
        </w:trPr>
        <w:tc>
          <w:tcPr>
            <w:tcW w:w="1418" w:type="dxa"/>
            <w:shd w:val="clear" w:color="auto" w:fill="D9E2F3" w:themeFill="accent1" w:themeFillTint="33"/>
            <w:vAlign w:val="center"/>
          </w:tcPr>
          <w:p w14:paraId="471BAE25"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2013</w:t>
            </w:r>
          </w:p>
        </w:tc>
        <w:tc>
          <w:tcPr>
            <w:tcW w:w="1842" w:type="dxa"/>
            <w:vAlign w:val="center"/>
          </w:tcPr>
          <w:p w14:paraId="0BF49F08"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29 996</w:t>
            </w:r>
          </w:p>
        </w:tc>
        <w:tc>
          <w:tcPr>
            <w:tcW w:w="2410" w:type="dxa"/>
            <w:vAlign w:val="center"/>
          </w:tcPr>
          <w:p w14:paraId="4285A45D"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2,6 %</w:t>
            </w:r>
          </w:p>
        </w:tc>
        <w:tc>
          <w:tcPr>
            <w:tcW w:w="1134" w:type="dxa"/>
            <w:vAlign w:val="center"/>
          </w:tcPr>
          <w:p w14:paraId="1BFF4EF1"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14 750</w:t>
            </w:r>
          </w:p>
        </w:tc>
        <w:tc>
          <w:tcPr>
            <w:tcW w:w="851" w:type="dxa"/>
            <w:vAlign w:val="center"/>
          </w:tcPr>
          <w:p w14:paraId="2C842E25"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15 246</w:t>
            </w:r>
          </w:p>
        </w:tc>
        <w:tc>
          <w:tcPr>
            <w:tcW w:w="1275" w:type="dxa"/>
            <w:vAlign w:val="center"/>
          </w:tcPr>
          <w:p w14:paraId="65EB1CED"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41,3</w:t>
            </w:r>
          </w:p>
        </w:tc>
      </w:tr>
      <w:tr w:rsidR="001B5FC8" w:rsidRPr="00CE357F" w14:paraId="31F24C21" w14:textId="77777777" w:rsidTr="00C475C3">
        <w:trPr>
          <w:trHeight w:val="204"/>
          <w:jc w:val="center"/>
        </w:trPr>
        <w:tc>
          <w:tcPr>
            <w:tcW w:w="1418" w:type="dxa"/>
            <w:shd w:val="clear" w:color="auto" w:fill="D9E2F3" w:themeFill="accent1" w:themeFillTint="33"/>
            <w:vAlign w:val="center"/>
          </w:tcPr>
          <w:p w14:paraId="2B563A00"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2012</w:t>
            </w:r>
          </w:p>
        </w:tc>
        <w:tc>
          <w:tcPr>
            <w:tcW w:w="1842" w:type="dxa"/>
            <w:vAlign w:val="center"/>
          </w:tcPr>
          <w:p w14:paraId="25FBE878"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29 774</w:t>
            </w:r>
          </w:p>
        </w:tc>
        <w:tc>
          <w:tcPr>
            <w:tcW w:w="2410" w:type="dxa"/>
            <w:vAlign w:val="center"/>
          </w:tcPr>
          <w:p w14:paraId="4C120E99"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2,5 %</w:t>
            </w:r>
          </w:p>
        </w:tc>
        <w:tc>
          <w:tcPr>
            <w:tcW w:w="1134" w:type="dxa"/>
            <w:vAlign w:val="center"/>
          </w:tcPr>
          <w:p w14:paraId="6BC6D69A"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14 670</w:t>
            </w:r>
          </w:p>
        </w:tc>
        <w:tc>
          <w:tcPr>
            <w:tcW w:w="851" w:type="dxa"/>
            <w:vAlign w:val="center"/>
          </w:tcPr>
          <w:p w14:paraId="4623B5AD"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15 108</w:t>
            </w:r>
          </w:p>
        </w:tc>
        <w:tc>
          <w:tcPr>
            <w:tcW w:w="1275" w:type="dxa"/>
            <w:vAlign w:val="center"/>
          </w:tcPr>
          <w:p w14:paraId="62FD7EB2"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41,2</w:t>
            </w:r>
          </w:p>
        </w:tc>
      </w:tr>
      <w:tr w:rsidR="001B5FC8" w:rsidRPr="00CE357F" w14:paraId="2A9DE260" w14:textId="77777777" w:rsidTr="00C475C3">
        <w:trPr>
          <w:trHeight w:val="204"/>
          <w:jc w:val="center"/>
        </w:trPr>
        <w:tc>
          <w:tcPr>
            <w:tcW w:w="1418" w:type="dxa"/>
            <w:shd w:val="clear" w:color="auto" w:fill="D9E2F3" w:themeFill="accent1" w:themeFillTint="33"/>
            <w:vAlign w:val="center"/>
          </w:tcPr>
          <w:p w14:paraId="375F632F"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2011</w:t>
            </w:r>
          </w:p>
        </w:tc>
        <w:tc>
          <w:tcPr>
            <w:tcW w:w="1842" w:type="dxa"/>
            <w:vAlign w:val="center"/>
          </w:tcPr>
          <w:p w14:paraId="616CC9B4"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29 491</w:t>
            </w:r>
          </w:p>
        </w:tc>
        <w:tc>
          <w:tcPr>
            <w:tcW w:w="2410" w:type="dxa"/>
            <w:vAlign w:val="center"/>
          </w:tcPr>
          <w:p w14:paraId="2582F11C"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2,5 %</w:t>
            </w:r>
          </w:p>
        </w:tc>
        <w:tc>
          <w:tcPr>
            <w:tcW w:w="1134" w:type="dxa"/>
            <w:vAlign w:val="center"/>
          </w:tcPr>
          <w:p w14:paraId="2B68762C"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14 546</w:t>
            </w:r>
          </w:p>
        </w:tc>
        <w:tc>
          <w:tcPr>
            <w:tcW w:w="851" w:type="dxa"/>
            <w:vAlign w:val="center"/>
          </w:tcPr>
          <w:p w14:paraId="618A35E6"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14 945</w:t>
            </w:r>
          </w:p>
        </w:tc>
        <w:tc>
          <w:tcPr>
            <w:tcW w:w="1275" w:type="dxa"/>
            <w:vAlign w:val="center"/>
          </w:tcPr>
          <w:p w14:paraId="0E429013"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41,1</w:t>
            </w:r>
          </w:p>
        </w:tc>
      </w:tr>
      <w:tr w:rsidR="001B5FC8" w:rsidRPr="00CE357F" w14:paraId="3E4B3A36" w14:textId="77777777" w:rsidTr="00C475C3">
        <w:trPr>
          <w:trHeight w:val="204"/>
          <w:jc w:val="center"/>
        </w:trPr>
        <w:tc>
          <w:tcPr>
            <w:tcW w:w="1418" w:type="dxa"/>
            <w:shd w:val="clear" w:color="auto" w:fill="D9E2F3" w:themeFill="accent1" w:themeFillTint="33"/>
            <w:vAlign w:val="center"/>
          </w:tcPr>
          <w:p w14:paraId="06023C91"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2010</w:t>
            </w:r>
          </w:p>
        </w:tc>
        <w:tc>
          <w:tcPr>
            <w:tcW w:w="1842" w:type="dxa"/>
            <w:vAlign w:val="center"/>
          </w:tcPr>
          <w:p w14:paraId="1EDA494A"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29 066</w:t>
            </w:r>
          </w:p>
        </w:tc>
        <w:tc>
          <w:tcPr>
            <w:tcW w:w="2410" w:type="dxa"/>
            <w:vAlign w:val="center"/>
          </w:tcPr>
          <w:p w14:paraId="373A61B8"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2,5 %</w:t>
            </w:r>
          </w:p>
        </w:tc>
        <w:tc>
          <w:tcPr>
            <w:tcW w:w="1134" w:type="dxa"/>
            <w:vAlign w:val="center"/>
          </w:tcPr>
          <w:p w14:paraId="55C38E68"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14 312</w:t>
            </w:r>
          </w:p>
        </w:tc>
        <w:tc>
          <w:tcPr>
            <w:tcW w:w="851" w:type="dxa"/>
            <w:vAlign w:val="center"/>
          </w:tcPr>
          <w:p w14:paraId="4A3B1F52"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14 754</w:t>
            </w:r>
          </w:p>
        </w:tc>
        <w:tc>
          <w:tcPr>
            <w:tcW w:w="1275" w:type="dxa"/>
            <w:vAlign w:val="center"/>
          </w:tcPr>
          <w:p w14:paraId="592D6A13"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41,1</w:t>
            </w:r>
          </w:p>
        </w:tc>
      </w:tr>
      <w:tr w:rsidR="001B5FC8" w:rsidRPr="00CE357F" w14:paraId="5FDA7261" w14:textId="77777777" w:rsidTr="00C475C3">
        <w:trPr>
          <w:trHeight w:val="204"/>
          <w:jc w:val="center"/>
        </w:trPr>
        <w:tc>
          <w:tcPr>
            <w:tcW w:w="1418" w:type="dxa"/>
            <w:shd w:val="clear" w:color="auto" w:fill="D9E2F3" w:themeFill="accent1" w:themeFillTint="33"/>
            <w:vAlign w:val="center"/>
          </w:tcPr>
          <w:p w14:paraId="67050541"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2009</w:t>
            </w:r>
          </w:p>
        </w:tc>
        <w:tc>
          <w:tcPr>
            <w:tcW w:w="1842" w:type="dxa"/>
            <w:vAlign w:val="center"/>
          </w:tcPr>
          <w:p w14:paraId="46A76E12"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28 801</w:t>
            </w:r>
          </w:p>
        </w:tc>
        <w:tc>
          <w:tcPr>
            <w:tcW w:w="2410" w:type="dxa"/>
            <w:vAlign w:val="center"/>
          </w:tcPr>
          <w:p w14:paraId="2036921E"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2,5 %</w:t>
            </w:r>
          </w:p>
        </w:tc>
        <w:tc>
          <w:tcPr>
            <w:tcW w:w="1134" w:type="dxa"/>
            <w:vAlign w:val="center"/>
          </w:tcPr>
          <w:p w14:paraId="689039C0"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14 208</w:t>
            </w:r>
          </w:p>
        </w:tc>
        <w:tc>
          <w:tcPr>
            <w:tcW w:w="851" w:type="dxa"/>
            <w:vAlign w:val="center"/>
          </w:tcPr>
          <w:p w14:paraId="00046514"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14 593</w:t>
            </w:r>
          </w:p>
        </w:tc>
        <w:tc>
          <w:tcPr>
            <w:tcW w:w="1275" w:type="dxa"/>
            <w:vAlign w:val="center"/>
          </w:tcPr>
          <w:p w14:paraId="43A65A13"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40,9</w:t>
            </w:r>
          </w:p>
        </w:tc>
      </w:tr>
      <w:tr w:rsidR="001B5FC8" w:rsidRPr="00CE357F" w14:paraId="3814DF92" w14:textId="77777777" w:rsidTr="00C475C3">
        <w:trPr>
          <w:trHeight w:val="204"/>
          <w:jc w:val="center"/>
        </w:trPr>
        <w:tc>
          <w:tcPr>
            <w:tcW w:w="1418" w:type="dxa"/>
            <w:shd w:val="clear" w:color="auto" w:fill="D9E2F3" w:themeFill="accent1" w:themeFillTint="33"/>
            <w:vAlign w:val="center"/>
          </w:tcPr>
          <w:p w14:paraId="5A62D505"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2008</w:t>
            </w:r>
          </w:p>
        </w:tc>
        <w:tc>
          <w:tcPr>
            <w:tcW w:w="1842" w:type="dxa"/>
            <w:vAlign w:val="center"/>
          </w:tcPr>
          <w:p w14:paraId="1C92FC3B"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28 549</w:t>
            </w:r>
          </w:p>
        </w:tc>
        <w:tc>
          <w:tcPr>
            <w:tcW w:w="2410" w:type="dxa"/>
            <w:vAlign w:val="center"/>
          </w:tcPr>
          <w:p w14:paraId="4DE32DFD"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2,5 %</w:t>
            </w:r>
          </w:p>
        </w:tc>
        <w:tc>
          <w:tcPr>
            <w:tcW w:w="1134" w:type="dxa"/>
            <w:vAlign w:val="center"/>
          </w:tcPr>
          <w:p w14:paraId="1F68127C"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14 081</w:t>
            </w:r>
          </w:p>
        </w:tc>
        <w:tc>
          <w:tcPr>
            <w:tcW w:w="851" w:type="dxa"/>
            <w:vAlign w:val="center"/>
          </w:tcPr>
          <w:p w14:paraId="7699F523"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14 468</w:t>
            </w:r>
          </w:p>
        </w:tc>
        <w:tc>
          <w:tcPr>
            <w:tcW w:w="1275" w:type="dxa"/>
            <w:vAlign w:val="center"/>
          </w:tcPr>
          <w:p w14:paraId="0B5E349B"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40,8</w:t>
            </w:r>
          </w:p>
        </w:tc>
      </w:tr>
      <w:tr w:rsidR="001B5FC8" w:rsidRPr="00CE357F" w14:paraId="6926CABF" w14:textId="77777777" w:rsidTr="00C475C3">
        <w:trPr>
          <w:trHeight w:val="204"/>
          <w:jc w:val="center"/>
        </w:trPr>
        <w:tc>
          <w:tcPr>
            <w:tcW w:w="1418" w:type="dxa"/>
            <w:shd w:val="clear" w:color="auto" w:fill="D9E2F3" w:themeFill="accent1" w:themeFillTint="33"/>
            <w:vAlign w:val="center"/>
          </w:tcPr>
          <w:p w14:paraId="13D1C5E6"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2007</w:t>
            </w:r>
          </w:p>
        </w:tc>
        <w:tc>
          <w:tcPr>
            <w:tcW w:w="1842" w:type="dxa"/>
            <w:vAlign w:val="center"/>
          </w:tcPr>
          <w:p w14:paraId="71A1C492"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28 141</w:t>
            </w:r>
          </w:p>
        </w:tc>
        <w:tc>
          <w:tcPr>
            <w:tcW w:w="2410" w:type="dxa"/>
            <w:vAlign w:val="center"/>
          </w:tcPr>
          <w:p w14:paraId="65FF01D5"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2,5 %</w:t>
            </w:r>
          </w:p>
        </w:tc>
        <w:tc>
          <w:tcPr>
            <w:tcW w:w="1134" w:type="dxa"/>
            <w:vAlign w:val="center"/>
          </w:tcPr>
          <w:p w14:paraId="02F63EB2"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13 864</w:t>
            </w:r>
          </w:p>
        </w:tc>
        <w:tc>
          <w:tcPr>
            <w:tcW w:w="851" w:type="dxa"/>
            <w:vAlign w:val="center"/>
          </w:tcPr>
          <w:p w14:paraId="3BCFDEDF"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14 277</w:t>
            </w:r>
          </w:p>
        </w:tc>
        <w:tc>
          <w:tcPr>
            <w:tcW w:w="1275" w:type="dxa"/>
            <w:vAlign w:val="center"/>
          </w:tcPr>
          <w:p w14:paraId="30A5F14C"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40,7</w:t>
            </w:r>
          </w:p>
        </w:tc>
      </w:tr>
      <w:tr w:rsidR="001B5FC8" w:rsidRPr="00CE357F" w14:paraId="456221FF" w14:textId="77777777" w:rsidTr="00C475C3">
        <w:trPr>
          <w:trHeight w:val="204"/>
          <w:jc w:val="center"/>
        </w:trPr>
        <w:tc>
          <w:tcPr>
            <w:tcW w:w="1418" w:type="dxa"/>
            <w:shd w:val="clear" w:color="auto" w:fill="D9E2F3" w:themeFill="accent1" w:themeFillTint="33"/>
            <w:vAlign w:val="center"/>
          </w:tcPr>
          <w:p w14:paraId="103CEEEF"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2006</w:t>
            </w:r>
          </w:p>
        </w:tc>
        <w:tc>
          <w:tcPr>
            <w:tcW w:w="1842" w:type="dxa"/>
            <w:vAlign w:val="center"/>
          </w:tcPr>
          <w:p w14:paraId="0CA70FBC"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27 656</w:t>
            </w:r>
          </w:p>
        </w:tc>
        <w:tc>
          <w:tcPr>
            <w:tcW w:w="2410" w:type="dxa"/>
            <w:vAlign w:val="center"/>
          </w:tcPr>
          <w:p w14:paraId="001348A9" w14:textId="77777777" w:rsidR="001B5FC8" w:rsidRPr="00CE357F" w:rsidRDefault="001B5FC8" w:rsidP="001B5FC8">
            <w:pPr>
              <w:jc w:val="center"/>
              <w:rPr>
                <w:rFonts w:ascii="Arial Narrow" w:hAnsi="Arial Narrow"/>
                <w:color w:val="000000"/>
                <w:sz w:val="18"/>
                <w:szCs w:val="18"/>
              </w:rPr>
            </w:pPr>
            <w:r w:rsidRPr="00CE357F">
              <w:rPr>
                <w:rFonts w:ascii="Arial Narrow" w:hAnsi="Arial Narrow"/>
                <w:color w:val="000000"/>
                <w:sz w:val="18"/>
                <w:szCs w:val="18"/>
              </w:rPr>
              <w:t>2,4 %</w:t>
            </w:r>
          </w:p>
        </w:tc>
        <w:tc>
          <w:tcPr>
            <w:tcW w:w="1134" w:type="dxa"/>
            <w:vAlign w:val="center"/>
          </w:tcPr>
          <w:p w14:paraId="7ED7390F"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13 610</w:t>
            </w:r>
          </w:p>
        </w:tc>
        <w:tc>
          <w:tcPr>
            <w:tcW w:w="851" w:type="dxa"/>
            <w:vAlign w:val="center"/>
          </w:tcPr>
          <w:p w14:paraId="21B4E119"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14 046</w:t>
            </w:r>
          </w:p>
        </w:tc>
        <w:tc>
          <w:tcPr>
            <w:tcW w:w="1275" w:type="dxa"/>
            <w:vAlign w:val="center"/>
          </w:tcPr>
          <w:p w14:paraId="332C4BBB"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40,7</w:t>
            </w:r>
          </w:p>
        </w:tc>
      </w:tr>
      <w:tr w:rsidR="001B5FC8" w:rsidRPr="00CE357F" w14:paraId="071DD959" w14:textId="77777777" w:rsidTr="00C475C3">
        <w:trPr>
          <w:trHeight w:val="204"/>
          <w:jc w:val="center"/>
        </w:trPr>
        <w:tc>
          <w:tcPr>
            <w:tcW w:w="1418" w:type="dxa"/>
            <w:shd w:val="clear" w:color="auto" w:fill="D9E2F3" w:themeFill="accent1" w:themeFillTint="33"/>
            <w:vAlign w:val="center"/>
          </w:tcPr>
          <w:p w14:paraId="60BEFE0A"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2005</w:t>
            </w:r>
          </w:p>
        </w:tc>
        <w:tc>
          <w:tcPr>
            <w:tcW w:w="1842" w:type="dxa"/>
            <w:vAlign w:val="center"/>
          </w:tcPr>
          <w:p w14:paraId="1A24ADA3" w14:textId="77777777" w:rsidR="001B5FC8" w:rsidRPr="00CE357F" w:rsidRDefault="001B5FC8" w:rsidP="001B5FC8">
            <w:pPr>
              <w:jc w:val="center"/>
              <w:rPr>
                <w:rFonts w:ascii="Arial Narrow" w:hAnsi="Arial Narrow"/>
                <w:b/>
                <w:sz w:val="18"/>
                <w:szCs w:val="18"/>
              </w:rPr>
            </w:pPr>
            <w:r w:rsidRPr="00CE357F">
              <w:rPr>
                <w:rFonts w:ascii="Arial Narrow" w:hAnsi="Arial Narrow"/>
                <w:b/>
                <w:sz w:val="18"/>
                <w:szCs w:val="18"/>
              </w:rPr>
              <w:t>27 520</w:t>
            </w:r>
          </w:p>
        </w:tc>
        <w:tc>
          <w:tcPr>
            <w:tcW w:w="2410" w:type="dxa"/>
          </w:tcPr>
          <w:p w14:paraId="0C25FE31" w14:textId="1A3940A4" w:rsidR="001B5FC8" w:rsidRPr="00CE357F" w:rsidRDefault="001B5FC8" w:rsidP="001B5FC8">
            <w:pPr>
              <w:jc w:val="center"/>
              <w:rPr>
                <w:rFonts w:ascii="Arial Narrow" w:hAnsi="Arial Narrow"/>
                <w:sz w:val="18"/>
                <w:szCs w:val="18"/>
              </w:rPr>
            </w:pPr>
            <w:r>
              <w:rPr>
                <w:rFonts w:ascii="Arial Narrow" w:hAnsi="Arial Narrow"/>
                <w:sz w:val="18"/>
                <w:szCs w:val="18"/>
              </w:rPr>
              <w:t>2,4 %</w:t>
            </w:r>
          </w:p>
        </w:tc>
        <w:tc>
          <w:tcPr>
            <w:tcW w:w="1134" w:type="dxa"/>
            <w:vAlign w:val="center"/>
          </w:tcPr>
          <w:p w14:paraId="28954537"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13 544</w:t>
            </w:r>
          </w:p>
        </w:tc>
        <w:tc>
          <w:tcPr>
            <w:tcW w:w="851" w:type="dxa"/>
            <w:vAlign w:val="center"/>
          </w:tcPr>
          <w:p w14:paraId="018D174A"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13 976</w:t>
            </w:r>
          </w:p>
        </w:tc>
        <w:tc>
          <w:tcPr>
            <w:tcW w:w="1275" w:type="dxa"/>
            <w:vAlign w:val="center"/>
          </w:tcPr>
          <w:p w14:paraId="1CC3303A" w14:textId="77777777" w:rsidR="001B5FC8" w:rsidRPr="00CE357F" w:rsidRDefault="001B5FC8" w:rsidP="001B5FC8">
            <w:pPr>
              <w:jc w:val="center"/>
              <w:rPr>
                <w:rFonts w:ascii="Arial Narrow" w:hAnsi="Arial Narrow"/>
                <w:sz w:val="18"/>
                <w:szCs w:val="18"/>
              </w:rPr>
            </w:pPr>
            <w:r w:rsidRPr="00CE357F">
              <w:rPr>
                <w:rFonts w:ascii="Arial Narrow" w:hAnsi="Arial Narrow"/>
                <w:sz w:val="18"/>
                <w:szCs w:val="18"/>
              </w:rPr>
              <w:t>40,5</w:t>
            </w:r>
          </w:p>
        </w:tc>
      </w:tr>
    </w:tbl>
    <w:p w14:paraId="1F27D3C2" w14:textId="7CE34682" w:rsidR="00C475C3" w:rsidRPr="00CE357F" w:rsidRDefault="00E118F1" w:rsidP="00C475C3">
      <w:pPr>
        <w:rPr>
          <w:rFonts w:ascii="Arial Narrow" w:hAnsi="Arial Narrow"/>
          <w:b/>
          <w:bCs/>
          <w:sz w:val="28"/>
          <w:szCs w:val="28"/>
        </w:rPr>
      </w:pPr>
      <w:r w:rsidRPr="00CE357F">
        <w:rPr>
          <w:rFonts w:ascii="Arial Narrow" w:hAnsi="Arial Narrow"/>
          <w:sz w:val="20"/>
          <w:szCs w:val="20"/>
        </w:rPr>
        <w:t xml:space="preserve"> Zdroj: Český statistický úřad (data k 31. 12. daného roku)</w:t>
      </w:r>
      <w:r w:rsidRPr="00CE357F">
        <w:rPr>
          <w:rFonts w:ascii="Arial Narrow" w:hAnsi="Arial Narrow"/>
          <w:sz w:val="20"/>
          <w:szCs w:val="20"/>
        </w:rPr>
        <w:tab/>
      </w:r>
      <w:r w:rsidRPr="00CE357F">
        <w:rPr>
          <w:rFonts w:ascii="Arial Narrow" w:hAnsi="Arial Narrow"/>
          <w:sz w:val="20"/>
          <w:szCs w:val="20"/>
        </w:rPr>
        <w:tab/>
      </w:r>
      <w:r w:rsidR="001828B7" w:rsidRPr="00CE357F">
        <w:rPr>
          <w:rFonts w:ascii="Arial Narrow" w:hAnsi="Arial Narrow"/>
          <w:sz w:val="20"/>
          <w:szCs w:val="20"/>
        </w:rPr>
        <w:tab/>
        <w:t xml:space="preserve">           </w:t>
      </w:r>
      <w:r w:rsidR="00C475C3" w:rsidRPr="00CE357F">
        <w:rPr>
          <w:rFonts w:ascii="Arial Narrow" w:hAnsi="Arial Narrow"/>
          <w:sz w:val="20"/>
          <w:szCs w:val="20"/>
        </w:rPr>
        <w:t xml:space="preserve">Tabulka: AUGUR </w:t>
      </w:r>
      <w:proofErr w:type="spellStart"/>
      <w:r w:rsidR="00C475C3" w:rsidRPr="00CE357F">
        <w:rPr>
          <w:rFonts w:ascii="Arial Narrow" w:hAnsi="Arial Narrow"/>
          <w:sz w:val="20"/>
          <w:szCs w:val="20"/>
        </w:rPr>
        <w:t>Consulting</w:t>
      </w:r>
      <w:proofErr w:type="spellEnd"/>
      <w:r w:rsidR="001828B7" w:rsidRPr="00CE357F">
        <w:rPr>
          <w:rFonts w:ascii="Arial Narrow" w:hAnsi="Arial Narrow"/>
          <w:sz w:val="20"/>
          <w:szCs w:val="20"/>
        </w:rPr>
        <w:t xml:space="preserve"> s.r.o.</w:t>
      </w:r>
    </w:p>
    <w:p w14:paraId="54455DAA" w14:textId="77777777" w:rsidR="008F4C72" w:rsidRPr="00CE357F" w:rsidRDefault="008F4C72" w:rsidP="00732A00">
      <w:pPr>
        <w:rPr>
          <w:rFonts w:ascii="Arial Narrow" w:hAnsi="Arial Narrow"/>
        </w:rPr>
      </w:pPr>
    </w:p>
    <w:p w14:paraId="04272E82" w14:textId="6BD8CAD4" w:rsidR="008F4C72" w:rsidRPr="00CE357F" w:rsidRDefault="001828B7" w:rsidP="00B31262">
      <w:pPr>
        <w:pStyle w:val="Nadpis3"/>
        <w:numPr>
          <w:ilvl w:val="2"/>
          <w:numId w:val="1"/>
        </w:numPr>
      </w:pPr>
      <w:bookmarkStart w:id="787" w:name="_Toc94215425"/>
      <w:bookmarkStart w:id="788" w:name="_Toc136876144"/>
      <w:r w:rsidRPr="00CE357F">
        <w:t>Počet</w:t>
      </w:r>
      <w:r w:rsidR="00C475C3" w:rsidRPr="00CE357F">
        <w:t xml:space="preserve"> osob s jinou než českou státní přísluš</w:t>
      </w:r>
      <w:r w:rsidR="000708BD" w:rsidRPr="00CE357F">
        <w:t>ností v ORP Tišnov v letech 2007</w:t>
      </w:r>
      <w:r w:rsidR="00C475C3" w:rsidRPr="00CE357F">
        <w:t>–202</w:t>
      </w:r>
      <w:bookmarkEnd w:id="787"/>
      <w:r w:rsidR="00C2607F">
        <w:t>3</w:t>
      </w:r>
      <w:r w:rsidRPr="00CE357F">
        <w:rPr>
          <w:rStyle w:val="Znakapoznpodarou"/>
          <w:u w:val="none"/>
        </w:rPr>
        <w:footnoteReference w:id="99"/>
      </w:r>
      <w:bookmarkEnd w:id="788"/>
    </w:p>
    <w:p w14:paraId="260FA058" w14:textId="78072693" w:rsidR="00C60988" w:rsidRPr="00E32FA2" w:rsidRDefault="00B31262" w:rsidP="00C60988">
      <w:pPr>
        <w:spacing w:after="120" w:line="276" w:lineRule="auto"/>
        <w:jc w:val="both"/>
        <w:rPr>
          <w:rFonts w:ascii="Arial Narrow" w:hAnsi="Arial Narrow"/>
          <w:highlight w:val="yellow"/>
        </w:rPr>
      </w:pPr>
      <w:r w:rsidRPr="00CE357F">
        <w:rPr>
          <w:rFonts w:ascii="Arial Narrow" w:hAnsi="Arial Narrow"/>
        </w:rPr>
        <w:br/>
      </w:r>
      <w:r w:rsidR="00C60988">
        <w:rPr>
          <w:rFonts w:ascii="Arial Narrow" w:hAnsi="Arial Narrow"/>
        </w:rPr>
        <w:t>K 1.1</w:t>
      </w:r>
      <w:r w:rsidR="00D96BA1">
        <w:rPr>
          <w:rFonts w:ascii="Arial Narrow" w:hAnsi="Arial Narrow"/>
        </w:rPr>
        <w:t>.</w:t>
      </w:r>
      <w:r w:rsidR="00C60988">
        <w:rPr>
          <w:rFonts w:ascii="Arial Narrow" w:hAnsi="Arial Narrow"/>
        </w:rPr>
        <w:t xml:space="preserve"> 2023</w:t>
      </w:r>
      <w:r w:rsidR="00C60988" w:rsidRPr="00CE357F">
        <w:rPr>
          <w:rFonts w:ascii="Arial Narrow" w:hAnsi="Arial Narrow"/>
        </w:rPr>
        <w:t xml:space="preserve"> žil</w:t>
      </w:r>
      <w:r w:rsidR="00C60988">
        <w:rPr>
          <w:rFonts w:ascii="Arial Narrow" w:hAnsi="Arial Narrow"/>
        </w:rPr>
        <w:t>o na území ORP Tišnov celkem 1 549</w:t>
      </w:r>
      <w:r w:rsidR="00C60988" w:rsidRPr="00CE357F">
        <w:rPr>
          <w:rFonts w:ascii="Arial Narrow" w:hAnsi="Arial Narrow"/>
        </w:rPr>
        <w:t xml:space="preserve"> osob s jinou než českou státní příslu</w:t>
      </w:r>
      <w:r w:rsidR="00C60988">
        <w:rPr>
          <w:rFonts w:ascii="Arial Narrow" w:hAnsi="Arial Narrow"/>
        </w:rPr>
        <w:t>šností, což představuje zhruba 4,9</w:t>
      </w:r>
      <w:r w:rsidR="00C60988" w:rsidRPr="00CE357F">
        <w:rPr>
          <w:rFonts w:ascii="Arial Narrow" w:hAnsi="Arial Narrow"/>
        </w:rPr>
        <w:t xml:space="preserve"> % všech obyvatel ORP Tišnov. Podíl těchto osob na celkovém počtu obyvatel v posledních letech narůstá.  Zatímco mezi lety 2007 a 2012 se pohyboval v průměru na 1,58 % a mezi lety 2013 a 2018 mírně klesl na v průměru na 1,22 %. O</w:t>
      </w:r>
      <w:r w:rsidR="00C60988">
        <w:rPr>
          <w:rFonts w:ascii="Arial Narrow" w:hAnsi="Arial Narrow"/>
        </w:rPr>
        <w:t xml:space="preserve">d roku 2007 </w:t>
      </w:r>
      <w:r w:rsidR="00C60988" w:rsidRPr="00CE357F">
        <w:rPr>
          <w:rFonts w:ascii="Arial Narrow" w:hAnsi="Arial Narrow"/>
        </w:rPr>
        <w:t>podíl osob s jinou než českou státní příslušností na celk</w:t>
      </w:r>
      <w:r w:rsidR="00C60988">
        <w:rPr>
          <w:rFonts w:ascii="Arial Narrow" w:hAnsi="Arial Narrow"/>
        </w:rPr>
        <w:t>ovém počtu obyvatel ORP mírně narůstal</w:t>
      </w:r>
      <w:r w:rsidR="00C60988" w:rsidRPr="00CE357F">
        <w:rPr>
          <w:rFonts w:ascii="Arial Narrow" w:hAnsi="Arial Narrow"/>
        </w:rPr>
        <w:t xml:space="preserve"> (1,4 % v</w:t>
      </w:r>
      <w:r w:rsidR="00C60988">
        <w:rPr>
          <w:rFonts w:ascii="Arial Narrow" w:hAnsi="Arial Narrow"/>
        </w:rPr>
        <w:t xml:space="preserve"> roce 2007 a 1,7 % v roce 2022) a k roku 2023 se zvýšil téměř trojnásobně, což bylo </w:t>
      </w:r>
      <w:r w:rsidR="00C60988">
        <w:rPr>
          <w:rFonts w:ascii="Arial Narrow" w:hAnsi="Arial Narrow"/>
        </w:rPr>
        <w:lastRenderedPageBreak/>
        <w:t>způsobeno především válečným konfliktem na Ukrajině.</w:t>
      </w:r>
      <w:r w:rsidR="00C60988" w:rsidRPr="00CE357F">
        <w:rPr>
          <w:rFonts w:ascii="Arial Narrow" w:hAnsi="Arial Narrow"/>
        </w:rPr>
        <w:t xml:space="preserve"> Vývoj podílu osob s jinou než českou státní příslušností na celkovém počtu obyvat</w:t>
      </w:r>
      <w:r w:rsidR="00C60988">
        <w:rPr>
          <w:rFonts w:ascii="Arial Narrow" w:hAnsi="Arial Narrow"/>
        </w:rPr>
        <w:t>el ORP Tišnov v letech 2007-2023</w:t>
      </w:r>
      <w:r w:rsidR="00C60988" w:rsidRPr="00CE357F">
        <w:rPr>
          <w:rFonts w:ascii="Arial Narrow" w:hAnsi="Arial Narrow"/>
        </w:rPr>
        <w:t xml:space="preserve"> podrobně dokumentuje graf</w:t>
      </w:r>
      <w:r w:rsidR="00E32FA2">
        <w:rPr>
          <w:rFonts w:ascii="Arial Narrow" w:hAnsi="Arial Narrow"/>
        </w:rPr>
        <w:t xml:space="preserve"> č. 125</w:t>
      </w:r>
      <w:r w:rsidR="00C60988" w:rsidRPr="00CE357F">
        <w:rPr>
          <w:rFonts w:ascii="Arial Narrow" w:hAnsi="Arial Narrow"/>
        </w:rPr>
        <w:t>.</w:t>
      </w:r>
    </w:p>
    <w:p w14:paraId="40870EFC" w14:textId="5576C1B2" w:rsidR="00C60988" w:rsidRPr="00CE357F" w:rsidRDefault="00C60988" w:rsidP="00C60988">
      <w:pPr>
        <w:jc w:val="both"/>
        <w:rPr>
          <w:rFonts w:ascii="Arial Narrow" w:hAnsi="Arial Narrow"/>
          <w:b/>
          <w:sz w:val="20"/>
          <w:szCs w:val="20"/>
        </w:rPr>
      </w:pPr>
      <w:bookmarkStart w:id="789" w:name="_Toc94443816"/>
      <w:bookmarkStart w:id="790" w:name="_Toc136428969"/>
      <w:r w:rsidRPr="00F457FC">
        <w:rPr>
          <w:rFonts w:ascii="Arial Narrow" w:hAnsi="Arial Narrow"/>
          <w:b/>
          <w:sz w:val="20"/>
          <w:szCs w:val="20"/>
        </w:rPr>
        <w:t xml:space="preserve">Graf </w:t>
      </w:r>
      <w:r w:rsidRPr="00F457FC">
        <w:rPr>
          <w:rFonts w:ascii="Arial Narrow" w:hAnsi="Arial Narrow"/>
          <w:b/>
          <w:sz w:val="20"/>
          <w:szCs w:val="20"/>
        </w:rPr>
        <w:fldChar w:fldCharType="begin"/>
      </w:r>
      <w:r w:rsidRPr="00F457FC">
        <w:rPr>
          <w:rFonts w:ascii="Arial Narrow" w:hAnsi="Arial Narrow"/>
          <w:b/>
          <w:sz w:val="20"/>
          <w:szCs w:val="20"/>
        </w:rPr>
        <w:instrText xml:space="preserve"> SEQ Graf \* ARABIC </w:instrText>
      </w:r>
      <w:r w:rsidRPr="00F457FC">
        <w:rPr>
          <w:rFonts w:ascii="Arial Narrow" w:hAnsi="Arial Narrow"/>
          <w:b/>
          <w:sz w:val="20"/>
          <w:szCs w:val="20"/>
        </w:rPr>
        <w:fldChar w:fldCharType="separate"/>
      </w:r>
      <w:r w:rsidR="009F49C8" w:rsidRPr="00F457FC">
        <w:rPr>
          <w:rFonts w:ascii="Arial Narrow" w:hAnsi="Arial Narrow"/>
          <w:b/>
          <w:noProof/>
          <w:sz w:val="20"/>
          <w:szCs w:val="20"/>
        </w:rPr>
        <w:t>125</w:t>
      </w:r>
      <w:r w:rsidRPr="00F457FC">
        <w:rPr>
          <w:rFonts w:ascii="Arial Narrow" w:hAnsi="Arial Narrow"/>
          <w:b/>
          <w:sz w:val="20"/>
          <w:szCs w:val="20"/>
        </w:rPr>
        <w:fldChar w:fldCharType="end"/>
      </w:r>
      <w:r w:rsidRPr="00F457FC">
        <w:rPr>
          <w:rFonts w:ascii="Arial Narrow" w:hAnsi="Arial Narrow"/>
          <w:b/>
          <w:sz w:val="20"/>
          <w:szCs w:val="20"/>
        </w:rPr>
        <w:t>:</w:t>
      </w:r>
      <w:r w:rsidRPr="00F457FC">
        <w:rPr>
          <w:rFonts w:ascii="Arial Narrow" w:eastAsiaTheme="minorEastAsia" w:hAnsi="Arial Narrow" w:cstheme="minorBidi"/>
          <w:b/>
          <w:bCs/>
          <w:color w:val="000000" w:themeColor="text1"/>
          <w:kern w:val="24"/>
          <w:sz w:val="20"/>
          <w:szCs w:val="20"/>
          <w:lang w:eastAsia="cs-CZ"/>
        </w:rPr>
        <w:t xml:space="preserve"> </w:t>
      </w:r>
      <w:r w:rsidRPr="00F457FC">
        <w:rPr>
          <w:rFonts w:ascii="Arial Narrow" w:hAnsi="Arial Narrow"/>
          <w:b/>
          <w:bCs/>
          <w:sz w:val="20"/>
          <w:szCs w:val="20"/>
        </w:rPr>
        <w:t>Podíl osob s jinou než českou státní příslušností na celkovém počtu obyvatel ORP Tišnov v letech 2007-202</w:t>
      </w:r>
      <w:bookmarkEnd w:id="789"/>
      <w:r w:rsidRPr="00F457FC">
        <w:rPr>
          <w:rFonts w:ascii="Arial Narrow" w:hAnsi="Arial Narrow"/>
          <w:b/>
          <w:bCs/>
          <w:sz w:val="20"/>
          <w:szCs w:val="20"/>
        </w:rPr>
        <w:t>3</w:t>
      </w:r>
      <w:bookmarkEnd w:id="790"/>
    </w:p>
    <w:p w14:paraId="1856AA2C" w14:textId="77777777" w:rsidR="00C60988" w:rsidRPr="00CE357F" w:rsidRDefault="00C60988" w:rsidP="00C60988">
      <w:pPr>
        <w:spacing w:line="276" w:lineRule="auto"/>
        <w:rPr>
          <w:rFonts w:ascii="Arial Narrow" w:hAnsi="Arial Narrow"/>
        </w:rPr>
      </w:pPr>
      <w:r w:rsidRPr="00CE357F">
        <w:rPr>
          <w:rFonts w:ascii="Arial Narrow" w:hAnsi="Arial Narrow"/>
          <w:bCs/>
          <w:noProof/>
          <w:lang w:eastAsia="cs-CZ"/>
        </w:rPr>
        <w:drawing>
          <wp:inline distT="0" distB="0" distL="0" distR="0" wp14:anchorId="1DC0ADBA" wp14:editId="15C41F92">
            <wp:extent cx="5731510" cy="3419475"/>
            <wp:effectExtent l="0" t="0" r="2540" b="0"/>
            <wp:docPr id="2138" name="Graf 2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4FCB1E8B" w14:textId="77777777" w:rsidR="00C60988" w:rsidRPr="00CE357F" w:rsidRDefault="00C60988" w:rsidP="00C60988">
      <w:pPr>
        <w:spacing w:line="276" w:lineRule="auto"/>
        <w:rPr>
          <w:rFonts w:ascii="Arial Narrow" w:hAnsi="Arial Narrow"/>
          <w:sz w:val="20"/>
          <w:szCs w:val="20"/>
        </w:rPr>
      </w:pPr>
      <w:r w:rsidRPr="00CE357F">
        <w:rPr>
          <w:rFonts w:ascii="Arial Narrow" w:hAnsi="Arial Narrow"/>
          <w:sz w:val="20"/>
          <w:szCs w:val="20"/>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3E5F9C0E" w14:textId="77777777" w:rsidR="00C60988" w:rsidRPr="00CE357F" w:rsidRDefault="00C60988" w:rsidP="00C60988">
      <w:pPr>
        <w:spacing w:line="276" w:lineRule="auto"/>
        <w:rPr>
          <w:rFonts w:ascii="Arial Narrow" w:hAnsi="Arial Narrow"/>
        </w:rPr>
      </w:pPr>
    </w:p>
    <w:p w14:paraId="17E21D23" w14:textId="1D3B24BD" w:rsidR="00C60988" w:rsidRDefault="00C60988" w:rsidP="00C60988">
      <w:pPr>
        <w:spacing w:after="120" w:line="276" w:lineRule="auto"/>
        <w:jc w:val="both"/>
        <w:rPr>
          <w:rFonts w:ascii="Arial Narrow" w:hAnsi="Arial Narrow"/>
        </w:rPr>
      </w:pPr>
      <w:r w:rsidRPr="00CE357F">
        <w:rPr>
          <w:rFonts w:ascii="Arial Narrow" w:hAnsi="Arial Narrow"/>
        </w:rPr>
        <w:t>V populaci osob s jinou než českou státní příslušností v ORP Tišnov dlouhodobě převažoval počet mužů nad počtem žen. Podíl mužů v</w:t>
      </w:r>
      <w:r>
        <w:rPr>
          <w:rFonts w:ascii="Arial Narrow" w:hAnsi="Arial Narrow"/>
        </w:rPr>
        <w:t> celkové populaci těchto osob byl</w:t>
      </w:r>
      <w:r w:rsidRPr="00CE357F">
        <w:rPr>
          <w:rFonts w:ascii="Arial Narrow" w:hAnsi="Arial Narrow"/>
        </w:rPr>
        <w:t xml:space="preserve"> dlouhodobě vyšší než podíl žen, meziročně se n</w:t>
      </w:r>
      <w:r>
        <w:rPr>
          <w:rFonts w:ascii="Arial Narrow" w:hAnsi="Arial Narrow"/>
        </w:rPr>
        <w:t>icméně tento podíl mírně snižoval a k</w:t>
      </w:r>
      <w:r w:rsidR="006B2844">
        <w:rPr>
          <w:rFonts w:ascii="Arial Narrow" w:hAnsi="Arial Narrow"/>
        </w:rPr>
        <w:t> 1. 1.</w:t>
      </w:r>
      <w:r>
        <w:rPr>
          <w:rFonts w:ascii="Arial Narrow" w:hAnsi="Arial Narrow"/>
        </w:rPr>
        <w:t xml:space="preserve"> 2023 počet žen převážil na počtem mužů. </w:t>
      </w:r>
      <w:r w:rsidRPr="00CE357F">
        <w:rPr>
          <w:rFonts w:ascii="Arial Narrow" w:hAnsi="Arial Narrow"/>
        </w:rPr>
        <w:t xml:space="preserve">V roce 2007 bylo například procentuální zastoupení osob s jinou než českou státní příslušností 66,9 % mužů </w:t>
      </w:r>
      <w:r>
        <w:rPr>
          <w:rFonts w:ascii="Arial Narrow" w:hAnsi="Arial Narrow"/>
        </w:rPr>
        <w:t>oproti 33,1 % žen. K roku 2023</w:t>
      </w:r>
      <w:r w:rsidRPr="00CE357F">
        <w:rPr>
          <w:rFonts w:ascii="Arial Narrow" w:hAnsi="Arial Narrow"/>
        </w:rPr>
        <w:t xml:space="preserve"> je již podíl </w:t>
      </w:r>
      <w:r>
        <w:rPr>
          <w:rFonts w:ascii="Arial Narrow" w:hAnsi="Arial Narrow"/>
        </w:rPr>
        <w:t>54,3 % žen a 45,7 % mužů).  Mezi lety 2007 a 202</w:t>
      </w:r>
      <w:r w:rsidR="006B2844">
        <w:rPr>
          <w:rFonts w:ascii="Arial Narrow" w:hAnsi="Arial Narrow"/>
        </w:rPr>
        <w:t>2</w:t>
      </w:r>
      <w:r w:rsidRPr="00CE357F">
        <w:rPr>
          <w:rFonts w:ascii="Arial Narrow" w:hAnsi="Arial Narrow"/>
        </w:rPr>
        <w:t xml:space="preserve"> se podíl žen s jinou než českou státní příslušností na celkovém počtu těch</w:t>
      </w:r>
      <w:r>
        <w:rPr>
          <w:rFonts w:ascii="Arial Narrow" w:hAnsi="Arial Narrow"/>
        </w:rPr>
        <w:t>to osob v OPR Tišnov zvýšil o 21,2</w:t>
      </w:r>
      <w:r w:rsidRPr="00CE357F">
        <w:rPr>
          <w:rFonts w:ascii="Arial Narrow" w:hAnsi="Arial Narrow"/>
        </w:rPr>
        <w:t xml:space="preserve"> %. Vývoj podílu mužů a žen na celkovém počtu </w:t>
      </w:r>
      <w:r w:rsidRPr="00CE357F">
        <w:rPr>
          <w:rFonts w:ascii="Arial Narrow" w:hAnsi="Arial Narrow"/>
          <w:color w:val="000000"/>
        </w:rPr>
        <w:t>osob s jinou než českou státní příslušností</w:t>
      </w:r>
      <w:r w:rsidRPr="00CE357F">
        <w:rPr>
          <w:rFonts w:ascii="Arial Narrow" w:hAnsi="Arial Narrow"/>
        </w:rPr>
        <w:t xml:space="preserve"> v ORP Tišnov podrobně znázorňuje graf</w:t>
      </w:r>
      <w:r w:rsidR="00E32FA2">
        <w:rPr>
          <w:rFonts w:ascii="Arial Narrow" w:hAnsi="Arial Narrow"/>
        </w:rPr>
        <w:t xml:space="preserve"> č. 126.</w:t>
      </w:r>
    </w:p>
    <w:p w14:paraId="5884962A" w14:textId="77777777" w:rsidR="00C60988" w:rsidRDefault="00C60988" w:rsidP="00C60988">
      <w:pPr>
        <w:spacing w:after="120" w:line="276" w:lineRule="auto"/>
        <w:jc w:val="both"/>
        <w:rPr>
          <w:rFonts w:ascii="Arial Narrow" w:hAnsi="Arial Narrow"/>
        </w:rPr>
      </w:pPr>
    </w:p>
    <w:p w14:paraId="7181A9EA" w14:textId="77777777" w:rsidR="00C60988" w:rsidRDefault="00C60988" w:rsidP="00C60988">
      <w:pPr>
        <w:spacing w:after="120" w:line="276" w:lineRule="auto"/>
        <w:jc w:val="both"/>
        <w:rPr>
          <w:rFonts w:ascii="Arial Narrow" w:hAnsi="Arial Narrow"/>
        </w:rPr>
      </w:pPr>
    </w:p>
    <w:p w14:paraId="16605BFD" w14:textId="77777777" w:rsidR="00C60988" w:rsidRDefault="00C60988" w:rsidP="00C60988">
      <w:pPr>
        <w:spacing w:after="120" w:line="276" w:lineRule="auto"/>
        <w:jc w:val="both"/>
        <w:rPr>
          <w:rFonts w:ascii="Arial Narrow" w:hAnsi="Arial Narrow"/>
        </w:rPr>
      </w:pPr>
    </w:p>
    <w:p w14:paraId="09B5B4A2" w14:textId="77777777" w:rsidR="00C60988" w:rsidRDefault="00C60988" w:rsidP="00C60988">
      <w:pPr>
        <w:spacing w:after="120" w:line="276" w:lineRule="auto"/>
        <w:jc w:val="both"/>
        <w:rPr>
          <w:rFonts w:ascii="Arial Narrow" w:hAnsi="Arial Narrow"/>
        </w:rPr>
      </w:pPr>
    </w:p>
    <w:p w14:paraId="0CBD55E7" w14:textId="77777777" w:rsidR="00E32FA2" w:rsidRDefault="00E32FA2" w:rsidP="00C60988">
      <w:pPr>
        <w:spacing w:after="120" w:line="276" w:lineRule="auto"/>
        <w:jc w:val="both"/>
        <w:rPr>
          <w:rFonts w:ascii="Arial Narrow" w:hAnsi="Arial Narrow"/>
        </w:rPr>
      </w:pPr>
    </w:p>
    <w:p w14:paraId="34EEE78A" w14:textId="77777777" w:rsidR="00E32FA2" w:rsidRDefault="00E32FA2" w:rsidP="00C60988">
      <w:pPr>
        <w:spacing w:after="120" w:line="276" w:lineRule="auto"/>
        <w:jc w:val="both"/>
        <w:rPr>
          <w:rFonts w:ascii="Arial Narrow" w:hAnsi="Arial Narrow"/>
        </w:rPr>
      </w:pPr>
    </w:p>
    <w:p w14:paraId="1ADF556A" w14:textId="77777777" w:rsidR="00C60988" w:rsidRDefault="00C60988" w:rsidP="00C60988">
      <w:pPr>
        <w:spacing w:after="120" w:line="276" w:lineRule="auto"/>
        <w:jc w:val="both"/>
        <w:rPr>
          <w:rFonts w:ascii="Arial Narrow" w:hAnsi="Arial Narrow"/>
        </w:rPr>
      </w:pPr>
    </w:p>
    <w:p w14:paraId="04DC7D95" w14:textId="77777777" w:rsidR="00C60988" w:rsidRDefault="00C60988" w:rsidP="00C60988">
      <w:pPr>
        <w:spacing w:after="120" w:line="276" w:lineRule="auto"/>
        <w:jc w:val="both"/>
        <w:rPr>
          <w:rFonts w:ascii="Arial Narrow" w:hAnsi="Arial Narrow"/>
        </w:rPr>
      </w:pPr>
    </w:p>
    <w:p w14:paraId="19CA67D7" w14:textId="77777777" w:rsidR="00C60988" w:rsidRDefault="00C60988" w:rsidP="00C60988">
      <w:pPr>
        <w:spacing w:after="120" w:line="276" w:lineRule="auto"/>
        <w:jc w:val="both"/>
        <w:rPr>
          <w:rFonts w:ascii="Arial Narrow" w:hAnsi="Arial Narrow"/>
        </w:rPr>
      </w:pPr>
    </w:p>
    <w:p w14:paraId="10FADEE8" w14:textId="3661205C" w:rsidR="00C60988" w:rsidRPr="00CE357F" w:rsidRDefault="00C60988" w:rsidP="00C60988">
      <w:pPr>
        <w:spacing w:before="240" w:line="276" w:lineRule="auto"/>
        <w:jc w:val="both"/>
        <w:rPr>
          <w:rFonts w:ascii="Arial Narrow" w:hAnsi="Arial Narrow"/>
          <w:b/>
          <w:sz w:val="20"/>
          <w:szCs w:val="20"/>
        </w:rPr>
      </w:pPr>
      <w:bookmarkStart w:id="791" w:name="_Toc94443817"/>
      <w:bookmarkStart w:id="792" w:name="_Toc136428970"/>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126</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Osoby s jinou než českou státní příslušností v ORP Tišnov podle pohlaví</w:t>
      </w:r>
      <w:bookmarkEnd w:id="791"/>
      <w:r w:rsidR="00493A7B">
        <w:rPr>
          <w:rFonts w:ascii="Arial Narrow" w:hAnsi="Arial Narrow"/>
          <w:b/>
          <w:bCs/>
          <w:sz w:val="20"/>
          <w:szCs w:val="20"/>
        </w:rPr>
        <w:t xml:space="preserve"> (k 1. 1. daného roku)</w:t>
      </w:r>
      <w:bookmarkEnd w:id="792"/>
    </w:p>
    <w:p w14:paraId="03462C13" w14:textId="77777777" w:rsidR="00C60988" w:rsidRPr="00CE357F" w:rsidRDefault="00C60988" w:rsidP="00C60988">
      <w:pPr>
        <w:spacing w:line="276" w:lineRule="auto"/>
        <w:jc w:val="both"/>
        <w:rPr>
          <w:rFonts w:ascii="Arial Narrow" w:hAnsi="Arial Narrow"/>
        </w:rPr>
      </w:pPr>
      <w:r w:rsidRPr="00CE357F">
        <w:rPr>
          <w:rFonts w:ascii="Arial Narrow" w:hAnsi="Arial Narrow"/>
          <w:bCs/>
          <w:noProof/>
          <w:lang w:eastAsia="cs-CZ"/>
        </w:rPr>
        <w:drawing>
          <wp:inline distT="0" distB="0" distL="0" distR="0" wp14:anchorId="2EE96B29" wp14:editId="2412E997">
            <wp:extent cx="5756910" cy="3714750"/>
            <wp:effectExtent l="0" t="0" r="0" b="0"/>
            <wp:docPr id="2139" name="Graf 2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36157473" w14:textId="77777777" w:rsidR="00C60988" w:rsidRPr="00CE357F" w:rsidRDefault="00C60988" w:rsidP="00C60988">
      <w:pPr>
        <w:spacing w:line="276" w:lineRule="auto"/>
        <w:rPr>
          <w:rFonts w:ascii="Arial Narrow" w:hAnsi="Arial Narrow"/>
          <w:sz w:val="20"/>
          <w:szCs w:val="20"/>
        </w:rPr>
      </w:pPr>
      <w:r w:rsidRPr="00CE357F">
        <w:rPr>
          <w:rFonts w:ascii="Arial Narrow" w:hAnsi="Arial Narrow"/>
          <w:sz w:val="20"/>
          <w:szCs w:val="20"/>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7021254F" w14:textId="77777777" w:rsidR="00C60988" w:rsidRPr="00CE357F" w:rsidRDefault="00C60988" w:rsidP="00C60988">
      <w:pPr>
        <w:spacing w:line="276" w:lineRule="auto"/>
        <w:jc w:val="both"/>
        <w:rPr>
          <w:rFonts w:ascii="Arial Narrow" w:hAnsi="Arial Narrow"/>
        </w:rPr>
      </w:pPr>
    </w:p>
    <w:p w14:paraId="42A14E1F" w14:textId="3F65A5ED" w:rsidR="00C60988" w:rsidRPr="00CE357F" w:rsidRDefault="00C60988" w:rsidP="00C60988">
      <w:pPr>
        <w:spacing w:line="276" w:lineRule="auto"/>
        <w:jc w:val="both"/>
        <w:rPr>
          <w:rFonts w:ascii="Arial Narrow" w:hAnsi="Arial Narrow"/>
        </w:rPr>
      </w:pPr>
      <w:r>
        <w:rPr>
          <w:rFonts w:ascii="Arial Narrow" w:hAnsi="Arial Narrow"/>
        </w:rPr>
        <w:t>Stejně mírně jako rostl</w:t>
      </w:r>
      <w:r w:rsidRPr="00CE357F">
        <w:rPr>
          <w:rFonts w:ascii="Arial Narrow" w:hAnsi="Arial Narrow"/>
        </w:rPr>
        <w:t xml:space="preserve"> podíl žen s jinou než českou státní příslušností na celkovém počtu těchto osob v ORP T</w:t>
      </w:r>
      <w:r>
        <w:rPr>
          <w:rFonts w:ascii="Arial Narrow" w:hAnsi="Arial Narrow"/>
        </w:rPr>
        <w:t>išnov se do roku 2022 meziročně mírně zvyšoval</w:t>
      </w:r>
      <w:r w:rsidRPr="00CE357F">
        <w:rPr>
          <w:rFonts w:ascii="Arial Narrow" w:hAnsi="Arial Narrow"/>
        </w:rPr>
        <w:t xml:space="preserve"> také podíl dětí do 15 let na celkovém počtu osob s jinou než českou státní příslušností. Zatímco k 1. 1. 2008 tvořil</w:t>
      </w:r>
      <w:r w:rsidR="00E55F93">
        <w:rPr>
          <w:rFonts w:ascii="Arial Narrow" w:hAnsi="Arial Narrow"/>
        </w:rPr>
        <w:t>y</w:t>
      </w:r>
      <w:r w:rsidRPr="00CE357F">
        <w:rPr>
          <w:rFonts w:ascii="Arial Narrow" w:hAnsi="Arial Narrow"/>
        </w:rPr>
        <w:t xml:space="preserve"> děti do 15 let celkem 3,6 % všech osob s jinou než českou státní příslušností, k 1. 1. 2022 to bylo 9 %. </w:t>
      </w:r>
      <w:r>
        <w:rPr>
          <w:rFonts w:ascii="Arial Narrow" w:hAnsi="Arial Narrow"/>
        </w:rPr>
        <w:t>K</w:t>
      </w:r>
      <w:r w:rsidR="00E55F93">
        <w:rPr>
          <w:rFonts w:ascii="Arial Narrow" w:hAnsi="Arial Narrow"/>
        </w:rPr>
        <w:t xml:space="preserve"> datu</w:t>
      </w:r>
      <w:r w:rsidR="00953EA9">
        <w:rPr>
          <w:rFonts w:ascii="Arial Narrow" w:hAnsi="Arial Narrow"/>
        </w:rPr>
        <w:t> 1. 1.</w:t>
      </w:r>
      <w:r>
        <w:rPr>
          <w:rFonts w:ascii="Arial Narrow" w:hAnsi="Arial Narrow"/>
        </w:rPr>
        <w:t xml:space="preserve"> 2023 došlo ke skokovému nárůstu, kdy se počet dětí do 15 let zvýšil více než dvojnásobně na 22,5 %, pravděpodobně v důsledku války na Ukrajině. </w:t>
      </w:r>
      <w:r w:rsidRPr="00CE357F">
        <w:rPr>
          <w:rFonts w:ascii="Arial Narrow" w:hAnsi="Arial Narrow"/>
        </w:rPr>
        <w:t>Vývoj počtu dětí dle pohlaví a jejich podílu na celkovém počtu osob s jinou než českou státní příslušností v ORP Tišnov podrobně znázorňuje tabulka</w:t>
      </w:r>
      <w:r w:rsidR="00E32FA2">
        <w:rPr>
          <w:rFonts w:ascii="Arial Narrow" w:hAnsi="Arial Narrow"/>
        </w:rPr>
        <w:t xml:space="preserve"> č. 57</w:t>
      </w:r>
      <w:r w:rsidRPr="00CE357F">
        <w:rPr>
          <w:rFonts w:ascii="Arial Narrow" w:hAnsi="Arial Narrow"/>
        </w:rPr>
        <w:t xml:space="preserve">. </w:t>
      </w:r>
    </w:p>
    <w:p w14:paraId="413ED002" w14:textId="77777777" w:rsidR="00C60988" w:rsidRPr="00CE357F" w:rsidRDefault="00C60988" w:rsidP="00C60988">
      <w:pPr>
        <w:spacing w:line="276" w:lineRule="auto"/>
        <w:jc w:val="both"/>
        <w:rPr>
          <w:rFonts w:ascii="Arial Narrow" w:hAnsi="Arial Narrow"/>
        </w:rPr>
      </w:pPr>
    </w:p>
    <w:p w14:paraId="21BEA0EA" w14:textId="1E6DCA1C" w:rsidR="00C60988" w:rsidRPr="00CE357F" w:rsidRDefault="00C60988" w:rsidP="00C60988">
      <w:pPr>
        <w:jc w:val="both"/>
        <w:rPr>
          <w:rFonts w:ascii="Arial Narrow" w:hAnsi="Arial Narrow"/>
          <w:b/>
          <w:sz w:val="24"/>
          <w:szCs w:val="24"/>
        </w:rPr>
      </w:pPr>
      <w:bookmarkStart w:id="793" w:name="_Toc136429268"/>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57</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dětí ve věku do 15 let na celkovém počtu osob s jinou než českou státní příslušností v ORP Tišnov v letech 2007–202</w:t>
      </w:r>
      <w:r>
        <w:rPr>
          <w:rFonts w:ascii="Arial Narrow" w:eastAsia="Times New Roman" w:hAnsi="Arial Narrow" w:cs="Arial"/>
          <w:b/>
          <w:bCs/>
          <w:sz w:val="20"/>
          <w:szCs w:val="20"/>
          <w:lang w:eastAsia="cs-CZ"/>
        </w:rPr>
        <w:t>3</w:t>
      </w:r>
      <w:bookmarkEnd w:id="793"/>
    </w:p>
    <w:tbl>
      <w:tblPr>
        <w:tblpPr w:leftFromText="141" w:rightFromText="141" w:vertAnchor="text" w:tblpX="98" w:tblpY="1"/>
        <w:tblW w:w="4948"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64"/>
        <w:gridCol w:w="1885"/>
        <w:gridCol w:w="562"/>
        <w:gridCol w:w="560"/>
        <w:gridCol w:w="842"/>
        <w:gridCol w:w="562"/>
        <w:gridCol w:w="560"/>
        <w:gridCol w:w="841"/>
        <w:gridCol w:w="2192"/>
      </w:tblGrid>
      <w:tr w:rsidR="00C60988" w:rsidRPr="00CE357F" w14:paraId="3DB9AF86" w14:textId="77777777" w:rsidTr="004A0C47">
        <w:trPr>
          <w:trHeight w:val="279"/>
        </w:trPr>
        <w:tc>
          <w:tcPr>
            <w:tcW w:w="993" w:type="dxa"/>
            <w:vMerge w:val="restart"/>
            <w:shd w:val="clear" w:color="auto" w:fill="D9E2F3" w:themeFill="accent1" w:themeFillTint="33"/>
            <w:vAlign w:val="center"/>
            <w:hideMark/>
          </w:tcPr>
          <w:p w14:paraId="292FEFB9" w14:textId="77777777" w:rsidR="00C60988" w:rsidRPr="00493A7B" w:rsidRDefault="00C60988" w:rsidP="004A0C47">
            <w:pPr>
              <w:jc w:val="center"/>
              <w:rPr>
                <w:rFonts w:ascii="Arial Narrow" w:eastAsia="Times New Roman" w:hAnsi="Arial Narrow" w:cs="Arial"/>
                <w:sz w:val="18"/>
                <w:szCs w:val="18"/>
                <w:lang w:eastAsia="cs-CZ"/>
              </w:rPr>
            </w:pPr>
            <w:r w:rsidRPr="00493A7B">
              <w:rPr>
                <w:rFonts w:ascii="Arial Narrow" w:eastAsia="Times New Roman" w:hAnsi="Arial Narrow" w:cs="Arial"/>
                <w:sz w:val="18"/>
                <w:szCs w:val="18"/>
                <w:lang w:eastAsia="cs-CZ"/>
              </w:rPr>
              <w:t>Rok</w:t>
            </w:r>
          </w:p>
          <w:p w14:paraId="2F0C6752" w14:textId="7C31AC74" w:rsidR="00C60988" w:rsidRPr="00CE357F" w:rsidRDefault="00C60988" w:rsidP="004A0C47">
            <w:pPr>
              <w:jc w:val="center"/>
              <w:rPr>
                <w:rFonts w:ascii="Arial Narrow" w:hAnsi="Arial Narrow" w:cstheme="minorBidi"/>
                <w:b/>
                <w:bCs/>
                <w:sz w:val="18"/>
                <w:szCs w:val="18"/>
              </w:rPr>
            </w:pPr>
            <w:r w:rsidRPr="00493A7B">
              <w:rPr>
                <w:rFonts w:ascii="Arial Narrow" w:eastAsia="Times New Roman" w:hAnsi="Arial Narrow" w:cs="Arial"/>
                <w:sz w:val="18"/>
                <w:szCs w:val="18"/>
                <w:lang w:eastAsia="cs-CZ"/>
              </w:rPr>
              <w:t>(</w:t>
            </w:r>
            <w:r w:rsidR="00493A7B" w:rsidRPr="00493A7B">
              <w:rPr>
                <w:rFonts w:ascii="Arial Narrow" w:eastAsia="Times New Roman" w:hAnsi="Arial Narrow" w:cs="Arial"/>
                <w:sz w:val="18"/>
                <w:szCs w:val="18"/>
                <w:lang w:eastAsia="cs-CZ"/>
              </w:rPr>
              <w:t xml:space="preserve">vždy </w:t>
            </w:r>
            <w:r w:rsidR="00493A7B" w:rsidRPr="00493A7B">
              <w:rPr>
                <w:rFonts w:ascii="Arial Narrow" w:eastAsia="Times New Roman" w:hAnsi="Arial Narrow" w:cs="Arial"/>
                <w:sz w:val="18"/>
                <w:szCs w:val="18"/>
                <w:lang w:eastAsia="cs-CZ"/>
              </w:rPr>
              <w:br/>
            </w:r>
            <w:r w:rsidRPr="00493A7B">
              <w:rPr>
                <w:rFonts w:ascii="Arial Narrow" w:eastAsia="Times New Roman" w:hAnsi="Arial Narrow" w:cs="Arial"/>
                <w:sz w:val="18"/>
                <w:szCs w:val="18"/>
                <w:lang w:eastAsia="cs-CZ"/>
              </w:rPr>
              <w:t>k 1. 1.)</w:t>
            </w:r>
          </w:p>
        </w:tc>
        <w:tc>
          <w:tcPr>
            <w:tcW w:w="1950" w:type="dxa"/>
            <w:vMerge w:val="restart"/>
            <w:shd w:val="clear" w:color="auto" w:fill="D9E2F3" w:themeFill="accent1" w:themeFillTint="33"/>
            <w:vAlign w:val="center"/>
            <w:hideMark/>
          </w:tcPr>
          <w:p w14:paraId="09E489D6" w14:textId="77777777" w:rsidR="00C60988" w:rsidRPr="00CE357F" w:rsidRDefault="00C60988" w:rsidP="004A0C47">
            <w:pPr>
              <w:jc w:val="center"/>
              <w:rPr>
                <w:rFonts w:ascii="Arial Narrow" w:hAnsi="Arial Narrow"/>
                <w:sz w:val="18"/>
                <w:szCs w:val="18"/>
              </w:rPr>
            </w:pPr>
            <w:r w:rsidRPr="00CE357F">
              <w:rPr>
                <w:rFonts w:ascii="Arial Narrow" w:eastAsia="Times New Roman" w:hAnsi="Arial Narrow" w:cs="Arial"/>
                <w:sz w:val="18"/>
                <w:szCs w:val="18"/>
                <w:lang w:eastAsia="cs-CZ"/>
              </w:rPr>
              <w:t>Osoby s jinou než českou státní příslušností – celkem</w:t>
            </w:r>
          </w:p>
        </w:tc>
        <w:tc>
          <w:tcPr>
            <w:tcW w:w="1985" w:type="dxa"/>
            <w:gridSpan w:val="3"/>
            <w:shd w:val="clear" w:color="auto" w:fill="D9E2F3" w:themeFill="accent1" w:themeFillTint="33"/>
            <w:vAlign w:val="center"/>
            <w:hideMark/>
          </w:tcPr>
          <w:p w14:paraId="1F889070" w14:textId="77777777" w:rsidR="00C60988" w:rsidRPr="00CE357F" w:rsidRDefault="00C60988" w:rsidP="004A0C47">
            <w:pPr>
              <w:jc w:val="center"/>
              <w:rPr>
                <w:rFonts w:ascii="Arial Narrow" w:hAnsi="Arial Narrow"/>
                <w:b/>
                <w:bCs/>
                <w:sz w:val="18"/>
                <w:szCs w:val="18"/>
              </w:rPr>
            </w:pPr>
            <w:r w:rsidRPr="00CE357F">
              <w:rPr>
                <w:rFonts w:ascii="Arial Narrow" w:eastAsia="Times New Roman" w:hAnsi="Arial Narrow" w:cs="Arial"/>
                <w:b/>
                <w:bCs/>
                <w:sz w:val="18"/>
                <w:szCs w:val="18"/>
                <w:lang w:eastAsia="cs-CZ"/>
              </w:rPr>
              <w:t>Muži</w:t>
            </w:r>
          </w:p>
        </w:tc>
        <w:tc>
          <w:tcPr>
            <w:tcW w:w="1984" w:type="dxa"/>
            <w:gridSpan w:val="3"/>
            <w:shd w:val="clear" w:color="auto" w:fill="D9E2F3" w:themeFill="accent1" w:themeFillTint="33"/>
            <w:vAlign w:val="center"/>
            <w:hideMark/>
          </w:tcPr>
          <w:p w14:paraId="5519ED48" w14:textId="77777777" w:rsidR="00C60988" w:rsidRPr="00CE357F" w:rsidRDefault="00C60988" w:rsidP="004A0C47">
            <w:pPr>
              <w:jc w:val="center"/>
              <w:rPr>
                <w:rFonts w:ascii="Arial Narrow" w:hAnsi="Arial Narrow"/>
                <w:b/>
                <w:bCs/>
                <w:sz w:val="18"/>
                <w:szCs w:val="18"/>
              </w:rPr>
            </w:pPr>
            <w:r w:rsidRPr="00CE357F">
              <w:rPr>
                <w:rFonts w:ascii="Arial Narrow" w:eastAsia="Times New Roman" w:hAnsi="Arial Narrow" w:cs="Arial"/>
                <w:b/>
                <w:bCs/>
                <w:sz w:val="18"/>
                <w:szCs w:val="18"/>
                <w:lang w:eastAsia="cs-CZ"/>
              </w:rPr>
              <w:t>Ženy</w:t>
            </w:r>
          </w:p>
        </w:tc>
        <w:tc>
          <w:tcPr>
            <w:tcW w:w="2279" w:type="dxa"/>
            <w:vMerge w:val="restart"/>
            <w:shd w:val="clear" w:color="auto" w:fill="D9E2F3" w:themeFill="accent1" w:themeFillTint="33"/>
            <w:vAlign w:val="center"/>
          </w:tcPr>
          <w:p w14:paraId="5EB0BFC4" w14:textId="77777777" w:rsidR="00C60988" w:rsidRPr="00CE357F" w:rsidRDefault="00C60988"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Podíl dětí ve věku do 15 let na celkovém počtu osob s jinou než českou státní příslušností</w:t>
            </w:r>
          </w:p>
        </w:tc>
      </w:tr>
      <w:tr w:rsidR="00C60988" w:rsidRPr="00CE357F" w14:paraId="3DD2D0AF" w14:textId="77777777" w:rsidTr="004A0C47">
        <w:trPr>
          <w:trHeight w:val="204"/>
        </w:trPr>
        <w:tc>
          <w:tcPr>
            <w:tcW w:w="993" w:type="dxa"/>
            <w:vMerge/>
            <w:shd w:val="clear" w:color="auto" w:fill="D9E2F3" w:themeFill="accent1" w:themeFillTint="33"/>
            <w:vAlign w:val="center"/>
            <w:hideMark/>
          </w:tcPr>
          <w:p w14:paraId="178F820C" w14:textId="77777777" w:rsidR="00C60988" w:rsidRPr="00CE357F" w:rsidRDefault="00C60988" w:rsidP="004A0C47">
            <w:pPr>
              <w:jc w:val="center"/>
              <w:rPr>
                <w:rFonts w:ascii="Arial Narrow" w:hAnsi="Arial Narrow"/>
                <w:sz w:val="18"/>
                <w:szCs w:val="18"/>
              </w:rPr>
            </w:pPr>
          </w:p>
        </w:tc>
        <w:tc>
          <w:tcPr>
            <w:tcW w:w="1950" w:type="dxa"/>
            <w:vMerge/>
            <w:shd w:val="clear" w:color="auto" w:fill="D9E2F3" w:themeFill="accent1" w:themeFillTint="33"/>
            <w:vAlign w:val="center"/>
            <w:hideMark/>
          </w:tcPr>
          <w:p w14:paraId="777CBC14" w14:textId="77777777" w:rsidR="00C60988" w:rsidRPr="00CE357F" w:rsidRDefault="00C60988" w:rsidP="004A0C47">
            <w:pPr>
              <w:jc w:val="center"/>
              <w:rPr>
                <w:rFonts w:ascii="Arial Narrow" w:hAnsi="Arial Narrow"/>
                <w:sz w:val="18"/>
                <w:szCs w:val="18"/>
              </w:rPr>
            </w:pPr>
          </w:p>
        </w:tc>
        <w:tc>
          <w:tcPr>
            <w:tcW w:w="567" w:type="dxa"/>
            <w:shd w:val="clear" w:color="auto" w:fill="D9E2F3" w:themeFill="accent1" w:themeFillTint="33"/>
            <w:vAlign w:val="center"/>
            <w:hideMark/>
          </w:tcPr>
          <w:p w14:paraId="0748548A" w14:textId="77777777" w:rsidR="00C60988" w:rsidRPr="00CE357F" w:rsidRDefault="00C60988"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67" w:type="dxa"/>
            <w:shd w:val="clear" w:color="auto" w:fill="D9E2F3" w:themeFill="accent1" w:themeFillTint="33"/>
            <w:vAlign w:val="center"/>
            <w:hideMark/>
          </w:tcPr>
          <w:p w14:paraId="7CDFDC9D" w14:textId="77777777" w:rsidR="00C60988" w:rsidRPr="00CE357F" w:rsidRDefault="00C60988"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51" w:type="dxa"/>
            <w:shd w:val="clear" w:color="auto" w:fill="D9E2F3" w:themeFill="accent1" w:themeFillTint="33"/>
            <w:vAlign w:val="center"/>
            <w:hideMark/>
          </w:tcPr>
          <w:p w14:paraId="331F72DD" w14:textId="77777777" w:rsidR="00C60988" w:rsidRPr="00CE357F" w:rsidRDefault="00C60988"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67" w:type="dxa"/>
            <w:shd w:val="clear" w:color="auto" w:fill="D9E2F3" w:themeFill="accent1" w:themeFillTint="33"/>
            <w:vAlign w:val="center"/>
            <w:hideMark/>
          </w:tcPr>
          <w:p w14:paraId="58865DA1" w14:textId="77777777" w:rsidR="00C60988" w:rsidRPr="00CE357F" w:rsidRDefault="00C60988"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67" w:type="dxa"/>
            <w:shd w:val="clear" w:color="auto" w:fill="D9E2F3" w:themeFill="accent1" w:themeFillTint="33"/>
            <w:vAlign w:val="center"/>
            <w:hideMark/>
          </w:tcPr>
          <w:p w14:paraId="35C2BF0F" w14:textId="77777777" w:rsidR="00C60988" w:rsidRPr="00CE357F" w:rsidRDefault="00C60988"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50" w:type="dxa"/>
            <w:shd w:val="clear" w:color="auto" w:fill="D9E2F3" w:themeFill="accent1" w:themeFillTint="33"/>
            <w:vAlign w:val="center"/>
            <w:hideMark/>
          </w:tcPr>
          <w:p w14:paraId="0B286690" w14:textId="77777777" w:rsidR="00C60988" w:rsidRPr="00CE357F" w:rsidRDefault="00C60988"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2279" w:type="dxa"/>
            <w:vMerge/>
            <w:shd w:val="clear" w:color="auto" w:fill="D9E2F3" w:themeFill="accent1" w:themeFillTint="33"/>
          </w:tcPr>
          <w:p w14:paraId="27F35A10" w14:textId="77777777" w:rsidR="00C60988" w:rsidRPr="00CE357F" w:rsidRDefault="00C60988" w:rsidP="004A0C47">
            <w:pPr>
              <w:jc w:val="center"/>
              <w:rPr>
                <w:rFonts w:ascii="Arial Narrow" w:eastAsia="Times New Roman" w:hAnsi="Arial Narrow" w:cs="Arial"/>
                <w:sz w:val="18"/>
                <w:szCs w:val="18"/>
                <w:lang w:eastAsia="cs-CZ"/>
              </w:rPr>
            </w:pPr>
          </w:p>
        </w:tc>
      </w:tr>
      <w:tr w:rsidR="00C60988" w:rsidRPr="00CE357F" w14:paraId="6F70F2A1" w14:textId="77777777" w:rsidTr="004A0C47">
        <w:trPr>
          <w:trHeight w:val="170"/>
        </w:trPr>
        <w:tc>
          <w:tcPr>
            <w:tcW w:w="993" w:type="dxa"/>
            <w:shd w:val="clear" w:color="auto" w:fill="D9E2F3" w:themeFill="accent1" w:themeFillTint="33"/>
          </w:tcPr>
          <w:p w14:paraId="5B9C9E3E" w14:textId="77777777" w:rsidR="00C60988" w:rsidRPr="00CE357F" w:rsidRDefault="00C60988" w:rsidP="004A0C47">
            <w:pPr>
              <w:jc w:val="center"/>
              <w:rPr>
                <w:rFonts w:ascii="Arial Narrow" w:hAnsi="Arial Narrow"/>
                <w:sz w:val="18"/>
                <w:szCs w:val="18"/>
              </w:rPr>
            </w:pPr>
            <w:r>
              <w:rPr>
                <w:rFonts w:ascii="Arial Narrow" w:hAnsi="Arial Narrow"/>
                <w:sz w:val="18"/>
                <w:szCs w:val="18"/>
              </w:rPr>
              <w:t>2023</w:t>
            </w:r>
          </w:p>
        </w:tc>
        <w:tc>
          <w:tcPr>
            <w:tcW w:w="1950" w:type="dxa"/>
            <w:vAlign w:val="center"/>
          </w:tcPr>
          <w:p w14:paraId="226F941B" w14:textId="77777777" w:rsidR="00C60988" w:rsidRPr="00CE357F" w:rsidRDefault="00C60988" w:rsidP="004A0C47">
            <w:pPr>
              <w:jc w:val="center"/>
              <w:rPr>
                <w:rFonts w:ascii="Arial Narrow" w:hAnsi="Arial Narrow"/>
                <w:sz w:val="18"/>
                <w:szCs w:val="18"/>
              </w:rPr>
            </w:pPr>
            <w:r>
              <w:rPr>
                <w:rFonts w:ascii="Arial Narrow" w:hAnsi="Arial Narrow"/>
                <w:sz w:val="18"/>
                <w:szCs w:val="18"/>
              </w:rPr>
              <w:t>1 549</w:t>
            </w:r>
          </w:p>
        </w:tc>
        <w:tc>
          <w:tcPr>
            <w:tcW w:w="567" w:type="dxa"/>
            <w:vAlign w:val="center"/>
          </w:tcPr>
          <w:p w14:paraId="2D9192A5" w14:textId="77777777" w:rsidR="00C60988" w:rsidRPr="00CE357F" w:rsidRDefault="00C60988" w:rsidP="004A0C47">
            <w:pPr>
              <w:spacing w:after="46"/>
              <w:jc w:val="center"/>
              <w:rPr>
                <w:rFonts w:ascii="Arial Narrow" w:hAnsi="Arial Narrow"/>
                <w:sz w:val="18"/>
                <w:szCs w:val="18"/>
              </w:rPr>
            </w:pPr>
            <w:r>
              <w:rPr>
                <w:rFonts w:ascii="Arial Narrow" w:hAnsi="Arial Narrow"/>
                <w:sz w:val="18"/>
                <w:szCs w:val="18"/>
              </w:rPr>
              <w:t>538</w:t>
            </w:r>
          </w:p>
        </w:tc>
        <w:tc>
          <w:tcPr>
            <w:tcW w:w="567" w:type="dxa"/>
            <w:vAlign w:val="center"/>
          </w:tcPr>
          <w:p w14:paraId="44B39EAE" w14:textId="77777777" w:rsidR="00C60988" w:rsidRPr="00CE357F" w:rsidRDefault="00C60988" w:rsidP="004A0C47">
            <w:pPr>
              <w:spacing w:after="46"/>
              <w:jc w:val="center"/>
              <w:rPr>
                <w:rFonts w:ascii="Arial Narrow" w:hAnsi="Arial Narrow"/>
                <w:sz w:val="18"/>
                <w:szCs w:val="18"/>
              </w:rPr>
            </w:pPr>
            <w:r>
              <w:rPr>
                <w:rFonts w:ascii="Arial Narrow" w:hAnsi="Arial Narrow"/>
                <w:sz w:val="18"/>
                <w:szCs w:val="18"/>
              </w:rPr>
              <w:t>170</w:t>
            </w:r>
          </w:p>
        </w:tc>
        <w:tc>
          <w:tcPr>
            <w:tcW w:w="851" w:type="dxa"/>
            <w:vAlign w:val="center"/>
          </w:tcPr>
          <w:p w14:paraId="39DB51C7" w14:textId="77777777" w:rsidR="00C60988" w:rsidRPr="00CE357F" w:rsidRDefault="00C60988" w:rsidP="004A0C47">
            <w:pPr>
              <w:spacing w:after="46"/>
              <w:jc w:val="center"/>
              <w:rPr>
                <w:rFonts w:ascii="Arial Narrow" w:hAnsi="Arial Narrow"/>
                <w:sz w:val="18"/>
                <w:szCs w:val="18"/>
              </w:rPr>
            </w:pPr>
            <w:r>
              <w:rPr>
                <w:rFonts w:ascii="Arial Narrow" w:hAnsi="Arial Narrow"/>
                <w:sz w:val="18"/>
                <w:szCs w:val="18"/>
              </w:rPr>
              <w:t>708</w:t>
            </w:r>
          </w:p>
        </w:tc>
        <w:tc>
          <w:tcPr>
            <w:tcW w:w="567" w:type="dxa"/>
            <w:vAlign w:val="center"/>
          </w:tcPr>
          <w:p w14:paraId="2DDD0D98" w14:textId="77777777" w:rsidR="00C60988" w:rsidRPr="00CE357F" w:rsidRDefault="00C60988" w:rsidP="004A0C47">
            <w:pPr>
              <w:spacing w:after="46"/>
              <w:jc w:val="center"/>
              <w:rPr>
                <w:rFonts w:ascii="Arial Narrow" w:hAnsi="Arial Narrow"/>
                <w:sz w:val="18"/>
                <w:szCs w:val="18"/>
              </w:rPr>
            </w:pPr>
            <w:r>
              <w:rPr>
                <w:rFonts w:ascii="Arial Narrow" w:hAnsi="Arial Narrow"/>
                <w:sz w:val="18"/>
                <w:szCs w:val="18"/>
              </w:rPr>
              <w:t>661</w:t>
            </w:r>
          </w:p>
        </w:tc>
        <w:tc>
          <w:tcPr>
            <w:tcW w:w="567" w:type="dxa"/>
            <w:vAlign w:val="center"/>
          </w:tcPr>
          <w:p w14:paraId="145F52F1" w14:textId="77777777" w:rsidR="00C60988" w:rsidRPr="00CE357F" w:rsidRDefault="00C60988" w:rsidP="004A0C47">
            <w:pPr>
              <w:spacing w:after="46"/>
              <w:jc w:val="center"/>
              <w:rPr>
                <w:rFonts w:ascii="Arial Narrow" w:hAnsi="Arial Narrow"/>
                <w:sz w:val="18"/>
                <w:szCs w:val="18"/>
              </w:rPr>
            </w:pPr>
            <w:r>
              <w:rPr>
                <w:rFonts w:ascii="Arial Narrow" w:hAnsi="Arial Narrow"/>
                <w:sz w:val="18"/>
                <w:szCs w:val="18"/>
              </w:rPr>
              <w:t>180</w:t>
            </w:r>
          </w:p>
        </w:tc>
        <w:tc>
          <w:tcPr>
            <w:tcW w:w="850" w:type="dxa"/>
            <w:vAlign w:val="center"/>
          </w:tcPr>
          <w:p w14:paraId="27FDAF69" w14:textId="77777777" w:rsidR="00C60988" w:rsidRPr="00CE357F" w:rsidRDefault="00C60988" w:rsidP="004A0C47">
            <w:pPr>
              <w:spacing w:after="46"/>
              <w:jc w:val="center"/>
              <w:rPr>
                <w:rFonts w:ascii="Arial Narrow" w:hAnsi="Arial Narrow"/>
                <w:sz w:val="18"/>
                <w:szCs w:val="18"/>
              </w:rPr>
            </w:pPr>
            <w:r>
              <w:rPr>
                <w:rFonts w:ascii="Arial Narrow" w:hAnsi="Arial Narrow"/>
                <w:sz w:val="18"/>
                <w:szCs w:val="18"/>
              </w:rPr>
              <w:t>841</w:t>
            </w:r>
          </w:p>
        </w:tc>
        <w:tc>
          <w:tcPr>
            <w:tcW w:w="2279" w:type="dxa"/>
            <w:vAlign w:val="bottom"/>
          </w:tcPr>
          <w:p w14:paraId="4A3F0A0A" w14:textId="77777777" w:rsidR="00C60988" w:rsidRPr="00CE357F" w:rsidRDefault="00C60988" w:rsidP="004A0C47">
            <w:pPr>
              <w:jc w:val="center"/>
              <w:rPr>
                <w:rFonts w:ascii="Arial Narrow" w:hAnsi="Arial Narrow"/>
                <w:b/>
                <w:bCs/>
                <w:color w:val="C00000"/>
                <w:sz w:val="18"/>
                <w:szCs w:val="18"/>
              </w:rPr>
            </w:pPr>
            <w:r>
              <w:rPr>
                <w:rFonts w:ascii="Arial Narrow" w:hAnsi="Arial Narrow"/>
                <w:b/>
                <w:bCs/>
                <w:color w:val="C00000"/>
                <w:sz w:val="18"/>
                <w:szCs w:val="18"/>
              </w:rPr>
              <w:t>22,5 %</w:t>
            </w:r>
          </w:p>
        </w:tc>
      </w:tr>
      <w:tr w:rsidR="00C60988" w:rsidRPr="00CE357F" w14:paraId="0DDB43BE" w14:textId="77777777" w:rsidTr="004A0C47">
        <w:trPr>
          <w:trHeight w:val="170"/>
        </w:trPr>
        <w:tc>
          <w:tcPr>
            <w:tcW w:w="993" w:type="dxa"/>
            <w:shd w:val="clear" w:color="auto" w:fill="D9E2F3" w:themeFill="accent1" w:themeFillTint="33"/>
          </w:tcPr>
          <w:p w14:paraId="5B18F1E3"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2022</w:t>
            </w:r>
          </w:p>
        </w:tc>
        <w:tc>
          <w:tcPr>
            <w:tcW w:w="1950" w:type="dxa"/>
            <w:vAlign w:val="center"/>
          </w:tcPr>
          <w:p w14:paraId="670484C7"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533</w:t>
            </w:r>
          </w:p>
        </w:tc>
        <w:tc>
          <w:tcPr>
            <w:tcW w:w="567" w:type="dxa"/>
            <w:vAlign w:val="center"/>
          </w:tcPr>
          <w:p w14:paraId="3366B50A"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267</w:t>
            </w:r>
          </w:p>
        </w:tc>
        <w:tc>
          <w:tcPr>
            <w:tcW w:w="567" w:type="dxa"/>
            <w:vAlign w:val="center"/>
          </w:tcPr>
          <w:p w14:paraId="063C05F2"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23</w:t>
            </w:r>
          </w:p>
        </w:tc>
        <w:tc>
          <w:tcPr>
            <w:tcW w:w="851" w:type="dxa"/>
            <w:vAlign w:val="center"/>
          </w:tcPr>
          <w:p w14:paraId="47BCC910"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290</w:t>
            </w:r>
          </w:p>
        </w:tc>
        <w:tc>
          <w:tcPr>
            <w:tcW w:w="567" w:type="dxa"/>
            <w:vAlign w:val="center"/>
          </w:tcPr>
          <w:p w14:paraId="307A54D6"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218</w:t>
            </w:r>
          </w:p>
        </w:tc>
        <w:tc>
          <w:tcPr>
            <w:tcW w:w="567" w:type="dxa"/>
            <w:vAlign w:val="center"/>
          </w:tcPr>
          <w:p w14:paraId="60157067"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25</w:t>
            </w:r>
          </w:p>
        </w:tc>
        <w:tc>
          <w:tcPr>
            <w:tcW w:w="850" w:type="dxa"/>
            <w:vAlign w:val="center"/>
          </w:tcPr>
          <w:p w14:paraId="31861761"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243</w:t>
            </w:r>
          </w:p>
        </w:tc>
        <w:tc>
          <w:tcPr>
            <w:tcW w:w="2279" w:type="dxa"/>
            <w:vAlign w:val="bottom"/>
          </w:tcPr>
          <w:p w14:paraId="003BB6AA"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9,0 %</w:t>
            </w:r>
          </w:p>
        </w:tc>
      </w:tr>
      <w:tr w:rsidR="00C60988" w:rsidRPr="00CE357F" w14:paraId="65E960CB" w14:textId="77777777" w:rsidTr="004A0C47">
        <w:trPr>
          <w:trHeight w:val="170"/>
        </w:trPr>
        <w:tc>
          <w:tcPr>
            <w:tcW w:w="993" w:type="dxa"/>
            <w:shd w:val="clear" w:color="auto" w:fill="D9E2F3" w:themeFill="accent1" w:themeFillTint="33"/>
          </w:tcPr>
          <w:p w14:paraId="2FC29B67"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2021</w:t>
            </w:r>
          </w:p>
        </w:tc>
        <w:tc>
          <w:tcPr>
            <w:tcW w:w="1950" w:type="dxa"/>
            <w:vAlign w:val="center"/>
          </w:tcPr>
          <w:p w14:paraId="57D09C49"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478</w:t>
            </w:r>
          </w:p>
        </w:tc>
        <w:tc>
          <w:tcPr>
            <w:tcW w:w="567" w:type="dxa"/>
            <w:vAlign w:val="center"/>
          </w:tcPr>
          <w:p w14:paraId="79086EB6"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243</w:t>
            </w:r>
          </w:p>
        </w:tc>
        <w:tc>
          <w:tcPr>
            <w:tcW w:w="567" w:type="dxa"/>
            <w:vAlign w:val="center"/>
          </w:tcPr>
          <w:p w14:paraId="538C4649"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20</w:t>
            </w:r>
          </w:p>
        </w:tc>
        <w:tc>
          <w:tcPr>
            <w:tcW w:w="851" w:type="dxa"/>
            <w:vAlign w:val="center"/>
          </w:tcPr>
          <w:p w14:paraId="47713643"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263</w:t>
            </w:r>
          </w:p>
        </w:tc>
        <w:tc>
          <w:tcPr>
            <w:tcW w:w="567" w:type="dxa"/>
            <w:vAlign w:val="center"/>
          </w:tcPr>
          <w:p w14:paraId="5D3B76B7"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194</w:t>
            </w:r>
          </w:p>
        </w:tc>
        <w:tc>
          <w:tcPr>
            <w:tcW w:w="567" w:type="dxa"/>
            <w:vAlign w:val="center"/>
          </w:tcPr>
          <w:p w14:paraId="4D46242B"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21</w:t>
            </w:r>
          </w:p>
        </w:tc>
        <w:tc>
          <w:tcPr>
            <w:tcW w:w="850" w:type="dxa"/>
            <w:vAlign w:val="center"/>
          </w:tcPr>
          <w:p w14:paraId="16E66FB9"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215</w:t>
            </w:r>
          </w:p>
        </w:tc>
        <w:tc>
          <w:tcPr>
            <w:tcW w:w="2279" w:type="dxa"/>
            <w:vAlign w:val="bottom"/>
          </w:tcPr>
          <w:p w14:paraId="2158C77A"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8,6 %</w:t>
            </w:r>
          </w:p>
        </w:tc>
      </w:tr>
      <w:tr w:rsidR="00C60988" w:rsidRPr="00CE357F" w14:paraId="280B2374" w14:textId="77777777" w:rsidTr="004A0C47">
        <w:trPr>
          <w:trHeight w:val="170"/>
        </w:trPr>
        <w:tc>
          <w:tcPr>
            <w:tcW w:w="993" w:type="dxa"/>
            <w:shd w:val="clear" w:color="auto" w:fill="D9E2F3" w:themeFill="accent1" w:themeFillTint="33"/>
          </w:tcPr>
          <w:p w14:paraId="453344E8"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2020</w:t>
            </w:r>
          </w:p>
        </w:tc>
        <w:tc>
          <w:tcPr>
            <w:tcW w:w="1950" w:type="dxa"/>
            <w:vAlign w:val="bottom"/>
          </w:tcPr>
          <w:p w14:paraId="5AE7471B"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446</w:t>
            </w:r>
          </w:p>
        </w:tc>
        <w:tc>
          <w:tcPr>
            <w:tcW w:w="567" w:type="dxa"/>
            <w:vAlign w:val="center"/>
          </w:tcPr>
          <w:p w14:paraId="759FB3F1"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230</w:t>
            </w:r>
          </w:p>
        </w:tc>
        <w:tc>
          <w:tcPr>
            <w:tcW w:w="567" w:type="dxa"/>
            <w:vAlign w:val="center"/>
          </w:tcPr>
          <w:p w14:paraId="0AC71C4A"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15</w:t>
            </w:r>
          </w:p>
        </w:tc>
        <w:tc>
          <w:tcPr>
            <w:tcW w:w="851" w:type="dxa"/>
            <w:vAlign w:val="center"/>
          </w:tcPr>
          <w:p w14:paraId="1395008D"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245</w:t>
            </w:r>
          </w:p>
        </w:tc>
        <w:tc>
          <w:tcPr>
            <w:tcW w:w="567" w:type="dxa"/>
            <w:vAlign w:val="center"/>
          </w:tcPr>
          <w:p w14:paraId="5642E781"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184</w:t>
            </w:r>
          </w:p>
        </w:tc>
        <w:tc>
          <w:tcPr>
            <w:tcW w:w="567" w:type="dxa"/>
            <w:vAlign w:val="center"/>
          </w:tcPr>
          <w:p w14:paraId="5FB8283D"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17</w:t>
            </w:r>
          </w:p>
        </w:tc>
        <w:tc>
          <w:tcPr>
            <w:tcW w:w="850" w:type="dxa"/>
            <w:vAlign w:val="center"/>
          </w:tcPr>
          <w:p w14:paraId="36EC86F9"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201</w:t>
            </w:r>
          </w:p>
        </w:tc>
        <w:tc>
          <w:tcPr>
            <w:tcW w:w="2279" w:type="dxa"/>
            <w:vAlign w:val="bottom"/>
          </w:tcPr>
          <w:p w14:paraId="2B02DDFE"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7,2 %</w:t>
            </w:r>
          </w:p>
        </w:tc>
      </w:tr>
      <w:tr w:rsidR="00C60988" w:rsidRPr="00CE357F" w14:paraId="7E0C3572" w14:textId="77777777" w:rsidTr="004A0C47">
        <w:trPr>
          <w:trHeight w:val="170"/>
        </w:trPr>
        <w:tc>
          <w:tcPr>
            <w:tcW w:w="993" w:type="dxa"/>
            <w:shd w:val="clear" w:color="auto" w:fill="D9E2F3" w:themeFill="accent1" w:themeFillTint="33"/>
          </w:tcPr>
          <w:p w14:paraId="4E5BEC3C"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2019</w:t>
            </w:r>
          </w:p>
        </w:tc>
        <w:tc>
          <w:tcPr>
            <w:tcW w:w="1950" w:type="dxa"/>
            <w:vAlign w:val="center"/>
          </w:tcPr>
          <w:p w14:paraId="3782A47F"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425</w:t>
            </w:r>
          </w:p>
        </w:tc>
        <w:tc>
          <w:tcPr>
            <w:tcW w:w="567" w:type="dxa"/>
            <w:vAlign w:val="center"/>
          </w:tcPr>
          <w:p w14:paraId="29ED68CA"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218</w:t>
            </w:r>
          </w:p>
        </w:tc>
        <w:tc>
          <w:tcPr>
            <w:tcW w:w="567" w:type="dxa"/>
            <w:vAlign w:val="center"/>
          </w:tcPr>
          <w:p w14:paraId="13D9E042"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15</w:t>
            </w:r>
          </w:p>
        </w:tc>
        <w:tc>
          <w:tcPr>
            <w:tcW w:w="851" w:type="dxa"/>
            <w:vAlign w:val="center"/>
          </w:tcPr>
          <w:p w14:paraId="287CF368"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233</w:t>
            </w:r>
          </w:p>
        </w:tc>
        <w:tc>
          <w:tcPr>
            <w:tcW w:w="567" w:type="dxa"/>
            <w:vAlign w:val="center"/>
          </w:tcPr>
          <w:p w14:paraId="5C92B5CB"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175</w:t>
            </w:r>
          </w:p>
        </w:tc>
        <w:tc>
          <w:tcPr>
            <w:tcW w:w="567" w:type="dxa"/>
            <w:vAlign w:val="center"/>
          </w:tcPr>
          <w:p w14:paraId="035524DC"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17</w:t>
            </w:r>
          </w:p>
        </w:tc>
        <w:tc>
          <w:tcPr>
            <w:tcW w:w="850" w:type="dxa"/>
            <w:vAlign w:val="center"/>
          </w:tcPr>
          <w:p w14:paraId="7473C5EA"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192</w:t>
            </w:r>
          </w:p>
        </w:tc>
        <w:tc>
          <w:tcPr>
            <w:tcW w:w="2279" w:type="dxa"/>
            <w:vAlign w:val="bottom"/>
          </w:tcPr>
          <w:p w14:paraId="187C927B"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7,5 %</w:t>
            </w:r>
          </w:p>
        </w:tc>
      </w:tr>
      <w:tr w:rsidR="00C60988" w:rsidRPr="00CE357F" w14:paraId="55E86A0E" w14:textId="77777777" w:rsidTr="004A0C47">
        <w:trPr>
          <w:trHeight w:val="170"/>
        </w:trPr>
        <w:tc>
          <w:tcPr>
            <w:tcW w:w="993" w:type="dxa"/>
            <w:shd w:val="clear" w:color="auto" w:fill="D9E2F3" w:themeFill="accent1" w:themeFillTint="33"/>
          </w:tcPr>
          <w:p w14:paraId="356B6288"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2018</w:t>
            </w:r>
          </w:p>
        </w:tc>
        <w:tc>
          <w:tcPr>
            <w:tcW w:w="1950" w:type="dxa"/>
            <w:vAlign w:val="bottom"/>
          </w:tcPr>
          <w:p w14:paraId="73AFC8A8"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398</w:t>
            </w:r>
          </w:p>
        </w:tc>
        <w:tc>
          <w:tcPr>
            <w:tcW w:w="567" w:type="dxa"/>
            <w:vAlign w:val="center"/>
          </w:tcPr>
          <w:p w14:paraId="39B1B949"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207</w:t>
            </w:r>
          </w:p>
        </w:tc>
        <w:tc>
          <w:tcPr>
            <w:tcW w:w="567" w:type="dxa"/>
            <w:vAlign w:val="center"/>
          </w:tcPr>
          <w:p w14:paraId="721E00DB"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14</w:t>
            </w:r>
          </w:p>
        </w:tc>
        <w:tc>
          <w:tcPr>
            <w:tcW w:w="851" w:type="dxa"/>
            <w:vAlign w:val="center"/>
          </w:tcPr>
          <w:p w14:paraId="0413BB83"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221</w:t>
            </w:r>
          </w:p>
        </w:tc>
        <w:tc>
          <w:tcPr>
            <w:tcW w:w="567" w:type="dxa"/>
            <w:vAlign w:val="center"/>
          </w:tcPr>
          <w:p w14:paraId="040D3E13"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165</w:t>
            </w:r>
          </w:p>
        </w:tc>
        <w:tc>
          <w:tcPr>
            <w:tcW w:w="567" w:type="dxa"/>
            <w:vAlign w:val="center"/>
          </w:tcPr>
          <w:p w14:paraId="0B131C32"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12</w:t>
            </w:r>
          </w:p>
        </w:tc>
        <w:tc>
          <w:tcPr>
            <w:tcW w:w="850" w:type="dxa"/>
            <w:vAlign w:val="center"/>
          </w:tcPr>
          <w:p w14:paraId="772D73F7"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177</w:t>
            </w:r>
          </w:p>
        </w:tc>
        <w:tc>
          <w:tcPr>
            <w:tcW w:w="2279" w:type="dxa"/>
            <w:vAlign w:val="bottom"/>
          </w:tcPr>
          <w:p w14:paraId="25C6C7B6"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6,5 %</w:t>
            </w:r>
          </w:p>
        </w:tc>
      </w:tr>
      <w:tr w:rsidR="00C60988" w:rsidRPr="00CE357F" w14:paraId="048D8C41" w14:textId="77777777" w:rsidTr="004A0C47">
        <w:trPr>
          <w:trHeight w:val="170"/>
        </w:trPr>
        <w:tc>
          <w:tcPr>
            <w:tcW w:w="993" w:type="dxa"/>
            <w:shd w:val="clear" w:color="auto" w:fill="D9E2F3" w:themeFill="accent1" w:themeFillTint="33"/>
          </w:tcPr>
          <w:p w14:paraId="50398C3A"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2017</w:t>
            </w:r>
          </w:p>
        </w:tc>
        <w:tc>
          <w:tcPr>
            <w:tcW w:w="1950" w:type="dxa"/>
            <w:vAlign w:val="bottom"/>
          </w:tcPr>
          <w:p w14:paraId="4AC5718C"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388</w:t>
            </w:r>
          </w:p>
        </w:tc>
        <w:tc>
          <w:tcPr>
            <w:tcW w:w="567" w:type="dxa"/>
            <w:vAlign w:val="center"/>
          </w:tcPr>
          <w:p w14:paraId="13A1F7F5"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204</w:t>
            </w:r>
          </w:p>
        </w:tc>
        <w:tc>
          <w:tcPr>
            <w:tcW w:w="567" w:type="dxa"/>
            <w:vAlign w:val="center"/>
          </w:tcPr>
          <w:p w14:paraId="47B21B4A"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8</w:t>
            </w:r>
          </w:p>
        </w:tc>
        <w:tc>
          <w:tcPr>
            <w:tcW w:w="851" w:type="dxa"/>
            <w:vAlign w:val="center"/>
          </w:tcPr>
          <w:p w14:paraId="16CDC2F2"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212</w:t>
            </w:r>
          </w:p>
        </w:tc>
        <w:tc>
          <w:tcPr>
            <w:tcW w:w="567" w:type="dxa"/>
            <w:vAlign w:val="center"/>
          </w:tcPr>
          <w:p w14:paraId="6EBC8851"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167</w:t>
            </w:r>
          </w:p>
        </w:tc>
        <w:tc>
          <w:tcPr>
            <w:tcW w:w="567" w:type="dxa"/>
            <w:vAlign w:val="center"/>
          </w:tcPr>
          <w:p w14:paraId="51C6736D"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9</w:t>
            </w:r>
          </w:p>
        </w:tc>
        <w:tc>
          <w:tcPr>
            <w:tcW w:w="850" w:type="dxa"/>
            <w:vAlign w:val="center"/>
          </w:tcPr>
          <w:p w14:paraId="4546FAEF"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176</w:t>
            </w:r>
          </w:p>
        </w:tc>
        <w:tc>
          <w:tcPr>
            <w:tcW w:w="2279" w:type="dxa"/>
            <w:vAlign w:val="bottom"/>
          </w:tcPr>
          <w:p w14:paraId="4F157099"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4,4 %</w:t>
            </w:r>
          </w:p>
        </w:tc>
      </w:tr>
      <w:tr w:rsidR="00C60988" w:rsidRPr="00CE357F" w14:paraId="30E771D8" w14:textId="77777777" w:rsidTr="004A0C47">
        <w:trPr>
          <w:trHeight w:val="170"/>
        </w:trPr>
        <w:tc>
          <w:tcPr>
            <w:tcW w:w="993" w:type="dxa"/>
            <w:shd w:val="clear" w:color="auto" w:fill="D9E2F3" w:themeFill="accent1" w:themeFillTint="33"/>
          </w:tcPr>
          <w:p w14:paraId="454A57F4"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2016</w:t>
            </w:r>
          </w:p>
        </w:tc>
        <w:tc>
          <w:tcPr>
            <w:tcW w:w="1950" w:type="dxa"/>
            <w:vAlign w:val="bottom"/>
          </w:tcPr>
          <w:p w14:paraId="501D0A46"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383</w:t>
            </w:r>
          </w:p>
        </w:tc>
        <w:tc>
          <w:tcPr>
            <w:tcW w:w="567" w:type="dxa"/>
            <w:vAlign w:val="center"/>
          </w:tcPr>
          <w:p w14:paraId="05200915"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207</w:t>
            </w:r>
          </w:p>
        </w:tc>
        <w:tc>
          <w:tcPr>
            <w:tcW w:w="567" w:type="dxa"/>
            <w:vAlign w:val="center"/>
          </w:tcPr>
          <w:p w14:paraId="39092274"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10</w:t>
            </w:r>
          </w:p>
        </w:tc>
        <w:tc>
          <w:tcPr>
            <w:tcW w:w="851" w:type="dxa"/>
            <w:vAlign w:val="center"/>
          </w:tcPr>
          <w:p w14:paraId="2E7B7BFB"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217</w:t>
            </w:r>
          </w:p>
        </w:tc>
        <w:tc>
          <w:tcPr>
            <w:tcW w:w="567" w:type="dxa"/>
            <w:vAlign w:val="center"/>
          </w:tcPr>
          <w:p w14:paraId="52501CBB"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157</w:t>
            </w:r>
          </w:p>
        </w:tc>
        <w:tc>
          <w:tcPr>
            <w:tcW w:w="567" w:type="dxa"/>
            <w:vAlign w:val="center"/>
          </w:tcPr>
          <w:p w14:paraId="666B15E3"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9</w:t>
            </w:r>
          </w:p>
        </w:tc>
        <w:tc>
          <w:tcPr>
            <w:tcW w:w="850" w:type="dxa"/>
            <w:vAlign w:val="center"/>
          </w:tcPr>
          <w:p w14:paraId="35338B25"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166</w:t>
            </w:r>
          </w:p>
        </w:tc>
        <w:tc>
          <w:tcPr>
            <w:tcW w:w="2279" w:type="dxa"/>
            <w:vAlign w:val="bottom"/>
          </w:tcPr>
          <w:p w14:paraId="156DD094"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5,0 %</w:t>
            </w:r>
          </w:p>
        </w:tc>
      </w:tr>
      <w:tr w:rsidR="00C60988" w:rsidRPr="00CE357F" w14:paraId="33807998" w14:textId="77777777" w:rsidTr="004A0C47">
        <w:trPr>
          <w:trHeight w:val="170"/>
        </w:trPr>
        <w:tc>
          <w:tcPr>
            <w:tcW w:w="993" w:type="dxa"/>
            <w:shd w:val="clear" w:color="auto" w:fill="D9E2F3" w:themeFill="accent1" w:themeFillTint="33"/>
          </w:tcPr>
          <w:p w14:paraId="3A072829"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2015</w:t>
            </w:r>
          </w:p>
        </w:tc>
        <w:tc>
          <w:tcPr>
            <w:tcW w:w="1950" w:type="dxa"/>
            <w:vAlign w:val="bottom"/>
          </w:tcPr>
          <w:p w14:paraId="3F9C8BAE"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365</w:t>
            </w:r>
          </w:p>
        </w:tc>
        <w:tc>
          <w:tcPr>
            <w:tcW w:w="567" w:type="dxa"/>
            <w:vAlign w:val="center"/>
          </w:tcPr>
          <w:p w14:paraId="73A7636E"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202</w:t>
            </w:r>
          </w:p>
        </w:tc>
        <w:tc>
          <w:tcPr>
            <w:tcW w:w="567" w:type="dxa"/>
            <w:vAlign w:val="center"/>
          </w:tcPr>
          <w:p w14:paraId="779E6F44"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10</w:t>
            </w:r>
          </w:p>
        </w:tc>
        <w:tc>
          <w:tcPr>
            <w:tcW w:w="851" w:type="dxa"/>
            <w:vAlign w:val="center"/>
          </w:tcPr>
          <w:p w14:paraId="141F6ABC"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212</w:t>
            </w:r>
          </w:p>
        </w:tc>
        <w:tc>
          <w:tcPr>
            <w:tcW w:w="567" w:type="dxa"/>
            <w:vAlign w:val="center"/>
          </w:tcPr>
          <w:p w14:paraId="144E587C"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144</w:t>
            </w:r>
          </w:p>
        </w:tc>
        <w:tc>
          <w:tcPr>
            <w:tcW w:w="567" w:type="dxa"/>
            <w:vAlign w:val="center"/>
          </w:tcPr>
          <w:p w14:paraId="1CA54AA4"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9</w:t>
            </w:r>
          </w:p>
        </w:tc>
        <w:tc>
          <w:tcPr>
            <w:tcW w:w="850" w:type="dxa"/>
            <w:vAlign w:val="center"/>
          </w:tcPr>
          <w:p w14:paraId="0C2D34E5"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153</w:t>
            </w:r>
          </w:p>
        </w:tc>
        <w:tc>
          <w:tcPr>
            <w:tcW w:w="2279" w:type="dxa"/>
            <w:vAlign w:val="bottom"/>
          </w:tcPr>
          <w:p w14:paraId="3D52FB53"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5,2 %</w:t>
            </w:r>
          </w:p>
        </w:tc>
      </w:tr>
      <w:tr w:rsidR="00C60988" w:rsidRPr="00CE357F" w14:paraId="529AFEFF" w14:textId="77777777" w:rsidTr="004A0C47">
        <w:trPr>
          <w:trHeight w:val="170"/>
        </w:trPr>
        <w:tc>
          <w:tcPr>
            <w:tcW w:w="993" w:type="dxa"/>
            <w:shd w:val="clear" w:color="auto" w:fill="D9E2F3" w:themeFill="accent1" w:themeFillTint="33"/>
          </w:tcPr>
          <w:p w14:paraId="62C578E9"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2014</w:t>
            </w:r>
          </w:p>
        </w:tc>
        <w:tc>
          <w:tcPr>
            <w:tcW w:w="1950" w:type="dxa"/>
            <w:vAlign w:val="bottom"/>
          </w:tcPr>
          <w:p w14:paraId="4CBC616E"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372</w:t>
            </w:r>
          </w:p>
        </w:tc>
        <w:tc>
          <w:tcPr>
            <w:tcW w:w="567" w:type="dxa"/>
            <w:vAlign w:val="center"/>
          </w:tcPr>
          <w:p w14:paraId="71F28A2E"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208</w:t>
            </w:r>
          </w:p>
        </w:tc>
        <w:tc>
          <w:tcPr>
            <w:tcW w:w="567" w:type="dxa"/>
            <w:vAlign w:val="center"/>
          </w:tcPr>
          <w:p w14:paraId="00AC0305"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10</w:t>
            </w:r>
          </w:p>
        </w:tc>
        <w:tc>
          <w:tcPr>
            <w:tcW w:w="851" w:type="dxa"/>
            <w:vAlign w:val="center"/>
          </w:tcPr>
          <w:p w14:paraId="61FC977A"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218</w:t>
            </w:r>
          </w:p>
        </w:tc>
        <w:tc>
          <w:tcPr>
            <w:tcW w:w="567" w:type="dxa"/>
            <w:vAlign w:val="center"/>
          </w:tcPr>
          <w:p w14:paraId="324C1A29"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148</w:t>
            </w:r>
          </w:p>
        </w:tc>
        <w:tc>
          <w:tcPr>
            <w:tcW w:w="567" w:type="dxa"/>
            <w:vAlign w:val="center"/>
          </w:tcPr>
          <w:p w14:paraId="2C9458FC"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w:t>
            </w:r>
          </w:p>
        </w:tc>
        <w:tc>
          <w:tcPr>
            <w:tcW w:w="850" w:type="dxa"/>
            <w:vAlign w:val="center"/>
          </w:tcPr>
          <w:p w14:paraId="522676F7"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154</w:t>
            </w:r>
          </w:p>
        </w:tc>
        <w:tc>
          <w:tcPr>
            <w:tcW w:w="2279" w:type="dxa"/>
            <w:vAlign w:val="bottom"/>
          </w:tcPr>
          <w:p w14:paraId="28AEBD25"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4,3 %</w:t>
            </w:r>
          </w:p>
        </w:tc>
      </w:tr>
      <w:tr w:rsidR="00C60988" w:rsidRPr="00CE357F" w14:paraId="78FB4446" w14:textId="77777777" w:rsidTr="004A0C47">
        <w:trPr>
          <w:trHeight w:val="170"/>
        </w:trPr>
        <w:tc>
          <w:tcPr>
            <w:tcW w:w="993" w:type="dxa"/>
            <w:shd w:val="clear" w:color="auto" w:fill="D9E2F3" w:themeFill="accent1" w:themeFillTint="33"/>
          </w:tcPr>
          <w:p w14:paraId="1F354C37"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2013</w:t>
            </w:r>
          </w:p>
        </w:tc>
        <w:tc>
          <w:tcPr>
            <w:tcW w:w="1950" w:type="dxa"/>
            <w:vAlign w:val="bottom"/>
          </w:tcPr>
          <w:p w14:paraId="5AB989B5"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362</w:t>
            </w:r>
          </w:p>
        </w:tc>
        <w:tc>
          <w:tcPr>
            <w:tcW w:w="567" w:type="dxa"/>
            <w:vAlign w:val="center"/>
          </w:tcPr>
          <w:p w14:paraId="1AE4D9A5"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203</w:t>
            </w:r>
          </w:p>
        </w:tc>
        <w:tc>
          <w:tcPr>
            <w:tcW w:w="567" w:type="dxa"/>
            <w:vAlign w:val="center"/>
          </w:tcPr>
          <w:p w14:paraId="587E5034"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9</w:t>
            </w:r>
          </w:p>
        </w:tc>
        <w:tc>
          <w:tcPr>
            <w:tcW w:w="851" w:type="dxa"/>
            <w:vAlign w:val="center"/>
          </w:tcPr>
          <w:p w14:paraId="00D7BCC0"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212</w:t>
            </w:r>
          </w:p>
        </w:tc>
        <w:tc>
          <w:tcPr>
            <w:tcW w:w="567" w:type="dxa"/>
            <w:vAlign w:val="center"/>
          </w:tcPr>
          <w:p w14:paraId="6F70CDC4"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144</w:t>
            </w:r>
          </w:p>
        </w:tc>
        <w:tc>
          <w:tcPr>
            <w:tcW w:w="567" w:type="dxa"/>
            <w:vAlign w:val="center"/>
          </w:tcPr>
          <w:p w14:paraId="5592C500"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6</w:t>
            </w:r>
          </w:p>
        </w:tc>
        <w:tc>
          <w:tcPr>
            <w:tcW w:w="850" w:type="dxa"/>
            <w:vAlign w:val="center"/>
          </w:tcPr>
          <w:p w14:paraId="7A9C6C7C" w14:textId="77777777" w:rsidR="00C60988" w:rsidRPr="00CE357F" w:rsidRDefault="00C60988" w:rsidP="004A0C47">
            <w:pPr>
              <w:spacing w:after="46"/>
              <w:jc w:val="center"/>
              <w:rPr>
                <w:rFonts w:ascii="Arial Narrow" w:eastAsia="Times New Roman" w:hAnsi="Arial Narrow" w:cs="Arial"/>
                <w:sz w:val="18"/>
                <w:szCs w:val="18"/>
                <w:lang w:eastAsia="cs-CZ"/>
              </w:rPr>
            </w:pPr>
            <w:r w:rsidRPr="00CE357F">
              <w:rPr>
                <w:rFonts w:ascii="Arial Narrow" w:hAnsi="Arial Narrow"/>
                <w:sz w:val="18"/>
                <w:szCs w:val="18"/>
              </w:rPr>
              <w:t>150</w:t>
            </w:r>
          </w:p>
        </w:tc>
        <w:tc>
          <w:tcPr>
            <w:tcW w:w="2279" w:type="dxa"/>
            <w:vAlign w:val="bottom"/>
          </w:tcPr>
          <w:p w14:paraId="5DFAC8EE"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4,1 %</w:t>
            </w:r>
          </w:p>
        </w:tc>
      </w:tr>
      <w:tr w:rsidR="00C60988" w:rsidRPr="00CE357F" w14:paraId="67F8D05C" w14:textId="77777777" w:rsidTr="004A0C47">
        <w:trPr>
          <w:trHeight w:val="170"/>
        </w:trPr>
        <w:tc>
          <w:tcPr>
            <w:tcW w:w="993" w:type="dxa"/>
            <w:shd w:val="clear" w:color="auto" w:fill="D9E2F3" w:themeFill="accent1" w:themeFillTint="33"/>
          </w:tcPr>
          <w:p w14:paraId="5A772E42"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lastRenderedPageBreak/>
              <w:t>2012</w:t>
            </w:r>
          </w:p>
        </w:tc>
        <w:tc>
          <w:tcPr>
            <w:tcW w:w="1950" w:type="dxa"/>
            <w:vAlign w:val="bottom"/>
          </w:tcPr>
          <w:p w14:paraId="29368B7F"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393</w:t>
            </w:r>
          </w:p>
        </w:tc>
        <w:tc>
          <w:tcPr>
            <w:tcW w:w="567" w:type="dxa"/>
            <w:vAlign w:val="center"/>
          </w:tcPr>
          <w:p w14:paraId="2C9241BB"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236</w:t>
            </w:r>
          </w:p>
        </w:tc>
        <w:tc>
          <w:tcPr>
            <w:tcW w:w="567" w:type="dxa"/>
            <w:vAlign w:val="center"/>
          </w:tcPr>
          <w:p w14:paraId="01F07E6D"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10</w:t>
            </w:r>
          </w:p>
        </w:tc>
        <w:tc>
          <w:tcPr>
            <w:tcW w:w="851" w:type="dxa"/>
            <w:vAlign w:val="center"/>
          </w:tcPr>
          <w:p w14:paraId="022EC6C3"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246</w:t>
            </w:r>
          </w:p>
        </w:tc>
        <w:tc>
          <w:tcPr>
            <w:tcW w:w="567" w:type="dxa"/>
            <w:vAlign w:val="center"/>
          </w:tcPr>
          <w:p w14:paraId="578BCBEE"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141</w:t>
            </w:r>
          </w:p>
        </w:tc>
        <w:tc>
          <w:tcPr>
            <w:tcW w:w="567" w:type="dxa"/>
            <w:vAlign w:val="center"/>
          </w:tcPr>
          <w:p w14:paraId="291B56EE"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6</w:t>
            </w:r>
          </w:p>
        </w:tc>
        <w:tc>
          <w:tcPr>
            <w:tcW w:w="850" w:type="dxa"/>
            <w:vAlign w:val="center"/>
          </w:tcPr>
          <w:p w14:paraId="18E2A2C2"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147</w:t>
            </w:r>
          </w:p>
        </w:tc>
        <w:tc>
          <w:tcPr>
            <w:tcW w:w="2279" w:type="dxa"/>
            <w:vAlign w:val="bottom"/>
          </w:tcPr>
          <w:p w14:paraId="498AAC17"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4,1 %</w:t>
            </w:r>
          </w:p>
        </w:tc>
      </w:tr>
      <w:tr w:rsidR="00C60988" w:rsidRPr="00CE357F" w14:paraId="37BCC613" w14:textId="77777777" w:rsidTr="004A0C47">
        <w:trPr>
          <w:trHeight w:val="170"/>
        </w:trPr>
        <w:tc>
          <w:tcPr>
            <w:tcW w:w="993" w:type="dxa"/>
            <w:shd w:val="clear" w:color="auto" w:fill="D9E2F3" w:themeFill="accent1" w:themeFillTint="33"/>
          </w:tcPr>
          <w:p w14:paraId="4F5E49BD"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2011</w:t>
            </w:r>
          </w:p>
        </w:tc>
        <w:tc>
          <w:tcPr>
            <w:tcW w:w="1950" w:type="dxa"/>
            <w:vAlign w:val="bottom"/>
          </w:tcPr>
          <w:p w14:paraId="6F3FBC36"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399</w:t>
            </w:r>
          </w:p>
        </w:tc>
        <w:tc>
          <w:tcPr>
            <w:tcW w:w="567" w:type="dxa"/>
            <w:vAlign w:val="center"/>
          </w:tcPr>
          <w:p w14:paraId="7B245AAD"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244</w:t>
            </w:r>
          </w:p>
        </w:tc>
        <w:tc>
          <w:tcPr>
            <w:tcW w:w="567" w:type="dxa"/>
            <w:vAlign w:val="center"/>
          </w:tcPr>
          <w:p w14:paraId="3CB790D0"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9</w:t>
            </w:r>
          </w:p>
        </w:tc>
        <w:tc>
          <w:tcPr>
            <w:tcW w:w="851" w:type="dxa"/>
            <w:vAlign w:val="center"/>
          </w:tcPr>
          <w:p w14:paraId="693B600A"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253</w:t>
            </w:r>
          </w:p>
        </w:tc>
        <w:tc>
          <w:tcPr>
            <w:tcW w:w="567" w:type="dxa"/>
            <w:vAlign w:val="center"/>
          </w:tcPr>
          <w:p w14:paraId="25E04FBA"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142</w:t>
            </w:r>
          </w:p>
        </w:tc>
        <w:tc>
          <w:tcPr>
            <w:tcW w:w="567" w:type="dxa"/>
            <w:vAlign w:val="center"/>
          </w:tcPr>
          <w:p w14:paraId="295F6239"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4</w:t>
            </w:r>
          </w:p>
        </w:tc>
        <w:tc>
          <w:tcPr>
            <w:tcW w:w="850" w:type="dxa"/>
            <w:vAlign w:val="center"/>
          </w:tcPr>
          <w:p w14:paraId="4B47DB68"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146</w:t>
            </w:r>
          </w:p>
        </w:tc>
        <w:tc>
          <w:tcPr>
            <w:tcW w:w="2279" w:type="dxa"/>
            <w:vAlign w:val="bottom"/>
          </w:tcPr>
          <w:p w14:paraId="1EB8EF30"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3,3 %</w:t>
            </w:r>
          </w:p>
        </w:tc>
      </w:tr>
      <w:tr w:rsidR="00C60988" w:rsidRPr="00CE357F" w14:paraId="4C0F4562" w14:textId="77777777" w:rsidTr="004A0C47">
        <w:trPr>
          <w:trHeight w:val="170"/>
        </w:trPr>
        <w:tc>
          <w:tcPr>
            <w:tcW w:w="993" w:type="dxa"/>
            <w:shd w:val="clear" w:color="auto" w:fill="D9E2F3" w:themeFill="accent1" w:themeFillTint="33"/>
          </w:tcPr>
          <w:p w14:paraId="6007A53C"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2010</w:t>
            </w:r>
          </w:p>
        </w:tc>
        <w:tc>
          <w:tcPr>
            <w:tcW w:w="1950" w:type="dxa"/>
            <w:vAlign w:val="bottom"/>
          </w:tcPr>
          <w:p w14:paraId="205AE2F0"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507</w:t>
            </w:r>
          </w:p>
        </w:tc>
        <w:tc>
          <w:tcPr>
            <w:tcW w:w="567" w:type="dxa"/>
            <w:vAlign w:val="center"/>
          </w:tcPr>
          <w:p w14:paraId="59C0D97E"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317</w:t>
            </w:r>
          </w:p>
        </w:tc>
        <w:tc>
          <w:tcPr>
            <w:tcW w:w="567" w:type="dxa"/>
            <w:vAlign w:val="center"/>
          </w:tcPr>
          <w:p w14:paraId="56649B7A"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15</w:t>
            </w:r>
          </w:p>
        </w:tc>
        <w:tc>
          <w:tcPr>
            <w:tcW w:w="851" w:type="dxa"/>
            <w:vAlign w:val="center"/>
          </w:tcPr>
          <w:p w14:paraId="6CAD75F4"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332</w:t>
            </w:r>
          </w:p>
        </w:tc>
        <w:tc>
          <w:tcPr>
            <w:tcW w:w="567" w:type="dxa"/>
            <w:vAlign w:val="center"/>
          </w:tcPr>
          <w:p w14:paraId="5592FB4A"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168</w:t>
            </w:r>
          </w:p>
        </w:tc>
        <w:tc>
          <w:tcPr>
            <w:tcW w:w="567" w:type="dxa"/>
            <w:vAlign w:val="center"/>
          </w:tcPr>
          <w:p w14:paraId="02BF2439"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7</w:t>
            </w:r>
          </w:p>
        </w:tc>
        <w:tc>
          <w:tcPr>
            <w:tcW w:w="850" w:type="dxa"/>
            <w:vAlign w:val="center"/>
          </w:tcPr>
          <w:p w14:paraId="79DD461E"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175</w:t>
            </w:r>
          </w:p>
        </w:tc>
        <w:tc>
          <w:tcPr>
            <w:tcW w:w="2279" w:type="dxa"/>
            <w:vAlign w:val="bottom"/>
          </w:tcPr>
          <w:p w14:paraId="38D7DB92"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4,3 %</w:t>
            </w:r>
          </w:p>
        </w:tc>
      </w:tr>
      <w:tr w:rsidR="00C60988" w:rsidRPr="00CE357F" w14:paraId="2360D588" w14:textId="77777777" w:rsidTr="004A0C47">
        <w:trPr>
          <w:trHeight w:val="170"/>
        </w:trPr>
        <w:tc>
          <w:tcPr>
            <w:tcW w:w="993" w:type="dxa"/>
            <w:shd w:val="clear" w:color="auto" w:fill="D9E2F3" w:themeFill="accent1" w:themeFillTint="33"/>
          </w:tcPr>
          <w:p w14:paraId="00E5962D"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2009</w:t>
            </w:r>
          </w:p>
        </w:tc>
        <w:tc>
          <w:tcPr>
            <w:tcW w:w="1950" w:type="dxa"/>
            <w:vAlign w:val="bottom"/>
          </w:tcPr>
          <w:p w14:paraId="02BEDA19"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518</w:t>
            </w:r>
          </w:p>
        </w:tc>
        <w:tc>
          <w:tcPr>
            <w:tcW w:w="567" w:type="dxa"/>
            <w:vAlign w:val="center"/>
          </w:tcPr>
          <w:p w14:paraId="6EC1A8D4"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327</w:t>
            </w:r>
          </w:p>
        </w:tc>
        <w:tc>
          <w:tcPr>
            <w:tcW w:w="567" w:type="dxa"/>
            <w:vAlign w:val="center"/>
          </w:tcPr>
          <w:p w14:paraId="1676B7C0"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15</w:t>
            </w:r>
          </w:p>
        </w:tc>
        <w:tc>
          <w:tcPr>
            <w:tcW w:w="851" w:type="dxa"/>
            <w:vAlign w:val="center"/>
          </w:tcPr>
          <w:p w14:paraId="63740D1A"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342</w:t>
            </w:r>
          </w:p>
        </w:tc>
        <w:tc>
          <w:tcPr>
            <w:tcW w:w="567" w:type="dxa"/>
            <w:vAlign w:val="center"/>
          </w:tcPr>
          <w:p w14:paraId="76277BCE"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168</w:t>
            </w:r>
          </w:p>
        </w:tc>
        <w:tc>
          <w:tcPr>
            <w:tcW w:w="567" w:type="dxa"/>
            <w:vAlign w:val="center"/>
          </w:tcPr>
          <w:p w14:paraId="63C5741C"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8</w:t>
            </w:r>
          </w:p>
        </w:tc>
        <w:tc>
          <w:tcPr>
            <w:tcW w:w="850" w:type="dxa"/>
            <w:vAlign w:val="center"/>
          </w:tcPr>
          <w:p w14:paraId="29045421"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176</w:t>
            </w:r>
          </w:p>
        </w:tc>
        <w:tc>
          <w:tcPr>
            <w:tcW w:w="2279" w:type="dxa"/>
            <w:vAlign w:val="bottom"/>
          </w:tcPr>
          <w:p w14:paraId="261C366E"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4,4 %</w:t>
            </w:r>
          </w:p>
        </w:tc>
      </w:tr>
      <w:tr w:rsidR="00C60988" w:rsidRPr="00CE357F" w14:paraId="56854A4F" w14:textId="77777777" w:rsidTr="004A0C47">
        <w:trPr>
          <w:trHeight w:val="170"/>
        </w:trPr>
        <w:tc>
          <w:tcPr>
            <w:tcW w:w="993" w:type="dxa"/>
            <w:shd w:val="clear" w:color="auto" w:fill="D9E2F3" w:themeFill="accent1" w:themeFillTint="33"/>
          </w:tcPr>
          <w:p w14:paraId="54EC8564"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2008</w:t>
            </w:r>
          </w:p>
        </w:tc>
        <w:tc>
          <w:tcPr>
            <w:tcW w:w="1950" w:type="dxa"/>
            <w:vAlign w:val="bottom"/>
          </w:tcPr>
          <w:p w14:paraId="10C63602"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531</w:t>
            </w:r>
          </w:p>
        </w:tc>
        <w:tc>
          <w:tcPr>
            <w:tcW w:w="567" w:type="dxa"/>
            <w:vAlign w:val="center"/>
          </w:tcPr>
          <w:p w14:paraId="1F1294B0"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343</w:t>
            </w:r>
          </w:p>
        </w:tc>
        <w:tc>
          <w:tcPr>
            <w:tcW w:w="567" w:type="dxa"/>
            <w:vAlign w:val="center"/>
          </w:tcPr>
          <w:p w14:paraId="26DEF2FD"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10</w:t>
            </w:r>
          </w:p>
        </w:tc>
        <w:tc>
          <w:tcPr>
            <w:tcW w:w="851" w:type="dxa"/>
            <w:vAlign w:val="center"/>
          </w:tcPr>
          <w:p w14:paraId="521C9F96"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353</w:t>
            </w:r>
          </w:p>
        </w:tc>
        <w:tc>
          <w:tcPr>
            <w:tcW w:w="567" w:type="dxa"/>
            <w:vAlign w:val="center"/>
          </w:tcPr>
          <w:p w14:paraId="2F2328DE"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169</w:t>
            </w:r>
          </w:p>
        </w:tc>
        <w:tc>
          <w:tcPr>
            <w:tcW w:w="567" w:type="dxa"/>
            <w:vAlign w:val="center"/>
          </w:tcPr>
          <w:p w14:paraId="72E38B49"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9</w:t>
            </w:r>
          </w:p>
        </w:tc>
        <w:tc>
          <w:tcPr>
            <w:tcW w:w="850" w:type="dxa"/>
            <w:vAlign w:val="center"/>
          </w:tcPr>
          <w:p w14:paraId="1E636A08"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178</w:t>
            </w:r>
          </w:p>
        </w:tc>
        <w:tc>
          <w:tcPr>
            <w:tcW w:w="2279" w:type="dxa"/>
            <w:vAlign w:val="bottom"/>
          </w:tcPr>
          <w:p w14:paraId="66E767C8"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3,6 %</w:t>
            </w:r>
          </w:p>
        </w:tc>
      </w:tr>
      <w:tr w:rsidR="00C60988" w:rsidRPr="00CE357F" w14:paraId="5F2A0ACA" w14:textId="77777777" w:rsidTr="004A0C47">
        <w:trPr>
          <w:trHeight w:val="170"/>
        </w:trPr>
        <w:tc>
          <w:tcPr>
            <w:tcW w:w="993" w:type="dxa"/>
            <w:shd w:val="clear" w:color="auto" w:fill="D9E2F3" w:themeFill="accent1" w:themeFillTint="33"/>
          </w:tcPr>
          <w:p w14:paraId="52808CB1"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2007</w:t>
            </w:r>
          </w:p>
        </w:tc>
        <w:tc>
          <w:tcPr>
            <w:tcW w:w="1950" w:type="dxa"/>
            <w:vAlign w:val="bottom"/>
          </w:tcPr>
          <w:p w14:paraId="28A253E5" w14:textId="77777777" w:rsidR="00C60988" w:rsidRPr="00CE357F" w:rsidRDefault="00C60988" w:rsidP="004A0C47">
            <w:pPr>
              <w:jc w:val="center"/>
              <w:rPr>
                <w:rFonts w:ascii="Arial Narrow" w:hAnsi="Arial Narrow"/>
                <w:sz w:val="18"/>
                <w:szCs w:val="18"/>
              </w:rPr>
            </w:pPr>
            <w:r w:rsidRPr="00CE357F">
              <w:rPr>
                <w:rFonts w:ascii="Arial Narrow" w:hAnsi="Arial Narrow"/>
                <w:sz w:val="18"/>
                <w:szCs w:val="18"/>
              </w:rPr>
              <w:t>393</w:t>
            </w:r>
          </w:p>
        </w:tc>
        <w:tc>
          <w:tcPr>
            <w:tcW w:w="567" w:type="dxa"/>
            <w:vAlign w:val="center"/>
          </w:tcPr>
          <w:p w14:paraId="767939C0"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w:t>
            </w:r>
          </w:p>
        </w:tc>
        <w:tc>
          <w:tcPr>
            <w:tcW w:w="567" w:type="dxa"/>
            <w:vAlign w:val="center"/>
          </w:tcPr>
          <w:p w14:paraId="23A9787B"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w:t>
            </w:r>
          </w:p>
        </w:tc>
        <w:tc>
          <w:tcPr>
            <w:tcW w:w="851" w:type="dxa"/>
            <w:vAlign w:val="bottom"/>
          </w:tcPr>
          <w:p w14:paraId="377FD8BB"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263</w:t>
            </w:r>
          </w:p>
        </w:tc>
        <w:tc>
          <w:tcPr>
            <w:tcW w:w="567" w:type="dxa"/>
            <w:vAlign w:val="center"/>
          </w:tcPr>
          <w:p w14:paraId="3EAA53CD"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w:t>
            </w:r>
          </w:p>
        </w:tc>
        <w:tc>
          <w:tcPr>
            <w:tcW w:w="567" w:type="dxa"/>
            <w:vAlign w:val="center"/>
          </w:tcPr>
          <w:p w14:paraId="275DBF75"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w:t>
            </w:r>
          </w:p>
        </w:tc>
        <w:tc>
          <w:tcPr>
            <w:tcW w:w="850" w:type="dxa"/>
            <w:vAlign w:val="bottom"/>
          </w:tcPr>
          <w:p w14:paraId="5286B921" w14:textId="77777777" w:rsidR="00C60988" w:rsidRPr="00CE357F" w:rsidRDefault="00C60988" w:rsidP="004A0C47">
            <w:pPr>
              <w:spacing w:after="46"/>
              <w:jc w:val="center"/>
              <w:rPr>
                <w:rFonts w:ascii="Arial Narrow" w:hAnsi="Arial Narrow"/>
                <w:sz w:val="18"/>
                <w:szCs w:val="18"/>
              </w:rPr>
            </w:pPr>
            <w:r w:rsidRPr="00CE357F">
              <w:rPr>
                <w:rFonts w:ascii="Arial Narrow" w:hAnsi="Arial Narrow"/>
                <w:sz w:val="18"/>
                <w:szCs w:val="18"/>
              </w:rPr>
              <w:t>130</w:t>
            </w:r>
          </w:p>
        </w:tc>
        <w:tc>
          <w:tcPr>
            <w:tcW w:w="2279" w:type="dxa"/>
            <w:vAlign w:val="center"/>
          </w:tcPr>
          <w:p w14:paraId="157907B9" w14:textId="77777777" w:rsidR="00C60988" w:rsidRPr="00CE357F" w:rsidRDefault="00C60988" w:rsidP="004A0C47">
            <w:pPr>
              <w:jc w:val="center"/>
              <w:rPr>
                <w:rFonts w:ascii="Arial Narrow" w:hAnsi="Arial Narrow"/>
                <w:b/>
                <w:bCs/>
                <w:color w:val="C00000"/>
                <w:sz w:val="18"/>
                <w:szCs w:val="18"/>
              </w:rPr>
            </w:pPr>
            <w:r w:rsidRPr="00CE357F">
              <w:rPr>
                <w:rFonts w:ascii="Arial Narrow" w:hAnsi="Arial Narrow"/>
                <w:b/>
                <w:bCs/>
                <w:color w:val="C00000"/>
                <w:sz w:val="18"/>
                <w:szCs w:val="18"/>
              </w:rPr>
              <w:t>-</w:t>
            </w:r>
          </w:p>
        </w:tc>
      </w:tr>
    </w:tbl>
    <w:p w14:paraId="49503458" w14:textId="698BD8A9" w:rsidR="00C475C3" w:rsidRPr="00F951BF" w:rsidRDefault="00C60988" w:rsidP="00F951BF">
      <w:pPr>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3CD81608" w14:textId="0CA35ADD" w:rsidR="00E55F93" w:rsidRPr="00CE357F" w:rsidRDefault="00C475C3" w:rsidP="00E55F93">
      <w:pPr>
        <w:spacing w:after="240" w:line="276" w:lineRule="auto"/>
        <w:rPr>
          <w:rFonts w:ascii="Arial Narrow" w:hAnsi="Arial Narrow"/>
          <w:b/>
          <w:bCs/>
          <w:color w:val="C00000"/>
        </w:rPr>
      </w:pPr>
      <w:r w:rsidRPr="00CE357F">
        <w:rPr>
          <w:rFonts w:ascii="Arial Narrow" w:hAnsi="Arial Narrow"/>
          <w:b/>
          <w:bCs/>
          <w:color w:val="C00000"/>
        </w:rPr>
        <w:br/>
      </w:r>
      <w:r w:rsidR="00E55F93" w:rsidRPr="00CE357F">
        <w:rPr>
          <w:rFonts w:ascii="Arial Narrow" w:hAnsi="Arial Narrow"/>
          <w:b/>
          <w:bCs/>
          <w:color w:val="C00000"/>
        </w:rPr>
        <w:t>Osoby s jinou než českou státní příslušností v ORP Tišnov</w:t>
      </w:r>
      <w:r w:rsidR="00E55F93">
        <w:rPr>
          <w:rFonts w:ascii="Arial Narrow" w:hAnsi="Arial Narrow"/>
          <w:b/>
          <w:bCs/>
          <w:color w:val="C00000"/>
        </w:rPr>
        <w:t xml:space="preserve"> v letech </w:t>
      </w:r>
      <w:r w:rsidR="006355B6" w:rsidRPr="00CE357F">
        <w:rPr>
          <w:rFonts w:ascii="Arial Narrow" w:hAnsi="Arial Narrow"/>
          <w:b/>
          <w:bCs/>
          <w:color w:val="C00000"/>
        </w:rPr>
        <w:t>2021</w:t>
      </w:r>
      <w:r w:rsidR="006355B6">
        <w:rPr>
          <w:rFonts w:ascii="Arial Narrow" w:hAnsi="Arial Narrow"/>
          <w:b/>
          <w:bCs/>
          <w:color w:val="C00000"/>
        </w:rPr>
        <w:t>, 2022</w:t>
      </w:r>
      <w:r w:rsidR="006355B6" w:rsidRPr="00CE357F">
        <w:rPr>
          <w:rFonts w:ascii="Arial Narrow" w:hAnsi="Arial Narrow"/>
          <w:b/>
          <w:bCs/>
          <w:color w:val="C00000"/>
        </w:rPr>
        <w:t xml:space="preserve"> a 202</w:t>
      </w:r>
      <w:r w:rsidR="006355B6">
        <w:rPr>
          <w:rFonts w:ascii="Arial Narrow" w:hAnsi="Arial Narrow"/>
          <w:b/>
          <w:bCs/>
          <w:color w:val="C00000"/>
        </w:rPr>
        <w:t>3</w:t>
      </w:r>
    </w:p>
    <w:p w14:paraId="48D1FA90" w14:textId="77777777" w:rsidR="00E55F93" w:rsidRPr="00CE357F" w:rsidRDefault="00E55F93" w:rsidP="00E55F93">
      <w:pPr>
        <w:spacing w:after="240" w:line="276" w:lineRule="auto"/>
        <w:jc w:val="both"/>
        <w:rPr>
          <w:rFonts w:ascii="Arial Narrow" w:hAnsi="Arial Narrow"/>
          <w:bCs/>
        </w:rPr>
      </w:pPr>
      <w:r w:rsidRPr="00CE357F">
        <w:rPr>
          <w:rFonts w:ascii="Arial Narrow" w:hAnsi="Arial Narrow"/>
          <w:bCs/>
        </w:rPr>
        <w:t xml:space="preserve">Tato kapitola podrobně mapuje počet </w:t>
      </w:r>
      <w:bookmarkStart w:id="794" w:name="_Hlk94285058"/>
      <w:r w:rsidRPr="00CE357F">
        <w:rPr>
          <w:rFonts w:ascii="Arial Narrow" w:hAnsi="Arial Narrow"/>
          <w:bCs/>
        </w:rPr>
        <w:t xml:space="preserve">osob s jinou než českou státní příslušností </w:t>
      </w:r>
      <w:bookmarkEnd w:id="794"/>
      <w:r w:rsidRPr="00CE357F">
        <w:rPr>
          <w:rFonts w:ascii="Arial Narrow" w:hAnsi="Arial Narrow"/>
          <w:bCs/>
        </w:rPr>
        <w:t>ve vybraných obcí ORP Tišnov v letech 2021</w:t>
      </w:r>
      <w:r>
        <w:rPr>
          <w:rFonts w:ascii="Arial Narrow" w:hAnsi="Arial Narrow"/>
          <w:bCs/>
        </w:rPr>
        <w:t>-2023</w:t>
      </w:r>
      <w:r w:rsidRPr="00CE357F">
        <w:rPr>
          <w:rFonts w:ascii="Arial Narrow" w:hAnsi="Arial Narrow"/>
          <w:bCs/>
        </w:rPr>
        <w:t xml:space="preserve"> dle věku, pohlaví a podílu těchto osob na celkovém počtu obyvatel daných obcí. </w:t>
      </w:r>
    </w:p>
    <w:p w14:paraId="3A862EFE" w14:textId="77777777" w:rsidR="00E55F93" w:rsidRPr="00CE357F" w:rsidRDefault="00E55F93" w:rsidP="00E55F93">
      <w:pPr>
        <w:spacing w:line="276" w:lineRule="auto"/>
        <w:rPr>
          <w:rFonts w:ascii="Arial Narrow" w:hAnsi="Arial Narrow"/>
          <w:b/>
          <w:bCs/>
          <w:color w:val="C00000"/>
        </w:rPr>
      </w:pPr>
      <w:r w:rsidRPr="00CE357F">
        <w:rPr>
          <w:rFonts w:ascii="Arial Narrow" w:hAnsi="Arial Narrow"/>
          <w:b/>
          <w:bCs/>
        </w:rPr>
        <w:t>Osoby s jinou než českou státní příslušností v ORP Tišnov k datu 1. 1. 2021</w:t>
      </w:r>
    </w:p>
    <w:p w14:paraId="48C5A775" w14:textId="77777777" w:rsidR="00E55F93" w:rsidRPr="00CE357F" w:rsidRDefault="00E55F93" w:rsidP="00E55F93">
      <w:pPr>
        <w:spacing w:line="276" w:lineRule="auto"/>
        <w:rPr>
          <w:rFonts w:ascii="Arial Narrow" w:hAnsi="Arial Narrow"/>
          <w:b/>
          <w:bCs/>
        </w:rPr>
      </w:pPr>
    </w:p>
    <w:p w14:paraId="61B5FD88" w14:textId="12089DAD" w:rsidR="00E55F93" w:rsidRPr="00CE357F" w:rsidRDefault="00E55F93" w:rsidP="00E55F93">
      <w:pPr>
        <w:spacing w:after="120" w:line="276" w:lineRule="auto"/>
        <w:jc w:val="both"/>
        <w:rPr>
          <w:rFonts w:ascii="Arial Narrow" w:hAnsi="Arial Narrow"/>
          <w:color w:val="000000"/>
        </w:rPr>
      </w:pPr>
      <w:r w:rsidRPr="00CE357F">
        <w:rPr>
          <w:rFonts w:ascii="Arial Narrow" w:hAnsi="Arial Narrow"/>
          <w:color w:val="000000"/>
        </w:rPr>
        <w:t xml:space="preserve">V ORP Tišnov žilo k datu 1. 1. 2021 celkem 478 osob s jinou než českou státní příslušností, což bylo zhruba </w:t>
      </w:r>
      <w:r w:rsidR="006A4649">
        <w:rPr>
          <w:rFonts w:ascii="Arial Narrow" w:hAnsi="Arial Narrow"/>
          <w:color w:val="000000"/>
        </w:rPr>
        <w:br/>
      </w:r>
      <w:r w:rsidRPr="00CE357F">
        <w:rPr>
          <w:rFonts w:ascii="Arial Narrow" w:hAnsi="Arial Narrow"/>
          <w:color w:val="000000"/>
        </w:rPr>
        <w:t xml:space="preserve">1,5 % všech obyvatel ORP Tišnov. Více než polovina (65,7 %) všech osob s jinou než českou státní příslušností na území OPR Tišnov měla trvalý pobyt, 34,3 % osob s jinou než českou státní příslušností pak pobyt přechodný. Děti do 15 let tvořily k 1. 1. 2021 celkem 8,6 % všech osob s jinou než českou státní příslušností na území ORP Tišnov.  </w:t>
      </w:r>
    </w:p>
    <w:p w14:paraId="1DCC35EE" w14:textId="77777777" w:rsidR="00E55F93" w:rsidRPr="00CE357F" w:rsidRDefault="00E55F93" w:rsidP="00E55F93">
      <w:pPr>
        <w:spacing w:after="120" w:line="276" w:lineRule="auto"/>
        <w:jc w:val="both"/>
        <w:rPr>
          <w:rFonts w:ascii="Arial Narrow" w:hAnsi="Arial Narrow"/>
          <w:color w:val="000000"/>
        </w:rPr>
      </w:pPr>
      <w:r w:rsidRPr="00CE357F">
        <w:rPr>
          <w:rFonts w:ascii="Arial Narrow" w:hAnsi="Arial Narrow"/>
          <w:color w:val="000000"/>
        </w:rPr>
        <w:t>Nejvyšší podíl osob s jinou než českou státní příslušností na celkovém počtu obyvatel v dané obci byl v Lomničce, kde tyto osoby tvořily 3,8 % všech obyvatel. Druhý nejvyšší podíl osob s jinou než českou státní příslušností byl evidován v obcích Železné, kde tyto osoby tvořily 3 % všech obyvatel, a dále v obci Březina, kde tyto osoby tvořily 3 % všech obyvatel.</w:t>
      </w:r>
    </w:p>
    <w:p w14:paraId="3E3DB80A" w14:textId="77777777" w:rsidR="00E55F93" w:rsidRPr="00CE357F" w:rsidRDefault="00E55F93" w:rsidP="00E55F93">
      <w:pPr>
        <w:shd w:val="clear" w:color="auto" w:fill="FFFFFF" w:themeFill="background1"/>
        <w:spacing w:after="120" w:line="276" w:lineRule="auto"/>
        <w:jc w:val="both"/>
        <w:rPr>
          <w:rFonts w:ascii="Arial Narrow" w:hAnsi="Arial Narrow"/>
          <w:color w:val="000000"/>
        </w:rPr>
      </w:pPr>
      <w:r w:rsidRPr="00CE357F">
        <w:rPr>
          <w:rFonts w:ascii="Arial Narrow" w:hAnsi="Arial Narrow"/>
          <w:color w:val="000000"/>
        </w:rPr>
        <w:t>V ORP Tišnov bylo k 1. 1. 2021 celkem 59 obcí, přičemž ve 44 obcích se nacházela alespoň jedna osoba s jinou než českou státní příslušností. Z důvodu velkého množství dat proto dále pracujeme jen s obcemi, na jejichž území v dané době pobývalo 10 a více osob s jinou než českou státní příslušností.</w:t>
      </w:r>
    </w:p>
    <w:p w14:paraId="42D584DA" w14:textId="15430E60" w:rsidR="001E6C18" w:rsidRDefault="00E55F93" w:rsidP="00E55F93">
      <w:pPr>
        <w:jc w:val="both"/>
        <w:rPr>
          <w:rFonts w:ascii="Arial Narrow" w:hAnsi="Arial Narrow"/>
          <w:color w:val="000000"/>
          <w:sz w:val="16"/>
          <w:szCs w:val="16"/>
        </w:rPr>
      </w:pPr>
      <w:r w:rsidRPr="00CE357F">
        <w:rPr>
          <w:rFonts w:ascii="Arial Narrow" w:hAnsi="Arial Narrow"/>
          <w:color w:val="000000"/>
        </w:rPr>
        <w:t>Počty osob s jinou než českou státní příslušností v daných obcích včetně rozdělení těchto osob podle pohlaví a věku</w:t>
      </w:r>
      <w:r w:rsidR="00E32FA2">
        <w:rPr>
          <w:rFonts w:ascii="Arial Narrow" w:hAnsi="Arial Narrow"/>
          <w:color w:val="000000"/>
        </w:rPr>
        <w:t xml:space="preserve"> a jejich podílu na celkovém počtu obyvatel</w:t>
      </w:r>
      <w:r w:rsidRPr="00CE357F">
        <w:rPr>
          <w:rFonts w:ascii="Arial Narrow" w:hAnsi="Arial Narrow"/>
          <w:color w:val="000000"/>
        </w:rPr>
        <w:t xml:space="preserve"> podrobně dokumentuje následující tabulka</w:t>
      </w:r>
      <w:r w:rsidR="00E32FA2">
        <w:rPr>
          <w:rFonts w:ascii="Arial Narrow" w:hAnsi="Arial Narrow"/>
          <w:color w:val="000000"/>
        </w:rPr>
        <w:t xml:space="preserve"> č. 58 a graf č. 127</w:t>
      </w:r>
      <w:r w:rsidRPr="00CE357F">
        <w:rPr>
          <w:rFonts w:ascii="Arial Narrow" w:hAnsi="Arial Narrow"/>
          <w:color w:val="000000"/>
        </w:rPr>
        <w:t>.</w:t>
      </w:r>
    </w:p>
    <w:p w14:paraId="60CA2389" w14:textId="4EE503F4" w:rsidR="00E55F93" w:rsidRPr="00CE357F" w:rsidRDefault="00E55F93" w:rsidP="00E55F93">
      <w:pPr>
        <w:jc w:val="both"/>
        <w:rPr>
          <w:rFonts w:ascii="Arial Narrow" w:hAnsi="Arial Narrow"/>
          <w:b/>
          <w:bCs/>
          <w:sz w:val="20"/>
          <w:szCs w:val="20"/>
        </w:rPr>
      </w:pPr>
      <w:r w:rsidRPr="002930C6">
        <w:rPr>
          <w:rFonts w:ascii="Arial Narrow" w:hAnsi="Arial Narrow"/>
          <w:color w:val="000000"/>
          <w:sz w:val="16"/>
          <w:szCs w:val="16"/>
        </w:rPr>
        <w:tab/>
        <w:t xml:space="preserve"> </w:t>
      </w:r>
    </w:p>
    <w:p w14:paraId="4239CA37" w14:textId="2EEC853C" w:rsidR="00E55F93" w:rsidRPr="00CE357F" w:rsidRDefault="00E55F93" w:rsidP="00E55F93">
      <w:pPr>
        <w:jc w:val="both"/>
        <w:rPr>
          <w:rFonts w:ascii="Arial Narrow" w:hAnsi="Arial Narrow"/>
          <w:color w:val="000000"/>
        </w:rPr>
      </w:pPr>
      <w:bookmarkStart w:id="795" w:name="_Toc136429269"/>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58</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Tišnov v roce 2021</w:t>
      </w:r>
      <w:bookmarkEnd w:id="795"/>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46"/>
        <w:gridCol w:w="783"/>
        <w:gridCol w:w="1412"/>
        <w:gridCol w:w="1881"/>
        <w:gridCol w:w="559"/>
        <w:gridCol w:w="543"/>
        <w:gridCol w:w="717"/>
        <w:gridCol w:w="559"/>
        <w:gridCol w:w="514"/>
        <w:gridCol w:w="843"/>
      </w:tblGrid>
      <w:tr w:rsidR="00E55F93" w:rsidRPr="00CE357F" w14:paraId="1C78C456" w14:textId="77777777" w:rsidTr="0018320D">
        <w:trPr>
          <w:trHeight w:val="204"/>
        </w:trPr>
        <w:tc>
          <w:tcPr>
            <w:tcW w:w="1146" w:type="dxa"/>
            <w:vMerge w:val="restart"/>
            <w:shd w:val="clear" w:color="auto" w:fill="D9E2F3" w:themeFill="accent1" w:themeFillTint="33"/>
            <w:vAlign w:val="center"/>
          </w:tcPr>
          <w:p w14:paraId="3E0F7540"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783" w:type="dxa"/>
            <w:vMerge w:val="restart"/>
            <w:shd w:val="clear" w:color="auto" w:fill="D9E2F3" w:themeFill="accent1" w:themeFillTint="33"/>
            <w:vAlign w:val="center"/>
          </w:tcPr>
          <w:p w14:paraId="7211E6D9" w14:textId="77777777" w:rsidR="00E55F93" w:rsidRPr="00CE357F" w:rsidRDefault="00E55F93"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412" w:type="dxa"/>
            <w:vMerge w:val="restart"/>
            <w:shd w:val="clear" w:color="auto" w:fill="D9E2F3" w:themeFill="accent1" w:themeFillTint="33"/>
            <w:vAlign w:val="center"/>
          </w:tcPr>
          <w:p w14:paraId="33D2016D"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Osoby s jinou než českou státní příslušností</w:t>
            </w:r>
            <w:r w:rsidRPr="00CE357F">
              <w:rPr>
                <w:rFonts w:ascii="Arial Narrow" w:eastAsia="Times New Roman" w:hAnsi="Arial Narrow" w:cs="Arial"/>
                <w:sz w:val="18"/>
                <w:szCs w:val="18"/>
                <w:lang w:eastAsia="cs-CZ"/>
              </w:rPr>
              <w:t xml:space="preserve"> celkem</w:t>
            </w:r>
          </w:p>
        </w:tc>
        <w:tc>
          <w:tcPr>
            <w:tcW w:w="1881" w:type="dxa"/>
            <w:vMerge w:val="restart"/>
            <w:shd w:val="clear" w:color="auto" w:fill="D9E2F3" w:themeFill="accent1" w:themeFillTint="33"/>
            <w:vAlign w:val="center"/>
          </w:tcPr>
          <w:p w14:paraId="1A8D9056" w14:textId="77777777" w:rsidR="00E55F93" w:rsidRPr="00CE357F" w:rsidRDefault="00E55F93"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Podíl </w:t>
            </w:r>
            <w:r w:rsidRPr="00CE357F">
              <w:rPr>
                <w:rFonts w:ascii="Arial Narrow" w:hAnsi="Arial Narrow"/>
                <w:color w:val="000000"/>
                <w:sz w:val="18"/>
                <w:szCs w:val="18"/>
              </w:rPr>
              <w:t>osob s jinou než českou státní příslušností</w:t>
            </w:r>
            <w:r w:rsidRPr="00CE357F">
              <w:rPr>
                <w:rFonts w:ascii="Arial Narrow" w:eastAsia="Times New Roman" w:hAnsi="Arial Narrow" w:cs="Arial"/>
                <w:sz w:val="18"/>
                <w:szCs w:val="18"/>
                <w:lang w:eastAsia="cs-CZ"/>
              </w:rPr>
              <w:t xml:space="preserve"> na celkovém počtu obyvatel</w:t>
            </w:r>
          </w:p>
        </w:tc>
        <w:tc>
          <w:tcPr>
            <w:tcW w:w="1819" w:type="dxa"/>
            <w:gridSpan w:val="3"/>
            <w:shd w:val="clear" w:color="auto" w:fill="D9E2F3" w:themeFill="accent1" w:themeFillTint="33"/>
            <w:vAlign w:val="center"/>
          </w:tcPr>
          <w:p w14:paraId="43E6EFA2" w14:textId="77777777" w:rsidR="00E55F93" w:rsidRPr="00CE357F" w:rsidRDefault="00E55F93" w:rsidP="004A0C47">
            <w:pPr>
              <w:jc w:val="center"/>
              <w:rPr>
                <w:rFonts w:ascii="Arial Narrow" w:hAnsi="Arial Narrow"/>
                <w:b/>
                <w:bCs/>
                <w:sz w:val="18"/>
                <w:szCs w:val="18"/>
              </w:rPr>
            </w:pPr>
            <w:r w:rsidRPr="00CE357F">
              <w:rPr>
                <w:rFonts w:ascii="Arial Narrow" w:eastAsia="Times New Roman" w:hAnsi="Arial Narrow" w:cs="Arial"/>
                <w:b/>
                <w:bCs/>
                <w:sz w:val="18"/>
                <w:szCs w:val="18"/>
                <w:lang w:eastAsia="cs-CZ"/>
              </w:rPr>
              <w:t>Muži</w:t>
            </w:r>
          </w:p>
        </w:tc>
        <w:tc>
          <w:tcPr>
            <w:tcW w:w="1916" w:type="dxa"/>
            <w:gridSpan w:val="3"/>
            <w:shd w:val="clear" w:color="auto" w:fill="D9E2F3" w:themeFill="accent1" w:themeFillTint="33"/>
            <w:vAlign w:val="center"/>
          </w:tcPr>
          <w:p w14:paraId="0D840321" w14:textId="77777777" w:rsidR="00E55F93" w:rsidRPr="00CE357F" w:rsidRDefault="00E55F93" w:rsidP="004A0C47">
            <w:pPr>
              <w:jc w:val="center"/>
              <w:rPr>
                <w:rFonts w:ascii="Arial Narrow" w:hAnsi="Arial Narrow"/>
                <w:b/>
                <w:bCs/>
                <w:sz w:val="18"/>
                <w:szCs w:val="18"/>
              </w:rPr>
            </w:pPr>
            <w:r w:rsidRPr="00CE357F">
              <w:rPr>
                <w:rFonts w:ascii="Arial Narrow" w:eastAsia="Times New Roman" w:hAnsi="Arial Narrow" w:cs="Arial"/>
                <w:b/>
                <w:bCs/>
                <w:sz w:val="18"/>
                <w:szCs w:val="18"/>
                <w:lang w:eastAsia="cs-CZ"/>
              </w:rPr>
              <w:t>Ženy</w:t>
            </w:r>
          </w:p>
        </w:tc>
      </w:tr>
      <w:tr w:rsidR="00E55F93" w:rsidRPr="00CE357F" w14:paraId="357350B9" w14:textId="77777777" w:rsidTr="0018320D">
        <w:trPr>
          <w:trHeight w:val="204"/>
        </w:trPr>
        <w:tc>
          <w:tcPr>
            <w:tcW w:w="1146" w:type="dxa"/>
            <w:vMerge/>
            <w:shd w:val="clear" w:color="auto" w:fill="D9E2F3" w:themeFill="accent1" w:themeFillTint="33"/>
            <w:vAlign w:val="center"/>
          </w:tcPr>
          <w:p w14:paraId="6010C552" w14:textId="77777777" w:rsidR="00E55F93" w:rsidRPr="00CE357F" w:rsidRDefault="00E55F93" w:rsidP="004A0C47">
            <w:pPr>
              <w:jc w:val="center"/>
              <w:rPr>
                <w:rFonts w:ascii="Arial Narrow" w:eastAsia="Times New Roman" w:hAnsi="Arial Narrow" w:cs="Arial"/>
                <w:sz w:val="18"/>
                <w:szCs w:val="18"/>
                <w:lang w:eastAsia="cs-CZ"/>
              </w:rPr>
            </w:pPr>
          </w:p>
        </w:tc>
        <w:tc>
          <w:tcPr>
            <w:tcW w:w="783" w:type="dxa"/>
            <w:vMerge/>
            <w:shd w:val="clear" w:color="auto" w:fill="D9E2F3" w:themeFill="accent1" w:themeFillTint="33"/>
            <w:vAlign w:val="center"/>
          </w:tcPr>
          <w:p w14:paraId="7E6ECFD3" w14:textId="77777777" w:rsidR="00E55F93" w:rsidRPr="00CE357F" w:rsidRDefault="00E55F93" w:rsidP="004A0C47">
            <w:pPr>
              <w:jc w:val="center"/>
              <w:rPr>
                <w:rFonts w:ascii="Arial Narrow" w:eastAsia="Times New Roman" w:hAnsi="Arial Narrow" w:cs="Arial"/>
                <w:sz w:val="18"/>
                <w:szCs w:val="18"/>
                <w:lang w:eastAsia="cs-CZ"/>
              </w:rPr>
            </w:pPr>
          </w:p>
        </w:tc>
        <w:tc>
          <w:tcPr>
            <w:tcW w:w="1412" w:type="dxa"/>
            <w:vMerge/>
            <w:shd w:val="clear" w:color="auto" w:fill="D9E2F3" w:themeFill="accent1" w:themeFillTint="33"/>
            <w:vAlign w:val="center"/>
          </w:tcPr>
          <w:p w14:paraId="7C27C736" w14:textId="77777777" w:rsidR="00E55F93" w:rsidRPr="00CE357F" w:rsidRDefault="00E55F93" w:rsidP="004A0C47">
            <w:pPr>
              <w:jc w:val="center"/>
              <w:rPr>
                <w:rFonts w:ascii="Arial Narrow" w:eastAsia="Times New Roman" w:hAnsi="Arial Narrow" w:cs="Arial"/>
                <w:sz w:val="18"/>
                <w:szCs w:val="18"/>
                <w:lang w:eastAsia="cs-CZ"/>
              </w:rPr>
            </w:pPr>
          </w:p>
        </w:tc>
        <w:tc>
          <w:tcPr>
            <w:tcW w:w="1881" w:type="dxa"/>
            <w:vMerge/>
            <w:shd w:val="clear" w:color="auto" w:fill="D9E2F3" w:themeFill="accent1" w:themeFillTint="33"/>
            <w:vAlign w:val="center"/>
          </w:tcPr>
          <w:p w14:paraId="1D1262AC" w14:textId="77777777" w:rsidR="00E55F93" w:rsidRPr="00CE357F" w:rsidRDefault="00E55F93" w:rsidP="004A0C47">
            <w:pPr>
              <w:jc w:val="center"/>
              <w:rPr>
                <w:rFonts w:ascii="Arial Narrow" w:eastAsia="Times New Roman" w:hAnsi="Arial Narrow" w:cs="Arial"/>
                <w:sz w:val="18"/>
                <w:szCs w:val="18"/>
                <w:lang w:eastAsia="cs-CZ"/>
              </w:rPr>
            </w:pPr>
          </w:p>
        </w:tc>
        <w:tc>
          <w:tcPr>
            <w:tcW w:w="559" w:type="dxa"/>
            <w:shd w:val="clear" w:color="auto" w:fill="D9E2F3" w:themeFill="accent1" w:themeFillTint="33"/>
            <w:vAlign w:val="center"/>
          </w:tcPr>
          <w:p w14:paraId="6560244B"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43" w:type="dxa"/>
            <w:shd w:val="clear" w:color="auto" w:fill="D9E2F3" w:themeFill="accent1" w:themeFillTint="33"/>
            <w:vAlign w:val="center"/>
          </w:tcPr>
          <w:p w14:paraId="345D39D9"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7781032F"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59" w:type="dxa"/>
            <w:shd w:val="clear" w:color="auto" w:fill="D9E2F3" w:themeFill="accent1" w:themeFillTint="33"/>
            <w:vAlign w:val="center"/>
          </w:tcPr>
          <w:p w14:paraId="2B641B9C"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14" w:type="dxa"/>
            <w:shd w:val="clear" w:color="auto" w:fill="D9E2F3" w:themeFill="accent1" w:themeFillTint="33"/>
            <w:vAlign w:val="center"/>
          </w:tcPr>
          <w:p w14:paraId="3A83FB20"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43" w:type="dxa"/>
            <w:shd w:val="clear" w:color="auto" w:fill="D9E2F3" w:themeFill="accent1" w:themeFillTint="33"/>
            <w:vAlign w:val="center"/>
          </w:tcPr>
          <w:p w14:paraId="7445D117"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E55F93" w:rsidRPr="00CE357F" w14:paraId="2F1617FD" w14:textId="77777777" w:rsidTr="0018320D">
        <w:trPr>
          <w:trHeight w:val="204"/>
        </w:trPr>
        <w:tc>
          <w:tcPr>
            <w:tcW w:w="1146" w:type="dxa"/>
            <w:shd w:val="clear" w:color="auto" w:fill="D9E2F3" w:themeFill="accent1" w:themeFillTint="33"/>
            <w:vAlign w:val="center"/>
          </w:tcPr>
          <w:p w14:paraId="23EC9C4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Lomnička</w:t>
            </w:r>
          </w:p>
        </w:tc>
        <w:tc>
          <w:tcPr>
            <w:tcW w:w="783" w:type="dxa"/>
            <w:vAlign w:val="center"/>
          </w:tcPr>
          <w:p w14:paraId="473520AC"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553</w:t>
            </w:r>
          </w:p>
        </w:tc>
        <w:tc>
          <w:tcPr>
            <w:tcW w:w="1412" w:type="dxa"/>
            <w:vAlign w:val="center"/>
          </w:tcPr>
          <w:p w14:paraId="5C33332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21</w:t>
            </w:r>
          </w:p>
        </w:tc>
        <w:tc>
          <w:tcPr>
            <w:tcW w:w="1881" w:type="dxa"/>
            <w:vAlign w:val="center"/>
          </w:tcPr>
          <w:p w14:paraId="333D9896" w14:textId="77777777" w:rsidR="00E55F93" w:rsidRPr="00CE357F" w:rsidRDefault="00E55F93" w:rsidP="004A0C47">
            <w:pPr>
              <w:jc w:val="center"/>
              <w:rPr>
                <w:rFonts w:ascii="Arial Narrow" w:hAnsi="Arial Narrow"/>
                <w:b/>
                <w:bCs/>
                <w:sz w:val="18"/>
                <w:szCs w:val="18"/>
              </w:rPr>
            </w:pPr>
            <w:r w:rsidRPr="00CE357F">
              <w:rPr>
                <w:rFonts w:ascii="Arial Narrow" w:hAnsi="Arial Narrow"/>
                <w:b/>
                <w:bCs/>
                <w:color w:val="C00000"/>
                <w:sz w:val="18"/>
                <w:szCs w:val="18"/>
              </w:rPr>
              <w:t>3,8 %</w:t>
            </w:r>
          </w:p>
        </w:tc>
        <w:tc>
          <w:tcPr>
            <w:tcW w:w="559" w:type="dxa"/>
            <w:vAlign w:val="center"/>
          </w:tcPr>
          <w:p w14:paraId="5D13884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12</w:t>
            </w:r>
          </w:p>
        </w:tc>
        <w:tc>
          <w:tcPr>
            <w:tcW w:w="543" w:type="dxa"/>
            <w:vAlign w:val="center"/>
          </w:tcPr>
          <w:p w14:paraId="5160318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w:t>
            </w:r>
          </w:p>
        </w:tc>
        <w:tc>
          <w:tcPr>
            <w:tcW w:w="717" w:type="dxa"/>
            <w:vAlign w:val="center"/>
          </w:tcPr>
          <w:p w14:paraId="72592683"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14</w:t>
            </w:r>
          </w:p>
        </w:tc>
        <w:tc>
          <w:tcPr>
            <w:tcW w:w="559" w:type="dxa"/>
            <w:vAlign w:val="center"/>
          </w:tcPr>
          <w:p w14:paraId="6127764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6</w:t>
            </w:r>
          </w:p>
        </w:tc>
        <w:tc>
          <w:tcPr>
            <w:tcW w:w="514" w:type="dxa"/>
            <w:vAlign w:val="center"/>
          </w:tcPr>
          <w:p w14:paraId="41F2A55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p>
        </w:tc>
        <w:tc>
          <w:tcPr>
            <w:tcW w:w="843" w:type="dxa"/>
            <w:vAlign w:val="center"/>
          </w:tcPr>
          <w:p w14:paraId="14BCEE7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7</w:t>
            </w:r>
          </w:p>
        </w:tc>
      </w:tr>
      <w:tr w:rsidR="00E55F93" w:rsidRPr="00CE357F" w14:paraId="6BF00669" w14:textId="77777777" w:rsidTr="0018320D">
        <w:trPr>
          <w:trHeight w:val="204"/>
        </w:trPr>
        <w:tc>
          <w:tcPr>
            <w:tcW w:w="1146" w:type="dxa"/>
            <w:shd w:val="clear" w:color="auto" w:fill="D9E2F3" w:themeFill="accent1" w:themeFillTint="33"/>
            <w:vAlign w:val="center"/>
          </w:tcPr>
          <w:p w14:paraId="7DA311E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 xml:space="preserve">Březina </w:t>
            </w:r>
          </w:p>
        </w:tc>
        <w:tc>
          <w:tcPr>
            <w:tcW w:w="783" w:type="dxa"/>
            <w:vAlign w:val="center"/>
          </w:tcPr>
          <w:p w14:paraId="73F3F38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331</w:t>
            </w:r>
          </w:p>
        </w:tc>
        <w:tc>
          <w:tcPr>
            <w:tcW w:w="1412" w:type="dxa"/>
            <w:vAlign w:val="center"/>
          </w:tcPr>
          <w:p w14:paraId="70D2B665"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10</w:t>
            </w:r>
          </w:p>
        </w:tc>
        <w:tc>
          <w:tcPr>
            <w:tcW w:w="1881" w:type="dxa"/>
            <w:vAlign w:val="center"/>
          </w:tcPr>
          <w:p w14:paraId="5EAC229F" w14:textId="77777777" w:rsidR="00E55F93" w:rsidRPr="00CE357F" w:rsidRDefault="00E55F93" w:rsidP="004A0C47">
            <w:pPr>
              <w:jc w:val="center"/>
              <w:rPr>
                <w:rFonts w:ascii="Arial Narrow" w:hAnsi="Arial Narrow"/>
                <w:b/>
                <w:bCs/>
                <w:sz w:val="18"/>
                <w:szCs w:val="18"/>
              </w:rPr>
            </w:pPr>
            <w:r w:rsidRPr="00CE357F">
              <w:rPr>
                <w:rFonts w:ascii="Arial Narrow" w:hAnsi="Arial Narrow"/>
                <w:b/>
                <w:bCs/>
                <w:color w:val="C00000"/>
                <w:sz w:val="18"/>
                <w:szCs w:val="18"/>
              </w:rPr>
              <w:t>3,0 %</w:t>
            </w:r>
          </w:p>
        </w:tc>
        <w:tc>
          <w:tcPr>
            <w:tcW w:w="559" w:type="dxa"/>
            <w:vAlign w:val="center"/>
          </w:tcPr>
          <w:p w14:paraId="0CB91730"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6</w:t>
            </w:r>
          </w:p>
        </w:tc>
        <w:tc>
          <w:tcPr>
            <w:tcW w:w="543" w:type="dxa"/>
            <w:vAlign w:val="center"/>
          </w:tcPr>
          <w:p w14:paraId="33BB55B8"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p>
        </w:tc>
        <w:tc>
          <w:tcPr>
            <w:tcW w:w="717" w:type="dxa"/>
            <w:vAlign w:val="center"/>
          </w:tcPr>
          <w:p w14:paraId="34D4400C"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7</w:t>
            </w:r>
          </w:p>
        </w:tc>
        <w:tc>
          <w:tcPr>
            <w:tcW w:w="559" w:type="dxa"/>
            <w:vAlign w:val="center"/>
          </w:tcPr>
          <w:p w14:paraId="4DA9DBC8"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3</w:t>
            </w:r>
          </w:p>
        </w:tc>
        <w:tc>
          <w:tcPr>
            <w:tcW w:w="514" w:type="dxa"/>
            <w:vAlign w:val="center"/>
          </w:tcPr>
          <w:p w14:paraId="0861762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843" w:type="dxa"/>
            <w:vAlign w:val="center"/>
          </w:tcPr>
          <w:p w14:paraId="1DFF731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3</w:t>
            </w:r>
          </w:p>
        </w:tc>
      </w:tr>
      <w:tr w:rsidR="00E55F93" w:rsidRPr="00CE357F" w14:paraId="481DB92C" w14:textId="77777777" w:rsidTr="0018320D">
        <w:trPr>
          <w:trHeight w:val="204"/>
        </w:trPr>
        <w:tc>
          <w:tcPr>
            <w:tcW w:w="1146" w:type="dxa"/>
            <w:shd w:val="clear" w:color="auto" w:fill="D9E2F3" w:themeFill="accent1" w:themeFillTint="33"/>
            <w:vAlign w:val="center"/>
          </w:tcPr>
          <w:p w14:paraId="7232D30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Železné</w:t>
            </w:r>
          </w:p>
        </w:tc>
        <w:tc>
          <w:tcPr>
            <w:tcW w:w="783" w:type="dxa"/>
            <w:vAlign w:val="center"/>
          </w:tcPr>
          <w:p w14:paraId="22D7323A"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492</w:t>
            </w:r>
          </w:p>
        </w:tc>
        <w:tc>
          <w:tcPr>
            <w:tcW w:w="1412" w:type="dxa"/>
            <w:vAlign w:val="center"/>
          </w:tcPr>
          <w:p w14:paraId="34AE9DD5"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15</w:t>
            </w:r>
          </w:p>
        </w:tc>
        <w:tc>
          <w:tcPr>
            <w:tcW w:w="1881" w:type="dxa"/>
            <w:vAlign w:val="center"/>
          </w:tcPr>
          <w:p w14:paraId="29E9C827" w14:textId="77777777" w:rsidR="00E55F93" w:rsidRPr="00CE357F" w:rsidRDefault="00E55F93" w:rsidP="004A0C47">
            <w:pPr>
              <w:jc w:val="center"/>
              <w:rPr>
                <w:rFonts w:ascii="Arial Narrow" w:hAnsi="Arial Narrow"/>
                <w:b/>
                <w:bCs/>
                <w:sz w:val="18"/>
                <w:szCs w:val="18"/>
              </w:rPr>
            </w:pPr>
            <w:r w:rsidRPr="00CE357F">
              <w:rPr>
                <w:rFonts w:ascii="Arial Narrow" w:hAnsi="Arial Narrow"/>
                <w:b/>
                <w:bCs/>
                <w:color w:val="C00000"/>
                <w:sz w:val="18"/>
                <w:szCs w:val="18"/>
              </w:rPr>
              <w:t>3,0 %</w:t>
            </w:r>
          </w:p>
        </w:tc>
        <w:tc>
          <w:tcPr>
            <w:tcW w:w="559" w:type="dxa"/>
            <w:vAlign w:val="center"/>
          </w:tcPr>
          <w:p w14:paraId="08B0367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6</w:t>
            </w:r>
          </w:p>
        </w:tc>
        <w:tc>
          <w:tcPr>
            <w:tcW w:w="543" w:type="dxa"/>
            <w:vAlign w:val="center"/>
          </w:tcPr>
          <w:p w14:paraId="6B274DB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5DDCA245"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6</w:t>
            </w:r>
          </w:p>
        </w:tc>
        <w:tc>
          <w:tcPr>
            <w:tcW w:w="559" w:type="dxa"/>
            <w:vAlign w:val="center"/>
          </w:tcPr>
          <w:p w14:paraId="744A0D9A"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w:t>
            </w:r>
          </w:p>
        </w:tc>
        <w:tc>
          <w:tcPr>
            <w:tcW w:w="514" w:type="dxa"/>
            <w:vAlign w:val="center"/>
          </w:tcPr>
          <w:p w14:paraId="57F8B34C"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843" w:type="dxa"/>
            <w:vAlign w:val="center"/>
          </w:tcPr>
          <w:p w14:paraId="7B03493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w:t>
            </w:r>
          </w:p>
        </w:tc>
      </w:tr>
      <w:tr w:rsidR="00E55F93" w:rsidRPr="00CE357F" w14:paraId="7CFA8CBB" w14:textId="77777777" w:rsidTr="0018320D">
        <w:trPr>
          <w:trHeight w:val="204"/>
        </w:trPr>
        <w:tc>
          <w:tcPr>
            <w:tcW w:w="1146" w:type="dxa"/>
            <w:shd w:val="clear" w:color="auto" w:fill="D9E2F3" w:themeFill="accent1" w:themeFillTint="33"/>
            <w:vAlign w:val="center"/>
          </w:tcPr>
          <w:p w14:paraId="3755AB5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Doubravník</w:t>
            </w:r>
          </w:p>
        </w:tc>
        <w:tc>
          <w:tcPr>
            <w:tcW w:w="783" w:type="dxa"/>
            <w:vAlign w:val="center"/>
          </w:tcPr>
          <w:p w14:paraId="6C9A3690"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820</w:t>
            </w:r>
          </w:p>
        </w:tc>
        <w:tc>
          <w:tcPr>
            <w:tcW w:w="1412" w:type="dxa"/>
            <w:vAlign w:val="center"/>
          </w:tcPr>
          <w:p w14:paraId="732C20F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19</w:t>
            </w:r>
          </w:p>
        </w:tc>
        <w:tc>
          <w:tcPr>
            <w:tcW w:w="1881" w:type="dxa"/>
            <w:vAlign w:val="center"/>
          </w:tcPr>
          <w:p w14:paraId="7EFA21F5"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2,3 %</w:t>
            </w:r>
          </w:p>
        </w:tc>
        <w:tc>
          <w:tcPr>
            <w:tcW w:w="559" w:type="dxa"/>
            <w:vAlign w:val="center"/>
          </w:tcPr>
          <w:p w14:paraId="5CF5C00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w:t>
            </w:r>
          </w:p>
        </w:tc>
        <w:tc>
          <w:tcPr>
            <w:tcW w:w="543" w:type="dxa"/>
            <w:vAlign w:val="center"/>
          </w:tcPr>
          <w:p w14:paraId="5AD5529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44CD6615"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w:t>
            </w:r>
          </w:p>
        </w:tc>
        <w:tc>
          <w:tcPr>
            <w:tcW w:w="559" w:type="dxa"/>
            <w:vAlign w:val="center"/>
          </w:tcPr>
          <w:p w14:paraId="16D2129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7</w:t>
            </w:r>
          </w:p>
        </w:tc>
        <w:tc>
          <w:tcPr>
            <w:tcW w:w="514" w:type="dxa"/>
            <w:vAlign w:val="center"/>
          </w:tcPr>
          <w:p w14:paraId="141EFD7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3</w:t>
            </w:r>
          </w:p>
        </w:tc>
        <w:tc>
          <w:tcPr>
            <w:tcW w:w="843" w:type="dxa"/>
            <w:vAlign w:val="center"/>
          </w:tcPr>
          <w:p w14:paraId="03EED8A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10</w:t>
            </w:r>
          </w:p>
        </w:tc>
      </w:tr>
      <w:tr w:rsidR="00E55F93" w:rsidRPr="00CE357F" w14:paraId="56CC3728" w14:textId="77777777" w:rsidTr="0018320D">
        <w:trPr>
          <w:trHeight w:val="204"/>
        </w:trPr>
        <w:tc>
          <w:tcPr>
            <w:tcW w:w="1146" w:type="dxa"/>
            <w:shd w:val="clear" w:color="auto" w:fill="D9E2F3" w:themeFill="accent1" w:themeFillTint="33"/>
            <w:vAlign w:val="center"/>
          </w:tcPr>
          <w:p w14:paraId="32F5CAC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Deblín</w:t>
            </w:r>
          </w:p>
        </w:tc>
        <w:tc>
          <w:tcPr>
            <w:tcW w:w="783" w:type="dxa"/>
            <w:vAlign w:val="center"/>
          </w:tcPr>
          <w:p w14:paraId="1A7052D0"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1054</w:t>
            </w:r>
          </w:p>
        </w:tc>
        <w:tc>
          <w:tcPr>
            <w:tcW w:w="1412" w:type="dxa"/>
            <w:vAlign w:val="center"/>
          </w:tcPr>
          <w:p w14:paraId="6225C356"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23</w:t>
            </w:r>
          </w:p>
        </w:tc>
        <w:tc>
          <w:tcPr>
            <w:tcW w:w="1881" w:type="dxa"/>
            <w:vAlign w:val="center"/>
          </w:tcPr>
          <w:p w14:paraId="5DC3A8E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2,2 %</w:t>
            </w:r>
          </w:p>
        </w:tc>
        <w:tc>
          <w:tcPr>
            <w:tcW w:w="559" w:type="dxa"/>
            <w:vAlign w:val="center"/>
          </w:tcPr>
          <w:p w14:paraId="3633D75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12</w:t>
            </w:r>
          </w:p>
        </w:tc>
        <w:tc>
          <w:tcPr>
            <w:tcW w:w="543" w:type="dxa"/>
            <w:vAlign w:val="center"/>
          </w:tcPr>
          <w:p w14:paraId="7DD94FF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14DDA06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12</w:t>
            </w:r>
          </w:p>
        </w:tc>
        <w:tc>
          <w:tcPr>
            <w:tcW w:w="559" w:type="dxa"/>
            <w:vAlign w:val="center"/>
          </w:tcPr>
          <w:p w14:paraId="155E8793"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w:t>
            </w:r>
          </w:p>
        </w:tc>
        <w:tc>
          <w:tcPr>
            <w:tcW w:w="514" w:type="dxa"/>
            <w:vAlign w:val="center"/>
          </w:tcPr>
          <w:p w14:paraId="6683E02D"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w:t>
            </w:r>
          </w:p>
        </w:tc>
        <w:tc>
          <w:tcPr>
            <w:tcW w:w="843" w:type="dxa"/>
            <w:vAlign w:val="center"/>
          </w:tcPr>
          <w:p w14:paraId="6C3C0D04"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11</w:t>
            </w:r>
          </w:p>
        </w:tc>
      </w:tr>
      <w:tr w:rsidR="00E55F93" w:rsidRPr="00CE357F" w14:paraId="5E0AB63F" w14:textId="77777777" w:rsidTr="0018320D">
        <w:trPr>
          <w:trHeight w:val="204"/>
        </w:trPr>
        <w:tc>
          <w:tcPr>
            <w:tcW w:w="1146" w:type="dxa"/>
            <w:shd w:val="clear" w:color="auto" w:fill="D9E2F3" w:themeFill="accent1" w:themeFillTint="33"/>
            <w:vAlign w:val="center"/>
          </w:tcPr>
          <w:p w14:paraId="736CD82A"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Lažánky</w:t>
            </w:r>
          </w:p>
        </w:tc>
        <w:tc>
          <w:tcPr>
            <w:tcW w:w="783" w:type="dxa"/>
            <w:vAlign w:val="center"/>
          </w:tcPr>
          <w:p w14:paraId="31ADACE8"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719</w:t>
            </w:r>
          </w:p>
        </w:tc>
        <w:tc>
          <w:tcPr>
            <w:tcW w:w="1412" w:type="dxa"/>
            <w:vAlign w:val="center"/>
          </w:tcPr>
          <w:p w14:paraId="6ECF1E9D"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15</w:t>
            </w:r>
          </w:p>
        </w:tc>
        <w:tc>
          <w:tcPr>
            <w:tcW w:w="1881" w:type="dxa"/>
            <w:vAlign w:val="center"/>
          </w:tcPr>
          <w:p w14:paraId="1AD6612D"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2,1 %</w:t>
            </w:r>
          </w:p>
        </w:tc>
        <w:tc>
          <w:tcPr>
            <w:tcW w:w="559" w:type="dxa"/>
            <w:vAlign w:val="center"/>
          </w:tcPr>
          <w:p w14:paraId="2D5AC3C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14</w:t>
            </w:r>
          </w:p>
        </w:tc>
        <w:tc>
          <w:tcPr>
            <w:tcW w:w="543" w:type="dxa"/>
            <w:vAlign w:val="center"/>
          </w:tcPr>
          <w:p w14:paraId="0E16821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108A68E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14</w:t>
            </w:r>
          </w:p>
        </w:tc>
        <w:tc>
          <w:tcPr>
            <w:tcW w:w="559" w:type="dxa"/>
            <w:vAlign w:val="center"/>
          </w:tcPr>
          <w:p w14:paraId="28E8367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p>
        </w:tc>
        <w:tc>
          <w:tcPr>
            <w:tcW w:w="514" w:type="dxa"/>
            <w:vAlign w:val="center"/>
          </w:tcPr>
          <w:p w14:paraId="6F7F7D4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843" w:type="dxa"/>
            <w:vAlign w:val="center"/>
          </w:tcPr>
          <w:p w14:paraId="08F5F02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p>
        </w:tc>
      </w:tr>
      <w:tr w:rsidR="00E55F93" w:rsidRPr="00CE357F" w14:paraId="4FA9C22C" w14:textId="77777777" w:rsidTr="0018320D">
        <w:trPr>
          <w:trHeight w:val="204"/>
        </w:trPr>
        <w:tc>
          <w:tcPr>
            <w:tcW w:w="1146" w:type="dxa"/>
            <w:shd w:val="clear" w:color="auto" w:fill="D9E2F3" w:themeFill="accent1" w:themeFillTint="33"/>
            <w:vAlign w:val="center"/>
          </w:tcPr>
          <w:p w14:paraId="5BFE83EC"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Předklášteří</w:t>
            </w:r>
          </w:p>
        </w:tc>
        <w:tc>
          <w:tcPr>
            <w:tcW w:w="783" w:type="dxa"/>
            <w:vAlign w:val="center"/>
          </w:tcPr>
          <w:p w14:paraId="4E17EA4C"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1 389</w:t>
            </w:r>
          </w:p>
        </w:tc>
        <w:tc>
          <w:tcPr>
            <w:tcW w:w="1412" w:type="dxa"/>
            <w:vAlign w:val="center"/>
          </w:tcPr>
          <w:p w14:paraId="06843F3A"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29</w:t>
            </w:r>
          </w:p>
        </w:tc>
        <w:tc>
          <w:tcPr>
            <w:tcW w:w="1881" w:type="dxa"/>
            <w:vAlign w:val="center"/>
          </w:tcPr>
          <w:p w14:paraId="1A7A50D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2,1 %</w:t>
            </w:r>
          </w:p>
        </w:tc>
        <w:tc>
          <w:tcPr>
            <w:tcW w:w="559" w:type="dxa"/>
            <w:vAlign w:val="center"/>
          </w:tcPr>
          <w:p w14:paraId="617C077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24</w:t>
            </w:r>
          </w:p>
        </w:tc>
        <w:tc>
          <w:tcPr>
            <w:tcW w:w="543" w:type="dxa"/>
            <w:vAlign w:val="center"/>
          </w:tcPr>
          <w:p w14:paraId="6E38603C"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03D0DA7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24</w:t>
            </w:r>
          </w:p>
        </w:tc>
        <w:tc>
          <w:tcPr>
            <w:tcW w:w="559" w:type="dxa"/>
            <w:vAlign w:val="center"/>
          </w:tcPr>
          <w:p w14:paraId="7E5A5DB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5</w:t>
            </w:r>
          </w:p>
        </w:tc>
        <w:tc>
          <w:tcPr>
            <w:tcW w:w="514" w:type="dxa"/>
            <w:vAlign w:val="center"/>
          </w:tcPr>
          <w:p w14:paraId="6BCB6A03"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843" w:type="dxa"/>
            <w:vAlign w:val="center"/>
          </w:tcPr>
          <w:p w14:paraId="75AED838"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5</w:t>
            </w:r>
          </w:p>
        </w:tc>
      </w:tr>
      <w:tr w:rsidR="00E55F93" w:rsidRPr="00CE357F" w14:paraId="63908DD6" w14:textId="77777777" w:rsidTr="0018320D">
        <w:trPr>
          <w:trHeight w:val="204"/>
        </w:trPr>
        <w:tc>
          <w:tcPr>
            <w:tcW w:w="1146" w:type="dxa"/>
            <w:shd w:val="clear" w:color="auto" w:fill="D9E2F3" w:themeFill="accent1" w:themeFillTint="33"/>
            <w:vAlign w:val="center"/>
          </w:tcPr>
          <w:p w14:paraId="3E8AE62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Tišnov</w:t>
            </w:r>
          </w:p>
        </w:tc>
        <w:tc>
          <w:tcPr>
            <w:tcW w:w="783" w:type="dxa"/>
            <w:vAlign w:val="center"/>
          </w:tcPr>
          <w:p w14:paraId="71AB5926"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9 162</w:t>
            </w:r>
          </w:p>
        </w:tc>
        <w:tc>
          <w:tcPr>
            <w:tcW w:w="1412" w:type="dxa"/>
            <w:vAlign w:val="center"/>
          </w:tcPr>
          <w:p w14:paraId="55880CDA"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186</w:t>
            </w:r>
          </w:p>
        </w:tc>
        <w:tc>
          <w:tcPr>
            <w:tcW w:w="1881" w:type="dxa"/>
            <w:vAlign w:val="center"/>
          </w:tcPr>
          <w:p w14:paraId="5F61DF6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2,0 %</w:t>
            </w:r>
          </w:p>
        </w:tc>
        <w:tc>
          <w:tcPr>
            <w:tcW w:w="559" w:type="dxa"/>
            <w:vAlign w:val="center"/>
          </w:tcPr>
          <w:p w14:paraId="48C3AAC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88</w:t>
            </w:r>
          </w:p>
        </w:tc>
        <w:tc>
          <w:tcPr>
            <w:tcW w:w="543" w:type="dxa"/>
            <w:vAlign w:val="center"/>
          </w:tcPr>
          <w:p w14:paraId="157BC85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w:t>
            </w:r>
          </w:p>
        </w:tc>
        <w:tc>
          <w:tcPr>
            <w:tcW w:w="717" w:type="dxa"/>
            <w:vAlign w:val="center"/>
          </w:tcPr>
          <w:p w14:paraId="48C1C45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97</w:t>
            </w:r>
          </w:p>
        </w:tc>
        <w:tc>
          <w:tcPr>
            <w:tcW w:w="559" w:type="dxa"/>
            <w:vAlign w:val="center"/>
          </w:tcPr>
          <w:p w14:paraId="4C9523ED"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84</w:t>
            </w:r>
          </w:p>
        </w:tc>
        <w:tc>
          <w:tcPr>
            <w:tcW w:w="514" w:type="dxa"/>
            <w:vAlign w:val="center"/>
          </w:tcPr>
          <w:p w14:paraId="10902666"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5</w:t>
            </w:r>
          </w:p>
        </w:tc>
        <w:tc>
          <w:tcPr>
            <w:tcW w:w="843" w:type="dxa"/>
            <w:vAlign w:val="center"/>
          </w:tcPr>
          <w:p w14:paraId="051DCEB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89</w:t>
            </w:r>
          </w:p>
        </w:tc>
      </w:tr>
      <w:tr w:rsidR="00E55F93" w:rsidRPr="00CE357F" w14:paraId="6849FE35" w14:textId="77777777" w:rsidTr="0018320D">
        <w:trPr>
          <w:trHeight w:val="204"/>
        </w:trPr>
        <w:tc>
          <w:tcPr>
            <w:tcW w:w="1146" w:type="dxa"/>
            <w:shd w:val="clear" w:color="auto" w:fill="D9E2F3" w:themeFill="accent1" w:themeFillTint="33"/>
            <w:vAlign w:val="center"/>
          </w:tcPr>
          <w:p w14:paraId="3B9E2388"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Malhostovice</w:t>
            </w:r>
          </w:p>
        </w:tc>
        <w:tc>
          <w:tcPr>
            <w:tcW w:w="783" w:type="dxa"/>
            <w:vAlign w:val="center"/>
          </w:tcPr>
          <w:p w14:paraId="3CC5FB9D"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987</w:t>
            </w:r>
          </w:p>
        </w:tc>
        <w:tc>
          <w:tcPr>
            <w:tcW w:w="1412" w:type="dxa"/>
            <w:vAlign w:val="center"/>
          </w:tcPr>
          <w:p w14:paraId="12527C65"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17</w:t>
            </w:r>
          </w:p>
        </w:tc>
        <w:tc>
          <w:tcPr>
            <w:tcW w:w="1881" w:type="dxa"/>
            <w:vAlign w:val="center"/>
          </w:tcPr>
          <w:p w14:paraId="017AF7AD"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1,7 %</w:t>
            </w:r>
          </w:p>
        </w:tc>
        <w:tc>
          <w:tcPr>
            <w:tcW w:w="559" w:type="dxa"/>
            <w:vAlign w:val="center"/>
          </w:tcPr>
          <w:p w14:paraId="657C582D"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w:t>
            </w:r>
          </w:p>
        </w:tc>
        <w:tc>
          <w:tcPr>
            <w:tcW w:w="543" w:type="dxa"/>
            <w:vAlign w:val="center"/>
          </w:tcPr>
          <w:p w14:paraId="6E4F964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p>
        </w:tc>
        <w:tc>
          <w:tcPr>
            <w:tcW w:w="717" w:type="dxa"/>
            <w:vAlign w:val="center"/>
          </w:tcPr>
          <w:p w14:paraId="7E443418"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10</w:t>
            </w:r>
          </w:p>
        </w:tc>
        <w:tc>
          <w:tcPr>
            <w:tcW w:w="559" w:type="dxa"/>
            <w:vAlign w:val="center"/>
          </w:tcPr>
          <w:p w14:paraId="198F7FEC"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5</w:t>
            </w:r>
          </w:p>
        </w:tc>
        <w:tc>
          <w:tcPr>
            <w:tcW w:w="514" w:type="dxa"/>
            <w:vAlign w:val="center"/>
          </w:tcPr>
          <w:p w14:paraId="312B364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w:t>
            </w:r>
          </w:p>
        </w:tc>
        <w:tc>
          <w:tcPr>
            <w:tcW w:w="843" w:type="dxa"/>
            <w:vAlign w:val="center"/>
          </w:tcPr>
          <w:p w14:paraId="61CF49A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7</w:t>
            </w:r>
          </w:p>
        </w:tc>
      </w:tr>
      <w:tr w:rsidR="00E55F93" w:rsidRPr="00CE357F" w14:paraId="32EAC788" w14:textId="77777777" w:rsidTr="0018320D">
        <w:trPr>
          <w:trHeight w:val="204"/>
        </w:trPr>
        <w:tc>
          <w:tcPr>
            <w:tcW w:w="1146" w:type="dxa"/>
            <w:shd w:val="clear" w:color="auto" w:fill="D9E2F3" w:themeFill="accent1" w:themeFillTint="33"/>
            <w:vAlign w:val="center"/>
          </w:tcPr>
          <w:p w14:paraId="79AA3654"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Drásov</w:t>
            </w:r>
          </w:p>
        </w:tc>
        <w:tc>
          <w:tcPr>
            <w:tcW w:w="783" w:type="dxa"/>
            <w:vAlign w:val="center"/>
          </w:tcPr>
          <w:p w14:paraId="11F3371E" w14:textId="122297B4"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r w:rsidR="00AA7504">
              <w:rPr>
                <w:rFonts w:ascii="Arial Narrow" w:hAnsi="Arial Narrow"/>
                <w:sz w:val="18"/>
                <w:szCs w:val="18"/>
              </w:rPr>
              <w:t xml:space="preserve"> </w:t>
            </w:r>
            <w:r w:rsidRPr="00CE357F">
              <w:rPr>
                <w:rFonts w:ascii="Arial Narrow" w:hAnsi="Arial Narrow"/>
                <w:sz w:val="18"/>
                <w:szCs w:val="18"/>
              </w:rPr>
              <w:t>982</w:t>
            </w:r>
          </w:p>
        </w:tc>
        <w:tc>
          <w:tcPr>
            <w:tcW w:w="1412" w:type="dxa"/>
            <w:vAlign w:val="center"/>
          </w:tcPr>
          <w:p w14:paraId="3A964474"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27</w:t>
            </w:r>
          </w:p>
        </w:tc>
        <w:tc>
          <w:tcPr>
            <w:tcW w:w="1881" w:type="dxa"/>
            <w:vAlign w:val="center"/>
          </w:tcPr>
          <w:p w14:paraId="31CCE5B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1,4 %</w:t>
            </w:r>
          </w:p>
        </w:tc>
        <w:tc>
          <w:tcPr>
            <w:tcW w:w="559" w:type="dxa"/>
            <w:vAlign w:val="center"/>
          </w:tcPr>
          <w:p w14:paraId="1C957393"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10</w:t>
            </w:r>
          </w:p>
        </w:tc>
        <w:tc>
          <w:tcPr>
            <w:tcW w:w="543" w:type="dxa"/>
            <w:vAlign w:val="center"/>
          </w:tcPr>
          <w:p w14:paraId="2C7F9CE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p>
        </w:tc>
        <w:tc>
          <w:tcPr>
            <w:tcW w:w="717" w:type="dxa"/>
            <w:vAlign w:val="center"/>
          </w:tcPr>
          <w:p w14:paraId="36B417B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11</w:t>
            </w:r>
          </w:p>
        </w:tc>
        <w:tc>
          <w:tcPr>
            <w:tcW w:w="559" w:type="dxa"/>
            <w:vAlign w:val="center"/>
          </w:tcPr>
          <w:p w14:paraId="35FEF610"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12</w:t>
            </w:r>
          </w:p>
        </w:tc>
        <w:tc>
          <w:tcPr>
            <w:tcW w:w="514" w:type="dxa"/>
            <w:vAlign w:val="center"/>
          </w:tcPr>
          <w:p w14:paraId="1132A63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4</w:t>
            </w:r>
          </w:p>
        </w:tc>
        <w:tc>
          <w:tcPr>
            <w:tcW w:w="843" w:type="dxa"/>
            <w:vAlign w:val="center"/>
          </w:tcPr>
          <w:p w14:paraId="5F1E9298"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16</w:t>
            </w:r>
          </w:p>
        </w:tc>
      </w:tr>
      <w:tr w:rsidR="00E55F93" w:rsidRPr="00CE357F" w14:paraId="771553E0" w14:textId="77777777" w:rsidTr="0018320D">
        <w:trPr>
          <w:trHeight w:val="204"/>
        </w:trPr>
        <w:tc>
          <w:tcPr>
            <w:tcW w:w="1146" w:type="dxa"/>
            <w:shd w:val="clear" w:color="auto" w:fill="D9E2F3" w:themeFill="accent1" w:themeFillTint="33"/>
            <w:vAlign w:val="center"/>
          </w:tcPr>
          <w:p w14:paraId="73F57EF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Nedvědice</w:t>
            </w:r>
          </w:p>
        </w:tc>
        <w:tc>
          <w:tcPr>
            <w:tcW w:w="783" w:type="dxa"/>
            <w:vAlign w:val="center"/>
          </w:tcPr>
          <w:p w14:paraId="2C151D1B" w14:textId="59EA71F5"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r w:rsidR="00AA7504">
              <w:rPr>
                <w:rFonts w:ascii="Arial Narrow" w:hAnsi="Arial Narrow"/>
                <w:sz w:val="18"/>
                <w:szCs w:val="18"/>
              </w:rPr>
              <w:t xml:space="preserve"> </w:t>
            </w:r>
            <w:r w:rsidRPr="00CE357F">
              <w:rPr>
                <w:rFonts w:ascii="Arial Narrow" w:hAnsi="Arial Narrow"/>
                <w:sz w:val="18"/>
                <w:szCs w:val="18"/>
              </w:rPr>
              <w:t>314</w:t>
            </w:r>
          </w:p>
        </w:tc>
        <w:tc>
          <w:tcPr>
            <w:tcW w:w="1412" w:type="dxa"/>
            <w:vAlign w:val="center"/>
          </w:tcPr>
          <w:p w14:paraId="410A5805"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10</w:t>
            </w:r>
          </w:p>
        </w:tc>
        <w:tc>
          <w:tcPr>
            <w:tcW w:w="1881" w:type="dxa"/>
            <w:vAlign w:val="center"/>
          </w:tcPr>
          <w:p w14:paraId="44DF8F08"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 xml:space="preserve">0,8 % </w:t>
            </w:r>
          </w:p>
        </w:tc>
        <w:tc>
          <w:tcPr>
            <w:tcW w:w="559" w:type="dxa"/>
            <w:vAlign w:val="center"/>
          </w:tcPr>
          <w:p w14:paraId="4F7F103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4</w:t>
            </w:r>
          </w:p>
        </w:tc>
        <w:tc>
          <w:tcPr>
            <w:tcW w:w="543" w:type="dxa"/>
            <w:vAlign w:val="center"/>
          </w:tcPr>
          <w:p w14:paraId="589E779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w:t>
            </w:r>
          </w:p>
        </w:tc>
        <w:tc>
          <w:tcPr>
            <w:tcW w:w="717" w:type="dxa"/>
            <w:vAlign w:val="center"/>
          </w:tcPr>
          <w:p w14:paraId="525F5CC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5</w:t>
            </w:r>
          </w:p>
        </w:tc>
        <w:tc>
          <w:tcPr>
            <w:tcW w:w="559" w:type="dxa"/>
            <w:vAlign w:val="center"/>
          </w:tcPr>
          <w:p w14:paraId="2F775EF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5</w:t>
            </w:r>
          </w:p>
        </w:tc>
        <w:tc>
          <w:tcPr>
            <w:tcW w:w="514" w:type="dxa"/>
            <w:vAlign w:val="center"/>
          </w:tcPr>
          <w:p w14:paraId="118207D0"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0</w:t>
            </w:r>
          </w:p>
        </w:tc>
        <w:tc>
          <w:tcPr>
            <w:tcW w:w="843" w:type="dxa"/>
            <w:vAlign w:val="center"/>
          </w:tcPr>
          <w:p w14:paraId="44727C3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5</w:t>
            </w:r>
          </w:p>
        </w:tc>
      </w:tr>
    </w:tbl>
    <w:p w14:paraId="083FB429" w14:textId="77777777" w:rsidR="00E55F93" w:rsidRPr="00CE357F" w:rsidRDefault="00E55F93" w:rsidP="00E55F93">
      <w:pPr>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0EEF3F12" w14:textId="77777777" w:rsidR="00E55F93" w:rsidRPr="00CE357F" w:rsidRDefault="00E55F93" w:rsidP="00E55F93">
      <w:pPr>
        <w:spacing w:line="276" w:lineRule="auto"/>
        <w:jc w:val="both"/>
        <w:rPr>
          <w:rFonts w:ascii="Arial Narrow" w:hAnsi="Arial Narrow"/>
          <w:color w:val="000000"/>
        </w:rPr>
      </w:pPr>
    </w:p>
    <w:p w14:paraId="1D53F454" w14:textId="77777777" w:rsidR="00E32FA2" w:rsidRDefault="00E32FA2" w:rsidP="00E55F93">
      <w:pPr>
        <w:spacing w:line="276" w:lineRule="auto"/>
        <w:jc w:val="both"/>
        <w:rPr>
          <w:rFonts w:ascii="Arial Narrow" w:hAnsi="Arial Narrow"/>
          <w:color w:val="000000"/>
        </w:rPr>
      </w:pPr>
      <w:bookmarkStart w:id="796" w:name="_Toc136428971"/>
    </w:p>
    <w:p w14:paraId="350BE8C2" w14:textId="488B2695" w:rsidR="00E55F93" w:rsidRPr="00CE357F" w:rsidRDefault="00E55F93" w:rsidP="00E55F93">
      <w:pPr>
        <w:spacing w:line="276" w:lineRule="auto"/>
        <w:jc w:val="both"/>
        <w:rPr>
          <w:rFonts w:ascii="Arial Narrow" w:hAnsi="Arial Narrow"/>
          <w:b/>
          <w:bCs/>
          <w:sz w:val="20"/>
          <w:szCs w:val="20"/>
        </w:rPr>
      </w:pPr>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127</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 xml:space="preserve">Podíl osob s jinou než českou státní příslušností na celkovém počtu obyvatel </w:t>
      </w:r>
      <w:r w:rsidR="00F951BF">
        <w:rPr>
          <w:rFonts w:ascii="Arial Narrow" w:hAnsi="Arial Narrow"/>
          <w:b/>
          <w:bCs/>
          <w:sz w:val="20"/>
          <w:szCs w:val="20"/>
        </w:rPr>
        <w:t xml:space="preserve">vybraných obcí </w:t>
      </w:r>
      <w:r w:rsidRPr="00CE357F">
        <w:rPr>
          <w:rFonts w:ascii="Arial Narrow" w:hAnsi="Arial Narrow"/>
          <w:b/>
          <w:bCs/>
          <w:sz w:val="20"/>
          <w:szCs w:val="20"/>
        </w:rPr>
        <w:t>k 1. 1. 2021</w:t>
      </w:r>
      <w:bookmarkEnd w:id="796"/>
    </w:p>
    <w:p w14:paraId="24ED1A8B" w14:textId="77777777" w:rsidR="00E55F93" w:rsidRPr="00CE357F" w:rsidRDefault="00E55F93" w:rsidP="00E55F93">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656673BE" wp14:editId="396270CD">
            <wp:extent cx="5760720" cy="2295525"/>
            <wp:effectExtent l="0" t="0" r="11430" b="9525"/>
            <wp:docPr id="2157" name="Graf 2157">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62832315" w14:textId="38D0F7F5" w:rsidR="00E55F93" w:rsidRPr="00E32FA2" w:rsidRDefault="00E55F93" w:rsidP="00E32FA2">
      <w:pPr>
        <w:spacing w:after="240"/>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5BE5C36E" w14:textId="77777777" w:rsidR="00E55F93" w:rsidRPr="00CE357F" w:rsidRDefault="00E55F93" w:rsidP="00E55F93">
      <w:pPr>
        <w:spacing w:after="240" w:line="276" w:lineRule="auto"/>
        <w:rPr>
          <w:rFonts w:ascii="Arial Narrow" w:hAnsi="Arial Narrow"/>
          <w:b/>
          <w:bCs/>
        </w:rPr>
      </w:pPr>
      <w:r w:rsidRPr="00CE357F">
        <w:rPr>
          <w:rFonts w:ascii="Arial Narrow" w:hAnsi="Arial Narrow"/>
          <w:b/>
          <w:bCs/>
        </w:rPr>
        <w:t>Osoby s jinou než českou státní příslušností v ORP Tišnov k datu 1. 1. 2022</w:t>
      </w:r>
    </w:p>
    <w:p w14:paraId="188734E5" w14:textId="542283BF" w:rsidR="00E55F93" w:rsidRPr="00CE357F" w:rsidRDefault="00E55F93" w:rsidP="00E55F93">
      <w:pPr>
        <w:spacing w:after="120" w:line="276" w:lineRule="auto"/>
        <w:jc w:val="both"/>
        <w:rPr>
          <w:rFonts w:ascii="Arial Narrow" w:hAnsi="Arial Narrow"/>
          <w:color w:val="000000"/>
        </w:rPr>
      </w:pPr>
      <w:r w:rsidRPr="00CE357F">
        <w:rPr>
          <w:rFonts w:ascii="Arial Narrow" w:hAnsi="Arial Narrow"/>
          <w:color w:val="000000"/>
        </w:rPr>
        <w:t xml:space="preserve">V ORP Tišnov žilo k datu 1. 1. 2022 celkem 533 osob s jinou než českou státní příslušností, což bylo zhruba </w:t>
      </w:r>
      <w:r w:rsidR="00AA7504">
        <w:rPr>
          <w:rFonts w:ascii="Arial Narrow" w:hAnsi="Arial Narrow"/>
          <w:color w:val="000000"/>
        </w:rPr>
        <w:br/>
      </w:r>
      <w:r w:rsidRPr="00CE357F">
        <w:rPr>
          <w:rFonts w:ascii="Arial Narrow" w:hAnsi="Arial Narrow"/>
          <w:color w:val="000000"/>
        </w:rPr>
        <w:t xml:space="preserve">1,7 % všech obyvatel ORP Tišnov. Děti do 15 let tvořily k 1. 1. 2022 celkem 9 % všech osob s jinou než českou státní příslušností na území ORP Tišnov. </w:t>
      </w:r>
    </w:p>
    <w:p w14:paraId="1604F82E" w14:textId="77777777" w:rsidR="00E55F93" w:rsidRPr="00CE357F" w:rsidRDefault="00E55F93" w:rsidP="00AA7504">
      <w:pPr>
        <w:spacing w:after="120" w:line="276" w:lineRule="auto"/>
        <w:jc w:val="both"/>
        <w:rPr>
          <w:rFonts w:ascii="Arial Narrow" w:hAnsi="Arial Narrow"/>
          <w:color w:val="000000"/>
        </w:rPr>
      </w:pPr>
      <w:r w:rsidRPr="00CE357F">
        <w:rPr>
          <w:rFonts w:ascii="Arial Narrow" w:hAnsi="Arial Narrow"/>
          <w:color w:val="000000"/>
        </w:rPr>
        <w:t>Nejvyšší podíl osob s jinou než českou státní příslušností na celkovém počtu obyvatel v dané obci byl v Braníškově, kde tyto osoby tvořily 5 % všech obyvatel. Druhý nejvyšší podíl osob s jinou než českou státní příslušností byl evidován v obcích Lomnička, kde tyto osoby tvořily 4,5 % všech obyvatel, a dále v obci Železné, kde tyto osoby tvořily 3,7 % všech obyvatel.</w:t>
      </w:r>
    </w:p>
    <w:p w14:paraId="57B1BF05" w14:textId="02D0FD88" w:rsidR="00E55F93" w:rsidRDefault="00E55F93" w:rsidP="00AA7504">
      <w:pPr>
        <w:shd w:val="clear" w:color="auto" w:fill="FFFFFF" w:themeFill="background1"/>
        <w:spacing w:after="120" w:line="276" w:lineRule="auto"/>
        <w:jc w:val="both"/>
        <w:rPr>
          <w:rFonts w:ascii="Arial Narrow" w:hAnsi="Arial Narrow"/>
          <w:color w:val="000000"/>
        </w:rPr>
      </w:pPr>
      <w:r w:rsidRPr="00CE357F">
        <w:rPr>
          <w:rFonts w:ascii="Arial Narrow" w:hAnsi="Arial Narrow"/>
          <w:color w:val="000000"/>
        </w:rPr>
        <w:t>V ORP Tišnov bylo k 1. 1. 2022 celkem 59 obcí, přičemž v</w:t>
      </w:r>
      <w:r w:rsidR="00D96BA1">
        <w:rPr>
          <w:rFonts w:ascii="Arial Narrow" w:hAnsi="Arial Narrow"/>
          <w:color w:val="000000"/>
        </w:rPr>
        <w:t> </w:t>
      </w:r>
      <w:r w:rsidRPr="00CE357F">
        <w:rPr>
          <w:rFonts w:ascii="Arial Narrow" w:hAnsi="Arial Narrow"/>
          <w:color w:val="000000"/>
        </w:rPr>
        <w:t>47</w:t>
      </w:r>
      <w:r w:rsidR="00D96BA1">
        <w:rPr>
          <w:rFonts w:ascii="Arial Narrow" w:hAnsi="Arial Narrow"/>
          <w:color w:val="000000"/>
        </w:rPr>
        <w:t xml:space="preserve"> </w:t>
      </w:r>
      <w:r w:rsidRPr="00CE357F">
        <w:rPr>
          <w:rFonts w:ascii="Arial Narrow" w:hAnsi="Arial Narrow"/>
          <w:color w:val="000000"/>
        </w:rPr>
        <w:t xml:space="preserve">obcích se nacházela alespoň jedna osoba s jinou než českou státní příslušností. Z důvodu velkého množství dat proto dále pracujeme jen s obcemi, na jejichž území v dané době pobývalo 10 a více osob s jinou než českou státní příslušností. Počty osob s jinou než českou státní příslušností v daných obcích včetně rozdělení těchto osob podle pohlaví a věku </w:t>
      </w:r>
      <w:r w:rsidR="00E32FA2">
        <w:rPr>
          <w:rFonts w:ascii="Arial Narrow" w:hAnsi="Arial Narrow"/>
          <w:color w:val="000000"/>
        </w:rPr>
        <w:t xml:space="preserve">a jejich podíl na celkovém počtu obyvatel </w:t>
      </w:r>
      <w:r w:rsidRPr="00CE357F">
        <w:rPr>
          <w:rFonts w:ascii="Arial Narrow" w:hAnsi="Arial Narrow"/>
          <w:color w:val="000000"/>
        </w:rPr>
        <w:t>podrobně dokumentuj</w:t>
      </w:r>
      <w:r w:rsidR="00E32FA2">
        <w:rPr>
          <w:rFonts w:ascii="Arial Narrow" w:hAnsi="Arial Narrow"/>
          <w:color w:val="000000"/>
        </w:rPr>
        <w:t xml:space="preserve">í </w:t>
      </w:r>
      <w:r w:rsidRPr="00CE357F">
        <w:rPr>
          <w:rFonts w:ascii="Arial Narrow" w:hAnsi="Arial Narrow"/>
          <w:color w:val="000000"/>
        </w:rPr>
        <w:t>tabulka</w:t>
      </w:r>
      <w:r w:rsidR="00E32FA2">
        <w:rPr>
          <w:rFonts w:ascii="Arial Narrow" w:hAnsi="Arial Narrow"/>
          <w:color w:val="000000"/>
        </w:rPr>
        <w:t xml:space="preserve"> č. 59 a graf č. 128</w:t>
      </w:r>
      <w:r w:rsidRPr="00CE357F">
        <w:rPr>
          <w:rFonts w:ascii="Arial Narrow" w:hAnsi="Arial Narrow"/>
          <w:color w:val="000000"/>
        </w:rPr>
        <w:t>.</w:t>
      </w:r>
      <w:r w:rsidRPr="00CE357F">
        <w:rPr>
          <w:rFonts w:ascii="Arial Narrow" w:hAnsi="Arial Narrow"/>
          <w:color w:val="000000"/>
        </w:rPr>
        <w:tab/>
      </w:r>
    </w:p>
    <w:p w14:paraId="58FA1980" w14:textId="24101ABB" w:rsidR="00E55F93" w:rsidRPr="00CE357F" w:rsidRDefault="00E55F93" w:rsidP="00E55F93">
      <w:pPr>
        <w:shd w:val="clear" w:color="auto" w:fill="FFFFFF" w:themeFill="background1"/>
        <w:jc w:val="both"/>
        <w:rPr>
          <w:rFonts w:ascii="Arial Narrow" w:hAnsi="Arial Narrow"/>
          <w:color w:val="000000"/>
        </w:rPr>
      </w:pPr>
      <w:bookmarkStart w:id="797" w:name="_Toc136429270"/>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59</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Tišnov v roce 2022</w:t>
      </w:r>
      <w:bookmarkEnd w:id="797"/>
    </w:p>
    <w:tbl>
      <w:tblPr>
        <w:tblW w:w="5000" w:type="pct"/>
        <w:tblInd w:w="-5"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233"/>
        <w:gridCol w:w="866"/>
        <w:gridCol w:w="1449"/>
        <w:gridCol w:w="1871"/>
        <w:gridCol w:w="554"/>
        <w:gridCol w:w="554"/>
        <w:gridCol w:w="736"/>
        <w:gridCol w:w="554"/>
        <w:gridCol w:w="419"/>
        <w:gridCol w:w="826"/>
      </w:tblGrid>
      <w:tr w:rsidR="00E55F93" w:rsidRPr="00CE357F" w14:paraId="69FFAE73" w14:textId="77777777" w:rsidTr="00A55B4C">
        <w:trPr>
          <w:trHeight w:val="204"/>
        </w:trPr>
        <w:tc>
          <w:tcPr>
            <w:tcW w:w="1233" w:type="dxa"/>
            <w:vMerge w:val="restart"/>
            <w:shd w:val="clear" w:color="auto" w:fill="D9E2F3" w:themeFill="accent1" w:themeFillTint="33"/>
            <w:vAlign w:val="center"/>
          </w:tcPr>
          <w:p w14:paraId="0DB138EB" w14:textId="77777777" w:rsidR="00E55F93" w:rsidRPr="00CE357F" w:rsidRDefault="00E55F93"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866" w:type="dxa"/>
            <w:vMerge w:val="restart"/>
            <w:shd w:val="clear" w:color="auto" w:fill="D9E2F3" w:themeFill="accent1" w:themeFillTint="33"/>
            <w:vAlign w:val="center"/>
          </w:tcPr>
          <w:p w14:paraId="62E134AF" w14:textId="77777777" w:rsidR="00E55F93" w:rsidRPr="00CE357F" w:rsidRDefault="00E55F93" w:rsidP="004A0C47">
            <w:pPr>
              <w:spacing w:after="46"/>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449" w:type="dxa"/>
            <w:vMerge w:val="restart"/>
            <w:shd w:val="clear" w:color="auto" w:fill="D9E2F3" w:themeFill="accent1" w:themeFillTint="33"/>
            <w:vAlign w:val="center"/>
          </w:tcPr>
          <w:p w14:paraId="74AF08F2" w14:textId="77777777" w:rsidR="00E55F93" w:rsidRPr="00CE357F" w:rsidRDefault="00E55F93" w:rsidP="004A0C47">
            <w:pPr>
              <w:spacing w:after="46"/>
              <w:jc w:val="center"/>
              <w:rPr>
                <w:rFonts w:ascii="Arial Narrow" w:hAnsi="Arial Narrow"/>
                <w:sz w:val="18"/>
                <w:szCs w:val="18"/>
              </w:rPr>
            </w:pPr>
            <w:r w:rsidRPr="00CE357F">
              <w:rPr>
                <w:rFonts w:ascii="Arial Narrow" w:hAnsi="Arial Narrow"/>
                <w:color w:val="000000"/>
                <w:sz w:val="18"/>
                <w:szCs w:val="18"/>
              </w:rPr>
              <w:t>Osoby s jinou než českou státní příslušností</w:t>
            </w:r>
            <w:r w:rsidRPr="00CE357F">
              <w:rPr>
                <w:rFonts w:ascii="Arial Narrow" w:eastAsia="Times New Roman" w:hAnsi="Arial Narrow" w:cs="Arial"/>
                <w:sz w:val="18"/>
                <w:szCs w:val="18"/>
                <w:lang w:eastAsia="cs-CZ"/>
              </w:rPr>
              <w:t xml:space="preserve"> celkem</w:t>
            </w:r>
          </w:p>
        </w:tc>
        <w:tc>
          <w:tcPr>
            <w:tcW w:w="1871" w:type="dxa"/>
            <w:vMerge w:val="restart"/>
            <w:shd w:val="clear" w:color="auto" w:fill="D9E2F3" w:themeFill="accent1" w:themeFillTint="33"/>
            <w:vAlign w:val="center"/>
          </w:tcPr>
          <w:p w14:paraId="79F710EA" w14:textId="77777777" w:rsidR="00E55F93" w:rsidRPr="00CE357F" w:rsidRDefault="00E55F93" w:rsidP="004A0C47">
            <w:pPr>
              <w:spacing w:after="46"/>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Podíl </w:t>
            </w:r>
            <w:r w:rsidRPr="00CE357F">
              <w:rPr>
                <w:rFonts w:ascii="Arial Narrow" w:hAnsi="Arial Narrow"/>
                <w:color w:val="000000"/>
                <w:sz w:val="18"/>
                <w:szCs w:val="18"/>
              </w:rPr>
              <w:t>osob s jinou než českou státní příslušností</w:t>
            </w:r>
            <w:r w:rsidRPr="00CE357F">
              <w:rPr>
                <w:rFonts w:ascii="Arial Narrow" w:eastAsia="Times New Roman" w:hAnsi="Arial Narrow" w:cs="Arial"/>
                <w:sz w:val="18"/>
                <w:szCs w:val="18"/>
                <w:lang w:eastAsia="cs-CZ"/>
              </w:rPr>
              <w:t xml:space="preserve"> na celkovém počtu obyvatel</w:t>
            </w:r>
          </w:p>
        </w:tc>
        <w:tc>
          <w:tcPr>
            <w:tcW w:w="1844" w:type="dxa"/>
            <w:gridSpan w:val="3"/>
            <w:shd w:val="clear" w:color="auto" w:fill="D9E2F3" w:themeFill="accent1" w:themeFillTint="33"/>
            <w:vAlign w:val="center"/>
          </w:tcPr>
          <w:p w14:paraId="1650DB85" w14:textId="77777777" w:rsidR="00E55F93" w:rsidRPr="00CE357F" w:rsidRDefault="00E55F93" w:rsidP="004A0C47">
            <w:pPr>
              <w:spacing w:after="46"/>
              <w:jc w:val="center"/>
              <w:rPr>
                <w:rFonts w:ascii="Arial Narrow" w:hAnsi="Arial Narrow"/>
                <w:bCs/>
                <w:sz w:val="18"/>
                <w:szCs w:val="18"/>
              </w:rPr>
            </w:pPr>
            <w:r w:rsidRPr="00CE357F">
              <w:rPr>
                <w:rFonts w:ascii="Arial Narrow" w:eastAsia="Times New Roman" w:hAnsi="Arial Narrow" w:cs="Arial"/>
                <w:bCs/>
                <w:sz w:val="18"/>
                <w:szCs w:val="18"/>
                <w:lang w:eastAsia="cs-CZ"/>
              </w:rPr>
              <w:t>Muži</w:t>
            </w:r>
          </w:p>
        </w:tc>
        <w:tc>
          <w:tcPr>
            <w:tcW w:w="1799" w:type="dxa"/>
            <w:gridSpan w:val="3"/>
            <w:shd w:val="clear" w:color="auto" w:fill="D9E2F3" w:themeFill="accent1" w:themeFillTint="33"/>
            <w:vAlign w:val="center"/>
          </w:tcPr>
          <w:p w14:paraId="37023032" w14:textId="77777777" w:rsidR="00E55F93" w:rsidRPr="00CE357F" w:rsidRDefault="00E55F93" w:rsidP="004A0C47">
            <w:pPr>
              <w:spacing w:after="46"/>
              <w:jc w:val="center"/>
              <w:rPr>
                <w:rFonts w:ascii="Arial Narrow" w:hAnsi="Arial Narrow"/>
                <w:bCs/>
                <w:sz w:val="18"/>
                <w:szCs w:val="18"/>
              </w:rPr>
            </w:pPr>
            <w:r w:rsidRPr="00CE357F">
              <w:rPr>
                <w:rFonts w:ascii="Arial Narrow" w:eastAsia="Times New Roman" w:hAnsi="Arial Narrow" w:cs="Arial"/>
                <w:bCs/>
                <w:sz w:val="18"/>
                <w:szCs w:val="18"/>
                <w:lang w:eastAsia="cs-CZ"/>
              </w:rPr>
              <w:t>Ženy</w:t>
            </w:r>
          </w:p>
        </w:tc>
      </w:tr>
      <w:tr w:rsidR="00A55B4C" w:rsidRPr="00CE357F" w14:paraId="145A2D4F" w14:textId="77777777" w:rsidTr="00A55B4C">
        <w:trPr>
          <w:trHeight w:val="204"/>
        </w:trPr>
        <w:tc>
          <w:tcPr>
            <w:tcW w:w="1233" w:type="dxa"/>
            <w:vMerge/>
            <w:shd w:val="clear" w:color="auto" w:fill="D9E2F3" w:themeFill="accent1" w:themeFillTint="33"/>
            <w:vAlign w:val="center"/>
          </w:tcPr>
          <w:p w14:paraId="10D46C23" w14:textId="77777777" w:rsidR="00E55F93" w:rsidRPr="00CE357F" w:rsidRDefault="00E55F93" w:rsidP="004A0C47">
            <w:pPr>
              <w:spacing w:after="46"/>
              <w:jc w:val="center"/>
              <w:rPr>
                <w:rFonts w:ascii="Arial Narrow" w:eastAsia="Times New Roman" w:hAnsi="Arial Narrow" w:cs="Arial"/>
                <w:sz w:val="18"/>
                <w:szCs w:val="18"/>
                <w:lang w:eastAsia="cs-CZ"/>
              </w:rPr>
            </w:pPr>
          </w:p>
        </w:tc>
        <w:tc>
          <w:tcPr>
            <w:tcW w:w="866" w:type="dxa"/>
            <w:vMerge/>
            <w:shd w:val="clear" w:color="auto" w:fill="D9E2F3" w:themeFill="accent1" w:themeFillTint="33"/>
            <w:vAlign w:val="center"/>
          </w:tcPr>
          <w:p w14:paraId="404545F1" w14:textId="77777777" w:rsidR="00E55F93" w:rsidRPr="00CE357F" w:rsidRDefault="00E55F93" w:rsidP="004A0C47">
            <w:pPr>
              <w:spacing w:after="46"/>
              <w:jc w:val="center"/>
              <w:rPr>
                <w:rFonts w:ascii="Arial Narrow" w:eastAsia="Times New Roman" w:hAnsi="Arial Narrow" w:cs="Arial"/>
                <w:sz w:val="18"/>
                <w:szCs w:val="18"/>
                <w:lang w:eastAsia="cs-CZ"/>
              </w:rPr>
            </w:pPr>
          </w:p>
        </w:tc>
        <w:tc>
          <w:tcPr>
            <w:tcW w:w="1449" w:type="dxa"/>
            <w:vMerge/>
            <w:shd w:val="clear" w:color="auto" w:fill="D9E2F3" w:themeFill="accent1" w:themeFillTint="33"/>
            <w:vAlign w:val="center"/>
          </w:tcPr>
          <w:p w14:paraId="3C99167A" w14:textId="77777777" w:rsidR="00E55F93" w:rsidRPr="00CE357F" w:rsidRDefault="00E55F93" w:rsidP="004A0C47">
            <w:pPr>
              <w:spacing w:after="46"/>
              <w:jc w:val="center"/>
              <w:rPr>
                <w:rFonts w:ascii="Arial Narrow" w:eastAsia="Times New Roman" w:hAnsi="Arial Narrow" w:cs="Arial"/>
                <w:sz w:val="18"/>
                <w:szCs w:val="18"/>
                <w:lang w:eastAsia="cs-CZ"/>
              </w:rPr>
            </w:pPr>
          </w:p>
        </w:tc>
        <w:tc>
          <w:tcPr>
            <w:tcW w:w="1871" w:type="dxa"/>
            <w:vMerge/>
            <w:shd w:val="clear" w:color="auto" w:fill="D9E2F3" w:themeFill="accent1" w:themeFillTint="33"/>
            <w:vAlign w:val="center"/>
          </w:tcPr>
          <w:p w14:paraId="58001DB0" w14:textId="77777777" w:rsidR="00E55F93" w:rsidRPr="00CE357F" w:rsidRDefault="00E55F93" w:rsidP="004A0C47">
            <w:pPr>
              <w:spacing w:after="46"/>
              <w:jc w:val="center"/>
              <w:rPr>
                <w:rFonts w:ascii="Arial Narrow" w:eastAsia="Times New Roman" w:hAnsi="Arial Narrow" w:cs="Arial"/>
                <w:sz w:val="18"/>
                <w:szCs w:val="18"/>
                <w:lang w:eastAsia="cs-CZ"/>
              </w:rPr>
            </w:pPr>
          </w:p>
        </w:tc>
        <w:tc>
          <w:tcPr>
            <w:tcW w:w="554" w:type="dxa"/>
            <w:shd w:val="clear" w:color="auto" w:fill="D9E2F3" w:themeFill="accent1" w:themeFillTint="33"/>
            <w:vAlign w:val="center"/>
          </w:tcPr>
          <w:p w14:paraId="177FBAD6" w14:textId="77777777" w:rsidR="00E55F93" w:rsidRPr="00CE357F" w:rsidRDefault="00E55F93"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54" w:type="dxa"/>
            <w:shd w:val="clear" w:color="auto" w:fill="D9E2F3" w:themeFill="accent1" w:themeFillTint="33"/>
            <w:vAlign w:val="center"/>
          </w:tcPr>
          <w:p w14:paraId="1A2F6BAD" w14:textId="77777777" w:rsidR="00E55F93" w:rsidRPr="00CE357F" w:rsidRDefault="00E55F93"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36" w:type="dxa"/>
            <w:shd w:val="clear" w:color="auto" w:fill="D9E2F3" w:themeFill="accent1" w:themeFillTint="33"/>
            <w:vAlign w:val="center"/>
          </w:tcPr>
          <w:p w14:paraId="28428DB6" w14:textId="77777777" w:rsidR="00E55F93" w:rsidRPr="00CE357F" w:rsidRDefault="00E55F93"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54" w:type="dxa"/>
            <w:shd w:val="clear" w:color="auto" w:fill="D9E2F3" w:themeFill="accent1" w:themeFillTint="33"/>
            <w:vAlign w:val="center"/>
          </w:tcPr>
          <w:p w14:paraId="1C434BFF" w14:textId="77777777" w:rsidR="00E55F93" w:rsidRPr="00CE357F" w:rsidRDefault="00E55F93"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419" w:type="dxa"/>
            <w:shd w:val="clear" w:color="auto" w:fill="D9E2F3" w:themeFill="accent1" w:themeFillTint="33"/>
            <w:vAlign w:val="center"/>
          </w:tcPr>
          <w:p w14:paraId="5CC7370C" w14:textId="77777777" w:rsidR="00E55F93" w:rsidRPr="00CE357F" w:rsidRDefault="00E55F93"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26" w:type="dxa"/>
            <w:shd w:val="clear" w:color="auto" w:fill="D9E2F3" w:themeFill="accent1" w:themeFillTint="33"/>
            <w:vAlign w:val="center"/>
          </w:tcPr>
          <w:p w14:paraId="6197B727" w14:textId="77777777" w:rsidR="00E55F93" w:rsidRPr="00CE357F" w:rsidRDefault="00E55F93" w:rsidP="004A0C47">
            <w:pPr>
              <w:spacing w:after="46"/>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E55F93" w:rsidRPr="00CE357F" w14:paraId="4D5FA2F8" w14:textId="77777777" w:rsidTr="00A55B4C">
        <w:trPr>
          <w:trHeight w:val="204"/>
        </w:trPr>
        <w:tc>
          <w:tcPr>
            <w:tcW w:w="1233" w:type="dxa"/>
            <w:shd w:val="clear" w:color="auto" w:fill="D9E2F3" w:themeFill="accent1" w:themeFillTint="33"/>
            <w:vAlign w:val="center"/>
          </w:tcPr>
          <w:p w14:paraId="6288F6E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Braníškov</w:t>
            </w:r>
          </w:p>
        </w:tc>
        <w:tc>
          <w:tcPr>
            <w:tcW w:w="866" w:type="dxa"/>
            <w:vAlign w:val="center"/>
          </w:tcPr>
          <w:p w14:paraId="3B74050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202</w:t>
            </w:r>
          </w:p>
        </w:tc>
        <w:tc>
          <w:tcPr>
            <w:tcW w:w="1449" w:type="dxa"/>
            <w:vAlign w:val="center"/>
          </w:tcPr>
          <w:p w14:paraId="6CF0ED73"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10</w:t>
            </w:r>
          </w:p>
        </w:tc>
        <w:tc>
          <w:tcPr>
            <w:tcW w:w="1871" w:type="dxa"/>
            <w:vAlign w:val="center"/>
          </w:tcPr>
          <w:p w14:paraId="71D238CE" w14:textId="4FD10493" w:rsidR="00E55F93" w:rsidRPr="00171B4D" w:rsidRDefault="00E55F93" w:rsidP="004A0C47">
            <w:pPr>
              <w:jc w:val="center"/>
              <w:rPr>
                <w:rFonts w:ascii="Arial Narrow" w:hAnsi="Arial Narrow"/>
                <w:b/>
                <w:bCs/>
                <w:color w:val="C00000"/>
                <w:sz w:val="18"/>
                <w:szCs w:val="18"/>
              </w:rPr>
            </w:pPr>
            <w:r w:rsidRPr="00171B4D">
              <w:rPr>
                <w:rFonts w:ascii="Arial Narrow" w:hAnsi="Arial Narrow"/>
                <w:b/>
                <w:bCs/>
                <w:color w:val="C00000"/>
                <w:sz w:val="18"/>
                <w:szCs w:val="18"/>
              </w:rPr>
              <w:t>5</w:t>
            </w:r>
            <w:r w:rsidR="002930C6">
              <w:rPr>
                <w:rFonts w:ascii="Arial Narrow" w:hAnsi="Arial Narrow"/>
                <w:b/>
                <w:bCs/>
                <w:color w:val="C00000"/>
                <w:sz w:val="18"/>
                <w:szCs w:val="18"/>
              </w:rPr>
              <w:t>,0</w:t>
            </w:r>
            <w:r w:rsidRPr="00171B4D">
              <w:rPr>
                <w:rFonts w:ascii="Arial Narrow" w:hAnsi="Arial Narrow"/>
                <w:b/>
                <w:bCs/>
                <w:color w:val="C00000"/>
                <w:sz w:val="18"/>
                <w:szCs w:val="18"/>
              </w:rPr>
              <w:t xml:space="preserve"> %</w:t>
            </w:r>
          </w:p>
        </w:tc>
        <w:tc>
          <w:tcPr>
            <w:tcW w:w="554" w:type="dxa"/>
            <w:vAlign w:val="center"/>
          </w:tcPr>
          <w:p w14:paraId="28DA238F"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3</w:t>
            </w:r>
          </w:p>
        </w:tc>
        <w:tc>
          <w:tcPr>
            <w:tcW w:w="554" w:type="dxa"/>
            <w:vAlign w:val="center"/>
          </w:tcPr>
          <w:p w14:paraId="5392EE01"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736" w:type="dxa"/>
            <w:vAlign w:val="center"/>
          </w:tcPr>
          <w:p w14:paraId="46C17A06"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4</w:t>
            </w:r>
          </w:p>
        </w:tc>
        <w:tc>
          <w:tcPr>
            <w:tcW w:w="554" w:type="dxa"/>
            <w:vAlign w:val="center"/>
          </w:tcPr>
          <w:p w14:paraId="077313F8"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5</w:t>
            </w:r>
          </w:p>
        </w:tc>
        <w:tc>
          <w:tcPr>
            <w:tcW w:w="419" w:type="dxa"/>
            <w:vAlign w:val="center"/>
          </w:tcPr>
          <w:p w14:paraId="64D1D820"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826" w:type="dxa"/>
            <w:vAlign w:val="center"/>
          </w:tcPr>
          <w:p w14:paraId="615D24F5"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6</w:t>
            </w:r>
          </w:p>
        </w:tc>
      </w:tr>
      <w:tr w:rsidR="00E55F93" w:rsidRPr="00CE357F" w14:paraId="69C8FDA3" w14:textId="77777777" w:rsidTr="00A55B4C">
        <w:trPr>
          <w:trHeight w:val="204"/>
        </w:trPr>
        <w:tc>
          <w:tcPr>
            <w:tcW w:w="1233" w:type="dxa"/>
            <w:shd w:val="clear" w:color="auto" w:fill="D9E2F3" w:themeFill="accent1" w:themeFillTint="33"/>
            <w:vAlign w:val="center"/>
          </w:tcPr>
          <w:p w14:paraId="68FBE75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Lomnička</w:t>
            </w:r>
          </w:p>
        </w:tc>
        <w:tc>
          <w:tcPr>
            <w:tcW w:w="866" w:type="dxa"/>
            <w:vAlign w:val="center"/>
          </w:tcPr>
          <w:p w14:paraId="22E81B34"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448</w:t>
            </w:r>
          </w:p>
        </w:tc>
        <w:tc>
          <w:tcPr>
            <w:tcW w:w="1449" w:type="dxa"/>
            <w:vAlign w:val="center"/>
          </w:tcPr>
          <w:p w14:paraId="3D685EC0"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20</w:t>
            </w:r>
          </w:p>
        </w:tc>
        <w:tc>
          <w:tcPr>
            <w:tcW w:w="1871" w:type="dxa"/>
            <w:vAlign w:val="center"/>
          </w:tcPr>
          <w:p w14:paraId="6807C2D1" w14:textId="77777777" w:rsidR="00E55F93" w:rsidRPr="00171B4D" w:rsidRDefault="00E55F93" w:rsidP="004A0C47">
            <w:pPr>
              <w:jc w:val="center"/>
              <w:rPr>
                <w:rFonts w:ascii="Arial Narrow" w:hAnsi="Arial Narrow"/>
                <w:b/>
                <w:bCs/>
                <w:color w:val="C00000"/>
                <w:sz w:val="18"/>
                <w:szCs w:val="18"/>
              </w:rPr>
            </w:pPr>
            <w:r w:rsidRPr="00171B4D">
              <w:rPr>
                <w:rFonts w:ascii="Arial Narrow" w:hAnsi="Arial Narrow"/>
                <w:b/>
                <w:bCs/>
                <w:color w:val="C00000"/>
                <w:sz w:val="18"/>
                <w:szCs w:val="18"/>
              </w:rPr>
              <w:t>4,5 %</w:t>
            </w:r>
          </w:p>
        </w:tc>
        <w:tc>
          <w:tcPr>
            <w:tcW w:w="554" w:type="dxa"/>
            <w:vAlign w:val="center"/>
          </w:tcPr>
          <w:p w14:paraId="0CC9A851"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12</w:t>
            </w:r>
          </w:p>
        </w:tc>
        <w:tc>
          <w:tcPr>
            <w:tcW w:w="554" w:type="dxa"/>
            <w:vAlign w:val="center"/>
          </w:tcPr>
          <w:p w14:paraId="2F4ADD7B"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736" w:type="dxa"/>
            <w:vAlign w:val="center"/>
          </w:tcPr>
          <w:p w14:paraId="661F780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13</w:t>
            </w:r>
          </w:p>
        </w:tc>
        <w:tc>
          <w:tcPr>
            <w:tcW w:w="554" w:type="dxa"/>
            <w:vAlign w:val="center"/>
          </w:tcPr>
          <w:p w14:paraId="604D3F52"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6</w:t>
            </w:r>
          </w:p>
        </w:tc>
        <w:tc>
          <w:tcPr>
            <w:tcW w:w="419" w:type="dxa"/>
            <w:vAlign w:val="center"/>
          </w:tcPr>
          <w:p w14:paraId="0E831A43"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826" w:type="dxa"/>
            <w:vAlign w:val="center"/>
          </w:tcPr>
          <w:p w14:paraId="56933E47"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7</w:t>
            </w:r>
          </w:p>
        </w:tc>
      </w:tr>
      <w:tr w:rsidR="00E55F93" w:rsidRPr="00CE357F" w14:paraId="7717D311" w14:textId="77777777" w:rsidTr="00A55B4C">
        <w:trPr>
          <w:trHeight w:val="204"/>
        </w:trPr>
        <w:tc>
          <w:tcPr>
            <w:tcW w:w="1233" w:type="dxa"/>
            <w:shd w:val="clear" w:color="auto" w:fill="D9E2F3" w:themeFill="accent1" w:themeFillTint="33"/>
            <w:vAlign w:val="center"/>
          </w:tcPr>
          <w:p w14:paraId="5EB739D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Železné</w:t>
            </w:r>
          </w:p>
        </w:tc>
        <w:tc>
          <w:tcPr>
            <w:tcW w:w="866" w:type="dxa"/>
            <w:vAlign w:val="center"/>
          </w:tcPr>
          <w:p w14:paraId="3633E9D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431</w:t>
            </w:r>
          </w:p>
        </w:tc>
        <w:tc>
          <w:tcPr>
            <w:tcW w:w="1449" w:type="dxa"/>
            <w:vAlign w:val="center"/>
          </w:tcPr>
          <w:p w14:paraId="009DCD8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16</w:t>
            </w:r>
          </w:p>
        </w:tc>
        <w:tc>
          <w:tcPr>
            <w:tcW w:w="1871" w:type="dxa"/>
            <w:vAlign w:val="center"/>
          </w:tcPr>
          <w:p w14:paraId="40E32670"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3,7 %</w:t>
            </w:r>
          </w:p>
        </w:tc>
        <w:tc>
          <w:tcPr>
            <w:tcW w:w="554" w:type="dxa"/>
            <w:vAlign w:val="center"/>
          </w:tcPr>
          <w:p w14:paraId="65466177"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5</w:t>
            </w:r>
          </w:p>
        </w:tc>
        <w:tc>
          <w:tcPr>
            <w:tcW w:w="554" w:type="dxa"/>
            <w:vAlign w:val="center"/>
          </w:tcPr>
          <w:p w14:paraId="5816022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736" w:type="dxa"/>
            <w:vAlign w:val="center"/>
          </w:tcPr>
          <w:p w14:paraId="5F5E3A0F"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6</w:t>
            </w:r>
          </w:p>
        </w:tc>
        <w:tc>
          <w:tcPr>
            <w:tcW w:w="554" w:type="dxa"/>
            <w:vAlign w:val="center"/>
          </w:tcPr>
          <w:p w14:paraId="3CE636C1"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10</w:t>
            </w:r>
          </w:p>
        </w:tc>
        <w:tc>
          <w:tcPr>
            <w:tcW w:w="419" w:type="dxa"/>
            <w:vAlign w:val="center"/>
          </w:tcPr>
          <w:p w14:paraId="66CF53C4"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0</w:t>
            </w:r>
          </w:p>
        </w:tc>
        <w:tc>
          <w:tcPr>
            <w:tcW w:w="826" w:type="dxa"/>
            <w:vAlign w:val="center"/>
          </w:tcPr>
          <w:p w14:paraId="3ACD753F"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10</w:t>
            </w:r>
          </w:p>
        </w:tc>
      </w:tr>
      <w:tr w:rsidR="00E55F93" w:rsidRPr="00CE357F" w14:paraId="46100359" w14:textId="77777777" w:rsidTr="00A55B4C">
        <w:trPr>
          <w:trHeight w:val="204"/>
        </w:trPr>
        <w:tc>
          <w:tcPr>
            <w:tcW w:w="1233" w:type="dxa"/>
            <w:shd w:val="clear" w:color="auto" w:fill="D9E2F3" w:themeFill="accent1" w:themeFillTint="33"/>
            <w:vAlign w:val="center"/>
          </w:tcPr>
          <w:p w14:paraId="6809239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Deblín</w:t>
            </w:r>
          </w:p>
        </w:tc>
        <w:tc>
          <w:tcPr>
            <w:tcW w:w="866" w:type="dxa"/>
            <w:vAlign w:val="center"/>
          </w:tcPr>
          <w:p w14:paraId="41A65D33"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900</w:t>
            </w:r>
          </w:p>
        </w:tc>
        <w:tc>
          <w:tcPr>
            <w:tcW w:w="1449" w:type="dxa"/>
            <w:vAlign w:val="center"/>
          </w:tcPr>
          <w:p w14:paraId="26523A1B"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30</w:t>
            </w:r>
          </w:p>
        </w:tc>
        <w:tc>
          <w:tcPr>
            <w:tcW w:w="1871" w:type="dxa"/>
            <w:vAlign w:val="center"/>
          </w:tcPr>
          <w:p w14:paraId="3B8BE9B6"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3,3 %</w:t>
            </w:r>
          </w:p>
        </w:tc>
        <w:tc>
          <w:tcPr>
            <w:tcW w:w="554" w:type="dxa"/>
            <w:vAlign w:val="center"/>
          </w:tcPr>
          <w:p w14:paraId="0191C509"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17</w:t>
            </w:r>
          </w:p>
        </w:tc>
        <w:tc>
          <w:tcPr>
            <w:tcW w:w="554" w:type="dxa"/>
            <w:vAlign w:val="center"/>
          </w:tcPr>
          <w:p w14:paraId="50409C8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736" w:type="dxa"/>
            <w:vAlign w:val="center"/>
          </w:tcPr>
          <w:p w14:paraId="59C27C21"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18</w:t>
            </w:r>
          </w:p>
        </w:tc>
        <w:tc>
          <w:tcPr>
            <w:tcW w:w="554" w:type="dxa"/>
            <w:vAlign w:val="center"/>
          </w:tcPr>
          <w:p w14:paraId="1520D80E"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10</w:t>
            </w:r>
          </w:p>
        </w:tc>
        <w:tc>
          <w:tcPr>
            <w:tcW w:w="419" w:type="dxa"/>
            <w:vAlign w:val="center"/>
          </w:tcPr>
          <w:p w14:paraId="280D514D"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w:t>
            </w:r>
          </w:p>
        </w:tc>
        <w:tc>
          <w:tcPr>
            <w:tcW w:w="826" w:type="dxa"/>
            <w:vAlign w:val="center"/>
          </w:tcPr>
          <w:p w14:paraId="21F4C400"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12</w:t>
            </w:r>
          </w:p>
        </w:tc>
      </w:tr>
      <w:tr w:rsidR="00E55F93" w:rsidRPr="00CE357F" w14:paraId="310C08B6" w14:textId="77777777" w:rsidTr="00A55B4C">
        <w:trPr>
          <w:trHeight w:val="204"/>
        </w:trPr>
        <w:tc>
          <w:tcPr>
            <w:tcW w:w="1233" w:type="dxa"/>
            <w:shd w:val="clear" w:color="auto" w:fill="D9E2F3" w:themeFill="accent1" w:themeFillTint="33"/>
            <w:vAlign w:val="center"/>
          </w:tcPr>
          <w:p w14:paraId="6F5D54E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Tišnov</w:t>
            </w:r>
          </w:p>
        </w:tc>
        <w:tc>
          <w:tcPr>
            <w:tcW w:w="866" w:type="dxa"/>
            <w:vAlign w:val="center"/>
          </w:tcPr>
          <w:p w14:paraId="6A8E3CFD"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7 465</w:t>
            </w:r>
          </w:p>
        </w:tc>
        <w:tc>
          <w:tcPr>
            <w:tcW w:w="1449" w:type="dxa"/>
            <w:vAlign w:val="center"/>
          </w:tcPr>
          <w:p w14:paraId="6DC69C7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208</w:t>
            </w:r>
          </w:p>
        </w:tc>
        <w:tc>
          <w:tcPr>
            <w:tcW w:w="1871" w:type="dxa"/>
            <w:vAlign w:val="center"/>
          </w:tcPr>
          <w:p w14:paraId="776E346F"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2,8 %</w:t>
            </w:r>
          </w:p>
        </w:tc>
        <w:tc>
          <w:tcPr>
            <w:tcW w:w="554" w:type="dxa"/>
            <w:vAlign w:val="center"/>
          </w:tcPr>
          <w:p w14:paraId="59DE7C09"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104</w:t>
            </w:r>
          </w:p>
        </w:tc>
        <w:tc>
          <w:tcPr>
            <w:tcW w:w="554" w:type="dxa"/>
            <w:vAlign w:val="center"/>
          </w:tcPr>
          <w:p w14:paraId="47494CE5"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10</w:t>
            </w:r>
          </w:p>
        </w:tc>
        <w:tc>
          <w:tcPr>
            <w:tcW w:w="736" w:type="dxa"/>
            <w:vAlign w:val="center"/>
          </w:tcPr>
          <w:p w14:paraId="6217CF0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114</w:t>
            </w:r>
          </w:p>
        </w:tc>
        <w:tc>
          <w:tcPr>
            <w:tcW w:w="554" w:type="dxa"/>
            <w:vAlign w:val="center"/>
          </w:tcPr>
          <w:p w14:paraId="466EE1BD"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89</w:t>
            </w:r>
          </w:p>
        </w:tc>
        <w:tc>
          <w:tcPr>
            <w:tcW w:w="419" w:type="dxa"/>
            <w:vAlign w:val="center"/>
          </w:tcPr>
          <w:p w14:paraId="26D6FC75"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5</w:t>
            </w:r>
          </w:p>
        </w:tc>
        <w:tc>
          <w:tcPr>
            <w:tcW w:w="826" w:type="dxa"/>
            <w:vAlign w:val="center"/>
          </w:tcPr>
          <w:p w14:paraId="209FE474"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94</w:t>
            </w:r>
          </w:p>
        </w:tc>
      </w:tr>
      <w:tr w:rsidR="00E55F93" w:rsidRPr="00CE357F" w14:paraId="2C47540F" w14:textId="77777777" w:rsidTr="00A55B4C">
        <w:trPr>
          <w:trHeight w:val="204"/>
        </w:trPr>
        <w:tc>
          <w:tcPr>
            <w:tcW w:w="1233" w:type="dxa"/>
            <w:shd w:val="clear" w:color="auto" w:fill="D9E2F3" w:themeFill="accent1" w:themeFillTint="33"/>
            <w:vAlign w:val="center"/>
          </w:tcPr>
          <w:p w14:paraId="35B70E6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Doubravník</w:t>
            </w:r>
          </w:p>
        </w:tc>
        <w:tc>
          <w:tcPr>
            <w:tcW w:w="866" w:type="dxa"/>
            <w:vAlign w:val="center"/>
          </w:tcPr>
          <w:p w14:paraId="4AB0488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691</w:t>
            </w:r>
          </w:p>
        </w:tc>
        <w:tc>
          <w:tcPr>
            <w:tcW w:w="1449" w:type="dxa"/>
            <w:vAlign w:val="center"/>
          </w:tcPr>
          <w:p w14:paraId="67DC3FD5"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19</w:t>
            </w:r>
          </w:p>
        </w:tc>
        <w:tc>
          <w:tcPr>
            <w:tcW w:w="1871" w:type="dxa"/>
            <w:vAlign w:val="center"/>
          </w:tcPr>
          <w:p w14:paraId="0789BCD4"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2,7 %</w:t>
            </w:r>
          </w:p>
        </w:tc>
        <w:tc>
          <w:tcPr>
            <w:tcW w:w="554" w:type="dxa"/>
            <w:vAlign w:val="center"/>
          </w:tcPr>
          <w:p w14:paraId="4A1DBA73"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7</w:t>
            </w:r>
          </w:p>
        </w:tc>
        <w:tc>
          <w:tcPr>
            <w:tcW w:w="554" w:type="dxa"/>
            <w:vAlign w:val="center"/>
          </w:tcPr>
          <w:p w14:paraId="7186B8C6"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0</w:t>
            </w:r>
          </w:p>
        </w:tc>
        <w:tc>
          <w:tcPr>
            <w:tcW w:w="736" w:type="dxa"/>
            <w:vAlign w:val="center"/>
          </w:tcPr>
          <w:p w14:paraId="586B6C74"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7</w:t>
            </w:r>
          </w:p>
        </w:tc>
        <w:tc>
          <w:tcPr>
            <w:tcW w:w="554" w:type="dxa"/>
            <w:vAlign w:val="center"/>
          </w:tcPr>
          <w:p w14:paraId="2C2C86F8"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9</w:t>
            </w:r>
          </w:p>
        </w:tc>
        <w:tc>
          <w:tcPr>
            <w:tcW w:w="419" w:type="dxa"/>
            <w:vAlign w:val="center"/>
          </w:tcPr>
          <w:p w14:paraId="43428FFE"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3</w:t>
            </w:r>
          </w:p>
        </w:tc>
        <w:tc>
          <w:tcPr>
            <w:tcW w:w="826" w:type="dxa"/>
            <w:vAlign w:val="center"/>
          </w:tcPr>
          <w:p w14:paraId="6B9ACA14"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12</w:t>
            </w:r>
          </w:p>
        </w:tc>
      </w:tr>
      <w:tr w:rsidR="00E55F93" w:rsidRPr="00CE357F" w14:paraId="6273B5E7" w14:textId="77777777" w:rsidTr="00A55B4C">
        <w:trPr>
          <w:trHeight w:val="204"/>
        </w:trPr>
        <w:tc>
          <w:tcPr>
            <w:tcW w:w="1233" w:type="dxa"/>
            <w:shd w:val="clear" w:color="auto" w:fill="D9E2F3" w:themeFill="accent1" w:themeFillTint="33"/>
            <w:vAlign w:val="center"/>
          </w:tcPr>
          <w:p w14:paraId="4770816A"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Malhostovice</w:t>
            </w:r>
          </w:p>
        </w:tc>
        <w:tc>
          <w:tcPr>
            <w:tcW w:w="866" w:type="dxa"/>
            <w:vAlign w:val="center"/>
          </w:tcPr>
          <w:p w14:paraId="4221A1AA"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823</w:t>
            </w:r>
          </w:p>
        </w:tc>
        <w:tc>
          <w:tcPr>
            <w:tcW w:w="1449" w:type="dxa"/>
            <w:vAlign w:val="center"/>
          </w:tcPr>
          <w:p w14:paraId="1F43CEA7"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21</w:t>
            </w:r>
          </w:p>
        </w:tc>
        <w:tc>
          <w:tcPr>
            <w:tcW w:w="1871" w:type="dxa"/>
            <w:vAlign w:val="center"/>
          </w:tcPr>
          <w:p w14:paraId="075B929F"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2,6 %</w:t>
            </w:r>
          </w:p>
        </w:tc>
        <w:tc>
          <w:tcPr>
            <w:tcW w:w="554" w:type="dxa"/>
            <w:vAlign w:val="center"/>
          </w:tcPr>
          <w:p w14:paraId="5F1488D8"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10</w:t>
            </w:r>
          </w:p>
        </w:tc>
        <w:tc>
          <w:tcPr>
            <w:tcW w:w="554" w:type="dxa"/>
            <w:vAlign w:val="center"/>
          </w:tcPr>
          <w:p w14:paraId="31D2B151"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w:t>
            </w:r>
          </w:p>
        </w:tc>
        <w:tc>
          <w:tcPr>
            <w:tcW w:w="736" w:type="dxa"/>
            <w:vAlign w:val="center"/>
          </w:tcPr>
          <w:p w14:paraId="7AE94B03"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12</w:t>
            </w:r>
          </w:p>
        </w:tc>
        <w:tc>
          <w:tcPr>
            <w:tcW w:w="554" w:type="dxa"/>
            <w:vAlign w:val="center"/>
          </w:tcPr>
          <w:p w14:paraId="62EFA314"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7</w:t>
            </w:r>
          </w:p>
        </w:tc>
        <w:tc>
          <w:tcPr>
            <w:tcW w:w="419" w:type="dxa"/>
            <w:vAlign w:val="center"/>
          </w:tcPr>
          <w:p w14:paraId="1E50332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w:t>
            </w:r>
          </w:p>
        </w:tc>
        <w:tc>
          <w:tcPr>
            <w:tcW w:w="826" w:type="dxa"/>
            <w:vAlign w:val="center"/>
          </w:tcPr>
          <w:p w14:paraId="05C7F0F6"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9</w:t>
            </w:r>
          </w:p>
        </w:tc>
      </w:tr>
      <w:tr w:rsidR="00E55F93" w:rsidRPr="00CE357F" w14:paraId="4BE3FAA7" w14:textId="77777777" w:rsidTr="00A55B4C">
        <w:trPr>
          <w:trHeight w:val="204"/>
        </w:trPr>
        <w:tc>
          <w:tcPr>
            <w:tcW w:w="1233" w:type="dxa"/>
            <w:shd w:val="clear" w:color="auto" w:fill="D9E2F3" w:themeFill="accent1" w:themeFillTint="33"/>
            <w:vAlign w:val="center"/>
          </w:tcPr>
          <w:p w14:paraId="0C16430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Lažánky</w:t>
            </w:r>
          </w:p>
        </w:tc>
        <w:tc>
          <w:tcPr>
            <w:tcW w:w="866" w:type="dxa"/>
            <w:vAlign w:val="center"/>
          </w:tcPr>
          <w:p w14:paraId="4D160A6E"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603</w:t>
            </w:r>
          </w:p>
        </w:tc>
        <w:tc>
          <w:tcPr>
            <w:tcW w:w="1449" w:type="dxa"/>
            <w:vAlign w:val="center"/>
          </w:tcPr>
          <w:p w14:paraId="619B0237"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15</w:t>
            </w:r>
          </w:p>
        </w:tc>
        <w:tc>
          <w:tcPr>
            <w:tcW w:w="1871" w:type="dxa"/>
            <w:vAlign w:val="center"/>
          </w:tcPr>
          <w:p w14:paraId="12B0D32C"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2,5 %</w:t>
            </w:r>
          </w:p>
        </w:tc>
        <w:tc>
          <w:tcPr>
            <w:tcW w:w="554" w:type="dxa"/>
            <w:vAlign w:val="center"/>
          </w:tcPr>
          <w:p w14:paraId="24A1F4A3"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13</w:t>
            </w:r>
          </w:p>
        </w:tc>
        <w:tc>
          <w:tcPr>
            <w:tcW w:w="554" w:type="dxa"/>
            <w:vAlign w:val="center"/>
          </w:tcPr>
          <w:p w14:paraId="7432C6C9"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0</w:t>
            </w:r>
          </w:p>
        </w:tc>
        <w:tc>
          <w:tcPr>
            <w:tcW w:w="736" w:type="dxa"/>
            <w:vAlign w:val="center"/>
          </w:tcPr>
          <w:p w14:paraId="5B01085A"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13</w:t>
            </w:r>
          </w:p>
        </w:tc>
        <w:tc>
          <w:tcPr>
            <w:tcW w:w="554" w:type="dxa"/>
            <w:vAlign w:val="center"/>
          </w:tcPr>
          <w:p w14:paraId="51AA3DEF"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w:t>
            </w:r>
          </w:p>
        </w:tc>
        <w:tc>
          <w:tcPr>
            <w:tcW w:w="419" w:type="dxa"/>
            <w:vAlign w:val="center"/>
          </w:tcPr>
          <w:p w14:paraId="0B16E07B"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0</w:t>
            </w:r>
          </w:p>
        </w:tc>
        <w:tc>
          <w:tcPr>
            <w:tcW w:w="826" w:type="dxa"/>
            <w:vAlign w:val="center"/>
          </w:tcPr>
          <w:p w14:paraId="07AE7C52"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w:t>
            </w:r>
          </w:p>
        </w:tc>
      </w:tr>
      <w:tr w:rsidR="00E55F93" w:rsidRPr="00CE357F" w14:paraId="29D9D44A" w14:textId="77777777" w:rsidTr="00A55B4C">
        <w:trPr>
          <w:trHeight w:val="204"/>
        </w:trPr>
        <w:tc>
          <w:tcPr>
            <w:tcW w:w="1233" w:type="dxa"/>
            <w:shd w:val="clear" w:color="auto" w:fill="D9E2F3" w:themeFill="accent1" w:themeFillTint="33"/>
            <w:vAlign w:val="center"/>
          </w:tcPr>
          <w:p w14:paraId="0413C099"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Drásov</w:t>
            </w:r>
          </w:p>
        </w:tc>
        <w:tc>
          <w:tcPr>
            <w:tcW w:w="866" w:type="dxa"/>
            <w:vAlign w:val="center"/>
          </w:tcPr>
          <w:p w14:paraId="04D05E9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1 555</w:t>
            </w:r>
          </w:p>
        </w:tc>
        <w:tc>
          <w:tcPr>
            <w:tcW w:w="1449" w:type="dxa"/>
            <w:vAlign w:val="center"/>
          </w:tcPr>
          <w:p w14:paraId="48C97263"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33</w:t>
            </w:r>
          </w:p>
        </w:tc>
        <w:tc>
          <w:tcPr>
            <w:tcW w:w="1871" w:type="dxa"/>
            <w:vAlign w:val="center"/>
          </w:tcPr>
          <w:p w14:paraId="73362E42"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2,1 %</w:t>
            </w:r>
          </w:p>
        </w:tc>
        <w:tc>
          <w:tcPr>
            <w:tcW w:w="554" w:type="dxa"/>
            <w:vAlign w:val="center"/>
          </w:tcPr>
          <w:p w14:paraId="00998235"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14</w:t>
            </w:r>
          </w:p>
        </w:tc>
        <w:tc>
          <w:tcPr>
            <w:tcW w:w="554" w:type="dxa"/>
            <w:vAlign w:val="center"/>
          </w:tcPr>
          <w:p w14:paraId="1C24D1D8"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736" w:type="dxa"/>
            <w:vAlign w:val="center"/>
          </w:tcPr>
          <w:p w14:paraId="4B9313DA"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15</w:t>
            </w:r>
          </w:p>
        </w:tc>
        <w:tc>
          <w:tcPr>
            <w:tcW w:w="554" w:type="dxa"/>
            <w:vAlign w:val="center"/>
          </w:tcPr>
          <w:p w14:paraId="646D6301"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14</w:t>
            </w:r>
          </w:p>
        </w:tc>
        <w:tc>
          <w:tcPr>
            <w:tcW w:w="419" w:type="dxa"/>
            <w:vAlign w:val="center"/>
          </w:tcPr>
          <w:p w14:paraId="537C0690"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4</w:t>
            </w:r>
          </w:p>
        </w:tc>
        <w:tc>
          <w:tcPr>
            <w:tcW w:w="826" w:type="dxa"/>
            <w:vAlign w:val="center"/>
          </w:tcPr>
          <w:p w14:paraId="58149D0D"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18</w:t>
            </w:r>
          </w:p>
        </w:tc>
      </w:tr>
      <w:tr w:rsidR="00E55F93" w:rsidRPr="00CE357F" w14:paraId="1BE7D533" w14:textId="77777777" w:rsidTr="00A55B4C">
        <w:trPr>
          <w:trHeight w:val="204"/>
        </w:trPr>
        <w:tc>
          <w:tcPr>
            <w:tcW w:w="1233" w:type="dxa"/>
            <w:shd w:val="clear" w:color="auto" w:fill="D9E2F3" w:themeFill="accent1" w:themeFillTint="33"/>
            <w:vAlign w:val="center"/>
          </w:tcPr>
          <w:p w14:paraId="24B1E92F"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Předklášteří</w:t>
            </w:r>
          </w:p>
        </w:tc>
        <w:tc>
          <w:tcPr>
            <w:tcW w:w="866" w:type="dxa"/>
            <w:vAlign w:val="center"/>
          </w:tcPr>
          <w:p w14:paraId="584B82C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1 179</w:t>
            </w:r>
          </w:p>
        </w:tc>
        <w:tc>
          <w:tcPr>
            <w:tcW w:w="1449" w:type="dxa"/>
            <w:vAlign w:val="center"/>
          </w:tcPr>
          <w:p w14:paraId="63E593F7"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25</w:t>
            </w:r>
          </w:p>
        </w:tc>
        <w:tc>
          <w:tcPr>
            <w:tcW w:w="1871" w:type="dxa"/>
            <w:vAlign w:val="center"/>
          </w:tcPr>
          <w:p w14:paraId="796A4BFC"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2,1 %</w:t>
            </w:r>
          </w:p>
        </w:tc>
        <w:tc>
          <w:tcPr>
            <w:tcW w:w="554" w:type="dxa"/>
            <w:vAlign w:val="center"/>
          </w:tcPr>
          <w:p w14:paraId="7DF1F9E7"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21</w:t>
            </w:r>
          </w:p>
        </w:tc>
        <w:tc>
          <w:tcPr>
            <w:tcW w:w="554" w:type="dxa"/>
            <w:vAlign w:val="center"/>
          </w:tcPr>
          <w:p w14:paraId="470D20C2"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0</w:t>
            </w:r>
          </w:p>
        </w:tc>
        <w:tc>
          <w:tcPr>
            <w:tcW w:w="736" w:type="dxa"/>
            <w:vAlign w:val="center"/>
          </w:tcPr>
          <w:p w14:paraId="5DAE8678"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21</w:t>
            </w:r>
          </w:p>
        </w:tc>
        <w:tc>
          <w:tcPr>
            <w:tcW w:w="554" w:type="dxa"/>
            <w:vAlign w:val="center"/>
          </w:tcPr>
          <w:p w14:paraId="0B699B30"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4</w:t>
            </w:r>
          </w:p>
        </w:tc>
        <w:tc>
          <w:tcPr>
            <w:tcW w:w="419" w:type="dxa"/>
            <w:vAlign w:val="center"/>
          </w:tcPr>
          <w:p w14:paraId="6D7341FF"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0</w:t>
            </w:r>
          </w:p>
        </w:tc>
        <w:tc>
          <w:tcPr>
            <w:tcW w:w="826" w:type="dxa"/>
            <w:vAlign w:val="center"/>
          </w:tcPr>
          <w:p w14:paraId="79B7D15D"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4</w:t>
            </w:r>
          </w:p>
        </w:tc>
      </w:tr>
      <w:tr w:rsidR="00E55F93" w:rsidRPr="00CE357F" w14:paraId="6DBEC63C" w14:textId="77777777" w:rsidTr="00A55B4C">
        <w:trPr>
          <w:trHeight w:val="204"/>
        </w:trPr>
        <w:tc>
          <w:tcPr>
            <w:tcW w:w="1233" w:type="dxa"/>
            <w:shd w:val="clear" w:color="auto" w:fill="D9E2F3" w:themeFill="accent1" w:themeFillTint="33"/>
            <w:vAlign w:val="center"/>
          </w:tcPr>
          <w:p w14:paraId="27EAB51C"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Lomnice</w:t>
            </w:r>
          </w:p>
        </w:tc>
        <w:tc>
          <w:tcPr>
            <w:tcW w:w="866" w:type="dxa"/>
            <w:vAlign w:val="center"/>
          </w:tcPr>
          <w:p w14:paraId="7232B3C2"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1 214</w:t>
            </w:r>
          </w:p>
        </w:tc>
        <w:tc>
          <w:tcPr>
            <w:tcW w:w="1449" w:type="dxa"/>
            <w:vAlign w:val="center"/>
          </w:tcPr>
          <w:p w14:paraId="1E270959"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13</w:t>
            </w:r>
          </w:p>
        </w:tc>
        <w:tc>
          <w:tcPr>
            <w:tcW w:w="1871" w:type="dxa"/>
            <w:vAlign w:val="center"/>
          </w:tcPr>
          <w:p w14:paraId="5A9E5626"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1,1 %</w:t>
            </w:r>
          </w:p>
        </w:tc>
        <w:tc>
          <w:tcPr>
            <w:tcW w:w="554" w:type="dxa"/>
            <w:vAlign w:val="center"/>
          </w:tcPr>
          <w:p w14:paraId="075BE033"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6</w:t>
            </w:r>
          </w:p>
        </w:tc>
        <w:tc>
          <w:tcPr>
            <w:tcW w:w="554" w:type="dxa"/>
            <w:vAlign w:val="center"/>
          </w:tcPr>
          <w:p w14:paraId="6AB4C9AF"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736" w:type="dxa"/>
            <w:vAlign w:val="center"/>
          </w:tcPr>
          <w:p w14:paraId="34AA3184"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7</w:t>
            </w:r>
          </w:p>
        </w:tc>
        <w:tc>
          <w:tcPr>
            <w:tcW w:w="554" w:type="dxa"/>
            <w:vAlign w:val="center"/>
          </w:tcPr>
          <w:p w14:paraId="003A60D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4</w:t>
            </w:r>
          </w:p>
        </w:tc>
        <w:tc>
          <w:tcPr>
            <w:tcW w:w="419" w:type="dxa"/>
            <w:vAlign w:val="center"/>
          </w:tcPr>
          <w:p w14:paraId="5AA28B79"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w:t>
            </w:r>
          </w:p>
        </w:tc>
        <w:tc>
          <w:tcPr>
            <w:tcW w:w="826" w:type="dxa"/>
            <w:vAlign w:val="center"/>
          </w:tcPr>
          <w:p w14:paraId="28CD799A"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6</w:t>
            </w:r>
          </w:p>
        </w:tc>
      </w:tr>
      <w:tr w:rsidR="00E55F93" w:rsidRPr="00CE357F" w14:paraId="4C967BFF" w14:textId="77777777" w:rsidTr="00A55B4C">
        <w:trPr>
          <w:trHeight w:val="204"/>
        </w:trPr>
        <w:tc>
          <w:tcPr>
            <w:tcW w:w="1233" w:type="dxa"/>
            <w:shd w:val="clear" w:color="auto" w:fill="D9E2F3" w:themeFill="accent1" w:themeFillTint="33"/>
            <w:vAlign w:val="center"/>
          </w:tcPr>
          <w:p w14:paraId="4AC7DBF7"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Nedvědice</w:t>
            </w:r>
          </w:p>
        </w:tc>
        <w:tc>
          <w:tcPr>
            <w:tcW w:w="866" w:type="dxa"/>
            <w:vAlign w:val="center"/>
          </w:tcPr>
          <w:p w14:paraId="704E696B"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1 121</w:t>
            </w:r>
          </w:p>
        </w:tc>
        <w:tc>
          <w:tcPr>
            <w:tcW w:w="1449" w:type="dxa"/>
            <w:vAlign w:val="center"/>
          </w:tcPr>
          <w:p w14:paraId="0B2F3425"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11</w:t>
            </w:r>
          </w:p>
        </w:tc>
        <w:tc>
          <w:tcPr>
            <w:tcW w:w="1871" w:type="dxa"/>
            <w:vAlign w:val="center"/>
          </w:tcPr>
          <w:p w14:paraId="2CF0361A" w14:textId="1C4ED0A7" w:rsidR="00E55F93" w:rsidRPr="00171B4D" w:rsidRDefault="00E55F93" w:rsidP="004A0C47">
            <w:pPr>
              <w:jc w:val="center"/>
              <w:rPr>
                <w:rFonts w:ascii="Arial Narrow" w:hAnsi="Arial Narrow"/>
                <w:sz w:val="18"/>
                <w:szCs w:val="18"/>
              </w:rPr>
            </w:pPr>
            <w:r w:rsidRPr="00171B4D">
              <w:rPr>
                <w:rFonts w:ascii="Arial Narrow" w:hAnsi="Arial Narrow"/>
                <w:sz w:val="18"/>
                <w:szCs w:val="18"/>
              </w:rPr>
              <w:t>1</w:t>
            </w:r>
            <w:r w:rsidR="002930C6">
              <w:rPr>
                <w:rFonts w:ascii="Arial Narrow" w:hAnsi="Arial Narrow"/>
                <w:sz w:val="18"/>
                <w:szCs w:val="18"/>
              </w:rPr>
              <w:t>,0</w:t>
            </w:r>
            <w:r w:rsidRPr="00171B4D">
              <w:rPr>
                <w:rFonts w:ascii="Arial Narrow" w:hAnsi="Arial Narrow"/>
                <w:sz w:val="18"/>
                <w:szCs w:val="18"/>
              </w:rPr>
              <w:t xml:space="preserve"> %</w:t>
            </w:r>
          </w:p>
        </w:tc>
        <w:tc>
          <w:tcPr>
            <w:tcW w:w="554" w:type="dxa"/>
            <w:vAlign w:val="center"/>
          </w:tcPr>
          <w:p w14:paraId="165841F0"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4</w:t>
            </w:r>
          </w:p>
        </w:tc>
        <w:tc>
          <w:tcPr>
            <w:tcW w:w="554" w:type="dxa"/>
            <w:vAlign w:val="center"/>
          </w:tcPr>
          <w:p w14:paraId="52E65A65"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736" w:type="dxa"/>
            <w:vAlign w:val="center"/>
          </w:tcPr>
          <w:p w14:paraId="6A26B619"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5</w:t>
            </w:r>
          </w:p>
        </w:tc>
        <w:tc>
          <w:tcPr>
            <w:tcW w:w="554" w:type="dxa"/>
            <w:vAlign w:val="center"/>
          </w:tcPr>
          <w:p w14:paraId="6A24BC04"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6</w:t>
            </w:r>
          </w:p>
        </w:tc>
        <w:tc>
          <w:tcPr>
            <w:tcW w:w="419" w:type="dxa"/>
            <w:vAlign w:val="center"/>
          </w:tcPr>
          <w:p w14:paraId="1E4DC49D"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0</w:t>
            </w:r>
          </w:p>
        </w:tc>
        <w:tc>
          <w:tcPr>
            <w:tcW w:w="826" w:type="dxa"/>
            <w:vAlign w:val="center"/>
          </w:tcPr>
          <w:p w14:paraId="287C88BD"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6</w:t>
            </w:r>
          </w:p>
        </w:tc>
      </w:tr>
      <w:tr w:rsidR="00E55F93" w:rsidRPr="00CE357F" w14:paraId="6889E532" w14:textId="77777777" w:rsidTr="00A55B4C">
        <w:trPr>
          <w:trHeight w:val="204"/>
        </w:trPr>
        <w:tc>
          <w:tcPr>
            <w:tcW w:w="1233" w:type="dxa"/>
            <w:shd w:val="clear" w:color="auto" w:fill="D9E2F3" w:themeFill="accent1" w:themeFillTint="33"/>
            <w:vAlign w:val="center"/>
          </w:tcPr>
          <w:p w14:paraId="441FCE76"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Dolní Loučky</w:t>
            </w:r>
          </w:p>
        </w:tc>
        <w:tc>
          <w:tcPr>
            <w:tcW w:w="866" w:type="dxa"/>
            <w:vAlign w:val="center"/>
          </w:tcPr>
          <w:p w14:paraId="13406321" w14:textId="77777777" w:rsidR="00E55F93" w:rsidRPr="00CE357F" w:rsidRDefault="00E55F93" w:rsidP="004A0C47">
            <w:pPr>
              <w:jc w:val="center"/>
              <w:rPr>
                <w:rFonts w:ascii="Arial Narrow" w:hAnsi="Arial Narrow"/>
                <w:sz w:val="18"/>
                <w:szCs w:val="18"/>
              </w:rPr>
            </w:pPr>
            <w:r w:rsidRPr="00CE357F">
              <w:rPr>
                <w:rFonts w:ascii="Arial Narrow" w:hAnsi="Arial Narrow"/>
                <w:sz w:val="18"/>
                <w:szCs w:val="18"/>
              </w:rPr>
              <w:t>1 116</w:t>
            </w:r>
          </w:p>
        </w:tc>
        <w:tc>
          <w:tcPr>
            <w:tcW w:w="1449" w:type="dxa"/>
            <w:vAlign w:val="center"/>
          </w:tcPr>
          <w:p w14:paraId="2827AFC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10</w:t>
            </w:r>
          </w:p>
        </w:tc>
        <w:tc>
          <w:tcPr>
            <w:tcW w:w="1871" w:type="dxa"/>
            <w:vAlign w:val="center"/>
          </w:tcPr>
          <w:p w14:paraId="158FF18A" w14:textId="77777777" w:rsidR="00E55F93" w:rsidRPr="00171B4D" w:rsidRDefault="00E55F93" w:rsidP="004A0C47">
            <w:pPr>
              <w:jc w:val="center"/>
              <w:rPr>
                <w:rFonts w:ascii="Arial Narrow" w:hAnsi="Arial Narrow"/>
                <w:sz w:val="18"/>
                <w:szCs w:val="18"/>
              </w:rPr>
            </w:pPr>
            <w:r w:rsidRPr="00171B4D">
              <w:rPr>
                <w:rFonts w:ascii="Arial Narrow" w:hAnsi="Arial Narrow"/>
                <w:sz w:val="18"/>
                <w:szCs w:val="18"/>
              </w:rPr>
              <w:t>0,9 %</w:t>
            </w:r>
          </w:p>
        </w:tc>
        <w:tc>
          <w:tcPr>
            <w:tcW w:w="554" w:type="dxa"/>
            <w:vAlign w:val="center"/>
          </w:tcPr>
          <w:p w14:paraId="4E31F919"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2</w:t>
            </w:r>
          </w:p>
        </w:tc>
        <w:tc>
          <w:tcPr>
            <w:tcW w:w="554" w:type="dxa"/>
            <w:vAlign w:val="center"/>
          </w:tcPr>
          <w:p w14:paraId="6E2E163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736" w:type="dxa"/>
            <w:vAlign w:val="center"/>
          </w:tcPr>
          <w:p w14:paraId="7917FA0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3</w:t>
            </w:r>
          </w:p>
        </w:tc>
        <w:tc>
          <w:tcPr>
            <w:tcW w:w="554" w:type="dxa"/>
            <w:vAlign w:val="center"/>
          </w:tcPr>
          <w:p w14:paraId="27E0A11C"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6</w:t>
            </w:r>
          </w:p>
        </w:tc>
        <w:tc>
          <w:tcPr>
            <w:tcW w:w="419" w:type="dxa"/>
            <w:vAlign w:val="center"/>
          </w:tcPr>
          <w:p w14:paraId="6F9187A9"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1</w:t>
            </w:r>
          </w:p>
        </w:tc>
        <w:tc>
          <w:tcPr>
            <w:tcW w:w="826" w:type="dxa"/>
            <w:vAlign w:val="center"/>
          </w:tcPr>
          <w:p w14:paraId="3D0E4C17"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7</w:t>
            </w:r>
          </w:p>
        </w:tc>
      </w:tr>
    </w:tbl>
    <w:p w14:paraId="0D2A9D03" w14:textId="77777777" w:rsidR="00E55F93" w:rsidRPr="00CE357F" w:rsidRDefault="00E55F93" w:rsidP="00E55F93">
      <w:pPr>
        <w:spacing w:after="240" w:line="276" w:lineRule="auto"/>
        <w:rPr>
          <w:rFonts w:ascii="Arial Narrow" w:hAnsi="Arial Narrow"/>
          <w:color w:val="000000"/>
          <w:sz w:val="20"/>
          <w:szCs w:val="20"/>
          <w:lang w:eastAsia="cs-CZ"/>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Tabulka: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538F4C77" w14:textId="2F6BD683" w:rsidR="00E55F93" w:rsidRPr="00CE357F" w:rsidRDefault="00E55F93" w:rsidP="00E55F93">
      <w:pPr>
        <w:spacing w:line="276" w:lineRule="auto"/>
        <w:jc w:val="both"/>
        <w:rPr>
          <w:rFonts w:ascii="Arial Narrow" w:hAnsi="Arial Narrow"/>
          <w:b/>
          <w:bCs/>
          <w:sz w:val="20"/>
          <w:szCs w:val="20"/>
        </w:rPr>
      </w:pPr>
      <w:bookmarkStart w:id="798" w:name="_Toc94443819"/>
      <w:bookmarkStart w:id="799" w:name="_Toc136428972"/>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128</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 xml:space="preserve">Podíl osob s jinou než českou státní příslušností na celkovém počtu obyvatel </w:t>
      </w:r>
      <w:r w:rsidR="00F951BF">
        <w:rPr>
          <w:rFonts w:ascii="Arial Narrow" w:hAnsi="Arial Narrow"/>
          <w:b/>
          <w:bCs/>
          <w:sz w:val="20"/>
          <w:szCs w:val="20"/>
        </w:rPr>
        <w:t xml:space="preserve">vybraných obcí </w:t>
      </w:r>
      <w:r w:rsidRPr="00CE357F">
        <w:rPr>
          <w:rFonts w:ascii="Arial Narrow" w:hAnsi="Arial Narrow"/>
          <w:b/>
          <w:bCs/>
          <w:sz w:val="20"/>
          <w:szCs w:val="20"/>
        </w:rPr>
        <w:t>k 1. 1. 2022</w:t>
      </w:r>
      <w:bookmarkEnd w:id="798"/>
      <w:bookmarkEnd w:id="799"/>
    </w:p>
    <w:p w14:paraId="3B7556C2" w14:textId="77777777" w:rsidR="00E55F93" w:rsidRPr="00CE357F" w:rsidRDefault="00E55F93" w:rsidP="00E55F93">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29D37807" wp14:editId="12129B89">
            <wp:extent cx="5760720" cy="2476500"/>
            <wp:effectExtent l="0" t="0" r="11430" b="0"/>
            <wp:docPr id="2145" name="Graf 2145">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F8E2F0A" w14:textId="77777777" w:rsidR="00E55F93" w:rsidRPr="00CE357F" w:rsidRDefault="00E55F93" w:rsidP="00E55F93">
      <w:pPr>
        <w:spacing w:after="240"/>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2CAF4EF4" w14:textId="77777777" w:rsidR="00E55F93" w:rsidRPr="00CE357F" w:rsidRDefault="00E55F93" w:rsidP="00E55F93">
      <w:pPr>
        <w:spacing w:line="276" w:lineRule="auto"/>
        <w:rPr>
          <w:rFonts w:ascii="Arial Narrow" w:hAnsi="Arial Narrow"/>
          <w:b/>
          <w:bCs/>
          <w:color w:val="C00000"/>
        </w:rPr>
      </w:pPr>
      <w:r w:rsidRPr="00CE357F">
        <w:rPr>
          <w:rFonts w:ascii="Arial Narrow" w:hAnsi="Arial Narrow"/>
          <w:b/>
          <w:bCs/>
        </w:rPr>
        <w:t>Osoby s jinou než českou státní příslušnost</w:t>
      </w:r>
      <w:r>
        <w:rPr>
          <w:rFonts w:ascii="Arial Narrow" w:hAnsi="Arial Narrow"/>
          <w:b/>
          <w:bCs/>
        </w:rPr>
        <w:t>í v ORP Tišnov k datu 1. 1. 2023</w:t>
      </w:r>
    </w:p>
    <w:p w14:paraId="5C74A295" w14:textId="77777777" w:rsidR="00E55F93" w:rsidRPr="00CE357F" w:rsidRDefault="00E55F93" w:rsidP="00E55F93">
      <w:pPr>
        <w:spacing w:line="276" w:lineRule="auto"/>
        <w:rPr>
          <w:rFonts w:ascii="Arial Narrow" w:hAnsi="Arial Narrow"/>
          <w:b/>
          <w:bCs/>
        </w:rPr>
      </w:pPr>
    </w:p>
    <w:p w14:paraId="018E13F6" w14:textId="757516F2" w:rsidR="00E55F93" w:rsidRPr="00CE357F" w:rsidRDefault="00E55F93" w:rsidP="00E55F93">
      <w:pPr>
        <w:spacing w:after="120" w:line="276" w:lineRule="auto"/>
        <w:jc w:val="both"/>
        <w:rPr>
          <w:rFonts w:ascii="Arial Narrow" w:hAnsi="Arial Narrow"/>
          <w:color w:val="000000"/>
        </w:rPr>
      </w:pPr>
      <w:r w:rsidRPr="00CE357F">
        <w:rPr>
          <w:rFonts w:ascii="Arial Narrow" w:hAnsi="Arial Narrow"/>
          <w:color w:val="000000"/>
        </w:rPr>
        <w:t>V O</w:t>
      </w:r>
      <w:r>
        <w:rPr>
          <w:rFonts w:ascii="Arial Narrow" w:hAnsi="Arial Narrow"/>
          <w:color w:val="000000"/>
        </w:rPr>
        <w:t>RP Tišnov žilo k datu 1. 1. 2023 celkem 1 549</w:t>
      </w:r>
      <w:r w:rsidRPr="00CE357F">
        <w:rPr>
          <w:rFonts w:ascii="Arial Narrow" w:hAnsi="Arial Narrow"/>
          <w:color w:val="000000"/>
        </w:rPr>
        <w:t xml:space="preserve"> osob s jinou než českou státní</w:t>
      </w:r>
      <w:r>
        <w:rPr>
          <w:rFonts w:ascii="Arial Narrow" w:hAnsi="Arial Narrow"/>
          <w:color w:val="000000"/>
        </w:rPr>
        <w:t xml:space="preserve"> příslušností, což bylo zhruba </w:t>
      </w:r>
      <w:r w:rsidR="00F951BF">
        <w:rPr>
          <w:rFonts w:ascii="Arial Narrow" w:hAnsi="Arial Narrow"/>
          <w:color w:val="000000"/>
        </w:rPr>
        <w:br/>
      </w:r>
      <w:r>
        <w:rPr>
          <w:rFonts w:ascii="Arial Narrow" w:hAnsi="Arial Narrow"/>
          <w:color w:val="000000"/>
        </w:rPr>
        <w:t>4,</w:t>
      </w:r>
      <w:r w:rsidR="00CD4CCC">
        <w:rPr>
          <w:rFonts w:ascii="Arial Narrow" w:hAnsi="Arial Narrow"/>
          <w:color w:val="000000"/>
        </w:rPr>
        <w:t>75</w:t>
      </w:r>
      <w:r w:rsidRPr="00CE357F">
        <w:rPr>
          <w:rFonts w:ascii="Arial Narrow" w:hAnsi="Arial Narrow"/>
          <w:color w:val="000000"/>
        </w:rPr>
        <w:t xml:space="preserve"> % všech obyvat</w:t>
      </w:r>
      <w:r>
        <w:rPr>
          <w:rFonts w:ascii="Arial Narrow" w:hAnsi="Arial Narrow"/>
          <w:color w:val="000000"/>
        </w:rPr>
        <w:t>el ORP Tišnov. Více než tři čtvrtiny (77,3</w:t>
      </w:r>
      <w:r w:rsidRPr="00CE357F">
        <w:rPr>
          <w:rFonts w:ascii="Arial Narrow" w:hAnsi="Arial Narrow"/>
          <w:color w:val="000000"/>
        </w:rPr>
        <w:t xml:space="preserve"> %) všech osob s jinou než českou státní příslušností</w:t>
      </w:r>
      <w:r>
        <w:rPr>
          <w:rFonts w:ascii="Arial Narrow" w:hAnsi="Arial Narrow"/>
          <w:color w:val="000000"/>
        </w:rPr>
        <w:t xml:space="preserve"> na území OPR Tišnov měl</w:t>
      </w:r>
      <w:r w:rsidR="00F951BF">
        <w:rPr>
          <w:rFonts w:ascii="Arial Narrow" w:hAnsi="Arial Narrow"/>
          <w:color w:val="000000"/>
        </w:rPr>
        <w:t>o</w:t>
      </w:r>
      <w:r>
        <w:rPr>
          <w:rFonts w:ascii="Arial Narrow" w:hAnsi="Arial Narrow"/>
          <w:color w:val="000000"/>
        </w:rPr>
        <w:t xml:space="preserve"> přechodný pobyt</w:t>
      </w:r>
      <w:r w:rsidR="00F951BF">
        <w:rPr>
          <w:rFonts w:ascii="Arial Narrow" w:hAnsi="Arial Narrow"/>
          <w:color w:val="000000"/>
        </w:rPr>
        <w:t xml:space="preserve">, </w:t>
      </w:r>
      <w:r>
        <w:rPr>
          <w:rFonts w:ascii="Arial Narrow" w:hAnsi="Arial Narrow"/>
          <w:color w:val="000000"/>
        </w:rPr>
        <w:t>22,7</w:t>
      </w:r>
      <w:r w:rsidRPr="00CE357F">
        <w:rPr>
          <w:rFonts w:ascii="Arial Narrow" w:hAnsi="Arial Narrow"/>
          <w:color w:val="000000"/>
        </w:rPr>
        <w:t xml:space="preserve"> % osob s jinou než českou státní </w:t>
      </w:r>
      <w:r>
        <w:rPr>
          <w:rFonts w:ascii="Arial Narrow" w:hAnsi="Arial Narrow"/>
          <w:color w:val="000000"/>
        </w:rPr>
        <w:t>příslušností pak pobyt trvalý</w:t>
      </w:r>
      <w:r w:rsidRPr="00CE357F">
        <w:rPr>
          <w:rFonts w:ascii="Arial Narrow" w:hAnsi="Arial Narrow"/>
          <w:color w:val="000000"/>
        </w:rPr>
        <w:t>. Dět</w:t>
      </w:r>
      <w:r>
        <w:rPr>
          <w:rFonts w:ascii="Arial Narrow" w:hAnsi="Arial Narrow"/>
          <w:color w:val="000000"/>
        </w:rPr>
        <w:t>i do 15 let tvořily k 1. 1. 2023 celkem 22</w:t>
      </w:r>
      <w:r w:rsidRPr="00CE357F">
        <w:rPr>
          <w:rFonts w:ascii="Arial Narrow" w:hAnsi="Arial Narrow"/>
          <w:color w:val="000000"/>
        </w:rPr>
        <w:t xml:space="preserve">,6 % všech osob s jinou než českou státní příslušností na území ORP Tišnov.  </w:t>
      </w:r>
    </w:p>
    <w:p w14:paraId="42A07213" w14:textId="713D57B5" w:rsidR="00E55F93" w:rsidRPr="00CE357F" w:rsidRDefault="00E55F93" w:rsidP="00E55F93">
      <w:pPr>
        <w:spacing w:after="120" w:line="276" w:lineRule="auto"/>
        <w:jc w:val="both"/>
        <w:rPr>
          <w:rFonts w:ascii="Arial Narrow" w:hAnsi="Arial Narrow"/>
          <w:color w:val="000000"/>
        </w:rPr>
      </w:pPr>
      <w:r w:rsidRPr="00CE357F">
        <w:rPr>
          <w:rFonts w:ascii="Arial Narrow" w:hAnsi="Arial Narrow"/>
          <w:color w:val="000000"/>
        </w:rPr>
        <w:t>Nejvyšší podíl osob s jinou než českou státní příslušností na celkovém počtu oby</w:t>
      </w:r>
      <w:r>
        <w:rPr>
          <w:rFonts w:ascii="Arial Narrow" w:hAnsi="Arial Narrow"/>
          <w:color w:val="000000"/>
        </w:rPr>
        <w:t xml:space="preserve">vatel v dané obci byl v Lažánkách, kde tyto osoby tvořily </w:t>
      </w:r>
      <w:r w:rsidR="00CD4CCC">
        <w:rPr>
          <w:rFonts w:ascii="Arial Narrow" w:hAnsi="Arial Narrow"/>
          <w:color w:val="000000"/>
        </w:rPr>
        <w:t>30,8</w:t>
      </w:r>
      <w:r w:rsidRPr="00CE357F">
        <w:rPr>
          <w:rFonts w:ascii="Arial Narrow" w:hAnsi="Arial Narrow"/>
          <w:color w:val="000000"/>
        </w:rPr>
        <w:t xml:space="preserve"> % všech obyvatel. Druhý nejvyšší podíl osob s jinou než českou státní příslušnos</w:t>
      </w:r>
      <w:r>
        <w:rPr>
          <w:rFonts w:ascii="Arial Narrow" w:hAnsi="Arial Narrow"/>
          <w:color w:val="000000"/>
        </w:rPr>
        <w:t xml:space="preserve">tí byl evidován v obci Běleč, kde tyto osoby tvořily </w:t>
      </w:r>
      <w:r w:rsidR="00CD4CCC">
        <w:rPr>
          <w:rFonts w:ascii="Arial Narrow" w:hAnsi="Arial Narrow"/>
          <w:color w:val="000000"/>
        </w:rPr>
        <w:t>18</w:t>
      </w:r>
      <w:r>
        <w:rPr>
          <w:rFonts w:ascii="Arial Narrow" w:hAnsi="Arial Narrow"/>
          <w:color w:val="000000"/>
        </w:rPr>
        <w:t xml:space="preserve"> % všech obyvatel.</w:t>
      </w:r>
    </w:p>
    <w:p w14:paraId="15474F5A" w14:textId="2F77CB12" w:rsidR="00E55F93" w:rsidRPr="00E32FA2" w:rsidRDefault="00E55F93" w:rsidP="00E32FA2">
      <w:pPr>
        <w:shd w:val="clear" w:color="auto" w:fill="FFFFFF" w:themeFill="background1"/>
        <w:spacing w:after="120" w:line="276" w:lineRule="auto"/>
        <w:jc w:val="both"/>
        <w:rPr>
          <w:rFonts w:ascii="Arial Narrow" w:hAnsi="Arial Narrow"/>
          <w:color w:val="000000"/>
        </w:rPr>
      </w:pPr>
      <w:r>
        <w:rPr>
          <w:rFonts w:ascii="Arial Narrow" w:hAnsi="Arial Narrow"/>
          <w:color w:val="000000"/>
        </w:rPr>
        <w:t>V ORP Tišnov bylo k 1. 1. 2023 celkem 59 obcí, přičemž v 55</w:t>
      </w:r>
      <w:r w:rsidRPr="00CE357F">
        <w:rPr>
          <w:rFonts w:ascii="Arial Narrow" w:hAnsi="Arial Narrow"/>
          <w:color w:val="000000"/>
        </w:rPr>
        <w:t xml:space="preserve"> obcích se nacházela alespoň jedna osoba s jinou než českou státní příslušností. Z důvodu velkého množství dat proto dále pracujeme jen s obcemi, na jejichž území v dané době pobývalo 10 a více osob s jinou než českou státní příslušností.</w:t>
      </w:r>
      <w:r w:rsidR="00E32FA2">
        <w:rPr>
          <w:rFonts w:ascii="Arial Narrow" w:hAnsi="Arial Narrow"/>
          <w:color w:val="000000"/>
        </w:rPr>
        <w:t xml:space="preserve"> </w:t>
      </w:r>
      <w:r w:rsidRPr="00CE357F">
        <w:rPr>
          <w:rFonts w:ascii="Arial Narrow" w:hAnsi="Arial Narrow"/>
          <w:color w:val="000000"/>
        </w:rPr>
        <w:t xml:space="preserve">Počty osob s jinou než českou státní příslušností v daných obcích včetně rozdělení těchto osob podle pohlaví a </w:t>
      </w:r>
      <w:proofErr w:type="spellStart"/>
      <w:r w:rsidRPr="00CE357F">
        <w:rPr>
          <w:rFonts w:ascii="Arial Narrow" w:hAnsi="Arial Narrow"/>
          <w:color w:val="000000"/>
        </w:rPr>
        <w:t>věku</w:t>
      </w:r>
      <w:r w:rsidR="00E32FA2">
        <w:rPr>
          <w:rFonts w:ascii="Arial Narrow" w:hAnsi="Arial Narrow"/>
          <w:color w:val="000000"/>
        </w:rPr>
        <w:t>a</w:t>
      </w:r>
      <w:proofErr w:type="spellEnd"/>
      <w:r w:rsidR="00E32FA2">
        <w:rPr>
          <w:rFonts w:ascii="Arial Narrow" w:hAnsi="Arial Narrow"/>
          <w:color w:val="000000"/>
        </w:rPr>
        <w:t xml:space="preserve"> jejich podíl na celkovém počtu obyvatel</w:t>
      </w:r>
      <w:r w:rsidRPr="00CE357F">
        <w:rPr>
          <w:rFonts w:ascii="Arial Narrow" w:hAnsi="Arial Narrow"/>
          <w:color w:val="000000"/>
        </w:rPr>
        <w:t xml:space="preserve"> podrobně dokumentuj</w:t>
      </w:r>
      <w:r w:rsidR="00E32FA2">
        <w:rPr>
          <w:rFonts w:ascii="Arial Narrow" w:hAnsi="Arial Narrow"/>
          <w:color w:val="000000"/>
        </w:rPr>
        <w:t>í</w:t>
      </w:r>
      <w:r w:rsidRPr="00CE357F">
        <w:rPr>
          <w:rFonts w:ascii="Arial Narrow" w:hAnsi="Arial Narrow"/>
          <w:color w:val="000000"/>
        </w:rPr>
        <w:t xml:space="preserve"> následující tabulka</w:t>
      </w:r>
      <w:r w:rsidR="00E32FA2">
        <w:rPr>
          <w:rFonts w:ascii="Arial Narrow" w:hAnsi="Arial Narrow"/>
          <w:color w:val="000000"/>
        </w:rPr>
        <w:t xml:space="preserve"> č. 60 a graf č. 129</w:t>
      </w:r>
      <w:r w:rsidRPr="00CE357F">
        <w:rPr>
          <w:rFonts w:ascii="Arial Narrow" w:hAnsi="Arial Narrow"/>
          <w:color w:val="000000"/>
        </w:rPr>
        <w:t>.</w:t>
      </w:r>
      <w:r w:rsidRPr="00CE357F">
        <w:rPr>
          <w:rFonts w:ascii="Arial Narrow" w:hAnsi="Arial Narrow"/>
          <w:color w:val="000000"/>
        </w:rPr>
        <w:tab/>
        <w:t xml:space="preserve"> </w:t>
      </w:r>
    </w:p>
    <w:p w14:paraId="26428FE7" w14:textId="2F844D51" w:rsidR="00E55F93" w:rsidRPr="00CE357F" w:rsidRDefault="00E55F93" w:rsidP="00E55F93">
      <w:pPr>
        <w:jc w:val="both"/>
        <w:rPr>
          <w:rFonts w:ascii="Arial Narrow" w:hAnsi="Arial Narrow"/>
          <w:color w:val="000000"/>
        </w:rPr>
      </w:pPr>
      <w:bookmarkStart w:id="800" w:name="_Toc136429271"/>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60</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Tišnov v roce 202</w:t>
      </w:r>
      <w:r>
        <w:rPr>
          <w:rFonts w:ascii="Arial Narrow" w:eastAsia="Times New Roman" w:hAnsi="Arial Narrow" w:cs="Arial"/>
          <w:b/>
          <w:bCs/>
          <w:sz w:val="20"/>
          <w:szCs w:val="20"/>
          <w:lang w:eastAsia="cs-CZ"/>
        </w:rPr>
        <w:t>3</w:t>
      </w:r>
      <w:bookmarkEnd w:id="800"/>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420"/>
        <w:gridCol w:w="780"/>
        <w:gridCol w:w="1347"/>
        <w:gridCol w:w="1746"/>
        <w:gridCol w:w="551"/>
        <w:gridCol w:w="523"/>
        <w:gridCol w:w="717"/>
        <w:gridCol w:w="551"/>
        <w:gridCol w:w="498"/>
        <w:gridCol w:w="824"/>
      </w:tblGrid>
      <w:tr w:rsidR="00E55F93" w:rsidRPr="00CE357F" w14:paraId="6110ED08" w14:textId="77777777" w:rsidTr="7CC7BF57">
        <w:trPr>
          <w:trHeight w:val="204"/>
        </w:trPr>
        <w:tc>
          <w:tcPr>
            <w:tcW w:w="1420" w:type="dxa"/>
            <w:vMerge w:val="restart"/>
            <w:shd w:val="clear" w:color="auto" w:fill="D9E2F3" w:themeFill="accent1" w:themeFillTint="33"/>
            <w:vAlign w:val="center"/>
          </w:tcPr>
          <w:p w14:paraId="62975746"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780" w:type="dxa"/>
            <w:vMerge w:val="restart"/>
            <w:shd w:val="clear" w:color="auto" w:fill="D9E2F3" w:themeFill="accent1" w:themeFillTint="33"/>
            <w:vAlign w:val="center"/>
          </w:tcPr>
          <w:p w14:paraId="62FC07C5" w14:textId="77777777" w:rsidR="00E55F93" w:rsidRPr="00CE357F" w:rsidRDefault="00E55F93"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347" w:type="dxa"/>
            <w:vMerge w:val="restart"/>
            <w:shd w:val="clear" w:color="auto" w:fill="D9E2F3" w:themeFill="accent1" w:themeFillTint="33"/>
            <w:vAlign w:val="center"/>
          </w:tcPr>
          <w:p w14:paraId="79C30D9E" w14:textId="77777777" w:rsidR="00E55F93" w:rsidRPr="00CE357F" w:rsidRDefault="00E55F93" w:rsidP="004A0C47">
            <w:pPr>
              <w:jc w:val="center"/>
              <w:rPr>
                <w:rFonts w:ascii="Arial Narrow" w:hAnsi="Arial Narrow"/>
                <w:sz w:val="18"/>
                <w:szCs w:val="18"/>
              </w:rPr>
            </w:pPr>
            <w:r w:rsidRPr="00CE357F">
              <w:rPr>
                <w:rFonts w:ascii="Arial Narrow" w:hAnsi="Arial Narrow"/>
                <w:color w:val="000000"/>
                <w:sz w:val="18"/>
                <w:szCs w:val="18"/>
              </w:rPr>
              <w:t>Osoby s jinou než českou státní příslušností</w:t>
            </w:r>
            <w:r w:rsidRPr="00CE357F">
              <w:rPr>
                <w:rFonts w:ascii="Arial Narrow" w:eastAsia="Times New Roman" w:hAnsi="Arial Narrow" w:cs="Arial"/>
                <w:sz w:val="18"/>
                <w:szCs w:val="18"/>
                <w:lang w:eastAsia="cs-CZ"/>
              </w:rPr>
              <w:t xml:space="preserve"> celkem</w:t>
            </w:r>
          </w:p>
        </w:tc>
        <w:tc>
          <w:tcPr>
            <w:tcW w:w="1746" w:type="dxa"/>
            <w:vMerge w:val="restart"/>
            <w:shd w:val="clear" w:color="auto" w:fill="D9E2F3" w:themeFill="accent1" w:themeFillTint="33"/>
            <w:vAlign w:val="center"/>
          </w:tcPr>
          <w:p w14:paraId="4AEE6CAB" w14:textId="77777777" w:rsidR="00E55F93" w:rsidRPr="00CE357F" w:rsidRDefault="00E55F93"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Podíl </w:t>
            </w:r>
            <w:r w:rsidRPr="00CE357F">
              <w:rPr>
                <w:rFonts w:ascii="Arial Narrow" w:hAnsi="Arial Narrow"/>
                <w:color w:val="000000"/>
                <w:sz w:val="18"/>
                <w:szCs w:val="18"/>
              </w:rPr>
              <w:t>osob s jinou než českou státní příslušností</w:t>
            </w:r>
            <w:r w:rsidRPr="00CE357F">
              <w:rPr>
                <w:rFonts w:ascii="Arial Narrow" w:eastAsia="Times New Roman" w:hAnsi="Arial Narrow" w:cs="Arial"/>
                <w:sz w:val="18"/>
                <w:szCs w:val="18"/>
                <w:lang w:eastAsia="cs-CZ"/>
              </w:rPr>
              <w:t xml:space="preserve"> na celkovém počtu obyvatel</w:t>
            </w:r>
          </w:p>
        </w:tc>
        <w:tc>
          <w:tcPr>
            <w:tcW w:w="1791" w:type="dxa"/>
            <w:gridSpan w:val="3"/>
            <w:shd w:val="clear" w:color="auto" w:fill="D9E2F3" w:themeFill="accent1" w:themeFillTint="33"/>
            <w:vAlign w:val="center"/>
          </w:tcPr>
          <w:p w14:paraId="37CBC925" w14:textId="77777777" w:rsidR="00E55F93" w:rsidRPr="00CE357F" w:rsidRDefault="00E55F93" w:rsidP="004A0C47">
            <w:pPr>
              <w:jc w:val="center"/>
              <w:rPr>
                <w:rFonts w:ascii="Arial Narrow" w:hAnsi="Arial Narrow"/>
                <w:b/>
                <w:bCs/>
                <w:sz w:val="18"/>
                <w:szCs w:val="18"/>
              </w:rPr>
            </w:pPr>
            <w:r w:rsidRPr="00CE357F">
              <w:rPr>
                <w:rFonts w:ascii="Arial Narrow" w:eastAsia="Times New Roman" w:hAnsi="Arial Narrow" w:cs="Arial"/>
                <w:b/>
                <w:bCs/>
                <w:sz w:val="18"/>
                <w:szCs w:val="18"/>
                <w:lang w:eastAsia="cs-CZ"/>
              </w:rPr>
              <w:t>Muži</w:t>
            </w:r>
          </w:p>
        </w:tc>
        <w:tc>
          <w:tcPr>
            <w:tcW w:w="1873" w:type="dxa"/>
            <w:gridSpan w:val="3"/>
            <w:shd w:val="clear" w:color="auto" w:fill="D9E2F3" w:themeFill="accent1" w:themeFillTint="33"/>
            <w:vAlign w:val="center"/>
          </w:tcPr>
          <w:p w14:paraId="1FF04EEF" w14:textId="77777777" w:rsidR="00E55F93" w:rsidRPr="00CE357F" w:rsidRDefault="00E55F93" w:rsidP="004A0C47">
            <w:pPr>
              <w:jc w:val="center"/>
              <w:rPr>
                <w:rFonts w:ascii="Arial Narrow" w:hAnsi="Arial Narrow"/>
                <w:b/>
                <w:bCs/>
                <w:sz w:val="18"/>
                <w:szCs w:val="18"/>
              </w:rPr>
            </w:pPr>
            <w:r w:rsidRPr="00CE357F">
              <w:rPr>
                <w:rFonts w:ascii="Arial Narrow" w:eastAsia="Times New Roman" w:hAnsi="Arial Narrow" w:cs="Arial"/>
                <w:b/>
                <w:bCs/>
                <w:sz w:val="18"/>
                <w:szCs w:val="18"/>
                <w:lang w:eastAsia="cs-CZ"/>
              </w:rPr>
              <w:t>Ženy</w:t>
            </w:r>
          </w:p>
        </w:tc>
      </w:tr>
      <w:tr w:rsidR="00E55F93" w:rsidRPr="00CE357F" w14:paraId="616330CC" w14:textId="77777777" w:rsidTr="7CC7BF57">
        <w:trPr>
          <w:trHeight w:val="563"/>
        </w:trPr>
        <w:tc>
          <w:tcPr>
            <w:tcW w:w="1420" w:type="dxa"/>
            <w:vMerge/>
            <w:vAlign w:val="center"/>
          </w:tcPr>
          <w:p w14:paraId="61622D50" w14:textId="77777777" w:rsidR="00E55F93" w:rsidRPr="00CE357F" w:rsidRDefault="00E55F93" w:rsidP="004A0C47">
            <w:pPr>
              <w:jc w:val="center"/>
              <w:rPr>
                <w:rFonts w:ascii="Arial Narrow" w:eastAsia="Times New Roman" w:hAnsi="Arial Narrow" w:cs="Arial"/>
                <w:sz w:val="18"/>
                <w:szCs w:val="18"/>
                <w:lang w:eastAsia="cs-CZ"/>
              </w:rPr>
            </w:pPr>
          </w:p>
        </w:tc>
        <w:tc>
          <w:tcPr>
            <w:tcW w:w="780" w:type="dxa"/>
            <w:vMerge/>
            <w:vAlign w:val="center"/>
          </w:tcPr>
          <w:p w14:paraId="0E713500" w14:textId="77777777" w:rsidR="00E55F93" w:rsidRPr="00CE357F" w:rsidRDefault="00E55F93" w:rsidP="004A0C47">
            <w:pPr>
              <w:jc w:val="center"/>
              <w:rPr>
                <w:rFonts w:ascii="Arial Narrow" w:eastAsia="Times New Roman" w:hAnsi="Arial Narrow" w:cs="Arial"/>
                <w:sz w:val="18"/>
                <w:szCs w:val="18"/>
                <w:lang w:eastAsia="cs-CZ"/>
              </w:rPr>
            </w:pPr>
          </w:p>
        </w:tc>
        <w:tc>
          <w:tcPr>
            <w:tcW w:w="1347" w:type="dxa"/>
            <w:vMerge/>
            <w:vAlign w:val="center"/>
          </w:tcPr>
          <w:p w14:paraId="280AF9CC" w14:textId="77777777" w:rsidR="00E55F93" w:rsidRPr="00CE357F" w:rsidRDefault="00E55F93" w:rsidP="004A0C47">
            <w:pPr>
              <w:jc w:val="center"/>
              <w:rPr>
                <w:rFonts w:ascii="Arial Narrow" w:eastAsia="Times New Roman" w:hAnsi="Arial Narrow" w:cs="Arial"/>
                <w:sz w:val="18"/>
                <w:szCs w:val="18"/>
                <w:lang w:eastAsia="cs-CZ"/>
              </w:rPr>
            </w:pPr>
          </w:p>
        </w:tc>
        <w:tc>
          <w:tcPr>
            <w:tcW w:w="1746" w:type="dxa"/>
            <w:vMerge/>
            <w:vAlign w:val="center"/>
          </w:tcPr>
          <w:p w14:paraId="481DD4CF" w14:textId="77777777" w:rsidR="00E55F93" w:rsidRPr="00CE357F" w:rsidRDefault="00E55F93" w:rsidP="004A0C47">
            <w:pPr>
              <w:jc w:val="center"/>
              <w:rPr>
                <w:rFonts w:ascii="Arial Narrow" w:eastAsia="Times New Roman" w:hAnsi="Arial Narrow" w:cs="Arial"/>
                <w:sz w:val="18"/>
                <w:szCs w:val="18"/>
                <w:lang w:eastAsia="cs-CZ"/>
              </w:rPr>
            </w:pPr>
          </w:p>
        </w:tc>
        <w:tc>
          <w:tcPr>
            <w:tcW w:w="551" w:type="dxa"/>
            <w:shd w:val="clear" w:color="auto" w:fill="D9E2F3" w:themeFill="accent1" w:themeFillTint="33"/>
            <w:vAlign w:val="center"/>
          </w:tcPr>
          <w:p w14:paraId="3B79F0E7"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23" w:type="dxa"/>
            <w:shd w:val="clear" w:color="auto" w:fill="D9E2F3" w:themeFill="accent1" w:themeFillTint="33"/>
            <w:vAlign w:val="center"/>
          </w:tcPr>
          <w:p w14:paraId="501B9061"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4C7EB77F"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51" w:type="dxa"/>
            <w:shd w:val="clear" w:color="auto" w:fill="D9E2F3" w:themeFill="accent1" w:themeFillTint="33"/>
            <w:vAlign w:val="center"/>
          </w:tcPr>
          <w:p w14:paraId="3452704F"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498" w:type="dxa"/>
            <w:shd w:val="clear" w:color="auto" w:fill="D9E2F3" w:themeFill="accent1" w:themeFillTint="33"/>
            <w:vAlign w:val="center"/>
          </w:tcPr>
          <w:p w14:paraId="59AB5320"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24" w:type="dxa"/>
            <w:shd w:val="clear" w:color="auto" w:fill="D9E2F3" w:themeFill="accent1" w:themeFillTint="33"/>
            <w:vAlign w:val="center"/>
          </w:tcPr>
          <w:p w14:paraId="1CA0D6F5" w14:textId="77777777" w:rsidR="00E55F93" w:rsidRPr="00CE357F" w:rsidRDefault="00E55F93"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932E72" w:rsidRPr="00F457FC" w14:paraId="7991A4A2" w14:textId="77777777" w:rsidTr="00BC1C0D">
        <w:trPr>
          <w:trHeight w:val="204"/>
        </w:trPr>
        <w:tc>
          <w:tcPr>
            <w:tcW w:w="1420" w:type="dxa"/>
            <w:shd w:val="clear" w:color="auto" w:fill="D9E2F3" w:themeFill="accent1" w:themeFillTint="33"/>
            <w:vAlign w:val="bottom"/>
          </w:tcPr>
          <w:p w14:paraId="3553DA0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Lažánky</w:t>
            </w:r>
          </w:p>
        </w:tc>
        <w:tc>
          <w:tcPr>
            <w:tcW w:w="780" w:type="dxa"/>
          </w:tcPr>
          <w:p w14:paraId="6CDF0E4F" w14:textId="75DDAE53" w:rsidR="00932E72" w:rsidRPr="00F457FC" w:rsidRDefault="00932E72" w:rsidP="00932E72">
            <w:pPr>
              <w:jc w:val="center"/>
              <w:rPr>
                <w:rFonts w:ascii="Arial Narrow" w:hAnsi="Arial Narrow"/>
                <w:sz w:val="20"/>
                <w:szCs w:val="20"/>
              </w:rPr>
            </w:pPr>
            <w:r w:rsidRPr="00F457FC">
              <w:rPr>
                <w:rFonts w:ascii="Arial Narrow" w:hAnsi="Arial Narrow"/>
                <w:sz w:val="20"/>
                <w:szCs w:val="20"/>
              </w:rPr>
              <w:t>1 045</w:t>
            </w:r>
          </w:p>
        </w:tc>
        <w:tc>
          <w:tcPr>
            <w:tcW w:w="1347" w:type="dxa"/>
          </w:tcPr>
          <w:p w14:paraId="4434E482" w14:textId="4081828C" w:rsidR="00932E72" w:rsidRPr="00F457FC" w:rsidRDefault="00932E72" w:rsidP="00932E72">
            <w:pPr>
              <w:jc w:val="center"/>
              <w:rPr>
                <w:rFonts w:ascii="Arial Narrow" w:hAnsi="Arial Narrow"/>
                <w:sz w:val="20"/>
                <w:szCs w:val="20"/>
              </w:rPr>
            </w:pPr>
            <w:r w:rsidRPr="00F457FC">
              <w:rPr>
                <w:rFonts w:ascii="Arial Narrow" w:hAnsi="Arial Narrow"/>
                <w:sz w:val="20"/>
                <w:szCs w:val="20"/>
              </w:rPr>
              <w:t xml:space="preserve">322  </w:t>
            </w:r>
          </w:p>
        </w:tc>
        <w:tc>
          <w:tcPr>
            <w:tcW w:w="1746" w:type="dxa"/>
          </w:tcPr>
          <w:p w14:paraId="3C2F3A26" w14:textId="3C509DAD" w:rsidR="00932E72" w:rsidRPr="00F457FC" w:rsidRDefault="00932E72" w:rsidP="00932E72">
            <w:pPr>
              <w:jc w:val="center"/>
              <w:rPr>
                <w:rFonts w:ascii="Arial Narrow" w:hAnsi="Arial Narrow"/>
                <w:b/>
                <w:bCs/>
                <w:color w:val="C00000"/>
                <w:sz w:val="20"/>
                <w:szCs w:val="20"/>
              </w:rPr>
            </w:pPr>
            <w:r w:rsidRPr="00F457FC">
              <w:rPr>
                <w:rFonts w:ascii="Arial Narrow" w:hAnsi="Arial Narrow"/>
                <w:b/>
                <w:bCs/>
                <w:color w:val="C00000"/>
                <w:sz w:val="20"/>
                <w:szCs w:val="20"/>
              </w:rPr>
              <w:t>30,8 %</w:t>
            </w:r>
          </w:p>
        </w:tc>
        <w:tc>
          <w:tcPr>
            <w:tcW w:w="551" w:type="dxa"/>
            <w:vAlign w:val="bottom"/>
          </w:tcPr>
          <w:p w14:paraId="7AD6A55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79</w:t>
            </w:r>
          </w:p>
        </w:tc>
        <w:tc>
          <w:tcPr>
            <w:tcW w:w="523" w:type="dxa"/>
            <w:vAlign w:val="bottom"/>
          </w:tcPr>
          <w:p w14:paraId="1792A74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45</w:t>
            </w:r>
          </w:p>
        </w:tc>
        <w:tc>
          <w:tcPr>
            <w:tcW w:w="717" w:type="dxa"/>
            <w:vAlign w:val="bottom"/>
          </w:tcPr>
          <w:p w14:paraId="7028BF3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124</w:t>
            </w:r>
          </w:p>
        </w:tc>
        <w:tc>
          <w:tcPr>
            <w:tcW w:w="551" w:type="dxa"/>
            <w:vAlign w:val="bottom"/>
          </w:tcPr>
          <w:p w14:paraId="663D5C9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144</w:t>
            </w:r>
          </w:p>
        </w:tc>
        <w:tc>
          <w:tcPr>
            <w:tcW w:w="498" w:type="dxa"/>
            <w:vAlign w:val="bottom"/>
          </w:tcPr>
          <w:p w14:paraId="5B15764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54</w:t>
            </w:r>
          </w:p>
        </w:tc>
        <w:tc>
          <w:tcPr>
            <w:tcW w:w="824" w:type="dxa"/>
            <w:vAlign w:val="bottom"/>
          </w:tcPr>
          <w:p w14:paraId="61684E5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198</w:t>
            </w:r>
          </w:p>
        </w:tc>
      </w:tr>
      <w:tr w:rsidR="00932E72" w:rsidRPr="00F457FC" w14:paraId="36AC1EBC" w14:textId="77777777" w:rsidTr="00BC1C0D">
        <w:trPr>
          <w:trHeight w:val="204"/>
        </w:trPr>
        <w:tc>
          <w:tcPr>
            <w:tcW w:w="1420" w:type="dxa"/>
            <w:shd w:val="clear" w:color="auto" w:fill="D9E2F3" w:themeFill="accent1" w:themeFillTint="33"/>
            <w:vAlign w:val="bottom"/>
          </w:tcPr>
          <w:p w14:paraId="6365DCE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Běleč</w:t>
            </w:r>
          </w:p>
        </w:tc>
        <w:tc>
          <w:tcPr>
            <w:tcW w:w="780" w:type="dxa"/>
          </w:tcPr>
          <w:p w14:paraId="55D95686" w14:textId="38B9286F" w:rsidR="00932E72" w:rsidRPr="00F457FC" w:rsidRDefault="00932E72" w:rsidP="00932E72">
            <w:pPr>
              <w:jc w:val="center"/>
              <w:rPr>
                <w:rFonts w:ascii="Arial Narrow" w:hAnsi="Arial Narrow"/>
                <w:sz w:val="20"/>
                <w:szCs w:val="20"/>
              </w:rPr>
            </w:pPr>
            <w:r w:rsidRPr="00F457FC">
              <w:rPr>
                <w:rFonts w:ascii="Arial Narrow" w:hAnsi="Arial Narrow"/>
                <w:sz w:val="20"/>
                <w:szCs w:val="20"/>
              </w:rPr>
              <w:t>228</w:t>
            </w:r>
          </w:p>
        </w:tc>
        <w:tc>
          <w:tcPr>
            <w:tcW w:w="1347" w:type="dxa"/>
          </w:tcPr>
          <w:p w14:paraId="0DD93823" w14:textId="67A3E1BD" w:rsidR="00932E72" w:rsidRPr="00F457FC" w:rsidRDefault="00932E72" w:rsidP="00932E72">
            <w:pPr>
              <w:jc w:val="center"/>
              <w:rPr>
                <w:rFonts w:ascii="Arial Narrow" w:hAnsi="Arial Narrow"/>
                <w:sz w:val="20"/>
                <w:szCs w:val="20"/>
              </w:rPr>
            </w:pPr>
            <w:r w:rsidRPr="00F457FC">
              <w:rPr>
                <w:rFonts w:ascii="Arial Narrow" w:hAnsi="Arial Narrow"/>
                <w:sz w:val="20"/>
                <w:szCs w:val="20"/>
              </w:rPr>
              <w:t>41</w:t>
            </w:r>
          </w:p>
        </w:tc>
        <w:tc>
          <w:tcPr>
            <w:tcW w:w="1746" w:type="dxa"/>
          </w:tcPr>
          <w:p w14:paraId="614B47F1" w14:textId="56E0660F" w:rsidR="00932E72" w:rsidRPr="00F457FC" w:rsidRDefault="00932E72" w:rsidP="00932E72">
            <w:pPr>
              <w:jc w:val="center"/>
              <w:rPr>
                <w:rFonts w:ascii="Arial Narrow" w:hAnsi="Arial Narrow"/>
                <w:b/>
                <w:bCs/>
                <w:color w:val="C00000"/>
                <w:sz w:val="20"/>
                <w:szCs w:val="20"/>
              </w:rPr>
            </w:pPr>
            <w:r w:rsidRPr="00F457FC">
              <w:rPr>
                <w:rFonts w:ascii="Arial Narrow" w:hAnsi="Arial Narrow"/>
                <w:b/>
                <w:bCs/>
                <w:color w:val="C00000"/>
                <w:sz w:val="20"/>
                <w:szCs w:val="20"/>
              </w:rPr>
              <w:t>18,0 %</w:t>
            </w:r>
          </w:p>
        </w:tc>
        <w:tc>
          <w:tcPr>
            <w:tcW w:w="551" w:type="dxa"/>
            <w:vAlign w:val="bottom"/>
          </w:tcPr>
          <w:p w14:paraId="2013CF5B"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13</w:t>
            </w:r>
          </w:p>
        </w:tc>
        <w:tc>
          <w:tcPr>
            <w:tcW w:w="523" w:type="dxa"/>
            <w:vAlign w:val="bottom"/>
          </w:tcPr>
          <w:p w14:paraId="330691A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w:t>
            </w:r>
          </w:p>
        </w:tc>
        <w:tc>
          <w:tcPr>
            <w:tcW w:w="717" w:type="dxa"/>
            <w:vAlign w:val="bottom"/>
          </w:tcPr>
          <w:p w14:paraId="1E0D907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18</w:t>
            </w:r>
          </w:p>
        </w:tc>
        <w:tc>
          <w:tcPr>
            <w:tcW w:w="551" w:type="dxa"/>
            <w:vAlign w:val="bottom"/>
          </w:tcPr>
          <w:p w14:paraId="096C5AA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19</w:t>
            </w:r>
          </w:p>
        </w:tc>
        <w:tc>
          <w:tcPr>
            <w:tcW w:w="498" w:type="dxa"/>
            <w:vAlign w:val="bottom"/>
          </w:tcPr>
          <w:p w14:paraId="1CDDC92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4</w:t>
            </w:r>
          </w:p>
        </w:tc>
        <w:tc>
          <w:tcPr>
            <w:tcW w:w="824" w:type="dxa"/>
            <w:vAlign w:val="bottom"/>
          </w:tcPr>
          <w:p w14:paraId="037B926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23</w:t>
            </w:r>
          </w:p>
        </w:tc>
      </w:tr>
      <w:tr w:rsidR="00932E72" w:rsidRPr="00F457FC" w14:paraId="1B9F2327" w14:textId="77777777" w:rsidTr="00932E72">
        <w:trPr>
          <w:trHeight w:val="204"/>
        </w:trPr>
        <w:tc>
          <w:tcPr>
            <w:tcW w:w="1420" w:type="dxa"/>
            <w:shd w:val="clear" w:color="auto" w:fill="D9E2F3" w:themeFill="accent1" w:themeFillTint="33"/>
            <w:vAlign w:val="bottom"/>
          </w:tcPr>
          <w:p w14:paraId="0423D74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Pernštejnské Jestřabí</w:t>
            </w:r>
          </w:p>
        </w:tc>
        <w:tc>
          <w:tcPr>
            <w:tcW w:w="780" w:type="dxa"/>
            <w:vAlign w:val="center"/>
          </w:tcPr>
          <w:p w14:paraId="6E07B056" w14:textId="2C09AE0D" w:rsidR="00932E72" w:rsidRPr="00F457FC" w:rsidRDefault="00932E72" w:rsidP="00932E72">
            <w:pPr>
              <w:jc w:val="center"/>
              <w:rPr>
                <w:rFonts w:ascii="Arial Narrow" w:hAnsi="Arial Narrow"/>
                <w:sz w:val="20"/>
                <w:szCs w:val="20"/>
              </w:rPr>
            </w:pPr>
            <w:r w:rsidRPr="00F457FC">
              <w:rPr>
                <w:rFonts w:ascii="Arial Narrow" w:hAnsi="Arial Narrow"/>
                <w:sz w:val="20"/>
                <w:szCs w:val="20"/>
              </w:rPr>
              <w:t>222</w:t>
            </w:r>
          </w:p>
        </w:tc>
        <w:tc>
          <w:tcPr>
            <w:tcW w:w="1347" w:type="dxa"/>
            <w:vAlign w:val="center"/>
          </w:tcPr>
          <w:p w14:paraId="3804CDC0" w14:textId="2BE8AAD9" w:rsidR="00932E72" w:rsidRPr="00F457FC" w:rsidRDefault="00932E72" w:rsidP="00932E72">
            <w:pPr>
              <w:jc w:val="center"/>
              <w:rPr>
                <w:rFonts w:ascii="Arial Narrow" w:hAnsi="Arial Narrow"/>
                <w:sz w:val="20"/>
                <w:szCs w:val="20"/>
              </w:rPr>
            </w:pPr>
            <w:r w:rsidRPr="00F457FC">
              <w:rPr>
                <w:rFonts w:ascii="Arial Narrow" w:hAnsi="Arial Narrow"/>
                <w:sz w:val="20"/>
                <w:szCs w:val="20"/>
              </w:rPr>
              <w:t>18</w:t>
            </w:r>
          </w:p>
        </w:tc>
        <w:tc>
          <w:tcPr>
            <w:tcW w:w="1746" w:type="dxa"/>
            <w:vAlign w:val="center"/>
          </w:tcPr>
          <w:p w14:paraId="2B5617FE" w14:textId="4BD67761" w:rsidR="00932E72" w:rsidRPr="00F457FC" w:rsidRDefault="00932E72" w:rsidP="00932E72">
            <w:pPr>
              <w:jc w:val="center"/>
              <w:rPr>
                <w:rFonts w:ascii="Arial Narrow" w:hAnsi="Arial Narrow"/>
                <w:sz w:val="20"/>
                <w:szCs w:val="20"/>
              </w:rPr>
            </w:pPr>
            <w:r w:rsidRPr="00F457FC">
              <w:rPr>
                <w:rFonts w:ascii="Arial Narrow" w:hAnsi="Arial Narrow"/>
                <w:sz w:val="20"/>
                <w:szCs w:val="20"/>
              </w:rPr>
              <w:t>8,1 %</w:t>
            </w:r>
          </w:p>
        </w:tc>
        <w:tc>
          <w:tcPr>
            <w:tcW w:w="551" w:type="dxa"/>
            <w:vAlign w:val="center"/>
          </w:tcPr>
          <w:p w14:paraId="20E32B9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c>
          <w:tcPr>
            <w:tcW w:w="523" w:type="dxa"/>
            <w:vAlign w:val="center"/>
          </w:tcPr>
          <w:p w14:paraId="460B074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c>
          <w:tcPr>
            <w:tcW w:w="717" w:type="dxa"/>
            <w:vAlign w:val="center"/>
          </w:tcPr>
          <w:p w14:paraId="30242CEE"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10</w:t>
            </w:r>
          </w:p>
        </w:tc>
        <w:tc>
          <w:tcPr>
            <w:tcW w:w="551" w:type="dxa"/>
            <w:vAlign w:val="center"/>
          </w:tcPr>
          <w:p w14:paraId="76DC680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4</w:t>
            </w:r>
          </w:p>
        </w:tc>
        <w:tc>
          <w:tcPr>
            <w:tcW w:w="498" w:type="dxa"/>
            <w:vAlign w:val="center"/>
          </w:tcPr>
          <w:p w14:paraId="008F858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4</w:t>
            </w:r>
          </w:p>
        </w:tc>
        <w:tc>
          <w:tcPr>
            <w:tcW w:w="824" w:type="dxa"/>
            <w:vAlign w:val="center"/>
          </w:tcPr>
          <w:p w14:paraId="1D031DE9"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8</w:t>
            </w:r>
          </w:p>
        </w:tc>
      </w:tr>
      <w:tr w:rsidR="00932E72" w:rsidRPr="00F457FC" w14:paraId="363F7F96" w14:textId="77777777" w:rsidTr="00BC1C0D">
        <w:trPr>
          <w:trHeight w:val="204"/>
        </w:trPr>
        <w:tc>
          <w:tcPr>
            <w:tcW w:w="1420" w:type="dxa"/>
            <w:shd w:val="clear" w:color="auto" w:fill="D9E2F3" w:themeFill="accent1" w:themeFillTint="33"/>
            <w:vAlign w:val="bottom"/>
          </w:tcPr>
          <w:p w14:paraId="4314544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Doubravník</w:t>
            </w:r>
          </w:p>
        </w:tc>
        <w:tc>
          <w:tcPr>
            <w:tcW w:w="780" w:type="dxa"/>
          </w:tcPr>
          <w:p w14:paraId="7DF27727" w14:textId="30ED202D" w:rsidR="00932E72" w:rsidRPr="00F457FC" w:rsidRDefault="00932E72" w:rsidP="00932E72">
            <w:pPr>
              <w:jc w:val="center"/>
              <w:rPr>
                <w:rFonts w:ascii="Arial Narrow" w:hAnsi="Arial Narrow"/>
                <w:sz w:val="20"/>
                <w:szCs w:val="20"/>
              </w:rPr>
            </w:pPr>
            <w:r w:rsidRPr="00F457FC">
              <w:rPr>
                <w:rFonts w:ascii="Arial Narrow" w:hAnsi="Arial Narrow"/>
                <w:sz w:val="20"/>
                <w:szCs w:val="20"/>
              </w:rPr>
              <w:t>878</w:t>
            </w:r>
          </w:p>
        </w:tc>
        <w:tc>
          <w:tcPr>
            <w:tcW w:w="1347" w:type="dxa"/>
          </w:tcPr>
          <w:p w14:paraId="59D21AA3" w14:textId="350ED56C" w:rsidR="00932E72" w:rsidRPr="00F457FC" w:rsidRDefault="00932E72" w:rsidP="00932E72">
            <w:pPr>
              <w:jc w:val="center"/>
              <w:rPr>
                <w:rFonts w:ascii="Arial Narrow" w:hAnsi="Arial Narrow"/>
                <w:sz w:val="20"/>
                <w:szCs w:val="20"/>
              </w:rPr>
            </w:pPr>
            <w:r w:rsidRPr="00F457FC">
              <w:rPr>
                <w:rFonts w:ascii="Arial Narrow" w:hAnsi="Arial Narrow"/>
                <w:sz w:val="20"/>
                <w:szCs w:val="20"/>
              </w:rPr>
              <w:t>66</w:t>
            </w:r>
          </w:p>
        </w:tc>
        <w:tc>
          <w:tcPr>
            <w:tcW w:w="1746" w:type="dxa"/>
          </w:tcPr>
          <w:p w14:paraId="6C54C8A3" w14:textId="46999D76" w:rsidR="00932E72" w:rsidRPr="00F457FC" w:rsidRDefault="00932E72" w:rsidP="00932E72">
            <w:pPr>
              <w:jc w:val="center"/>
              <w:rPr>
                <w:rFonts w:ascii="Arial Narrow" w:hAnsi="Arial Narrow"/>
                <w:sz w:val="20"/>
                <w:szCs w:val="20"/>
              </w:rPr>
            </w:pPr>
            <w:r w:rsidRPr="00F457FC">
              <w:rPr>
                <w:rFonts w:ascii="Arial Narrow" w:hAnsi="Arial Narrow"/>
                <w:sz w:val="20"/>
                <w:szCs w:val="20"/>
              </w:rPr>
              <w:t>7,5 %</w:t>
            </w:r>
          </w:p>
        </w:tc>
        <w:tc>
          <w:tcPr>
            <w:tcW w:w="551" w:type="dxa"/>
            <w:vAlign w:val="bottom"/>
          </w:tcPr>
          <w:p w14:paraId="0BA204D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19</w:t>
            </w:r>
          </w:p>
        </w:tc>
        <w:tc>
          <w:tcPr>
            <w:tcW w:w="523" w:type="dxa"/>
            <w:vAlign w:val="bottom"/>
          </w:tcPr>
          <w:p w14:paraId="61A1384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6</w:t>
            </w:r>
          </w:p>
        </w:tc>
        <w:tc>
          <w:tcPr>
            <w:tcW w:w="717" w:type="dxa"/>
            <w:vAlign w:val="bottom"/>
          </w:tcPr>
          <w:p w14:paraId="00F8B2CB"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25</w:t>
            </w:r>
          </w:p>
        </w:tc>
        <w:tc>
          <w:tcPr>
            <w:tcW w:w="551" w:type="dxa"/>
            <w:vAlign w:val="bottom"/>
          </w:tcPr>
          <w:p w14:paraId="5FEFD5A9"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31</w:t>
            </w:r>
          </w:p>
        </w:tc>
        <w:tc>
          <w:tcPr>
            <w:tcW w:w="498" w:type="dxa"/>
            <w:vAlign w:val="bottom"/>
          </w:tcPr>
          <w:p w14:paraId="0EE48BE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10</w:t>
            </w:r>
          </w:p>
        </w:tc>
        <w:tc>
          <w:tcPr>
            <w:tcW w:w="824" w:type="dxa"/>
            <w:vAlign w:val="bottom"/>
          </w:tcPr>
          <w:p w14:paraId="70D854F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41</w:t>
            </w:r>
          </w:p>
        </w:tc>
      </w:tr>
      <w:tr w:rsidR="00932E72" w:rsidRPr="00F457FC" w14:paraId="01F544E9" w14:textId="77777777" w:rsidTr="00BC1C0D">
        <w:trPr>
          <w:trHeight w:val="204"/>
        </w:trPr>
        <w:tc>
          <w:tcPr>
            <w:tcW w:w="1420" w:type="dxa"/>
            <w:shd w:val="clear" w:color="auto" w:fill="D9E2F3" w:themeFill="accent1" w:themeFillTint="33"/>
            <w:vAlign w:val="bottom"/>
          </w:tcPr>
          <w:p w14:paraId="3D0E75D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Braníškov</w:t>
            </w:r>
          </w:p>
        </w:tc>
        <w:tc>
          <w:tcPr>
            <w:tcW w:w="780" w:type="dxa"/>
          </w:tcPr>
          <w:p w14:paraId="6ECB4C22" w14:textId="759EB953" w:rsidR="00932E72" w:rsidRPr="00F457FC" w:rsidRDefault="00932E72" w:rsidP="00932E72">
            <w:pPr>
              <w:jc w:val="center"/>
              <w:rPr>
                <w:rFonts w:ascii="Arial Narrow" w:hAnsi="Arial Narrow"/>
                <w:sz w:val="20"/>
                <w:szCs w:val="20"/>
              </w:rPr>
            </w:pPr>
            <w:r w:rsidRPr="00F457FC">
              <w:rPr>
                <w:rFonts w:ascii="Arial Narrow" w:hAnsi="Arial Narrow"/>
                <w:sz w:val="20"/>
                <w:szCs w:val="20"/>
              </w:rPr>
              <w:t>214</w:t>
            </w:r>
          </w:p>
        </w:tc>
        <w:tc>
          <w:tcPr>
            <w:tcW w:w="1347" w:type="dxa"/>
          </w:tcPr>
          <w:p w14:paraId="0834B9CD" w14:textId="45555209" w:rsidR="00932E72" w:rsidRPr="00F457FC" w:rsidRDefault="00932E72" w:rsidP="00932E72">
            <w:pPr>
              <w:jc w:val="center"/>
              <w:rPr>
                <w:rFonts w:ascii="Arial Narrow" w:hAnsi="Arial Narrow"/>
                <w:sz w:val="20"/>
                <w:szCs w:val="20"/>
              </w:rPr>
            </w:pPr>
            <w:r w:rsidRPr="00F457FC">
              <w:rPr>
                <w:rFonts w:ascii="Arial Narrow" w:hAnsi="Arial Narrow"/>
                <w:sz w:val="20"/>
                <w:szCs w:val="20"/>
              </w:rPr>
              <w:t>14</w:t>
            </w:r>
          </w:p>
        </w:tc>
        <w:tc>
          <w:tcPr>
            <w:tcW w:w="1746" w:type="dxa"/>
          </w:tcPr>
          <w:p w14:paraId="69C8B447" w14:textId="25CBD2ED" w:rsidR="00932E72" w:rsidRPr="00F457FC" w:rsidRDefault="00932E72" w:rsidP="00932E72">
            <w:pPr>
              <w:jc w:val="center"/>
              <w:rPr>
                <w:rFonts w:ascii="Arial Narrow" w:hAnsi="Arial Narrow"/>
                <w:sz w:val="20"/>
                <w:szCs w:val="20"/>
              </w:rPr>
            </w:pPr>
            <w:r w:rsidRPr="00F457FC">
              <w:rPr>
                <w:rFonts w:ascii="Arial Narrow" w:hAnsi="Arial Narrow"/>
                <w:sz w:val="20"/>
                <w:szCs w:val="20"/>
              </w:rPr>
              <w:t>6,5 %</w:t>
            </w:r>
          </w:p>
        </w:tc>
        <w:tc>
          <w:tcPr>
            <w:tcW w:w="551" w:type="dxa"/>
            <w:vAlign w:val="bottom"/>
          </w:tcPr>
          <w:p w14:paraId="53B8FA9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6</w:t>
            </w:r>
          </w:p>
        </w:tc>
        <w:tc>
          <w:tcPr>
            <w:tcW w:w="523" w:type="dxa"/>
            <w:vAlign w:val="bottom"/>
          </w:tcPr>
          <w:p w14:paraId="7A720A7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w:t>
            </w:r>
          </w:p>
        </w:tc>
        <w:tc>
          <w:tcPr>
            <w:tcW w:w="717" w:type="dxa"/>
            <w:vAlign w:val="bottom"/>
          </w:tcPr>
          <w:p w14:paraId="04080CA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c>
          <w:tcPr>
            <w:tcW w:w="551" w:type="dxa"/>
            <w:vAlign w:val="bottom"/>
          </w:tcPr>
          <w:p w14:paraId="43DA876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w:t>
            </w:r>
          </w:p>
        </w:tc>
        <w:tc>
          <w:tcPr>
            <w:tcW w:w="498" w:type="dxa"/>
            <w:vAlign w:val="bottom"/>
          </w:tcPr>
          <w:p w14:paraId="318A979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w:t>
            </w:r>
          </w:p>
        </w:tc>
        <w:tc>
          <w:tcPr>
            <w:tcW w:w="824" w:type="dxa"/>
            <w:vAlign w:val="bottom"/>
          </w:tcPr>
          <w:p w14:paraId="2CE5AB9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r>
      <w:tr w:rsidR="00932E72" w:rsidRPr="00F457FC" w14:paraId="14CE34DD" w14:textId="77777777" w:rsidTr="00BC1C0D">
        <w:trPr>
          <w:trHeight w:val="204"/>
        </w:trPr>
        <w:tc>
          <w:tcPr>
            <w:tcW w:w="1420" w:type="dxa"/>
            <w:shd w:val="clear" w:color="auto" w:fill="D9E2F3" w:themeFill="accent1" w:themeFillTint="33"/>
            <w:vAlign w:val="bottom"/>
          </w:tcPr>
          <w:p w14:paraId="39614BD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Lomnička</w:t>
            </w:r>
          </w:p>
        </w:tc>
        <w:tc>
          <w:tcPr>
            <w:tcW w:w="780" w:type="dxa"/>
          </w:tcPr>
          <w:p w14:paraId="64A6CBCC" w14:textId="791C337C" w:rsidR="00932E72" w:rsidRPr="00F457FC" w:rsidRDefault="00932E72" w:rsidP="00932E72">
            <w:pPr>
              <w:jc w:val="center"/>
              <w:rPr>
                <w:rFonts w:ascii="Arial Narrow" w:hAnsi="Arial Narrow"/>
                <w:sz w:val="20"/>
                <w:szCs w:val="20"/>
              </w:rPr>
            </w:pPr>
            <w:r w:rsidRPr="00F457FC">
              <w:rPr>
                <w:rFonts w:ascii="Arial Narrow" w:hAnsi="Arial Narrow"/>
                <w:sz w:val="20"/>
                <w:szCs w:val="20"/>
              </w:rPr>
              <w:t>597</w:t>
            </w:r>
          </w:p>
        </w:tc>
        <w:tc>
          <w:tcPr>
            <w:tcW w:w="1347" w:type="dxa"/>
          </w:tcPr>
          <w:p w14:paraId="6DE54266" w14:textId="1A8CDF9B" w:rsidR="00932E72" w:rsidRPr="00F457FC" w:rsidRDefault="00932E72" w:rsidP="00932E72">
            <w:pPr>
              <w:jc w:val="center"/>
              <w:rPr>
                <w:rFonts w:ascii="Arial Narrow" w:hAnsi="Arial Narrow"/>
                <w:sz w:val="20"/>
                <w:szCs w:val="20"/>
              </w:rPr>
            </w:pPr>
            <w:r w:rsidRPr="00F457FC">
              <w:rPr>
                <w:rFonts w:ascii="Arial Narrow" w:hAnsi="Arial Narrow"/>
                <w:sz w:val="20"/>
                <w:szCs w:val="20"/>
              </w:rPr>
              <w:t>37</w:t>
            </w:r>
          </w:p>
        </w:tc>
        <w:tc>
          <w:tcPr>
            <w:tcW w:w="1746" w:type="dxa"/>
          </w:tcPr>
          <w:p w14:paraId="0F313579" w14:textId="0684821E" w:rsidR="00932E72" w:rsidRPr="00F457FC" w:rsidRDefault="00932E72" w:rsidP="00932E72">
            <w:pPr>
              <w:jc w:val="center"/>
              <w:rPr>
                <w:rFonts w:ascii="Arial Narrow" w:hAnsi="Arial Narrow"/>
                <w:sz w:val="20"/>
                <w:szCs w:val="20"/>
              </w:rPr>
            </w:pPr>
            <w:r w:rsidRPr="00F457FC">
              <w:rPr>
                <w:rFonts w:ascii="Arial Narrow" w:hAnsi="Arial Narrow"/>
                <w:sz w:val="20"/>
                <w:szCs w:val="20"/>
              </w:rPr>
              <w:t>6,2 %</w:t>
            </w:r>
          </w:p>
        </w:tc>
        <w:tc>
          <w:tcPr>
            <w:tcW w:w="551" w:type="dxa"/>
            <w:vAlign w:val="bottom"/>
          </w:tcPr>
          <w:p w14:paraId="6DDD248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24</w:t>
            </w:r>
          </w:p>
        </w:tc>
        <w:tc>
          <w:tcPr>
            <w:tcW w:w="523" w:type="dxa"/>
            <w:vAlign w:val="bottom"/>
          </w:tcPr>
          <w:p w14:paraId="57CED9A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c>
          <w:tcPr>
            <w:tcW w:w="717" w:type="dxa"/>
            <w:vAlign w:val="bottom"/>
          </w:tcPr>
          <w:p w14:paraId="3581E09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27</w:t>
            </w:r>
          </w:p>
        </w:tc>
        <w:tc>
          <w:tcPr>
            <w:tcW w:w="551" w:type="dxa"/>
            <w:vAlign w:val="bottom"/>
          </w:tcPr>
          <w:p w14:paraId="529309A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8</w:t>
            </w:r>
          </w:p>
        </w:tc>
        <w:tc>
          <w:tcPr>
            <w:tcW w:w="498" w:type="dxa"/>
            <w:vAlign w:val="bottom"/>
          </w:tcPr>
          <w:p w14:paraId="6DE54578"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w:t>
            </w:r>
          </w:p>
        </w:tc>
        <w:tc>
          <w:tcPr>
            <w:tcW w:w="824" w:type="dxa"/>
            <w:vAlign w:val="bottom"/>
          </w:tcPr>
          <w:p w14:paraId="0FA7009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10</w:t>
            </w:r>
          </w:p>
        </w:tc>
      </w:tr>
      <w:tr w:rsidR="00932E72" w:rsidRPr="00F457FC" w14:paraId="2946BF9A" w14:textId="77777777" w:rsidTr="00BC1C0D">
        <w:trPr>
          <w:trHeight w:val="204"/>
        </w:trPr>
        <w:tc>
          <w:tcPr>
            <w:tcW w:w="1420" w:type="dxa"/>
            <w:shd w:val="clear" w:color="auto" w:fill="D9E2F3" w:themeFill="accent1" w:themeFillTint="33"/>
            <w:vAlign w:val="bottom"/>
          </w:tcPr>
          <w:p w14:paraId="45CEC8DE"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Březina</w:t>
            </w:r>
          </w:p>
        </w:tc>
        <w:tc>
          <w:tcPr>
            <w:tcW w:w="780" w:type="dxa"/>
          </w:tcPr>
          <w:p w14:paraId="28FCCA89" w14:textId="6EC4854B" w:rsidR="00932E72" w:rsidRPr="00F457FC" w:rsidRDefault="00932E72" w:rsidP="00932E72">
            <w:pPr>
              <w:jc w:val="center"/>
              <w:rPr>
                <w:rFonts w:ascii="Arial Narrow" w:hAnsi="Arial Narrow"/>
                <w:sz w:val="20"/>
                <w:szCs w:val="20"/>
              </w:rPr>
            </w:pPr>
            <w:r w:rsidRPr="00F457FC">
              <w:rPr>
                <w:rFonts w:ascii="Arial Narrow" w:hAnsi="Arial Narrow"/>
                <w:sz w:val="20"/>
                <w:szCs w:val="20"/>
              </w:rPr>
              <w:t>373</w:t>
            </w:r>
          </w:p>
        </w:tc>
        <w:tc>
          <w:tcPr>
            <w:tcW w:w="1347" w:type="dxa"/>
          </w:tcPr>
          <w:p w14:paraId="04F2B41A" w14:textId="53699B1D" w:rsidR="00932E72" w:rsidRPr="00F457FC" w:rsidRDefault="00932E72" w:rsidP="00932E72">
            <w:pPr>
              <w:jc w:val="center"/>
              <w:rPr>
                <w:rFonts w:ascii="Arial Narrow" w:hAnsi="Arial Narrow"/>
                <w:sz w:val="20"/>
                <w:szCs w:val="20"/>
              </w:rPr>
            </w:pPr>
            <w:r w:rsidRPr="00F457FC">
              <w:rPr>
                <w:rFonts w:ascii="Arial Narrow" w:hAnsi="Arial Narrow"/>
                <w:sz w:val="20"/>
                <w:szCs w:val="20"/>
              </w:rPr>
              <w:t>22</w:t>
            </w:r>
          </w:p>
        </w:tc>
        <w:tc>
          <w:tcPr>
            <w:tcW w:w="1746" w:type="dxa"/>
          </w:tcPr>
          <w:p w14:paraId="6DF4041D" w14:textId="1BD786BE" w:rsidR="00932E72" w:rsidRPr="00F457FC" w:rsidRDefault="00932E72" w:rsidP="00932E72">
            <w:pPr>
              <w:jc w:val="center"/>
              <w:rPr>
                <w:rFonts w:ascii="Arial Narrow" w:hAnsi="Arial Narrow"/>
                <w:sz w:val="20"/>
                <w:szCs w:val="20"/>
              </w:rPr>
            </w:pPr>
            <w:r w:rsidRPr="00F457FC">
              <w:rPr>
                <w:rFonts w:ascii="Arial Narrow" w:hAnsi="Arial Narrow"/>
                <w:sz w:val="20"/>
                <w:szCs w:val="20"/>
              </w:rPr>
              <w:t>5,9 %</w:t>
            </w:r>
          </w:p>
        </w:tc>
        <w:tc>
          <w:tcPr>
            <w:tcW w:w="551" w:type="dxa"/>
            <w:vAlign w:val="bottom"/>
          </w:tcPr>
          <w:p w14:paraId="454EAEFE"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8</w:t>
            </w:r>
          </w:p>
        </w:tc>
        <w:tc>
          <w:tcPr>
            <w:tcW w:w="523" w:type="dxa"/>
            <w:vAlign w:val="bottom"/>
          </w:tcPr>
          <w:p w14:paraId="769C13D2"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c>
          <w:tcPr>
            <w:tcW w:w="717" w:type="dxa"/>
            <w:vAlign w:val="bottom"/>
          </w:tcPr>
          <w:p w14:paraId="5CB15F6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11</w:t>
            </w:r>
          </w:p>
        </w:tc>
        <w:tc>
          <w:tcPr>
            <w:tcW w:w="551" w:type="dxa"/>
            <w:vAlign w:val="bottom"/>
          </w:tcPr>
          <w:p w14:paraId="1BA656B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10</w:t>
            </w:r>
          </w:p>
        </w:tc>
        <w:tc>
          <w:tcPr>
            <w:tcW w:w="498" w:type="dxa"/>
            <w:vAlign w:val="bottom"/>
          </w:tcPr>
          <w:p w14:paraId="5759E2A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w:t>
            </w:r>
          </w:p>
        </w:tc>
        <w:tc>
          <w:tcPr>
            <w:tcW w:w="824" w:type="dxa"/>
            <w:vAlign w:val="bottom"/>
          </w:tcPr>
          <w:p w14:paraId="2E590CA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11</w:t>
            </w:r>
          </w:p>
        </w:tc>
      </w:tr>
      <w:tr w:rsidR="00932E72" w:rsidRPr="00F457FC" w14:paraId="3F26812D" w14:textId="77777777" w:rsidTr="00BC1C0D">
        <w:trPr>
          <w:trHeight w:val="204"/>
        </w:trPr>
        <w:tc>
          <w:tcPr>
            <w:tcW w:w="1420" w:type="dxa"/>
            <w:shd w:val="clear" w:color="auto" w:fill="D9E2F3" w:themeFill="accent1" w:themeFillTint="33"/>
            <w:vAlign w:val="bottom"/>
          </w:tcPr>
          <w:p w14:paraId="1A31507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Deblín</w:t>
            </w:r>
          </w:p>
        </w:tc>
        <w:tc>
          <w:tcPr>
            <w:tcW w:w="780" w:type="dxa"/>
          </w:tcPr>
          <w:p w14:paraId="70E98135" w14:textId="0C3E7598" w:rsidR="00932E72" w:rsidRPr="00F457FC" w:rsidRDefault="00932E72" w:rsidP="00932E72">
            <w:pPr>
              <w:jc w:val="center"/>
              <w:rPr>
                <w:rFonts w:ascii="Arial Narrow" w:hAnsi="Arial Narrow"/>
                <w:sz w:val="20"/>
                <w:szCs w:val="20"/>
              </w:rPr>
            </w:pPr>
            <w:r w:rsidRPr="00F457FC">
              <w:rPr>
                <w:rFonts w:ascii="Arial Narrow" w:hAnsi="Arial Narrow"/>
                <w:sz w:val="20"/>
                <w:szCs w:val="20"/>
              </w:rPr>
              <w:t>1 155</w:t>
            </w:r>
          </w:p>
        </w:tc>
        <w:tc>
          <w:tcPr>
            <w:tcW w:w="1347" w:type="dxa"/>
          </w:tcPr>
          <w:p w14:paraId="490EB821" w14:textId="40FEBCE9" w:rsidR="00932E72" w:rsidRPr="00F457FC" w:rsidRDefault="00932E72" w:rsidP="00932E72">
            <w:pPr>
              <w:jc w:val="center"/>
              <w:rPr>
                <w:rFonts w:ascii="Arial Narrow" w:hAnsi="Arial Narrow"/>
                <w:sz w:val="20"/>
                <w:szCs w:val="20"/>
              </w:rPr>
            </w:pPr>
            <w:r w:rsidRPr="00F457FC">
              <w:rPr>
                <w:rFonts w:ascii="Arial Narrow" w:hAnsi="Arial Narrow"/>
                <w:sz w:val="20"/>
                <w:szCs w:val="20"/>
              </w:rPr>
              <w:t>68</w:t>
            </w:r>
          </w:p>
        </w:tc>
        <w:tc>
          <w:tcPr>
            <w:tcW w:w="1746" w:type="dxa"/>
          </w:tcPr>
          <w:p w14:paraId="54BA96CA" w14:textId="715BFFD3" w:rsidR="00932E72" w:rsidRPr="00F457FC" w:rsidRDefault="00932E72" w:rsidP="00932E72">
            <w:pPr>
              <w:jc w:val="center"/>
              <w:rPr>
                <w:rFonts w:ascii="Arial Narrow" w:hAnsi="Arial Narrow"/>
                <w:sz w:val="20"/>
                <w:szCs w:val="20"/>
              </w:rPr>
            </w:pPr>
            <w:r w:rsidRPr="00F457FC">
              <w:rPr>
                <w:rFonts w:ascii="Arial Narrow" w:hAnsi="Arial Narrow"/>
                <w:sz w:val="20"/>
                <w:szCs w:val="20"/>
              </w:rPr>
              <w:t>5,9 %</w:t>
            </w:r>
          </w:p>
        </w:tc>
        <w:tc>
          <w:tcPr>
            <w:tcW w:w="551" w:type="dxa"/>
            <w:vAlign w:val="bottom"/>
          </w:tcPr>
          <w:p w14:paraId="1537A43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26</w:t>
            </w:r>
          </w:p>
        </w:tc>
        <w:tc>
          <w:tcPr>
            <w:tcW w:w="523" w:type="dxa"/>
            <w:vAlign w:val="bottom"/>
          </w:tcPr>
          <w:p w14:paraId="12A2B95B"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10</w:t>
            </w:r>
          </w:p>
        </w:tc>
        <w:tc>
          <w:tcPr>
            <w:tcW w:w="717" w:type="dxa"/>
            <w:vAlign w:val="bottom"/>
          </w:tcPr>
          <w:p w14:paraId="07AD8B7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36</w:t>
            </w:r>
          </w:p>
        </w:tc>
        <w:tc>
          <w:tcPr>
            <w:tcW w:w="551" w:type="dxa"/>
            <w:vAlign w:val="bottom"/>
          </w:tcPr>
          <w:p w14:paraId="27CBF89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24</w:t>
            </w:r>
          </w:p>
        </w:tc>
        <w:tc>
          <w:tcPr>
            <w:tcW w:w="498" w:type="dxa"/>
            <w:vAlign w:val="bottom"/>
          </w:tcPr>
          <w:p w14:paraId="570BD68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8</w:t>
            </w:r>
          </w:p>
        </w:tc>
        <w:tc>
          <w:tcPr>
            <w:tcW w:w="824" w:type="dxa"/>
            <w:vAlign w:val="bottom"/>
          </w:tcPr>
          <w:p w14:paraId="7C32AD12"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32</w:t>
            </w:r>
          </w:p>
        </w:tc>
      </w:tr>
      <w:tr w:rsidR="00932E72" w:rsidRPr="00F457FC" w14:paraId="1D76385F" w14:textId="77777777" w:rsidTr="00BC1C0D">
        <w:trPr>
          <w:trHeight w:val="204"/>
        </w:trPr>
        <w:tc>
          <w:tcPr>
            <w:tcW w:w="1420" w:type="dxa"/>
            <w:shd w:val="clear" w:color="auto" w:fill="D9E2F3" w:themeFill="accent1" w:themeFillTint="33"/>
            <w:vAlign w:val="bottom"/>
          </w:tcPr>
          <w:p w14:paraId="43367C1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Předklášteří</w:t>
            </w:r>
          </w:p>
        </w:tc>
        <w:tc>
          <w:tcPr>
            <w:tcW w:w="780" w:type="dxa"/>
          </w:tcPr>
          <w:p w14:paraId="1C42F837" w14:textId="472FE210" w:rsidR="00932E72" w:rsidRPr="00F457FC" w:rsidRDefault="00932E72" w:rsidP="00932E72">
            <w:pPr>
              <w:jc w:val="center"/>
              <w:rPr>
                <w:rFonts w:ascii="Arial Narrow" w:hAnsi="Arial Narrow"/>
                <w:sz w:val="20"/>
                <w:szCs w:val="20"/>
              </w:rPr>
            </w:pPr>
            <w:r w:rsidRPr="00F457FC">
              <w:rPr>
                <w:rFonts w:ascii="Arial Narrow" w:hAnsi="Arial Narrow"/>
                <w:sz w:val="20"/>
                <w:szCs w:val="20"/>
              </w:rPr>
              <w:t>1 491</w:t>
            </w:r>
          </w:p>
        </w:tc>
        <w:tc>
          <w:tcPr>
            <w:tcW w:w="1347" w:type="dxa"/>
          </w:tcPr>
          <w:p w14:paraId="50390D80" w14:textId="0E0C3DE6" w:rsidR="00932E72" w:rsidRPr="00F457FC" w:rsidRDefault="00932E72" w:rsidP="00932E72">
            <w:pPr>
              <w:jc w:val="center"/>
              <w:rPr>
                <w:rFonts w:ascii="Arial Narrow" w:hAnsi="Arial Narrow"/>
                <w:sz w:val="20"/>
                <w:szCs w:val="20"/>
              </w:rPr>
            </w:pPr>
            <w:r w:rsidRPr="00F457FC">
              <w:rPr>
                <w:rFonts w:ascii="Arial Narrow" w:hAnsi="Arial Narrow"/>
                <w:sz w:val="20"/>
                <w:szCs w:val="20"/>
              </w:rPr>
              <w:t>77</w:t>
            </w:r>
          </w:p>
        </w:tc>
        <w:tc>
          <w:tcPr>
            <w:tcW w:w="1746" w:type="dxa"/>
          </w:tcPr>
          <w:p w14:paraId="37C7D831" w14:textId="0DB659E9" w:rsidR="00932E72" w:rsidRPr="00F457FC" w:rsidRDefault="00932E72" w:rsidP="00932E72">
            <w:pPr>
              <w:jc w:val="center"/>
              <w:rPr>
                <w:rFonts w:ascii="Arial Narrow" w:hAnsi="Arial Narrow"/>
                <w:sz w:val="20"/>
                <w:szCs w:val="20"/>
              </w:rPr>
            </w:pPr>
            <w:r w:rsidRPr="00F457FC">
              <w:rPr>
                <w:rFonts w:ascii="Arial Narrow" w:hAnsi="Arial Narrow"/>
                <w:sz w:val="20"/>
                <w:szCs w:val="20"/>
              </w:rPr>
              <w:t>5,2 %</w:t>
            </w:r>
          </w:p>
        </w:tc>
        <w:tc>
          <w:tcPr>
            <w:tcW w:w="551" w:type="dxa"/>
            <w:vAlign w:val="bottom"/>
          </w:tcPr>
          <w:p w14:paraId="08BDB0D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28</w:t>
            </w:r>
          </w:p>
        </w:tc>
        <w:tc>
          <w:tcPr>
            <w:tcW w:w="523" w:type="dxa"/>
            <w:vAlign w:val="bottom"/>
          </w:tcPr>
          <w:p w14:paraId="7035BDD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8</w:t>
            </w:r>
          </w:p>
        </w:tc>
        <w:tc>
          <w:tcPr>
            <w:tcW w:w="717" w:type="dxa"/>
            <w:vAlign w:val="bottom"/>
          </w:tcPr>
          <w:p w14:paraId="58C0882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36</w:t>
            </w:r>
          </w:p>
        </w:tc>
        <w:tc>
          <w:tcPr>
            <w:tcW w:w="551" w:type="dxa"/>
            <w:vAlign w:val="bottom"/>
          </w:tcPr>
          <w:p w14:paraId="6D33BF5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28</w:t>
            </w:r>
          </w:p>
        </w:tc>
        <w:tc>
          <w:tcPr>
            <w:tcW w:w="498" w:type="dxa"/>
            <w:vAlign w:val="bottom"/>
          </w:tcPr>
          <w:p w14:paraId="75406CE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13</w:t>
            </w:r>
          </w:p>
        </w:tc>
        <w:tc>
          <w:tcPr>
            <w:tcW w:w="824" w:type="dxa"/>
            <w:vAlign w:val="bottom"/>
          </w:tcPr>
          <w:p w14:paraId="439DF2BE"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41</w:t>
            </w:r>
          </w:p>
        </w:tc>
      </w:tr>
      <w:tr w:rsidR="00932E72" w:rsidRPr="00F457FC" w14:paraId="49043E88" w14:textId="77777777" w:rsidTr="00BC1C0D">
        <w:trPr>
          <w:trHeight w:val="128"/>
        </w:trPr>
        <w:tc>
          <w:tcPr>
            <w:tcW w:w="1420" w:type="dxa"/>
            <w:shd w:val="clear" w:color="auto" w:fill="D9E2F3" w:themeFill="accent1" w:themeFillTint="33"/>
            <w:vAlign w:val="bottom"/>
          </w:tcPr>
          <w:p w14:paraId="5B5D43B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lastRenderedPageBreak/>
              <w:t>Tišnov</w:t>
            </w:r>
          </w:p>
        </w:tc>
        <w:tc>
          <w:tcPr>
            <w:tcW w:w="780" w:type="dxa"/>
          </w:tcPr>
          <w:p w14:paraId="23FBADF5" w14:textId="59E62496" w:rsidR="00932E72" w:rsidRPr="00F457FC" w:rsidRDefault="00932E72" w:rsidP="00932E72">
            <w:pPr>
              <w:jc w:val="center"/>
              <w:rPr>
                <w:rFonts w:ascii="Arial Narrow" w:hAnsi="Arial Narrow"/>
                <w:sz w:val="20"/>
                <w:szCs w:val="20"/>
              </w:rPr>
            </w:pPr>
            <w:r w:rsidRPr="00F457FC">
              <w:rPr>
                <w:rFonts w:ascii="Arial Narrow" w:hAnsi="Arial Narrow"/>
                <w:sz w:val="20"/>
                <w:szCs w:val="20"/>
              </w:rPr>
              <w:t>9 475</w:t>
            </w:r>
          </w:p>
        </w:tc>
        <w:tc>
          <w:tcPr>
            <w:tcW w:w="1347" w:type="dxa"/>
          </w:tcPr>
          <w:p w14:paraId="094D47C1" w14:textId="0F4B9AF3" w:rsidR="00932E72" w:rsidRPr="00F457FC" w:rsidRDefault="00932E72" w:rsidP="00932E72">
            <w:pPr>
              <w:jc w:val="center"/>
              <w:rPr>
                <w:rFonts w:ascii="Arial Narrow" w:hAnsi="Arial Narrow"/>
                <w:sz w:val="20"/>
                <w:szCs w:val="20"/>
              </w:rPr>
            </w:pPr>
            <w:r w:rsidRPr="00F457FC">
              <w:rPr>
                <w:rFonts w:ascii="Arial Narrow" w:hAnsi="Arial Narrow"/>
                <w:sz w:val="20"/>
                <w:szCs w:val="20"/>
              </w:rPr>
              <w:t>466</w:t>
            </w:r>
          </w:p>
        </w:tc>
        <w:tc>
          <w:tcPr>
            <w:tcW w:w="1746" w:type="dxa"/>
          </w:tcPr>
          <w:p w14:paraId="74C66FFB" w14:textId="030C065F" w:rsidR="00932E72" w:rsidRPr="00F457FC" w:rsidRDefault="00932E72" w:rsidP="00932E72">
            <w:pPr>
              <w:jc w:val="center"/>
              <w:rPr>
                <w:rFonts w:ascii="Arial Narrow" w:hAnsi="Arial Narrow"/>
                <w:sz w:val="20"/>
                <w:szCs w:val="20"/>
              </w:rPr>
            </w:pPr>
            <w:r w:rsidRPr="00F457FC">
              <w:rPr>
                <w:rFonts w:ascii="Arial Narrow" w:hAnsi="Arial Narrow"/>
                <w:sz w:val="20"/>
                <w:szCs w:val="20"/>
              </w:rPr>
              <w:t>4,9 %</w:t>
            </w:r>
          </w:p>
        </w:tc>
        <w:tc>
          <w:tcPr>
            <w:tcW w:w="551" w:type="dxa"/>
            <w:vAlign w:val="bottom"/>
          </w:tcPr>
          <w:p w14:paraId="7BC2EB3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170</w:t>
            </w:r>
          </w:p>
        </w:tc>
        <w:tc>
          <w:tcPr>
            <w:tcW w:w="523" w:type="dxa"/>
            <w:vAlign w:val="bottom"/>
          </w:tcPr>
          <w:p w14:paraId="7FC680B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55</w:t>
            </w:r>
          </w:p>
        </w:tc>
        <w:tc>
          <w:tcPr>
            <w:tcW w:w="717" w:type="dxa"/>
            <w:vAlign w:val="bottom"/>
          </w:tcPr>
          <w:p w14:paraId="7D4496F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225</w:t>
            </w:r>
          </w:p>
        </w:tc>
        <w:tc>
          <w:tcPr>
            <w:tcW w:w="551" w:type="dxa"/>
            <w:vAlign w:val="bottom"/>
          </w:tcPr>
          <w:p w14:paraId="4B605B4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206</w:t>
            </w:r>
          </w:p>
        </w:tc>
        <w:tc>
          <w:tcPr>
            <w:tcW w:w="498" w:type="dxa"/>
            <w:vAlign w:val="bottom"/>
          </w:tcPr>
          <w:p w14:paraId="4A9A424E"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35</w:t>
            </w:r>
          </w:p>
        </w:tc>
        <w:tc>
          <w:tcPr>
            <w:tcW w:w="824" w:type="dxa"/>
            <w:vAlign w:val="bottom"/>
          </w:tcPr>
          <w:p w14:paraId="1AEE74D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241</w:t>
            </w:r>
          </w:p>
        </w:tc>
      </w:tr>
      <w:tr w:rsidR="00932E72" w:rsidRPr="00F457FC" w14:paraId="3CB39001" w14:textId="77777777" w:rsidTr="00BC1C0D">
        <w:trPr>
          <w:trHeight w:val="204"/>
        </w:trPr>
        <w:tc>
          <w:tcPr>
            <w:tcW w:w="1420" w:type="dxa"/>
            <w:shd w:val="clear" w:color="auto" w:fill="D9E2F3" w:themeFill="accent1" w:themeFillTint="33"/>
            <w:vAlign w:val="bottom"/>
          </w:tcPr>
          <w:p w14:paraId="42DFC19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Žďárec</w:t>
            </w:r>
          </w:p>
        </w:tc>
        <w:tc>
          <w:tcPr>
            <w:tcW w:w="780" w:type="dxa"/>
          </w:tcPr>
          <w:p w14:paraId="1D13BEEA" w14:textId="30EA14E1" w:rsidR="00932E72" w:rsidRPr="00F457FC" w:rsidRDefault="00932E72" w:rsidP="00932E72">
            <w:pPr>
              <w:jc w:val="center"/>
              <w:rPr>
                <w:rFonts w:ascii="Arial Narrow" w:hAnsi="Arial Narrow"/>
                <w:sz w:val="20"/>
                <w:szCs w:val="20"/>
              </w:rPr>
            </w:pPr>
            <w:r w:rsidRPr="00F457FC">
              <w:rPr>
                <w:rFonts w:ascii="Arial Narrow" w:hAnsi="Arial Narrow"/>
                <w:sz w:val="20"/>
                <w:szCs w:val="20"/>
              </w:rPr>
              <w:t>392</w:t>
            </w:r>
          </w:p>
        </w:tc>
        <w:tc>
          <w:tcPr>
            <w:tcW w:w="1347" w:type="dxa"/>
          </w:tcPr>
          <w:p w14:paraId="198FDBCB" w14:textId="09D9582A" w:rsidR="00932E72" w:rsidRPr="00F457FC" w:rsidRDefault="00932E72" w:rsidP="00932E72">
            <w:pPr>
              <w:jc w:val="center"/>
              <w:rPr>
                <w:rFonts w:ascii="Arial Narrow" w:hAnsi="Arial Narrow"/>
                <w:sz w:val="20"/>
                <w:szCs w:val="20"/>
              </w:rPr>
            </w:pPr>
            <w:r w:rsidRPr="00F457FC">
              <w:rPr>
                <w:rFonts w:ascii="Arial Narrow" w:hAnsi="Arial Narrow"/>
                <w:sz w:val="20"/>
                <w:szCs w:val="20"/>
              </w:rPr>
              <w:t>18</w:t>
            </w:r>
          </w:p>
        </w:tc>
        <w:tc>
          <w:tcPr>
            <w:tcW w:w="1746" w:type="dxa"/>
          </w:tcPr>
          <w:p w14:paraId="3EEFCAD8" w14:textId="1D081478" w:rsidR="00932E72" w:rsidRPr="00F457FC" w:rsidRDefault="00932E72" w:rsidP="00932E72">
            <w:pPr>
              <w:jc w:val="center"/>
              <w:rPr>
                <w:rFonts w:ascii="Arial Narrow" w:hAnsi="Arial Narrow"/>
                <w:sz w:val="20"/>
                <w:szCs w:val="20"/>
              </w:rPr>
            </w:pPr>
            <w:r w:rsidRPr="00F457FC">
              <w:rPr>
                <w:rFonts w:ascii="Arial Narrow" w:hAnsi="Arial Narrow"/>
                <w:sz w:val="20"/>
                <w:szCs w:val="20"/>
              </w:rPr>
              <w:t>4,6 %</w:t>
            </w:r>
          </w:p>
        </w:tc>
        <w:tc>
          <w:tcPr>
            <w:tcW w:w="551" w:type="dxa"/>
            <w:vAlign w:val="bottom"/>
          </w:tcPr>
          <w:p w14:paraId="1045A0FB"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9</w:t>
            </w:r>
          </w:p>
        </w:tc>
        <w:tc>
          <w:tcPr>
            <w:tcW w:w="523" w:type="dxa"/>
            <w:vAlign w:val="bottom"/>
          </w:tcPr>
          <w:p w14:paraId="5A3D6ED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w:t>
            </w:r>
          </w:p>
        </w:tc>
        <w:tc>
          <w:tcPr>
            <w:tcW w:w="717" w:type="dxa"/>
            <w:vAlign w:val="bottom"/>
          </w:tcPr>
          <w:p w14:paraId="01D2D82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10</w:t>
            </w:r>
          </w:p>
        </w:tc>
        <w:tc>
          <w:tcPr>
            <w:tcW w:w="551" w:type="dxa"/>
            <w:vAlign w:val="bottom"/>
          </w:tcPr>
          <w:p w14:paraId="10BBD93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w:t>
            </w:r>
          </w:p>
        </w:tc>
        <w:tc>
          <w:tcPr>
            <w:tcW w:w="498" w:type="dxa"/>
            <w:vAlign w:val="bottom"/>
          </w:tcPr>
          <w:p w14:paraId="1187F20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c>
          <w:tcPr>
            <w:tcW w:w="824" w:type="dxa"/>
            <w:vAlign w:val="bottom"/>
          </w:tcPr>
          <w:p w14:paraId="275D2DD2"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8</w:t>
            </w:r>
          </w:p>
        </w:tc>
      </w:tr>
      <w:tr w:rsidR="00932E72" w:rsidRPr="00F457FC" w14:paraId="205CDF29" w14:textId="77777777" w:rsidTr="00BC1C0D">
        <w:trPr>
          <w:trHeight w:val="204"/>
        </w:trPr>
        <w:tc>
          <w:tcPr>
            <w:tcW w:w="1420" w:type="dxa"/>
            <w:shd w:val="clear" w:color="auto" w:fill="D9E2F3" w:themeFill="accent1" w:themeFillTint="33"/>
            <w:vAlign w:val="bottom"/>
          </w:tcPr>
          <w:p w14:paraId="4FA8517A"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Olší</w:t>
            </w:r>
          </w:p>
        </w:tc>
        <w:tc>
          <w:tcPr>
            <w:tcW w:w="780" w:type="dxa"/>
          </w:tcPr>
          <w:p w14:paraId="074A8A5E" w14:textId="35A61909"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359</w:t>
            </w:r>
          </w:p>
        </w:tc>
        <w:tc>
          <w:tcPr>
            <w:tcW w:w="1347" w:type="dxa"/>
          </w:tcPr>
          <w:p w14:paraId="51AAF1D8" w14:textId="6DB0999F"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16</w:t>
            </w:r>
          </w:p>
        </w:tc>
        <w:tc>
          <w:tcPr>
            <w:tcW w:w="1746" w:type="dxa"/>
          </w:tcPr>
          <w:p w14:paraId="260CC011" w14:textId="16989C72" w:rsidR="00932E72" w:rsidRPr="00F457FC" w:rsidRDefault="00932E72" w:rsidP="00932E72">
            <w:pPr>
              <w:jc w:val="center"/>
              <w:rPr>
                <w:rFonts w:ascii="Arial Narrow" w:hAnsi="Arial Narrow"/>
                <w:sz w:val="20"/>
                <w:szCs w:val="20"/>
              </w:rPr>
            </w:pPr>
            <w:r w:rsidRPr="00F457FC">
              <w:rPr>
                <w:rFonts w:ascii="Arial Narrow" w:hAnsi="Arial Narrow"/>
                <w:sz w:val="20"/>
                <w:szCs w:val="20"/>
              </w:rPr>
              <w:t>4,5 %</w:t>
            </w:r>
          </w:p>
        </w:tc>
        <w:tc>
          <w:tcPr>
            <w:tcW w:w="551" w:type="dxa"/>
            <w:vAlign w:val="bottom"/>
          </w:tcPr>
          <w:p w14:paraId="5231026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13</w:t>
            </w:r>
          </w:p>
        </w:tc>
        <w:tc>
          <w:tcPr>
            <w:tcW w:w="523" w:type="dxa"/>
            <w:vAlign w:val="bottom"/>
          </w:tcPr>
          <w:p w14:paraId="3D36D68E"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0</w:t>
            </w:r>
          </w:p>
        </w:tc>
        <w:tc>
          <w:tcPr>
            <w:tcW w:w="717" w:type="dxa"/>
            <w:vAlign w:val="bottom"/>
          </w:tcPr>
          <w:p w14:paraId="7BD1DFF2"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13</w:t>
            </w:r>
          </w:p>
        </w:tc>
        <w:tc>
          <w:tcPr>
            <w:tcW w:w="551" w:type="dxa"/>
            <w:vAlign w:val="bottom"/>
          </w:tcPr>
          <w:p w14:paraId="3D89495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w:t>
            </w:r>
          </w:p>
        </w:tc>
        <w:tc>
          <w:tcPr>
            <w:tcW w:w="498" w:type="dxa"/>
            <w:vAlign w:val="bottom"/>
          </w:tcPr>
          <w:p w14:paraId="56D057C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w:t>
            </w:r>
          </w:p>
        </w:tc>
        <w:tc>
          <w:tcPr>
            <w:tcW w:w="824" w:type="dxa"/>
            <w:vAlign w:val="bottom"/>
          </w:tcPr>
          <w:p w14:paraId="11C3D20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r>
      <w:tr w:rsidR="00932E72" w:rsidRPr="00F457FC" w14:paraId="41185AD6" w14:textId="77777777" w:rsidTr="00BC1C0D">
        <w:trPr>
          <w:trHeight w:val="204"/>
        </w:trPr>
        <w:tc>
          <w:tcPr>
            <w:tcW w:w="1420" w:type="dxa"/>
            <w:shd w:val="clear" w:color="auto" w:fill="D9E2F3" w:themeFill="accent1" w:themeFillTint="33"/>
            <w:vAlign w:val="bottom"/>
          </w:tcPr>
          <w:p w14:paraId="25E9FD77"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Železné</w:t>
            </w:r>
          </w:p>
        </w:tc>
        <w:tc>
          <w:tcPr>
            <w:tcW w:w="780" w:type="dxa"/>
          </w:tcPr>
          <w:p w14:paraId="1CAD8258" w14:textId="2F782BF0"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586</w:t>
            </w:r>
          </w:p>
        </w:tc>
        <w:tc>
          <w:tcPr>
            <w:tcW w:w="1347" w:type="dxa"/>
          </w:tcPr>
          <w:p w14:paraId="476E21B7" w14:textId="4C64542A"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26</w:t>
            </w:r>
          </w:p>
        </w:tc>
        <w:tc>
          <w:tcPr>
            <w:tcW w:w="1746" w:type="dxa"/>
          </w:tcPr>
          <w:p w14:paraId="671048B6" w14:textId="00E57A6A" w:rsidR="00932E72" w:rsidRPr="00F457FC" w:rsidRDefault="00932E72" w:rsidP="00932E72">
            <w:pPr>
              <w:jc w:val="center"/>
              <w:rPr>
                <w:rFonts w:ascii="Arial Narrow" w:hAnsi="Arial Narrow"/>
                <w:sz w:val="20"/>
                <w:szCs w:val="20"/>
              </w:rPr>
            </w:pPr>
            <w:r w:rsidRPr="00F457FC">
              <w:rPr>
                <w:rFonts w:ascii="Arial Narrow" w:hAnsi="Arial Narrow"/>
                <w:sz w:val="20"/>
                <w:szCs w:val="20"/>
              </w:rPr>
              <w:t>4,4 %</w:t>
            </w:r>
          </w:p>
        </w:tc>
        <w:tc>
          <w:tcPr>
            <w:tcW w:w="551" w:type="dxa"/>
            <w:vAlign w:val="bottom"/>
          </w:tcPr>
          <w:p w14:paraId="76C2692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12</w:t>
            </w:r>
          </w:p>
        </w:tc>
        <w:tc>
          <w:tcPr>
            <w:tcW w:w="523" w:type="dxa"/>
            <w:vAlign w:val="bottom"/>
          </w:tcPr>
          <w:p w14:paraId="1B48BA6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0</w:t>
            </w:r>
          </w:p>
        </w:tc>
        <w:tc>
          <w:tcPr>
            <w:tcW w:w="717" w:type="dxa"/>
            <w:vAlign w:val="bottom"/>
          </w:tcPr>
          <w:p w14:paraId="50232AE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12</w:t>
            </w:r>
          </w:p>
        </w:tc>
        <w:tc>
          <w:tcPr>
            <w:tcW w:w="551" w:type="dxa"/>
            <w:vAlign w:val="bottom"/>
          </w:tcPr>
          <w:p w14:paraId="7030B51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14</w:t>
            </w:r>
          </w:p>
        </w:tc>
        <w:tc>
          <w:tcPr>
            <w:tcW w:w="498" w:type="dxa"/>
            <w:vAlign w:val="bottom"/>
          </w:tcPr>
          <w:p w14:paraId="179FBB1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0</w:t>
            </w:r>
          </w:p>
        </w:tc>
        <w:tc>
          <w:tcPr>
            <w:tcW w:w="824" w:type="dxa"/>
            <w:vAlign w:val="bottom"/>
          </w:tcPr>
          <w:p w14:paraId="65D896A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14</w:t>
            </w:r>
          </w:p>
        </w:tc>
      </w:tr>
      <w:tr w:rsidR="00932E72" w:rsidRPr="00F457FC" w14:paraId="47F9CE4A" w14:textId="77777777" w:rsidTr="00BC1C0D">
        <w:trPr>
          <w:trHeight w:val="204"/>
        </w:trPr>
        <w:tc>
          <w:tcPr>
            <w:tcW w:w="1420" w:type="dxa"/>
            <w:shd w:val="clear" w:color="auto" w:fill="D9E2F3" w:themeFill="accent1" w:themeFillTint="33"/>
            <w:vAlign w:val="bottom"/>
          </w:tcPr>
          <w:p w14:paraId="5E61993C"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Lomnice</w:t>
            </w:r>
          </w:p>
        </w:tc>
        <w:tc>
          <w:tcPr>
            <w:tcW w:w="780" w:type="dxa"/>
          </w:tcPr>
          <w:p w14:paraId="6140764D" w14:textId="571CC9CA"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1534</w:t>
            </w:r>
          </w:p>
        </w:tc>
        <w:tc>
          <w:tcPr>
            <w:tcW w:w="1347" w:type="dxa"/>
          </w:tcPr>
          <w:p w14:paraId="01074A35" w14:textId="7EB72099"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63</w:t>
            </w:r>
          </w:p>
        </w:tc>
        <w:tc>
          <w:tcPr>
            <w:tcW w:w="1746" w:type="dxa"/>
          </w:tcPr>
          <w:p w14:paraId="0FB68BC1" w14:textId="5C21B186" w:rsidR="00932E72" w:rsidRPr="00F457FC" w:rsidRDefault="00932E72" w:rsidP="00932E72">
            <w:pPr>
              <w:jc w:val="center"/>
              <w:rPr>
                <w:rFonts w:ascii="Arial Narrow" w:hAnsi="Arial Narrow"/>
                <w:sz w:val="20"/>
                <w:szCs w:val="20"/>
              </w:rPr>
            </w:pPr>
            <w:r w:rsidRPr="00F457FC">
              <w:rPr>
                <w:rFonts w:ascii="Arial Narrow" w:hAnsi="Arial Narrow"/>
                <w:sz w:val="20"/>
                <w:szCs w:val="20"/>
              </w:rPr>
              <w:t>4,1 %</w:t>
            </w:r>
          </w:p>
        </w:tc>
        <w:tc>
          <w:tcPr>
            <w:tcW w:w="551" w:type="dxa"/>
            <w:vAlign w:val="bottom"/>
          </w:tcPr>
          <w:p w14:paraId="691C1CF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20</w:t>
            </w:r>
          </w:p>
        </w:tc>
        <w:tc>
          <w:tcPr>
            <w:tcW w:w="523" w:type="dxa"/>
            <w:vAlign w:val="bottom"/>
          </w:tcPr>
          <w:p w14:paraId="768F26D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11</w:t>
            </w:r>
          </w:p>
        </w:tc>
        <w:tc>
          <w:tcPr>
            <w:tcW w:w="717" w:type="dxa"/>
            <w:vAlign w:val="bottom"/>
          </w:tcPr>
          <w:p w14:paraId="6CD32EF2"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31</w:t>
            </w:r>
          </w:p>
        </w:tc>
        <w:tc>
          <w:tcPr>
            <w:tcW w:w="551" w:type="dxa"/>
            <w:vAlign w:val="bottom"/>
          </w:tcPr>
          <w:p w14:paraId="7CBCF68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25</w:t>
            </w:r>
          </w:p>
        </w:tc>
        <w:tc>
          <w:tcPr>
            <w:tcW w:w="498" w:type="dxa"/>
            <w:vAlign w:val="bottom"/>
          </w:tcPr>
          <w:p w14:paraId="784A28D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c>
          <w:tcPr>
            <w:tcW w:w="824" w:type="dxa"/>
            <w:vAlign w:val="bottom"/>
          </w:tcPr>
          <w:p w14:paraId="500E199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32</w:t>
            </w:r>
          </w:p>
        </w:tc>
      </w:tr>
      <w:tr w:rsidR="00932E72" w:rsidRPr="00F457FC" w14:paraId="4E4E5C75" w14:textId="77777777" w:rsidTr="00BC1C0D">
        <w:trPr>
          <w:trHeight w:val="204"/>
        </w:trPr>
        <w:tc>
          <w:tcPr>
            <w:tcW w:w="1420" w:type="dxa"/>
            <w:shd w:val="clear" w:color="auto" w:fill="D9E2F3" w:themeFill="accent1" w:themeFillTint="33"/>
            <w:vAlign w:val="bottom"/>
          </w:tcPr>
          <w:p w14:paraId="556BCB71"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Kaly</w:t>
            </w:r>
          </w:p>
        </w:tc>
        <w:tc>
          <w:tcPr>
            <w:tcW w:w="780" w:type="dxa"/>
          </w:tcPr>
          <w:p w14:paraId="236890BC" w14:textId="2215A641"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317</w:t>
            </w:r>
          </w:p>
        </w:tc>
        <w:tc>
          <w:tcPr>
            <w:tcW w:w="1347" w:type="dxa"/>
          </w:tcPr>
          <w:p w14:paraId="7D85383C" w14:textId="6067FD11"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12</w:t>
            </w:r>
          </w:p>
        </w:tc>
        <w:tc>
          <w:tcPr>
            <w:tcW w:w="1746" w:type="dxa"/>
          </w:tcPr>
          <w:p w14:paraId="7ACB61FC" w14:textId="77570EA9" w:rsidR="00932E72" w:rsidRPr="00F457FC" w:rsidRDefault="00932E72" w:rsidP="00932E72">
            <w:pPr>
              <w:jc w:val="center"/>
              <w:rPr>
                <w:rFonts w:ascii="Arial Narrow" w:hAnsi="Arial Narrow"/>
                <w:sz w:val="20"/>
                <w:szCs w:val="20"/>
              </w:rPr>
            </w:pPr>
            <w:r w:rsidRPr="00F457FC">
              <w:rPr>
                <w:rFonts w:ascii="Arial Narrow" w:hAnsi="Arial Narrow"/>
                <w:sz w:val="20"/>
                <w:szCs w:val="20"/>
              </w:rPr>
              <w:t>3,8 %</w:t>
            </w:r>
          </w:p>
        </w:tc>
        <w:tc>
          <w:tcPr>
            <w:tcW w:w="551" w:type="dxa"/>
            <w:vAlign w:val="bottom"/>
          </w:tcPr>
          <w:p w14:paraId="677AFB0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w:t>
            </w:r>
          </w:p>
        </w:tc>
        <w:tc>
          <w:tcPr>
            <w:tcW w:w="523" w:type="dxa"/>
            <w:vAlign w:val="bottom"/>
          </w:tcPr>
          <w:p w14:paraId="73FE215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0</w:t>
            </w:r>
          </w:p>
        </w:tc>
        <w:tc>
          <w:tcPr>
            <w:tcW w:w="717" w:type="dxa"/>
            <w:vAlign w:val="bottom"/>
          </w:tcPr>
          <w:p w14:paraId="775153C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w:t>
            </w:r>
          </w:p>
        </w:tc>
        <w:tc>
          <w:tcPr>
            <w:tcW w:w="551" w:type="dxa"/>
            <w:vAlign w:val="bottom"/>
          </w:tcPr>
          <w:p w14:paraId="0608D9F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4</w:t>
            </w:r>
          </w:p>
        </w:tc>
        <w:tc>
          <w:tcPr>
            <w:tcW w:w="498" w:type="dxa"/>
            <w:vAlign w:val="bottom"/>
          </w:tcPr>
          <w:p w14:paraId="1C9F4B6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c>
          <w:tcPr>
            <w:tcW w:w="824" w:type="dxa"/>
            <w:vAlign w:val="bottom"/>
          </w:tcPr>
          <w:p w14:paraId="261D54E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r>
      <w:tr w:rsidR="00932E72" w:rsidRPr="00F457FC" w14:paraId="7B6FDD17" w14:textId="77777777" w:rsidTr="00BC1C0D">
        <w:trPr>
          <w:trHeight w:val="204"/>
        </w:trPr>
        <w:tc>
          <w:tcPr>
            <w:tcW w:w="1420" w:type="dxa"/>
            <w:shd w:val="clear" w:color="auto" w:fill="D9E2F3" w:themeFill="accent1" w:themeFillTint="33"/>
            <w:vAlign w:val="bottom"/>
          </w:tcPr>
          <w:p w14:paraId="2F3DE619"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Sentice</w:t>
            </w:r>
          </w:p>
        </w:tc>
        <w:tc>
          <w:tcPr>
            <w:tcW w:w="780" w:type="dxa"/>
          </w:tcPr>
          <w:p w14:paraId="74B10EA4" w14:textId="1090E119"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670</w:t>
            </w:r>
          </w:p>
        </w:tc>
        <w:tc>
          <w:tcPr>
            <w:tcW w:w="1347" w:type="dxa"/>
          </w:tcPr>
          <w:p w14:paraId="478BA74F" w14:textId="3791F65F"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23</w:t>
            </w:r>
          </w:p>
        </w:tc>
        <w:tc>
          <w:tcPr>
            <w:tcW w:w="1746" w:type="dxa"/>
          </w:tcPr>
          <w:p w14:paraId="539E53BF" w14:textId="6805CB83" w:rsidR="00932E72" w:rsidRPr="00F457FC" w:rsidRDefault="00932E72" w:rsidP="00932E72">
            <w:pPr>
              <w:jc w:val="center"/>
              <w:rPr>
                <w:rFonts w:ascii="Arial Narrow" w:hAnsi="Arial Narrow"/>
                <w:sz w:val="20"/>
                <w:szCs w:val="20"/>
              </w:rPr>
            </w:pPr>
            <w:r w:rsidRPr="00F457FC">
              <w:rPr>
                <w:rFonts w:ascii="Arial Narrow" w:hAnsi="Arial Narrow"/>
                <w:sz w:val="20"/>
                <w:szCs w:val="20"/>
              </w:rPr>
              <w:t>3,4 %</w:t>
            </w:r>
          </w:p>
        </w:tc>
        <w:tc>
          <w:tcPr>
            <w:tcW w:w="551" w:type="dxa"/>
            <w:vAlign w:val="bottom"/>
          </w:tcPr>
          <w:p w14:paraId="7BFF9C4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c>
          <w:tcPr>
            <w:tcW w:w="523" w:type="dxa"/>
            <w:vAlign w:val="bottom"/>
          </w:tcPr>
          <w:p w14:paraId="181A4999"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w:t>
            </w:r>
          </w:p>
        </w:tc>
        <w:tc>
          <w:tcPr>
            <w:tcW w:w="717" w:type="dxa"/>
            <w:vAlign w:val="bottom"/>
          </w:tcPr>
          <w:p w14:paraId="43864048"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9</w:t>
            </w:r>
          </w:p>
        </w:tc>
        <w:tc>
          <w:tcPr>
            <w:tcW w:w="551" w:type="dxa"/>
            <w:vAlign w:val="bottom"/>
          </w:tcPr>
          <w:p w14:paraId="105CF1D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9</w:t>
            </w:r>
          </w:p>
        </w:tc>
        <w:tc>
          <w:tcPr>
            <w:tcW w:w="498" w:type="dxa"/>
            <w:vAlign w:val="bottom"/>
          </w:tcPr>
          <w:p w14:paraId="58B74762"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w:t>
            </w:r>
          </w:p>
        </w:tc>
        <w:tc>
          <w:tcPr>
            <w:tcW w:w="824" w:type="dxa"/>
            <w:vAlign w:val="bottom"/>
          </w:tcPr>
          <w:p w14:paraId="0A3A58D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14</w:t>
            </w:r>
          </w:p>
        </w:tc>
      </w:tr>
      <w:tr w:rsidR="00932E72" w:rsidRPr="00F457FC" w14:paraId="38E2B964" w14:textId="77777777" w:rsidTr="00BC1C0D">
        <w:trPr>
          <w:trHeight w:val="204"/>
        </w:trPr>
        <w:tc>
          <w:tcPr>
            <w:tcW w:w="1420" w:type="dxa"/>
            <w:shd w:val="clear" w:color="auto" w:fill="D9E2F3" w:themeFill="accent1" w:themeFillTint="33"/>
            <w:vAlign w:val="bottom"/>
          </w:tcPr>
          <w:p w14:paraId="0D81AE26"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Svatoslav</w:t>
            </w:r>
          </w:p>
        </w:tc>
        <w:tc>
          <w:tcPr>
            <w:tcW w:w="780" w:type="dxa"/>
          </w:tcPr>
          <w:p w14:paraId="4302A5C5" w14:textId="324C4BFA"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440</w:t>
            </w:r>
          </w:p>
        </w:tc>
        <w:tc>
          <w:tcPr>
            <w:tcW w:w="1347" w:type="dxa"/>
          </w:tcPr>
          <w:p w14:paraId="579E58B9" w14:textId="389EEE92"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12</w:t>
            </w:r>
          </w:p>
        </w:tc>
        <w:tc>
          <w:tcPr>
            <w:tcW w:w="1746" w:type="dxa"/>
          </w:tcPr>
          <w:p w14:paraId="70BE8918" w14:textId="790F8E9E" w:rsidR="00932E72" w:rsidRPr="00F457FC" w:rsidRDefault="00932E72" w:rsidP="00932E72">
            <w:pPr>
              <w:jc w:val="center"/>
              <w:rPr>
                <w:rFonts w:ascii="Arial Narrow" w:hAnsi="Arial Narrow"/>
                <w:sz w:val="20"/>
                <w:szCs w:val="20"/>
              </w:rPr>
            </w:pPr>
            <w:r w:rsidRPr="00F457FC">
              <w:rPr>
                <w:rFonts w:ascii="Arial Narrow" w:hAnsi="Arial Narrow"/>
                <w:sz w:val="20"/>
                <w:szCs w:val="20"/>
              </w:rPr>
              <w:t>2,7 %</w:t>
            </w:r>
          </w:p>
        </w:tc>
        <w:tc>
          <w:tcPr>
            <w:tcW w:w="551" w:type="dxa"/>
            <w:vAlign w:val="bottom"/>
          </w:tcPr>
          <w:p w14:paraId="589E606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4</w:t>
            </w:r>
          </w:p>
        </w:tc>
        <w:tc>
          <w:tcPr>
            <w:tcW w:w="523" w:type="dxa"/>
            <w:vAlign w:val="bottom"/>
          </w:tcPr>
          <w:p w14:paraId="4EE4D423"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w:t>
            </w:r>
          </w:p>
        </w:tc>
        <w:tc>
          <w:tcPr>
            <w:tcW w:w="717" w:type="dxa"/>
            <w:vAlign w:val="bottom"/>
          </w:tcPr>
          <w:p w14:paraId="3BAB2D9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6</w:t>
            </w:r>
          </w:p>
        </w:tc>
        <w:tc>
          <w:tcPr>
            <w:tcW w:w="551" w:type="dxa"/>
            <w:vAlign w:val="bottom"/>
          </w:tcPr>
          <w:p w14:paraId="30FFC7E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w:t>
            </w:r>
          </w:p>
        </w:tc>
        <w:tc>
          <w:tcPr>
            <w:tcW w:w="498" w:type="dxa"/>
            <w:vAlign w:val="bottom"/>
          </w:tcPr>
          <w:p w14:paraId="5FA4B38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w:t>
            </w:r>
          </w:p>
        </w:tc>
        <w:tc>
          <w:tcPr>
            <w:tcW w:w="824" w:type="dxa"/>
            <w:vAlign w:val="bottom"/>
          </w:tcPr>
          <w:p w14:paraId="4C88D86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6</w:t>
            </w:r>
          </w:p>
        </w:tc>
      </w:tr>
      <w:tr w:rsidR="00932E72" w:rsidRPr="00F457FC" w14:paraId="78D43DC7" w14:textId="77777777" w:rsidTr="00BC1C0D">
        <w:trPr>
          <w:trHeight w:val="204"/>
        </w:trPr>
        <w:tc>
          <w:tcPr>
            <w:tcW w:w="1420" w:type="dxa"/>
            <w:shd w:val="clear" w:color="auto" w:fill="D9E2F3" w:themeFill="accent1" w:themeFillTint="33"/>
            <w:vAlign w:val="bottom"/>
          </w:tcPr>
          <w:p w14:paraId="6CEF003A"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Drásov</w:t>
            </w:r>
          </w:p>
        </w:tc>
        <w:tc>
          <w:tcPr>
            <w:tcW w:w="780" w:type="dxa"/>
          </w:tcPr>
          <w:p w14:paraId="27E8952D" w14:textId="61EC96D0"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2 082</w:t>
            </w:r>
          </w:p>
        </w:tc>
        <w:tc>
          <w:tcPr>
            <w:tcW w:w="1347" w:type="dxa"/>
          </w:tcPr>
          <w:p w14:paraId="20AFAC9A" w14:textId="7F56FE89"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56</w:t>
            </w:r>
          </w:p>
        </w:tc>
        <w:tc>
          <w:tcPr>
            <w:tcW w:w="1746" w:type="dxa"/>
          </w:tcPr>
          <w:p w14:paraId="0E7D4DD7" w14:textId="284EAEFF" w:rsidR="00932E72" w:rsidRPr="00F457FC" w:rsidRDefault="00932E72" w:rsidP="00932E72">
            <w:pPr>
              <w:jc w:val="center"/>
              <w:rPr>
                <w:rFonts w:ascii="Arial Narrow" w:hAnsi="Arial Narrow"/>
                <w:sz w:val="20"/>
                <w:szCs w:val="20"/>
              </w:rPr>
            </w:pPr>
            <w:r w:rsidRPr="00F457FC">
              <w:rPr>
                <w:rFonts w:ascii="Arial Narrow" w:hAnsi="Arial Narrow"/>
                <w:sz w:val="20"/>
                <w:szCs w:val="20"/>
              </w:rPr>
              <w:t>2,7 %</w:t>
            </w:r>
          </w:p>
        </w:tc>
        <w:tc>
          <w:tcPr>
            <w:tcW w:w="551" w:type="dxa"/>
            <w:vAlign w:val="bottom"/>
          </w:tcPr>
          <w:p w14:paraId="781FE5ED"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20</w:t>
            </w:r>
          </w:p>
        </w:tc>
        <w:tc>
          <w:tcPr>
            <w:tcW w:w="523" w:type="dxa"/>
            <w:vAlign w:val="bottom"/>
          </w:tcPr>
          <w:p w14:paraId="7AC4B778"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c>
          <w:tcPr>
            <w:tcW w:w="717" w:type="dxa"/>
            <w:vAlign w:val="bottom"/>
          </w:tcPr>
          <w:p w14:paraId="67BF78E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23</w:t>
            </w:r>
          </w:p>
        </w:tc>
        <w:tc>
          <w:tcPr>
            <w:tcW w:w="551" w:type="dxa"/>
            <w:vAlign w:val="bottom"/>
          </w:tcPr>
          <w:p w14:paraId="378DBE3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26</w:t>
            </w:r>
          </w:p>
        </w:tc>
        <w:tc>
          <w:tcPr>
            <w:tcW w:w="498" w:type="dxa"/>
            <w:vAlign w:val="bottom"/>
          </w:tcPr>
          <w:p w14:paraId="53C7E3DB"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c>
          <w:tcPr>
            <w:tcW w:w="824" w:type="dxa"/>
            <w:vAlign w:val="bottom"/>
          </w:tcPr>
          <w:p w14:paraId="367D1D2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33</w:t>
            </w:r>
          </w:p>
        </w:tc>
      </w:tr>
      <w:tr w:rsidR="00932E72" w:rsidRPr="00F457FC" w14:paraId="327C8717" w14:textId="77777777" w:rsidTr="00BC1C0D">
        <w:trPr>
          <w:trHeight w:val="204"/>
        </w:trPr>
        <w:tc>
          <w:tcPr>
            <w:tcW w:w="1420" w:type="dxa"/>
            <w:shd w:val="clear" w:color="auto" w:fill="D9E2F3" w:themeFill="accent1" w:themeFillTint="33"/>
            <w:vAlign w:val="bottom"/>
          </w:tcPr>
          <w:p w14:paraId="0152E89E"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Malhostovice</w:t>
            </w:r>
          </w:p>
        </w:tc>
        <w:tc>
          <w:tcPr>
            <w:tcW w:w="780" w:type="dxa"/>
          </w:tcPr>
          <w:p w14:paraId="64B2A979" w14:textId="1A606083"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993</w:t>
            </w:r>
          </w:p>
        </w:tc>
        <w:tc>
          <w:tcPr>
            <w:tcW w:w="1347" w:type="dxa"/>
          </w:tcPr>
          <w:p w14:paraId="351C6A04" w14:textId="3E95E33F"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25</w:t>
            </w:r>
          </w:p>
        </w:tc>
        <w:tc>
          <w:tcPr>
            <w:tcW w:w="1746" w:type="dxa"/>
          </w:tcPr>
          <w:p w14:paraId="1E1BDF57" w14:textId="6872E609" w:rsidR="00932E72" w:rsidRPr="00F457FC" w:rsidRDefault="00932E72" w:rsidP="00932E72">
            <w:pPr>
              <w:jc w:val="center"/>
              <w:rPr>
                <w:rFonts w:ascii="Arial Narrow" w:hAnsi="Arial Narrow"/>
                <w:sz w:val="20"/>
                <w:szCs w:val="20"/>
              </w:rPr>
            </w:pPr>
            <w:r w:rsidRPr="00F457FC">
              <w:rPr>
                <w:rFonts w:ascii="Arial Narrow" w:hAnsi="Arial Narrow"/>
                <w:sz w:val="20"/>
                <w:szCs w:val="20"/>
              </w:rPr>
              <w:t>2,5 %</w:t>
            </w:r>
          </w:p>
        </w:tc>
        <w:tc>
          <w:tcPr>
            <w:tcW w:w="551" w:type="dxa"/>
            <w:vAlign w:val="bottom"/>
          </w:tcPr>
          <w:p w14:paraId="2E53D5D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11</w:t>
            </w:r>
          </w:p>
        </w:tc>
        <w:tc>
          <w:tcPr>
            <w:tcW w:w="523" w:type="dxa"/>
            <w:vAlign w:val="bottom"/>
          </w:tcPr>
          <w:p w14:paraId="613E51CB"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w:t>
            </w:r>
          </w:p>
        </w:tc>
        <w:tc>
          <w:tcPr>
            <w:tcW w:w="717" w:type="dxa"/>
            <w:vAlign w:val="bottom"/>
          </w:tcPr>
          <w:p w14:paraId="2ED4D2A8"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13</w:t>
            </w:r>
          </w:p>
        </w:tc>
        <w:tc>
          <w:tcPr>
            <w:tcW w:w="551" w:type="dxa"/>
            <w:vAlign w:val="bottom"/>
          </w:tcPr>
          <w:p w14:paraId="35A23ED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9</w:t>
            </w:r>
          </w:p>
        </w:tc>
        <w:tc>
          <w:tcPr>
            <w:tcW w:w="498" w:type="dxa"/>
            <w:vAlign w:val="bottom"/>
          </w:tcPr>
          <w:p w14:paraId="2C508BD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c>
          <w:tcPr>
            <w:tcW w:w="824" w:type="dxa"/>
            <w:vAlign w:val="bottom"/>
          </w:tcPr>
          <w:p w14:paraId="2911FF5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12</w:t>
            </w:r>
          </w:p>
        </w:tc>
      </w:tr>
      <w:tr w:rsidR="00932E72" w:rsidRPr="00F457FC" w14:paraId="7E34F485" w14:textId="77777777" w:rsidTr="00BC1C0D">
        <w:trPr>
          <w:trHeight w:val="204"/>
        </w:trPr>
        <w:tc>
          <w:tcPr>
            <w:tcW w:w="1420" w:type="dxa"/>
            <w:shd w:val="clear" w:color="auto" w:fill="D9E2F3" w:themeFill="accent1" w:themeFillTint="33"/>
            <w:vAlign w:val="bottom"/>
          </w:tcPr>
          <w:p w14:paraId="6E574DD3"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Hradčany</w:t>
            </w:r>
          </w:p>
        </w:tc>
        <w:tc>
          <w:tcPr>
            <w:tcW w:w="780" w:type="dxa"/>
          </w:tcPr>
          <w:p w14:paraId="26519B01" w14:textId="7F25AEEC"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685</w:t>
            </w:r>
          </w:p>
        </w:tc>
        <w:tc>
          <w:tcPr>
            <w:tcW w:w="1347" w:type="dxa"/>
          </w:tcPr>
          <w:p w14:paraId="23B438E0" w14:textId="1EDECF7E"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17</w:t>
            </w:r>
          </w:p>
        </w:tc>
        <w:tc>
          <w:tcPr>
            <w:tcW w:w="1746" w:type="dxa"/>
          </w:tcPr>
          <w:p w14:paraId="53F6B61A" w14:textId="54A197B4" w:rsidR="00932E72" w:rsidRPr="00F457FC" w:rsidRDefault="00932E72" w:rsidP="00932E72">
            <w:pPr>
              <w:jc w:val="center"/>
              <w:rPr>
                <w:rFonts w:ascii="Arial Narrow" w:hAnsi="Arial Narrow"/>
                <w:sz w:val="20"/>
                <w:szCs w:val="20"/>
              </w:rPr>
            </w:pPr>
            <w:r w:rsidRPr="00F457FC">
              <w:rPr>
                <w:rFonts w:ascii="Arial Narrow" w:hAnsi="Arial Narrow"/>
                <w:sz w:val="20"/>
                <w:szCs w:val="20"/>
              </w:rPr>
              <w:t>2,5 %</w:t>
            </w:r>
          </w:p>
        </w:tc>
        <w:tc>
          <w:tcPr>
            <w:tcW w:w="551" w:type="dxa"/>
            <w:vAlign w:val="bottom"/>
          </w:tcPr>
          <w:p w14:paraId="3AB4DD49"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5</w:t>
            </w:r>
          </w:p>
        </w:tc>
        <w:tc>
          <w:tcPr>
            <w:tcW w:w="523" w:type="dxa"/>
            <w:vAlign w:val="bottom"/>
          </w:tcPr>
          <w:p w14:paraId="479A0B31"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w:t>
            </w:r>
          </w:p>
        </w:tc>
        <w:tc>
          <w:tcPr>
            <w:tcW w:w="717" w:type="dxa"/>
            <w:vAlign w:val="bottom"/>
          </w:tcPr>
          <w:p w14:paraId="7BAC3030"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c>
          <w:tcPr>
            <w:tcW w:w="551" w:type="dxa"/>
            <w:vAlign w:val="bottom"/>
          </w:tcPr>
          <w:p w14:paraId="17C19607"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9</w:t>
            </w:r>
          </w:p>
        </w:tc>
        <w:tc>
          <w:tcPr>
            <w:tcW w:w="498" w:type="dxa"/>
            <w:vAlign w:val="bottom"/>
          </w:tcPr>
          <w:p w14:paraId="78A5564B"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w:t>
            </w:r>
          </w:p>
        </w:tc>
        <w:tc>
          <w:tcPr>
            <w:tcW w:w="824" w:type="dxa"/>
            <w:vAlign w:val="bottom"/>
          </w:tcPr>
          <w:p w14:paraId="79EC6D9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10</w:t>
            </w:r>
          </w:p>
        </w:tc>
      </w:tr>
      <w:tr w:rsidR="00932E72" w:rsidRPr="00F457FC" w14:paraId="63C163FB" w14:textId="77777777" w:rsidTr="00BC1C0D">
        <w:trPr>
          <w:trHeight w:val="204"/>
        </w:trPr>
        <w:tc>
          <w:tcPr>
            <w:tcW w:w="1420" w:type="dxa"/>
            <w:shd w:val="clear" w:color="auto" w:fill="D9E2F3" w:themeFill="accent1" w:themeFillTint="33"/>
            <w:vAlign w:val="bottom"/>
          </w:tcPr>
          <w:p w14:paraId="50959B36"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Nedvědice</w:t>
            </w:r>
          </w:p>
        </w:tc>
        <w:tc>
          <w:tcPr>
            <w:tcW w:w="780" w:type="dxa"/>
          </w:tcPr>
          <w:p w14:paraId="16703B10" w14:textId="4A763C64"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1 336</w:t>
            </w:r>
          </w:p>
        </w:tc>
        <w:tc>
          <w:tcPr>
            <w:tcW w:w="1347" w:type="dxa"/>
          </w:tcPr>
          <w:p w14:paraId="6A96A37C" w14:textId="198B4F03"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24</w:t>
            </w:r>
          </w:p>
        </w:tc>
        <w:tc>
          <w:tcPr>
            <w:tcW w:w="1746" w:type="dxa"/>
          </w:tcPr>
          <w:p w14:paraId="300AC19C" w14:textId="3F4F12A9" w:rsidR="00932E72" w:rsidRPr="00F457FC" w:rsidRDefault="00932E72" w:rsidP="00932E72">
            <w:pPr>
              <w:jc w:val="center"/>
              <w:rPr>
                <w:rFonts w:ascii="Arial Narrow" w:hAnsi="Arial Narrow"/>
                <w:sz w:val="20"/>
                <w:szCs w:val="20"/>
              </w:rPr>
            </w:pPr>
            <w:r w:rsidRPr="00F457FC">
              <w:rPr>
                <w:rFonts w:ascii="Arial Narrow" w:hAnsi="Arial Narrow"/>
                <w:sz w:val="20"/>
                <w:szCs w:val="20"/>
              </w:rPr>
              <w:t>1,8 %</w:t>
            </w:r>
          </w:p>
        </w:tc>
        <w:tc>
          <w:tcPr>
            <w:tcW w:w="551" w:type="dxa"/>
            <w:vAlign w:val="bottom"/>
          </w:tcPr>
          <w:p w14:paraId="27B2574A"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c>
          <w:tcPr>
            <w:tcW w:w="523" w:type="dxa"/>
            <w:vAlign w:val="bottom"/>
          </w:tcPr>
          <w:p w14:paraId="7FCB6EA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w:t>
            </w:r>
          </w:p>
        </w:tc>
        <w:tc>
          <w:tcPr>
            <w:tcW w:w="717" w:type="dxa"/>
            <w:vAlign w:val="bottom"/>
          </w:tcPr>
          <w:p w14:paraId="3A60BC0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8</w:t>
            </w:r>
          </w:p>
        </w:tc>
        <w:tc>
          <w:tcPr>
            <w:tcW w:w="551" w:type="dxa"/>
            <w:vAlign w:val="bottom"/>
          </w:tcPr>
          <w:p w14:paraId="2C1B58B4"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14</w:t>
            </w:r>
          </w:p>
        </w:tc>
        <w:tc>
          <w:tcPr>
            <w:tcW w:w="498" w:type="dxa"/>
            <w:vAlign w:val="bottom"/>
          </w:tcPr>
          <w:p w14:paraId="3026AF48"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2</w:t>
            </w:r>
          </w:p>
        </w:tc>
        <w:tc>
          <w:tcPr>
            <w:tcW w:w="824" w:type="dxa"/>
            <w:vAlign w:val="bottom"/>
          </w:tcPr>
          <w:p w14:paraId="571F3858"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16</w:t>
            </w:r>
          </w:p>
        </w:tc>
      </w:tr>
      <w:tr w:rsidR="00932E72" w:rsidRPr="00F457FC" w14:paraId="014B5DC4" w14:textId="77777777" w:rsidTr="00BC1C0D">
        <w:trPr>
          <w:trHeight w:val="204"/>
        </w:trPr>
        <w:tc>
          <w:tcPr>
            <w:tcW w:w="1420" w:type="dxa"/>
            <w:shd w:val="clear" w:color="auto" w:fill="D9E2F3" w:themeFill="accent1" w:themeFillTint="33"/>
            <w:vAlign w:val="bottom"/>
          </w:tcPr>
          <w:p w14:paraId="0D257020" w14:textId="77777777" w:rsidR="00932E72" w:rsidRPr="00F457FC" w:rsidRDefault="00932E72" w:rsidP="00932E72">
            <w:pPr>
              <w:jc w:val="center"/>
              <w:rPr>
                <w:rFonts w:ascii="Arial Narrow" w:hAnsi="Arial Narrow"/>
                <w:color w:val="000000"/>
                <w:sz w:val="18"/>
                <w:szCs w:val="18"/>
              </w:rPr>
            </w:pPr>
            <w:r w:rsidRPr="00F457FC">
              <w:rPr>
                <w:rFonts w:ascii="Arial Narrow" w:hAnsi="Arial Narrow"/>
                <w:color w:val="000000"/>
                <w:sz w:val="18"/>
                <w:szCs w:val="18"/>
              </w:rPr>
              <w:t>Dolní Loučky</w:t>
            </w:r>
          </w:p>
        </w:tc>
        <w:tc>
          <w:tcPr>
            <w:tcW w:w="780" w:type="dxa"/>
          </w:tcPr>
          <w:p w14:paraId="704B2A3A" w14:textId="2734DCA2" w:rsidR="00932E72" w:rsidRPr="00F457FC" w:rsidRDefault="00932E72" w:rsidP="00932E72">
            <w:pPr>
              <w:jc w:val="center"/>
              <w:rPr>
                <w:rFonts w:ascii="Arial Narrow" w:hAnsi="Arial Narrow"/>
                <w:color w:val="000000"/>
                <w:sz w:val="20"/>
                <w:szCs w:val="20"/>
              </w:rPr>
            </w:pPr>
            <w:r w:rsidRPr="00F457FC">
              <w:rPr>
                <w:rFonts w:ascii="Arial Narrow" w:hAnsi="Arial Narrow"/>
                <w:sz w:val="20"/>
                <w:szCs w:val="20"/>
              </w:rPr>
              <w:t>1 340</w:t>
            </w:r>
          </w:p>
        </w:tc>
        <w:tc>
          <w:tcPr>
            <w:tcW w:w="1347" w:type="dxa"/>
          </w:tcPr>
          <w:p w14:paraId="0E9FF287" w14:textId="6A683577" w:rsidR="00932E72" w:rsidRPr="00F457FC" w:rsidRDefault="00932E72" w:rsidP="00932E72">
            <w:pPr>
              <w:jc w:val="center"/>
              <w:rPr>
                <w:rFonts w:ascii="Arial Narrow" w:hAnsi="Arial Narrow"/>
                <w:bCs/>
                <w:color w:val="000000"/>
                <w:sz w:val="20"/>
                <w:szCs w:val="20"/>
              </w:rPr>
            </w:pPr>
            <w:r w:rsidRPr="00F457FC">
              <w:rPr>
                <w:rFonts w:ascii="Arial Narrow" w:hAnsi="Arial Narrow"/>
                <w:sz w:val="20"/>
                <w:szCs w:val="20"/>
              </w:rPr>
              <w:t>23</w:t>
            </w:r>
          </w:p>
        </w:tc>
        <w:tc>
          <w:tcPr>
            <w:tcW w:w="1746" w:type="dxa"/>
          </w:tcPr>
          <w:p w14:paraId="2927D779" w14:textId="0DCA9E8B" w:rsidR="00932E72" w:rsidRPr="00F457FC" w:rsidRDefault="00932E72" w:rsidP="00932E72">
            <w:pPr>
              <w:jc w:val="center"/>
              <w:rPr>
                <w:rFonts w:ascii="Arial Narrow" w:hAnsi="Arial Narrow"/>
                <w:sz w:val="20"/>
                <w:szCs w:val="20"/>
              </w:rPr>
            </w:pPr>
            <w:r w:rsidRPr="00F457FC">
              <w:rPr>
                <w:rFonts w:ascii="Arial Narrow" w:hAnsi="Arial Narrow"/>
                <w:sz w:val="20"/>
                <w:szCs w:val="20"/>
              </w:rPr>
              <w:t>1,7 %</w:t>
            </w:r>
          </w:p>
        </w:tc>
        <w:tc>
          <w:tcPr>
            <w:tcW w:w="551" w:type="dxa"/>
            <w:vAlign w:val="bottom"/>
          </w:tcPr>
          <w:p w14:paraId="7881F9C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7</w:t>
            </w:r>
          </w:p>
        </w:tc>
        <w:tc>
          <w:tcPr>
            <w:tcW w:w="523" w:type="dxa"/>
            <w:vAlign w:val="bottom"/>
          </w:tcPr>
          <w:p w14:paraId="2D58F3D5"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w:t>
            </w:r>
          </w:p>
        </w:tc>
        <w:tc>
          <w:tcPr>
            <w:tcW w:w="717" w:type="dxa"/>
            <w:vAlign w:val="bottom"/>
          </w:tcPr>
          <w:p w14:paraId="488EFB6F"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8</w:t>
            </w:r>
          </w:p>
        </w:tc>
        <w:tc>
          <w:tcPr>
            <w:tcW w:w="551" w:type="dxa"/>
            <w:vAlign w:val="bottom"/>
          </w:tcPr>
          <w:p w14:paraId="3050AEFC"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12</w:t>
            </w:r>
          </w:p>
        </w:tc>
        <w:tc>
          <w:tcPr>
            <w:tcW w:w="498" w:type="dxa"/>
            <w:vAlign w:val="bottom"/>
          </w:tcPr>
          <w:p w14:paraId="2255D55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3</w:t>
            </w:r>
          </w:p>
        </w:tc>
        <w:tc>
          <w:tcPr>
            <w:tcW w:w="824" w:type="dxa"/>
            <w:vAlign w:val="bottom"/>
          </w:tcPr>
          <w:p w14:paraId="51E60B46" w14:textId="77777777" w:rsidR="00932E72" w:rsidRPr="00F457FC" w:rsidRDefault="00932E72" w:rsidP="00932E72">
            <w:pPr>
              <w:jc w:val="center"/>
              <w:rPr>
                <w:rFonts w:ascii="Arial Narrow" w:hAnsi="Arial Narrow"/>
                <w:sz w:val="18"/>
                <w:szCs w:val="18"/>
              </w:rPr>
            </w:pPr>
            <w:r w:rsidRPr="00F457FC">
              <w:rPr>
                <w:rFonts w:ascii="Arial Narrow" w:hAnsi="Arial Narrow"/>
                <w:color w:val="000000"/>
                <w:sz w:val="18"/>
                <w:szCs w:val="18"/>
              </w:rPr>
              <w:t>15</w:t>
            </w:r>
          </w:p>
        </w:tc>
      </w:tr>
    </w:tbl>
    <w:p w14:paraId="4358D9CE" w14:textId="77777777" w:rsidR="00E55F93" w:rsidRPr="00F457FC" w:rsidRDefault="00E55F93" w:rsidP="00E32FA2">
      <w:pPr>
        <w:spacing w:after="240"/>
        <w:rPr>
          <w:rFonts w:ascii="Arial Narrow" w:hAnsi="Arial Narrow"/>
          <w:b/>
          <w:bCs/>
          <w:sz w:val="28"/>
          <w:szCs w:val="28"/>
        </w:rPr>
      </w:pPr>
      <w:r w:rsidRPr="00F457FC">
        <w:rPr>
          <w:rFonts w:ascii="Arial Narrow" w:hAnsi="Arial Narrow"/>
          <w:color w:val="000000"/>
          <w:sz w:val="20"/>
          <w:szCs w:val="20"/>
          <w:lang w:eastAsia="cs-CZ"/>
        </w:rPr>
        <w:t xml:space="preserve">Zdroj: </w:t>
      </w:r>
      <w:r w:rsidRPr="00F457FC">
        <w:rPr>
          <w:rFonts w:ascii="Arial Narrow" w:hAnsi="Arial Narrow"/>
          <w:sz w:val="20"/>
          <w:szCs w:val="20"/>
        </w:rPr>
        <w:t>Ministerstvo vnitra České republiky</w:t>
      </w:r>
      <w:r w:rsidRPr="00F457FC">
        <w:rPr>
          <w:rFonts w:ascii="Arial Narrow" w:hAnsi="Arial Narrow"/>
          <w:sz w:val="20"/>
          <w:szCs w:val="20"/>
        </w:rPr>
        <w:tab/>
      </w:r>
      <w:r w:rsidRPr="00F457FC">
        <w:rPr>
          <w:rFonts w:ascii="Arial Narrow" w:hAnsi="Arial Narrow"/>
          <w:sz w:val="20"/>
          <w:szCs w:val="20"/>
        </w:rPr>
        <w:tab/>
      </w:r>
      <w:r w:rsidRPr="00F457FC">
        <w:rPr>
          <w:rFonts w:ascii="Arial Narrow" w:hAnsi="Arial Narrow"/>
          <w:sz w:val="20"/>
          <w:szCs w:val="20"/>
        </w:rPr>
        <w:tab/>
      </w:r>
      <w:r w:rsidRPr="00F457FC">
        <w:rPr>
          <w:rFonts w:ascii="Arial Narrow" w:hAnsi="Arial Narrow"/>
          <w:sz w:val="20"/>
          <w:szCs w:val="20"/>
        </w:rPr>
        <w:tab/>
        <w:t xml:space="preserve">                         Graf: AUGUR </w:t>
      </w:r>
      <w:proofErr w:type="spellStart"/>
      <w:r w:rsidRPr="00F457FC">
        <w:rPr>
          <w:rFonts w:ascii="Arial Narrow" w:hAnsi="Arial Narrow"/>
          <w:sz w:val="20"/>
          <w:szCs w:val="20"/>
        </w:rPr>
        <w:t>Consulting</w:t>
      </w:r>
      <w:proofErr w:type="spellEnd"/>
      <w:r w:rsidRPr="00F457FC">
        <w:rPr>
          <w:rFonts w:ascii="Arial Narrow" w:hAnsi="Arial Narrow"/>
          <w:sz w:val="20"/>
          <w:szCs w:val="20"/>
        </w:rPr>
        <w:t xml:space="preserve"> s.r.o.</w:t>
      </w:r>
    </w:p>
    <w:p w14:paraId="3B62EACD" w14:textId="67C44AA3" w:rsidR="00E55F93" w:rsidRPr="00CE357F" w:rsidRDefault="00E55F93" w:rsidP="00E55F93">
      <w:pPr>
        <w:spacing w:line="276" w:lineRule="auto"/>
        <w:jc w:val="both"/>
        <w:rPr>
          <w:rFonts w:ascii="Arial Narrow" w:hAnsi="Arial Narrow"/>
          <w:b/>
          <w:bCs/>
          <w:sz w:val="20"/>
          <w:szCs w:val="20"/>
        </w:rPr>
      </w:pPr>
      <w:bookmarkStart w:id="801" w:name="_Toc94443818"/>
      <w:bookmarkStart w:id="802" w:name="_Toc136428973"/>
      <w:r w:rsidRPr="00F457FC">
        <w:rPr>
          <w:rFonts w:ascii="Arial Narrow" w:hAnsi="Arial Narrow"/>
          <w:b/>
          <w:sz w:val="20"/>
          <w:szCs w:val="20"/>
        </w:rPr>
        <w:t xml:space="preserve">Graf </w:t>
      </w:r>
      <w:r w:rsidRPr="00F457FC">
        <w:rPr>
          <w:rFonts w:ascii="Arial Narrow" w:hAnsi="Arial Narrow"/>
          <w:b/>
          <w:sz w:val="20"/>
          <w:szCs w:val="20"/>
        </w:rPr>
        <w:fldChar w:fldCharType="begin"/>
      </w:r>
      <w:r w:rsidRPr="00F457FC">
        <w:rPr>
          <w:rFonts w:ascii="Arial Narrow" w:hAnsi="Arial Narrow"/>
          <w:b/>
          <w:sz w:val="20"/>
          <w:szCs w:val="20"/>
        </w:rPr>
        <w:instrText xml:space="preserve"> SEQ Graf \* ARABIC </w:instrText>
      </w:r>
      <w:r w:rsidRPr="00F457FC">
        <w:rPr>
          <w:rFonts w:ascii="Arial Narrow" w:hAnsi="Arial Narrow"/>
          <w:b/>
          <w:sz w:val="20"/>
          <w:szCs w:val="20"/>
        </w:rPr>
        <w:fldChar w:fldCharType="separate"/>
      </w:r>
      <w:r w:rsidR="009F49C8" w:rsidRPr="00F457FC">
        <w:rPr>
          <w:rFonts w:ascii="Arial Narrow" w:hAnsi="Arial Narrow"/>
          <w:b/>
          <w:noProof/>
          <w:sz w:val="20"/>
          <w:szCs w:val="20"/>
        </w:rPr>
        <w:t>129</w:t>
      </w:r>
      <w:r w:rsidRPr="00F457FC">
        <w:rPr>
          <w:rFonts w:ascii="Arial Narrow" w:hAnsi="Arial Narrow"/>
          <w:b/>
          <w:sz w:val="20"/>
          <w:szCs w:val="20"/>
        </w:rPr>
        <w:fldChar w:fldCharType="end"/>
      </w:r>
      <w:r w:rsidRPr="00F457FC">
        <w:rPr>
          <w:rFonts w:ascii="Arial Narrow" w:hAnsi="Arial Narrow"/>
          <w:b/>
          <w:sz w:val="20"/>
          <w:szCs w:val="20"/>
        </w:rPr>
        <w:t>:</w:t>
      </w:r>
      <w:r w:rsidRPr="00F457FC">
        <w:rPr>
          <w:rFonts w:ascii="Arial Narrow" w:eastAsiaTheme="minorEastAsia" w:hAnsi="Arial Narrow" w:cstheme="minorBidi"/>
          <w:b/>
          <w:bCs/>
          <w:color w:val="000000" w:themeColor="text1"/>
          <w:kern w:val="24"/>
          <w:sz w:val="20"/>
          <w:szCs w:val="20"/>
          <w:lang w:eastAsia="cs-CZ"/>
        </w:rPr>
        <w:t xml:space="preserve"> </w:t>
      </w:r>
      <w:r w:rsidRPr="00F457FC">
        <w:rPr>
          <w:rFonts w:ascii="Arial Narrow" w:hAnsi="Arial Narrow"/>
          <w:b/>
          <w:bCs/>
          <w:sz w:val="20"/>
          <w:szCs w:val="20"/>
        </w:rPr>
        <w:t xml:space="preserve">Podíl osob s jinou než českou státní příslušností na celkovém počtu obyvatel </w:t>
      </w:r>
      <w:r w:rsidR="00F951BF" w:rsidRPr="00F457FC">
        <w:rPr>
          <w:rFonts w:ascii="Arial Narrow" w:hAnsi="Arial Narrow"/>
          <w:b/>
          <w:bCs/>
          <w:sz w:val="20"/>
          <w:szCs w:val="20"/>
        </w:rPr>
        <w:t xml:space="preserve">vybraných obcí </w:t>
      </w:r>
      <w:r w:rsidRPr="00F457FC">
        <w:rPr>
          <w:rFonts w:ascii="Arial Narrow" w:hAnsi="Arial Narrow"/>
          <w:b/>
          <w:bCs/>
          <w:sz w:val="20"/>
          <w:szCs w:val="20"/>
        </w:rPr>
        <w:t>k 1. 1. 202</w:t>
      </w:r>
      <w:bookmarkEnd w:id="801"/>
      <w:r w:rsidRPr="00F457FC">
        <w:rPr>
          <w:rFonts w:ascii="Arial Narrow" w:hAnsi="Arial Narrow"/>
          <w:b/>
          <w:bCs/>
          <w:sz w:val="20"/>
          <w:szCs w:val="20"/>
        </w:rPr>
        <w:t>3</w:t>
      </w:r>
      <w:bookmarkEnd w:id="802"/>
    </w:p>
    <w:p w14:paraId="5CD68387" w14:textId="34AD7533" w:rsidR="00E55F93" w:rsidRPr="00CE357F" w:rsidRDefault="00932E72" w:rsidP="00E55F93">
      <w:pPr>
        <w:spacing w:line="276" w:lineRule="auto"/>
        <w:rPr>
          <w:rFonts w:ascii="Arial Narrow" w:hAnsi="Arial Narrow"/>
        </w:rPr>
      </w:pPr>
      <w:r>
        <w:rPr>
          <w:noProof/>
          <w:lang w:eastAsia="cs-CZ"/>
        </w:rPr>
        <w:drawing>
          <wp:inline distT="0" distB="0" distL="0" distR="0" wp14:anchorId="7D7605A8" wp14:editId="7E4DC1A9">
            <wp:extent cx="5760720" cy="3792220"/>
            <wp:effectExtent l="0" t="0" r="11430" b="17780"/>
            <wp:docPr id="1776567618" name="Graf 1">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2C80AFB4" w14:textId="77777777" w:rsidR="00E55F93" w:rsidRPr="00CE357F" w:rsidRDefault="00E55F93" w:rsidP="00E55F93">
      <w:pPr>
        <w:spacing w:after="240"/>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767571BA" w14:textId="77777777" w:rsidR="00F951BF" w:rsidRPr="00CE357F" w:rsidRDefault="00C475C3" w:rsidP="00F951BF">
      <w:pPr>
        <w:spacing w:line="276" w:lineRule="auto"/>
        <w:rPr>
          <w:rFonts w:ascii="Arial Narrow" w:hAnsi="Arial Narrow"/>
          <w:b/>
          <w:bCs/>
          <w:color w:val="C00000"/>
        </w:rPr>
      </w:pPr>
      <w:r w:rsidRPr="00CE357F">
        <w:rPr>
          <w:rFonts w:ascii="Arial Narrow" w:hAnsi="Arial Narrow"/>
          <w:b/>
          <w:bCs/>
          <w:color w:val="C00000"/>
        </w:rPr>
        <w:t xml:space="preserve">Vývoj podílu osob s jinou než českou státní příslušností ve vybraných </w:t>
      </w:r>
      <w:r w:rsidR="00806D16" w:rsidRPr="00CE357F">
        <w:rPr>
          <w:rFonts w:ascii="Arial Narrow" w:hAnsi="Arial Narrow"/>
          <w:b/>
          <w:bCs/>
          <w:color w:val="C00000"/>
        </w:rPr>
        <w:t xml:space="preserve">obcích ORP Tišnov mezi lety </w:t>
      </w:r>
      <w:r w:rsidR="00F951BF">
        <w:rPr>
          <w:rFonts w:ascii="Arial Narrow" w:hAnsi="Arial Narrow"/>
          <w:b/>
          <w:bCs/>
          <w:color w:val="C00000"/>
        </w:rPr>
        <w:t>2006</w:t>
      </w:r>
      <w:r w:rsidR="00F951BF" w:rsidRPr="00CE357F">
        <w:rPr>
          <w:rFonts w:ascii="Arial Narrow" w:hAnsi="Arial Narrow"/>
          <w:b/>
          <w:bCs/>
          <w:color w:val="C00000"/>
        </w:rPr>
        <w:t>–</w:t>
      </w:r>
      <w:r w:rsidR="00F951BF">
        <w:rPr>
          <w:rFonts w:ascii="Arial Narrow" w:hAnsi="Arial Narrow"/>
          <w:b/>
          <w:bCs/>
          <w:color w:val="C00000"/>
        </w:rPr>
        <w:t>2023</w:t>
      </w:r>
    </w:p>
    <w:p w14:paraId="1298F46B" w14:textId="77777777" w:rsidR="00F951BF" w:rsidRPr="00CE357F" w:rsidRDefault="00F951BF" w:rsidP="00F951BF">
      <w:pPr>
        <w:spacing w:line="276" w:lineRule="auto"/>
        <w:jc w:val="both"/>
        <w:rPr>
          <w:rFonts w:ascii="Arial Narrow" w:hAnsi="Arial Narrow"/>
          <w:b/>
          <w:bCs/>
          <w:color w:val="C00000"/>
        </w:rPr>
      </w:pPr>
    </w:p>
    <w:p w14:paraId="10221234" w14:textId="4B64E89C" w:rsidR="00C475C3" w:rsidRPr="00E32FA2" w:rsidRDefault="00F951BF" w:rsidP="00E32FA2">
      <w:pPr>
        <w:spacing w:after="120" w:line="276" w:lineRule="auto"/>
        <w:jc w:val="both"/>
        <w:rPr>
          <w:rFonts w:ascii="Arial Narrow" w:hAnsi="Arial Narrow"/>
          <w:color w:val="000000"/>
        </w:rPr>
      </w:pPr>
      <w:r w:rsidRPr="00CE357F">
        <w:rPr>
          <w:rFonts w:ascii="Arial Narrow" w:hAnsi="Arial Narrow"/>
          <w:color w:val="000000"/>
        </w:rPr>
        <w:t xml:space="preserve">Podíváme-li se na obce s nejvyšším podílem osob s jinou než českou státní příslušností na celkovém počtu obyvatel obce </w:t>
      </w:r>
      <w:r>
        <w:rPr>
          <w:rFonts w:ascii="Arial Narrow" w:hAnsi="Arial Narrow"/>
          <w:color w:val="000000"/>
        </w:rPr>
        <w:t>k 1. 1. 2023, tedy na obce Lažánky (</w:t>
      </w:r>
      <w:r w:rsidR="00932E72">
        <w:rPr>
          <w:rFonts w:ascii="Arial Narrow" w:hAnsi="Arial Narrow"/>
          <w:color w:val="000000"/>
        </w:rPr>
        <w:t>30,8</w:t>
      </w:r>
      <w:r>
        <w:rPr>
          <w:rFonts w:ascii="Arial Narrow" w:hAnsi="Arial Narrow"/>
          <w:color w:val="000000"/>
        </w:rPr>
        <w:t xml:space="preserve"> %) a Běleč</w:t>
      </w:r>
      <w:r w:rsidRPr="00CE357F">
        <w:rPr>
          <w:rFonts w:ascii="Arial Narrow" w:hAnsi="Arial Narrow"/>
          <w:color w:val="000000"/>
        </w:rPr>
        <w:t xml:space="preserve"> </w:t>
      </w:r>
      <w:r>
        <w:rPr>
          <w:rFonts w:ascii="Arial Narrow" w:hAnsi="Arial Narrow"/>
          <w:color w:val="000000"/>
        </w:rPr>
        <w:t>(</w:t>
      </w:r>
      <w:r w:rsidR="00932E72">
        <w:rPr>
          <w:rFonts w:ascii="Arial Narrow" w:hAnsi="Arial Narrow"/>
          <w:color w:val="000000"/>
        </w:rPr>
        <w:t>18</w:t>
      </w:r>
      <w:r>
        <w:rPr>
          <w:rFonts w:ascii="Arial Narrow" w:hAnsi="Arial Narrow"/>
          <w:color w:val="000000"/>
        </w:rPr>
        <w:t xml:space="preserve"> %) </w:t>
      </w:r>
      <w:r w:rsidRPr="00CE357F">
        <w:rPr>
          <w:rFonts w:ascii="Arial Narrow" w:hAnsi="Arial Narrow"/>
          <w:color w:val="000000"/>
        </w:rPr>
        <w:t>z hlediska vývoje podílu osob s jinou než českou s</w:t>
      </w:r>
      <w:r>
        <w:rPr>
          <w:rFonts w:ascii="Arial Narrow" w:hAnsi="Arial Narrow"/>
          <w:color w:val="000000"/>
        </w:rPr>
        <w:t>tátní příslušností v letech 2006–2023, v obci Běleč mezi lety 2006 a 2022</w:t>
      </w:r>
      <w:r w:rsidRPr="00CE357F">
        <w:rPr>
          <w:rFonts w:ascii="Arial Narrow" w:hAnsi="Arial Narrow"/>
          <w:color w:val="000000"/>
        </w:rPr>
        <w:t xml:space="preserve"> bylo evidováno méně než 10 osob s jinou než českou státní příslušností. Podíl osob s jinou než českou stá</w:t>
      </w:r>
      <w:r>
        <w:rPr>
          <w:rFonts w:ascii="Arial Narrow" w:hAnsi="Arial Narrow"/>
          <w:color w:val="000000"/>
        </w:rPr>
        <w:t>tní příslušností v obci Lažánky zaznamenal mezi lety 2006 a 2023</w:t>
      </w:r>
      <w:r w:rsidRPr="00CE357F">
        <w:rPr>
          <w:rFonts w:ascii="Arial Narrow" w:hAnsi="Arial Narrow"/>
          <w:color w:val="000000"/>
        </w:rPr>
        <w:t xml:space="preserve"> značné změny</w:t>
      </w:r>
      <w:r>
        <w:rPr>
          <w:rFonts w:ascii="Arial Narrow" w:hAnsi="Arial Narrow"/>
          <w:color w:val="000000"/>
        </w:rPr>
        <w:t xml:space="preserve">. </w:t>
      </w:r>
      <w:r w:rsidR="009E2E6B">
        <w:rPr>
          <w:rFonts w:ascii="Arial Narrow" w:hAnsi="Arial Narrow"/>
          <w:color w:val="000000"/>
        </w:rPr>
        <w:t>K</w:t>
      </w:r>
      <w:r>
        <w:rPr>
          <w:rFonts w:ascii="Arial Narrow" w:hAnsi="Arial Narrow"/>
          <w:color w:val="000000"/>
        </w:rPr>
        <w:t> 1. 1. 2006</w:t>
      </w:r>
      <w:r w:rsidRPr="00CE357F">
        <w:rPr>
          <w:rFonts w:ascii="Arial Narrow" w:hAnsi="Arial Narrow"/>
          <w:color w:val="000000"/>
        </w:rPr>
        <w:t xml:space="preserve"> žilo na území této obce méně než 10 osob s jinou než českou příslušností, z</w:t>
      </w:r>
      <w:r w:rsidR="009E2E6B">
        <w:rPr>
          <w:rFonts w:ascii="Arial Narrow" w:hAnsi="Arial Narrow"/>
          <w:color w:val="000000"/>
        </w:rPr>
        <w:t> toho důvodu</w:t>
      </w:r>
      <w:r w:rsidRPr="00CE357F">
        <w:rPr>
          <w:rFonts w:ascii="Arial Narrow" w:hAnsi="Arial Narrow"/>
          <w:color w:val="000000"/>
        </w:rPr>
        <w:t xml:space="preserve"> nebyla zahrnuta do výpočtu podílu osob s jinou než českou státní příslušností na celkovém počtu oso</w:t>
      </w:r>
      <w:r>
        <w:rPr>
          <w:rFonts w:ascii="Arial Narrow" w:hAnsi="Arial Narrow"/>
          <w:color w:val="000000"/>
        </w:rPr>
        <w:t>b v dané obci</w:t>
      </w:r>
      <w:r w:rsidR="009E2E6B">
        <w:rPr>
          <w:rFonts w:ascii="Arial Narrow" w:hAnsi="Arial Narrow"/>
          <w:color w:val="000000"/>
        </w:rPr>
        <w:t>. K</w:t>
      </w:r>
      <w:r>
        <w:rPr>
          <w:rFonts w:ascii="Arial Narrow" w:hAnsi="Arial Narrow"/>
          <w:color w:val="000000"/>
        </w:rPr>
        <w:t> datu 1. 1. 202</w:t>
      </w:r>
      <w:r w:rsidR="009E2E6B">
        <w:rPr>
          <w:rFonts w:ascii="Arial Narrow" w:hAnsi="Arial Narrow"/>
          <w:color w:val="000000"/>
        </w:rPr>
        <w:t>2</w:t>
      </w:r>
      <w:r>
        <w:rPr>
          <w:rFonts w:ascii="Arial Narrow" w:hAnsi="Arial Narrow"/>
          <w:color w:val="000000"/>
        </w:rPr>
        <w:t xml:space="preserve"> žilo na území této obce 15</w:t>
      </w:r>
      <w:r w:rsidRPr="00CE357F">
        <w:rPr>
          <w:rFonts w:ascii="Arial Narrow" w:hAnsi="Arial Narrow"/>
          <w:color w:val="000000"/>
        </w:rPr>
        <w:t xml:space="preserve"> osob s jinou než </w:t>
      </w:r>
      <w:r w:rsidRPr="00CE357F">
        <w:rPr>
          <w:rFonts w:ascii="Arial Narrow" w:hAnsi="Arial Narrow"/>
          <w:color w:val="000000"/>
        </w:rPr>
        <w:lastRenderedPageBreak/>
        <w:t>českou stát</w:t>
      </w:r>
      <w:r>
        <w:rPr>
          <w:rFonts w:ascii="Arial Narrow" w:hAnsi="Arial Narrow"/>
          <w:color w:val="000000"/>
        </w:rPr>
        <w:t>ní příslušností, které tvořil</w:t>
      </w:r>
      <w:r w:rsidR="009E2E6B">
        <w:rPr>
          <w:rFonts w:ascii="Arial Narrow" w:hAnsi="Arial Narrow"/>
          <w:color w:val="000000"/>
        </w:rPr>
        <w:t>y</w:t>
      </w:r>
      <w:r>
        <w:rPr>
          <w:rFonts w:ascii="Arial Narrow" w:hAnsi="Arial Narrow"/>
          <w:color w:val="000000"/>
        </w:rPr>
        <w:t xml:space="preserve"> 2,1 % všech obyvatel této obce</w:t>
      </w:r>
      <w:r w:rsidR="009E2E6B">
        <w:rPr>
          <w:rFonts w:ascii="Arial Narrow" w:hAnsi="Arial Narrow"/>
          <w:color w:val="000000"/>
        </w:rPr>
        <w:t>,</w:t>
      </w:r>
      <w:r>
        <w:rPr>
          <w:rFonts w:ascii="Arial Narrow" w:hAnsi="Arial Narrow"/>
          <w:color w:val="000000"/>
        </w:rPr>
        <w:t xml:space="preserve"> k</w:t>
      </w:r>
      <w:r w:rsidR="009E2E6B">
        <w:rPr>
          <w:rFonts w:ascii="Arial Narrow" w:hAnsi="Arial Narrow"/>
          <w:color w:val="000000"/>
        </w:rPr>
        <w:t xml:space="preserve"> datu </w:t>
      </w:r>
      <w:r>
        <w:rPr>
          <w:rFonts w:ascii="Arial Narrow" w:hAnsi="Arial Narrow"/>
          <w:color w:val="000000"/>
        </w:rPr>
        <w:t>1. 1. 2023</w:t>
      </w:r>
      <w:r w:rsidRPr="00CE357F">
        <w:rPr>
          <w:rFonts w:ascii="Arial Narrow" w:hAnsi="Arial Narrow"/>
          <w:color w:val="000000"/>
        </w:rPr>
        <w:t xml:space="preserve"> </w:t>
      </w:r>
      <w:r>
        <w:rPr>
          <w:rFonts w:ascii="Arial Narrow" w:hAnsi="Arial Narrow"/>
          <w:color w:val="000000"/>
        </w:rPr>
        <w:t>se jejich počet zvýšil na 322</w:t>
      </w:r>
      <w:r w:rsidR="009E2E6B">
        <w:rPr>
          <w:rFonts w:ascii="Arial Narrow" w:hAnsi="Arial Narrow"/>
          <w:color w:val="000000"/>
        </w:rPr>
        <w:t xml:space="preserve"> osob</w:t>
      </w:r>
      <w:r>
        <w:rPr>
          <w:rFonts w:ascii="Arial Narrow" w:hAnsi="Arial Narrow"/>
          <w:color w:val="000000"/>
        </w:rPr>
        <w:t xml:space="preserve">, což bylo pravděpodobně </w:t>
      </w:r>
      <w:r w:rsidR="009E2E6B">
        <w:rPr>
          <w:rFonts w:ascii="Arial Narrow" w:hAnsi="Arial Narrow"/>
          <w:color w:val="000000"/>
        </w:rPr>
        <w:t>způsobeno</w:t>
      </w:r>
      <w:r>
        <w:rPr>
          <w:rFonts w:ascii="Arial Narrow" w:hAnsi="Arial Narrow"/>
          <w:color w:val="000000"/>
        </w:rPr>
        <w:t xml:space="preserve"> přílivem </w:t>
      </w:r>
      <w:r w:rsidR="00932E72">
        <w:rPr>
          <w:rFonts w:ascii="Arial Narrow" w:hAnsi="Arial Narrow"/>
          <w:color w:val="000000"/>
        </w:rPr>
        <w:t xml:space="preserve">osob </w:t>
      </w:r>
      <w:r>
        <w:rPr>
          <w:rFonts w:ascii="Arial Narrow" w:hAnsi="Arial Narrow"/>
          <w:color w:val="000000"/>
        </w:rPr>
        <w:t>z</w:t>
      </w:r>
      <w:r w:rsidR="00932E72">
        <w:rPr>
          <w:rFonts w:ascii="Arial Narrow" w:hAnsi="Arial Narrow"/>
          <w:color w:val="000000"/>
        </w:rPr>
        <w:t> </w:t>
      </w:r>
      <w:r>
        <w:rPr>
          <w:rFonts w:ascii="Arial Narrow" w:hAnsi="Arial Narrow"/>
          <w:color w:val="000000"/>
        </w:rPr>
        <w:t>Ukrajiny</w:t>
      </w:r>
      <w:r w:rsidR="00932E72">
        <w:rPr>
          <w:rFonts w:ascii="Arial Narrow" w:hAnsi="Arial Narrow"/>
          <w:color w:val="000000"/>
        </w:rPr>
        <w:t xml:space="preserve"> z důvodu válečného konfliktu</w:t>
      </w:r>
      <w:r>
        <w:rPr>
          <w:rFonts w:ascii="Arial Narrow" w:hAnsi="Arial Narrow"/>
          <w:color w:val="000000"/>
        </w:rPr>
        <w:t xml:space="preserve">. </w:t>
      </w:r>
      <w:r w:rsidRPr="00CE357F">
        <w:rPr>
          <w:rFonts w:ascii="Arial Narrow" w:hAnsi="Arial Narrow"/>
          <w:color w:val="000000"/>
        </w:rPr>
        <w:t>Vývoj podílu osob s jinou než českou státní příslušností na celko</w:t>
      </w:r>
      <w:r>
        <w:rPr>
          <w:rFonts w:ascii="Arial Narrow" w:hAnsi="Arial Narrow"/>
          <w:color w:val="000000"/>
        </w:rPr>
        <w:t>vém počtu obyvatel obcí Lažánky v letech 2006–2023 dokumentuje graf</w:t>
      </w:r>
      <w:r w:rsidR="00E32FA2">
        <w:rPr>
          <w:rFonts w:ascii="Arial Narrow" w:hAnsi="Arial Narrow"/>
          <w:color w:val="000000"/>
        </w:rPr>
        <w:t xml:space="preserve"> č. 130</w:t>
      </w:r>
      <w:r w:rsidRPr="00CE357F">
        <w:rPr>
          <w:rFonts w:ascii="Arial Narrow" w:hAnsi="Arial Narrow"/>
          <w:color w:val="000000"/>
        </w:rPr>
        <w:t>.</w:t>
      </w:r>
    </w:p>
    <w:p w14:paraId="100D0D1F" w14:textId="658C09BE" w:rsidR="001C4CC4" w:rsidRPr="00CE357F" w:rsidRDefault="001C4CC4" w:rsidP="001C4CC4">
      <w:pPr>
        <w:jc w:val="both"/>
        <w:rPr>
          <w:rFonts w:ascii="Arial Narrow" w:hAnsi="Arial Narrow"/>
          <w:b/>
          <w:bCs/>
          <w:sz w:val="20"/>
          <w:szCs w:val="20"/>
        </w:rPr>
      </w:pPr>
      <w:bookmarkStart w:id="803" w:name="_Toc94443820"/>
      <w:bookmarkStart w:id="804" w:name="_Toc136428974"/>
      <w:r w:rsidRPr="00F457FC">
        <w:rPr>
          <w:rFonts w:ascii="Arial Narrow" w:hAnsi="Arial Narrow"/>
          <w:b/>
          <w:bCs/>
          <w:sz w:val="20"/>
          <w:szCs w:val="20"/>
        </w:rPr>
        <w:t xml:space="preserve">Graf </w:t>
      </w:r>
      <w:r w:rsidRPr="00F457FC">
        <w:rPr>
          <w:rFonts w:ascii="Arial Narrow" w:hAnsi="Arial Narrow"/>
          <w:b/>
          <w:bCs/>
          <w:sz w:val="20"/>
          <w:szCs w:val="20"/>
        </w:rPr>
        <w:fldChar w:fldCharType="begin"/>
      </w:r>
      <w:r w:rsidRPr="00F457FC">
        <w:rPr>
          <w:rFonts w:ascii="Arial Narrow" w:hAnsi="Arial Narrow"/>
          <w:b/>
          <w:bCs/>
          <w:sz w:val="20"/>
          <w:szCs w:val="20"/>
        </w:rPr>
        <w:instrText xml:space="preserve"> SEQ Graf \* ARABIC </w:instrText>
      </w:r>
      <w:r w:rsidRPr="00F457FC">
        <w:rPr>
          <w:rFonts w:ascii="Arial Narrow" w:hAnsi="Arial Narrow"/>
          <w:b/>
          <w:bCs/>
          <w:sz w:val="20"/>
          <w:szCs w:val="20"/>
        </w:rPr>
        <w:fldChar w:fldCharType="separate"/>
      </w:r>
      <w:r w:rsidR="009F49C8" w:rsidRPr="00F457FC">
        <w:rPr>
          <w:rFonts w:ascii="Arial Narrow" w:hAnsi="Arial Narrow"/>
          <w:b/>
          <w:bCs/>
          <w:noProof/>
          <w:sz w:val="20"/>
          <w:szCs w:val="20"/>
        </w:rPr>
        <w:t>130</w:t>
      </w:r>
      <w:r w:rsidRPr="00F457FC">
        <w:rPr>
          <w:rFonts w:ascii="Arial Narrow" w:hAnsi="Arial Narrow"/>
          <w:b/>
          <w:bCs/>
          <w:sz w:val="20"/>
          <w:szCs w:val="20"/>
        </w:rPr>
        <w:fldChar w:fldCharType="end"/>
      </w:r>
      <w:r w:rsidRPr="00F457FC">
        <w:rPr>
          <w:rFonts w:ascii="Arial Narrow" w:hAnsi="Arial Narrow"/>
          <w:b/>
          <w:bCs/>
          <w:sz w:val="20"/>
          <w:szCs w:val="20"/>
        </w:rPr>
        <w:t>:</w:t>
      </w:r>
      <w:r w:rsidRPr="00F457FC">
        <w:rPr>
          <w:rFonts w:ascii="Arial Narrow" w:eastAsiaTheme="minorEastAsia" w:hAnsi="Arial Narrow" w:cstheme="minorBidi"/>
          <w:b/>
          <w:bCs/>
          <w:color w:val="000000" w:themeColor="text1"/>
          <w:kern w:val="24"/>
          <w:sz w:val="20"/>
          <w:szCs w:val="20"/>
          <w:lang w:eastAsia="cs-CZ"/>
        </w:rPr>
        <w:t xml:space="preserve"> </w:t>
      </w:r>
      <w:r w:rsidRPr="00F457FC">
        <w:rPr>
          <w:rFonts w:ascii="Arial Narrow" w:hAnsi="Arial Narrow"/>
          <w:b/>
          <w:bCs/>
          <w:sz w:val="20"/>
          <w:szCs w:val="20"/>
        </w:rPr>
        <w:t>Vývoj podílu osob s jinou než českou státní příslušností na celkovém počtu obyvatel obce Lažánky v letech 2008-202</w:t>
      </w:r>
      <w:bookmarkEnd w:id="803"/>
      <w:r w:rsidRPr="00F457FC">
        <w:rPr>
          <w:rFonts w:ascii="Arial Narrow" w:hAnsi="Arial Narrow"/>
          <w:b/>
          <w:bCs/>
          <w:sz w:val="20"/>
          <w:szCs w:val="20"/>
        </w:rPr>
        <w:t>3</w:t>
      </w:r>
      <w:bookmarkEnd w:id="804"/>
    </w:p>
    <w:p w14:paraId="5FBD2B10" w14:textId="72A39B4C" w:rsidR="001C4CC4" w:rsidRPr="00CE357F" w:rsidRDefault="00932E72" w:rsidP="001C4CC4">
      <w:pPr>
        <w:spacing w:line="276" w:lineRule="auto"/>
        <w:rPr>
          <w:rFonts w:ascii="Arial Narrow" w:hAnsi="Arial Narrow"/>
        </w:rPr>
      </w:pPr>
      <w:r>
        <w:rPr>
          <w:noProof/>
          <w:lang w:eastAsia="cs-CZ"/>
        </w:rPr>
        <w:drawing>
          <wp:inline distT="0" distB="0" distL="0" distR="0" wp14:anchorId="0989A747" wp14:editId="68B8C601">
            <wp:extent cx="5760720" cy="1817370"/>
            <wp:effectExtent l="0" t="0" r="11430" b="11430"/>
            <wp:docPr id="1692286094" name="Graf 1">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210CF15E" w14:textId="41E81A77" w:rsidR="009E2E6B" w:rsidRPr="00CE357F" w:rsidRDefault="001C4CC4" w:rsidP="001C4CC4">
      <w:pPr>
        <w:spacing w:after="240" w:line="276" w:lineRule="auto"/>
        <w:rPr>
          <w:rFonts w:ascii="Arial Narrow" w:hAnsi="Arial Narrow"/>
          <w:sz w:val="20"/>
          <w:szCs w:val="20"/>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r w:rsidR="009E2E6B">
        <w:rPr>
          <w:rFonts w:ascii="Arial Narrow" w:hAnsi="Arial Narrow"/>
          <w:sz w:val="20"/>
          <w:szCs w:val="20"/>
        </w:rPr>
        <w:br/>
      </w:r>
    </w:p>
    <w:p w14:paraId="418D24D0" w14:textId="36F3F5E7" w:rsidR="00E95550" w:rsidRPr="00CE357F" w:rsidRDefault="004B3A4B" w:rsidP="00C475C3">
      <w:pPr>
        <w:pStyle w:val="Nadpis3"/>
      </w:pPr>
      <w:bookmarkStart w:id="805" w:name="_Toc136876145"/>
      <w:r w:rsidRPr="00CE357F">
        <w:t>Zaměstnanost v</w:t>
      </w:r>
      <w:r w:rsidR="00C475C3" w:rsidRPr="00CE357F">
        <w:t> ORP T</w:t>
      </w:r>
      <w:r w:rsidRPr="00CE357F">
        <w:t>išnov</w:t>
      </w:r>
      <w:bookmarkEnd w:id="805"/>
    </w:p>
    <w:p w14:paraId="64C49DA9" w14:textId="77777777" w:rsidR="00C475C3" w:rsidRPr="00CE357F" w:rsidRDefault="00C475C3" w:rsidP="00C475C3">
      <w:pPr>
        <w:rPr>
          <w:rFonts w:ascii="Arial Narrow" w:hAnsi="Arial Narrow"/>
        </w:rPr>
      </w:pPr>
    </w:p>
    <w:p w14:paraId="5ECA1C2C" w14:textId="77777777" w:rsidR="00E95550" w:rsidRPr="00CE357F" w:rsidRDefault="00E95550" w:rsidP="00732A00">
      <w:pPr>
        <w:rPr>
          <w:rFonts w:ascii="Arial Narrow" w:hAnsi="Arial Narrow"/>
        </w:rPr>
      </w:pPr>
    </w:p>
    <w:p w14:paraId="6792A8BE" w14:textId="3B654F1E" w:rsidR="009E2E6B" w:rsidRPr="00CE357F" w:rsidRDefault="009E2E6B" w:rsidP="009E2E6B">
      <w:pPr>
        <w:spacing w:after="120" w:line="276" w:lineRule="auto"/>
        <w:jc w:val="both"/>
        <w:rPr>
          <w:rFonts w:ascii="Arial Narrow" w:hAnsi="Arial Narrow"/>
        </w:rPr>
      </w:pPr>
      <w:bookmarkStart w:id="806" w:name="_Toc94215427"/>
      <w:r w:rsidRPr="7CC7BF57">
        <w:rPr>
          <w:rFonts w:ascii="Arial Narrow" w:hAnsi="Arial Narrow"/>
        </w:rPr>
        <w:t>Za měsí</w:t>
      </w:r>
      <w:r w:rsidR="005F4F07">
        <w:rPr>
          <w:rFonts w:ascii="Arial Narrow" w:hAnsi="Arial Narrow"/>
        </w:rPr>
        <w:t xml:space="preserve">c </w:t>
      </w:r>
      <w:r w:rsidRPr="7CC7BF57">
        <w:rPr>
          <w:rFonts w:ascii="Arial Narrow" w:hAnsi="Arial Narrow"/>
        </w:rPr>
        <w:t xml:space="preserve">prosinec roku 2022 bylo v ORP Tišnov evidováno celkem 758 uchazečů o zaměstnání. Podíl nezaměstnanosti v ORP Tišnov od roku 2014 klesal, mírný nárůst lze zaznamenat v letech 2020 a 2021, což může souviset s dopady celosvětové pandemie viru SARS-CoV-2. </w:t>
      </w:r>
    </w:p>
    <w:p w14:paraId="006069B4" w14:textId="77777777" w:rsidR="009E2E6B" w:rsidRPr="00CE357F" w:rsidRDefault="009E2E6B" w:rsidP="009E2E6B">
      <w:pPr>
        <w:spacing w:after="120" w:line="276" w:lineRule="auto"/>
        <w:jc w:val="both"/>
        <w:rPr>
          <w:rFonts w:ascii="Arial Narrow" w:hAnsi="Arial Narrow"/>
        </w:rPr>
      </w:pPr>
      <w:r w:rsidRPr="00CE357F">
        <w:rPr>
          <w:rFonts w:ascii="Arial Narrow" w:hAnsi="Arial Narrow"/>
        </w:rPr>
        <w:t>Podíváme-li se na vývoj počtu uchazečů o zaměstnání v ORP Tišnov v letech 2005–</w:t>
      </w:r>
      <w:r>
        <w:rPr>
          <w:rFonts w:ascii="Arial Narrow" w:hAnsi="Arial Narrow"/>
        </w:rPr>
        <w:t>2022</w:t>
      </w:r>
      <w:r w:rsidRPr="00CE357F">
        <w:rPr>
          <w:rFonts w:ascii="Arial Narrow" w:hAnsi="Arial Narrow"/>
        </w:rPr>
        <w:t xml:space="preserve">, mezi lety 2009–2011 je patrný výrazný nárůst počtu uchazečů o zaměstnání, který může v tomto období souviset s dopady celosvětové ekonomické krize. V letech 2012 a 2013 počty uchazečů o zaměstnání klesly, nicméně od roku 2014 je patrný opětovný prudký nárůst. Od roku 2017 se počet uchazečů opět snížil, nicméně meziročně se drží na konstantních počtech, podobně jako v období let 2006–2008. </w:t>
      </w:r>
    </w:p>
    <w:p w14:paraId="0DC3C85B" w14:textId="77777777" w:rsidR="009E2E6B" w:rsidRPr="00CE357F" w:rsidRDefault="009E2E6B" w:rsidP="009E2E6B">
      <w:pPr>
        <w:spacing w:after="120" w:line="276" w:lineRule="auto"/>
        <w:jc w:val="both"/>
        <w:rPr>
          <w:rFonts w:ascii="Arial Narrow" w:hAnsi="Arial Narrow"/>
        </w:rPr>
      </w:pPr>
      <w:r w:rsidRPr="00CE357F">
        <w:rPr>
          <w:rFonts w:ascii="Arial Narrow" w:hAnsi="Arial Narrow"/>
        </w:rPr>
        <w:t xml:space="preserve">Nejnižší počet uchazečů o zaměstnání v ORP Tišnov byl zaznamenán v roce 2013 (391 uchazečů), následoval jejich prudký nárůst, a to na 1 442 uchazečů v prosinci roku 2014. Do roku 2019 počet uchazečů o zaměstnání v ORP mírně klesal a nárůst počtu uchazečů je patrný opět až v roce 2020, což může souviset s dopady celosvětové pandemie viru SARS-CoV-2. </w:t>
      </w:r>
    </w:p>
    <w:p w14:paraId="3441D687" w14:textId="77777777" w:rsidR="00E32FA2" w:rsidRDefault="009E2E6B" w:rsidP="009E2E6B">
      <w:pPr>
        <w:spacing w:after="120" w:line="276" w:lineRule="auto"/>
        <w:jc w:val="both"/>
        <w:rPr>
          <w:rFonts w:ascii="Arial Narrow" w:hAnsi="Arial Narrow"/>
        </w:rPr>
      </w:pPr>
      <w:r w:rsidRPr="00CE357F">
        <w:rPr>
          <w:rFonts w:ascii="Arial Narrow" w:hAnsi="Arial Narrow"/>
        </w:rPr>
        <w:t>Nejvyšší počet evidovaných uchazečů o zaměstnání připadajících na 1 volné pracovní místo v ORP Tišnov byl zaznamenán v roce 2011 (27,2 uchazečů na 1 volné místo). Vysoký počet uchazečů o zaměstnání připadajících na 1 volné pracovní místo byl zaznamenán také v roce 2012 a 2014 (22,0 v roce 2012 a 20,3 v roce 2014). Od roku 2018</w:t>
      </w:r>
      <w:r>
        <w:rPr>
          <w:rFonts w:ascii="Arial Narrow" w:hAnsi="Arial Narrow"/>
        </w:rPr>
        <w:t xml:space="preserve"> do roku 2022</w:t>
      </w:r>
      <w:r w:rsidRPr="00CE357F">
        <w:rPr>
          <w:rFonts w:ascii="Arial Narrow" w:hAnsi="Arial Narrow"/>
        </w:rPr>
        <w:t xml:space="preserve"> je pak počet uchazečů o zaměstnání připadajících na 1 volné pracovní místo v ORP Tišnov nízký, a to přesto, že volných pracovních míst v těchto letech oproti předchozímu období výrazně přibylo. J</w:t>
      </w:r>
      <w:r>
        <w:rPr>
          <w:rFonts w:ascii="Arial Narrow" w:hAnsi="Arial Narrow"/>
        </w:rPr>
        <w:t>edná se v průměru o 2,4</w:t>
      </w:r>
      <w:r w:rsidRPr="00CE357F">
        <w:rPr>
          <w:rFonts w:ascii="Arial Narrow" w:hAnsi="Arial Narrow"/>
        </w:rPr>
        <w:t xml:space="preserve"> uchazeče o zaměstnání připadajících na 1 pracovní místo. Jedná se o nejnižší počty uchazečů o zaměstnání za sledované období, podobné počty byly zaznamenány pouze v roce 2007. Vývoj počtu uchazečů o zaměstnání a volných pracovních míst v ORP Tišnov v letech 2005–</w:t>
      </w:r>
      <w:r>
        <w:rPr>
          <w:rFonts w:ascii="Arial Narrow" w:hAnsi="Arial Narrow"/>
        </w:rPr>
        <w:t>2022</w:t>
      </w:r>
      <w:r w:rsidRPr="00CE357F">
        <w:rPr>
          <w:rFonts w:ascii="Arial Narrow" w:hAnsi="Arial Narrow"/>
        </w:rPr>
        <w:t xml:space="preserve"> podrobně dokumentuje následující tabulka</w:t>
      </w:r>
      <w:r w:rsidR="00E32FA2">
        <w:rPr>
          <w:rFonts w:ascii="Arial Narrow" w:hAnsi="Arial Narrow"/>
        </w:rPr>
        <w:t xml:space="preserve"> č. 61</w:t>
      </w:r>
      <w:r w:rsidRPr="00CE357F">
        <w:rPr>
          <w:rFonts w:ascii="Arial Narrow" w:hAnsi="Arial Narrow"/>
        </w:rPr>
        <w:t>.</w:t>
      </w:r>
    </w:p>
    <w:p w14:paraId="6C38C06E" w14:textId="61487874" w:rsidR="009E2E6B" w:rsidRPr="00CE357F" w:rsidRDefault="009E2E6B" w:rsidP="009E2E6B">
      <w:pPr>
        <w:spacing w:after="120" w:line="276" w:lineRule="auto"/>
        <w:jc w:val="both"/>
        <w:rPr>
          <w:rFonts w:ascii="Arial Narrow" w:hAnsi="Arial Narrow"/>
        </w:rPr>
      </w:pPr>
      <w:r w:rsidRPr="00CE357F">
        <w:rPr>
          <w:rFonts w:ascii="Arial Narrow" w:hAnsi="Arial Narrow"/>
        </w:rPr>
        <w:t xml:space="preserve"> </w:t>
      </w:r>
    </w:p>
    <w:p w14:paraId="583B2A67" w14:textId="57C14D10" w:rsidR="009E2E6B" w:rsidRPr="00CE357F" w:rsidRDefault="009E2E6B" w:rsidP="009E2E6B">
      <w:pPr>
        <w:spacing w:line="276" w:lineRule="auto"/>
        <w:jc w:val="both"/>
        <w:rPr>
          <w:rFonts w:ascii="Arial Narrow" w:hAnsi="Arial Narrow"/>
          <w:b/>
          <w:bCs/>
          <w:sz w:val="24"/>
          <w:szCs w:val="24"/>
        </w:rPr>
      </w:pPr>
      <w:bookmarkStart w:id="807" w:name="_Toc136429272"/>
      <w:r w:rsidRPr="00CE357F">
        <w:rPr>
          <w:rFonts w:ascii="Arial Narrow" w:hAnsi="Arial Narrow"/>
          <w:b/>
          <w:bCs/>
          <w:sz w:val="20"/>
          <w:szCs w:val="20"/>
        </w:rPr>
        <w:lastRenderedPageBreak/>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61</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Vývoj počtu uchazečů o zaměstnání a volných pracovních míst v ORP Tišnov v letech 2005-2021</w:t>
      </w:r>
      <w:bookmarkEnd w:id="807"/>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829"/>
        <w:gridCol w:w="1253"/>
        <w:gridCol w:w="1195"/>
        <w:gridCol w:w="1283"/>
        <w:gridCol w:w="1363"/>
        <w:gridCol w:w="1490"/>
        <w:gridCol w:w="1544"/>
      </w:tblGrid>
      <w:tr w:rsidR="009E2E6B" w:rsidRPr="00CE357F" w14:paraId="62C4B76E" w14:textId="77777777" w:rsidTr="004A0C47">
        <w:trPr>
          <w:trHeight w:val="564"/>
        </w:trPr>
        <w:tc>
          <w:tcPr>
            <w:tcW w:w="829" w:type="dxa"/>
            <w:shd w:val="clear" w:color="auto" w:fill="D9E2F3" w:themeFill="accent1" w:themeFillTint="33"/>
            <w:vAlign w:val="center"/>
          </w:tcPr>
          <w:p w14:paraId="70D6A7BA" w14:textId="77777777" w:rsidR="009E2E6B" w:rsidRPr="00CE357F" w:rsidRDefault="009E2E6B" w:rsidP="004A0C47">
            <w:pPr>
              <w:spacing w:after="46" w:line="256" w:lineRule="auto"/>
              <w:jc w:val="center"/>
              <w:rPr>
                <w:rFonts w:ascii="Arial Narrow" w:hAnsi="Arial Narrow"/>
                <w:sz w:val="18"/>
                <w:szCs w:val="18"/>
              </w:rPr>
            </w:pPr>
          </w:p>
        </w:tc>
        <w:tc>
          <w:tcPr>
            <w:tcW w:w="1253" w:type="dxa"/>
            <w:shd w:val="clear" w:color="auto" w:fill="D9E2F3" w:themeFill="accent1" w:themeFillTint="33"/>
            <w:vAlign w:val="center"/>
          </w:tcPr>
          <w:p w14:paraId="75ED8380" w14:textId="77777777" w:rsidR="009E2E6B" w:rsidRPr="00CE357F" w:rsidRDefault="009E2E6B" w:rsidP="004A0C47">
            <w:pPr>
              <w:spacing w:after="46" w:line="256" w:lineRule="auto"/>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Uchazeči o zaměstnání</w:t>
            </w:r>
          </w:p>
        </w:tc>
        <w:tc>
          <w:tcPr>
            <w:tcW w:w="1195" w:type="dxa"/>
            <w:shd w:val="clear" w:color="auto" w:fill="D9E2F3" w:themeFill="accent1" w:themeFillTint="33"/>
            <w:vAlign w:val="center"/>
          </w:tcPr>
          <w:p w14:paraId="33DACC4C" w14:textId="77777777" w:rsidR="009E2E6B" w:rsidRPr="00CE357F" w:rsidRDefault="009E2E6B" w:rsidP="004A0C47">
            <w:pPr>
              <w:spacing w:after="46" w:line="256" w:lineRule="auto"/>
              <w:jc w:val="center"/>
              <w:rPr>
                <w:rFonts w:ascii="Arial Narrow" w:hAnsi="Arial Narrow"/>
                <w:bCs/>
                <w:sz w:val="18"/>
                <w:szCs w:val="18"/>
              </w:rPr>
            </w:pPr>
            <w:r w:rsidRPr="00CE357F">
              <w:rPr>
                <w:rFonts w:ascii="Arial Narrow" w:hAnsi="Arial Narrow"/>
                <w:bCs/>
                <w:sz w:val="18"/>
                <w:szCs w:val="18"/>
              </w:rPr>
              <w:t>Dosažitelní uchazeči 15–64 let</w:t>
            </w:r>
          </w:p>
        </w:tc>
        <w:tc>
          <w:tcPr>
            <w:tcW w:w="1283" w:type="dxa"/>
            <w:shd w:val="clear" w:color="auto" w:fill="D9E2F3" w:themeFill="accent1" w:themeFillTint="33"/>
            <w:vAlign w:val="center"/>
          </w:tcPr>
          <w:p w14:paraId="6BDC50C1" w14:textId="77777777" w:rsidR="009E2E6B" w:rsidRPr="00CE357F" w:rsidRDefault="009E2E6B" w:rsidP="004A0C47">
            <w:pPr>
              <w:spacing w:after="46" w:line="256" w:lineRule="auto"/>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Obyvatelstvo 15–64 let</w:t>
            </w:r>
          </w:p>
        </w:tc>
        <w:tc>
          <w:tcPr>
            <w:tcW w:w="1363" w:type="dxa"/>
            <w:shd w:val="clear" w:color="auto" w:fill="D9E2F3" w:themeFill="accent1" w:themeFillTint="33"/>
            <w:vAlign w:val="center"/>
          </w:tcPr>
          <w:p w14:paraId="7E12F173" w14:textId="77777777" w:rsidR="009E2E6B" w:rsidRPr="00CE357F" w:rsidRDefault="009E2E6B" w:rsidP="004A0C47">
            <w:pPr>
              <w:spacing w:after="46" w:line="256" w:lineRule="auto"/>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Podíl nezaměstnanosti osob (v %)</w:t>
            </w:r>
          </w:p>
        </w:tc>
        <w:tc>
          <w:tcPr>
            <w:tcW w:w="1490" w:type="dxa"/>
            <w:shd w:val="clear" w:color="auto" w:fill="D9E2F3" w:themeFill="accent1" w:themeFillTint="33"/>
            <w:vAlign w:val="center"/>
          </w:tcPr>
          <w:p w14:paraId="37C5B400" w14:textId="77777777" w:rsidR="009E2E6B" w:rsidRPr="00CE357F" w:rsidRDefault="009E2E6B" w:rsidP="004A0C47">
            <w:pPr>
              <w:spacing w:after="46" w:line="256" w:lineRule="auto"/>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Volná pracovní místa</w:t>
            </w:r>
          </w:p>
        </w:tc>
        <w:tc>
          <w:tcPr>
            <w:tcW w:w="1544" w:type="dxa"/>
            <w:shd w:val="clear" w:color="auto" w:fill="D9E2F3" w:themeFill="accent1" w:themeFillTint="33"/>
          </w:tcPr>
          <w:p w14:paraId="36973B24" w14:textId="77777777" w:rsidR="009E2E6B" w:rsidRPr="00CE357F" w:rsidRDefault="009E2E6B" w:rsidP="004A0C47">
            <w:pPr>
              <w:spacing w:after="46" w:line="256" w:lineRule="auto"/>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Počet uchazečů připadajících na 1 volné pracovní místo</w:t>
            </w:r>
          </w:p>
        </w:tc>
      </w:tr>
      <w:tr w:rsidR="009E2E6B" w:rsidRPr="00CE357F" w14:paraId="06DC0DF3" w14:textId="77777777" w:rsidTr="004A0C47">
        <w:trPr>
          <w:trHeight w:val="204"/>
        </w:trPr>
        <w:tc>
          <w:tcPr>
            <w:tcW w:w="829" w:type="dxa"/>
            <w:shd w:val="clear" w:color="auto" w:fill="D9E2F3" w:themeFill="accent1" w:themeFillTint="33"/>
            <w:vAlign w:val="center"/>
          </w:tcPr>
          <w:p w14:paraId="2FBDF19F" w14:textId="77777777" w:rsidR="009E2E6B" w:rsidRPr="00CE357F" w:rsidRDefault="009E2E6B" w:rsidP="004A0C47">
            <w:pPr>
              <w:spacing w:line="256" w:lineRule="auto"/>
              <w:jc w:val="center"/>
              <w:rPr>
                <w:rFonts w:ascii="Arial Narrow" w:hAnsi="Arial Narrow" w:cs="Arial"/>
                <w:b/>
                <w:sz w:val="18"/>
                <w:szCs w:val="18"/>
              </w:rPr>
            </w:pPr>
            <w:r>
              <w:rPr>
                <w:rFonts w:ascii="Arial Narrow" w:hAnsi="Arial Narrow" w:cs="Arial"/>
                <w:b/>
                <w:sz w:val="18"/>
                <w:szCs w:val="18"/>
              </w:rPr>
              <w:t>2022</w:t>
            </w:r>
          </w:p>
        </w:tc>
        <w:tc>
          <w:tcPr>
            <w:tcW w:w="1253" w:type="dxa"/>
            <w:vAlign w:val="center"/>
          </w:tcPr>
          <w:p w14:paraId="24EB2180" w14:textId="77777777" w:rsidR="009E2E6B" w:rsidRPr="00CE357F" w:rsidRDefault="009E2E6B" w:rsidP="004A0C47">
            <w:pPr>
              <w:spacing w:line="256" w:lineRule="auto"/>
              <w:jc w:val="center"/>
              <w:rPr>
                <w:rFonts w:ascii="Arial Narrow" w:hAnsi="Arial Narrow"/>
                <w:bCs/>
                <w:sz w:val="18"/>
                <w:szCs w:val="18"/>
              </w:rPr>
            </w:pPr>
            <w:r>
              <w:rPr>
                <w:rFonts w:ascii="Arial Narrow" w:hAnsi="Arial Narrow"/>
                <w:bCs/>
                <w:sz w:val="18"/>
                <w:szCs w:val="18"/>
              </w:rPr>
              <w:t>758</w:t>
            </w:r>
          </w:p>
        </w:tc>
        <w:tc>
          <w:tcPr>
            <w:tcW w:w="1195" w:type="dxa"/>
            <w:vAlign w:val="center"/>
          </w:tcPr>
          <w:p w14:paraId="6B7102F0" w14:textId="77777777" w:rsidR="009E2E6B" w:rsidRPr="00CE357F" w:rsidRDefault="009E2E6B" w:rsidP="004A0C47">
            <w:pPr>
              <w:spacing w:line="256" w:lineRule="auto"/>
              <w:jc w:val="center"/>
              <w:rPr>
                <w:rFonts w:ascii="Arial Narrow" w:hAnsi="Arial Narrow"/>
                <w:sz w:val="18"/>
                <w:szCs w:val="18"/>
              </w:rPr>
            </w:pPr>
            <w:r>
              <w:rPr>
                <w:rFonts w:ascii="Arial Narrow" w:hAnsi="Arial Narrow"/>
                <w:sz w:val="18"/>
                <w:szCs w:val="18"/>
              </w:rPr>
              <w:t>723</w:t>
            </w:r>
          </w:p>
        </w:tc>
        <w:tc>
          <w:tcPr>
            <w:tcW w:w="1283" w:type="dxa"/>
            <w:vAlign w:val="center"/>
          </w:tcPr>
          <w:p w14:paraId="698AB06A" w14:textId="77777777" w:rsidR="009E2E6B" w:rsidRPr="00CE357F" w:rsidRDefault="009E2E6B" w:rsidP="004A0C47">
            <w:pPr>
              <w:spacing w:line="256" w:lineRule="auto"/>
              <w:jc w:val="center"/>
              <w:rPr>
                <w:rFonts w:ascii="Arial Narrow" w:hAnsi="Arial Narrow"/>
                <w:sz w:val="18"/>
                <w:szCs w:val="18"/>
              </w:rPr>
            </w:pPr>
            <w:r>
              <w:rPr>
                <w:rFonts w:ascii="Arial Narrow" w:hAnsi="Arial Narrow"/>
                <w:sz w:val="18"/>
                <w:szCs w:val="18"/>
              </w:rPr>
              <w:t>19 716</w:t>
            </w:r>
          </w:p>
        </w:tc>
        <w:tc>
          <w:tcPr>
            <w:tcW w:w="1363" w:type="dxa"/>
            <w:vAlign w:val="center"/>
          </w:tcPr>
          <w:p w14:paraId="089EBCD6" w14:textId="77777777" w:rsidR="009E2E6B" w:rsidRPr="00CE357F" w:rsidRDefault="009E2E6B" w:rsidP="004A0C47">
            <w:pPr>
              <w:spacing w:line="256" w:lineRule="auto"/>
              <w:jc w:val="center"/>
              <w:rPr>
                <w:rFonts w:ascii="Arial Narrow" w:hAnsi="Arial Narrow"/>
                <w:sz w:val="18"/>
                <w:szCs w:val="18"/>
              </w:rPr>
            </w:pPr>
            <w:r>
              <w:rPr>
                <w:rFonts w:ascii="Arial Narrow" w:hAnsi="Arial Narrow"/>
                <w:sz w:val="18"/>
                <w:szCs w:val="18"/>
              </w:rPr>
              <w:t>3,7</w:t>
            </w:r>
          </w:p>
        </w:tc>
        <w:tc>
          <w:tcPr>
            <w:tcW w:w="1490" w:type="dxa"/>
            <w:vAlign w:val="center"/>
          </w:tcPr>
          <w:p w14:paraId="4CBF078D" w14:textId="77777777" w:rsidR="009E2E6B" w:rsidRPr="00CE357F" w:rsidRDefault="009E2E6B" w:rsidP="004A0C47">
            <w:pPr>
              <w:spacing w:line="256" w:lineRule="auto"/>
              <w:jc w:val="center"/>
              <w:rPr>
                <w:rFonts w:ascii="Arial Narrow" w:hAnsi="Arial Narrow"/>
                <w:b/>
                <w:bCs/>
                <w:color w:val="C00000"/>
                <w:sz w:val="18"/>
                <w:szCs w:val="18"/>
              </w:rPr>
            </w:pPr>
            <w:r>
              <w:rPr>
                <w:rFonts w:ascii="Arial Narrow" w:hAnsi="Arial Narrow"/>
                <w:b/>
                <w:bCs/>
                <w:color w:val="C00000"/>
                <w:sz w:val="18"/>
                <w:szCs w:val="18"/>
              </w:rPr>
              <w:t>245</w:t>
            </w:r>
          </w:p>
        </w:tc>
        <w:tc>
          <w:tcPr>
            <w:tcW w:w="1544" w:type="dxa"/>
          </w:tcPr>
          <w:p w14:paraId="579193B3" w14:textId="77777777" w:rsidR="009E2E6B" w:rsidRPr="00CE357F" w:rsidRDefault="009E2E6B" w:rsidP="004A0C47">
            <w:pPr>
              <w:spacing w:line="256" w:lineRule="auto"/>
              <w:jc w:val="center"/>
              <w:rPr>
                <w:rFonts w:ascii="Arial Narrow" w:hAnsi="Arial Narrow"/>
                <w:sz w:val="18"/>
                <w:szCs w:val="18"/>
              </w:rPr>
            </w:pPr>
            <w:r>
              <w:rPr>
                <w:rFonts w:ascii="Arial Narrow" w:hAnsi="Arial Narrow"/>
                <w:sz w:val="18"/>
                <w:szCs w:val="18"/>
              </w:rPr>
              <w:t>3,1</w:t>
            </w:r>
          </w:p>
        </w:tc>
      </w:tr>
      <w:tr w:rsidR="009E2E6B" w:rsidRPr="00CE357F" w14:paraId="230012E8" w14:textId="77777777" w:rsidTr="004A0C47">
        <w:trPr>
          <w:trHeight w:val="204"/>
        </w:trPr>
        <w:tc>
          <w:tcPr>
            <w:tcW w:w="829" w:type="dxa"/>
            <w:shd w:val="clear" w:color="auto" w:fill="D9E2F3" w:themeFill="accent1" w:themeFillTint="33"/>
            <w:vAlign w:val="center"/>
          </w:tcPr>
          <w:p w14:paraId="430FE78A"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2021</w:t>
            </w:r>
          </w:p>
        </w:tc>
        <w:tc>
          <w:tcPr>
            <w:tcW w:w="1253" w:type="dxa"/>
            <w:vAlign w:val="center"/>
          </w:tcPr>
          <w:p w14:paraId="54325ED1"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782</w:t>
            </w:r>
          </w:p>
        </w:tc>
        <w:tc>
          <w:tcPr>
            <w:tcW w:w="1195" w:type="dxa"/>
            <w:vAlign w:val="center"/>
          </w:tcPr>
          <w:p w14:paraId="2B6C4EEB"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748</w:t>
            </w:r>
          </w:p>
        </w:tc>
        <w:tc>
          <w:tcPr>
            <w:tcW w:w="1283" w:type="dxa"/>
            <w:vAlign w:val="center"/>
          </w:tcPr>
          <w:p w14:paraId="751C62C9"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19 778</w:t>
            </w:r>
          </w:p>
        </w:tc>
        <w:tc>
          <w:tcPr>
            <w:tcW w:w="1363" w:type="dxa"/>
            <w:vAlign w:val="center"/>
          </w:tcPr>
          <w:p w14:paraId="5D06BBEB"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3,8</w:t>
            </w:r>
          </w:p>
        </w:tc>
        <w:tc>
          <w:tcPr>
            <w:tcW w:w="1490" w:type="dxa"/>
            <w:vAlign w:val="center"/>
          </w:tcPr>
          <w:p w14:paraId="66640CCC" w14:textId="77777777" w:rsidR="009E2E6B" w:rsidRPr="00CE357F" w:rsidRDefault="009E2E6B" w:rsidP="004A0C47">
            <w:pPr>
              <w:spacing w:line="256" w:lineRule="auto"/>
              <w:jc w:val="center"/>
              <w:rPr>
                <w:rFonts w:ascii="Arial Narrow" w:hAnsi="Arial Narrow"/>
                <w:b/>
                <w:bCs/>
                <w:color w:val="C00000"/>
                <w:sz w:val="18"/>
                <w:szCs w:val="18"/>
              </w:rPr>
            </w:pPr>
            <w:r w:rsidRPr="00CE357F">
              <w:rPr>
                <w:rFonts w:ascii="Arial Narrow" w:hAnsi="Arial Narrow"/>
                <w:b/>
                <w:bCs/>
                <w:color w:val="C00000"/>
                <w:sz w:val="18"/>
                <w:szCs w:val="18"/>
              </w:rPr>
              <w:t>256</w:t>
            </w:r>
          </w:p>
        </w:tc>
        <w:tc>
          <w:tcPr>
            <w:tcW w:w="1544" w:type="dxa"/>
          </w:tcPr>
          <w:p w14:paraId="274BD390"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3,0</w:t>
            </w:r>
          </w:p>
        </w:tc>
      </w:tr>
      <w:tr w:rsidR="009E2E6B" w:rsidRPr="00CE357F" w14:paraId="4C2B0AF5" w14:textId="77777777" w:rsidTr="004A0C47">
        <w:trPr>
          <w:trHeight w:val="204"/>
        </w:trPr>
        <w:tc>
          <w:tcPr>
            <w:tcW w:w="829" w:type="dxa"/>
            <w:shd w:val="clear" w:color="auto" w:fill="D9E2F3" w:themeFill="accent1" w:themeFillTint="33"/>
            <w:vAlign w:val="center"/>
          </w:tcPr>
          <w:p w14:paraId="54E20EB8"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2020</w:t>
            </w:r>
          </w:p>
        </w:tc>
        <w:tc>
          <w:tcPr>
            <w:tcW w:w="1253" w:type="dxa"/>
            <w:vAlign w:val="center"/>
          </w:tcPr>
          <w:p w14:paraId="7F5B8AC6"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874</w:t>
            </w:r>
          </w:p>
        </w:tc>
        <w:tc>
          <w:tcPr>
            <w:tcW w:w="1195" w:type="dxa"/>
            <w:vAlign w:val="center"/>
          </w:tcPr>
          <w:p w14:paraId="75E7B74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838</w:t>
            </w:r>
          </w:p>
        </w:tc>
        <w:tc>
          <w:tcPr>
            <w:tcW w:w="1283" w:type="dxa"/>
            <w:vAlign w:val="center"/>
          </w:tcPr>
          <w:p w14:paraId="556F079E"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19 789</w:t>
            </w:r>
          </w:p>
        </w:tc>
        <w:tc>
          <w:tcPr>
            <w:tcW w:w="1363" w:type="dxa"/>
            <w:vAlign w:val="center"/>
          </w:tcPr>
          <w:p w14:paraId="1F8416BC"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4,2</w:t>
            </w:r>
          </w:p>
        </w:tc>
        <w:tc>
          <w:tcPr>
            <w:tcW w:w="1490" w:type="dxa"/>
            <w:vAlign w:val="center"/>
          </w:tcPr>
          <w:p w14:paraId="2968F813" w14:textId="77777777" w:rsidR="009E2E6B" w:rsidRPr="00CE357F" w:rsidRDefault="009E2E6B" w:rsidP="004A0C47">
            <w:pPr>
              <w:spacing w:line="256" w:lineRule="auto"/>
              <w:jc w:val="center"/>
              <w:rPr>
                <w:rFonts w:ascii="Arial Narrow" w:hAnsi="Arial Narrow"/>
                <w:b/>
                <w:bCs/>
                <w:color w:val="C00000"/>
                <w:sz w:val="18"/>
                <w:szCs w:val="18"/>
              </w:rPr>
            </w:pPr>
            <w:r w:rsidRPr="00CE357F">
              <w:rPr>
                <w:rFonts w:ascii="Arial Narrow" w:hAnsi="Arial Narrow"/>
                <w:b/>
                <w:bCs/>
                <w:color w:val="C00000"/>
                <w:sz w:val="18"/>
                <w:szCs w:val="18"/>
              </w:rPr>
              <w:t>384</w:t>
            </w:r>
          </w:p>
        </w:tc>
        <w:tc>
          <w:tcPr>
            <w:tcW w:w="1544" w:type="dxa"/>
          </w:tcPr>
          <w:p w14:paraId="3B01B935"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2,3</w:t>
            </w:r>
          </w:p>
        </w:tc>
      </w:tr>
      <w:tr w:rsidR="009E2E6B" w:rsidRPr="00CE357F" w14:paraId="5A203C47" w14:textId="77777777" w:rsidTr="004A0C47">
        <w:trPr>
          <w:trHeight w:val="204"/>
        </w:trPr>
        <w:tc>
          <w:tcPr>
            <w:tcW w:w="829" w:type="dxa"/>
            <w:shd w:val="clear" w:color="auto" w:fill="D9E2F3" w:themeFill="accent1" w:themeFillTint="33"/>
            <w:vAlign w:val="center"/>
          </w:tcPr>
          <w:p w14:paraId="2A5037A4"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2019</w:t>
            </w:r>
          </w:p>
        </w:tc>
        <w:tc>
          <w:tcPr>
            <w:tcW w:w="1253" w:type="dxa"/>
            <w:vAlign w:val="center"/>
          </w:tcPr>
          <w:p w14:paraId="627351DD"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728</w:t>
            </w:r>
          </w:p>
        </w:tc>
        <w:tc>
          <w:tcPr>
            <w:tcW w:w="1195" w:type="dxa"/>
            <w:vAlign w:val="center"/>
          </w:tcPr>
          <w:p w14:paraId="7D18697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692</w:t>
            </w:r>
          </w:p>
        </w:tc>
        <w:tc>
          <w:tcPr>
            <w:tcW w:w="1283" w:type="dxa"/>
            <w:vAlign w:val="center"/>
          </w:tcPr>
          <w:p w14:paraId="2C9306CC"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19 774</w:t>
            </w:r>
          </w:p>
        </w:tc>
        <w:tc>
          <w:tcPr>
            <w:tcW w:w="1363" w:type="dxa"/>
            <w:vAlign w:val="center"/>
          </w:tcPr>
          <w:p w14:paraId="1F7890A9"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3,5</w:t>
            </w:r>
          </w:p>
        </w:tc>
        <w:tc>
          <w:tcPr>
            <w:tcW w:w="1490" w:type="dxa"/>
            <w:vAlign w:val="center"/>
          </w:tcPr>
          <w:p w14:paraId="6F5260FC" w14:textId="77777777" w:rsidR="009E2E6B" w:rsidRPr="00CE357F" w:rsidRDefault="009E2E6B" w:rsidP="004A0C47">
            <w:pPr>
              <w:spacing w:line="256" w:lineRule="auto"/>
              <w:jc w:val="center"/>
              <w:rPr>
                <w:rFonts w:ascii="Arial Narrow" w:hAnsi="Arial Narrow"/>
                <w:b/>
                <w:bCs/>
                <w:color w:val="C00000"/>
                <w:sz w:val="18"/>
                <w:szCs w:val="18"/>
              </w:rPr>
            </w:pPr>
            <w:r w:rsidRPr="00CE357F">
              <w:rPr>
                <w:rFonts w:ascii="Arial Narrow" w:hAnsi="Arial Narrow"/>
                <w:b/>
                <w:bCs/>
                <w:color w:val="C00000"/>
                <w:sz w:val="18"/>
                <w:szCs w:val="18"/>
              </w:rPr>
              <w:t>426</w:t>
            </w:r>
          </w:p>
        </w:tc>
        <w:tc>
          <w:tcPr>
            <w:tcW w:w="1544" w:type="dxa"/>
          </w:tcPr>
          <w:p w14:paraId="465F8939"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1,7</w:t>
            </w:r>
          </w:p>
        </w:tc>
      </w:tr>
      <w:tr w:rsidR="009E2E6B" w:rsidRPr="00CE357F" w14:paraId="6FB76F13" w14:textId="77777777" w:rsidTr="004A0C47">
        <w:trPr>
          <w:trHeight w:val="204"/>
        </w:trPr>
        <w:tc>
          <w:tcPr>
            <w:tcW w:w="829" w:type="dxa"/>
            <w:shd w:val="clear" w:color="auto" w:fill="D9E2F3" w:themeFill="accent1" w:themeFillTint="33"/>
            <w:vAlign w:val="center"/>
          </w:tcPr>
          <w:p w14:paraId="21B55134"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2018</w:t>
            </w:r>
          </w:p>
        </w:tc>
        <w:tc>
          <w:tcPr>
            <w:tcW w:w="1253" w:type="dxa"/>
            <w:vAlign w:val="center"/>
          </w:tcPr>
          <w:p w14:paraId="43F8F076"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738</w:t>
            </w:r>
          </w:p>
        </w:tc>
        <w:tc>
          <w:tcPr>
            <w:tcW w:w="1195" w:type="dxa"/>
            <w:vAlign w:val="center"/>
          </w:tcPr>
          <w:p w14:paraId="402DBE0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716</w:t>
            </w:r>
          </w:p>
        </w:tc>
        <w:tc>
          <w:tcPr>
            <w:tcW w:w="1283" w:type="dxa"/>
            <w:vAlign w:val="center"/>
          </w:tcPr>
          <w:p w14:paraId="35DFE03F"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19 759</w:t>
            </w:r>
          </w:p>
        </w:tc>
        <w:tc>
          <w:tcPr>
            <w:tcW w:w="1363" w:type="dxa"/>
            <w:vAlign w:val="center"/>
          </w:tcPr>
          <w:p w14:paraId="68AA9239"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3,6</w:t>
            </w:r>
          </w:p>
        </w:tc>
        <w:tc>
          <w:tcPr>
            <w:tcW w:w="1490" w:type="dxa"/>
            <w:vAlign w:val="center"/>
          </w:tcPr>
          <w:p w14:paraId="72B87D87" w14:textId="77777777" w:rsidR="009E2E6B" w:rsidRPr="00CE357F" w:rsidRDefault="009E2E6B" w:rsidP="004A0C47">
            <w:pPr>
              <w:spacing w:line="256" w:lineRule="auto"/>
              <w:jc w:val="center"/>
              <w:rPr>
                <w:rFonts w:ascii="Arial Narrow" w:hAnsi="Arial Narrow"/>
                <w:b/>
                <w:bCs/>
                <w:color w:val="C00000"/>
                <w:sz w:val="18"/>
                <w:szCs w:val="18"/>
              </w:rPr>
            </w:pPr>
            <w:r w:rsidRPr="00CE357F">
              <w:rPr>
                <w:rFonts w:ascii="Arial Narrow" w:hAnsi="Arial Narrow"/>
                <w:b/>
                <w:bCs/>
                <w:color w:val="C00000"/>
                <w:sz w:val="18"/>
                <w:szCs w:val="18"/>
              </w:rPr>
              <w:t>430</w:t>
            </w:r>
          </w:p>
        </w:tc>
        <w:tc>
          <w:tcPr>
            <w:tcW w:w="1544" w:type="dxa"/>
          </w:tcPr>
          <w:p w14:paraId="2AB4A8AB"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1,7</w:t>
            </w:r>
          </w:p>
        </w:tc>
      </w:tr>
      <w:tr w:rsidR="009E2E6B" w:rsidRPr="00CE357F" w14:paraId="41BE9E4C" w14:textId="77777777" w:rsidTr="004A0C47">
        <w:trPr>
          <w:trHeight w:val="204"/>
        </w:trPr>
        <w:tc>
          <w:tcPr>
            <w:tcW w:w="829" w:type="dxa"/>
            <w:shd w:val="clear" w:color="auto" w:fill="D9E2F3" w:themeFill="accent1" w:themeFillTint="33"/>
            <w:vAlign w:val="center"/>
          </w:tcPr>
          <w:p w14:paraId="6B2D2CA0"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2017</w:t>
            </w:r>
          </w:p>
        </w:tc>
        <w:tc>
          <w:tcPr>
            <w:tcW w:w="1253" w:type="dxa"/>
            <w:vAlign w:val="center"/>
          </w:tcPr>
          <w:p w14:paraId="3F15F8BA"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839</w:t>
            </w:r>
          </w:p>
        </w:tc>
        <w:tc>
          <w:tcPr>
            <w:tcW w:w="1195" w:type="dxa"/>
            <w:vAlign w:val="center"/>
          </w:tcPr>
          <w:p w14:paraId="48F3C220"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838</w:t>
            </w:r>
          </w:p>
        </w:tc>
        <w:tc>
          <w:tcPr>
            <w:tcW w:w="1283" w:type="dxa"/>
            <w:vAlign w:val="center"/>
          </w:tcPr>
          <w:p w14:paraId="4A6B1533"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19 694</w:t>
            </w:r>
          </w:p>
        </w:tc>
        <w:tc>
          <w:tcPr>
            <w:tcW w:w="1363" w:type="dxa"/>
            <w:vAlign w:val="center"/>
          </w:tcPr>
          <w:p w14:paraId="09191BA0"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4,3</w:t>
            </w:r>
          </w:p>
        </w:tc>
        <w:tc>
          <w:tcPr>
            <w:tcW w:w="1490" w:type="dxa"/>
            <w:vAlign w:val="center"/>
          </w:tcPr>
          <w:p w14:paraId="2345714A"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270</w:t>
            </w:r>
          </w:p>
        </w:tc>
        <w:tc>
          <w:tcPr>
            <w:tcW w:w="1544" w:type="dxa"/>
          </w:tcPr>
          <w:p w14:paraId="3A17E525"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3,1</w:t>
            </w:r>
          </w:p>
        </w:tc>
      </w:tr>
      <w:tr w:rsidR="009E2E6B" w:rsidRPr="00CE357F" w14:paraId="29D67DF7" w14:textId="77777777" w:rsidTr="004A0C47">
        <w:trPr>
          <w:trHeight w:val="204"/>
        </w:trPr>
        <w:tc>
          <w:tcPr>
            <w:tcW w:w="829" w:type="dxa"/>
            <w:shd w:val="clear" w:color="auto" w:fill="D9E2F3" w:themeFill="accent1" w:themeFillTint="33"/>
            <w:vAlign w:val="center"/>
          </w:tcPr>
          <w:p w14:paraId="48CBABFD"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2016</w:t>
            </w:r>
          </w:p>
        </w:tc>
        <w:tc>
          <w:tcPr>
            <w:tcW w:w="1253" w:type="dxa"/>
            <w:vAlign w:val="center"/>
          </w:tcPr>
          <w:p w14:paraId="4891F5B5"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1 030</w:t>
            </w:r>
          </w:p>
        </w:tc>
        <w:tc>
          <w:tcPr>
            <w:tcW w:w="1195" w:type="dxa"/>
            <w:vAlign w:val="center"/>
          </w:tcPr>
          <w:p w14:paraId="228BF0B4"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1 030</w:t>
            </w:r>
          </w:p>
        </w:tc>
        <w:tc>
          <w:tcPr>
            <w:tcW w:w="1283" w:type="dxa"/>
            <w:vAlign w:val="center"/>
          </w:tcPr>
          <w:p w14:paraId="6D9DFBF6"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19 749</w:t>
            </w:r>
          </w:p>
        </w:tc>
        <w:tc>
          <w:tcPr>
            <w:tcW w:w="1363" w:type="dxa"/>
            <w:vAlign w:val="center"/>
          </w:tcPr>
          <w:p w14:paraId="60D7ECA6"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5,2</w:t>
            </w:r>
          </w:p>
        </w:tc>
        <w:tc>
          <w:tcPr>
            <w:tcW w:w="1490" w:type="dxa"/>
            <w:vAlign w:val="center"/>
          </w:tcPr>
          <w:p w14:paraId="569E85E1"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179</w:t>
            </w:r>
          </w:p>
        </w:tc>
        <w:tc>
          <w:tcPr>
            <w:tcW w:w="1544" w:type="dxa"/>
          </w:tcPr>
          <w:p w14:paraId="1A82DFF5"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5,8</w:t>
            </w:r>
          </w:p>
        </w:tc>
      </w:tr>
      <w:tr w:rsidR="009E2E6B" w:rsidRPr="00CE357F" w14:paraId="4D4EDEBC" w14:textId="77777777" w:rsidTr="004A0C47">
        <w:trPr>
          <w:trHeight w:val="204"/>
        </w:trPr>
        <w:tc>
          <w:tcPr>
            <w:tcW w:w="829" w:type="dxa"/>
            <w:shd w:val="clear" w:color="auto" w:fill="D9E2F3" w:themeFill="accent1" w:themeFillTint="33"/>
            <w:vAlign w:val="center"/>
          </w:tcPr>
          <w:p w14:paraId="24AB3CE8"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2015</w:t>
            </w:r>
          </w:p>
        </w:tc>
        <w:tc>
          <w:tcPr>
            <w:tcW w:w="1253" w:type="dxa"/>
            <w:vAlign w:val="center"/>
          </w:tcPr>
          <w:p w14:paraId="584C5165" w14:textId="77777777" w:rsidR="009E2E6B" w:rsidRPr="00CE357F" w:rsidRDefault="009E2E6B" w:rsidP="004A0C47">
            <w:pPr>
              <w:spacing w:line="256" w:lineRule="auto"/>
              <w:jc w:val="center"/>
              <w:rPr>
                <w:rFonts w:ascii="Arial Narrow" w:hAnsi="Arial Narrow"/>
                <w:b/>
                <w:color w:val="C00000"/>
                <w:sz w:val="18"/>
                <w:szCs w:val="18"/>
              </w:rPr>
            </w:pPr>
            <w:r w:rsidRPr="00CE357F">
              <w:rPr>
                <w:rFonts w:ascii="Arial Narrow" w:hAnsi="Arial Narrow"/>
                <w:b/>
                <w:color w:val="C00000"/>
                <w:sz w:val="18"/>
                <w:szCs w:val="18"/>
              </w:rPr>
              <w:t>1 204</w:t>
            </w:r>
          </w:p>
        </w:tc>
        <w:tc>
          <w:tcPr>
            <w:tcW w:w="1195" w:type="dxa"/>
            <w:vAlign w:val="center"/>
          </w:tcPr>
          <w:p w14:paraId="02DB639D"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1 200</w:t>
            </w:r>
          </w:p>
        </w:tc>
        <w:tc>
          <w:tcPr>
            <w:tcW w:w="1283" w:type="dxa"/>
            <w:vAlign w:val="center"/>
          </w:tcPr>
          <w:p w14:paraId="3589424C"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19 741</w:t>
            </w:r>
          </w:p>
        </w:tc>
        <w:tc>
          <w:tcPr>
            <w:tcW w:w="1363" w:type="dxa"/>
            <w:vAlign w:val="center"/>
          </w:tcPr>
          <w:p w14:paraId="6DC1234B"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6,1</w:t>
            </w:r>
          </w:p>
        </w:tc>
        <w:tc>
          <w:tcPr>
            <w:tcW w:w="1490" w:type="dxa"/>
            <w:vAlign w:val="center"/>
          </w:tcPr>
          <w:p w14:paraId="2573E23E"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90</w:t>
            </w:r>
          </w:p>
        </w:tc>
        <w:tc>
          <w:tcPr>
            <w:tcW w:w="1544" w:type="dxa"/>
          </w:tcPr>
          <w:p w14:paraId="69BB30E0"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13,4</w:t>
            </w:r>
          </w:p>
        </w:tc>
      </w:tr>
      <w:tr w:rsidR="009E2E6B" w:rsidRPr="00CE357F" w14:paraId="6DC63A82" w14:textId="77777777" w:rsidTr="004A0C47">
        <w:trPr>
          <w:trHeight w:val="204"/>
        </w:trPr>
        <w:tc>
          <w:tcPr>
            <w:tcW w:w="829" w:type="dxa"/>
            <w:shd w:val="clear" w:color="auto" w:fill="D9E2F3" w:themeFill="accent1" w:themeFillTint="33"/>
            <w:vAlign w:val="center"/>
          </w:tcPr>
          <w:p w14:paraId="65C3B892"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2014</w:t>
            </w:r>
          </w:p>
        </w:tc>
        <w:tc>
          <w:tcPr>
            <w:tcW w:w="1253" w:type="dxa"/>
            <w:vAlign w:val="center"/>
          </w:tcPr>
          <w:p w14:paraId="208CB6EC" w14:textId="77777777" w:rsidR="009E2E6B" w:rsidRPr="00CE357F" w:rsidRDefault="009E2E6B" w:rsidP="004A0C47">
            <w:pPr>
              <w:spacing w:line="256" w:lineRule="auto"/>
              <w:jc w:val="center"/>
              <w:rPr>
                <w:rFonts w:ascii="Arial Narrow" w:hAnsi="Arial Narrow"/>
                <w:b/>
                <w:color w:val="C00000"/>
                <w:sz w:val="18"/>
                <w:szCs w:val="18"/>
              </w:rPr>
            </w:pPr>
            <w:r w:rsidRPr="00CE357F">
              <w:rPr>
                <w:rFonts w:ascii="Arial Narrow" w:hAnsi="Arial Narrow"/>
                <w:b/>
                <w:color w:val="C00000"/>
                <w:sz w:val="18"/>
                <w:szCs w:val="18"/>
              </w:rPr>
              <w:t>1 442</w:t>
            </w:r>
          </w:p>
        </w:tc>
        <w:tc>
          <w:tcPr>
            <w:tcW w:w="1195" w:type="dxa"/>
            <w:vAlign w:val="center"/>
          </w:tcPr>
          <w:p w14:paraId="51523534"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1 438</w:t>
            </w:r>
          </w:p>
        </w:tc>
        <w:tc>
          <w:tcPr>
            <w:tcW w:w="1283" w:type="dxa"/>
            <w:vAlign w:val="center"/>
          </w:tcPr>
          <w:p w14:paraId="59CFF1F1"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19 744</w:t>
            </w:r>
          </w:p>
        </w:tc>
        <w:tc>
          <w:tcPr>
            <w:tcW w:w="1363" w:type="dxa"/>
            <w:vAlign w:val="center"/>
          </w:tcPr>
          <w:p w14:paraId="1981938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7,3</w:t>
            </w:r>
          </w:p>
        </w:tc>
        <w:tc>
          <w:tcPr>
            <w:tcW w:w="1490" w:type="dxa"/>
            <w:vAlign w:val="center"/>
          </w:tcPr>
          <w:p w14:paraId="1B0567E1"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71</w:t>
            </w:r>
          </w:p>
        </w:tc>
        <w:tc>
          <w:tcPr>
            <w:tcW w:w="1544" w:type="dxa"/>
          </w:tcPr>
          <w:p w14:paraId="396EE14E" w14:textId="77777777" w:rsidR="009E2E6B" w:rsidRPr="00CE357F" w:rsidRDefault="009E2E6B" w:rsidP="004A0C47">
            <w:pPr>
              <w:spacing w:line="256" w:lineRule="auto"/>
              <w:jc w:val="center"/>
              <w:rPr>
                <w:rFonts w:ascii="Arial Narrow" w:hAnsi="Arial Narrow"/>
                <w:b/>
                <w:bCs/>
                <w:sz w:val="18"/>
                <w:szCs w:val="18"/>
              </w:rPr>
            </w:pPr>
            <w:r w:rsidRPr="00CE357F">
              <w:rPr>
                <w:rFonts w:ascii="Arial Narrow" w:hAnsi="Arial Narrow"/>
                <w:b/>
                <w:bCs/>
                <w:color w:val="C00000"/>
                <w:sz w:val="18"/>
                <w:szCs w:val="18"/>
              </w:rPr>
              <w:t>20,3</w:t>
            </w:r>
          </w:p>
        </w:tc>
      </w:tr>
      <w:tr w:rsidR="009E2E6B" w:rsidRPr="00CE357F" w14:paraId="5E7DDC3F" w14:textId="77777777" w:rsidTr="004A0C47">
        <w:trPr>
          <w:trHeight w:val="204"/>
        </w:trPr>
        <w:tc>
          <w:tcPr>
            <w:tcW w:w="829" w:type="dxa"/>
            <w:shd w:val="clear" w:color="auto" w:fill="D9E2F3" w:themeFill="accent1" w:themeFillTint="33"/>
            <w:vAlign w:val="center"/>
          </w:tcPr>
          <w:p w14:paraId="68BF90E0"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2013</w:t>
            </w:r>
          </w:p>
        </w:tc>
        <w:tc>
          <w:tcPr>
            <w:tcW w:w="1253" w:type="dxa"/>
            <w:vAlign w:val="center"/>
          </w:tcPr>
          <w:p w14:paraId="1825C0C3"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391</w:t>
            </w:r>
          </w:p>
        </w:tc>
        <w:tc>
          <w:tcPr>
            <w:tcW w:w="1195" w:type="dxa"/>
            <w:vAlign w:val="center"/>
          </w:tcPr>
          <w:p w14:paraId="7B60B514"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480FC1F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1F910AC2"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1A5668C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26</w:t>
            </w:r>
          </w:p>
        </w:tc>
        <w:tc>
          <w:tcPr>
            <w:tcW w:w="1544" w:type="dxa"/>
          </w:tcPr>
          <w:p w14:paraId="7FFE6BE3"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15,0</w:t>
            </w:r>
          </w:p>
        </w:tc>
      </w:tr>
      <w:tr w:rsidR="009E2E6B" w:rsidRPr="00CE357F" w14:paraId="02DB1CBA" w14:textId="77777777" w:rsidTr="004A0C47">
        <w:trPr>
          <w:trHeight w:val="204"/>
        </w:trPr>
        <w:tc>
          <w:tcPr>
            <w:tcW w:w="829" w:type="dxa"/>
            <w:shd w:val="clear" w:color="auto" w:fill="D9E2F3" w:themeFill="accent1" w:themeFillTint="33"/>
            <w:vAlign w:val="center"/>
          </w:tcPr>
          <w:p w14:paraId="1D775599"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2012</w:t>
            </w:r>
          </w:p>
        </w:tc>
        <w:tc>
          <w:tcPr>
            <w:tcW w:w="1253" w:type="dxa"/>
            <w:vAlign w:val="center"/>
          </w:tcPr>
          <w:p w14:paraId="061B99F7"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573</w:t>
            </w:r>
          </w:p>
        </w:tc>
        <w:tc>
          <w:tcPr>
            <w:tcW w:w="1195" w:type="dxa"/>
            <w:vAlign w:val="center"/>
          </w:tcPr>
          <w:p w14:paraId="6BEE41DD"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2E61B0C6"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74C76E93"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21E9E4A8"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26</w:t>
            </w:r>
          </w:p>
        </w:tc>
        <w:tc>
          <w:tcPr>
            <w:tcW w:w="1544" w:type="dxa"/>
          </w:tcPr>
          <w:p w14:paraId="24F5C033" w14:textId="77777777" w:rsidR="009E2E6B" w:rsidRPr="00CE357F" w:rsidRDefault="009E2E6B" w:rsidP="004A0C47">
            <w:pPr>
              <w:spacing w:line="256" w:lineRule="auto"/>
              <w:jc w:val="center"/>
              <w:rPr>
                <w:rFonts w:ascii="Arial Narrow" w:hAnsi="Arial Narrow"/>
                <w:b/>
                <w:bCs/>
                <w:sz w:val="18"/>
                <w:szCs w:val="18"/>
              </w:rPr>
            </w:pPr>
            <w:r w:rsidRPr="00CE357F">
              <w:rPr>
                <w:rFonts w:ascii="Arial Narrow" w:hAnsi="Arial Narrow"/>
                <w:b/>
                <w:bCs/>
                <w:color w:val="C00000"/>
                <w:sz w:val="18"/>
                <w:szCs w:val="18"/>
              </w:rPr>
              <w:t>22,0</w:t>
            </w:r>
          </w:p>
        </w:tc>
      </w:tr>
      <w:tr w:rsidR="009E2E6B" w:rsidRPr="00CE357F" w14:paraId="5EED7EBE" w14:textId="77777777" w:rsidTr="004A0C47">
        <w:trPr>
          <w:trHeight w:val="204"/>
        </w:trPr>
        <w:tc>
          <w:tcPr>
            <w:tcW w:w="829" w:type="dxa"/>
            <w:shd w:val="clear" w:color="auto" w:fill="D9E2F3" w:themeFill="accent1" w:themeFillTint="33"/>
            <w:vAlign w:val="center"/>
          </w:tcPr>
          <w:p w14:paraId="2AE9C7E4"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2011</w:t>
            </w:r>
          </w:p>
        </w:tc>
        <w:tc>
          <w:tcPr>
            <w:tcW w:w="1253" w:type="dxa"/>
            <w:vAlign w:val="center"/>
          </w:tcPr>
          <w:p w14:paraId="65A631C5" w14:textId="77777777" w:rsidR="009E2E6B" w:rsidRPr="00CE357F" w:rsidRDefault="009E2E6B" w:rsidP="004A0C47">
            <w:pPr>
              <w:spacing w:line="256" w:lineRule="auto"/>
              <w:jc w:val="center"/>
              <w:rPr>
                <w:rFonts w:ascii="Arial Narrow" w:hAnsi="Arial Narrow"/>
                <w:b/>
                <w:color w:val="C00000"/>
                <w:sz w:val="18"/>
                <w:szCs w:val="18"/>
              </w:rPr>
            </w:pPr>
            <w:r w:rsidRPr="00CE357F">
              <w:rPr>
                <w:rFonts w:ascii="Arial Narrow" w:hAnsi="Arial Narrow"/>
                <w:b/>
                <w:color w:val="C00000"/>
                <w:sz w:val="18"/>
                <w:szCs w:val="18"/>
              </w:rPr>
              <w:t>1 362</w:t>
            </w:r>
          </w:p>
        </w:tc>
        <w:tc>
          <w:tcPr>
            <w:tcW w:w="1195" w:type="dxa"/>
            <w:vAlign w:val="center"/>
          </w:tcPr>
          <w:p w14:paraId="33D04F66"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5982C70F"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091B5D79"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79DDA852"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50</w:t>
            </w:r>
          </w:p>
        </w:tc>
        <w:tc>
          <w:tcPr>
            <w:tcW w:w="1544" w:type="dxa"/>
          </w:tcPr>
          <w:p w14:paraId="478F48ED" w14:textId="77777777" w:rsidR="009E2E6B" w:rsidRPr="00CE357F" w:rsidRDefault="009E2E6B" w:rsidP="004A0C47">
            <w:pPr>
              <w:spacing w:line="256" w:lineRule="auto"/>
              <w:jc w:val="center"/>
              <w:rPr>
                <w:rFonts w:ascii="Arial Narrow" w:hAnsi="Arial Narrow"/>
                <w:b/>
                <w:bCs/>
                <w:sz w:val="18"/>
                <w:szCs w:val="18"/>
              </w:rPr>
            </w:pPr>
            <w:r w:rsidRPr="00CE357F">
              <w:rPr>
                <w:rFonts w:ascii="Arial Narrow" w:hAnsi="Arial Narrow"/>
                <w:b/>
                <w:bCs/>
                <w:color w:val="C00000"/>
                <w:sz w:val="18"/>
                <w:szCs w:val="18"/>
              </w:rPr>
              <w:t>27,2</w:t>
            </w:r>
          </w:p>
        </w:tc>
      </w:tr>
      <w:tr w:rsidR="009E2E6B" w:rsidRPr="00CE357F" w14:paraId="649535F0" w14:textId="77777777" w:rsidTr="004A0C47">
        <w:trPr>
          <w:trHeight w:val="204"/>
        </w:trPr>
        <w:tc>
          <w:tcPr>
            <w:tcW w:w="829" w:type="dxa"/>
            <w:shd w:val="clear" w:color="auto" w:fill="D9E2F3" w:themeFill="accent1" w:themeFillTint="33"/>
            <w:vAlign w:val="center"/>
          </w:tcPr>
          <w:p w14:paraId="58242646"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2010</w:t>
            </w:r>
          </w:p>
        </w:tc>
        <w:tc>
          <w:tcPr>
            <w:tcW w:w="1253" w:type="dxa"/>
            <w:vAlign w:val="center"/>
          </w:tcPr>
          <w:p w14:paraId="7DDD30CE" w14:textId="77777777" w:rsidR="009E2E6B" w:rsidRPr="00CE357F" w:rsidRDefault="009E2E6B" w:rsidP="004A0C47">
            <w:pPr>
              <w:spacing w:line="256" w:lineRule="auto"/>
              <w:jc w:val="center"/>
              <w:rPr>
                <w:rFonts w:ascii="Arial Narrow" w:hAnsi="Arial Narrow"/>
                <w:b/>
                <w:color w:val="C00000"/>
                <w:sz w:val="18"/>
                <w:szCs w:val="18"/>
              </w:rPr>
            </w:pPr>
            <w:r w:rsidRPr="00CE357F">
              <w:rPr>
                <w:rFonts w:ascii="Arial Narrow" w:hAnsi="Arial Narrow"/>
                <w:b/>
                <w:color w:val="C00000"/>
                <w:sz w:val="18"/>
                <w:szCs w:val="18"/>
              </w:rPr>
              <w:t>1 584</w:t>
            </w:r>
          </w:p>
        </w:tc>
        <w:tc>
          <w:tcPr>
            <w:tcW w:w="1195" w:type="dxa"/>
            <w:vAlign w:val="center"/>
          </w:tcPr>
          <w:p w14:paraId="29A645D3"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6AD17436"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00641D2E"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1BC00E02"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90</w:t>
            </w:r>
          </w:p>
        </w:tc>
        <w:tc>
          <w:tcPr>
            <w:tcW w:w="1544" w:type="dxa"/>
          </w:tcPr>
          <w:p w14:paraId="31E62138"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17,6</w:t>
            </w:r>
          </w:p>
        </w:tc>
      </w:tr>
      <w:tr w:rsidR="009E2E6B" w:rsidRPr="00CE357F" w14:paraId="38111F57" w14:textId="77777777" w:rsidTr="004A0C47">
        <w:trPr>
          <w:trHeight w:val="204"/>
        </w:trPr>
        <w:tc>
          <w:tcPr>
            <w:tcW w:w="829" w:type="dxa"/>
            <w:shd w:val="clear" w:color="auto" w:fill="D9E2F3" w:themeFill="accent1" w:themeFillTint="33"/>
            <w:vAlign w:val="center"/>
          </w:tcPr>
          <w:p w14:paraId="4B4314CC"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2009</w:t>
            </w:r>
          </w:p>
        </w:tc>
        <w:tc>
          <w:tcPr>
            <w:tcW w:w="1253" w:type="dxa"/>
            <w:vAlign w:val="center"/>
          </w:tcPr>
          <w:p w14:paraId="6781C36D" w14:textId="77777777" w:rsidR="009E2E6B" w:rsidRPr="00CE357F" w:rsidRDefault="009E2E6B" w:rsidP="004A0C47">
            <w:pPr>
              <w:spacing w:line="256" w:lineRule="auto"/>
              <w:jc w:val="center"/>
              <w:rPr>
                <w:rFonts w:ascii="Arial Narrow" w:hAnsi="Arial Narrow"/>
                <w:b/>
                <w:color w:val="C00000"/>
                <w:sz w:val="18"/>
                <w:szCs w:val="18"/>
              </w:rPr>
            </w:pPr>
            <w:r w:rsidRPr="00CE357F">
              <w:rPr>
                <w:rFonts w:ascii="Arial Narrow" w:hAnsi="Arial Narrow"/>
                <w:b/>
                <w:color w:val="C00000"/>
                <w:sz w:val="18"/>
                <w:szCs w:val="18"/>
              </w:rPr>
              <w:t>1 362</w:t>
            </w:r>
          </w:p>
        </w:tc>
        <w:tc>
          <w:tcPr>
            <w:tcW w:w="1195" w:type="dxa"/>
            <w:vAlign w:val="center"/>
          </w:tcPr>
          <w:p w14:paraId="78332D52"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5E5EA53D"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6FF5F823"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4A3D54E5"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90</w:t>
            </w:r>
          </w:p>
        </w:tc>
        <w:tc>
          <w:tcPr>
            <w:tcW w:w="1544" w:type="dxa"/>
          </w:tcPr>
          <w:p w14:paraId="2DEEAA89"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15,1</w:t>
            </w:r>
          </w:p>
        </w:tc>
      </w:tr>
      <w:tr w:rsidR="009E2E6B" w:rsidRPr="00CE357F" w14:paraId="7F6A9F21" w14:textId="77777777" w:rsidTr="004A0C47">
        <w:trPr>
          <w:trHeight w:val="204"/>
        </w:trPr>
        <w:tc>
          <w:tcPr>
            <w:tcW w:w="829" w:type="dxa"/>
            <w:shd w:val="clear" w:color="auto" w:fill="D9E2F3" w:themeFill="accent1" w:themeFillTint="33"/>
            <w:vAlign w:val="center"/>
          </w:tcPr>
          <w:p w14:paraId="03EC10B8"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2008</w:t>
            </w:r>
          </w:p>
        </w:tc>
        <w:tc>
          <w:tcPr>
            <w:tcW w:w="1253" w:type="dxa"/>
            <w:vAlign w:val="center"/>
          </w:tcPr>
          <w:p w14:paraId="124A1A98"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774</w:t>
            </w:r>
          </w:p>
        </w:tc>
        <w:tc>
          <w:tcPr>
            <w:tcW w:w="1195" w:type="dxa"/>
            <w:vAlign w:val="center"/>
          </w:tcPr>
          <w:p w14:paraId="3FEAF21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3356310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0CA396C3"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7ADB79AC"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199</w:t>
            </w:r>
          </w:p>
        </w:tc>
        <w:tc>
          <w:tcPr>
            <w:tcW w:w="1544" w:type="dxa"/>
          </w:tcPr>
          <w:p w14:paraId="50D7BC96"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3,9</w:t>
            </w:r>
          </w:p>
        </w:tc>
      </w:tr>
      <w:tr w:rsidR="009E2E6B" w:rsidRPr="00CE357F" w14:paraId="0D8B242B" w14:textId="77777777" w:rsidTr="004A0C47">
        <w:trPr>
          <w:trHeight w:val="204"/>
        </w:trPr>
        <w:tc>
          <w:tcPr>
            <w:tcW w:w="829" w:type="dxa"/>
            <w:shd w:val="clear" w:color="auto" w:fill="D9E2F3" w:themeFill="accent1" w:themeFillTint="33"/>
            <w:vAlign w:val="center"/>
          </w:tcPr>
          <w:p w14:paraId="3867B09F"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2007</w:t>
            </w:r>
          </w:p>
        </w:tc>
        <w:tc>
          <w:tcPr>
            <w:tcW w:w="1253" w:type="dxa"/>
            <w:vAlign w:val="center"/>
          </w:tcPr>
          <w:p w14:paraId="7CEF9282"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694</w:t>
            </w:r>
          </w:p>
        </w:tc>
        <w:tc>
          <w:tcPr>
            <w:tcW w:w="1195" w:type="dxa"/>
            <w:vAlign w:val="center"/>
          </w:tcPr>
          <w:p w14:paraId="0DD481C3"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2C82C51F"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2FD1015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002D4099"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354</w:t>
            </w:r>
          </w:p>
        </w:tc>
        <w:tc>
          <w:tcPr>
            <w:tcW w:w="1544" w:type="dxa"/>
          </w:tcPr>
          <w:p w14:paraId="6313E6D3"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2,0</w:t>
            </w:r>
          </w:p>
        </w:tc>
      </w:tr>
      <w:tr w:rsidR="009E2E6B" w:rsidRPr="00CE357F" w14:paraId="37D341F1" w14:textId="77777777" w:rsidTr="004A0C47">
        <w:trPr>
          <w:trHeight w:val="204"/>
        </w:trPr>
        <w:tc>
          <w:tcPr>
            <w:tcW w:w="829" w:type="dxa"/>
            <w:shd w:val="clear" w:color="auto" w:fill="D9E2F3" w:themeFill="accent1" w:themeFillTint="33"/>
            <w:vAlign w:val="center"/>
          </w:tcPr>
          <w:p w14:paraId="2DF73C9F"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2006</w:t>
            </w:r>
          </w:p>
        </w:tc>
        <w:tc>
          <w:tcPr>
            <w:tcW w:w="1253" w:type="dxa"/>
            <w:vAlign w:val="center"/>
          </w:tcPr>
          <w:p w14:paraId="00DD5FAE"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966</w:t>
            </w:r>
          </w:p>
        </w:tc>
        <w:tc>
          <w:tcPr>
            <w:tcW w:w="1195" w:type="dxa"/>
            <w:vAlign w:val="center"/>
          </w:tcPr>
          <w:p w14:paraId="47AC475D"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373A9A9F"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5E4A90EA"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6DA641F6"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208</w:t>
            </w:r>
          </w:p>
        </w:tc>
        <w:tc>
          <w:tcPr>
            <w:tcW w:w="1544" w:type="dxa"/>
          </w:tcPr>
          <w:p w14:paraId="1E3D7C38"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4,6</w:t>
            </w:r>
          </w:p>
        </w:tc>
      </w:tr>
      <w:tr w:rsidR="009E2E6B" w:rsidRPr="00CE357F" w14:paraId="573CA66C" w14:textId="77777777" w:rsidTr="004A0C47">
        <w:trPr>
          <w:trHeight w:val="204"/>
        </w:trPr>
        <w:tc>
          <w:tcPr>
            <w:tcW w:w="829" w:type="dxa"/>
            <w:shd w:val="clear" w:color="auto" w:fill="D9E2F3" w:themeFill="accent1" w:themeFillTint="33"/>
            <w:vAlign w:val="center"/>
          </w:tcPr>
          <w:p w14:paraId="3E958CF9" w14:textId="77777777" w:rsidR="009E2E6B" w:rsidRPr="00CE357F" w:rsidRDefault="009E2E6B" w:rsidP="004A0C47">
            <w:pPr>
              <w:spacing w:line="256" w:lineRule="auto"/>
              <w:jc w:val="center"/>
              <w:rPr>
                <w:rFonts w:ascii="Arial Narrow" w:hAnsi="Arial Narrow" w:cs="Arial"/>
                <w:b/>
                <w:sz w:val="18"/>
                <w:szCs w:val="18"/>
              </w:rPr>
            </w:pPr>
            <w:r w:rsidRPr="00CE357F">
              <w:rPr>
                <w:rFonts w:ascii="Arial Narrow" w:hAnsi="Arial Narrow" w:cs="Arial"/>
                <w:b/>
                <w:sz w:val="18"/>
                <w:szCs w:val="18"/>
              </w:rPr>
              <w:t>2005</w:t>
            </w:r>
          </w:p>
        </w:tc>
        <w:tc>
          <w:tcPr>
            <w:tcW w:w="1253" w:type="dxa"/>
            <w:vAlign w:val="center"/>
          </w:tcPr>
          <w:p w14:paraId="0A4DFECF" w14:textId="77777777" w:rsidR="009E2E6B" w:rsidRPr="00CE357F" w:rsidRDefault="009E2E6B" w:rsidP="004A0C47">
            <w:pPr>
              <w:spacing w:line="256" w:lineRule="auto"/>
              <w:jc w:val="center"/>
              <w:rPr>
                <w:rFonts w:ascii="Arial Narrow" w:hAnsi="Arial Narrow"/>
                <w:bCs/>
                <w:sz w:val="18"/>
                <w:szCs w:val="18"/>
              </w:rPr>
            </w:pPr>
            <w:r w:rsidRPr="00CE357F">
              <w:rPr>
                <w:rFonts w:ascii="Arial Narrow" w:hAnsi="Arial Narrow"/>
                <w:bCs/>
                <w:sz w:val="18"/>
                <w:szCs w:val="18"/>
              </w:rPr>
              <w:t>1 090</w:t>
            </w:r>
          </w:p>
        </w:tc>
        <w:tc>
          <w:tcPr>
            <w:tcW w:w="1195" w:type="dxa"/>
            <w:vAlign w:val="center"/>
          </w:tcPr>
          <w:p w14:paraId="6D34F036"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283" w:type="dxa"/>
            <w:vAlign w:val="center"/>
          </w:tcPr>
          <w:p w14:paraId="22F03D7B"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363" w:type="dxa"/>
            <w:vAlign w:val="center"/>
          </w:tcPr>
          <w:p w14:paraId="757366E1"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w:t>
            </w:r>
          </w:p>
        </w:tc>
        <w:tc>
          <w:tcPr>
            <w:tcW w:w="1490" w:type="dxa"/>
            <w:vAlign w:val="center"/>
          </w:tcPr>
          <w:p w14:paraId="673EC5B7"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113</w:t>
            </w:r>
          </w:p>
        </w:tc>
        <w:tc>
          <w:tcPr>
            <w:tcW w:w="1544" w:type="dxa"/>
          </w:tcPr>
          <w:p w14:paraId="6E33E09C" w14:textId="77777777" w:rsidR="009E2E6B" w:rsidRPr="00CE357F" w:rsidRDefault="009E2E6B" w:rsidP="004A0C47">
            <w:pPr>
              <w:spacing w:line="256" w:lineRule="auto"/>
              <w:jc w:val="center"/>
              <w:rPr>
                <w:rFonts w:ascii="Arial Narrow" w:hAnsi="Arial Narrow"/>
                <w:sz w:val="18"/>
                <w:szCs w:val="18"/>
              </w:rPr>
            </w:pPr>
            <w:r w:rsidRPr="00CE357F">
              <w:rPr>
                <w:rFonts w:ascii="Arial Narrow" w:hAnsi="Arial Narrow"/>
                <w:sz w:val="18"/>
                <w:szCs w:val="18"/>
              </w:rPr>
              <w:t>9,6</w:t>
            </w:r>
          </w:p>
        </w:tc>
      </w:tr>
    </w:tbl>
    <w:p w14:paraId="01BA96F1" w14:textId="5CCFD175" w:rsidR="009E2E6B" w:rsidRPr="00CE357F" w:rsidRDefault="009E2E6B" w:rsidP="009E2E6B">
      <w:pPr>
        <w:spacing w:after="240" w:line="276" w:lineRule="auto"/>
        <w:rPr>
          <w:rFonts w:ascii="Arial Narrow" w:hAnsi="Arial Narrow"/>
          <w:sz w:val="20"/>
        </w:rPr>
      </w:pPr>
      <w:r w:rsidRPr="00CE357F">
        <w:rPr>
          <w:rFonts w:ascii="Arial Narrow" w:hAnsi="Arial Narrow"/>
          <w:color w:val="000000"/>
          <w:sz w:val="20"/>
          <w:lang w:eastAsia="cs-CZ"/>
        </w:rPr>
        <w:t xml:space="preserve">Zdroj: Ministerstvo </w:t>
      </w:r>
      <w:r>
        <w:rPr>
          <w:rFonts w:ascii="Arial Narrow" w:hAnsi="Arial Narrow"/>
          <w:color w:val="000000"/>
          <w:sz w:val="20"/>
          <w:lang w:eastAsia="cs-CZ"/>
        </w:rPr>
        <w:t>práce a sociálních věcí</w:t>
      </w:r>
      <w:r w:rsidRPr="00CE357F">
        <w:rPr>
          <w:rFonts w:ascii="Arial Narrow" w:hAnsi="Arial Narrow"/>
          <w:color w:val="000000"/>
          <w:sz w:val="20"/>
          <w:lang w:eastAsia="cs-CZ"/>
        </w:rPr>
        <w:t xml:space="preserve"> (data k prosinci daného roku)     </w:t>
      </w:r>
      <w:r w:rsidRPr="00CE357F">
        <w:rPr>
          <w:rFonts w:ascii="Arial Narrow" w:hAnsi="Arial Narrow"/>
          <w:sz w:val="20"/>
        </w:rPr>
        <w:t xml:space="preserve">                   </w:t>
      </w:r>
      <w:r>
        <w:rPr>
          <w:rFonts w:ascii="Arial Narrow" w:hAnsi="Arial Narrow"/>
          <w:sz w:val="20"/>
        </w:rPr>
        <w:t xml:space="preserve">  </w:t>
      </w:r>
      <w:r w:rsidRPr="00CE357F">
        <w:rPr>
          <w:rFonts w:ascii="Arial Narrow" w:hAnsi="Arial Narrow"/>
          <w:sz w:val="20"/>
        </w:rPr>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0AA7B14F" w14:textId="0BD05A9C" w:rsidR="00E95550" w:rsidRPr="00CE357F" w:rsidRDefault="006855B5" w:rsidP="006855B5">
      <w:pPr>
        <w:pStyle w:val="Nadpis3"/>
        <w:ind w:hanging="463"/>
      </w:pPr>
      <w:bookmarkStart w:id="808" w:name="_Toc136876146"/>
      <w:r w:rsidRPr="00CE357F">
        <w:t xml:space="preserve">Osoby </w:t>
      </w:r>
      <w:r w:rsidR="00C475C3" w:rsidRPr="00CE357F">
        <w:t>s jinou než českou státní příslušností zaměstnaní v roce 2020 ve firmách na území ORP</w:t>
      </w:r>
      <w:bookmarkEnd w:id="806"/>
      <w:bookmarkEnd w:id="808"/>
      <w:r w:rsidRPr="00CE357F">
        <w:t xml:space="preserve"> </w:t>
      </w:r>
    </w:p>
    <w:p w14:paraId="5E49D7B3" w14:textId="77777777" w:rsidR="00E95550" w:rsidRPr="00CE357F" w:rsidRDefault="00E95550" w:rsidP="00732A00">
      <w:pPr>
        <w:rPr>
          <w:rFonts w:ascii="Arial Narrow" w:hAnsi="Arial Narrow"/>
        </w:rPr>
      </w:pPr>
    </w:p>
    <w:p w14:paraId="6E4B50C7" w14:textId="6AEB719D" w:rsidR="00C475C3" w:rsidRPr="00CE357F" w:rsidRDefault="00C475C3" w:rsidP="00C475C3">
      <w:pPr>
        <w:spacing w:line="276" w:lineRule="auto"/>
        <w:rPr>
          <w:rFonts w:ascii="Arial Narrow" w:hAnsi="Arial Narrow"/>
          <w:b/>
          <w:bCs/>
          <w:color w:val="C00000"/>
        </w:rPr>
      </w:pPr>
      <w:r w:rsidRPr="00CE357F">
        <w:rPr>
          <w:rFonts w:ascii="Arial Narrow" w:hAnsi="Arial Narrow"/>
          <w:b/>
          <w:bCs/>
          <w:color w:val="C00000"/>
        </w:rPr>
        <w:t xml:space="preserve">Soupis </w:t>
      </w:r>
      <w:r w:rsidR="001E64E1">
        <w:rPr>
          <w:rFonts w:ascii="Arial Narrow" w:hAnsi="Arial Narrow"/>
          <w:b/>
          <w:bCs/>
          <w:color w:val="C00000"/>
        </w:rPr>
        <w:t>významných</w:t>
      </w:r>
      <w:r w:rsidRPr="00CE357F">
        <w:rPr>
          <w:rFonts w:ascii="Arial Narrow" w:hAnsi="Arial Narrow"/>
          <w:b/>
          <w:bCs/>
          <w:color w:val="C00000"/>
        </w:rPr>
        <w:t xml:space="preserve"> zaměstnavatelů osob s jinou než českou státní příslušností v ORP Tišnov </w:t>
      </w:r>
    </w:p>
    <w:p w14:paraId="5A66C785" w14:textId="77777777" w:rsidR="00C475C3" w:rsidRPr="00CE357F" w:rsidRDefault="00C475C3" w:rsidP="00C475C3">
      <w:pPr>
        <w:spacing w:line="276" w:lineRule="auto"/>
        <w:rPr>
          <w:rFonts w:ascii="Arial Narrow" w:hAnsi="Arial Narrow"/>
          <w:b/>
          <w:bCs/>
          <w:color w:val="C00000"/>
        </w:rPr>
      </w:pPr>
    </w:p>
    <w:p w14:paraId="34012271" w14:textId="77777777" w:rsidR="00C475C3" w:rsidRPr="00CE357F" w:rsidRDefault="00C475C3" w:rsidP="00C475C3">
      <w:pPr>
        <w:spacing w:after="120" w:line="276" w:lineRule="auto"/>
        <w:jc w:val="both"/>
        <w:rPr>
          <w:rFonts w:ascii="Arial Narrow" w:hAnsi="Arial Narrow"/>
        </w:rPr>
      </w:pPr>
      <w:r w:rsidRPr="00CE357F">
        <w:rPr>
          <w:rFonts w:ascii="Arial Narrow" w:hAnsi="Arial Narrow"/>
        </w:rPr>
        <w:t>Níže uvedená tabulka dokumentuje přehled zaměstnavatelů, u nichž bylo v rámci Průzkumu zaměstnanosti JMK prokazatelně identifikované, že v roce 2020 zaměstnávali alespoň 10 osob s jinou než českou státní příslušností. Přehled všech zaměstnavatelů, u nichž bylo prokazatelně identifikované, že v roce 2020 zaměstnávali alespoň 1 osobu s jinou než českou státní příslušností, je z důvodu rozsahu součástí přílohy této zprávy.</w:t>
      </w:r>
    </w:p>
    <w:p w14:paraId="2A931CD2" w14:textId="74B23F6C" w:rsidR="00C475C3" w:rsidRPr="00CE357F" w:rsidRDefault="00C475C3" w:rsidP="00C475C3">
      <w:pPr>
        <w:spacing w:after="120" w:line="276" w:lineRule="auto"/>
        <w:jc w:val="both"/>
        <w:rPr>
          <w:rFonts w:ascii="Arial Narrow" w:hAnsi="Arial Narrow"/>
        </w:rPr>
      </w:pPr>
      <w:r w:rsidRPr="00CE357F">
        <w:rPr>
          <w:rFonts w:ascii="Arial Narrow" w:hAnsi="Arial Narrow"/>
        </w:rPr>
        <w:t xml:space="preserve">Dle těchto údajů byl v ORP Tišnov v roce 2020 </w:t>
      </w:r>
      <w:r w:rsidR="001E64E1">
        <w:rPr>
          <w:rFonts w:ascii="Arial Narrow" w:hAnsi="Arial Narrow"/>
        </w:rPr>
        <w:t>významný</w:t>
      </w:r>
      <w:r w:rsidRPr="00CE357F">
        <w:rPr>
          <w:rFonts w:ascii="Arial Narrow" w:hAnsi="Arial Narrow"/>
        </w:rPr>
        <w:t xml:space="preserve"> zaměstnavatel občanů s jinou než českou státní příslušností firma </w:t>
      </w:r>
      <w:r w:rsidRPr="00CE357F">
        <w:rPr>
          <w:rFonts w:ascii="Arial Narrow" w:hAnsi="Arial Narrow"/>
          <w:b/>
          <w:bCs/>
        </w:rPr>
        <w:t xml:space="preserve">Siemens Electric </w:t>
      </w:r>
      <w:proofErr w:type="spellStart"/>
      <w:r w:rsidRPr="00CE357F">
        <w:rPr>
          <w:rFonts w:ascii="Arial Narrow" w:hAnsi="Arial Narrow"/>
          <w:b/>
          <w:bCs/>
        </w:rPr>
        <w:t>Machines</w:t>
      </w:r>
      <w:proofErr w:type="spellEnd"/>
      <w:r w:rsidRPr="00CE357F">
        <w:rPr>
          <w:rFonts w:ascii="Arial Narrow" w:hAnsi="Arial Narrow"/>
          <w:b/>
          <w:bCs/>
        </w:rPr>
        <w:t xml:space="preserve"> s.r.o</w:t>
      </w:r>
      <w:r w:rsidRPr="00CE357F">
        <w:rPr>
          <w:rFonts w:ascii="Arial Narrow" w:hAnsi="Arial Narrow"/>
        </w:rPr>
        <w:t xml:space="preserve">., která v roce 2020 zaměstnávala celkem 30 </w:t>
      </w:r>
      <w:r w:rsidRPr="00CE357F">
        <w:rPr>
          <w:rFonts w:ascii="Arial Narrow" w:hAnsi="Arial Narrow"/>
          <w:color w:val="000000"/>
        </w:rPr>
        <w:t>osob s jinou než českou státní příslušností</w:t>
      </w:r>
      <w:r w:rsidRPr="00CE357F">
        <w:rPr>
          <w:rFonts w:ascii="Arial Narrow" w:hAnsi="Arial Narrow"/>
        </w:rPr>
        <w:t xml:space="preserve">, z toho 10 občanů SK, 6 </w:t>
      </w:r>
      <w:r w:rsidRPr="00CE357F">
        <w:rPr>
          <w:rFonts w:ascii="Arial Narrow" w:hAnsi="Arial Narrow"/>
          <w:color w:val="000000"/>
        </w:rPr>
        <w:t>osob s jinou než českou státní příslušností</w:t>
      </w:r>
      <w:r w:rsidRPr="00CE357F">
        <w:rPr>
          <w:rFonts w:ascii="Arial Narrow" w:hAnsi="Arial Narrow"/>
        </w:rPr>
        <w:t xml:space="preserve"> z EZ/EHP a Švýcarska a 14 občanů třetích zemí. Tato firma v roce 2020 zaměstnávala 30,3 % všech zaměstnaných </w:t>
      </w:r>
      <w:r w:rsidRPr="00CE357F">
        <w:rPr>
          <w:rFonts w:ascii="Arial Narrow" w:hAnsi="Arial Narrow"/>
          <w:color w:val="000000"/>
        </w:rPr>
        <w:t>osob s jinou než českou státní příslušností</w:t>
      </w:r>
      <w:r w:rsidRPr="00CE357F">
        <w:rPr>
          <w:rFonts w:ascii="Arial Narrow" w:hAnsi="Arial Narrow"/>
        </w:rPr>
        <w:t xml:space="preserve"> v ORP Tišnov. Druhým </w:t>
      </w:r>
      <w:r w:rsidR="001E64E1">
        <w:rPr>
          <w:rFonts w:ascii="Arial Narrow" w:hAnsi="Arial Narrow"/>
        </w:rPr>
        <w:t>významným</w:t>
      </w:r>
      <w:r w:rsidRPr="00CE357F">
        <w:rPr>
          <w:rFonts w:ascii="Arial Narrow" w:hAnsi="Arial Narrow"/>
        </w:rPr>
        <w:t xml:space="preserve"> zaměstnavatelem byla podle těchto údajů firma </w:t>
      </w:r>
      <w:proofErr w:type="spellStart"/>
      <w:r w:rsidRPr="00CE357F">
        <w:rPr>
          <w:rFonts w:ascii="Arial Narrow" w:hAnsi="Arial Narrow"/>
          <w:b/>
          <w:bCs/>
        </w:rPr>
        <w:t>Steinhauser</w:t>
      </w:r>
      <w:proofErr w:type="spellEnd"/>
      <w:r w:rsidRPr="00CE357F">
        <w:rPr>
          <w:rFonts w:ascii="Arial Narrow" w:hAnsi="Arial Narrow"/>
          <w:b/>
          <w:bCs/>
        </w:rPr>
        <w:t>, s.r.o</w:t>
      </w:r>
      <w:r w:rsidRPr="00CE357F">
        <w:rPr>
          <w:rFonts w:ascii="Arial Narrow" w:hAnsi="Arial Narrow"/>
        </w:rPr>
        <w:t xml:space="preserve">., která v roce 2020 zaměstnávala 11 </w:t>
      </w:r>
      <w:r w:rsidRPr="00CE357F">
        <w:rPr>
          <w:rFonts w:ascii="Arial Narrow" w:hAnsi="Arial Narrow"/>
          <w:color w:val="000000"/>
        </w:rPr>
        <w:t>osob s jinou než českou státní příslušností</w:t>
      </w:r>
      <w:r w:rsidRPr="00CE357F">
        <w:rPr>
          <w:rFonts w:ascii="Arial Narrow" w:hAnsi="Arial Narrow"/>
        </w:rPr>
        <w:t xml:space="preserve">, přičemž 10 z nich bylo občany jedné z takzvaných třetích zemí. Mezi další významné zaměstnavatele </w:t>
      </w:r>
      <w:r w:rsidR="001E64E1">
        <w:rPr>
          <w:rFonts w:ascii="Arial Narrow" w:hAnsi="Arial Narrow"/>
        </w:rPr>
        <w:t xml:space="preserve">osob </w:t>
      </w:r>
      <w:r w:rsidRPr="00CE357F">
        <w:rPr>
          <w:rFonts w:ascii="Arial Narrow" w:hAnsi="Arial Narrow"/>
        </w:rPr>
        <w:t xml:space="preserve">s jinou než českou státní příslušností v ORP Tišnov patřili v roce 2020 firma </w:t>
      </w:r>
      <w:proofErr w:type="spellStart"/>
      <w:r w:rsidRPr="00CE357F">
        <w:rPr>
          <w:rFonts w:ascii="Arial Narrow" w:hAnsi="Arial Narrow"/>
        </w:rPr>
        <w:t>Stavounie</w:t>
      </w:r>
      <w:proofErr w:type="spellEnd"/>
      <w:r w:rsidRPr="00CE357F">
        <w:rPr>
          <w:rFonts w:ascii="Arial Narrow" w:hAnsi="Arial Narrow"/>
        </w:rPr>
        <w:t xml:space="preserve">-CZ, s.r.o., která zaměstnávala 11 občanů z třetích zemí. </w:t>
      </w:r>
    </w:p>
    <w:p w14:paraId="68C580F9" w14:textId="12121CD6" w:rsidR="00C475C3" w:rsidRPr="00CE357F" w:rsidRDefault="00C475C3" w:rsidP="00C475C3">
      <w:pPr>
        <w:spacing w:after="120" w:line="276" w:lineRule="auto"/>
        <w:jc w:val="both"/>
        <w:rPr>
          <w:rFonts w:ascii="Arial Narrow" w:hAnsi="Arial Narrow"/>
        </w:rPr>
      </w:pPr>
      <w:r w:rsidRPr="00CE357F">
        <w:rPr>
          <w:rFonts w:ascii="Arial Narrow" w:hAnsi="Arial Narrow"/>
        </w:rPr>
        <w:t>Z celkových 99 zaměstnanců</w:t>
      </w:r>
      <w:r w:rsidR="001E64E1">
        <w:rPr>
          <w:rFonts w:ascii="Arial Narrow" w:hAnsi="Arial Narrow"/>
        </w:rPr>
        <w:t>–osob</w:t>
      </w:r>
      <w:r w:rsidRPr="00CE357F">
        <w:rPr>
          <w:rFonts w:ascii="Arial Narrow" w:hAnsi="Arial Narrow"/>
        </w:rPr>
        <w:t xml:space="preserve"> s jinou než českou příslušností jich bylo 45,5 % zaměstnaných v obci Tišnov a 35,4 % v obci Drásov.</w:t>
      </w:r>
    </w:p>
    <w:p w14:paraId="6AB0F2D0" w14:textId="7E9E8BB5" w:rsidR="00C475C3" w:rsidRPr="00CE357F" w:rsidRDefault="00C475C3" w:rsidP="006855B5">
      <w:pPr>
        <w:jc w:val="both"/>
        <w:rPr>
          <w:rFonts w:ascii="Arial Narrow" w:hAnsi="Arial Narrow"/>
          <w:b/>
          <w:bCs/>
          <w:sz w:val="24"/>
          <w:szCs w:val="24"/>
        </w:rPr>
      </w:pPr>
      <w:bookmarkStart w:id="809" w:name="_Toc136429273"/>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62</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 xml:space="preserve">Soupis </w:t>
      </w:r>
      <w:r w:rsidR="001E64E1">
        <w:rPr>
          <w:rFonts w:ascii="Arial Narrow" w:eastAsia="Times New Roman" w:hAnsi="Arial Narrow" w:cs="Arial"/>
          <w:b/>
          <w:bCs/>
          <w:sz w:val="20"/>
          <w:szCs w:val="20"/>
          <w:lang w:eastAsia="cs-CZ"/>
        </w:rPr>
        <w:t>významných</w:t>
      </w:r>
      <w:r w:rsidRPr="00CE357F">
        <w:rPr>
          <w:rFonts w:ascii="Arial Narrow" w:eastAsia="Times New Roman" w:hAnsi="Arial Narrow" w:cs="Arial"/>
          <w:b/>
          <w:bCs/>
          <w:sz w:val="20"/>
          <w:szCs w:val="20"/>
          <w:lang w:eastAsia="cs-CZ"/>
        </w:rPr>
        <w:t xml:space="preserve"> zaměstnavatelů osob s jinou než českou státní příslušností v ORP Tišnov v roce 2020</w:t>
      </w:r>
      <w:bookmarkEnd w:id="809"/>
    </w:p>
    <w:tbl>
      <w:tblPr>
        <w:tblW w:w="8964" w:type="dxa"/>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34"/>
        <w:gridCol w:w="3096"/>
        <w:gridCol w:w="848"/>
        <w:gridCol w:w="1673"/>
        <w:gridCol w:w="1265"/>
        <w:gridCol w:w="948"/>
      </w:tblGrid>
      <w:tr w:rsidR="00C475C3" w:rsidRPr="00CE357F" w14:paraId="2DB44DE4" w14:textId="77777777" w:rsidTr="00E118F1">
        <w:trPr>
          <w:trHeight w:val="268"/>
        </w:trPr>
        <w:tc>
          <w:tcPr>
            <w:tcW w:w="1134" w:type="dxa"/>
            <w:vMerge w:val="restart"/>
            <w:shd w:val="clear" w:color="auto" w:fill="D9E2F3" w:themeFill="accent1" w:themeFillTint="33"/>
            <w:vAlign w:val="center"/>
            <w:hideMark/>
          </w:tcPr>
          <w:p w14:paraId="0515A9A2" w14:textId="77777777" w:rsidR="00C475C3" w:rsidRPr="00CE357F" w:rsidRDefault="00C475C3" w:rsidP="00765E5D">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Obec</w:t>
            </w:r>
          </w:p>
        </w:tc>
        <w:tc>
          <w:tcPr>
            <w:tcW w:w="3096" w:type="dxa"/>
            <w:vMerge w:val="restart"/>
            <w:shd w:val="clear" w:color="auto" w:fill="D9E2F3" w:themeFill="accent1" w:themeFillTint="33"/>
            <w:vAlign w:val="center"/>
            <w:hideMark/>
          </w:tcPr>
          <w:p w14:paraId="2B196207" w14:textId="77777777" w:rsidR="00C475C3" w:rsidRPr="00CE357F" w:rsidRDefault="00C475C3" w:rsidP="00765E5D">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Název zaměstnavatele</w:t>
            </w:r>
          </w:p>
        </w:tc>
        <w:tc>
          <w:tcPr>
            <w:tcW w:w="4734" w:type="dxa"/>
            <w:gridSpan w:val="4"/>
            <w:shd w:val="clear" w:color="auto" w:fill="D9E2F3" w:themeFill="accent1" w:themeFillTint="33"/>
            <w:vAlign w:val="center"/>
          </w:tcPr>
          <w:p w14:paraId="07D26689" w14:textId="77777777" w:rsidR="00C475C3" w:rsidRPr="00CE357F" w:rsidRDefault="00C475C3" w:rsidP="00765E5D">
            <w:pPr>
              <w:jc w:val="center"/>
              <w:rPr>
                <w:rFonts w:ascii="Arial Narrow" w:eastAsia="Times New Roman" w:hAnsi="Arial Narrow" w:cs="Arial"/>
                <w:b/>
                <w:bCs/>
                <w:sz w:val="18"/>
                <w:szCs w:val="18"/>
                <w:lang w:eastAsia="cs-CZ"/>
              </w:rPr>
            </w:pPr>
            <w:r w:rsidRPr="00CE357F">
              <w:rPr>
                <w:rFonts w:ascii="Arial Narrow" w:eastAsia="Times New Roman" w:hAnsi="Arial Narrow" w:cs="Arial"/>
                <w:b/>
                <w:sz w:val="18"/>
                <w:szCs w:val="18"/>
                <w:lang w:eastAsia="cs-CZ"/>
              </w:rPr>
              <w:t>Zaměstnané</w:t>
            </w:r>
            <w:r w:rsidRPr="00CE357F">
              <w:rPr>
                <w:rFonts w:ascii="Arial Narrow" w:hAnsi="Arial Narrow"/>
                <w:b/>
              </w:rPr>
              <w:t xml:space="preserve"> </w:t>
            </w:r>
            <w:r w:rsidRPr="00CE357F">
              <w:rPr>
                <w:rFonts w:ascii="Arial Narrow" w:eastAsia="Times New Roman" w:hAnsi="Arial Narrow" w:cs="Arial"/>
                <w:b/>
                <w:sz w:val="18"/>
                <w:szCs w:val="18"/>
                <w:lang w:eastAsia="cs-CZ"/>
              </w:rPr>
              <w:t>osoby s jinou než českou státní příslušností</w:t>
            </w:r>
          </w:p>
        </w:tc>
      </w:tr>
      <w:tr w:rsidR="00C475C3" w:rsidRPr="00CE357F" w14:paraId="2741592D" w14:textId="77777777" w:rsidTr="00E118F1">
        <w:trPr>
          <w:trHeight w:val="464"/>
        </w:trPr>
        <w:tc>
          <w:tcPr>
            <w:tcW w:w="1134" w:type="dxa"/>
            <w:vMerge/>
            <w:shd w:val="clear" w:color="auto" w:fill="D9E2F3" w:themeFill="accent1" w:themeFillTint="33"/>
            <w:vAlign w:val="center"/>
            <w:hideMark/>
          </w:tcPr>
          <w:p w14:paraId="791CFF8A" w14:textId="77777777" w:rsidR="00C475C3" w:rsidRPr="00CE357F" w:rsidRDefault="00C475C3" w:rsidP="00765E5D">
            <w:pPr>
              <w:jc w:val="center"/>
              <w:rPr>
                <w:rFonts w:ascii="Arial Narrow" w:eastAsia="Times New Roman" w:hAnsi="Arial Narrow" w:cs="Arial"/>
                <w:b/>
                <w:bCs/>
                <w:sz w:val="18"/>
                <w:szCs w:val="18"/>
                <w:lang w:eastAsia="cs-CZ"/>
              </w:rPr>
            </w:pPr>
          </w:p>
        </w:tc>
        <w:tc>
          <w:tcPr>
            <w:tcW w:w="3096" w:type="dxa"/>
            <w:vMerge/>
            <w:shd w:val="clear" w:color="auto" w:fill="D9E2F3" w:themeFill="accent1" w:themeFillTint="33"/>
            <w:vAlign w:val="center"/>
            <w:hideMark/>
          </w:tcPr>
          <w:p w14:paraId="6884378F" w14:textId="77777777" w:rsidR="00C475C3" w:rsidRPr="00CE357F" w:rsidRDefault="00C475C3" w:rsidP="00765E5D">
            <w:pPr>
              <w:jc w:val="center"/>
              <w:rPr>
                <w:rFonts w:ascii="Arial Narrow" w:eastAsia="Times New Roman" w:hAnsi="Arial Narrow" w:cs="Arial"/>
                <w:b/>
                <w:bCs/>
                <w:sz w:val="18"/>
                <w:szCs w:val="18"/>
                <w:lang w:eastAsia="cs-CZ"/>
              </w:rPr>
            </w:pPr>
          </w:p>
        </w:tc>
        <w:tc>
          <w:tcPr>
            <w:tcW w:w="848" w:type="dxa"/>
            <w:shd w:val="clear" w:color="auto" w:fill="D9E2F3" w:themeFill="accent1" w:themeFillTint="33"/>
            <w:vAlign w:val="center"/>
          </w:tcPr>
          <w:p w14:paraId="33544E7A" w14:textId="77777777" w:rsidR="00C475C3" w:rsidRPr="00CE357F" w:rsidRDefault="00C475C3" w:rsidP="00765E5D">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SK</w:t>
            </w:r>
          </w:p>
        </w:tc>
        <w:tc>
          <w:tcPr>
            <w:tcW w:w="1673" w:type="dxa"/>
            <w:shd w:val="clear" w:color="auto" w:fill="D9E2F3" w:themeFill="accent1" w:themeFillTint="33"/>
            <w:vAlign w:val="center"/>
          </w:tcPr>
          <w:p w14:paraId="44537CE1" w14:textId="77777777" w:rsidR="00C475C3" w:rsidRPr="00CE357F" w:rsidRDefault="00C475C3" w:rsidP="00765E5D">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EU/EHP a Švýcarska (mimo občanů SK)</w:t>
            </w:r>
          </w:p>
        </w:tc>
        <w:tc>
          <w:tcPr>
            <w:tcW w:w="1265" w:type="dxa"/>
            <w:shd w:val="clear" w:color="auto" w:fill="D9E2F3" w:themeFill="accent1" w:themeFillTint="33"/>
            <w:vAlign w:val="center"/>
          </w:tcPr>
          <w:p w14:paraId="51EAA66B" w14:textId="77777777" w:rsidR="00C475C3" w:rsidRPr="00CE357F" w:rsidRDefault="00C475C3" w:rsidP="00765E5D">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Z ostatních zemí (celkem)</w:t>
            </w:r>
          </w:p>
        </w:tc>
        <w:tc>
          <w:tcPr>
            <w:tcW w:w="948" w:type="dxa"/>
            <w:shd w:val="clear" w:color="auto" w:fill="D9E2F3" w:themeFill="accent1" w:themeFillTint="33"/>
            <w:vAlign w:val="center"/>
          </w:tcPr>
          <w:p w14:paraId="31FF392E" w14:textId="77777777" w:rsidR="00C475C3" w:rsidRPr="00CE357F" w:rsidRDefault="00C475C3" w:rsidP="00765E5D">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w:t>
            </w:r>
          </w:p>
        </w:tc>
      </w:tr>
      <w:tr w:rsidR="00C475C3" w:rsidRPr="00CE357F" w14:paraId="6AE9660A" w14:textId="77777777" w:rsidTr="00E118F1">
        <w:trPr>
          <w:trHeight w:val="272"/>
        </w:trPr>
        <w:tc>
          <w:tcPr>
            <w:tcW w:w="1134" w:type="dxa"/>
            <w:shd w:val="clear" w:color="auto" w:fill="D9E2F3" w:themeFill="accent1" w:themeFillTint="33"/>
            <w:vAlign w:val="center"/>
          </w:tcPr>
          <w:p w14:paraId="1106E76C"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Drásov</w:t>
            </w:r>
          </w:p>
        </w:tc>
        <w:tc>
          <w:tcPr>
            <w:tcW w:w="3096" w:type="dxa"/>
            <w:vAlign w:val="center"/>
          </w:tcPr>
          <w:p w14:paraId="50E8C611"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 xml:space="preserve">Siemens Electric </w:t>
            </w:r>
            <w:proofErr w:type="spellStart"/>
            <w:r w:rsidRPr="00CE357F">
              <w:rPr>
                <w:rFonts w:ascii="Arial Narrow" w:hAnsi="Arial Narrow"/>
                <w:color w:val="000000"/>
                <w:sz w:val="18"/>
                <w:szCs w:val="18"/>
              </w:rPr>
              <w:t>Machines</w:t>
            </w:r>
            <w:proofErr w:type="spellEnd"/>
            <w:r w:rsidRPr="00CE357F">
              <w:rPr>
                <w:rFonts w:ascii="Arial Narrow" w:hAnsi="Arial Narrow"/>
                <w:color w:val="000000"/>
                <w:sz w:val="18"/>
                <w:szCs w:val="18"/>
              </w:rPr>
              <w:t xml:space="preserve"> s.r.o.</w:t>
            </w:r>
          </w:p>
        </w:tc>
        <w:tc>
          <w:tcPr>
            <w:tcW w:w="848" w:type="dxa"/>
            <w:vAlign w:val="center"/>
          </w:tcPr>
          <w:p w14:paraId="0D035DFC"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10</w:t>
            </w:r>
          </w:p>
        </w:tc>
        <w:tc>
          <w:tcPr>
            <w:tcW w:w="1673" w:type="dxa"/>
            <w:vAlign w:val="center"/>
          </w:tcPr>
          <w:p w14:paraId="55393DEC"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6</w:t>
            </w:r>
          </w:p>
        </w:tc>
        <w:tc>
          <w:tcPr>
            <w:tcW w:w="1265" w:type="dxa"/>
            <w:vAlign w:val="center"/>
          </w:tcPr>
          <w:p w14:paraId="10097B7A"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14</w:t>
            </w:r>
          </w:p>
        </w:tc>
        <w:tc>
          <w:tcPr>
            <w:tcW w:w="948" w:type="dxa"/>
            <w:vAlign w:val="center"/>
          </w:tcPr>
          <w:p w14:paraId="56D2AAA5" w14:textId="77777777" w:rsidR="00C475C3" w:rsidRPr="00CE357F" w:rsidRDefault="00C475C3" w:rsidP="00765E5D">
            <w:pPr>
              <w:jc w:val="center"/>
              <w:rPr>
                <w:rFonts w:ascii="Arial Narrow" w:hAnsi="Arial Narrow"/>
                <w:b/>
                <w:bCs/>
                <w:color w:val="C00000"/>
                <w:sz w:val="18"/>
                <w:szCs w:val="18"/>
              </w:rPr>
            </w:pPr>
            <w:r w:rsidRPr="00CE357F">
              <w:rPr>
                <w:rFonts w:ascii="Arial Narrow" w:hAnsi="Arial Narrow"/>
                <w:b/>
                <w:bCs/>
                <w:color w:val="C00000"/>
                <w:sz w:val="18"/>
                <w:szCs w:val="18"/>
              </w:rPr>
              <w:t>30</w:t>
            </w:r>
          </w:p>
        </w:tc>
      </w:tr>
      <w:tr w:rsidR="00C475C3" w:rsidRPr="00CE357F" w14:paraId="753CC607" w14:textId="77777777" w:rsidTr="00E118F1">
        <w:trPr>
          <w:trHeight w:val="272"/>
        </w:trPr>
        <w:tc>
          <w:tcPr>
            <w:tcW w:w="1134" w:type="dxa"/>
            <w:shd w:val="clear" w:color="auto" w:fill="D9E2F3" w:themeFill="accent1" w:themeFillTint="33"/>
            <w:vAlign w:val="center"/>
          </w:tcPr>
          <w:p w14:paraId="16FC6F44"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Tišnov</w:t>
            </w:r>
          </w:p>
        </w:tc>
        <w:tc>
          <w:tcPr>
            <w:tcW w:w="3096" w:type="dxa"/>
            <w:vAlign w:val="center"/>
          </w:tcPr>
          <w:p w14:paraId="6D455140" w14:textId="77777777" w:rsidR="00C475C3" w:rsidRPr="00CE357F" w:rsidRDefault="00C475C3" w:rsidP="00765E5D">
            <w:pPr>
              <w:jc w:val="center"/>
              <w:rPr>
                <w:rFonts w:ascii="Arial Narrow" w:hAnsi="Arial Narrow"/>
                <w:color w:val="000000"/>
                <w:sz w:val="18"/>
                <w:szCs w:val="18"/>
              </w:rPr>
            </w:pPr>
            <w:proofErr w:type="spellStart"/>
            <w:r w:rsidRPr="00CE357F">
              <w:rPr>
                <w:rFonts w:ascii="Arial Narrow" w:hAnsi="Arial Narrow"/>
                <w:color w:val="000000"/>
                <w:sz w:val="18"/>
                <w:szCs w:val="18"/>
              </w:rPr>
              <w:t>Steinhauser</w:t>
            </w:r>
            <w:proofErr w:type="spellEnd"/>
            <w:r w:rsidRPr="00CE357F">
              <w:rPr>
                <w:rFonts w:ascii="Arial Narrow" w:hAnsi="Arial Narrow"/>
                <w:color w:val="000000"/>
                <w:sz w:val="18"/>
                <w:szCs w:val="18"/>
              </w:rPr>
              <w:t>, s.r.o.</w:t>
            </w:r>
          </w:p>
        </w:tc>
        <w:tc>
          <w:tcPr>
            <w:tcW w:w="848" w:type="dxa"/>
            <w:vAlign w:val="center"/>
          </w:tcPr>
          <w:p w14:paraId="174B0461"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1</w:t>
            </w:r>
          </w:p>
        </w:tc>
        <w:tc>
          <w:tcPr>
            <w:tcW w:w="1673" w:type="dxa"/>
            <w:vAlign w:val="center"/>
          </w:tcPr>
          <w:p w14:paraId="33F3C7F1"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0</w:t>
            </w:r>
          </w:p>
        </w:tc>
        <w:tc>
          <w:tcPr>
            <w:tcW w:w="1265" w:type="dxa"/>
            <w:vAlign w:val="center"/>
          </w:tcPr>
          <w:p w14:paraId="2A4A4610"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10</w:t>
            </w:r>
          </w:p>
        </w:tc>
        <w:tc>
          <w:tcPr>
            <w:tcW w:w="948" w:type="dxa"/>
            <w:vAlign w:val="center"/>
          </w:tcPr>
          <w:p w14:paraId="7E6EA1A9" w14:textId="77777777" w:rsidR="00C475C3" w:rsidRPr="00CE357F" w:rsidRDefault="00C475C3" w:rsidP="00765E5D">
            <w:pPr>
              <w:jc w:val="center"/>
              <w:rPr>
                <w:rFonts w:ascii="Arial Narrow" w:hAnsi="Arial Narrow"/>
                <w:b/>
                <w:bCs/>
                <w:color w:val="C00000"/>
                <w:sz w:val="18"/>
                <w:szCs w:val="18"/>
              </w:rPr>
            </w:pPr>
            <w:r w:rsidRPr="00CE357F">
              <w:rPr>
                <w:rFonts w:ascii="Arial Narrow" w:hAnsi="Arial Narrow"/>
                <w:b/>
                <w:bCs/>
                <w:color w:val="C00000"/>
                <w:sz w:val="18"/>
                <w:szCs w:val="18"/>
              </w:rPr>
              <w:t>11</w:t>
            </w:r>
          </w:p>
        </w:tc>
      </w:tr>
      <w:tr w:rsidR="00C475C3" w:rsidRPr="00CE357F" w14:paraId="68D6EF98" w14:textId="77777777" w:rsidTr="00E118F1">
        <w:trPr>
          <w:trHeight w:val="272"/>
        </w:trPr>
        <w:tc>
          <w:tcPr>
            <w:tcW w:w="1134" w:type="dxa"/>
            <w:shd w:val="clear" w:color="auto" w:fill="D9E2F3" w:themeFill="accent1" w:themeFillTint="33"/>
            <w:vAlign w:val="center"/>
          </w:tcPr>
          <w:p w14:paraId="3786017D"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Tišnov</w:t>
            </w:r>
          </w:p>
        </w:tc>
        <w:tc>
          <w:tcPr>
            <w:tcW w:w="3096" w:type="dxa"/>
            <w:vAlign w:val="center"/>
          </w:tcPr>
          <w:p w14:paraId="2AF3F77F" w14:textId="77777777" w:rsidR="00C475C3" w:rsidRPr="00CE357F" w:rsidRDefault="00C475C3" w:rsidP="00765E5D">
            <w:pPr>
              <w:jc w:val="center"/>
              <w:rPr>
                <w:rFonts w:ascii="Arial Narrow" w:hAnsi="Arial Narrow"/>
                <w:color w:val="000000"/>
                <w:sz w:val="18"/>
                <w:szCs w:val="18"/>
              </w:rPr>
            </w:pPr>
            <w:proofErr w:type="spellStart"/>
            <w:r w:rsidRPr="00CE357F">
              <w:rPr>
                <w:rFonts w:ascii="Arial Narrow" w:hAnsi="Arial Narrow"/>
                <w:color w:val="000000"/>
                <w:sz w:val="18"/>
                <w:szCs w:val="18"/>
              </w:rPr>
              <w:t>Stavounie</w:t>
            </w:r>
            <w:proofErr w:type="spellEnd"/>
            <w:r w:rsidRPr="00CE357F">
              <w:rPr>
                <w:rFonts w:ascii="Arial Narrow" w:hAnsi="Arial Narrow"/>
                <w:color w:val="000000"/>
                <w:sz w:val="18"/>
                <w:szCs w:val="18"/>
              </w:rPr>
              <w:t>-CZ, s.r.o.</w:t>
            </w:r>
          </w:p>
        </w:tc>
        <w:tc>
          <w:tcPr>
            <w:tcW w:w="848" w:type="dxa"/>
            <w:vAlign w:val="center"/>
          </w:tcPr>
          <w:p w14:paraId="6C6A89DE"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0</w:t>
            </w:r>
          </w:p>
        </w:tc>
        <w:tc>
          <w:tcPr>
            <w:tcW w:w="1673" w:type="dxa"/>
            <w:vAlign w:val="center"/>
          </w:tcPr>
          <w:p w14:paraId="4E37F578"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0</w:t>
            </w:r>
          </w:p>
        </w:tc>
        <w:tc>
          <w:tcPr>
            <w:tcW w:w="1265" w:type="dxa"/>
            <w:vAlign w:val="center"/>
          </w:tcPr>
          <w:p w14:paraId="53D0E51E"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11</w:t>
            </w:r>
          </w:p>
        </w:tc>
        <w:tc>
          <w:tcPr>
            <w:tcW w:w="948" w:type="dxa"/>
            <w:vAlign w:val="center"/>
          </w:tcPr>
          <w:p w14:paraId="0FF298A7" w14:textId="77777777" w:rsidR="00C475C3" w:rsidRPr="00CE357F" w:rsidRDefault="00C475C3" w:rsidP="00765E5D">
            <w:pPr>
              <w:jc w:val="center"/>
              <w:rPr>
                <w:rFonts w:ascii="Arial Narrow" w:hAnsi="Arial Narrow"/>
                <w:b/>
                <w:bCs/>
                <w:color w:val="C00000"/>
                <w:sz w:val="18"/>
                <w:szCs w:val="18"/>
              </w:rPr>
            </w:pPr>
            <w:r w:rsidRPr="00CE357F">
              <w:rPr>
                <w:rFonts w:ascii="Arial Narrow" w:hAnsi="Arial Narrow"/>
                <w:b/>
                <w:bCs/>
                <w:color w:val="C00000"/>
                <w:sz w:val="18"/>
                <w:szCs w:val="18"/>
              </w:rPr>
              <w:t>11</w:t>
            </w:r>
          </w:p>
        </w:tc>
      </w:tr>
      <w:tr w:rsidR="00C475C3" w:rsidRPr="00CE357F" w14:paraId="4FB67E0E" w14:textId="77777777" w:rsidTr="00E118F1">
        <w:trPr>
          <w:trHeight w:val="272"/>
        </w:trPr>
        <w:tc>
          <w:tcPr>
            <w:tcW w:w="1134" w:type="dxa"/>
            <w:shd w:val="clear" w:color="auto" w:fill="D9E2F3" w:themeFill="accent1" w:themeFillTint="33"/>
            <w:vAlign w:val="center"/>
          </w:tcPr>
          <w:p w14:paraId="18B28B83"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Předklášteří</w:t>
            </w:r>
          </w:p>
        </w:tc>
        <w:tc>
          <w:tcPr>
            <w:tcW w:w="3096" w:type="dxa"/>
            <w:vAlign w:val="center"/>
          </w:tcPr>
          <w:p w14:paraId="149EECA5"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Ing. Brázda - UNIVERS s.r.o.</w:t>
            </w:r>
          </w:p>
        </w:tc>
        <w:tc>
          <w:tcPr>
            <w:tcW w:w="848" w:type="dxa"/>
            <w:vAlign w:val="center"/>
          </w:tcPr>
          <w:p w14:paraId="2FE9376E"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1</w:t>
            </w:r>
          </w:p>
        </w:tc>
        <w:tc>
          <w:tcPr>
            <w:tcW w:w="1673" w:type="dxa"/>
            <w:vAlign w:val="center"/>
          </w:tcPr>
          <w:p w14:paraId="2100475C"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0</w:t>
            </w:r>
          </w:p>
        </w:tc>
        <w:tc>
          <w:tcPr>
            <w:tcW w:w="1265" w:type="dxa"/>
            <w:vAlign w:val="center"/>
          </w:tcPr>
          <w:p w14:paraId="22BE6A71"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8</w:t>
            </w:r>
          </w:p>
        </w:tc>
        <w:tc>
          <w:tcPr>
            <w:tcW w:w="948" w:type="dxa"/>
            <w:vAlign w:val="center"/>
          </w:tcPr>
          <w:p w14:paraId="7E06389B" w14:textId="77777777" w:rsidR="00C475C3" w:rsidRPr="00CE357F" w:rsidRDefault="00C475C3" w:rsidP="00765E5D">
            <w:pPr>
              <w:jc w:val="center"/>
              <w:rPr>
                <w:rFonts w:ascii="Arial Narrow" w:hAnsi="Arial Narrow"/>
                <w:b/>
                <w:bCs/>
                <w:color w:val="C00000"/>
                <w:sz w:val="18"/>
                <w:szCs w:val="18"/>
              </w:rPr>
            </w:pPr>
            <w:r w:rsidRPr="00CE357F">
              <w:rPr>
                <w:rFonts w:ascii="Arial Narrow" w:hAnsi="Arial Narrow"/>
                <w:b/>
                <w:bCs/>
                <w:color w:val="C00000"/>
                <w:sz w:val="18"/>
                <w:szCs w:val="18"/>
              </w:rPr>
              <w:t>9</w:t>
            </w:r>
          </w:p>
        </w:tc>
      </w:tr>
      <w:tr w:rsidR="00C475C3" w:rsidRPr="00CE357F" w14:paraId="6F358758" w14:textId="77777777" w:rsidTr="00E118F1">
        <w:trPr>
          <w:trHeight w:val="272"/>
        </w:trPr>
        <w:tc>
          <w:tcPr>
            <w:tcW w:w="1134" w:type="dxa"/>
            <w:shd w:val="clear" w:color="auto" w:fill="D9E2F3" w:themeFill="accent1" w:themeFillTint="33"/>
            <w:vAlign w:val="center"/>
          </w:tcPr>
          <w:p w14:paraId="270EC092" w14:textId="77777777" w:rsidR="00C475C3" w:rsidRPr="00CE357F" w:rsidRDefault="00C475C3" w:rsidP="00765E5D">
            <w:pPr>
              <w:jc w:val="center"/>
              <w:rPr>
                <w:rFonts w:ascii="Arial Narrow" w:hAnsi="Arial Narrow"/>
                <w:color w:val="000000"/>
                <w:sz w:val="18"/>
                <w:szCs w:val="18"/>
              </w:rPr>
            </w:pPr>
          </w:p>
        </w:tc>
        <w:tc>
          <w:tcPr>
            <w:tcW w:w="3096" w:type="dxa"/>
            <w:vAlign w:val="center"/>
          </w:tcPr>
          <w:p w14:paraId="7BFE6093"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Ostatní zaměstnavatelé s méně než 10 zaměstnanci s jinou než českou státní příslušností</w:t>
            </w:r>
          </w:p>
        </w:tc>
        <w:tc>
          <w:tcPr>
            <w:tcW w:w="848" w:type="dxa"/>
            <w:vAlign w:val="center"/>
          </w:tcPr>
          <w:p w14:paraId="68CBE8CD"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21</w:t>
            </w:r>
          </w:p>
        </w:tc>
        <w:tc>
          <w:tcPr>
            <w:tcW w:w="1673" w:type="dxa"/>
            <w:vAlign w:val="center"/>
          </w:tcPr>
          <w:p w14:paraId="71AEF4FC"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7</w:t>
            </w:r>
          </w:p>
        </w:tc>
        <w:tc>
          <w:tcPr>
            <w:tcW w:w="1265" w:type="dxa"/>
            <w:vAlign w:val="center"/>
          </w:tcPr>
          <w:p w14:paraId="5FF952B1"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color w:val="000000"/>
                <w:sz w:val="18"/>
                <w:szCs w:val="18"/>
              </w:rPr>
              <w:t>10</w:t>
            </w:r>
          </w:p>
        </w:tc>
        <w:tc>
          <w:tcPr>
            <w:tcW w:w="948" w:type="dxa"/>
            <w:vAlign w:val="center"/>
          </w:tcPr>
          <w:p w14:paraId="7AE646C2" w14:textId="77777777" w:rsidR="00C475C3" w:rsidRPr="00CE357F" w:rsidRDefault="00C475C3" w:rsidP="00765E5D">
            <w:pPr>
              <w:jc w:val="center"/>
              <w:rPr>
                <w:rFonts w:ascii="Arial Narrow" w:hAnsi="Arial Narrow"/>
                <w:b/>
                <w:bCs/>
                <w:color w:val="C00000"/>
                <w:sz w:val="18"/>
                <w:szCs w:val="18"/>
              </w:rPr>
            </w:pPr>
            <w:r w:rsidRPr="00CE357F">
              <w:rPr>
                <w:rFonts w:ascii="Arial Narrow" w:hAnsi="Arial Narrow"/>
                <w:b/>
                <w:bCs/>
                <w:color w:val="C00000"/>
                <w:sz w:val="18"/>
                <w:szCs w:val="18"/>
              </w:rPr>
              <w:t>38</w:t>
            </w:r>
          </w:p>
        </w:tc>
      </w:tr>
      <w:tr w:rsidR="00C475C3" w:rsidRPr="00CE357F" w14:paraId="1883A61D" w14:textId="77777777" w:rsidTr="00E118F1">
        <w:trPr>
          <w:trHeight w:val="272"/>
        </w:trPr>
        <w:tc>
          <w:tcPr>
            <w:tcW w:w="1134" w:type="dxa"/>
            <w:shd w:val="clear" w:color="auto" w:fill="D9E2F3" w:themeFill="accent1" w:themeFillTint="33"/>
            <w:vAlign w:val="center"/>
          </w:tcPr>
          <w:p w14:paraId="7396395F" w14:textId="77777777" w:rsidR="00C475C3" w:rsidRPr="00CE357F" w:rsidRDefault="00C475C3" w:rsidP="00765E5D">
            <w:pPr>
              <w:jc w:val="center"/>
              <w:rPr>
                <w:rFonts w:ascii="Arial Narrow" w:hAnsi="Arial Narrow"/>
                <w:color w:val="000000"/>
                <w:sz w:val="18"/>
                <w:szCs w:val="18"/>
              </w:rPr>
            </w:pPr>
            <w:r w:rsidRPr="00CE357F">
              <w:rPr>
                <w:rFonts w:ascii="Arial Narrow" w:hAnsi="Arial Narrow"/>
                <w:sz w:val="18"/>
                <w:szCs w:val="18"/>
              </w:rPr>
              <w:t>ORP CELKEM</w:t>
            </w:r>
          </w:p>
        </w:tc>
        <w:tc>
          <w:tcPr>
            <w:tcW w:w="3096" w:type="dxa"/>
            <w:shd w:val="clear" w:color="auto" w:fill="D9E2F3" w:themeFill="accent1" w:themeFillTint="33"/>
            <w:vAlign w:val="center"/>
          </w:tcPr>
          <w:p w14:paraId="6523DBD5" w14:textId="77777777" w:rsidR="00C475C3" w:rsidRPr="00CE357F" w:rsidRDefault="00C475C3" w:rsidP="00765E5D">
            <w:pPr>
              <w:jc w:val="center"/>
              <w:rPr>
                <w:rFonts w:ascii="Arial Narrow" w:hAnsi="Arial Narrow"/>
                <w:color w:val="000000"/>
                <w:sz w:val="18"/>
                <w:szCs w:val="18"/>
              </w:rPr>
            </w:pPr>
          </w:p>
        </w:tc>
        <w:tc>
          <w:tcPr>
            <w:tcW w:w="848" w:type="dxa"/>
            <w:shd w:val="clear" w:color="auto" w:fill="D9E2F3" w:themeFill="accent1" w:themeFillTint="33"/>
            <w:vAlign w:val="center"/>
          </w:tcPr>
          <w:p w14:paraId="2BB570FE" w14:textId="77777777" w:rsidR="00C475C3" w:rsidRPr="00CE357F" w:rsidRDefault="00C475C3" w:rsidP="00765E5D">
            <w:pPr>
              <w:jc w:val="center"/>
              <w:rPr>
                <w:rFonts w:ascii="Arial Narrow" w:hAnsi="Arial Narrow" w:cs="Arial"/>
                <w:b/>
                <w:bCs/>
                <w:sz w:val="18"/>
                <w:szCs w:val="18"/>
              </w:rPr>
            </w:pPr>
            <w:r w:rsidRPr="00CE357F">
              <w:rPr>
                <w:rFonts w:ascii="Arial Narrow" w:hAnsi="Arial Narrow" w:cs="Arial"/>
                <w:b/>
                <w:bCs/>
                <w:sz w:val="18"/>
                <w:szCs w:val="18"/>
              </w:rPr>
              <w:t>33</w:t>
            </w:r>
          </w:p>
        </w:tc>
        <w:tc>
          <w:tcPr>
            <w:tcW w:w="1673" w:type="dxa"/>
            <w:shd w:val="clear" w:color="auto" w:fill="D9E2F3" w:themeFill="accent1" w:themeFillTint="33"/>
            <w:vAlign w:val="center"/>
          </w:tcPr>
          <w:p w14:paraId="6ABC885A" w14:textId="77777777" w:rsidR="00C475C3" w:rsidRPr="00CE357F" w:rsidRDefault="00C475C3" w:rsidP="00765E5D">
            <w:pPr>
              <w:jc w:val="center"/>
              <w:rPr>
                <w:rFonts w:ascii="Arial Narrow" w:hAnsi="Arial Narrow" w:cs="Arial"/>
                <w:b/>
                <w:bCs/>
                <w:sz w:val="18"/>
                <w:szCs w:val="18"/>
              </w:rPr>
            </w:pPr>
            <w:r w:rsidRPr="00CE357F">
              <w:rPr>
                <w:rFonts w:ascii="Arial Narrow" w:hAnsi="Arial Narrow" w:cs="Arial"/>
                <w:b/>
                <w:bCs/>
                <w:sz w:val="18"/>
                <w:szCs w:val="18"/>
              </w:rPr>
              <w:t>13</w:t>
            </w:r>
          </w:p>
        </w:tc>
        <w:tc>
          <w:tcPr>
            <w:tcW w:w="1265" w:type="dxa"/>
            <w:shd w:val="clear" w:color="auto" w:fill="D9E2F3" w:themeFill="accent1" w:themeFillTint="33"/>
            <w:vAlign w:val="center"/>
          </w:tcPr>
          <w:p w14:paraId="5DC7DADB" w14:textId="77777777" w:rsidR="00C475C3" w:rsidRPr="00CE357F" w:rsidRDefault="00C475C3" w:rsidP="00765E5D">
            <w:pPr>
              <w:jc w:val="center"/>
              <w:rPr>
                <w:rFonts w:ascii="Arial Narrow" w:hAnsi="Arial Narrow"/>
                <w:b/>
                <w:bCs/>
                <w:color w:val="000000"/>
                <w:sz w:val="18"/>
                <w:szCs w:val="18"/>
              </w:rPr>
            </w:pPr>
            <w:r w:rsidRPr="00CE357F">
              <w:rPr>
                <w:rFonts w:ascii="Arial Narrow" w:hAnsi="Arial Narrow"/>
                <w:b/>
                <w:bCs/>
                <w:color w:val="000000"/>
                <w:sz w:val="18"/>
                <w:szCs w:val="18"/>
              </w:rPr>
              <w:t>53</w:t>
            </w:r>
          </w:p>
        </w:tc>
        <w:tc>
          <w:tcPr>
            <w:tcW w:w="948" w:type="dxa"/>
            <w:shd w:val="clear" w:color="auto" w:fill="D9E2F3" w:themeFill="accent1" w:themeFillTint="33"/>
            <w:vAlign w:val="center"/>
          </w:tcPr>
          <w:p w14:paraId="5723EE8E" w14:textId="77777777" w:rsidR="00C475C3" w:rsidRPr="00CE357F" w:rsidRDefault="00C475C3" w:rsidP="00765E5D">
            <w:pPr>
              <w:jc w:val="center"/>
              <w:rPr>
                <w:rFonts w:ascii="Arial Narrow" w:hAnsi="Arial Narrow" w:cs="Arial"/>
                <w:b/>
                <w:bCs/>
                <w:sz w:val="18"/>
                <w:szCs w:val="18"/>
              </w:rPr>
            </w:pPr>
            <w:r w:rsidRPr="00CE357F">
              <w:rPr>
                <w:rFonts w:ascii="Arial Narrow" w:hAnsi="Arial Narrow" w:cs="Arial"/>
                <w:b/>
                <w:bCs/>
                <w:sz w:val="18"/>
                <w:szCs w:val="18"/>
              </w:rPr>
              <w:t>99</w:t>
            </w:r>
          </w:p>
        </w:tc>
      </w:tr>
    </w:tbl>
    <w:p w14:paraId="0D8868ED" w14:textId="77777777" w:rsidR="00C475C3" w:rsidRPr="00CE357F" w:rsidRDefault="00C475C3" w:rsidP="00C475C3">
      <w:pPr>
        <w:spacing w:after="240" w:line="276" w:lineRule="auto"/>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04F4AE03" w14:textId="577C0ADB" w:rsidR="00C475C3" w:rsidRPr="00CE357F" w:rsidRDefault="00765E5D" w:rsidP="00C475C3">
      <w:pPr>
        <w:spacing w:before="240" w:after="240" w:line="276" w:lineRule="auto"/>
        <w:jc w:val="both"/>
        <w:rPr>
          <w:rFonts w:ascii="Arial Narrow" w:hAnsi="Arial Narrow"/>
          <w:b/>
          <w:bCs/>
          <w:color w:val="C00000"/>
          <w:sz w:val="28"/>
        </w:rPr>
      </w:pPr>
      <w:r w:rsidRPr="00CE357F">
        <w:rPr>
          <w:rFonts w:ascii="Arial Narrow" w:hAnsi="Arial Narrow"/>
          <w:b/>
          <w:bCs/>
          <w:color w:val="C00000"/>
          <w:szCs w:val="18"/>
        </w:rPr>
        <w:br/>
      </w:r>
      <w:r w:rsidR="00C475C3" w:rsidRPr="00CE357F">
        <w:rPr>
          <w:rFonts w:ascii="Arial Narrow" w:hAnsi="Arial Narrow"/>
          <w:b/>
          <w:bCs/>
          <w:color w:val="C00000"/>
          <w:szCs w:val="18"/>
        </w:rPr>
        <w:t xml:space="preserve">Zaměstnané </w:t>
      </w:r>
      <w:r w:rsidR="00C475C3" w:rsidRPr="00CE357F">
        <w:rPr>
          <w:rFonts w:ascii="Arial Narrow" w:eastAsia="Times New Roman" w:hAnsi="Arial Narrow" w:cs="Arial"/>
          <w:b/>
          <w:bCs/>
          <w:color w:val="C00000"/>
          <w:szCs w:val="18"/>
          <w:lang w:eastAsia="cs-CZ"/>
        </w:rPr>
        <w:t>osoby s jinou než českou státní příslušností v ORP Tišnov podle klasifikace ekonomické činnosti</w:t>
      </w:r>
    </w:p>
    <w:p w14:paraId="73B240F7" w14:textId="05254C6F" w:rsidR="00B15B85" w:rsidRPr="00CE357F" w:rsidRDefault="00C475C3" w:rsidP="00C475C3">
      <w:pPr>
        <w:spacing w:after="120" w:line="276" w:lineRule="auto"/>
        <w:jc w:val="both"/>
        <w:rPr>
          <w:rFonts w:ascii="Arial Narrow" w:hAnsi="Arial Narrow"/>
        </w:rPr>
      </w:pPr>
      <w:r w:rsidRPr="00CE357F">
        <w:rPr>
          <w:rFonts w:ascii="Arial Narrow" w:hAnsi="Arial Narrow"/>
        </w:rPr>
        <w:t>Dle klasifikace ekonomických činností CZ-NACE</w:t>
      </w:r>
      <w:r w:rsidRPr="00CE357F">
        <w:rPr>
          <w:rStyle w:val="Znakapoznpodarou"/>
          <w:rFonts w:ascii="Arial Narrow" w:hAnsi="Arial Narrow"/>
        </w:rPr>
        <w:footnoteReference w:id="100"/>
      </w:r>
      <w:r w:rsidRPr="00CE357F">
        <w:rPr>
          <w:rFonts w:ascii="Arial Narrow" w:hAnsi="Arial Narrow"/>
        </w:rPr>
        <w:t xml:space="preserve"> bylo nejvíce zaměstnaných osob s jinou než českou státní příslušností v ORP Tišnov k datu 31. 12. 2020 zaměstnáno ve zpracovatelském průmyslu (61,6 %). Druhou oblastí, ve které bylo zaměstnáno nejvíce osob s jinou než českou státní příslušností, bylo stavebnictví (13,1 %).</w:t>
      </w:r>
      <w:r w:rsidR="00E32FA2">
        <w:rPr>
          <w:rFonts w:ascii="Arial Narrow" w:hAnsi="Arial Narrow"/>
        </w:rPr>
        <w:t xml:space="preserve"> </w:t>
      </w:r>
      <w:r w:rsidRPr="00CE357F">
        <w:rPr>
          <w:rFonts w:ascii="Arial Narrow" w:hAnsi="Arial Narrow"/>
        </w:rPr>
        <w:t xml:space="preserve">Zaměstnané osoby s jinou než českou státní příslušností v ORP </w:t>
      </w:r>
      <w:r w:rsidR="00765E5D" w:rsidRPr="00CE357F">
        <w:rPr>
          <w:rFonts w:ascii="Arial Narrow" w:hAnsi="Arial Narrow"/>
        </w:rPr>
        <w:t>Tišnov</w:t>
      </w:r>
      <w:r w:rsidRPr="00CE357F">
        <w:rPr>
          <w:rFonts w:ascii="Arial Narrow" w:hAnsi="Arial Narrow"/>
        </w:rPr>
        <w:t xml:space="preserve"> k 31. 12. 2020 podle klasifikace ekonomických činností CZ-NACE podrobně dokumentuje následující tabulka</w:t>
      </w:r>
      <w:r w:rsidR="00E32FA2">
        <w:rPr>
          <w:rFonts w:ascii="Arial Narrow" w:hAnsi="Arial Narrow"/>
        </w:rPr>
        <w:t xml:space="preserve"> č. 63</w:t>
      </w:r>
      <w:r w:rsidRPr="00CE357F">
        <w:rPr>
          <w:rFonts w:ascii="Arial Narrow" w:hAnsi="Arial Narrow"/>
        </w:rPr>
        <w:t xml:space="preserve">. </w:t>
      </w:r>
    </w:p>
    <w:p w14:paraId="1BF6A147" w14:textId="64A031BE" w:rsidR="00C475C3" w:rsidRPr="00CE357F" w:rsidRDefault="00C475C3" w:rsidP="006855B5">
      <w:pPr>
        <w:jc w:val="both"/>
        <w:rPr>
          <w:rFonts w:ascii="Arial Narrow" w:eastAsia="Times New Roman" w:hAnsi="Arial Narrow" w:cs="Arial"/>
          <w:b/>
          <w:bCs/>
          <w:sz w:val="20"/>
          <w:szCs w:val="20"/>
          <w:lang w:eastAsia="cs-CZ"/>
        </w:rPr>
      </w:pPr>
      <w:bookmarkStart w:id="810" w:name="_Toc136429274"/>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63</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006855B5" w:rsidRPr="00CE357F">
        <w:rPr>
          <w:rFonts w:ascii="Arial Narrow" w:hAnsi="Arial Narrow"/>
          <w:b/>
          <w:bCs/>
          <w:sz w:val="20"/>
          <w:szCs w:val="20"/>
        </w:rPr>
        <w:t>Zaměstnané osoby s jinou než českou státní příslušností v ORP Tišnov podle klasifikace ekonomické činnosti</w:t>
      </w:r>
      <w:bookmarkEnd w:id="810"/>
    </w:p>
    <w:tbl>
      <w:tblPr>
        <w:tblW w:w="9008"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5969"/>
        <w:gridCol w:w="3039"/>
      </w:tblGrid>
      <w:tr w:rsidR="006855B5" w:rsidRPr="00CE357F" w14:paraId="09CB4BA0" w14:textId="77777777" w:rsidTr="006855B5">
        <w:trPr>
          <w:trHeight w:val="509"/>
          <w:jc w:val="center"/>
        </w:trPr>
        <w:tc>
          <w:tcPr>
            <w:tcW w:w="5969" w:type="dxa"/>
            <w:vMerge w:val="restart"/>
            <w:shd w:val="clear" w:color="auto" w:fill="D9E2F3" w:themeFill="accent1" w:themeFillTint="33"/>
            <w:vAlign w:val="center"/>
            <w:hideMark/>
          </w:tcPr>
          <w:p w14:paraId="0508ADEC" w14:textId="77777777" w:rsidR="006855B5" w:rsidRPr="00CE357F" w:rsidRDefault="006855B5" w:rsidP="006855B5">
            <w:pPr>
              <w:jc w:val="center"/>
              <w:rPr>
                <w:rFonts w:ascii="Arial Narrow" w:eastAsia="Times New Roman" w:hAnsi="Arial Narrow" w:cs="Arial"/>
                <w:b/>
                <w:sz w:val="18"/>
                <w:szCs w:val="18"/>
                <w:lang w:eastAsia="cs-CZ"/>
              </w:rPr>
            </w:pPr>
            <w:r w:rsidRPr="00CE357F">
              <w:rPr>
                <w:rFonts w:ascii="Arial Narrow" w:eastAsia="Times New Roman" w:hAnsi="Arial Narrow" w:cs="Arial"/>
                <w:b/>
                <w:sz w:val="18"/>
                <w:szCs w:val="18"/>
                <w:lang w:eastAsia="cs-CZ"/>
              </w:rPr>
              <w:t>Klasifikace ekonomické činnosti</w:t>
            </w:r>
          </w:p>
        </w:tc>
        <w:tc>
          <w:tcPr>
            <w:tcW w:w="3039" w:type="dxa"/>
            <w:vMerge w:val="restart"/>
            <w:shd w:val="clear" w:color="auto" w:fill="D9E2F3" w:themeFill="accent1" w:themeFillTint="33"/>
            <w:vAlign w:val="center"/>
            <w:hideMark/>
          </w:tcPr>
          <w:p w14:paraId="3904D77B"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
                <w:bCs/>
                <w:sz w:val="18"/>
                <w:szCs w:val="18"/>
                <w:lang w:eastAsia="cs-CZ"/>
              </w:rPr>
              <w:t>Počet osob s jinou než českou státní příslušností pracujících v daném oboru</w:t>
            </w:r>
          </w:p>
        </w:tc>
      </w:tr>
      <w:tr w:rsidR="006855B5" w:rsidRPr="00CE357F" w14:paraId="2040EC89" w14:textId="77777777" w:rsidTr="006855B5">
        <w:trPr>
          <w:trHeight w:val="450"/>
          <w:jc w:val="center"/>
        </w:trPr>
        <w:tc>
          <w:tcPr>
            <w:tcW w:w="5969" w:type="dxa"/>
            <w:vMerge/>
            <w:shd w:val="clear" w:color="auto" w:fill="D9E2F3" w:themeFill="accent1" w:themeFillTint="33"/>
            <w:hideMark/>
          </w:tcPr>
          <w:p w14:paraId="5720E69B" w14:textId="77777777" w:rsidR="006855B5" w:rsidRPr="00CE357F" w:rsidRDefault="006855B5" w:rsidP="006855B5">
            <w:pPr>
              <w:jc w:val="center"/>
              <w:rPr>
                <w:rFonts w:ascii="Arial Narrow" w:eastAsia="Times New Roman" w:hAnsi="Arial Narrow" w:cs="Arial"/>
                <w:b/>
                <w:bCs/>
                <w:sz w:val="18"/>
                <w:szCs w:val="18"/>
                <w:lang w:eastAsia="cs-CZ"/>
              </w:rPr>
            </w:pPr>
          </w:p>
        </w:tc>
        <w:tc>
          <w:tcPr>
            <w:tcW w:w="3039" w:type="dxa"/>
            <w:vMerge/>
            <w:shd w:val="clear" w:color="auto" w:fill="D9E2F3" w:themeFill="accent1" w:themeFillTint="33"/>
            <w:hideMark/>
          </w:tcPr>
          <w:p w14:paraId="243BABF7" w14:textId="77777777" w:rsidR="006855B5" w:rsidRPr="00CE357F" w:rsidRDefault="006855B5" w:rsidP="006855B5">
            <w:pPr>
              <w:jc w:val="center"/>
              <w:rPr>
                <w:rFonts w:ascii="Arial Narrow" w:eastAsia="Times New Roman" w:hAnsi="Arial Narrow" w:cs="Arial"/>
                <w:b/>
                <w:bCs/>
                <w:sz w:val="18"/>
                <w:szCs w:val="18"/>
                <w:lang w:eastAsia="cs-CZ"/>
              </w:rPr>
            </w:pPr>
          </w:p>
        </w:tc>
      </w:tr>
      <w:tr w:rsidR="006855B5" w:rsidRPr="00CE357F" w14:paraId="7F4F2F22" w14:textId="77777777" w:rsidTr="006855B5">
        <w:trPr>
          <w:trHeight w:val="227"/>
          <w:jc w:val="center"/>
        </w:trPr>
        <w:tc>
          <w:tcPr>
            <w:tcW w:w="5969" w:type="dxa"/>
            <w:shd w:val="clear" w:color="auto" w:fill="D9E2F3" w:themeFill="accent1" w:themeFillTint="33"/>
          </w:tcPr>
          <w:p w14:paraId="75BF1A62"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A – Zemědělství, lesnictví, rybářství</w:t>
            </w:r>
          </w:p>
        </w:tc>
        <w:tc>
          <w:tcPr>
            <w:tcW w:w="3039" w:type="dxa"/>
          </w:tcPr>
          <w:p w14:paraId="3F6420E8" w14:textId="3FE5F709"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4F3001A7" w14:textId="77777777" w:rsidTr="006855B5">
        <w:trPr>
          <w:trHeight w:val="227"/>
          <w:jc w:val="center"/>
        </w:trPr>
        <w:tc>
          <w:tcPr>
            <w:tcW w:w="5969" w:type="dxa"/>
            <w:shd w:val="clear" w:color="auto" w:fill="D9E2F3" w:themeFill="accent1" w:themeFillTint="33"/>
          </w:tcPr>
          <w:p w14:paraId="1BD016CD"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B – Těžba a dobývání</w:t>
            </w:r>
          </w:p>
        </w:tc>
        <w:tc>
          <w:tcPr>
            <w:tcW w:w="3039" w:type="dxa"/>
          </w:tcPr>
          <w:p w14:paraId="19077C15" w14:textId="48A6C378"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4EEE2A62" w14:textId="77777777" w:rsidTr="006855B5">
        <w:trPr>
          <w:trHeight w:val="227"/>
          <w:jc w:val="center"/>
        </w:trPr>
        <w:tc>
          <w:tcPr>
            <w:tcW w:w="5969" w:type="dxa"/>
            <w:shd w:val="clear" w:color="auto" w:fill="D9E2F3" w:themeFill="accent1" w:themeFillTint="33"/>
          </w:tcPr>
          <w:p w14:paraId="7FBC3D34" w14:textId="77777777" w:rsidR="006855B5" w:rsidRPr="00CE357F" w:rsidRDefault="006855B5" w:rsidP="006855B5">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color w:val="C00000"/>
                <w:sz w:val="18"/>
                <w:szCs w:val="18"/>
                <w:lang w:eastAsia="cs-CZ"/>
              </w:rPr>
              <w:t>C – Zpracovatelský průmysl</w:t>
            </w:r>
          </w:p>
        </w:tc>
        <w:tc>
          <w:tcPr>
            <w:tcW w:w="3039" w:type="dxa"/>
          </w:tcPr>
          <w:p w14:paraId="7384F66A" w14:textId="312AD519" w:rsidR="006855B5" w:rsidRPr="00CE357F" w:rsidRDefault="006855B5" w:rsidP="006855B5">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61</w:t>
            </w:r>
          </w:p>
        </w:tc>
      </w:tr>
      <w:tr w:rsidR="006855B5" w:rsidRPr="00CE357F" w14:paraId="78D5BC9E" w14:textId="77777777" w:rsidTr="006855B5">
        <w:trPr>
          <w:trHeight w:val="227"/>
          <w:jc w:val="center"/>
        </w:trPr>
        <w:tc>
          <w:tcPr>
            <w:tcW w:w="5969" w:type="dxa"/>
            <w:shd w:val="clear" w:color="auto" w:fill="D9E2F3" w:themeFill="accent1" w:themeFillTint="33"/>
          </w:tcPr>
          <w:p w14:paraId="21DCBE68"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D – Výroba a rozvod elektřiny, plynu, tepla a klimatizovaného vzduchu</w:t>
            </w:r>
          </w:p>
        </w:tc>
        <w:tc>
          <w:tcPr>
            <w:tcW w:w="3039" w:type="dxa"/>
          </w:tcPr>
          <w:p w14:paraId="2C81563A" w14:textId="099E7BF2"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1E77CEE6" w14:textId="77777777" w:rsidTr="006855B5">
        <w:trPr>
          <w:trHeight w:val="227"/>
          <w:jc w:val="center"/>
        </w:trPr>
        <w:tc>
          <w:tcPr>
            <w:tcW w:w="5969" w:type="dxa"/>
            <w:shd w:val="clear" w:color="auto" w:fill="D9E2F3" w:themeFill="accent1" w:themeFillTint="33"/>
          </w:tcPr>
          <w:p w14:paraId="3AB1F987"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E – Zásobování vodou; činnosti související s odpadními vodami, odpady a sanacemi</w:t>
            </w:r>
          </w:p>
        </w:tc>
        <w:tc>
          <w:tcPr>
            <w:tcW w:w="3039" w:type="dxa"/>
          </w:tcPr>
          <w:p w14:paraId="58BE7ABF" w14:textId="16E6784F"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5FB2DDAB" w14:textId="77777777" w:rsidTr="006855B5">
        <w:trPr>
          <w:trHeight w:val="227"/>
          <w:jc w:val="center"/>
        </w:trPr>
        <w:tc>
          <w:tcPr>
            <w:tcW w:w="5969" w:type="dxa"/>
            <w:shd w:val="clear" w:color="auto" w:fill="D9E2F3" w:themeFill="accent1" w:themeFillTint="33"/>
          </w:tcPr>
          <w:p w14:paraId="75491B67" w14:textId="77777777" w:rsidR="006855B5" w:rsidRPr="00CE357F" w:rsidRDefault="006855B5" w:rsidP="006855B5">
            <w:pPr>
              <w:jc w:val="center"/>
              <w:rPr>
                <w:rFonts w:ascii="Arial Narrow" w:eastAsia="Times New Roman" w:hAnsi="Arial Narrow" w:cs="Arial"/>
                <w:b/>
                <w:bCs/>
                <w:sz w:val="18"/>
                <w:szCs w:val="18"/>
                <w:lang w:eastAsia="cs-CZ"/>
              </w:rPr>
            </w:pPr>
            <w:r w:rsidRPr="00CE357F">
              <w:rPr>
                <w:rFonts w:ascii="Arial Narrow" w:eastAsia="Times New Roman" w:hAnsi="Arial Narrow" w:cs="Arial"/>
                <w:b/>
                <w:color w:val="C00000"/>
                <w:sz w:val="18"/>
                <w:szCs w:val="18"/>
                <w:lang w:eastAsia="cs-CZ"/>
              </w:rPr>
              <w:t>F – Stavebnictví</w:t>
            </w:r>
          </w:p>
        </w:tc>
        <w:tc>
          <w:tcPr>
            <w:tcW w:w="3039" w:type="dxa"/>
          </w:tcPr>
          <w:p w14:paraId="10AD340F" w14:textId="42FA1384" w:rsidR="006855B5" w:rsidRPr="00CE357F" w:rsidRDefault="006855B5" w:rsidP="006855B5">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color w:val="C00000"/>
                <w:sz w:val="18"/>
                <w:szCs w:val="18"/>
                <w:lang w:eastAsia="cs-CZ"/>
              </w:rPr>
              <w:t>13</w:t>
            </w:r>
          </w:p>
        </w:tc>
      </w:tr>
      <w:tr w:rsidR="006855B5" w:rsidRPr="00CE357F" w14:paraId="56BFC88D" w14:textId="77777777" w:rsidTr="006855B5">
        <w:trPr>
          <w:trHeight w:val="227"/>
          <w:jc w:val="center"/>
        </w:trPr>
        <w:tc>
          <w:tcPr>
            <w:tcW w:w="5969" w:type="dxa"/>
            <w:shd w:val="clear" w:color="auto" w:fill="D9E2F3" w:themeFill="accent1" w:themeFillTint="33"/>
          </w:tcPr>
          <w:p w14:paraId="6BEEC821"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G – Velkoobchod a maloobchod; opravy a údržba motorových vozidel</w:t>
            </w:r>
          </w:p>
        </w:tc>
        <w:tc>
          <w:tcPr>
            <w:tcW w:w="3039" w:type="dxa"/>
          </w:tcPr>
          <w:p w14:paraId="4280801E" w14:textId="330091C3" w:rsidR="006855B5" w:rsidRPr="00CE357F" w:rsidRDefault="006855B5" w:rsidP="006855B5">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Cs/>
                <w:sz w:val="18"/>
                <w:szCs w:val="18"/>
                <w:lang w:eastAsia="cs-CZ"/>
              </w:rPr>
              <w:t>4</w:t>
            </w:r>
          </w:p>
        </w:tc>
      </w:tr>
      <w:tr w:rsidR="006855B5" w:rsidRPr="00CE357F" w14:paraId="20A3737F" w14:textId="77777777" w:rsidTr="006855B5">
        <w:trPr>
          <w:trHeight w:val="227"/>
          <w:jc w:val="center"/>
        </w:trPr>
        <w:tc>
          <w:tcPr>
            <w:tcW w:w="5969" w:type="dxa"/>
            <w:shd w:val="clear" w:color="auto" w:fill="D9E2F3" w:themeFill="accent1" w:themeFillTint="33"/>
          </w:tcPr>
          <w:p w14:paraId="167DB845"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H – Doprava a skladování</w:t>
            </w:r>
          </w:p>
        </w:tc>
        <w:tc>
          <w:tcPr>
            <w:tcW w:w="3039" w:type="dxa"/>
          </w:tcPr>
          <w:p w14:paraId="7012E9E2" w14:textId="5BA61E62"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8</w:t>
            </w:r>
          </w:p>
        </w:tc>
      </w:tr>
      <w:tr w:rsidR="006855B5" w:rsidRPr="00CE357F" w14:paraId="6157A157" w14:textId="77777777" w:rsidTr="006855B5">
        <w:trPr>
          <w:trHeight w:val="227"/>
          <w:jc w:val="center"/>
        </w:trPr>
        <w:tc>
          <w:tcPr>
            <w:tcW w:w="5969" w:type="dxa"/>
            <w:shd w:val="clear" w:color="auto" w:fill="D9E2F3" w:themeFill="accent1" w:themeFillTint="33"/>
          </w:tcPr>
          <w:p w14:paraId="3992944C"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I – Ubytování, stravování a pohostinství</w:t>
            </w:r>
          </w:p>
        </w:tc>
        <w:tc>
          <w:tcPr>
            <w:tcW w:w="3039" w:type="dxa"/>
          </w:tcPr>
          <w:p w14:paraId="474FF430" w14:textId="09F066B9"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23E5DA59" w14:textId="77777777" w:rsidTr="006855B5">
        <w:trPr>
          <w:trHeight w:val="227"/>
          <w:jc w:val="center"/>
        </w:trPr>
        <w:tc>
          <w:tcPr>
            <w:tcW w:w="5969" w:type="dxa"/>
            <w:shd w:val="clear" w:color="auto" w:fill="D9E2F3" w:themeFill="accent1" w:themeFillTint="33"/>
          </w:tcPr>
          <w:p w14:paraId="79D56084"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J – Informační a komunikační činnosti</w:t>
            </w:r>
          </w:p>
        </w:tc>
        <w:tc>
          <w:tcPr>
            <w:tcW w:w="3039" w:type="dxa"/>
          </w:tcPr>
          <w:p w14:paraId="09E4A6F6" w14:textId="59A7B75E"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25E889A8" w14:textId="77777777" w:rsidTr="006855B5">
        <w:trPr>
          <w:trHeight w:val="227"/>
          <w:jc w:val="center"/>
        </w:trPr>
        <w:tc>
          <w:tcPr>
            <w:tcW w:w="5969" w:type="dxa"/>
            <w:shd w:val="clear" w:color="auto" w:fill="D9E2F3" w:themeFill="accent1" w:themeFillTint="33"/>
          </w:tcPr>
          <w:p w14:paraId="43F65DE6"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K – Peněžnictví a pojišťovnictví</w:t>
            </w:r>
          </w:p>
        </w:tc>
        <w:tc>
          <w:tcPr>
            <w:tcW w:w="3039" w:type="dxa"/>
          </w:tcPr>
          <w:p w14:paraId="5D7D2B07" w14:textId="3733100F"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7FB04211" w14:textId="77777777" w:rsidTr="006855B5">
        <w:trPr>
          <w:trHeight w:val="227"/>
          <w:jc w:val="center"/>
        </w:trPr>
        <w:tc>
          <w:tcPr>
            <w:tcW w:w="5969" w:type="dxa"/>
            <w:shd w:val="clear" w:color="auto" w:fill="D9E2F3" w:themeFill="accent1" w:themeFillTint="33"/>
          </w:tcPr>
          <w:p w14:paraId="64F5AAE6"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L – Činnosti v oblasti nemovitostí</w:t>
            </w:r>
          </w:p>
        </w:tc>
        <w:tc>
          <w:tcPr>
            <w:tcW w:w="3039" w:type="dxa"/>
          </w:tcPr>
          <w:p w14:paraId="3FAA3496" w14:textId="283441EB"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1770779F" w14:textId="77777777" w:rsidTr="006855B5">
        <w:trPr>
          <w:trHeight w:val="227"/>
          <w:jc w:val="center"/>
        </w:trPr>
        <w:tc>
          <w:tcPr>
            <w:tcW w:w="5969" w:type="dxa"/>
            <w:shd w:val="clear" w:color="auto" w:fill="D9E2F3" w:themeFill="accent1" w:themeFillTint="33"/>
          </w:tcPr>
          <w:p w14:paraId="27E395BD"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M – Profesní, vědecké a technické činnosti</w:t>
            </w:r>
          </w:p>
        </w:tc>
        <w:tc>
          <w:tcPr>
            <w:tcW w:w="3039" w:type="dxa"/>
          </w:tcPr>
          <w:p w14:paraId="60F44E66" w14:textId="3E2CCC4B" w:rsidR="006855B5" w:rsidRPr="00CE357F" w:rsidRDefault="006855B5" w:rsidP="006855B5">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Cs/>
                <w:sz w:val="18"/>
                <w:szCs w:val="18"/>
                <w:lang w:eastAsia="cs-CZ"/>
              </w:rPr>
              <w:t>5</w:t>
            </w:r>
          </w:p>
        </w:tc>
      </w:tr>
      <w:tr w:rsidR="006855B5" w:rsidRPr="00CE357F" w14:paraId="52802CA0" w14:textId="77777777" w:rsidTr="006855B5">
        <w:trPr>
          <w:trHeight w:val="227"/>
          <w:jc w:val="center"/>
        </w:trPr>
        <w:tc>
          <w:tcPr>
            <w:tcW w:w="5969" w:type="dxa"/>
            <w:shd w:val="clear" w:color="auto" w:fill="D9E2F3" w:themeFill="accent1" w:themeFillTint="33"/>
          </w:tcPr>
          <w:p w14:paraId="50A9DD10"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N – Administrativní a podpůrné činnosti</w:t>
            </w:r>
          </w:p>
        </w:tc>
        <w:tc>
          <w:tcPr>
            <w:tcW w:w="3039" w:type="dxa"/>
          </w:tcPr>
          <w:p w14:paraId="1F928189" w14:textId="2024CC18"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76A123FB" w14:textId="77777777" w:rsidTr="006855B5">
        <w:trPr>
          <w:trHeight w:val="227"/>
          <w:jc w:val="center"/>
        </w:trPr>
        <w:tc>
          <w:tcPr>
            <w:tcW w:w="5969" w:type="dxa"/>
            <w:shd w:val="clear" w:color="auto" w:fill="D9E2F3" w:themeFill="accent1" w:themeFillTint="33"/>
          </w:tcPr>
          <w:p w14:paraId="1A3CD762"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O – Veřejná správa a obrana; povinné sociální zabezpečení</w:t>
            </w:r>
          </w:p>
        </w:tc>
        <w:tc>
          <w:tcPr>
            <w:tcW w:w="3039" w:type="dxa"/>
          </w:tcPr>
          <w:p w14:paraId="2B1F9B9A" w14:textId="7A1AF18D"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60D2A047" w14:textId="77777777" w:rsidTr="006855B5">
        <w:trPr>
          <w:trHeight w:val="227"/>
          <w:jc w:val="center"/>
        </w:trPr>
        <w:tc>
          <w:tcPr>
            <w:tcW w:w="5969" w:type="dxa"/>
            <w:shd w:val="clear" w:color="auto" w:fill="D9E2F3" w:themeFill="accent1" w:themeFillTint="33"/>
          </w:tcPr>
          <w:p w14:paraId="1EEE4780"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P – Vzdělávání</w:t>
            </w:r>
          </w:p>
        </w:tc>
        <w:tc>
          <w:tcPr>
            <w:tcW w:w="3039" w:type="dxa"/>
          </w:tcPr>
          <w:p w14:paraId="3639C1F5" w14:textId="1A9710AC"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5</w:t>
            </w:r>
          </w:p>
        </w:tc>
      </w:tr>
      <w:tr w:rsidR="006855B5" w:rsidRPr="00CE357F" w14:paraId="662EAC1E" w14:textId="77777777" w:rsidTr="006855B5">
        <w:trPr>
          <w:trHeight w:val="227"/>
          <w:jc w:val="center"/>
        </w:trPr>
        <w:tc>
          <w:tcPr>
            <w:tcW w:w="5969" w:type="dxa"/>
            <w:shd w:val="clear" w:color="auto" w:fill="D9E2F3" w:themeFill="accent1" w:themeFillTint="33"/>
          </w:tcPr>
          <w:p w14:paraId="0B5BC08D" w14:textId="77777777" w:rsidR="006855B5" w:rsidRPr="00CE357F" w:rsidRDefault="006855B5" w:rsidP="006855B5">
            <w:pPr>
              <w:jc w:val="center"/>
              <w:rPr>
                <w:rFonts w:ascii="Arial Narrow" w:eastAsia="Times New Roman" w:hAnsi="Arial Narrow" w:cs="Arial"/>
                <w:bCs/>
                <w:color w:val="C00000"/>
                <w:sz w:val="18"/>
                <w:szCs w:val="18"/>
                <w:lang w:eastAsia="cs-CZ"/>
              </w:rPr>
            </w:pPr>
            <w:r w:rsidRPr="00CE357F">
              <w:rPr>
                <w:rFonts w:ascii="Arial Narrow" w:eastAsia="Times New Roman" w:hAnsi="Arial Narrow" w:cs="Arial"/>
                <w:bCs/>
                <w:sz w:val="18"/>
                <w:szCs w:val="18"/>
                <w:lang w:eastAsia="cs-CZ"/>
              </w:rPr>
              <w:t>Q – Zdravotní a sociální péče</w:t>
            </w:r>
          </w:p>
        </w:tc>
        <w:tc>
          <w:tcPr>
            <w:tcW w:w="3039" w:type="dxa"/>
          </w:tcPr>
          <w:p w14:paraId="59F6A542" w14:textId="0941C95D" w:rsidR="006855B5" w:rsidRPr="00CE357F" w:rsidRDefault="006855B5" w:rsidP="006855B5">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Cs/>
                <w:sz w:val="18"/>
                <w:szCs w:val="18"/>
                <w:lang w:eastAsia="cs-CZ"/>
              </w:rPr>
              <w:t>3</w:t>
            </w:r>
          </w:p>
        </w:tc>
      </w:tr>
      <w:tr w:rsidR="006855B5" w:rsidRPr="00CE357F" w14:paraId="3931A662" w14:textId="77777777" w:rsidTr="006855B5">
        <w:trPr>
          <w:trHeight w:val="227"/>
          <w:jc w:val="center"/>
        </w:trPr>
        <w:tc>
          <w:tcPr>
            <w:tcW w:w="5969" w:type="dxa"/>
            <w:shd w:val="clear" w:color="auto" w:fill="D9E2F3" w:themeFill="accent1" w:themeFillTint="33"/>
          </w:tcPr>
          <w:p w14:paraId="278DDE41"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R – Kulturní, zábavní a rekreační činnosti</w:t>
            </w:r>
          </w:p>
        </w:tc>
        <w:tc>
          <w:tcPr>
            <w:tcW w:w="3039" w:type="dxa"/>
          </w:tcPr>
          <w:p w14:paraId="089437E9" w14:textId="381B4052"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2415E519" w14:textId="77777777" w:rsidTr="006855B5">
        <w:trPr>
          <w:trHeight w:val="227"/>
          <w:jc w:val="center"/>
        </w:trPr>
        <w:tc>
          <w:tcPr>
            <w:tcW w:w="5969" w:type="dxa"/>
            <w:shd w:val="clear" w:color="auto" w:fill="D9E2F3" w:themeFill="accent1" w:themeFillTint="33"/>
          </w:tcPr>
          <w:p w14:paraId="40C8D50B"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S – Ostatní činnosti</w:t>
            </w:r>
          </w:p>
        </w:tc>
        <w:tc>
          <w:tcPr>
            <w:tcW w:w="3039" w:type="dxa"/>
          </w:tcPr>
          <w:p w14:paraId="73A1DFDC" w14:textId="165254E0"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56CE7180" w14:textId="77777777" w:rsidTr="006855B5">
        <w:trPr>
          <w:trHeight w:val="227"/>
          <w:jc w:val="center"/>
        </w:trPr>
        <w:tc>
          <w:tcPr>
            <w:tcW w:w="5969" w:type="dxa"/>
            <w:shd w:val="clear" w:color="auto" w:fill="D9E2F3" w:themeFill="accent1" w:themeFillTint="33"/>
          </w:tcPr>
          <w:p w14:paraId="7702B264"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T – Činnosti domácností</w:t>
            </w:r>
          </w:p>
        </w:tc>
        <w:tc>
          <w:tcPr>
            <w:tcW w:w="3039" w:type="dxa"/>
          </w:tcPr>
          <w:p w14:paraId="3D829D04" w14:textId="55711135"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743423DD" w14:textId="77777777" w:rsidTr="006855B5">
        <w:trPr>
          <w:trHeight w:val="227"/>
          <w:jc w:val="center"/>
        </w:trPr>
        <w:tc>
          <w:tcPr>
            <w:tcW w:w="5969" w:type="dxa"/>
            <w:shd w:val="clear" w:color="auto" w:fill="D9E2F3" w:themeFill="accent1" w:themeFillTint="33"/>
          </w:tcPr>
          <w:p w14:paraId="48E52D8A"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lastRenderedPageBreak/>
              <w:t>U – Činnosti exteritoriálních organizací a orgánů</w:t>
            </w:r>
          </w:p>
        </w:tc>
        <w:tc>
          <w:tcPr>
            <w:tcW w:w="3039" w:type="dxa"/>
          </w:tcPr>
          <w:p w14:paraId="1B10F282" w14:textId="49DF16AE"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0647E534" w14:textId="77777777" w:rsidTr="006855B5">
        <w:trPr>
          <w:trHeight w:val="227"/>
          <w:jc w:val="center"/>
        </w:trPr>
        <w:tc>
          <w:tcPr>
            <w:tcW w:w="5969" w:type="dxa"/>
            <w:shd w:val="clear" w:color="auto" w:fill="D9E2F3" w:themeFill="accent1" w:themeFillTint="33"/>
          </w:tcPr>
          <w:p w14:paraId="0F50CFCC" w14:textId="77777777"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neuvedeno</w:t>
            </w:r>
          </w:p>
        </w:tc>
        <w:tc>
          <w:tcPr>
            <w:tcW w:w="3039" w:type="dxa"/>
          </w:tcPr>
          <w:p w14:paraId="2A4077FD" w14:textId="5AEFB89A" w:rsidR="006855B5" w:rsidRPr="00CE357F" w:rsidRDefault="006855B5" w:rsidP="006855B5">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0</w:t>
            </w:r>
          </w:p>
        </w:tc>
      </w:tr>
      <w:tr w:rsidR="006855B5" w:rsidRPr="00CE357F" w14:paraId="48346035" w14:textId="77777777" w:rsidTr="006855B5">
        <w:trPr>
          <w:trHeight w:val="272"/>
          <w:jc w:val="center"/>
        </w:trPr>
        <w:tc>
          <w:tcPr>
            <w:tcW w:w="5969" w:type="dxa"/>
            <w:shd w:val="clear" w:color="auto" w:fill="D9E2F3" w:themeFill="accent1" w:themeFillTint="33"/>
            <w:vAlign w:val="center"/>
          </w:tcPr>
          <w:p w14:paraId="0F30A986" w14:textId="77777777" w:rsidR="006855B5" w:rsidRPr="00CE357F" w:rsidRDefault="006855B5" w:rsidP="006855B5">
            <w:pPr>
              <w:jc w:val="center"/>
              <w:rPr>
                <w:rFonts w:ascii="Arial Narrow" w:hAnsi="Arial Narrow"/>
                <w:b/>
                <w:bCs/>
                <w:sz w:val="18"/>
                <w:szCs w:val="18"/>
              </w:rPr>
            </w:pPr>
            <w:r w:rsidRPr="00CE357F">
              <w:rPr>
                <w:rFonts w:ascii="Arial Narrow" w:hAnsi="Arial Narrow"/>
                <w:b/>
                <w:bCs/>
                <w:sz w:val="18"/>
                <w:szCs w:val="18"/>
              </w:rPr>
              <w:t>Počet pracujících osob s jinou než českou státní příslušností v ORP celkem</w:t>
            </w:r>
          </w:p>
        </w:tc>
        <w:tc>
          <w:tcPr>
            <w:tcW w:w="3039" w:type="dxa"/>
          </w:tcPr>
          <w:p w14:paraId="58E444E8" w14:textId="78F09999" w:rsidR="006855B5" w:rsidRPr="00CE357F" w:rsidRDefault="006855B5" w:rsidP="006855B5">
            <w:pPr>
              <w:jc w:val="center"/>
              <w:rPr>
                <w:rFonts w:ascii="Arial Narrow" w:hAnsi="Arial Narrow"/>
                <w:b/>
                <w:sz w:val="18"/>
                <w:szCs w:val="18"/>
              </w:rPr>
            </w:pPr>
            <w:r w:rsidRPr="00CE357F">
              <w:rPr>
                <w:rFonts w:ascii="Arial Narrow" w:hAnsi="Arial Narrow"/>
                <w:b/>
                <w:sz w:val="18"/>
                <w:szCs w:val="18"/>
              </w:rPr>
              <w:t>99</w:t>
            </w:r>
          </w:p>
        </w:tc>
      </w:tr>
    </w:tbl>
    <w:p w14:paraId="2A1B2C19" w14:textId="02F1E2AB" w:rsidR="00C475C3" w:rsidRDefault="006855B5" w:rsidP="00E32FA2">
      <w:pPr>
        <w:spacing w:after="240" w:line="276" w:lineRule="auto"/>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2AB331EC" w14:textId="77777777" w:rsidR="00E32FA2" w:rsidRPr="00E32FA2" w:rsidRDefault="00E32FA2" w:rsidP="00E32FA2">
      <w:pPr>
        <w:spacing w:after="240" w:line="276" w:lineRule="auto"/>
        <w:rPr>
          <w:rFonts w:ascii="Arial Narrow" w:hAnsi="Arial Narrow"/>
          <w:sz w:val="20"/>
        </w:rPr>
      </w:pPr>
    </w:p>
    <w:p w14:paraId="2C350342" w14:textId="77777777" w:rsidR="00513F64" w:rsidRPr="00513F64" w:rsidRDefault="00513F64" w:rsidP="008B3D36">
      <w:pPr>
        <w:pStyle w:val="Odstavecseseznamem"/>
        <w:keepNext/>
        <w:keepLines/>
        <w:numPr>
          <w:ilvl w:val="2"/>
          <w:numId w:val="30"/>
        </w:numPr>
        <w:spacing w:before="200"/>
        <w:contextualSpacing w:val="0"/>
        <w:jc w:val="both"/>
        <w:outlineLvl w:val="2"/>
        <w:rPr>
          <w:rFonts w:ascii="Arial Narrow" w:eastAsiaTheme="majorEastAsia" w:hAnsi="Arial Narrow" w:cs="Arial"/>
          <w:b/>
          <w:bCs/>
          <w:vanish/>
          <w:color w:val="002060"/>
          <w:sz w:val="26"/>
          <w:szCs w:val="26"/>
          <w:u w:val="single"/>
        </w:rPr>
      </w:pPr>
      <w:bookmarkStart w:id="811" w:name="_Toc95986766"/>
      <w:bookmarkStart w:id="812" w:name="_Toc125635493"/>
      <w:bookmarkStart w:id="813" w:name="_Toc132629200"/>
      <w:bookmarkStart w:id="814" w:name="_Toc136876147"/>
      <w:bookmarkEnd w:id="811"/>
      <w:bookmarkEnd w:id="812"/>
      <w:bookmarkEnd w:id="813"/>
      <w:bookmarkEnd w:id="814"/>
    </w:p>
    <w:p w14:paraId="65060D9E" w14:textId="77777777" w:rsidR="00513F64" w:rsidRPr="00513F64" w:rsidRDefault="00513F64" w:rsidP="008B3D36">
      <w:pPr>
        <w:pStyle w:val="Odstavecseseznamem"/>
        <w:keepNext/>
        <w:keepLines/>
        <w:numPr>
          <w:ilvl w:val="2"/>
          <w:numId w:val="30"/>
        </w:numPr>
        <w:spacing w:before="200"/>
        <w:contextualSpacing w:val="0"/>
        <w:jc w:val="both"/>
        <w:outlineLvl w:val="2"/>
        <w:rPr>
          <w:rFonts w:ascii="Arial Narrow" w:eastAsiaTheme="majorEastAsia" w:hAnsi="Arial Narrow" w:cs="Arial"/>
          <w:b/>
          <w:bCs/>
          <w:vanish/>
          <w:color w:val="002060"/>
          <w:sz w:val="26"/>
          <w:szCs w:val="26"/>
          <w:u w:val="single"/>
        </w:rPr>
      </w:pPr>
      <w:bookmarkStart w:id="815" w:name="_Toc95986767"/>
      <w:bookmarkStart w:id="816" w:name="_Toc125635494"/>
      <w:bookmarkStart w:id="817" w:name="_Toc132629201"/>
      <w:bookmarkStart w:id="818" w:name="_Toc136876148"/>
      <w:bookmarkEnd w:id="815"/>
      <w:bookmarkEnd w:id="816"/>
      <w:bookmarkEnd w:id="817"/>
      <w:bookmarkEnd w:id="818"/>
    </w:p>
    <w:p w14:paraId="63059011" w14:textId="77777777" w:rsidR="00513F64" w:rsidRPr="00513F64" w:rsidRDefault="00513F64" w:rsidP="008B3D36">
      <w:pPr>
        <w:pStyle w:val="Odstavecseseznamem"/>
        <w:keepNext/>
        <w:keepLines/>
        <w:numPr>
          <w:ilvl w:val="2"/>
          <w:numId w:val="30"/>
        </w:numPr>
        <w:spacing w:before="200"/>
        <w:contextualSpacing w:val="0"/>
        <w:jc w:val="both"/>
        <w:outlineLvl w:val="2"/>
        <w:rPr>
          <w:rFonts w:ascii="Arial Narrow" w:eastAsiaTheme="majorEastAsia" w:hAnsi="Arial Narrow" w:cs="Arial"/>
          <w:b/>
          <w:bCs/>
          <w:vanish/>
          <w:color w:val="002060"/>
          <w:sz w:val="26"/>
          <w:szCs w:val="26"/>
          <w:u w:val="single"/>
        </w:rPr>
      </w:pPr>
      <w:bookmarkStart w:id="819" w:name="_Toc95986768"/>
      <w:bookmarkStart w:id="820" w:name="_Toc125635495"/>
      <w:bookmarkStart w:id="821" w:name="_Toc132629202"/>
      <w:bookmarkStart w:id="822" w:name="_Toc136876149"/>
      <w:bookmarkEnd w:id="819"/>
      <w:bookmarkEnd w:id="820"/>
      <w:bookmarkEnd w:id="821"/>
      <w:bookmarkEnd w:id="822"/>
    </w:p>
    <w:p w14:paraId="0709A001" w14:textId="77777777" w:rsidR="00513F64" w:rsidRPr="00513F64" w:rsidRDefault="00513F64" w:rsidP="008B3D36">
      <w:pPr>
        <w:pStyle w:val="Odstavecseseznamem"/>
        <w:keepNext/>
        <w:keepLines/>
        <w:numPr>
          <w:ilvl w:val="2"/>
          <w:numId w:val="30"/>
        </w:numPr>
        <w:spacing w:before="200"/>
        <w:contextualSpacing w:val="0"/>
        <w:jc w:val="both"/>
        <w:outlineLvl w:val="2"/>
        <w:rPr>
          <w:rFonts w:ascii="Arial Narrow" w:eastAsiaTheme="majorEastAsia" w:hAnsi="Arial Narrow" w:cs="Arial"/>
          <w:b/>
          <w:bCs/>
          <w:vanish/>
          <w:color w:val="002060"/>
          <w:sz w:val="26"/>
          <w:szCs w:val="26"/>
          <w:u w:val="single"/>
        </w:rPr>
      </w:pPr>
      <w:bookmarkStart w:id="823" w:name="_Toc95986769"/>
      <w:bookmarkStart w:id="824" w:name="_Toc125635496"/>
      <w:bookmarkStart w:id="825" w:name="_Toc132629203"/>
      <w:bookmarkStart w:id="826" w:name="_Toc136876150"/>
      <w:bookmarkEnd w:id="823"/>
      <w:bookmarkEnd w:id="824"/>
      <w:bookmarkEnd w:id="825"/>
      <w:bookmarkEnd w:id="826"/>
    </w:p>
    <w:p w14:paraId="256DFBDF" w14:textId="1C82102B" w:rsidR="00513F64" w:rsidRPr="00366165" w:rsidRDefault="00513F64" w:rsidP="008B3D36">
      <w:pPr>
        <w:pStyle w:val="Nadpis3"/>
        <w:numPr>
          <w:ilvl w:val="2"/>
          <w:numId w:val="30"/>
        </w:numPr>
      </w:pPr>
      <w:bookmarkStart w:id="827" w:name="_Toc136876151"/>
      <w:r w:rsidRPr="00366165">
        <w:t>Shrnutí poznatků ORP Tišnov</w:t>
      </w:r>
      <w:bookmarkEnd w:id="827"/>
    </w:p>
    <w:p w14:paraId="4E368B12" w14:textId="1D82138C" w:rsidR="00513F64" w:rsidRDefault="00513F64" w:rsidP="00513F64"/>
    <w:p w14:paraId="730D57EE" w14:textId="03B5E8EC" w:rsidR="00513F64" w:rsidRPr="00513F64" w:rsidRDefault="00513F64" w:rsidP="00D96B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color w:val="000000"/>
          <w:u w:color="000000"/>
          <w:shd w:val="clear" w:color="auto" w:fill="FFFFFF"/>
        </w:rPr>
      </w:pPr>
      <w:r w:rsidRPr="00513F64">
        <w:rPr>
          <w:rFonts w:ascii="Arial Narrow" w:eastAsia="Calibri" w:hAnsi="Arial Narrow"/>
          <w:color w:val="000000"/>
          <w:u w:color="000000"/>
        </w:rPr>
        <w:t xml:space="preserve">Závěrem této kapitoly si dovolujeme </w:t>
      </w:r>
      <w:r>
        <w:rPr>
          <w:rFonts w:ascii="Arial Narrow" w:eastAsia="Calibri" w:hAnsi="Arial Narrow"/>
          <w:color w:val="000000"/>
          <w:u w:color="000000"/>
        </w:rPr>
        <w:t xml:space="preserve">předložit </w:t>
      </w:r>
      <w:r w:rsidRPr="00513F64">
        <w:rPr>
          <w:rFonts w:ascii="Arial Narrow" w:eastAsia="Calibri" w:hAnsi="Arial Narrow"/>
          <w:color w:val="000000"/>
          <w:u w:color="000000"/>
        </w:rPr>
        <w:t xml:space="preserve">stručné shrnutí základních poznatků, které vyplývají ze sekundární analýzy dat k osobám s jinou než českou státní příslušností </w:t>
      </w:r>
      <w:r>
        <w:rPr>
          <w:rFonts w:ascii="Arial Narrow" w:eastAsia="Calibri" w:hAnsi="Arial Narrow"/>
          <w:color w:val="000000"/>
          <w:u w:color="000000"/>
        </w:rPr>
        <w:t>v ORP Tišnov</w:t>
      </w:r>
      <w:r w:rsidRPr="00513F64">
        <w:rPr>
          <w:rFonts w:ascii="Arial Narrow" w:eastAsia="Calibri" w:hAnsi="Arial Narrow"/>
          <w:color w:val="000000"/>
          <w:u w:color="000000"/>
        </w:rPr>
        <w:t xml:space="preserve">. Tyto údaje jsou součástí projektu </w:t>
      </w:r>
      <w:r w:rsidRPr="00513F64">
        <w:rPr>
          <w:rFonts w:ascii="Arial Narrow" w:eastAsia="Calibri" w:hAnsi="Arial Narrow"/>
          <w:color w:val="000000"/>
          <w:u w:color="000000"/>
          <w:shd w:val="clear" w:color="auto" w:fill="FFFFFF"/>
        </w:rPr>
        <w:t>„Analýza potřeb klíčových aktérů v</w:t>
      </w:r>
      <w:r w:rsidRPr="00513F64">
        <w:rPr>
          <w:rFonts w:ascii="Arial" w:eastAsia="Arial Unicode MS" w:hAnsi="Arial" w:cs="Arial"/>
          <w:color w:val="000000"/>
          <w:u w:color="000000"/>
          <w:shd w:val="clear" w:color="auto" w:fill="FFFFFF"/>
        </w:rPr>
        <w:t> </w:t>
      </w:r>
      <w:r w:rsidRPr="00513F64">
        <w:rPr>
          <w:rFonts w:ascii="Arial Narrow" w:eastAsia="Calibri" w:hAnsi="Arial Narrow"/>
          <w:color w:val="000000"/>
          <w:u w:color="000000"/>
          <w:shd w:val="clear" w:color="auto" w:fill="FFFFFF"/>
        </w:rPr>
        <w:t>oblasti zaměstnávání cizinců v JMK“.</w:t>
      </w:r>
    </w:p>
    <w:p w14:paraId="7E2A6BB4" w14:textId="470E231F" w:rsidR="009E2E6B" w:rsidRDefault="009E2E6B" w:rsidP="00D96BA1">
      <w:pPr>
        <w:spacing w:after="120" w:line="276" w:lineRule="auto"/>
        <w:jc w:val="both"/>
        <w:rPr>
          <w:rFonts w:ascii="Arial Narrow" w:hAnsi="Arial Narrow"/>
        </w:rPr>
      </w:pPr>
      <w:r w:rsidRPr="00CE357F">
        <w:rPr>
          <w:rFonts w:ascii="Arial Narrow" w:hAnsi="Arial Narrow"/>
        </w:rPr>
        <w:t>K 31. 12. 202</w:t>
      </w:r>
      <w:r>
        <w:rPr>
          <w:rFonts w:ascii="Arial Narrow" w:hAnsi="Arial Narrow"/>
        </w:rPr>
        <w:t>1</w:t>
      </w:r>
      <w:r w:rsidRPr="00CE357F">
        <w:rPr>
          <w:rFonts w:ascii="Arial Narrow" w:hAnsi="Arial Narrow"/>
        </w:rPr>
        <w:t xml:space="preserve"> žilo na území ORP Tišnov celkem 31 8</w:t>
      </w:r>
      <w:r>
        <w:rPr>
          <w:rFonts w:ascii="Arial Narrow" w:hAnsi="Arial Narrow"/>
        </w:rPr>
        <w:t>53</w:t>
      </w:r>
      <w:r w:rsidRPr="00CE357F">
        <w:rPr>
          <w:rFonts w:ascii="Arial Narrow" w:hAnsi="Arial Narrow"/>
        </w:rPr>
        <w:t xml:space="preserve"> obyvatel, což představovalo zhruba 2,7 % všech obyvatel Jihomoravského kraje. Mezi obyvateli ORP Tišnov byli k tomuto datu muži a ženy téměř rovnoměrně zastoupeni (49,2 % mužů a 50,8 % žen).  Zastoupení mužů a žen mezi obyvateli ORP Tišnov zůstává, stejně jako podíl obyvatel na celkovém počtu obyvatel JMK, dlouhodobě stabilní. Meziročně vzrůstá pouze průměrný věk obyvatel. Zatímco v roce 2005 byl průměrný věk obyvatel ORP Tišnov 40,5 let, v roce 202</w:t>
      </w:r>
      <w:r>
        <w:rPr>
          <w:rFonts w:ascii="Arial Narrow" w:hAnsi="Arial Narrow"/>
        </w:rPr>
        <w:t>1</w:t>
      </w:r>
      <w:r w:rsidRPr="00CE357F">
        <w:rPr>
          <w:rFonts w:ascii="Arial Narrow" w:hAnsi="Arial Narrow"/>
        </w:rPr>
        <w:t xml:space="preserve"> to bylo 41,</w:t>
      </w:r>
      <w:r>
        <w:rPr>
          <w:rFonts w:ascii="Arial Narrow" w:hAnsi="Arial Narrow"/>
        </w:rPr>
        <w:t>7</w:t>
      </w:r>
      <w:r w:rsidRPr="00CE357F">
        <w:rPr>
          <w:rFonts w:ascii="Arial Narrow" w:hAnsi="Arial Narrow"/>
        </w:rPr>
        <w:t xml:space="preserve"> let. Jedná se ale o trend, který je charakteristický pro území celé České republiky</w:t>
      </w:r>
      <w:r w:rsidRPr="00F951BF">
        <w:rPr>
          <w:rStyle w:val="Znakapoznpodarou"/>
          <w:rFonts w:ascii="Arial Narrow" w:eastAsia="Times New Roman" w:hAnsi="Arial Narrow" w:cs="Arial"/>
          <w:sz w:val="18"/>
          <w:szCs w:val="18"/>
          <w:lang w:eastAsia="cs-CZ"/>
        </w:rPr>
        <w:footnoteReference w:id="101"/>
      </w:r>
      <w:r w:rsidRPr="00CE357F">
        <w:rPr>
          <w:rFonts w:ascii="Arial Narrow" w:hAnsi="Arial Narrow"/>
        </w:rPr>
        <w:t xml:space="preserve">. </w:t>
      </w:r>
    </w:p>
    <w:p w14:paraId="637F6E49" w14:textId="05591A75" w:rsidR="00D96BA1" w:rsidRDefault="00513F64" w:rsidP="00D96BA1">
      <w:pPr>
        <w:spacing w:after="120" w:line="276" w:lineRule="auto"/>
        <w:jc w:val="both"/>
        <w:rPr>
          <w:rFonts w:ascii="Arial Narrow" w:hAnsi="Arial Narrow"/>
        </w:rPr>
      </w:pPr>
      <w:bookmarkStart w:id="828" w:name="_Hlk130988638"/>
      <w:r w:rsidRPr="006B2844">
        <w:rPr>
          <w:rFonts w:ascii="Arial Narrow" w:eastAsia="Calibri" w:hAnsi="Arial Narrow"/>
          <w:color w:val="000000"/>
          <w:u w:color="000000"/>
        </w:rPr>
        <w:t xml:space="preserve">ORP </w:t>
      </w:r>
      <w:r w:rsidR="00E30EC7">
        <w:rPr>
          <w:rFonts w:ascii="Arial Narrow" w:eastAsia="Calibri" w:hAnsi="Arial Narrow"/>
          <w:color w:val="000000"/>
          <w:u w:color="000000"/>
        </w:rPr>
        <w:t>Tišnov</w:t>
      </w:r>
      <w:r w:rsidRPr="006B2844">
        <w:rPr>
          <w:rFonts w:ascii="Arial Narrow" w:eastAsia="Calibri" w:hAnsi="Arial Narrow"/>
          <w:color w:val="000000"/>
          <w:u w:color="000000"/>
        </w:rPr>
        <w:t xml:space="preserve"> </w:t>
      </w:r>
      <w:r w:rsidR="006B2844" w:rsidRPr="006B2844">
        <w:rPr>
          <w:rFonts w:ascii="Arial Narrow" w:eastAsia="Calibri" w:hAnsi="Arial Narrow"/>
          <w:color w:val="000000"/>
          <w:u w:color="000000"/>
        </w:rPr>
        <w:t>dlouhodobě představovalo</w:t>
      </w:r>
      <w:r w:rsidRPr="006B2844">
        <w:rPr>
          <w:rFonts w:ascii="Arial Narrow" w:eastAsia="Calibri" w:hAnsi="Arial Narrow"/>
          <w:color w:val="000000"/>
          <w:u w:color="000000"/>
        </w:rPr>
        <w:t xml:space="preserve">, ve srovnání s jinými vybranými ORP Jihomoravského kraje, </w:t>
      </w:r>
      <w:r w:rsidRPr="006B2844">
        <w:rPr>
          <w:rFonts w:ascii="Arial Narrow" w:eastAsia="Calibri" w:hAnsi="Arial Narrow"/>
          <w:b/>
          <w:bCs/>
          <w:color w:val="000000"/>
          <w:u w:color="000000"/>
        </w:rPr>
        <w:t xml:space="preserve">oblast s </w:t>
      </w:r>
      <w:r w:rsidR="00E56229">
        <w:rPr>
          <w:rFonts w:ascii="Arial Narrow" w:eastAsia="Calibri" w:hAnsi="Arial Narrow"/>
          <w:b/>
          <w:bCs/>
          <w:color w:val="000000"/>
          <w:u w:color="000000"/>
        </w:rPr>
        <w:t>nízkým</w:t>
      </w:r>
      <w:r w:rsidRPr="006B2844">
        <w:rPr>
          <w:rFonts w:ascii="Arial Narrow" w:eastAsia="Calibri" w:hAnsi="Arial Narrow"/>
          <w:b/>
          <w:bCs/>
          <w:color w:val="000000"/>
          <w:u w:color="000000"/>
        </w:rPr>
        <w:t xml:space="preserve"> podílem osob s jinou než českou příslušností</w:t>
      </w:r>
      <w:r w:rsidR="006B2844" w:rsidRPr="006B2844">
        <w:rPr>
          <w:rFonts w:ascii="Arial Narrow" w:eastAsia="Calibri" w:hAnsi="Arial Narrow"/>
          <w:b/>
          <w:bCs/>
          <w:color w:val="000000"/>
          <w:u w:color="000000"/>
        </w:rPr>
        <w:t xml:space="preserve">. V posledním roce se však podíl osob s jinou než českou státní příslušností </w:t>
      </w:r>
      <w:r w:rsidR="006B2844" w:rsidRPr="006B2844">
        <w:rPr>
          <w:rFonts w:ascii="Arial Narrow" w:hAnsi="Arial Narrow"/>
          <w:b/>
          <w:bCs/>
        </w:rPr>
        <w:t xml:space="preserve">zvýšil téměř trojnásobně, což bylo </w:t>
      </w:r>
      <w:r w:rsidR="006B2844">
        <w:rPr>
          <w:rFonts w:ascii="Arial Narrow" w:hAnsi="Arial Narrow"/>
          <w:b/>
          <w:bCs/>
        </w:rPr>
        <w:t xml:space="preserve">pravděpodobně </w:t>
      </w:r>
      <w:r w:rsidR="006B2844" w:rsidRPr="006B2844">
        <w:rPr>
          <w:rFonts w:ascii="Arial Narrow" w:hAnsi="Arial Narrow"/>
          <w:b/>
          <w:bCs/>
        </w:rPr>
        <w:t>způsobeno především válečným konfliktem na Ukrajině.</w:t>
      </w:r>
      <w:r w:rsidR="006B2844">
        <w:rPr>
          <w:rFonts w:ascii="Arial Narrow" w:eastAsia="Calibri" w:hAnsi="Arial Narrow"/>
          <w:b/>
          <w:bCs/>
          <w:color w:val="000000"/>
          <w:u w:color="000000"/>
        </w:rPr>
        <w:t xml:space="preserve"> </w:t>
      </w:r>
      <w:r w:rsidR="006B2844">
        <w:rPr>
          <w:rFonts w:ascii="Arial Narrow" w:eastAsia="Calibri" w:hAnsi="Arial Narrow"/>
          <w:color w:val="000000"/>
          <w:u w:color="000000"/>
        </w:rPr>
        <w:t>Zatímco k</w:t>
      </w:r>
      <w:r w:rsidRPr="00513F64">
        <w:rPr>
          <w:rFonts w:ascii="Arial Narrow" w:eastAsia="Calibri" w:hAnsi="Arial Narrow"/>
          <w:color w:val="000000"/>
          <w:u w:color="000000"/>
        </w:rPr>
        <w:t> datu 1. 1. 2022</w:t>
      </w:r>
      <w:r w:rsidR="006B2844">
        <w:rPr>
          <w:rFonts w:ascii="Arial Narrow" w:eastAsia="Calibri" w:hAnsi="Arial Narrow"/>
          <w:color w:val="000000"/>
          <w:u w:color="000000"/>
        </w:rPr>
        <w:t xml:space="preserve"> žilo v ORP Tišnov</w:t>
      </w:r>
      <w:r w:rsidRPr="00513F64">
        <w:rPr>
          <w:rFonts w:ascii="Arial Narrow" w:eastAsia="Calibri" w:hAnsi="Arial Narrow"/>
          <w:color w:val="000000"/>
          <w:u w:color="000000"/>
        </w:rPr>
        <w:t xml:space="preserve"> celkem 533 osob s jinou než českou státní příslušností, což bylo zhruba 1,7 % všech obyvatel ORP Tišnov</w:t>
      </w:r>
      <w:r w:rsidR="006B2844">
        <w:rPr>
          <w:rFonts w:ascii="Arial Narrow" w:eastAsia="Calibri" w:hAnsi="Arial Narrow"/>
          <w:color w:val="000000"/>
          <w:u w:color="000000"/>
        </w:rPr>
        <w:t xml:space="preserve">, k 1. 1. 2023 v ORP Tišnov žilo </w:t>
      </w:r>
      <w:r w:rsidR="006B2844">
        <w:rPr>
          <w:rFonts w:ascii="Arial Narrow" w:hAnsi="Arial Narrow"/>
          <w:color w:val="000000"/>
        </w:rPr>
        <w:t>celkem 1 549</w:t>
      </w:r>
      <w:r w:rsidR="006B2844" w:rsidRPr="00CE357F">
        <w:rPr>
          <w:rFonts w:ascii="Arial Narrow" w:hAnsi="Arial Narrow"/>
          <w:color w:val="000000"/>
        </w:rPr>
        <w:t xml:space="preserve"> osob s jinou než českou státní</w:t>
      </w:r>
      <w:r w:rsidR="006B2844">
        <w:rPr>
          <w:rFonts w:ascii="Arial Narrow" w:hAnsi="Arial Narrow"/>
          <w:color w:val="000000"/>
        </w:rPr>
        <w:t xml:space="preserve"> příslušností, což bylo zhruba 4,9</w:t>
      </w:r>
      <w:r w:rsidR="006B2844" w:rsidRPr="00CE357F">
        <w:rPr>
          <w:rFonts w:ascii="Arial Narrow" w:hAnsi="Arial Narrow"/>
          <w:color w:val="000000"/>
        </w:rPr>
        <w:t xml:space="preserve"> % všech obyvat</w:t>
      </w:r>
      <w:r w:rsidR="006B2844">
        <w:rPr>
          <w:rFonts w:ascii="Arial Narrow" w:hAnsi="Arial Narrow"/>
          <w:color w:val="000000"/>
        </w:rPr>
        <w:t>el ORP Tišnov. Více než tři čtvrtiny (77,3</w:t>
      </w:r>
      <w:r w:rsidR="006B2844" w:rsidRPr="00CE357F">
        <w:rPr>
          <w:rFonts w:ascii="Arial Narrow" w:hAnsi="Arial Narrow"/>
          <w:color w:val="000000"/>
        </w:rPr>
        <w:t xml:space="preserve"> %) všech osob s jinou než českou státní příslušností</w:t>
      </w:r>
      <w:r w:rsidR="006B2844">
        <w:rPr>
          <w:rFonts w:ascii="Arial Narrow" w:hAnsi="Arial Narrow"/>
          <w:color w:val="000000"/>
        </w:rPr>
        <w:t xml:space="preserve"> na území OPR Tišnov mělo přechodný pobyt. </w:t>
      </w:r>
    </w:p>
    <w:p w14:paraId="08BBB5A2" w14:textId="77777777" w:rsidR="00A24AF7" w:rsidRPr="00CE357F" w:rsidRDefault="00A24AF7" w:rsidP="00A24AF7">
      <w:pPr>
        <w:spacing w:after="120" w:line="276" w:lineRule="auto"/>
        <w:jc w:val="both"/>
        <w:rPr>
          <w:rFonts w:ascii="Arial Narrow" w:hAnsi="Arial Narrow"/>
          <w:color w:val="000000"/>
        </w:rPr>
      </w:pPr>
      <w:r>
        <w:rPr>
          <w:rFonts w:ascii="Arial Narrow" w:hAnsi="Arial Narrow"/>
          <w:color w:val="000000"/>
        </w:rPr>
        <w:t>V ORP Tišnov bylo k 1. 1. 2023 celkem 59 obcí, přičemž v 55</w:t>
      </w:r>
      <w:r w:rsidRPr="00CE357F">
        <w:rPr>
          <w:rFonts w:ascii="Arial Narrow" w:hAnsi="Arial Narrow"/>
          <w:color w:val="000000"/>
        </w:rPr>
        <w:t xml:space="preserve"> obcích se nacházela alespoň jedna osoba s jinou než českou státní příslušností.</w:t>
      </w:r>
      <w:r>
        <w:rPr>
          <w:rFonts w:ascii="Arial Narrow" w:hAnsi="Arial Narrow"/>
          <w:color w:val="000000"/>
        </w:rPr>
        <w:t xml:space="preserve"> </w:t>
      </w:r>
      <w:r w:rsidRPr="00CE357F">
        <w:rPr>
          <w:rFonts w:ascii="Arial Narrow" w:hAnsi="Arial Narrow"/>
          <w:color w:val="000000"/>
        </w:rPr>
        <w:t>Nejvyšší podíl osob s jinou než českou státní příslušností na celkovém počtu oby</w:t>
      </w:r>
      <w:r>
        <w:rPr>
          <w:rFonts w:ascii="Arial Narrow" w:hAnsi="Arial Narrow"/>
          <w:color w:val="000000"/>
        </w:rPr>
        <w:t xml:space="preserve">vatel v dané obci byl v </w:t>
      </w:r>
      <w:r w:rsidRPr="00A24AF7">
        <w:rPr>
          <w:rFonts w:ascii="Arial Narrow" w:hAnsi="Arial Narrow"/>
          <w:b/>
          <w:bCs/>
          <w:color w:val="000000"/>
        </w:rPr>
        <w:t>Lažánkách, kde tyto osoby tvořily až 44,5 % všech obyvatel</w:t>
      </w:r>
      <w:r w:rsidRPr="00CE357F">
        <w:rPr>
          <w:rFonts w:ascii="Arial Narrow" w:hAnsi="Arial Narrow"/>
          <w:color w:val="000000"/>
        </w:rPr>
        <w:t>. Druhý nejvyšší podíl osob s jinou než českou státní příslušnos</w:t>
      </w:r>
      <w:r>
        <w:rPr>
          <w:rFonts w:ascii="Arial Narrow" w:hAnsi="Arial Narrow"/>
          <w:color w:val="000000"/>
        </w:rPr>
        <w:t>tí byl evidován v obci Běleč, kde tyto osoby tvořily 21,9 % všech obyvatel.</w:t>
      </w:r>
      <w:r w:rsidRPr="00A24AF7">
        <w:rPr>
          <w:rFonts w:ascii="Arial Narrow" w:eastAsia="Calibri" w:hAnsi="Arial Narrow"/>
          <w:color w:val="000000"/>
          <w:u w:color="000000"/>
        </w:rPr>
        <w:t xml:space="preserve"> </w:t>
      </w:r>
      <w:r w:rsidRPr="00513F64">
        <w:rPr>
          <w:rFonts w:ascii="Arial Narrow" w:eastAsia="Calibri" w:hAnsi="Arial Narrow"/>
          <w:color w:val="000000"/>
          <w:u w:color="000000"/>
        </w:rPr>
        <w:t xml:space="preserve">V obou obcích došlo k nárůstu podílu osob s jinou než českou státní příslušností </w:t>
      </w:r>
      <w:r>
        <w:rPr>
          <w:rFonts w:ascii="Arial Narrow" w:eastAsia="Calibri" w:hAnsi="Arial Narrow"/>
          <w:color w:val="000000"/>
          <w:u w:color="000000"/>
        </w:rPr>
        <w:t>v posledním roce</w:t>
      </w:r>
      <w:r w:rsidRPr="00513F64">
        <w:rPr>
          <w:rFonts w:ascii="Arial Narrow" w:eastAsia="Calibri" w:hAnsi="Arial Narrow"/>
          <w:color w:val="000000"/>
          <w:u w:color="000000"/>
        </w:rPr>
        <w:t>.</w:t>
      </w:r>
      <w:r>
        <w:rPr>
          <w:rFonts w:ascii="Arial Narrow" w:eastAsia="Calibri" w:hAnsi="Arial Narrow"/>
          <w:color w:val="000000"/>
          <w:u w:color="000000"/>
        </w:rPr>
        <w:t xml:space="preserve"> V roce 2022 představoval podíl těchto osob v Lažánkách 2,5 %, v obci Běleč méně než 1 %.</w:t>
      </w:r>
    </w:p>
    <w:p w14:paraId="46EFFC29" w14:textId="333B9B5F" w:rsidR="006B2844" w:rsidRPr="00CE357F" w:rsidRDefault="006B2844" w:rsidP="006B2844">
      <w:pPr>
        <w:spacing w:after="120" w:line="276" w:lineRule="auto"/>
        <w:jc w:val="both"/>
        <w:rPr>
          <w:rFonts w:ascii="Arial Narrow" w:hAnsi="Arial Narrow"/>
        </w:rPr>
      </w:pPr>
      <w:r w:rsidRPr="00CE357F">
        <w:rPr>
          <w:rFonts w:ascii="Arial Narrow" w:hAnsi="Arial Narrow"/>
        </w:rPr>
        <w:t>V populaci osob s jinou než českou státní příslušností v ORP Tišnov dlouhodobě převažoval počet mužů nad počtem žen. Podíl mužů v</w:t>
      </w:r>
      <w:r>
        <w:rPr>
          <w:rFonts w:ascii="Arial Narrow" w:hAnsi="Arial Narrow"/>
        </w:rPr>
        <w:t> celkové populaci těchto osob byl</w:t>
      </w:r>
      <w:r w:rsidRPr="00CE357F">
        <w:rPr>
          <w:rFonts w:ascii="Arial Narrow" w:hAnsi="Arial Narrow"/>
        </w:rPr>
        <w:t xml:space="preserve"> dlouhodobě vyšší než podíl žen, meziročně se n</w:t>
      </w:r>
      <w:r>
        <w:rPr>
          <w:rFonts w:ascii="Arial Narrow" w:hAnsi="Arial Narrow"/>
        </w:rPr>
        <w:t>icméně tento podíl mírně snižoval a k 1. 1. 2023 počet žen převážil na</w:t>
      </w:r>
      <w:r w:rsidR="00E9750E">
        <w:rPr>
          <w:rFonts w:ascii="Arial Narrow" w:hAnsi="Arial Narrow"/>
        </w:rPr>
        <w:t>d</w:t>
      </w:r>
      <w:r>
        <w:rPr>
          <w:rFonts w:ascii="Arial Narrow" w:hAnsi="Arial Narrow"/>
        </w:rPr>
        <w:t xml:space="preserve"> počtem mužů. </w:t>
      </w:r>
      <w:r w:rsidRPr="00CE357F">
        <w:rPr>
          <w:rFonts w:ascii="Arial Narrow" w:hAnsi="Arial Narrow"/>
        </w:rPr>
        <w:t xml:space="preserve">V roce 2007 bylo procentuální zastoupení osob s jinou než českou státní příslušností 66,9 % mužů </w:t>
      </w:r>
      <w:r>
        <w:rPr>
          <w:rFonts w:ascii="Arial Narrow" w:hAnsi="Arial Narrow"/>
        </w:rPr>
        <w:t xml:space="preserve">oproti 33,1 % žen. </w:t>
      </w:r>
      <w:r w:rsidRPr="00E9750E">
        <w:rPr>
          <w:rFonts w:ascii="Arial Narrow" w:hAnsi="Arial Narrow"/>
          <w:b/>
          <w:bCs/>
        </w:rPr>
        <w:t>K</w:t>
      </w:r>
      <w:r w:rsidR="00E9750E" w:rsidRPr="00E9750E">
        <w:rPr>
          <w:rFonts w:ascii="Arial Narrow" w:hAnsi="Arial Narrow"/>
          <w:b/>
          <w:bCs/>
        </w:rPr>
        <w:t> 1. 1.</w:t>
      </w:r>
      <w:r w:rsidRPr="00E9750E">
        <w:rPr>
          <w:rFonts w:ascii="Arial Narrow" w:hAnsi="Arial Narrow"/>
          <w:b/>
          <w:bCs/>
        </w:rPr>
        <w:t xml:space="preserve"> 2023 je již podíl </w:t>
      </w:r>
      <w:r w:rsidR="00E9750E" w:rsidRPr="00E9750E">
        <w:rPr>
          <w:rFonts w:ascii="Arial Narrow" w:hAnsi="Arial Narrow"/>
          <w:b/>
          <w:bCs/>
        </w:rPr>
        <w:br/>
      </w:r>
      <w:r w:rsidRPr="00E9750E">
        <w:rPr>
          <w:rFonts w:ascii="Arial Narrow" w:hAnsi="Arial Narrow"/>
          <w:b/>
          <w:bCs/>
        </w:rPr>
        <w:t>54,3 % žen a 45,7 % mužů.</w:t>
      </w:r>
      <w:r>
        <w:rPr>
          <w:rFonts w:ascii="Arial Narrow" w:hAnsi="Arial Narrow"/>
        </w:rPr>
        <w:t xml:space="preserve">  Mezi lety 2007 a 2022</w:t>
      </w:r>
      <w:r w:rsidRPr="00CE357F">
        <w:rPr>
          <w:rFonts w:ascii="Arial Narrow" w:hAnsi="Arial Narrow"/>
        </w:rPr>
        <w:t xml:space="preserve"> se podíl žen s jinou než českou státní příslušností na celkovém počtu těch</w:t>
      </w:r>
      <w:r>
        <w:rPr>
          <w:rFonts w:ascii="Arial Narrow" w:hAnsi="Arial Narrow"/>
        </w:rPr>
        <w:t>to osob v OPR Tišnov zvýšil o 21,2</w:t>
      </w:r>
      <w:r w:rsidRPr="00CE357F">
        <w:rPr>
          <w:rFonts w:ascii="Arial Narrow" w:hAnsi="Arial Narrow"/>
        </w:rPr>
        <w:t xml:space="preserve"> %. </w:t>
      </w:r>
    </w:p>
    <w:p w14:paraId="36F8683A" w14:textId="150B0F3E" w:rsidR="00D96BA1" w:rsidRDefault="00E9750E" w:rsidP="0051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u w:color="000000"/>
        </w:rPr>
      </w:pPr>
      <w:r w:rsidRPr="00513F64">
        <w:rPr>
          <w:rFonts w:ascii="Arial Narrow" w:eastAsia="Calibri" w:hAnsi="Arial Narrow"/>
          <w:color w:val="000000"/>
          <w:u w:color="000000"/>
        </w:rPr>
        <w:t xml:space="preserve">Stejně jako roste podíl žen s jinou než českou státní příslušností na celkovém počtu těchto osob v ORP Tišnov se </w:t>
      </w:r>
      <w:r w:rsidRPr="00E9750E">
        <w:rPr>
          <w:rFonts w:ascii="Arial Narrow" w:eastAsia="Calibri" w:hAnsi="Arial Narrow"/>
          <w:b/>
          <w:bCs/>
          <w:color w:val="000000"/>
          <w:u w:color="000000"/>
        </w:rPr>
        <w:t>v posledním roce výrazně zvýšil také podíl dětí do 15 let</w:t>
      </w:r>
      <w:r w:rsidRPr="00513F64">
        <w:rPr>
          <w:rFonts w:ascii="Arial Narrow" w:eastAsia="Calibri" w:hAnsi="Arial Narrow"/>
          <w:color w:val="000000"/>
          <w:u w:color="000000"/>
        </w:rPr>
        <w:t xml:space="preserve"> na celkovém počtu osob s jinou než českou státní příslušností. Zatímco k 1. 1. 2008 tvořil</w:t>
      </w:r>
      <w:r>
        <w:rPr>
          <w:rFonts w:ascii="Arial Narrow" w:eastAsia="Calibri" w:hAnsi="Arial Narrow"/>
          <w:color w:val="000000"/>
          <w:u w:color="000000"/>
        </w:rPr>
        <w:t>y</w:t>
      </w:r>
      <w:r w:rsidRPr="00513F64">
        <w:rPr>
          <w:rFonts w:ascii="Arial Narrow" w:eastAsia="Calibri" w:hAnsi="Arial Narrow"/>
          <w:color w:val="000000"/>
          <w:u w:color="000000"/>
        </w:rPr>
        <w:t xml:space="preserve"> děti do 15 let celkem 3,6 % </w:t>
      </w:r>
      <w:r w:rsidRPr="005423B0">
        <w:rPr>
          <w:rFonts w:ascii="Arial Narrow" w:eastAsia="Calibri" w:hAnsi="Arial Narrow"/>
          <w:color w:val="000000"/>
          <w:u w:color="000000"/>
        </w:rPr>
        <w:t>všech osob s jinou než českou státní příslušností, k 1. 1. 202</w:t>
      </w:r>
      <w:r>
        <w:rPr>
          <w:rFonts w:ascii="Arial Narrow" w:eastAsia="Calibri" w:hAnsi="Arial Narrow"/>
          <w:color w:val="000000"/>
          <w:u w:color="000000"/>
        </w:rPr>
        <w:t>3</w:t>
      </w:r>
      <w:r w:rsidRPr="005423B0">
        <w:rPr>
          <w:rFonts w:ascii="Arial Narrow" w:eastAsia="Calibri" w:hAnsi="Arial Narrow"/>
          <w:color w:val="000000"/>
          <w:u w:color="000000"/>
        </w:rPr>
        <w:t xml:space="preserve"> to </w:t>
      </w:r>
      <w:r w:rsidRPr="005423B0">
        <w:rPr>
          <w:rFonts w:ascii="Arial Narrow" w:eastAsia="Calibri" w:hAnsi="Arial Narrow"/>
          <w:u w:color="000000"/>
        </w:rPr>
        <w:t xml:space="preserve">bylo již </w:t>
      </w:r>
      <w:r>
        <w:rPr>
          <w:rFonts w:ascii="Arial Narrow" w:eastAsia="Calibri" w:hAnsi="Arial Narrow"/>
          <w:u w:color="000000"/>
        </w:rPr>
        <w:t>22,6</w:t>
      </w:r>
      <w:r w:rsidRPr="005423B0">
        <w:rPr>
          <w:rFonts w:ascii="Arial Narrow" w:eastAsia="Calibri" w:hAnsi="Arial Narrow"/>
          <w:u w:color="000000"/>
        </w:rPr>
        <w:t xml:space="preserve"> %.</w:t>
      </w:r>
    </w:p>
    <w:bookmarkEnd w:id="828"/>
    <w:p w14:paraId="30EF1059" w14:textId="3C284738" w:rsidR="00D3440D" w:rsidRPr="005423B0" w:rsidRDefault="00D3440D" w:rsidP="0051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color w:val="FF0000"/>
          <w:u w:color="000000"/>
        </w:rPr>
      </w:pPr>
      <w:r w:rsidRPr="005423B0">
        <w:rPr>
          <w:rFonts w:ascii="Arial Narrow" w:eastAsia="Calibri" w:hAnsi="Arial Narrow"/>
          <w:u w:color="000000"/>
        </w:rPr>
        <w:lastRenderedPageBreak/>
        <w:t xml:space="preserve">V rámci průzkumu zaměstnanosti k 31. 12. 2020 byly v SO ORP Tišnov získány údaje od 80 subjektů a bylo sečteno 3 442 zaměstnaných. Z nich v primárním sektoru </w:t>
      </w:r>
      <w:r w:rsidR="00366165" w:rsidRPr="005423B0">
        <w:rPr>
          <w:rFonts w:ascii="Arial Narrow" w:eastAsia="Calibri" w:hAnsi="Arial Narrow"/>
          <w:u w:color="000000"/>
        </w:rPr>
        <w:t>bylo k tomuto datu</w:t>
      </w:r>
      <w:r w:rsidRPr="005423B0">
        <w:rPr>
          <w:rFonts w:ascii="Arial Narrow" w:eastAsia="Calibri" w:hAnsi="Arial Narrow"/>
          <w:u w:color="000000"/>
        </w:rPr>
        <w:t xml:space="preserve"> zaměstnáno </w:t>
      </w:r>
      <w:r w:rsidR="00366165" w:rsidRPr="005423B0">
        <w:rPr>
          <w:rFonts w:ascii="Arial Narrow" w:eastAsia="Calibri" w:hAnsi="Arial Narrow"/>
          <w:u w:color="000000"/>
        </w:rPr>
        <w:t xml:space="preserve">pouze </w:t>
      </w:r>
      <w:r w:rsidRPr="005423B0">
        <w:rPr>
          <w:rFonts w:ascii="Arial Narrow" w:eastAsia="Calibri" w:hAnsi="Arial Narrow"/>
          <w:u w:color="000000"/>
        </w:rPr>
        <w:t xml:space="preserve">1,0 % zaměstnanců. V sekundárním sektoru bylo zaměstnáno 50,5 % všech zaměstnanců. Nejčastěji pracovníci byli zaměstnaní v elektrotechnickém průmyslu (21,4 %), potravinářském průmyslu (7,8 %) a ve strojírenském průmyslu (6,0 %). V terciéru </w:t>
      </w:r>
      <w:r w:rsidR="00366165" w:rsidRPr="005423B0">
        <w:rPr>
          <w:rFonts w:ascii="Arial Narrow" w:eastAsia="Calibri" w:hAnsi="Arial Narrow"/>
          <w:u w:color="000000"/>
        </w:rPr>
        <w:t>bylo</w:t>
      </w:r>
      <w:r w:rsidRPr="005423B0">
        <w:rPr>
          <w:rFonts w:ascii="Arial Narrow" w:eastAsia="Calibri" w:hAnsi="Arial Narrow"/>
          <w:u w:color="000000"/>
        </w:rPr>
        <w:t xml:space="preserve"> zaměstnáno 48,5 % pracovníků. Nejčastěji zaměstnanci pracovali ve vzdělávání (15,3 %), ve zdravotní a sociální péči (9,4 %) a v dopravě a skladování (8,7 %).</w:t>
      </w:r>
      <w:r w:rsidRPr="005423B0">
        <w:rPr>
          <w:rStyle w:val="Znakapoznpodarou"/>
          <w:rFonts w:ascii="Arial Narrow" w:eastAsia="Calibri" w:hAnsi="Arial Narrow"/>
          <w:u w:color="000000"/>
        </w:rPr>
        <w:footnoteReference w:id="102"/>
      </w:r>
    </w:p>
    <w:p w14:paraId="662AD31F" w14:textId="77777777" w:rsidR="00513F64" w:rsidRPr="00513F64" w:rsidRDefault="00513F64" w:rsidP="0051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Calibri" w:hAnsi="Arial Narrow"/>
          <w:color w:val="000000"/>
          <w:u w:color="000000"/>
        </w:rPr>
      </w:pPr>
      <w:r w:rsidRPr="005423B0">
        <w:rPr>
          <w:rFonts w:ascii="Arial Narrow" w:eastAsia="Calibri" w:hAnsi="Arial Narrow"/>
          <w:color w:val="000000"/>
          <w:u w:color="000000"/>
        </w:rPr>
        <w:t>Podíváme-li se na vývoj počtu uchazečů o zaměstnání v ORP Tišnov, po jejich prudkém nárůstu v letech 2014 a 2015  jejich počet do roku 2019 mírně klesal a jejich opětovný</w:t>
      </w:r>
      <w:r w:rsidRPr="00513F64">
        <w:rPr>
          <w:rFonts w:ascii="Arial Narrow" w:eastAsia="Calibri" w:hAnsi="Arial Narrow"/>
          <w:color w:val="000000"/>
          <w:u w:color="000000"/>
        </w:rPr>
        <w:t xml:space="preserve"> nárůst počtu uchazečů je patrný opět až v roce 2020, což může souviset s dopady celosvětové pandemie viru SARS-CoV-2. Navzdory mírnému nárůstu počtu uchazečů o zaměstnání (728 v prosinci 2019 a 782 v prosinci 2021) byl ve stejném období zaznamenán poměrně prudký nárůst počtu uchazečů připadajících na 1 volné pracovní místo (1,7 v prosinci 2019 a 3,0 v prosinci 2021).</w:t>
      </w:r>
    </w:p>
    <w:p w14:paraId="2DD41BBC" w14:textId="528A3CEE" w:rsidR="00B21467" w:rsidRDefault="00513F64" w:rsidP="00513F64">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hAnsi="Arial Narrow"/>
          <w:sz w:val="22"/>
          <w:szCs w:val="22"/>
        </w:rPr>
      </w:pPr>
      <w:r w:rsidRPr="00513F64">
        <w:rPr>
          <w:rFonts w:ascii="Arial Narrow" w:eastAsia="Calibri" w:hAnsi="Arial Narrow" w:cs="Calibri"/>
          <w:sz w:val="22"/>
          <w:szCs w:val="22"/>
        </w:rPr>
        <w:t>V OPR Tišnov byla v roce 2020 aktivní řada zaměstnavatelů, u nichž bylo prokazatelně identifikované, že v daném roce zaměstnávali osoby s jinou než českou státní příslušností. Mezi významné zaměstnavatele těchto osob v ORP Tišnov patřil</w:t>
      </w:r>
      <w:r>
        <w:rPr>
          <w:rFonts w:ascii="Arial Narrow" w:eastAsia="Calibri" w:hAnsi="Arial Narrow" w:cs="Calibri"/>
          <w:sz w:val="22"/>
          <w:szCs w:val="22"/>
        </w:rPr>
        <w:t>a</w:t>
      </w:r>
      <w:r w:rsidRPr="00513F64">
        <w:rPr>
          <w:rFonts w:ascii="Arial Narrow" w:eastAsia="Calibri" w:hAnsi="Arial Narrow" w:cs="Calibri"/>
          <w:sz w:val="22"/>
          <w:szCs w:val="22"/>
        </w:rPr>
        <w:t xml:space="preserve"> v roce 2020 zejména</w:t>
      </w:r>
      <w:r>
        <w:rPr>
          <w:rFonts w:ascii="Arial Narrow" w:eastAsia="Calibri" w:hAnsi="Arial Narrow" w:cs="Calibri"/>
          <w:sz w:val="22"/>
          <w:szCs w:val="22"/>
        </w:rPr>
        <w:t xml:space="preserve"> firma</w:t>
      </w:r>
      <w:r w:rsidRPr="00513F64">
        <w:rPr>
          <w:rFonts w:ascii="Arial Narrow" w:eastAsia="Calibri" w:hAnsi="Arial Narrow" w:cs="Calibri"/>
          <w:sz w:val="22"/>
          <w:szCs w:val="22"/>
        </w:rPr>
        <w:t xml:space="preserve"> </w:t>
      </w:r>
      <w:r w:rsidRPr="00513F64">
        <w:rPr>
          <w:rFonts w:ascii="Arial Narrow" w:hAnsi="Arial Narrow"/>
          <w:b/>
          <w:bCs/>
          <w:sz w:val="22"/>
          <w:szCs w:val="22"/>
        </w:rPr>
        <w:t xml:space="preserve">Siemens Electric </w:t>
      </w:r>
      <w:proofErr w:type="spellStart"/>
      <w:r w:rsidRPr="00513F64">
        <w:rPr>
          <w:rFonts w:ascii="Arial Narrow" w:hAnsi="Arial Narrow"/>
          <w:b/>
          <w:bCs/>
          <w:sz w:val="22"/>
          <w:szCs w:val="22"/>
        </w:rPr>
        <w:t>Machines</w:t>
      </w:r>
      <w:proofErr w:type="spellEnd"/>
      <w:r w:rsidRPr="00513F64">
        <w:rPr>
          <w:rFonts w:ascii="Arial Narrow" w:hAnsi="Arial Narrow"/>
          <w:b/>
          <w:bCs/>
          <w:sz w:val="22"/>
          <w:szCs w:val="22"/>
        </w:rPr>
        <w:t xml:space="preserve"> s.r.o</w:t>
      </w:r>
      <w:r w:rsidRPr="00513F64">
        <w:rPr>
          <w:rFonts w:ascii="Arial Narrow" w:eastAsia="Calibri" w:hAnsi="Arial Narrow" w:cs="Calibri"/>
          <w:b/>
          <w:bCs/>
          <w:sz w:val="22"/>
          <w:szCs w:val="22"/>
        </w:rPr>
        <w:t xml:space="preserve">. </w:t>
      </w:r>
      <w:r w:rsidRPr="00513F64">
        <w:rPr>
          <w:rFonts w:ascii="Arial Narrow" w:eastAsia="Calibri" w:hAnsi="Arial Narrow" w:cs="Calibri"/>
          <w:sz w:val="22"/>
          <w:szCs w:val="22"/>
        </w:rPr>
        <w:t>(30 zaměstnanců s jinou než českou státní příslušností),</w:t>
      </w:r>
      <w:r w:rsidRPr="00513F64">
        <w:rPr>
          <w:rFonts w:ascii="Arial Narrow" w:eastAsia="Calibri" w:hAnsi="Arial Narrow" w:cs="Calibri"/>
          <w:b/>
          <w:bCs/>
          <w:sz w:val="22"/>
          <w:szCs w:val="22"/>
        </w:rPr>
        <w:t xml:space="preserve"> a </w:t>
      </w:r>
      <w:r w:rsidRPr="00513F64">
        <w:rPr>
          <w:rFonts w:ascii="Arial Narrow" w:eastAsia="Calibri" w:hAnsi="Arial Narrow" w:cs="Calibri"/>
          <w:sz w:val="22"/>
          <w:szCs w:val="22"/>
        </w:rPr>
        <w:t xml:space="preserve">firma </w:t>
      </w:r>
      <w:proofErr w:type="spellStart"/>
      <w:r w:rsidRPr="00513F64">
        <w:rPr>
          <w:rFonts w:ascii="Arial Narrow" w:hAnsi="Arial Narrow"/>
          <w:b/>
          <w:bCs/>
          <w:sz w:val="22"/>
          <w:szCs w:val="22"/>
        </w:rPr>
        <w:t>Steinhauser</w:t>
      </w:r>
      <w:proofErr w:type="spellEnd"/>
      <w:r w:rsidRPr="00513F64">
        <w:rPr>
          <w:rFonts w:ascii="Arial Narrow" w:hAnsi="Arial Narrow"/>
          <w:b/>
          <w:bCs/>
          <w:sz w:val="22"/>
          <w:szCs w:val="22"/>
        </w:rPr>
        <w:t>, s.r.o</w:t>
      </w:r>
      <w:r w:rsidRPr="00513F64">
        <w:rPr>
          <w:rFonts w:ascii="Arial Narrow" w:hAnsi="Arial Narrow"/>
          <w:sz w:val="22"/>
          <w:szCs w:val="22"/>
        </w:rPr>
        <w:t xml:space="preserve">. </w:t>
      </w:r>
      <w:r w:rsidRPr="00513F64">
        <w:rPr>
          <w:rFonts w:ascii="Arial Narrow" w:eastAsia="Calibri" w:hAnsi="Arial Narrow" w:cs="Calibri"/>
          <w:sz w:val="22"/>
          <w:szCs w:val="22"/>
        </w:rPr>
        <w:t>(11 zaměstnanců s jinou než českou státní příslušností).</w:t>
      </w:r>
      <w:r w:rsidRPr="00513F64">
        <w:rPr>
          <w:rFonts w:ascii="Arial Narrow" w:hAnsi="Arial Narrow"/>
          <w:sz w:val="22"/>
          <w:szCs w:val="22"/>
        </w:rPr>
        <w:t xml:space="preserve"> Mezi další významné zaměstnavatele osob s jinou než českou státní příslušností v ORP Tišnov patřil</w:t>
      </w:r>
      <w:r w:rsidR="00B21467">
        <w:rPr>
          <w:rFonts w:ascii="Arial Narrow" w:hAnsi="Arial Narrow"/>
          <w:sz w:val="22"/>
          <w:szCs w:val="22"/>
        </w:rPr>
        <w:t>a</w:t>
      </w:r>
      <w:r w:rsidRPr="00513F64">
        <w:rPr>
          <w:rFonts w:ascii="Arial Narrow" w:hAnsi="Arial Narrow"/>
          <w:sz w:val="22"/>
          <w:szCs w:val="22"/>
        </w:rPr>
        <w:t xml:space="preserve"> v roce 2020 firma </w:t>
      </w:r>
      <w:proofErr w:type="spellStart"/>
      <w:r w:rsidRPr="00513F64">
        <w:rPr>
          <w:rFonts w:ascii="Arial Narrow" w:hAnsi="Arial Narrow"/>
          <w:sz w:val="22"/>
          <w:szCs w:val="22"/>
        </w:rPr>
        <w:t>Stavounie</w:t>
      </w:r>
      <w:proofErr w:type="spellEnd"/>
      <w:r w:rsidRPr="00513F64">
        <w:rPr>
          <w:rFonts w:ascii="Arial Narrow" w:hAnsi="Arial Narrow"/>
          <w:sz w:val="22"/>
          <w:szCs w:val="22"/>
        </w:rPr>
        <w:t xml:space="preserve">-CZ, s.r.o., či Ing. Brázda </w:t>
      </w:r>
      <w:r w:rsidR="003D733D">
        <w:rPr>
          <w:rFonts w:ascii="Arial Narrow" w:hAnsi="Arial Narrow"/>
          <w:sz w:val="22"/>
          <w:szCs w:val="22"/>
        </w:rPr>
        <w:t>–</w:t>
      </w:r>
      <w:r w:rsidRPr="00513F64">
        <w:rPr>
          <w:rFonts w:ascii="Arial Narrow" w:hAnsi="Arial Narrow"/>
          <w:sz w:val="22"/>
          <w:szCs w:val="22"/>
        </w:rPr>
        <w:t xml:space="preserve"> UNIVERS s.r.o.</w:t>
      </w:r>
      <w:r w:rsidRPr="00513F64">
        <w:rPr>
          <w:rFonts w:ascii="Arial Narrow" w:eastAsia="Calibri" w:hAnsi="Arial Narrow" w:cs="Calibri"/>
          <w:sz w:val="22"/>
          <w:szCs w:val="22"/>
        </w:rPr>
        <w:t xml:space="preserve"> </w:t>
      </w:r>
      <w:r w:rsidRPr="00513F64">
        <w:rPr>
          <w:rFonts w:ascii="Arial Narrow" w:hAnsi="Arial Narrow"/>
          <w:sz w:val="22"/>
          <w:szCs w:val="22"/>
        </w:rPr>
        <w:t xml:space="preserve">Z celkových 99 zaměstnanců–osob s jinou než českou příslušností jich bylo 45,5 % zaměstnaných v obci Tišnov a 35,4 % v obci Drásov. </w:t>
      </w:r>
    </w:p>
    <w:p w14:paraId="6B6EC177" w14:textId="77777777" w:rsidR="009931FE" w:rsidRDefault="00513F64" w:rsidP="009931FE">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hAnsi="Arial Narrow"/>
          <w:sz w:val="22"/>
          <w:szCs w:val="22"/>
        </w:rPr>
      </w:pPr>
      <w:r w:rsidRPr="00513F64">
        <w:rPr>
          <w:rFonts w:ascii="Arial Narrow" w:hAnsi="Arial Narrow"/>
          <w:sz w:val="22"/>
          <w:szCs w:val="22"/>
        </w:rPr>
        <w:t>Nejvíce osob s jinou než českou státní příslušností v ORP Kuřim bylo v roce 2020 zaměstnáno ve zpracovatelském průmyslu (61,6 %) a v oblasti stavebnictví (13,1 %).</w:t>
      </w:r>
    </w:p>
    <w:p w14:paraId="2234ABD1" w14:textId="29924BA8" w:rsidR="00513F64" w:rsidRPr="009931FE" w:rsidRDefault="009931FE" w:rsidP="009931FE">
      <w:pPr>
        <w:pStyle w:val="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sz w:val="20"/>
          <w:szCs w:val="20"/>
        </w:rPr>
      </w:pPr>
      <w:r>
        <w:rPr>
          <w:rFonts w:ascii="Arial Narrow" w:hAnsi="Arial Narrow"/>
          <w:sz w:val="22"/>
          <w:szCs w:val="22"/>
        </w:rPr>
        <w:br/>
      </w:r>
      <w:bookmarkStart w:id="830" w:name="_Hlk130989402"/>
      <w:r w:rsidRPr="009931FE">
        <w:rPr>
          <w:rFonts w:ascii="Arial Narrow" w:hAnsi="Arial Narrow"/>
          <w:sz w:val="22"/>
          <w:szCs w:val="22"/>
        </w:rPr>
        <w:t>Je pravděpodobné, že z důvodu výraznějších změn v</w:t>
      </w:r>
      <w:r w:rsidRPr="009931FE">
        <w:rPr>
          <w:rFonts w:ascii="Arial Narrow" w:eastAsia="Calibri" w:hAnsi="Arial Narrow"/>
          <w:sz w:val="22"/>
          <w:szCs w:val="22"/>
        </w:rPr>
        <w:t xml:space="preserve"> populaci osob s jinou než českou státní příslušností v ORP </w:t>
      </w:r>
      <w:r w:rsidR="00A156BD">
        <w:rPr>
          <w:rFonts w:ascii="Arial Narrow" w:eastAsia="Calibri" w:hAnsi="Arial Narrow"/>
          <w:sz w:val="22"/>
          <w:szCs w:val="22"/>
        </w:rPr>
        <w:t>Tišnov</w:t>
      </w:r>
      <w:r w:rsidRPr="009931FE">
        <w:rPr>
          <w:rFonts w:ascii="Arial Narrow" w:eastAsia="Calibri" w:hAnsi="Arial Narrow"/>
          <w:sz w:val="22"/>
          <w:szCs w:val="22"/>
        </w:rPr>
        <w:t xml:space="preserve"> během roku 2022 a 2023, především v návaznosti na rusko-ukrajinský konflikt</w:t>
      </w:r>
      <w:r>
        <w:rPr>
          <w:rFonts w:ascii="Arial Narrow" w:eastAsia="Calibri" w:hAnsi="Arial Narrow"/>
          <w:sz w:val="22"/>
          <w:szCs w:val="22"/>
        </w:rPr>
        <w:t>,</w:t>
      </w:r>
      <w:r w:rsidRPr="009931FE">
        <w:rPr>
          <w:rFonts w:ascii="Arial Narrow" w:eastAsia="Calibri" w:hAnsi="Arial Narrow"/>
          <w:sz w:val="22"/>
          <w:szCs w:val="22"/>
        </w:rPr>
        <w:t xml:space="preserve"> se změní také struktura zaměstnanosti v ORP </w:t>
      </w:r>
      <w:r w:rsidR="003E4D1F">
        <w:rPr>
          <w:rFonts w:ascii="Arial Narrow" w:eastAsia="Calibri" w:hAnsi="Arial Narrow"/>
          <w:sz w:val="22"/>
          <w:szCs w:val="22"/>
        </w:rPr>
        <w:t>Tišnov</w:t>
      </w:r>
      <w:r w:rsidRPr="009931FE">
        <w:rPr>
          <w:rFonts w:ascii="Arial Narrow" w:eastAsia="Calibri" w:hAnsi="Arial Narrow"/>
          <w:sz w:val="22"/>
          <w:szCs w:val="22"/>
        </w:rPr>
        <w:t>. Změny budou patrné také po ukončení konfliktu, kdy je očekáván návrat části osob s ukrajinskou státní příslušností zpět do země původu.</w:t>
      </w:r>
      <w:bookmarkEnd w:id="830"/>
    </w:p>
    <w:p w14:paraId="6F7783FC" w14:textId="77777777" w:rsidR="00C475C3" w:rsidRPr="00CE357F" w:rsidRDefault="00C475C3" w:rsidP="00C475C3">
      <w:pPr>
        <w:spacing w:line="276" w:lineRule="auto"/>
        <w:rPr>
          <w:rFonts w:ascii="Arial Narrow" w:hAnsi="Arial Narrow"/>
          <w:b/>
          <w:color w:val="2F5496" w:themeColor="accent1" w:themeShade="BF"/>
        </w:rPr>
      </w:pPr>
    </w:p>
    <w:p w14:paraId="570F50A2" w14:textId="77777777" w:rsidR="00C475C3" w:rsidRPr="00CE357F" w:rsidRDefault="00C475C3" w:rsidP="00C475C3">
      <w:pPr>
        <w:spacing w:line="276" w:lineRule="auto"/>
        <w:rPr>
          <w:rFonts w:ascii="Arial Narrow" w:hAnsi="Arial Narrow"/>
          <w:b/>
          <w:color w:val="2F5496" w:themeColor="accent1" w:themeShade="BF"/>
        </w:rPr>
      </w:pPr>
    </w:p>
    <w:p w14:paraId="4A82AB56" w14:textId="77777777" w:rsidR="00B15B85" w:rsidRPr="00CE357F" w:rsidRDefault="00B15B85" w:rsidP="00C475C3">
      <w:pPr>
        <w:spacing w:line="276" w:lineRule="auto"/>
        <w:rPr>
          <w:rFonts w:ascii="Arial Narrow" w:hAnsi="Arial Narrow"/>
          <w:b/>
          <w:color w:val="2F5496" w:themeColor="accent1" w:themeShade="BF"/>
        </w:rPr>
      </w:pPr>
    </w:p>
    <w:p w14:paraId="11F3D4F7" w14:textId="74FE744D" w:rsidR="00B15B85" w:rsidRDefault="00B15B85" w:rsidP="00C475C3">
      <w:pPr>
        <w:spacing w:line="276" w:lineRule="auto"/>
        <w:rPr>
          <w:rFonts w:ascii="Arial Narrow" w:hAnsi="Arial Narrow"/>
          <w:b/>
          <w:color w:val="2F5496" w:themeColor="accent1" w:themeShade="BF"/>
        </w:rPr>
      </w:pPr>
    </w:p>
    <w:p w14:paraId="60C09752" w14:textId="5BBC106A" w:rsidR="00F32F86" w:rsidRDefault="00F32F86" w:rsidP="00C475C3">
      <w:pPr>
        <w:spacing w:line="276" w:lineRule="auto"/>
        <w:rPr>
          <w:rFonts w:ascii="Arial Narrow" w:hAnsi="Arial Narrow"/>
          <w:b/>
          <w:color w:val="2F5496" w:themeColor="accent1" w:themeShade="BF"/>
        </w:rPr>
      </w:pPr>
    </w:p>
    <w:p w14:paraId="00CCB9D3" w14:textId="77777777" w:rsidR="00E32FA2" w:rsidRDefault="00E32FA2" w:rsidP="00C475C3">
      <w:pPr>
        <w:spacing w:line="276" w:lineRule="auto"/>
        <w:rPr>
          <w:rFonts w:ascii="Arial Narrow" w:hAnsi="Arial Narrow"/>
          <w:b/>
          <w:color w:val="2F5496" w:themeColor="accent1" w:themeShade="BF"/>
        </w:rPr>
      </w:pPr>
    </w:p>
    <w:p w14:paraId="5B8FC450" w14:textId="77777777" w:rsidR="00E32FA2" w:rsidRDefault="00E32FA2" w:rsidP="00C475C3">
      <w:pPr>
        <w:spacing w:line="276" w:lineRule="auto"/>
        <w:rPr>
          <w:rFonts w:ascii="Arial Narrow" w:hAnsi="Arial Narrow"/>
          <w:b/>
          <w:color w:val="2F5496" w:themeColor="accent1" w:themeShade="BF"/>
        </w:rPr>
      </w:pPr>
    </w:p>
    <w:p w14:paraId="65012218" w14:textId="77777777" w:rsidR="00E32FA2" w:rsidRDefault="00E32FA2" w:rsidP="00C475C3">
      <w:pPr>
        <w:spacing w:line="276" w:lineRule="auto"/>
        <w:rPr>
          <w:rFonts w:ascii="Arial Narrow" w:hAnsi="Arial Narrow"/>
          <w:b/>
          <w:color w:val="2F5496" w:themeColor="accent1" w:themeShade="BF"/>
        </w:rPr>
      </w:pPr>
    </w:p>
    <w:p w14:paraId="4D5506ED" w14:textId="77777777" w:rsidR="00E32FA2" w:rsidRDefault="00E32FA2" w:rsidP="00C475C3">
      <w:pPr>
        <w:spacing w:line="276" w:lineRule="auto"/>
        <w:rPr>
          <w:rFonts w:ascii="Arial Narrow" w:hAnsi="Arial Narrow"/>
          <w:b/>
          <w:color w:val="2F5496" w:themeColor="accent1" w:themeShade="BF"/>
        </w:rPr>
      </w:pPr>
    </w:p>
    <w:p w14:paraId="2758E247" w14:textId="77777777" w:rsidR="00E32FA2" w:rsidRDefault="00E32FA2" w:rsidP="00C475C3">
      <w:pPr>
        <w:spacing w:line="276" w:lineRule="auto"/>
        <w:rPr>
          <w:rFonts w:ascii="Arial Narrow" w:hAnsi="Arial Narrow"/>
          <w:b/>
          <w:color w:val="2F5496" w:themeColor="accent1" w:themeShade="BF"/>
        </w:rPr>
      </w:pPr>
    </w:p>
    <w:p w14:paraId="0868EBCC" w14:textId="77777777" w:rsidR="00E32FA2" w:rsidRDefault="00E32FA2" w:rsidP="00C475C3">
      <w:pPr>
        <w:spacing w:line="276" w:lineRule="auto"/>
        <w:rPr>
          <w:rFonts w:ascii="Arial Narrow" w:hAnsi="Arial Narrow"/>
          <w:b/>
          <w:color w:val="2F5496" w:themeColor="accent1" w:themeShade="BF"/>
        </w:rPr>
      </w:pPr>
    </w:p>
    <w:p w14:paraId="1342344D" w14:textId="77777777" w:rsidR="00E32FA2" w:rsidRDefault="00E32FA2" w:rsidP="00C475C3">
      <w:pPr>
        <w:spacing w:line="276" w:lineRule="auto"/>
        <w:rPr>
          <w:rFonts w:ascii="Arial Narrow" w:hAnsi="Arial Narrow"/>
          <w:b/>
          <w:color w:val="2F5496" w:themeColor="accent1" w:themeShade="BF"/>
        </w:rPr>
      </w:pPr>
    </w:p>
    <w:p w14:paraId="6949B4FB" w14:textId="77777777" w:rsidR="00E32FA2" w:rsidRDefault="00E32FA2" w:rsidP="00C475C3">
      <w:pPr>
        <w:spacing w:line="276" w:lineRule="auto"/>
        <w:rPr>
          <w:rFonts w:ascii="Arial Narrow" w:hAnsi="Arial Narrow"/>
          <w:b/>
          <w:color w:val="2F5496" w:themeColor="accent1" w:themeShade="BF"/>
        </w:rPr>
      </w:pPr>
    </w:p>
    <w:p w14:paraId="3B493128" w14:textId="70EA4FBE" w:rsidR="00C475C3" w:rsidRPr="00CE357F" w:rsidRDefault="006855B5" w:rsidP="006855B5">
      <w:pPr>
        <w:pStyle w:val="Nadpis2"/>
        <w:ind w:left="426"/>
        <w:jc w:val="both"/>
        <w:rPr>
          <w:rFonts w:ascii="Arial Narrow" w:hAnsi="Arial Narrow"/>
          <w:sz w:val="30"/>
          <w:szCs w:val="30"/>
        </w:rPr>
      </w:pPr>
      <w:bookmarkStart w:id="831" w:name="_Toc136876152"/>
      <w:r w:rsidRPr="00CE357F">
        <w:rPr>
          <w:rFonts w:ascii="Arial Narrow" w:hAnsi="Arial Narrow"/>
          <w:sz w:val="30"/>
          <w:szCs w:val="30"/>
        </w:rPr>
        <w:lastRenderedPageBreak/>
        <w:t>OSOBY S JINOU NEŽ ČESKOU STÁTNÍ PŘÍSLUŠNOSTÍ V ORP VYŠKOV</w:t>
      </w:r>
      <w:bookmarkEnd w:id="831"/>
    </w:p>
    <w:p w14:paraId="157324B7" w14:textId="77777777" w:rsidR="00C475C3" w:rsidRPr="00CE357F" w:rsidRDefault="00C475C3" w:rsidP="00C475C3">
      <w:pPr>
        <w:rPr>
          <w:rFonts w:ascii="Arial Narrow" w:hAnsi="Arial Narrow"/>
        </w:rPr>
      </w:pPr>
    </w:p>
    <w:p w14:paraId="075B5C18" w14:textId="77777777" w:rsidR="00C475C3" w:rsidRPr="00CE357F" w:rsidRDefault="00C475C3" w:rsidP="00C475C3">
      <w:pPr>
        <w:pStyle w:val="Nadpis3"/>
        <w:spacing w:after="240"/>
      </w:pPr>
      <w:bookmarkStart w:id="832" w:name="_Toc136876153"/>
      <w:r w:rsidRPr="00CE357F">
        <w:t>Základní demografické údaje o ORP Vyškov</w:t>
      </w:r>
      <w:bookmarkEnd w:id="832"/>
      <w:r w:rsidRPr="00CE357F">
        <w:t xml:space="preserve"> </w:t>
      </w:r>
    </w:p>
    <w:p w14:paraId="4BDE174D" w14:textId="77777777" w:rsidR="00C475C3" w:rsidRPr="00CE357F" w:rsidRDefault="00C475C3" w:rsidP="00C475C3">
      <w:pPr>
        <w:rPr>
          <w:rFonts w:ascii="Arial Narrow" w:hAnsi="Arial Narrow"/>
        </w:rPr>
      </w:pPr>
    </w:p>
    <w:p w14:paraId="77A62ACA" w14:textId="77777777" w:rsidR="00F32F86" w:rsidRPr="00B4465C" w:rsidRDefault="00F32F86" w:rsidP="00F32F86">
      <w:pPr>
        <w:spacing w:line="276" w:lineRule="auto"/>
        <w:jc w:val="both"/>
        <w:rPr>
          <w:rFonts w:ascii="Arial Narrow" w:hAnsi="Arial Narrow"/>
        </w:rPr>
      </w:pPr>
      <w:r w:rsidRPr="00B4465C">
        <w:rPr>
          <w:rFonts w:ascii="Arial Narrow" w:hAnsi="Arial Narrow"/>
        </w:rPr>
        <w:t>K 31. 12. 2021</w:t>
      </w:r>
      <w:r w:rsidRPr="00B4465C">
        <w:rPr>
          <w:rStyle w:val="Znakapoznpodarou"/>
          <w:rFonts w:ascii="Arial Narrow" w:hAnsi="Arial Narrow"/>
        </w:rPr>
        <w:footnoteReference w:id="103"/>
      </w:r>
      <w:r w:rsidRPr="00B4465C">
        <w:rPr>
          <w:rFonts w:ascii="Arial Narrow" w:hAnsi="Arial Narrow"/>
        </w:rPr>
        <w:t xml:space="preserve"> žilo na území ORP Vyškov celkem 51 941 obyvatel, což představovalo zhruba 4,4 % všech obyvatel Jihomoravského kraje. Mezi obyvateli ORP Vyškov byli k tomuto datu muži a ženy téměř rovnoměrně zastoupeni (49,2 % mužů a 50,8 % žen).  Zastoupení mužů a žen mezi obyvateli ORP Vyškov zůstává, stejně jako podíl obyvatel na celkovém počtu obyvatel JMK, dlouhodobě stabilní. Meziročně vzrůstá pouze průměrný věk obyvatel. Zatímco v roce 2005 byl průměrný věk obyvatel ORP Vyškov 39,6 let, v roce 2022 to bylo 42,6 let. Jedná se ale o trend, který je charakteristický pro území celé České republiky. </w:t>
      </w:r>
    </w:p>
    <w:p w14:paraId="6B3F3552" w14:textId="2114EC52" w:rsidR="00C475C3" w:rsidRPr="00B4465C" w:rsidRDefault="00C475C3" w:rsidP="00C475C3">
      <w:pPr>
        <w:spacing w:line="276" w:lineRule="auto"/>
        <w:rPr>
          <w:rFonts w:ascii="Arial Narrow" w:hAnsi="Arial Narrow"/>
          <w:b/>
        </w:rPr>
      </w:pPr>
      <w:r w:rsidRPr="00B4465C">
        <w:rPr>
          <w:rFonts w:ascii="Arial Narrow" w:hAnsi="Arial Narrow"/>
          <w:b/>
          <w:sz w:val="20"/>
          <w:szCs w:val="20"/>
        </w:rPr>
        <w:br/>
      </w:r>
      <w:bookmarkStart w:id="833" w:name="_Toc136429275"/>
      <w:r w:rsidRPr="00B4465C">
        <w:rPr>
          <w:rFonts w:ascii="Arial Narrow" w:hAnsi="Arial Narrow"/>
          <w:b/>
          <w:sz w:val="20"/>
          <w:szCs w:val="20"/>
        </w:rPr>
        <w:t xml:space="preserve">Tabulka </w:t>
      </w:r>
      <w:r w:rsidRPr="00B4465C">
        <w:rPr>
          <w:rFonts w:ascii="Arial Narrow" w:hAnsi="Arial Narrow"/>
          <w:b/>
          <w:sz w:val="20"/>
          <w:szCs w:val="20"/>
        </w:rPr>
        <w:fldChar w:fldCharType="begin"/>
      </w:r>
      <w:r w:rsidRPr="00B4465C">
        <w:rPr>
          <w:rFonts w:ascii="Arial Narrow" w:hAnsi="Arial Narrow"/>
          <w:b/>
          <w:sz w:val="20"/>
          <w:szCs w:val="20"/>
        </w:rPr>
        <w:instrText xml:space="preserve"> SEQ Tabulka \* ARABIC </w:instrText>
      </w:r>
      <w:r w:rsidRPr="00B4465C">
        <w:rPr>
          <w:rFonts w:ascii="Arial Narrow" w:hAnsi="Arial Narrow"/>
          <w:b/>
          <w:sz w:val="20"/>
          <w:szCs w:val="20"/>
        </w:rPr>
        <w:fldChar w:fldCharType="separate"/>
      </w:r>
      <w:r w:rsidR="00256C97">
        <w:rPr>
          <w:rFonts w:ascii="Arial Narrow" w:hAnsi="Arial Narrow"/>
          <w:b/>
          <w:noProof/>
          <w:sz w:val="20"/>
          <w:szCs w:val="20"/>
        </w:rPr>
        <w:t>64</w:t>
      </w:r>
      <w:r w:rsidRPr="00B4465C">
        <w:rPr>
          <w:rFonts w:ascii="Arial Narrow" w:hAnsi="Arial Narrow"/>
          <w:b/>
          <w:sz w:val="20"/>
          <w:szCs w:val="20"/>
        </w:rPr>
        <w:fldChar w:fldCharType="end"/>
      </w:r>
      <w:r w:rsidRPr="00B4465C">
        <w:rPr>
          <w:rFonts w:ascii="Arial Narrow" w:hAnsi="Arial Narrow"/>
          <w:b/>
          <w:sz w:val="20"/>
          <w:szCs w:val="20"/>
        </w:rPr>
        <w:t>: Vývoj počtu obyvatel v ORP Vyškov v letech 2005-202</w:t>
      </w:r>
      <w:r w:rsidR="00F32F86" w:rsidRPr="00B4465C">
        <w:rPr>
          <w:rFonts w:ascii="Arial Narrow" w:hAnsi="Arial Narrow"/>
          <w:b/>
          <w:sz w:val="20"/>
          <w:szCs w:val="20"/>
        </w:rPr>
        <w:t>1</w:t>
      </w:r>
      <w:bookmarkEnd w:id="833"/>
    </w:p>
    <w:tbl>
      <w:tblPr>
        <w:tblpPr w:leftFromText="141" w:rightFromText="141" w:vertAnchor="text" w:tblpX="108" w:tblpY="1"/>
        <w:tblW w:w="4866"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030"/>
        <w:gridCol w:w="1708"/>
        <w:gridCol w:w="2745"/>
        <w:gridCol w:w="1107"/>
        <w:gridCol w:w="1108"/>
        <w:gridCol w:w="1121"/>
      </w:tblGrid>
      <w:tr w:rsidR="00C475C3" w:rsidRPr="00B4465C" w14:paraId="0E13977E" w14:textId="77777777" w:rsidTr="00F32F86">
        <w:trPr>
          <w:trHeight w:val="271"/>
        </w:trPr>
        <w:tc>
          <w:tcPr>
            <w:tcW w:w="1030" w:type="dxa"/>
            <w:vMerge w:val="restart"/>
            <w:shd w:val="clear" w:color="auto" w:fill="D9E2F3" w:themeFill="accent1" w:themeFillTint="33"/>
            <w:vAlign w:val="center"/>
            <w:hideMark/>
          </w:tcPr>
          <w:p w14:paraId="72ED8C0A" w14:textId="77777777" w:rsidR="00C475C3" w:rsidRPr="00B4465C" w:rsidRDefault="00C475C3" w:rsidP="006855B5">
            <w:pPr>
              <w:jc w:val="center"/>
              <w:rPr>
                <w:rFonts w:ascii="Arial Narrow" w:eastAsia="Times New Roman" w:hAnsi="Arial Narrow" w:cs="Arial"/>
                <w:b/>
                <w:bCs/>
                <w:sz w:val="18"/>
                <w:szCs w:val="18"/>
                <w:lang w:eastAsia="cs-CZ"/>
              </w:rPr>
            </w:pPr>
            <w:r w:rsidRPr="00B4465C">
              <w:rPr>
                <w:rFonts w:ascii="Arial Narrow" w:eastAsia="Times New Roman" w:hAnsi="Arial Narrow" w:cs="Arial"/>
                <w:sz w:val="18"/>
                <w:szCs w:val="18"/>
                <w:lang w:eastAsia="cs-CZ"/>
              </w:rPr>
              <w:t>Rok</w:t>
            </w:r>
          </w:p>
          <w:p w14:paraId="1E224236" w14:textId="3BB3F457" w:rsidR="00C475C3" w:rsidRPr="00B4465C" w:rsidRDefault="00C475C3" w:rsidP="006855B5">
            <w:pPr>
              <w:jc w:val="center"/>
              <w:rPr>
                <w:rFonts w:ascii="Arial Narrow" w:hAnsi="Arial Narrow" w:cstheme="minorBidi"/>
                <w:sz w:val="18"/>
                <w:szCs w:val="18"/>
              </w:rPr>
            </w:pPr>
            <w:r w:rsidRPr="00B4465C">
              <w:rPr>
                <w:rFonts w:ascii="Arial Narrow" w:eastAsia="Times New Roman" w:hAnsi="Arial Narrow" w:cs="Arial"/>
                <w:sz w:val="18"/>
                <w:szCs w:val="18"/>
                <w:lang w:eastAsia="cs-CZ"/>
              </w:rPr>
              <w:t>(k 31. 12.)</w:t>
            </w:r>
            <w:r w:rsidR="00F32F86" w:rsidRPr="00B4465C">
              <w:rPr>
                <w:rStyle w:val="Znakapoznpodarou"/>
                <w:rFonts w:ascii="Arial Narrow" w:eastAsia="Times New Roman" w:hAnsi="Arial Narrow" w:cs="Arial"/>
                <w:sz w:val="18"/>
                <w:szCs w:val="18"/>
                <w:lang w:eastAsia="cs-CZ"/>
              </w:rPr>
              <w:footnoteReference w:id="104"/>
            </w:r>
          </w:p>
        </w:tc>
        <w:tc>
          <w:tcPr>
            <w:tcW w:w="1708" w:type="dxa"/>
            <w:vMerge w:val="restart"/>
            <w:shd w:val="clear" w:color="auto" w:fill="D9E2F3" w:themeFill="accent1" w:themeFillTint="33"/>
            <w:vAlign w:val="center"/>
            <w:hideMark/>
          </w:tcPr>
          <w:p w14:paraId="2352DEB8" w14:textId="77777777" w:rsidR="00C475C3" w:rsidRPr="00B4465C" w:rsidRDefault="00C475C3" w:rsidP="006855B5">
            <w:pPr>
              <w:jc w:val="center"/>
              <w:rPr>
                <w:rFonts w:ascii="Arial Narrow" w:hAnsi="Arial Narrow"/>
                <w:sz w:val="18"/>
                <w:szCs w:val="18"/>
              </w:rPr>
            </w:pPr>
            <w:r w:rsidRPr="00B4465C">
              <w:rPr>
                <w:rFonts w:ascii="Arial Narrow" w:eastAsia="Times New Roman" w:hAnsi="Arial Narrow" w:cs="Arial"/>
                <w:sz w:val="18"/>
                <w:szCs w:val="18"/>
                <w:lang w:eastAsia="cs-CZ"/>
              </w:rPr>
              <w:t>Počet obyvatel celkem</w:t>
            </w:r>
          </w:p>
        </w:tc>
        <w:tc>
          <w:tcPr>
            <w:tcW w:w="2745" w:type="dxa"/>
            <w:vMerge w:val="restart"/>
            <w:shd w:val="clear" w:color="auto" w:fill="D9E2F3" w:themeFill="accent1" w:themeFillTint="33"/>
            <w:vAlign w:val="center"/>
          </w:tcPr>
          <w:p w14:paraId="3D370F29" w14:textId="77777777" w:rsidR="00C475C3" w:rsidRPr="00B4465C" w:rsidRDefault="00C475C3" w:rsidP="006855B5">
            <w:pPr>
              <w:jc w:val="center"/>
              <w:rPr>
                <w:rFonts w:ascii="Arial Narrow" w:eastAsia="Times New Roman" w:hAnsi="Arial Narrow" w:cs="Arial"/>
                <w:b/>
                <w:bCs/>
                <w:sz w:val="18"/>
                <w:szCs w:val="18"/>
                <w:lang w:eastAsia="cs-CZ"/>
              </w:rPr>
            </w:pPr>
            <w:r w:rsidRPr="00B4465C">
              <w:rPr>
                <w:rFonts w:ascii="Arial Narrow" w:eastAsia="Times New Roman" w:hAnsi="Arial Narrow" w:cs="Arial"/>
                <w:sz w:val="18"/>
                <w:szCs w:val="18"/>
                <w:lang w:eastAsia="cs-CZ"/>
              </w:rPr>
              <w:t>Podíl obyvatel na celkovém počtu obyvatel v JMK</w:t>
            </w:r>
          </w:p>
        </w:tc>
        <w:tc>
          <w:tcPr>
            <w:tcW w:w="2215" w:type="dxa"/>
            <w:gridSpan w:val="2"/>
            <w:shd w:val="clear" w:color="auto" w:fill="D9E2F3" w:themeFill="accent1" w:themeFillTint="33"/>
            <w:vAlign w:val="center"/>
          </w:tcPr>
          <w:p w14:paraId="044D7B54" w14:textId="77777777" w:rsidR="00C475C3" w:rsidRPr="00B4465C" w:rsidRDefault="00C475C3" w:rsidP="006855B5">
            <w:pPr>
              <w:jc w:val="center"/>
              <w:rPr>
                <w:rFonts w:ascii="Arial Narrow" w:eastAsia="Times New Roman" w:hAnsi="Arial Narrow" w:cs="Arial"/>
                <w:b/>
                <w:bCs/>
                <w:sz w:val="18"/>
                <w:szCs w:val="18"/>
                <w:lang w:eastAsia="cs-CZ"/>
              </w:rPr>
            </w:pPr>
            <w:r w:rsidRPr="00B4465C">
              <w:rPr>
                <w:rFonts w:ascii="Arial Narrow" w:eastAsia="Times New Roman" w:hAnsi="Arial Narrow" w:cs="Arial"/>
                <w:sz w:val="18"/>
                <w:szCs w:val="18"/>
                <w:lang w:eastAsia="cs-CZ"/>
              </w:rPr>
              <w:t>Z toho</w:t>
            </w:r>
          </w:p>
        </w:tc>
        <w:tc>
          <w:tcPr>
            <w:tcW w:w="1121" w:type="dxa"/>
            <w:vMerge w:val="restart"/>
            <w:shd w:val="clear" w:color="auto" w:fill="D9E2F3" w:themeFill="accent1" w:themeFillTint="33"/>
            <w:vAlign w:val="center"/>
          </w:tcPr>
          <w:p w14:paraId="2B80FA6B" w14:textId="77777777" w:rsidR="00C475C3" w:rsidRPr="00B4465C" w:rsidRDefault="00C475C3" w:rsidP="006855B5">
            <w:pPr>
              <w:jc w:val="center"/>
              <w:rPr>
                <w:rFonts w:ascii="Arial Narrow" w:eastAsia="Times New Roman" w:hAnsi="Arial Narrow" w:cs="Arial"/>
                <w:b/>
                <w:bCs/>
                <w:sz w:val="18"/>
                <w:szCs w:val="18"/>
                <w:lang w:eastAsia="cs-CZ"/>
              </w:rPr>
            </w:pPr>
            <w:r w:rsidRPr="00B4465C">
              <w:rPr>
                <w:rFonts w:ascii="Arial Narrow" w:eastAsia="Times New Roman" w:hAnsi="Arial Narrow" w:cs="Arial"/>
                <w:sz w:val="18"/>
                <w:szCs w:val="18"/>
                <w:lang w:eastAsia="cs-CZ"/>
              </w:rPr>
              <w:t>Průměrný věk</w:t>
            </w:r>
          </w:p>
        </w:tc>
      </w:tr>
      <w:tr w:rsidR="00C475C3" w:rsidRPr="00B4465C" w14:paraId="2BBA0417" w14:textId="77777777" w:rsidTr="00F32F86">
        <w:trPr>
          <w:trHeight w:val="279"/>
        </w:trPr>
        <w:tc>
          <w:tcPr>
            <w:tcW w:w="1030" w:type="dxa"/>
            <w:vMerge/>
            <w:hideMark/>
          </w:tcPr>
          <w:p w14:paraId="20A76E3A" w14:textId="77777777" w:rsidR="00C475C3" w:rsidRPr="00B4465C" w:rsidRDefault="00C475C3" w:rsidP="006855B5">
            <w:pPr>
              <w:rPr>
                <w:rFonts w:ascii="Arial Narrow" w:hAnsi="Arial Narrow"/>
                <w:sz w:val="18"/>
                <w:szCs w:val="18"/>
              </w:rPr>
            </w:pPr>
          </w:p>
        </w:tc>
        <w:tc>
          <w:tcPr>
            <w:tcW w:w="1708" w:type="dxa"/>
            <w:vMerge/>
            <w:hideMark/>
          </w:tcPr>
          <w:p w14:paraId="523C7C6A" w14:textId="77777777" w:rsidR="00C475C3" w:rsidRPr="00B4465C" w:rsidRDefault="00C475C3" w:rsidP="006855B5">
            <w:pPr>
              <w:rPr>
                <w:rFonts w:ascii="Arial Narrow" w:hAnsi="Arial Narrow"/>
                <w:sz w:val="18"/>
                <w:szCs w:val="18"/>
              </w:rPr>
            </w:pPr>
          </w:p>
        </w:tc>
        <w:tc>
          <w:tcPr>
            <w:tcW w:w="2745" w:type="dxa"/>
            <w:vMerge/>
          </w:tcPr>
          <w:p w14:paraId="757DC413" w14:textId="77777777" w:rsidR="00C475C3" w:rsidRPr="00B4465C" w:rsidRDefault="00C475C3" w:rsidP="006855B5">
            <w:pPr>
              <w:jc w:val="center"/>
              <w:rPr>
                <w:rFonts w:ascii="Arial Narrow" w:hAnsi="Arial Narrow"/>
                <w:b/>
                <w:bCs/>
                <w:sz w:val="18"/>
                <w:szCs w:val="18"/>
              </w:rPr>
            </w:pPr>
          </w:p>
        </w:tc>
        <w:tc>
          <w:tcPr>
            <w:tcW w:w="1107" w:type="dxa"/>
            <w:shd w:val="clear" w:color="auto" w:fill="D9E2F3" w:themeFill="accent1" w:themeFillTint="33"/>
            <w:vAlign w:val="center"/>
          </w:tcPr>
          <w:p w14:paraId="74D7F75F" w14:textId="77777777" w:rsidR="00C475C3" w:rsidRPr="00B4465C" w:rsidRDefault="00C475C3" w:rsidP="006855B5">
            <w:pPr>
              <w:jc w:val="center"/>
              <w:rPr>
                <w:rFonts w:ascii="Arial Narrow" w:hAnsi="Arial Narrow"/>
                <w:b/>
                <w:bCs/>
                <w:sz w:val="18"/>
                <w:szCs w:val="18"/>
              </w:rPr>
            </w:pPr>
            <w:r w:rsidRPr="00B4465C">
              <w:rPr>
                <w:rFonts w:ascii="Arial Narrow" w:hAnsi="Arial Narrow"/>
                <w:b/>
                <w:bCs/>
                <w:sz w:val="18"/>
                <w:szCs w:val="18"/>
              </w:rPr>
              <w:t>Muži</w:t>
            </w:r>
          </w:p>
        </w:tc>
        <w:tc>
          <w:tcPr>
            <w:tcW w:w="1108" w:type="dxa"/>
            <w:shd w:val="clear" w:color="auto" w:fill="D9E2F3" w:themeFill="accent1" w:themeFillTint="33"/>
            <w:vAlign w:val="center"/>
          </w:tcPr>
          <w:p w14:paraId="1C39FC10" w14:textId="77777777" w:rsidR="00C475C3" w:rsidRPr="00B4465C" w:rsidRDefault="00C475C3" w:rsidP="006855B5">
            <w:pPr>
              <w:jc w:val="center"/>
              <w:rPr>
                <w:rFonts w:ascii="Arial Narrow" w:hAnsi="Arial Narrow"/>
                <w:b/>
                <w:bCs/>
                <w:sz w:val="18"/>
                <w:szCs w:val="18"/>
              </w:rPr>
            </w:pPr>
            <w:r w:rsidRPr="00B4465C">
              <w:rPr>
                <w:rFonts w:ascii="Arial Narrow" w:hAnsi="Arial Narrow"/>
                <w:b/>
                <w:bCs/>
                <w:sz w:val="18"/>
                <w:szCs w:val="18"/>
              </w:rPr>
              <w:t>Ženy</w:t>
            </w:r>
          </w:p>
        </w:tc>
        <w:tc>
          <w:tcPr>
            <w:tcW w:w="1121" w:type="dxa"/>
            <w:vMerge/>
          </w:tcPr>
          <w:p w14:paraId="7787B1B9" w14:textId="77777777" w:rsidR="00C475C3" w:rsidRPr="00B4465C" w:rsidRDefault="00C475C3" w:rsidP="006855B5">
            <w:pPr>
              <w:jc w:val="center"/>
              <w:rPr>
                <w:rFonts w:ascii="Arial Narrow" w:hAnsi="Arial Narrow"/>
                <w:b/>
                <w:bCs/>
                <w:color w:val="FFFFFF" w:themeColor="background1"/>
                <w:sz w:val="18"/>
                <w:szCs w:val="18"/>
              </w:rPr>
            </w:pPr>
          </w:p>
        </w:tc>
      </w:tr>
      <w:tr w:rsidR="00F32F86" w:rsidRPr="00B4465C" w14:paraId="64E34492" w14:textId="77777777" w:rsidTr="00F32F86">
        <w:trPr>
          <w:trHeight w:val="204"/>
        </w:trPr>
        <w:tc>
          <w:tcPr>
            <w:tcW w:w="1030" w:type="dxa"/>
            <w:shd w:val="clear" w:color="auto" w:fill="D9E2F3" w:themeFill="accent1" w:themeFillTint="33"/>
            <w:vAlign w:val="center"/>
          </w:tcPr>
          <w:p w14:paraId="41674479" w14:textId="670356FF" w:rsidR="00F32F86" w:rsidRPr="00B4465C" w:rsidRDefault="00F32F86" w:rsidP="00F32F86">
            <w:pPr>
              <w:jc w:val="center"/>
              <w:rPr>
                <w:rFonts w:ascii="Arial Narrow" w:hAnsi="Arial Narrow"/>
                <w:sz w:val="18"/>
                <w:szCs w:val="18"/>
              </w:rPr>
            </w:pPr>
            <w:r w:rsidRPr="00B4465C">
              <w:rPr>
                <w:rFonts w:ascii="Arial Narrow" w:hAnsi="Arial Narrow"/>
                <w:sz w:val="18"/>
                <w:szCs w:val="18"/>
              </w:rPr>
              <w:t>2021</w:t>
            </w:r>
          </w:p>
        </w:tc>
        <w:tc>
          <w:tcPr>
            <w:tcW w:w="1708" w:type="dxa"/>
            <w:vAlign w:val="center"/>
          </w:tcPr>
          <w:p w14:paraId="31BAB80A" w14:textId="062D5AFE" w:rsidR="00F32F86" w:rsidRPr="00B4465C" w:rsidRDefault="00F32F86" w:rsidP="00F32F86">
            <w:pPr>
              <w:jc w:val="center"/>
              <w:rPr>
                <w:rFonts w:ascii="Arial Narrow" w:eastAsia="Times New Roman" w:hAnsi="Arial Narrow" w:cs="Arial"/>
                <w:b/>
                <w:bCs/>
                <w:color w:val="000000"/>
                <w:sz w:val="18"/>
                <w:szCs w:val="18"/>
                <w:lang w:eastAsia="cs-CZ"/>
              </w:rPr>
            </w:pPr>
            <w:r w:rsidRPr="00B4465C">
              <w:rPr>
                <w:rFonts w:ascii="Arial Narrow" w:eastAsia="Times New Roman" w:hAnsi="Arial Narrow" w:cs="Arial"/>
                <w:b/>
                <w:bCs/>
                <w:color w:val="000000"/>
                <w:sz w:val="18"/>
                <w:szCs w:val="18"/>
                <w:lang w:eastAsia="cs-CZ"/>
              </w:rPr>
              <w:t>51 808</w:t>
            </w:r>
          </w:p>
        </w:tc>
        <w:tc>
          <w:tcPr>
            <w:tcW w:w="2745" w:type="dxa"/>
            <w:vAlign w:val="center"/>
          </w:tcPr>
          <w:p w14:paraId="6333288E" w14:textId="15087A66"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3CA7B005" w14:textId="014C5068" w:rsidR="00F32F86" w:rsidRPr="00B4465C" w:rsidRDefault="00F32F86" w:rsidP="00F32F86">
            <w:pPr>
              <w:jc w:val="center"/>
              <w:rPr>
                <w:rFonts w:ascii="Arial Narrow" w:eastAsia="Times New Roman" w:hAnsi="Arial Narrow" w:cs="Arial"/>
                <w:color w:val="000000"/>
                <w:sz w:val="18"/>
                <w:szCs w:val="18"/>
                <w:lang w:eastAsia="cs-CZ"/>
              </w:rPr>
            </w:pPr>
            <w:r w:rsidRPr="00B4465C">
              <w:rPr>
                <w:rFonts w:ascii="Arial Narrow" w:eastAsia="Times New Roman" w:hAnsi="Arial Narrow" w:cs="Arial"/>
                <w:color w:val="000000"/>
                <w:sz w:val="18"/>
                <w:szCs w:val="18"/>
                <w:lang w:eastAsia="cs-CZ"/>
              </w:rPr>
              <w:t>25 533</w:t>
            </w:r>
          </w:p>
        </w:tc>
        <w:tc>
          <w:tcPr>
            <w:tcW w:w="1108" w:type="dxa"/>
            <w:vAlign w:val="center"/>
          </w:tcPr>
          <w:p w14:paraId="081880E4" w14:textId="67B565D8" w:rsidR="00F32F86" w:rsidRPr="00B4465C" w:rsidRDefault="00F32F86" w:rsidP="00F32F86">
            <w:pPr>
              <w:jc w:val="center"/>
              <w:rPr>
                <w:rFonts w:ascii="Arial Narrow" w:eastAsia="Times New Roman" w:hAnsi="Arial Narrow" w:cs="Arial"/>
                <w:color w:val="000000"/>
                <w:sz w:val="18"/>
                <w:szCs w:val="18"/>
                <w:lang w:eastAsia="cs-CZ"/>
              </w:rPr>
            </w:pPr>
            <w:r w:rsidRPr="00B4465C">
              <w:rPr>
                <w:rFonts w:ascii="Arial Narrow" w:eastAsia="Times New Roman" w:hAnsi="Arial Narrow" w:cs="Arial"/>
                <w:color w:val="000000"/>
                <w:sz w:val="18"/>
                <w:szCs w:val="18"/>
                <w:lang w:eastAsia="cs-CZ"/>
              </w:rPr>
              <w:t>26 275</w:t>
            </w:r>
          </w:p>
        </w:tc>
        <w:tc>
          <w:tcPr>
            <w:tcW w:w="1121" w:type="dxa"/>
            <w:vAlign w:val="center"/>
          </w:tcPr>
          <w:p w14:paraId="2F1572D6" w14:textId="3510F4EC" w:rsidR="00F32F86" w:rsidRPr="00B4465C" w:rsidRDefault="00F32F86" w:rsidP="00F32F86">
            <w:pPr>
              <w:jc w:val="center"/>
              <w:rPr>
                <w:rFonts w:ascii="Arial Narrow" w:hAnsi="Arial Narrow"/>
                <w:sz w:val="18"/>
                <w:szCs w:val="18"/>
              </w:rPr>
            </w:pPr>
            <w:r w:rsidRPr="00B4465C">
              <w:rPr>
                <w:rFonts w:ascii="Arial Narrow" w:hAnsi="Arial Narrow"/>
                <w:sz w:val="18"/>
                <w:szCs w:val="18"/>
              </w:rPr>
              <w:t>42,6</w:t>
            </w:r>
          </w:p>
        </w:tc>
      </w:tr>
      <w:tr w:rsidR="00F32F86" w:rsidRPr="00B4465C" w14:paraId="4A137A9B" w14:textId="77777777" w:rsidTr="00F32F86">
        <w:trPr>
          <w:trHeight w:val="204"/>
        </w:trPr>
        <w:tc>
          <w:tcPr>
            <w:tcW w:w="1030" w:type="dxa"/>
            <w:shd w:val="clear" w:color="auto" w:fill="D9E2F3" w:themeFill="accent1" w:themeFillTint="33"/>
            <w:vAlign w:val="center"/>
          </w:tcPr>
          <w:p w14:paraId="1A3B9FD4"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2020</w:t>
            </w:r>
          </w:p>
        </w:tc>
        <w:tc>
          <w:tcPr>
            <w:tcW w:w="1708" w:type="dxa"/>
            <w:vAlign w:val="center"/>
          </w:tcPr>
          <w:p w14:paraId="7C6F47B4" w14:textId="77777777" w:rsidR="00F32F86" w:rsidRPr="00B4465C" w:rsidRDefault="00F32F86" w:rsidP="00F32F86">
            <w:pPr>
              <w:jc w:val="center"/>
              <w:rPr>
                <w:rFonts w:ascii="Arial Narrow" w:hAnsi="Arial Narrow"/>
                <w:b/>
                <w:bCs/>
                <w:sz w:val="18"/>
                <w:szCs w:val="18"/>
              </w:rPr>
            </w:pPr>
            <w:r w:rsidRPr="00B4465C">
              <w:rPr>
                <w:rFonts w:ascii="Arial Narrow" w:eastAsia="Times New Roman" w:hAnsi="Arial Narrow" w:cs="Arial"/>
                <w:b/>
                <w:bCs/>
                <w:color w:val="000000"/>
                <w:sz w:val="18"/>
                <w:szCs w:val="18"/>
                <w:lang w:eastAsia="cs-CZ"/>
              </w:rPr>
              <w:t>52 271</w:t>
            </w:r>
          </w:p>
        </w:tc>
        <w:tc>
          <w:tcPr>
            <w:tcW w:w="2745" w:type="dxa"/>
            <w:vAlign w:val="center"/>
          </w:tcPr>
          <w:p w14:paraId="541EAD5D"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37EDB50F"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25 805</w:t>
            </w:r>
          </w:p>
        </w:tc>
        <w:tc>
          <w:tcPr>
            <w:tcW w:w="1108" w:type="dxa"/>
            <w:vAlign w:val="center"/>
          </w:tcPr>
          <w:p w14:paraId="3547C5FC"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26 466</w:t>
            </w:r>
          </w:p>
        </w:tc>
        <w:tc>
          <w:tcPr>
            <w:tcW w:w="1121" w:type="dxa"/>
            <w:vAlign w:val="center"/>
          </w:tcPr>
          <w:p w14:paraId="1D831D9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42,5</w:t>
            </w:r>
          </w:p>
        </w:tc>
      </w:tr>
      <w:tr w:rsidR="00F32F86" w:rsidRPr="00B4465C" w14:paraId="78D065F8" w14:textId="77777777" w:rsidTr="00F32F86">
        <w:trPr>
          <w:trHeight w:val="204"/>
        </w:trPr>
        <w:tc>
          <w:tcPr>
            <w:tcW w:w="1030" w:type="dxa"/>
            <w:shd w:val="clear" w:color="auto" w:fill="D9E2F3" w:themeFill="accent1" w:themeFillTint="33"/>
            <w:vAlign w:val="center"/>
          </w:tcPr>
          <w:p w14:paraId="68536818"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2019</w:t>
            </w:r>
          </w:p>
        </w:tc>
        <w:tc>
          <w:tcPr>
            <w:tcW w:w="1708" w:type="dxa"/>
            <w:vAlign w:val="center"/>
          </w:tcPr>
          <w:p w14:paraId="62CD4E1D" w14:textId="77777777" w:rsidR="00F32F86" w:rsidRPr="00B4465C" w:rsidRDefault="00F32F86" w:rsidP="00F32F86">
            <w:pPr>
              <w:jc w:val="center"/>
              <w:rPr>
                <w:rFonts w:ascii="Arial Narrow" w:hAnsi="Arial Narrow"/>
                <w:b/>
                <w:bCs/>
                <w:sz w:val="18"/>
                <w:szCs w:val="18"/>
              </w:rPr>
            </w:pPr>
            <w:r w:rsidRPr="00B4465C">
              <w:rPr>
                <w:rFonts w:ascii="Arial Narrow" w:eastAsia="Times New Roman" w:hAnsi="Arial Narrow" w:cs="Arial"/>
                <w:b/>
                <w:bCs/>
                <w:color w:val="000000"/>
                <w:sz w:val="18"/>
                <w:szCs w:val="18"/>
                <w:lang w:eastAsia="cs-CZ"/>
              </w:rPr>
              <w:t>52 142</w:t>
            </w:r>
          </w:p>
        </w:tc>
        <w:tc>
          <w:tcPr>
            <w:tcW w:w="2745" w:type="dxa"/>
            <w:vAlign w:val="center"/>
          </w:tcPr>
          <w:p w14:paraId="793A8FDD"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56AE0F9D"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25 724</w:t>
            </w:r>
          </w:p>
        </w:tc>
        <w:tc>
          <w:tcPr>
            <w:tcW w:w="1108" w:type="dxa"/>
            <w:vAlign w:val="center"/>
          </w:tcPr>
          <w:p w14:paraId="6E99DD50"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26 418</w:t>
            </w:r>
          </w:p>
        </w:tc>
        <w:tc>
          <w:tcPr>
            <w:tcW w:w="1121" w:type="dxa"/>
            <w:vAlign w:val="center"/>
          </w:tcPr>
          <w:p w14:paraId="1FCC39C1"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42,4</w:t>
            </w:r>
          </w:p>
        </w:tc>
      </w:tr>
      <w:tr w:rsidR="00F32F86" w:rsidRPr="00B4465C" w14:paraId="17C39487" w14:textId="77777777" w:rsidTr="00F32F86">
        <w:trPr>
          <w:trHeight w:val="300"/>
        </w:trPr>
        <w:tc>
          <w:tcPr>
            <w:tcW w:w="1030" w:type="dxa"/>
            <w:shd w:val="clear" w:color="auto" w:fill="D9E2F3" w:themeFill="accent1" w:themeFillTint="33"/>
            <w:vAlign w:val="center"/>
          </w:tcPr>
          <w:p w14:paraId="6DE4D885"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2018</w:t>
            </w:r>
          </w:p>
        </w:tc>
        <w:tc>
          <w:tcPr>
            <w:tcW w:w="1708" w:type="dxa"/>
            <w:vAlign w:val="center"/>
          </w:tcPr>
          <w:p w14:paraId="7F536910" w14:textId="77777777" w:rsidR="00F32F86" w:rsidRPr="00B4465C" w:rsidRDefault="00F32F86" w:rsidP="00F32F86">
            <w:pPr>
              <w:jc w:val="center"/>
              <w:rPr>
                <w:rFonts w:ascii="Arial Narrow" w:hAnsi="Arial Narrow"/>
                <w:b/>
                <w:bCs/>
                <w:sz w:val="18"/>
                <w:szCs w:val="18"/>
              </w:rPr>
            </w:pPr>
            <w:r w:rsidRPr="00B4465C">
              <w:rPr>
                <w:rFonts w:ascii="Arial Narrow" w:eastAsia="Times New Roman" w:hAnsi="Arial Narrow" w:cs="Arial"/>
                <w:b/>
                <w:bCs/>
                <w:color w:val="000000"/>
                <w:sz w:val="18"/>
                <w:szCs w:val="18"/>
                <w:lang w:eastAsia="cs-CZ"/>
              </w:rPr>
              <w:t>52 001</w:t>
            </w:r>
          </w:p>
        </w:tc>
        <w:tc>
          <w:tcPr>
            <w:tcW w:w="2745" w:type="dxa"/>
            <w:vAlign w:val="center"/>
          </w:tcPr>
          <w:p w14:paraId="3DF289A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1C982C88"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25 663</w:t>
            </w:r>
          </w:p>
        </w:tc>
        <w:tc>
          <w:tcPr>
            <w:tcW w:w="1108" w:type="dxa"/>
            <w:vAlign w:val="center"/>
          </w:tcPr>
          <w:p w14:paraId="14F114DB"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26 338</w:t>
            </w:r>
          </w:p>
        </w:tc>
        <w:tc>
          <w:tcPr>
            <w:tcW w:w="1121" w:type="dxa"/>
            <w:vAlign w:val="center"/>
          </w:tcPr>
          <w:p w14:paraId="7FB9D8EA"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42,3</w:t>
            </w:r>
          </w:p>
        </w:tc>
      </w:tr>
      <w:tr w:rsidR="00F32F86" w:rsidRPr="00B4465C" w14:paraId="2B93F819" w14:textId="77777777" w:rsidTr="00F32F86">
        <w:trPr>
          <w:trHeight w:val="204"/>
        </w:trPr>
        <w:tc>
          <w:tcPr>
            <w:tcW w:w="1030" w:type="dxa"/>
            <w:shd w:val="clear" w:color="auto" w:fill="D9E2F3" w:themeFill="accent1" w:themeFillTint="33"/>
            <w:vAlign w:val="center"/>
          </w:tcPr>
          <w:p w14:paraId="4525BAC3"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2017</w:t>
            </w:r>
          </w:p>
        </w:tc>
        <w:tc>
          <w:tcPr>
            <w:tcW w:w="1708" w:type="dxa"/>
            <w:vAlign w:val="center"/>
          </w:tcPr>
          <w:p w14:paraId="537A9BC3" w14:textId="77777777" w:rsidR="00F32F86" w:rsidRPr="00B4465C" w:rsidRDefault="00F32F86" w:rsidP="00F32F86">
            <w:pPr>
              <w:jc w:val="center"/>
              <w:rPr>
                <w:rFonts w:ascii="Arial Narrow" w:hAnsi="Arial Narrow"/>
                <w:b/>
                <w:bCs/>
                <w:sz w:val="18"/>
                <w:szCs w:val="18"/>
              </w:rPr>
            </w:pPr>
            <w:r w:rsidRPr="00B4465C">
              <w:rPr>
                <w:rFonts w:ascii="Arial Narrow" w:eastAsia="Times New Roman" w:hAnsi="Arial Narrow" w:cs="Arial"/>
                <w:b/>
                <w:bCs/>
                <w:color w:val="000000"/>
                <w:sz w:val="18"/>
                <w:szCs w:val="18"/>
                <w:lang w:eastAsia="cs-CZ"/>
              </w:rPr>
              <w:t>51 981</w:t>
            </w:r>
          </w:p>
        </w:tc>
        <w:tc>
          <w:tcPr>
            <w:tcW w:w="2745" w:type="dxa"/>
            <w:vAlign w:val="center"/>
          </w:tcPr>
          <w:p w14:paraId="21B66846"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6DCB1680"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25 632</w:t>
            </w:r>
          </w:p>
        </w:tc>
        <w:tc>
          <w:tcPr>
            <w:tcW w:w="1108" w:type="dxa"/>
            <w:vAlign w:val="center"/>
          </w:tcPr>
          <w:p w14:paraId="232B1ADF"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26 349</w:t>
            </w:r>
          </w:p>
        </w:tc>
        <w:tc>
          <w:tcPr>
            <w:tcW w:w="1121" w:type="dxa"/>
            <w:vAlign w:val="center"/>
          </w:tcPr>
          <w:p w14:paraId="47B2A5EB"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42,2</w:t>
            </w:r>
          </w:p>
        </w:tc>
      </w:tr>
      <w:tr w:rsidR="00F32F86" w:rsidRPr="00B4465C" w14:paraId="457ED537" w14:textId="77777777" w:rsidTr="00F32F86">
        <w:trPr>
          <w:trHeight w:val="204"/>
        </w:trPr>
        <w:tc>
          <w:tcPr>
            <w:tcW w:w="1030" w:type="dxa"/>
            <w:shd w:val="clear" w:color="auto" w:fill="D9E2F3" w:themeFill="accent1" w:themeFillTint="33"/>
            <w:vAlign w:val="center"/>
          </w:tcPr>
          <w:p w14:paraId="66A194BF"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2016</w:t>
            </w:r>
          </w:p>
        </w:tc>
        <w:tc>
          <w:tcPr>
            <w:tcW w:w="1708" w:type="dxa"/>
            <w:vAlign w:val="center"/>
          </w:tcPr>
          <w:p w14:paraId="5FD45008" w14:textId="77777777" w:rsidR="00F32F86" w:rsidRPr="00B4465C" w:rsidRDefault="00F32F86" w:rsidP="00F32F86">
            <w:pPr>
              <w:jc w:val="center"/>
              <w:rPr>
                <w:rFonts w:ascii="Arial Narrow" w:hAnsi="Arial Narrow"/>
                <w:b/>
                <w:bCs/>
                <w:sz w:val="18"/>
                <w:szCs w:val="18"/>
              </w:rPr>
            </w:pPr>
            <w:r w:rsidRPr="00B4465C">
              <w:rPr>
                <w:rFonts w:ascii="Arial Narrow" w:eastAsia="Times New Roman" w:hAnsi="Arial Narrow" w:cs="Arial"/>
                <w:b/>
                <w:bCs/>
                <w:color w:val="000000"/>
                <w:sz w:val="18"/>
                <w:szCs w:val="18"/>
                <w:lang w:eastAsia="cs-CZ"/>
              </w:rPr>
              <w:t>52 011</w:t>
            </w:r>
          </w:p>
        </w:tc>
        <w:tc>
          <w:tcPr>
            <w:tcW w:w="2745" w:type="dxa"/>
            <w:vAlign w:val="center"/>
          </w:tcPr>
          <w:p w14:paraId="6F0F2B47"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33FC43F8"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25 651</w:t>
            </w:r>
          </w:p>
        </w:tc>
        <w:tc>
          <w:tcPr>
            <w:tcW w:w="1108" w:type="dxa"/>
            <w:vAlign w:val="center"/>
          </w:tcPr>
          <w:p w14:paraId="6FC860A0"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26 360</w:t>
            </w:r>
          </w:p>
        </w:tc>
        <w:tc>
          <w:tcPr>
            <w:tcW w:w="1121" w:type="dxa"/>
            <w:vAlign w:val="center"/>
          </w:tcPr>
          <w:p w14:paraId="752FCAAA" w14:textId="77777777" w:rsidR="00F32F86" w:rsidRPr="00B4465C" w:rsidRDefault="00F32F86" w:rsidP="00F32F86">
            <w:pPr>
              <w:jc w:val="center"/>
              <w:rPr>
                <w:rFonts w:ascii="Arial Narrow" w:hAnsi="Arial Narrow"/>
                <w:sz w:val="18"/>
                <w:szCs w:val="18"/>
              </w:rPr>
            </w:pPr>
            <w:r w:rsidRPr="00B4465C">
              <w:rPr>
                <w:rFonts w:ascii="Arial Narrow" w:eastAsia="Times New Roman" w:hAnsi="Arial Narrow" w:cs="Arial"/>
                <w:color w:val="000000"/>
                <w:sz w:val="18"/>
                <w:szCs w:val="18"/>
                <w:lang w:eastAsia="cs-CZ"/>
              </w:rPr>
              <w:t>42,0</w:t>
            </w:r>
          </w:p>
        </w:tc>
      </w:tr>
      <w:tr w:rsidR="00F32F86" w:rsidRPr="00B4465C" w14:paraId="2BCB17AA" w14:textId="77777777" w:rsidTr="00F32F86">
        <w:trPr>
          <w:trHeight w:val="204"/>
        </w:trPr>
        <w:tc>
          <w:tcPr>
            <w:tcW w:w="1030" w:type="dxa"/>
            <w:shd w:val="clear" w:color="auto" w:fill="D9E2F3" w:themeFill="accent1" w:themeFillTint="33"/>
            <w:vAlign w:val="center"/>
          </w:tcPr>
          <w:p w14:paraId="2DC689C1"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2015</w:t>
            </w:r>
          </w:p>
        </w:tc>
        <w:tc>
          <w:tcPr>
            <w:tcW w:w="1708" w:type="dxa"/>
            <w:vAlign w:val="center"/>
          </w:tcPr>
          <w:p w14:paraId="349F84BC"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51 942</w:t>
            </w:r>
          </w:p>
        </w:tc>
        <w:tc>
          <w:tcPr>
            <w:tcW w:w="2745" w:type="dxa"/>
            <w:vAlign w:val="center"/>
          </w:tcPr>
          <w:p w14:paraId="66B3EF0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1FE67587"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25 603</w:t>
            </w:r>
          </w:p>
        </w:tc>
        <w:tc>
          <w:tcPr>
            <w:tcW w:w="1108" w:type="dxa"/>
            <w:vAlign w:val="center"/>
          </w:tcPr>
          <w:p w14:paraId="67379189"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26 339</w:t>
            </w:r>
          </w:p>
        </w:tc>
        <w:tc>
          <w:tcPr>
            <w:tcW w:w="1121" w:type="dxa"/>
            <w:vAlign w:val="center"/>
          </w:tcPr>
          <w:p w14:paraId="59D71846"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41,8</w:t>
            </w:r>
          </w:p>
        </w:tc>
      </w:tr>
      <w:tr w:rsidR="00F32F86" w:rsidRPr="00B4465C" w14:paraId="21AA6075" w14:textId="77777777" w:rsidTr="00F32F86">
        <w:trPr>
          <w:trHeight w:val="204"/>
        </w:trPr>
        <w:tc>
          <w:tcPr>
            <w:tcW w:w="1030" w:type="dxa"/>
            <w:shd w:val="clear" w:color="auto" w:fill="D9E2F3" w:themeFill="accent1" w:themeFillTint="33"/>
            <w:vAlign w:val="center"/>
          </w:tcPr>
          <w:p w14:paraId="29578D41"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2014</w:t>
            </w:r>
          </w:p>
        </w:tc>
        <w:tc>
          <w:tcPr>
            <w:tcW w:w="1708" w:type="dxa"/>
            <w:vAlign w:val="center"/>
          </w:tcPr>
          <w:p w14:paraId="1ED2CECE"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51 887</w:t>
            </w:r>
          </w:p>
        </w:tc>
        <w:tc>
          <w:tcPr>
            <w:tcW w:w="2745" w:type="dxa"/>
            <w:vAlign w:val="center"/>
          </w:tcPr>
          <w:p w14:paraId="185486A9"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7DBEC25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25 544</w:t>
            </w:r>
          </w:p>
        </w:tc>
        <w:tc>
          <w:tcPr>
            <w:tcW w:w="1108" w:type="dxa"/>
            <w:vAlign w:val="center"/>
          </w:tcPr>
          <w:p w14:paraId="1A330968"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26 343</w:t>
            </w:r>
          </w:p>
        </w:tc>
        <w:tc>
          <w:tcPr>
            <w:tcW w:w="1121" w:type="dxa"/>
            <w:vAlign w:val="center"/>
          </w:tcPr>
          <w:p w14:paraId="32FCA749"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41,5</w:t>
            </w:r>
          </w:p>
        </w:tc>
      </w:tr>
      <w:tr w:rsidR="00F32F86" w:rsidRPr="00B4465C" w14:paraId="53109C5A" w14:textId="77777777" w:rsidTr="00F32F86">
        <w:trPr>
          <w:trHeight w:val="204"/>
        </w:trPr>
        <w:tc>
          <w:tcPr>
            <w:tcW w:w="1030" w:type="dxa"/>
            <w:shd w:val="clear" w:color="auto" w:fill="D9E2F3" w:themeFill="accent1" w:themeFillTint="33"/>
            <w:vAlign w:val="center"/>
          </w:tcPr>
          <w:p w14:paraId="2043202E"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2013</w:t>
            </w:r>
          </w:p>
        </w:tc>
        <w:tc>
          <w:tcPr>
            <w:tcW w:w="1708" w:type="dxa"/>
            <w:vAlign w:val="center"/>
          </w:tcPr>
          <w:p w14:paraId="4A36369D"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51 804</w:t>
            </w:r>
          </w:p>
        </w:tc>
        <w:tc>
          <w:tcPr>
            <w:tcW w:w="2745" w:type="dxa"/>
            <w:vAlign w:val="center"/>
          </w:tcPr>
          <w:p w14:paraId="1CD9FDD4"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71EB6AD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25 472</w:t>
            </w:r>
          </w:p>
        </w:tc>
        <w:tc>
          <w:tcPr>
            <w:tcW w:w="1108" w:type="dxa"/>
            <w:vAlign w:val="center"/>
          </w:tcPr>
          <w:p w14:paraId="6F6F4047"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26 332</w:t>
            </w:r>
          </w:p>
        </w:tc>
        <w:tc>
          <w:tcPr>
            <w:tcW w:w="1121" w:type="dxa"/>
            <w:vAlign w:val="center"/>
          </w:tcPr>
          <w:p w14:paraId="1A01D337"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41,4</w:t>
            </w:r>
          </w:p>
        </w:tc>
      </w:tr>
      <w:tr w:rsidR="00F32F86" w:rsidRPr="00B4465C" w14:paraId="0007EA16" w14:textId="77777777" w:rsidTr="00F32F86">
        <w:trPr>
          <w:trHeight w:val="204"/>
        </w:trPr>
        <w:tc>
          <w:tcPr>
            <w:tcW w:w="1030" w:type="dxa"/>
            <w:shd w:val="clear" w:color="auto" w:fill="D9E2F3" w:themeFill="accent1" w:themeFillTint="33"/>
            <w:vAlign w:val="center"/>
          </w:tcPr>
          <w:p w14:paraId="3F4B0B73"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2012</w:t>
            </w:r>
          </w:p>
        </w:tc>
        <w:tc>
          <w:tcPr>
            <w:tcW w:w="1708" w:type="dxa"/>
            <w:vAlign w:val="center"/>
          </w:tcPr>
          <w:p w14:paraId="3D03240D"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51 778</w:t>
            </w:r>
          </w:p>
        </w:tc>
        <w:tc>
          <w:tcPr>
            <w:tcW w:w="2745" w:type="dxa"/>
            <w:vAlign w:val="center"/>
          </w:tcPr>
          <w:p w14:paraId="3C8AE86E"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38039868"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25 443</w:t>
            </w:r>
          </w:p>
        </w:tc>
        <w:tc>
          <w:tcPr>
            <w:tcW w:w="1108" w:type="dxa"/>
            <w:vAlign w:val="center"/>
          </w:tcPr>
          <w:p w14:paraId="7CFA9C74"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26 335</w:t>
            </w:r>
          </w:p>
        </w:tc>
        <w:tc>
          <w:tcPr>
            <w:tcW w:w="1121" w:type="dxa"/>
            <w:vAlign w:val="center"/>
          </w:tcPr>
          <w:p w14:paraId="355103B4"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41,1</w:t>
            </w:r>
          </w:p>
        </w:tc>
      </w:tr>
      <w:tr w:rsidR="00F32F86" w:rsidRPr="00B4465C" w14:paraId="7C985C8E" w14:textId="77777777" w:rsidTr="00F32F86">
        <w:trPr>
          <w:trHeight w:val="204"/>
        </w:trPr>
        <w:tc>
          <w:tcPr>
            <w:tcW w:w="1030" w:type="dxa"/>
            <w:shd w:val="clear" w:color="auto" w:fill="D9E2F3" w:themeFill="accent1" w:themeFillTint="33"/>
            <w:vAlign w:val="center"/>
          </w:tcPr>
          <w:p w14:paraId="4AABEB5D"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2011</w:t>
            </w:r>
          </w:p>
        </w:tc>
        <w:tc>
          <w:tcPr>
            <w:tcW w:w="1708" w:type="dxa"/>
            <w:vAlign w:val="center"/>
          </w:tcPr>
          <w:p w14:paraId="4071306B"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51 581</w:t>
            </w:r>
          </w:p>
        </w:tc>
        <w:tc>
          <w:tcPr>
            <w:tcW w:w="2745" w:type="dxa"/>
            <w:vAlign w:val="center"/>
          </w:tcPr>
          <w:p w14:paraId="515B53FC"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4,4 %</w:t>
            </w:r>
          </w:p>
        </w:tc>
        <w:tc>
          <w:tcPr>
            <w:tcW w:w="1107" w:type="dxa"/>
            <w:vAlign w:val="center"/>
          </w:tcPr>
          <w:p w14:paraId="37B1BF97"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25 364</w:t>
            </w:r>
          </w:p>
        </w:tc>
        <w:tc>
          <w:tcPr>
            <w:tcW w:w="1108" w:type="dxa"/>
            <w:vAlign w:val="center"/>
          </w:tcPr>
          <w:p w14:paraId="390FE3EA"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26 217</w:t>
            </w:r>
          </w:p>
        </w:tc>
        <w:tc>
          <w:tcPr>
            <w:tcW w:w="1121" w:type="dxa"/>
            <w:vAlign w:val="center"/>
          </w:tcPr>
          <w:p w14:paraId="31A75C9A"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40,8</w:t>
            </w:r>
          </w:p>
        </w:tc>
      </w:tr>
      <w:tr w:rsidR="00F32F86" w:rsidRPr="00B4465C" w14:paraId="573BFA87" w14:textId="77777777" w:rsidTr="00F32F86">
        <w:trPr>
          <w:trHeight w:val="204"/>
        </w:trPr>
        <w:tc>
          <w:tcPr>
            <w:tcW w:w="1030" w:type="dxa"/>
            <w:shd w:val="clear" w:color="auto" w:fill="D9E2F3" w:themeFill="accent1" w:themeFillTint="33"/>
            <w:vAlign w:val="center"/>
          </w:tcPr>
          <w:p w14:paraId="7C23A0E7"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2010</w:t>
            </w:r>
          </w:p>
        </w:tc>
        <w:tc>
          <w:tcPr>
            <w:tcW w:w="1708" w:type="dxa"/>
            <w:vAlign w:val="center"/>
          </w:tcPr>
          <w:p w14:paraId="7DE0BEB7"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51 658</w:t>
            </w:r>
          </w:p>
        </w:tc>
        <w:tc>
          <w:tcPr>
            <w:tcW w:w="2745" w:type="dxa"/>
            <w:vAlign w:val="center"/>
          </w:tcPr>
          <w:p w14:paraId="32017BFA"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4,5 %</w:t>
            </w:r>
          </w:p>
        </w:tc>
        <w:tc>
          <w:tcPr>
            <w:tcW w:w="1107" w:type="dxa"/>
            <w:vAlign w:val="center"/>
          </w:tcPr>
          <w:p w14:paraId="7DFDE548"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25 358</w:t>
            </w:r>
          </w:p>
        </w:tc>
        <w:tc>
          <w:tcPr>
            <w:tcW w:w="1108" w:type="dxa"/>
            <w:vAlign w:val="center"/>
          </w:tcPr>
          <w:p w14:paraId="1051F598"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26 300</w:t>
            </w:r>
          </w:p>
        </w:tc>
        <w:tc>
          <w:tcPr>
            <w:tcW w:w="1121" w:type="dxa"/>
            <w:vAlign w:val="center"/>
          </w:tcPr>
          <w:p w14:paraId="3347740E"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40,7</w:t>
            </w:r>
          </w:p>
        </w:tc>
      </w:tr>
      <w:tr w:rsidR="00F32F86" w:rsidRPr="00B4465C" w14:paraId="583C2FFD" w14:textId="77777777" w:rsidTr="00F32F86">
        <w:trPr>
          <w:trHeight w:val="204"/>
        </w:trPr>
        <w:tc>
          <w:tcPr>
            <w:tcW w:w="1030" w:type="dxa"/>
            <w:shd w:val="clear" w:color="auto" w:fill="D9E2F3" w:themeFill="accent1" w:themeFillTint="33"/>
            <w:vAlign w:val="center"/>
          </w:tcPr>
          <w:p w14:paraId="3306E4C9"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2009</w:t>
            </w:r>
          </w:p>
        </w:tc>
        <w:tc>
          <w:tcPr>
            <w:tcW w:w="1708" w:type="dxa"/>
            <w:vAlign w:val="center"/>
          </w:tcPr>
          <w:p w14:paraId="2A83C165"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51 524</w:t>
            </w:r>
          </w:p>
        </w:tc>
        <w:tc>
          <w:tcPr>
            <w:tcW w:w="2745" w:type="dxa"/>
            <w:vAlign w:val="center"/>
          </w:tcPr>
          <w:p w14:paraId="1B9F1962"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4,5 %</w:t>
            </w:r>
          </w:p>
        </w:tc>
        <w:tc>
          <w:tcPr>
            <w:tcW w:w="1107" w:type="dxa"/>
            <w:vAlign w:val="center"/>
          </w:tcPr>
          <w:p w14:paraId="419D8856"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25 309</w:t>
            </w:r>
          </w:p>
        </w:tc>
        <w:tc>
          <w:tcPr>
            <w:tcW w:w="1108" w:type="dxa"/>
            <w:vAlign w:val="center"/>
          </w:tcPr>
          <w:p w14:paraId="53842CDF"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26 215</w:t>
            </w:r>
          </w:p>
        </w:tc>
        <w:tc>
          <w:tcPr>
            <w:tcW w:w="1121" w:type="dxa"/>
            <w:vAlign w:val="center"/>
          </w:tcPr>
          <w:p w14:paraId="10BA5AD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40,5</w:t>
            </w:r>
          </w:p>
        </w:tc>
      </w:tr>
      <w:tr w:rsidR="00F32F86" w:rsidRPr="00B4465C" w14:paraId="119AF960" w14:textId="77777777" w:rsidTr="00F32F86">
        <w:trPr>
          <w:trHeight w:val="204"/>
        </w:trPr>
        <w:tc>
          <w:tcPr>
            <w:tcW w:w="1030" w:type="dxa"/>
            <w:shd w:val="clear" w:color="auto" w:fill="D9E2F3" w:themeFill="accent1" w:themeFillTint="33"/>
            <w:vAlign w:val="center"/>
          </w:tcPr>
          <w:p w14:paraId="1809F21A"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2008</w:t>
            </w:r>
          </w:p>
        </w:tc>
        <w:tc>
          <w:tcPr>
            <w:tcW w:w="1708" w:type="dxa"/>
            <w:vAlign w:val="center"/>
          </w:tcPr>
          <w:p w14:paraId="50998638"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51 206</w:t>
            </w:r>
          </w:p>
        </w:tc>
        <w:tc>
          <w:tcPr>
            <w:tcW w:w="2745" w:type="dxa"/>
            <w:vAlign w:val="center"/>
          </w:tcPr>
          <w:p w14:paraId="2CBEE3B8"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4,5 %</w:t>
            </w:r>
          </w:p>
        </w:tc>
        <w:tc>
          <w:tcPr>
            <w:tcW w:w="1107" w:type="dxa"/>
            <w:vAlign w:val="center"/>
          </w:tcPr>
          <w:p w14:paraId="3232C75C"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25 145</w:t>
            </w:r>
          </w:p>
        </w:tc>
        <w:tc>
          <w:tcPr>
            <w:tcW w:w="1108" w:type="dxa"/>
            <w:vAlign w:val="center"/>
          </w:tcPr>
          <w:p w14:paraId="6116F321"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26 061</w:t>
            </w:r>
          </w:p>
        </w:tc>
        <w:tc>
          <w:tcPr>
            <w:tcW w:w="1121" w:type="dxa"/>
            <w:vAlign w:val="center"/>
          </w:tcPr>
          <w:p w14:paraId="487A299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40,3</w:t>
            </w:r>
          </w:p>
        </w:tc>
      </w:tr>
      <w:tr w:rsidR="00F32F86" w:rsidRPr="00B4465C" w14:paraId="0F9AB736" w14:textId="77777777" w:rsidTr="00F32F86">
        <w:trPr>
          <w:trHeight w:val="204"/>
        </w:trPr>
        <w:tc>
          <w:tcPr>
            <w:tcW w:w="1030" w:type="dxa"/>
            <w:shd w:val="clear" w:color="auto" w:fill="D9E2F3" w:themeFill="accent1" w:themeFillTint="33"/>
            <w:vAlign w:val="center"/>
          </w:tcPr>
          <w:p w14:paraId="015D9818"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2007</w:t>
            </w:r>
          </w:p>
        </w:tc>
        <w:tc>
          <w:tcPr>
            <w:tcW w:w="1708" w:type="dxa"/>
            <w:vAlign w:val="center"/>
          </w:tcPr>
          <w:p w14:paraId="7EA07761"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50 905</w:t>
            </w:r>
          </w:p>
        </w:tc>
        <w:tc>
          <w:tcPr>
            <w:tcW w:w="2745" w:type="dxa"/>
            <w:vAlign w:val="center"/>
          </w:tcPr>
          <w:p w14:paraId="6D10B9F3"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4,5 %</w:t>
            </w:r>
          </w:p>
        </w:tc>
        <w:tc>
          <w:tcPr>
            <w:tcW w:w="1107" w:type="dxa"/>
            <w:vAlign w:val="center"/>
          </w:tcPr>
          <w:p w14:paraId="35BA924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24 947</w:t>
            </w:r>
          </w:p>
        </w:tc>
        <w:tc>
          <w:tcPr>
            <w:tcW w:w="1108" w:type="dxa"/>
            <w:vAlign w:val="center"/>
          </w:tcPr>
          <w:p w14:paraId="518B1A31"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25 958</w:t>
            </w:r>
          </w:p>
        </w:tc>
        <w:tc>
          <w:tcPr>
            <w:tcW w:w="1121" w:type="dxa"/>
            <w:vAlign w:val="center"/>
          </w:tcPr>
          <w:p w14:paraId="6078A68F"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40,1</w:t>
            </w:r>
          </w:p>
        </w:tc>
      </w:tr>
      <w:tr w:rsidR="00F32F86" w:rsidRPr="00B4465C" w14:paraId="5A2710AE" w14:textId="77777777" w:rsidTr="00F32F86">
        <w:trPr>
          <w:trHeight w:val="204"/>
        </w:trPr>
        <w:tc>
          <w:tcPr>
            <w:tcW w:w="1030" w:type="dxa"/>
            <w:shd w:val="clear" w:color="auto" w:fill="D9E2F3" w:themeFill="accent1" w:themeFillTint="33"/>
            <w:vAlign w:val="center"/>
          </w:tcPr>
          <w:p w14:paraId="3D733E60"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2006</w:t>
            </w:r>
          </w:p>
        </w:tc>
        <w:tc>
          <w:tcPr>
            <w:tcW w:w="1708" w:type="dxa"/>
            <w:vAlign w:val="center"/>
          </w:tcPr>
          <w:p w14:paraId="092CC5B7"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50 669</w:t>
            </w:r>
          </w:p>
        </w:tc>
        <w:tc>
          <w:tcPr>
            <w:tcW w:w="2745" w:type="dxa"/>
            <w:vAlign w:val="center"/>
          </w:tcPr>
          <w:p w14:paraId="15A9B2F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4,5 %</w:t>
            </w:r>
          </w:p>
        </w:tc>
        <w:tc>
          <w:tcPr>
            <w:tcW w:w="1107" w:type="dxa"/>
            <w:vAlign w:val="center"/>
          </w:tcPr>
          <w:p w14:paraId="2A441530"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24 797</w:t>
            </w:r>
          </w:p>
        </w:tc>
        <w:tc>
          <w:tcPr>
            <w:tcW w:w="1108" w:type="dxa"/>
            <w:vAlign w:val="center"/>
          </w:tcPr>
          <w:p w14:paraId="10ED894A"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25 872</w:t>
            </w:r>
          </w:p>
        </w:tc>
        <w:tc>
          <w:tcPr>
            <w:tcW w:w="1121" w:type="dxa"/>
            <w:vAlign w:val="center"/>
          </w:tcPr>
          <w:p w14:paraId="03B88DDD"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39,9</w:t>
            </w:r>
          </w:p>
        </w:tc>
      </w:tr>
      <w:tr w:rsidR="00F32F86" w:rsidRPr="00B4465C" w14:paraId="11CF7933" w14:textId="77777777" w:rsidTr="00F32F86">
        <w:trPr>
          <w:trHeight w:val="204"/>
        </w:trPr>
        <w:tc>
          <w:tcPr>
            <w:tcW w:w="1030" w:type="dxa"/>
            <w:shd w:val="clear" w:color="auto" w:fill="D9E2F3" w:themeFill="accent1" w:themeFillTint="33"/>
            <w:vAlign w:val="center"/>
          </w:tcPr>
          <w:p w14:paraId="27B7C24C"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2005</w:t>
            </w:r>
          </w:p>
        </w:tc>
        <w:tc>
          <w:tcPr>
            <w:tcW w:w="1708" w:type="dxa"/>
            <w:vAlign w:val="center"/>
          </w:tcPr>
          <w:p w14:paraId="4FA5A457" w14:textId="77777777" w:rsidR="00F32F86" w:rsidRPr="00B4465C" w:rsidRDefault="00F32F86" w:rsidP="00F32F86">
            <w:pPr>
              <w:jc w:val="center"/>
              <w:rPr>
                <w:rFonts w:ascii="Arial Narrow" w:hAnsi="Arial Narrow"/>
                <w:b/>
                <w:bCs/>
                <w:sz w:val="18"/>
                <w:szCs w:val="18"/>
              </w:rPr>
            </w:pPr>
            <w:r w:rsidRPr="00B4465C">
              <w:rPr>
                <w:rFonts w:ascii="Arial Narrow" w:hAnsi="Arial Narrow"/>
                <w:b/>
                <w:bCs/>
                <w:sz w:val="18"/>
                <w:szCs w:val="18"/>
              </w:rPr>
              <w:t>50 636</w:t>
            </w:r>
          </w:p>
        </w:tc>
        <w:tc>
          <w:tcPr>
            <w:tcW w:w="2745" w:type="dxa"/>
          </w:tcPr>
          <w:p w14:paraId="209E896E" w14:textId="6E740BDC" w:rsidR="00F32F86" w:rsidRPr="00B4465C" w:rsidRDefault="00F32F86" w:rsidP="00F32F86">
            <w:pPr>
              <w:jc w:val="center"/>
              <w:rPr>
                <w:rFonts w:ascii="Arial Narrow" w:hAnsi="Arial Narrow"/>
                <w:sz w:val="18"/>
                <w:szCs w:val="18"/>
              </w:rPr>
            </w:pPr>
            <w:r w:rsidRPr="00B4465C">
              <w:rPr>
                <w:rFonts w:ascii="Arial Narrow" w:hAnsi="Arial Narrow"/>
                <w:sz w:val="18"/>
                <w:szCs w:val="18"/>
              </w:rPr>
              <w:t>4,5 %</w:t>
            </w:r>
          </w:p>
        </w:tc>
        <w:tc>
          <w:tcPr>
            <w:tcW w:w="1107" w:type="dxa"/>
            <w:vAlign w:val="center"/>
          </w:tcPr>
          <w:p w14:paraId="7D0B030B"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24 771</w:t>
            </w:r>
          </w:p>
        </w:tc>
        <w:tc>
          <w:tcPr>
            <w:tcW w:w="1108" w:type="dxa"/>
            <w:vAlign w:val="center"/>
          </w:tcPr>
          <w:p w14:paraId="2A80C524"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25 865</w:t>
            </w:r>
          </w:p>
        </w:tc>
        <w:tc>
          <w:tcPr>
            <w:tcW w:w="1121" w:type="dxa"/>
            <w:vAlign w:val="center"/>
          </w:tcPr>
          <w:p w14:paraId="2917D191" w14:textId="77777777" w:rsidR="00F32F86" w:rsidRPr="00B4465C" w:rsidRDefault="00F32F86" w:rsidP="00F32F86">
            <w:pPr>
              <w:jc w:val="center"/>
              <w:rPr>
                <w:rFonts w:ascii="Arial Narrow" w:hAnsi="Arial Narrow"/>
                <w:sz w:val="18"/>
                <w:szCs w:val="18"/>
              </w:rPr>
            </w:pPr>
            <w:r w:rsidRPr="00B4465C">
              <w:rPr>
                <w:rFonts w:ascii="Arial Narrow" w:hAnsi="Arial Narrow"/>
                <w:sz w:val="18"/>
                <w:szCs w:val="18"/>
              </w:rPr>
              <w:t>39,6</w:t>
            </w:r>
          </w:p>
        </w:tc>
      </w:tr>
    </w:tbl>
    <w:p w14:paraId="5F6964FB" w14:textId="21609318" w:rsidR="00C475C3" w:rsidRPr="00B4465C" w:rsidRDefault="00E118F1" w:rsidP="00C475C3">
      <w:pPr>
        <w:rPr>
          <w:rFonts w:ascii="Arial Narrow" w:hAnsi="Arial Narrow"/>
          <w:b/>
          <w:bCs/>
          <w:sz w:val="28"/>
          <w:szCs w:val="28"/>
        </w:rPr>
      </w:pPr>
      <w:r w:rsidRPr="00B4465C">
        <w:rPr>
          <w:rFonts w:ascii="Arial Narrow" w:hAnsi="Arial Narrow"/>
          <w:sz w:val="20"/>
          <w:szCs w:val="20"/>
        </w:rPr>
        <w:t>Zdroj: Český statistický úřad (data k 31. 12. daného roku)</w:t>
      </w:r>
      <w:r w:rsidRPr="00B4465C">
        <w:rPr>
          <w:rFonts w:ascii="Arial Narrow" w:hAnsi="Arial Narrow"/>
          <w:sz w:val="20"/>
          <w:szCs w:val="20"/>
        </w:rPr>
        <w:tab/>
      </w:r>
      <w:r w:rsidR="00C475C3" w:rsidRPr="00B4465C">
        <w:rPr>
          <w:rFonts w:ascii="Arial Narrow" w:hAnsi="Arial Narrow"/>
          <w:sz w:val="20"/>
          <w:szCs w:val="20"/>
        </w:rPr>
        <w:tab/>
      </w:r>
      <w:r w:rsidR="00C475C3" w:rsidRPr="00B4465C">
        <w:rPr>
          <w:rFonts w:ascii="Arial Narrow" w:hAnsi="Arial Narrow"/>
          <w:sz w:val="20"/>
          <w:szCs w:val="20"/>
        </w:rPr>
        <w:tab/>
      </w:r>
      <w:r w:rsidR="00C475C3" w:rsidRPr="00B4465C">
        <w:rPr>
          <w:rFonts w:ascii="Arial Narrow" w:hAnsi="Arial Narrow"/>
          <w:sz w:val="20"/>
          <w:szCs w:val="20"/>
        </w:rPr>
        <w:tab/>
        <w:t xml:space="preserve">Tabulka: AUGUR </w:t>
      </w:r>
      <w:proofErr w:type="spellStart"/>
      <w:r w:rsidR="00C475C3" w:rsidRPr="00B4465C">
        <w:rPr>
          <w:rFonts w:ascii="Arial Narrow" w:hAnsi="Arial Narrow"/>
          <w:sz w:val="20"/>
          <w:szCs w:val="20"/>
        </w:rPr>
        <w:t>Consulting</w:t>
      </w:r>
      <w:proofErr w:type="spellEnd"/>
      <w:r w:rsidR="006855B5" w:rsidRPr="00B4465C">
        <w:rPr>
          <w:rFonts w:ascii="Arial Narrow" w:hAnsi="Arial Narrow"/>
          <w:sz w:val="20"/>
          <w:szCs w:val="20"/>
        </w:rPr>
        <w:t xml:space="preserve"> s.r.o.</w:t>
      </w:r>
    </w:p>
    <w:p w14:paraId="2230CEB3" w14:textId="77777777" w:rsidR="00C475C3" w:rsidRPr="00B4465C" w:rsidRDefault="00C475C3" w:rsidP="00C475C3">
      <w:pPr>
        <w:rPr>
          <w:rFonts w:ascii="Arial Narrow" w:hAnsi="Arial Narrow"/>
        </w:rPr>
      </w:pPr>
    </w:p>
    <w:p w14:paraId="7D544530" w14:textId="15E36FC3" w:rsidR="00C475C3" w:rsidRPr="00B4465C" w:rsidRDefault="00C475C3" w:rsidP="00481579">
      <w:pPr>
        <w:pStyle w:val="Nadpis3"/>
        <w:numPr>
          <w:ilvl w:val="2"/>
          <w:numId w:val="1"/>
        </w:numPr>
        <w:ind w:hanging="321"/>
      </w:pPr>
      <w:bookmarkStart w:id="834" w:name="_Toc136876154"/>
      <w:r w:rsidRPr="00B4465C">
        <w:t>Počet osob s jinou než českou státní příslušností v ORP Vyškov v letech 2006–202</w:t>
      </w:r>
      <w:r w:rsidR="00BA6D6B">
        <w:t>3</w:t>
      </w:r>
      <w:bookmarkEnd w:id="834"/>
    </w:p>
    <w:p w14:paraId="5D2B6D48" w14:textId="77FC263E" w:rsidR="00B4465C" w:rsidRPr="00B4465C" w:rsidRDefault="00B31262" w:rsidP="00B4465C">
      <w:pPr>
        <w:spacing w:after="120" w:line="276" w:lineRule="auto"/>
        <w:jc w:val="both"/>
        <w:rPr>
          <w:rFonts w:ascii="Arial Narrow" w:hAnsi="Arial Narrow"/>
        </w:rPr>
      </w:pPr>
      <w:r w:rsidRPr="00B4465C">
        <w:rPr>
          <w:rFonts w:ascii="Arial Narrow" w:hAnsi="Arial Narrow"/>
        </w:rPr>
        <w:br/>
      </w:r>
      <w:r w:rsidR="00B4465C" w:rsidRPr="00B4465C">
        <w:rPr>
          <w:rFonts w:ascii="Arial Narrow" w:hAnsi="Arial Narrow"/>
        </w:rPr>
        <w:t xml:space="preserve">K 1.1 2023 žilo na území ORP Vyškov celkem 2 829 osob s jinou než českou státní příslušností, což představuje zhruba 5,3 % všech obyvatel ORP Vyškov. Podíl osob s jinou než českou státní příslušností na celkovém počtu obyvatel v posledních letech narůstá. Zatímco mezi lety 2006 a 2012 se pohyboval v průměru 1,86 % a mezi lety 2013 a 2018 v průměru 2,13 %, od roku 2006 do současnosti se podíl těchto osob na celkovém počtu obyvatel ORP zvýšil více než čtyřnásobně (1,2 % v roce 2006 a 5,3 % v roce 2023). </w:t>
      </w:r>
    </w:p>
    <w:p w14:paraId="660C5CC3" w14:textId="7C545B61" w:rsidR="00B4465C" w:rsidRPr="00B4465C" w:rsidRDefault="00B4465C" w:rsidP="00B4465C">
      <w:pPr>
        <w:spacing w:after="120" w:line="276" w:lineRule="auto"/>
        <w:jc w:val="both"/>
        <w:rPr>
          <w:rFonts w:ascii="Arial Narrow" w:hAnsi="Arial Narrow"/>
          <w:sz w:val="28"/>
          <w:szCs w:val="28"/>
        </w:rPr>
      </w:pPr>
      <w:r w:rsidRPr="00B4465C">
        <w:rPr>
          <w:rFonts w:ascii="Arial Narrow" w:hAnsi="Arial Narrow"/>
        </w:rPr>
        <w:lastRenderedPageBreak/>
        <w:t>Vývoj podílu osob s jinou než českou státní příslušností na celkovém počtu obyvatel ORP Vyškov v letech 2006-2023 podrobně dokumentuje graf</w:t>
      </w:r>
      <w:r w:rsidR="00E32FA2">
        <w:rPr>
          <w:rFonts w:ascii="Arial Narrow" w:hAnsi="Arial Narrow"/>
        </w:rPr>
        <w:t xml:space="preserve"> č. 131</w:t>
      </w:r>
      <w:r w:rsidRPr="00B4465C">
        <w:rPr>
          <w:rFonts w:ascii="Arial Narrow" w:hAnsi="Arial Narrow"/>
        </w:rPr>
        <w:t>.</w:t>
      </w:r>
    </w:p>
    <w:p w14:paraId="034F9D7A" w14:textId="62629AE0" w:rsidR="00B4465C" w:rsidRPr="00B4465C" w:rsidRDefault="00B4465C" w:rsidP="00B4465C">
      <w:pPr>
        <w:jc w:val="both"/>
        <w:rPr>
          <w:rFonts w:ascii="Arial Narrow" w:hAnsi="Arial Narrow"/>
          <w:b/>
          <w:sz w:val="20"/>
          <w:szCs w:val="20"/>
        </w:rPr>
      </w:pPr>
      <w:bookmarkStart w:id="835" w:name="_Toc94443821"/>
      <w:bookmarkStart w:id="836" w:name="_Toc136428975"/>
      <w:r w:rsidRPr="00B4465C">
        <w:rPr>
          <w:rFonts w:ascii="Arial Narrow" w:hAnsi="Arial Narrow"/>
          <w:b/>
          <w:sz w:val="20"/>
          <w:szCs w:val="20"/>
        </w:rPr>
        <w:t xml:space="preserve">Graf </w:t>
      </w:r>
      <w:r w:rsidRPr="00B4465C">
        <w:rPr>
          <w:rFonts w:ascii="Arial Narrow" w:hAnsi="Arial Narrow"/>
          <w:b/>
          <w:sz w:val="20"/>
          <w:szCs w:val="20"/>
        </w:rPr>
        <w:fldChar w:fldCharType="begin"/>
      </w:r>
      <w:r w:rsidRPr="00B4465C">
        <w:rPr>
          <w:rFonts w:ascii="Arial Narrow" w:hAnsi="Arial Narrow"/>
          <w:b/>
          <w:sz w:val="20"/>
          <w:szCs w:val="20"/>
        </w:rPr>
        <w:instrText xml:space="preserve"> SEQ Graf \* ARABIC </w:instrText>
      </w:r>
      <w:r w:rsidRPr="00B4465C">
        <w:rPr>
          <w:rFonts w:ascii="Arial Narrow" w:hAnsi="Arial Narrow"/>
          <w:b/>
          <w:sz w:val="20"/>
          <w:szCs w:val="20"/>
        </w:rPr>
        <w:fldChar w:fldCharType="separate"/>
      </w:r>
      <w:r w:rsidR="009F49C8">
        <w:rPr>
          <w:rFonts w:ascii="Arial Narrow" w:hAnsi="Arial Narrow"/>
          <w:b/>
          <w:noProof/>
          <w:sz w:val="20"/>
          <w:szCs w:val="20"/>
        </w:rPr>
        <w:t>131</w:t>
      </w:r>
      <w:r w:rsidRPr="00B4465C">
        <w:rPr>
          <w:rFonts w:ascii="Arial Narrow" w:hAnsi="Arial Narrow"/>
          <w:b/>
          <w:sz w:val="20"/>
          <w:szCs w:val="20"/>
        </w:rPr>
        <w:fldChar w:fldCharType="end"/>
      </w:r>
      <w:r w:rsidRPr="00B4465C">
        <w:rPr>
          <w:rFonts w:ascii="Arial Narrow" w:hAnsi="Arial Narrow"/>
          <w:b/>
          <w:sz w:val="20"/>
          <w:szCs w:val="20"/>
        </w:rPr>
        <w:t>:</w:t>
      </w:r>
      <w:r w:rsidRPr="00B4465C">
        <w:rPr>
          <w:rFonts w:ascii="Arial Narrow" w:eastAsiaTheme="minorEastAsia" w:hAnsi="Arial Narrow" w:cstheme="minorBidi"/>
          <w:b/>
          <w:bCs/>
          <w:color w:val="000000" w:themeColor="text1"/>
          <w:kern w:val="24"/>
          <w:sz w:val="20"/>
          <w:szCs w:val="20"/>
          <w:lang w:eastAsia="cs-CZ"/>
        </w:rPr>
        <w:t xml:space="preserve"> </w:t>
      </w:r>
      <w:r w:rsidRPr="00B4465C">
        <w:rPr>
          <w:rFonts w:ascii="Arial Narrow" w:hAnsi="Arial Narrow"/>
          <w:b/>
          <w:bCs/>
          <w:sz w:val="20"/>
          <w:szCs w:val="20"/>
        </w:rPr>
        <w:t>Podíl osob s jinou než českou státní příslušností na celkovém počtu obyvatel ORP Vyškov v letech 2006-202</w:t>
      </w:r>
      <w:bookmarkEnd w:id="835"/>
      <w:r w:rsidRPr="00B4465C">
        <w:rPr>
          <w:rFonts w:ascii="Arial Narrow" w:hAnsi="Arial Narrow"/>
          <w:b/>
          <w:bCs/>
          <w:sz w:val="20"/>
          <w:szCs w:val="20"/>
        </w:rPr>
        <w:t>3</w:t>
      </w:r>
      <w:bookmarkEnd w:id="836"/>
    </w:p>
    <w:p w14:paraId="205915BB" w14:textId="77777777" w:rsidR="00B4465C" w:rsidRPr="00B4465C" w:rsidRDefault="00B4465C" w:rsidP="00B4465C">
      <w:pPr>
        <w:spacing w:line="276" w:lineRule="auto"/>
        <w:rPr>
          <w:rFonts w:ascii="Arial Narrow" w:hAnsi="Arial Narrow"/>
        </w:rPr>
      </w:pPr>
      <w:r w:rsidRPr="00B4465C">
        <w:rPr>
          <w:rFonts w:ascii="Arial Narrow" w:hAnsi="Arial Narrow"/>
          <w:bCs/>
          <w:noProof/>
          <w:lang w:eastAsia="cs-CZ"/>
        </w:rPr>
        <w:drawing>
          <wp:inline distT="0" distB="0" distL="0" distR="0" wp14:anchorId="677DC2B9" wp14:editId="60637077">
            <wp:extent cx="5805170" cy="3243533"/>
            <wp:effectExtent l="0" t="0" r="508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14A37A8F" w14:textId="77777777" w:rsidR="00B4465C" w:rsidRPr="00B4465C" w:rsidRDefault="00B4465C" w:rsidP="00B4465C">
      <w:pPr>
        <w:spacing w:line="276" w:lineRule="auto"/>
        <w:rPr>
          <w:rFonts w:ascii="Arial Narrow" w:hAnsi="Arial Narrow"/>
          <w:sz w:val="20"/>
          <w:szCs w:val="20"/>
        </w:rPr>
      </w:pPr>
      <w:r w:rsidRPr="00B4465C">
        <w:rPr>
          <w:rFonts w:ascii="Arial Narrow" w:hAnsi="Arial Narrow"/>
          <w:sz w:val="20"/>
          <w:szCs w:val="20"/>
        </w:rPr>
        <w:t xml:space="preserve">Zdroj: Ministerstvo vnitra České republiky, data k 1. 1. daného roku </w:t>
      </w:r>
      <w:r w:rsidRPr="00B4465C">
        <w:rPr>
          <w:rFonts w:ascii="Arial Narrow" w:hAnsi="Arial Narrow"/>
          <w:sz w:val="20"/>
          <w:szCs w:val="20"/>
        </w:rPr>
        <w:tab/>
      </w:r>
      <w:r w:rsidRPr="00B4465C">
        <w:rPr>
          <w:rFonts w:ascii="Arial Narrow" w:hAnsi="Arial Narrow"/>
          <w:sz w:val="20"/>
          <w:szCs w:val="20"/>
        </w:rPr>
        <w:tab/>
      </w:r>
      <w:r w:rsidRPr="00B4465C">
        <w:rPr>
          <w:rFonts w:ascii="Arial Narrow" w:hAnsi="Arial Narrow"/>
          <w:sz w:val="20"/>
          <w:szCs w:val="20"/>
        </w:rPr>
        <w:tab/>
        <w:t xml:space="preserve">Graf: AUGUR </w:t>
      </w:r>
      <w:proofErr w:type="spellStart"/>
      <w:r w:rsidRPr="00B4465C">
        <w:rPr>
          <w:rFonts w:ascii="Arial Narrow" w:hAnsi="Arial Narrow"/>
          <w:sz w:val="20"/>
          <w:szCs w:val="20"/>
        </w:rPr>
        <w:t>Consulting</w:t>
      </w:r>
      <w:proofErr w:type="spellEnd"/>
      <w:r w:rsidRPr="00B4465C">
        <w:rPr>
          <w:rFonts w:ascii="Arial Narrow" w:hAnsi="Arial Narrow"/>
          <w:sz w:val="20"/>
          <w:szCs w:val="20"/>
        </w:rPr>
        <w:t xml:space="preserve"> s.r.o.</w:t>
      </w:r>
    </w:p>
    <w:p w14:paraId="5EA17F56" w14:textId="77777777" w:rsidR="00B4465C" w:rsidRPr="00B4465C" w:rsidRDefault="00B4465C" w:rsidP="00B4465C">
      <w:pPr>
        <w:spacing w:line="276" w:lineRule="auto"/>
        <w:jc w:val="both"/>
        <w:rPr>
          <w:rFonts w:ascii="Arial Narrow" w:hAnsi="Arial Narrow"/>
        </w:rPr>
      </w:pPr>
    </w:p>
    <w:p w14:paraId="2082E3CD" w14:textId="29095ADE" w:rsidR="00B4465C" w:rsidRPr="00B4465C" w:rsidRDefault="00B4465C" w:rsidP="00B4465C">
      <w:pPr>
        <w:spacing w:after="120" w:line="276" w:lineRule="auto"/>
        <w:jc w:val="both"/>
        <w:rPr>
          <w:rFonts w:ascii="Arial Narrow" w:hAnsi="Arial Narrow"/>
        </w:rPr>
      </w:pPr>
      <w:r w:rsidRPr="00B4465C">
        <w:rPr>
          <w:rFonts w:ascii="Arial Narrow" w:hAnsi="Arial Narrow"/>
        </w:rPr>
        <w:t>V populaci osob s jinou než českou státní příslušností v ORP Vyškov až do roku 2022 dlouhodobě převažoval počet mužů nad počtem žen. Podíl žen se ale dlouhodobě mírně zvyš</w:t>
      </w:r>
      <w:r>
        <w:rPr>
          <w:rFonts w:ascii="Arial Narrow" w:hAnsi="Arial Narrow"/>
        </w:rPr>
        <w:t>oval</w:t>
      </w:r>
      <w:r w:rsidRPr="00B4465C">
        <w:rPr>
          <w:rFonts w:ascii="Arial Narrow" w:hAnsi="Arial Narrow"/>
        </w:rPr>
        <w:t xml:space="preserve"> a v roce 2023 převážil nad počtem mužů. Skokový nárůst počtu žen je</w:t>
      </w:r>
      <w:r>
        <w:rPr>
          <w:rFonts w:ascii="Arial Narrow" w:hAnsi="Arial Narrow"/>
        </w:rPr>
        <w:t xml:space="preserve"> pravděpodobně</w:t>
      </w:r>
      <w:r w:rsidRPr="00B4465C">
        <w:rPr>
          <w:rFonts w:ascii="Arial Narrow" w:hAnsi="Arial Narrow"/>
        </w:rPr>
        <w:t xml:space="preserve"> způsoben příchodem </w:t>
      </w:r>
      <w:r>
        <w:rPr>
          <w:rFonts w:ascii="Arial Narrow" w:hAnsi="Arial Narrow"/>
        </w:rPr>
        <w:t>u</w:t>
      </w:r>
      <w:r w:rsidRPr="00B4465C">
        <w:rPr>
          <w:rFonts w:ascii="Arial Narrow" w:hAnsi="Arial Narrow"/>
        </w:rPr>
        <w:t xml:space="preserve">krajinských </w:t>
      </w:r>
      <w:r w:rsidR="007A5B21">
        <w:rPr>
          <w:rFonts w:ascii="Arial Narrow" w:hAnsi="Arial Narrow"/>
        </w:rPr>
        <w:t>občanů v důsledku válečného konfliktu</w:t>
      </w:r>
      <w:r w:rsidRPr="00B4465C">
        <w:rPr>
          <w:rFonts w:ascii="Arial Narrow" w:hAnsi="Arial Narrow"/>
        </w:rPr>
        <w:t xml:space="preserve">. V roce 2006 bylo procento zastoupení mužů 64,2 % oproti 35,8 % žen. V roce 2022 byl již podíl obou pohlaví téměř vyrovnaný (44,9 % žen a 55,1 % mužů) a </w:t>
      </w:r>
      <w:r>
        <w:rPr>
          <w:rFonts w:ascii="Arial Narrow" w:hAnsi="Arial Narrow"/>
        </w:rPr>
        <w:t>k 1. 1.</w:t>
      </w:r>
      <w:r w:rsidRPr="00B4465C">
        <w:rPr>
          <w:rFonts w:ascii="Arial Narrow" w:hAnsi="Arial Narrow"/>
        </w:rPr>
        <w:t xml:space="preserve"> 2023 se podíl žen zvýšil na 52,6 %. Mezi lety 2006 a 202</w:t>
      </w:r>
      <w:r>
        <w:rPr>
          <w:rFonts w:ascii="Arial Narrow" w:hAnsi="Arial Narrow"/>
        </w:rPr>
        <w:t>2</w:t>
      </w:r>
      <w:r w:rsidRPr="00B4465C">
        <w:rPr>
          <w:rFonts w:ascii="Arial Narrow" w:hAnsi="Arial Narrow"/>
        </w:rPr>
        <w:t xml:space="preserve"> se podíl žen na celkovém počtu osob s jinou než českou státní příslušností v OPR Vyškov zvýšil o 16,8 %.</w:t>
      </w:r>
      <w:r w:rsidR="00E32FA2">
        <w:rPr>
          <w:rFonts w:ascii="Arial Narrow" w:hAnsi="Arial Narrow"/>
        </w:rPr>
        <w:t xml:space="preserve"> </w:t>
      </w:r>
      <w:r w:rsidRPr="00B4465C">
        <w:rPr>
          <w:rFonts w:ascii="Arial Narrow" w:hAnsi="Arial Narrow"/>
        </w:rPr>
        <w:t>Vývoj podílu mužů a žen na celkovém počtu těchto osob v ORP Vyškov podrobně znázorňuje graf</w:t>
      </w:r>
      <w:r w:rsidR="00E32FA2">
        <w:rPr>
          <w:rFonts w:ascii="Arial Narrow" w:hAnsi="Arial Narrow"/>
        </w:rPr>
        <w:t xml:space="preserve"> č. 132</w:t>
      </w:r>
      <w:r w:rsidRPr="00B4465C">
        <w:rPr>
          <w:rFonts w:ascii="Arial Narrow" w:hAnsi="Arial Narrow"/>
        </w:rPr>
        <w:t>.</w:t>
      </w:r>
    </w:p>
    <w:p w14:paraId="37FB2443" w14:textId="77777777" w:rsidR="00767CC0" w:rsidRDefault="00767CC0" w:rsidP="00B4465C">
      <w:pPr>
        <w:spacing w:before="240" w:line="276" w:lineRule="auto"/>
        <w:jc w:val="both"/>
        <w:rPr>
          <w:rFonts w:ascii="Arial Narrow" w:hAnsi="Arial Narrow"/>
          <w:b/>
          <w:sz w:val="20"/>
          <w:szCs w:val="20"/>
        </w:rPr>
      </w:pPr>
      <w:bookmarkStart w:id="837" w:name="_Toc94443822"/>
    </w:p>
    <w:p w14:paraId="13899CAB" w14:textId="77777777" w:rsidR="00767CC0" w:rsidRDefault="00767CC0" w:rsidP="00B4465C">
      <w:pPr>
        <w:spacing w:before="240" w:line="276" w:lineRule="auto"/>
        <w:jc w:val="both"/>
        <w:rPr>
          <w:rFonts w:ascii="Arial Narrow" w:hAnsi="Arial Narrow"/>
          <w:b/>
          <w:sz w:val="20"/>
          <w:szCs w:val="20"/>
        </w:rPr>
      </w:pPr>
    </w:p>
    <w:p w14:paraId="7D28F046" w14:textId="77777777" w:rsidR="00767CC0" w:rsidRDefault="00767CC0" w:rsidP="00B4465C">
      <w:pPr>
        <w:spacing w:before="240" w:line="276" w:lineRule="auto"/>
        <w:jc w:val="both"/>
        <w:rPr>
          <w:rFonts w:ascii="Arial Narrow" w:hAnsi="Arial Narrow"/>
          <w:b/>
          <w:sz w:val="20"/>
          <w:szCs w:val="20"/>
        </w:rPr>
      </w:pPr>
    </w:p>
    <w:p w14:paraId="7DE34DC5" w14:textId="77777777" w:rsidR="00767CC0" w:rsidRDefault="00767CC0" w:rsidP="00B4465C">
      <w:pPr>
        <w:spacing w:before="240" w:line="276" w:lineRule="auto"/>
        <w:jc w:val="both"/>
        <w:rPr>
          <w:rFonts w:ascii="Arial Narrow" w:hAnsi="Arial Narrow"/>
          <w:b/>
          <w:sz w:val="20"/>
          <w:szCs w:val="20"/>
        </w:rPr>
      </w:pPr>
    </w:p>
    <w:p w14:paraId="62F045CB" w14:textId="77777777" w:rsidR="00767CC0" w:rsidRDefault="00767CC0" w:rsidP="00B4465C">
      <w:pPr>
        <w:spacing w:before="240" w:line="276" w:lineRule="auto"/>
        <w:jc w:val="both"/>
        <w:rPr>
          <w:rFonts w:ascii="Arial Narrow" w:hAnsi="Arial Narrow"/>
          <w:b/>
          <w:sz w:val="20"/>
          <w:szCs w:val="20"/>
        </w:rPr>
      </w:pPr>
    </w:p>
    <w:p w14:paraId="749C140C" w14:textId="77777777" w:rsidR="00767CC0" w:rsidRDefault="00767CC0" w:rsidP="00B4465C">
      <w:pPr>
        <w:spacing w:before="240" w:line="276" w:lineRule="auto"/>
        <w:jc w:val="both"/>
        <w:rPr>
          <w:rFonts w:ascii="Arial Narrow" w:hAnsi="Arial Narrow"/>
          <w:b/>
          <w:sz w:val="20"/>
          <w:szCs w:val="20"/>
        </w:rPr>
      </w:pPr>
    </w:p>
    <w:p w14:paraId="54E9AF34" w14:textId="77777777" w:rsidR="00767CC0" w:rsidRDefault="00767CC0" w:rsidP="00B4465C">
      <w:pPr>
        <w:spacing w:before="240" w:line="276" w:lineRule="auto"/>
        <w:jc w:val="both"/>
        <w:rPr>
          <w:rFonts w:ascii="Arial Narrow" w:hAnsi="Arial Narrow"/>
          <w:b/>
          <w:sz w:val="20"/>
          <w:szCs w:val="20"/>
        </w:rPr>
      </w:pPr>
    </w:p>
    <w:p w14:paraId="444EF6E0" w14:textId="77777777" w:rsidR="00767CC0" w:rsidRDefault="00767CC0" w:rsidP="00B4465C">
      <w:pPr>
        <w:spacing w:before="240" w:line="276" w:lineRule="auto"/>
        <w:jc w:val="both"/>
        <w:rPr>
          <w:rFonts w:ascii="Arial Narrow" w:hAnsi="Arial Narrow"/>
          <w:b/>
          <w:sz w:val="20"/>
          <w:szCs w:val="20"/>
        </w:rPr>
      </w:pPr>
    </w:p>
    <w:p w14:paraId="5869E293" w14:textId="28A16149" w:rsidR="00B4465C" w:rsidRPr="00B4465C" w:rsidRDefault="00B4465C" w:rsidP="00B4465C">
      <w:pPr>
        <w:spacing w:before="240" w:line="276" w:lineRule="auto"/>
        <w:jc w:val="both"/>
        <w:rPr>
          <w:rFonts w:ascii="Arial Narrow" w:hAnsi="Arial Narrow"/>
          <w:b/>
          <w:sz w:val="20"/>
          <w:szCs w:val="20"/>
        </w:rPr>
      </w:pPr>
      <w:bookmarkStart w:id="838" w:name="_Toc136428976"/>
      <w:r w:rsidRPr="00B4465C">
        <w:rPr>
          <w:rFonts w:ascii="Arial Narrow" w:hAnsi="Arial Narrow"/>
          <w:b/>
          <w:sz w:val="20"/>
          <w:szCs w:val="20"/>
        </w:rPr>
        <w:lastRenderedPageBreak/>
        <w:t xml:space="preserve">Graf </w:t>
      </w:r>
      <w:r w:rsidRPr="00B4465C">
        <w:rPr>
          <w:rFonts w:ascii="Arial Narrow" w:hAnsi="Arial Narrow"/>
          <w:b/>
          <w:sz w:val="20"/>
          <w:szCs w:val="20"/>
        </w:rPr>
        <w:fldChar w:fldCharType="begin"/>
      </w:r>
      <w:r w:rsidRPr="00B4465C">
        <w:rPr>
          <w:rFonts w:ascii="Arial Narrow" w:hAnsi="Arial Narrow"/>
          <w:b/>
          <w:sz w:val="20"/>
          <w:szCs w:val="20"/>
        </w:rPr>
        <w:instrText xml:space="preserve"> SEQ Graf \* ARABIC </w:instrText>
      </w:r>
      <w:r w:rsidRPr="00B4465C">
        <w:rPr>
          <w:rFonts w:ascii="Arial Narrow" w:hAnsi="Arial Narrow"/>
          <w:b/>
          <w:sz w:val="20"/>
          <w:szCs w:val="20"/>
        </w:rPr>
        <w:fldChar w:fldCharType="separate"/>
      </w:r>
      <w:r w:rsidR="009F49C8">
        <w:rPr>
          <w:rFonts w:ascii="Arial Narrow" w:hAnsi="Arial Narrow"/>
          <w:b/>
          <w:noProof/>
          <w:sz w:val="20"/>
          <w:szCs w:val="20"/>
        </w:rPr>
        <w:t>132</w:t>
      </w:r>
      <w:r w:rsidRPr="00B4465C">
        <w:rPr>
          <w:rFonts w:ascii="Arial Narrow" w:hAnsi="Arial Narrow"/>
          <w:b/>
          <w:sz w:val="20"/>
          <w:szCs w:val="20"/>
        </w:rPr>
        <w:fldChar w:fldCharType="end"/>
      </w:r>
      <w:r w:rsidRPr="00B4465C">
        <w:rPr>
          <w:rFonts w:ascii="Arial Narrow" w:hAnsi="Arial Narrow"/>
          <w:b/>
          <w:sz w:val="20"/>
          <w:szCs w:val="20"/>
        </w:rPr>
        <w:t>:</w:t>
      </w:r>
      <w:r w:rsidRPr="00B4465C">
        <w:rPr>
          <w:rFonts w:ascii="Arial Narrow" w:eastAsiaTheme="minorEastAsia" w:hAnsi="Arial Narrow" w:cstheme="minorBidi"/>
          <w:b/>
          <w:bCs/>
          <w:color w:val="000000" w:themeColor="text1"/>
          <w:kern w:val="24"/>
          <w:sz w:val="20"/>
          <w:szCs w:val="20"/>
          <w:lang w:eastAsia="cs-CZ"/>
        </w:rPr>
        <w:t xml:space="preserve"> </w:t>
      </w:r>
      <w:r w:rsidRPr="00B4465C">
        <w:rPr>
          <w:rFonts w:ascii="Arial Narrow" w:hAnsi="Arial Narrow"/>
          <w:b/>
          <w:bCs/>
          <w:sz w:val="20"/>
          <w:szCs w:val="20"/>
        </w:rPr>
        <w:t>Osoby s jinou než českou státní příslušností v ORP Vyškov podle pohlaví</w:t>
      </w:r>
      <w:bookmarkEnd w:id="837"/>
      <w:r w:rsidR="00493A7B">
        <w:rPr>
          <w:rFonts w:ascii="Arial Narrow" w:hAnsi="Arial Narrow"/>
          <w:b/>
          <w:bCs/>
          <w:sz w:val="20"/>
          <w:szCs w:val="20"/>
        </w:rPr>
        <w:t xml:space="preserve"> (k 1. 1. daného roku)</w:t>
      </w:r>
      <w:bookmarkEnd w:id="838"/>
    </w:p>
    <w:p w14:paraId="7125F698" w14:textId="77777777" w:rsidR="00B4465C" w:rsidRPr="00B4465C" w:rsidRDefault="00B4465C" w:rsidP="00B4465C">
      <w:pPr>
        <w:spacing w:line="276" w:lineRule="auto"/>
        <w:jc w:val="both"/>
        <w:rPr>
          <w:rFonts w:ascii="Arial Narrow" w:hAnsi="Arial Narrow"/>
        </w:rPr>
      </w:pPr>
      <w:r w:rsidRPr="00B4465C">
        <w:rPr>
          <w:rFonts w:ascii="Arial Narrow" w:hAnsi="Arial Narrow"/>
          <w:bCs/>
          <w:noProof/>
          <w:lang w:eastAsia="cs-CZ"/>
        </w:rPr>
        <w:drawing>
          <wp:inline distT="0" distB="0" distL="0" distR="0" wp14:anchorId="580DE617" wp14:editId="2840D6F9">
            <wp:extent cx="5756910" cy="3424687"/>
            <wp:effectExtent l="0" t="0" r="0" b="444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58721336" w14:textId="77777777" w:rsidR="00B4465C" w:rsidRPr="00B4465C" w:rsidRDefault="00B4465C" w:rsidP="00B4465C">
      <w:pPr>
        <w:rPr>
          <w:rFonts w:ascii="Arial Narrow" w:hAnsi="Arial Narrow"/>
          <w:b/>
          <w:bCs/>
          <w:sz w:val="28"/>
          <w:szCs w:val="28"/>
        </w:rPr>
      </w:pPr>
      <w:r w:rsidRPr="00B4465C">
        <w:rPr>
          <w:rFonts w:ascii="Arial Narrow" w:hAnsi="Arial Narrow"/>
          <w:color w:val="000000"/>
          <w:sz w:val="20"/>
          <w:szCs w:val="20"/>
          <w:lang w:eastAsia="cs-CZ"/>
        </w:rPr>
        <w:t xml:space="preserve">Zdroj: </w:t>
      </w:r>
      <w:r w:rsidRPr="00B4465C">
        <w:rPr>
          <w:rFonts w:ascii="Arial Narrow" w:hAnsi="Arial Narrow"/>
          <w:sz w:val="20"/>
          <w:szCs w:val="20"/>
        </w:rPr>
        <w:t>Ministerstvo vnitra České republiky</w:t>
      </w:r>
      <w:r w:rsidRPr="00B4465C">
        <w:rPr>
          <w:rFonts w:ascii="Arial Narrow" w:hAnsi="Arial Narrow"/>
          <w:sz w:val="20"/>
          <w:szCs w:val="20"/>
        </w:rPr>
        <w:tab/>
      </w:r>
      <w:r w:rsidRPr="00B4465C">
        <w:rPr>
          <w:rFonts w:ascii="Arial Narrow" w:hAnsi="Arial Narrow"/>
          <w:sz w:val="20"/>
          <w:szCs w:val="20"/>
        </w:rPr>
        <w:tab/>
      </w:r>
      <w:r w:rsidRPr="00B4465C">
        <w:rPr>
          <w:rFonts w:ascii="Arial Narrow" w:hAnsi="Arial Narrow"/>
          <w:sz w:val="20"/>
          <w:szCs w:val="20"/>
        </w:rPr>
        <w:tab/>
      </w:r>
      <w:r w:rsidRPr="00B4465C">
        <w:rPr>
          <w:rFonts w:ascii="Arial Narrow" w:hAnsi="Arial Narrow"/>
          <w:sz w:val="20"/>
          <w:szCs w:val="20"/>
        </w:rPr>
        <w:tab/>
        <w:t xml:space="preserve">                 Graf: AUGUR </w:t>
      </w:r>
      <w:proofErr w:type="spellStart"/>
      <w:r w:rsidRPr="00B4465C">
        <w:rPr>
          <w:rFonts w:ascii="Arial Narrow" w:hAnsi="Arial Narrow"/>
          <w:sz w:val="20"/>
          <w:szCs w:val="20"/>
        </w:rPr>
        <w:t>Consulting</w:t>
      </w:r>
      <w:proofErr w:type="spellEnd"/>
      <w:r w:rsidRPr="00B4465C">
        <w:rPr>
          <w:rFonts w:ascii="Arial Narrow" w:hAnsi="Arial Narrow"/>
          <w:sz w:val="20"/>
          <w:szCs w:val="20"/>
        </w:rPr>
        <w:t xml:space="preserve"> s.r.o.</w:t>
      </w:r>
    </w:p>
    <w:p w14:paraId="2B57F156" w14:textId="77777777" w:rsidR="00B4465C" w:rsidRPr="00B4465C" w:rsidRDefault="00B4465C" w:rsidP="00B4465C">
      <w:pPr>
        <w:spacing w:line="276" w:lineRule="auto"/>
        <w:jc w:val="both"/>
        <w:rPr>
          <w:rFonts w:ascii="Arial Narrow" w:hAnsi="Arial Narrow"/>
        </w:rPr>
      </w:pPr>
    </w:p>
    <w:p w14:paraId="04383571" w14:textId="30C3EF40" w:rsidR="00B4465C" w:rsidRPr="00B4465C" w:rsidRDefault="00B4465C" w:rsidP="00E32FA2">
      <w:pPr>
        <w:spacing w:line="276" w:lineRule="auto"/>
        <w:jc w:val="both"/>
        <w:rPr>
          <w:rFonts w:ascii="Arial Narrow" w:hAnsi="Arial Narrow"/>
        </w:rPr>
      </w:pPr>
      <w:r w:rsidRPr="00B4465C">
        <w:rPr>
          <w:rFonts w:ascii="Arial Narrow" w:hAnsi="Arial Narrow"/>
        </w:rPr>
        <w:t>Stejně jako roste podíl žen na celkovém počtu osob s jinou než českou státní příslušností v ORP Vyškov se meziročně mírně zvyš</w:t>
      </w:r>
      <w:r>
        <w:rPr>
          <w:rFonts w:ascii="Arial Narrow" w:hAnsi="Arial Narrow"/>
        </w:rPr>
        <w:t>oval</w:t>
      </w:r>
      <w:r w:rsidRPr="00B4465C">
        <w:rPr>
          <w:rFonts w:ascii="Arial Narrow" w:hAnsi="Arial Narrow"/>
        </w:rPr>
        <w:t xml:space="preserve"> také podíl dětí do 15 let na celkovém počtu těchto osob.</w:t>
      </w:r>
      <w:r>
        <w:rPr>
          <w:rFonts w:ascii="Arial Narrow" w:hAnsi="Arial Narrow"/>
        </w:rPr>
        <w:t xml:space="preserve"> Skokový nárůst byl zaznamenán v roce 2022.</w:t>
      </w:r>
      <w:r w:rsidRPr="00B4465C">
        <w:rPr>
          <w:rFonts w:ascii="Arial Narrow" w:hAnsi="Arial Narrow"/>
        </w:rPr>
        <w:t xml:space="preserve"> Zatímco k 1. 1. 2008 tvořily děti do 15 let celkem 3,4 % všech osob s jinou než českou státní příslušností, k 1. 1. 2023 </w:t>
      </w:r>
      <w:r>
        <w:rPr>
          <w:rFonts w:ascii="Arial Narrow" w:hAnsi="Arial Narrow"/>
        </w:rPr>
        <w:t>se jednalo o</w:t>
      </w:r>
      <w:r w:rsidRPr="00B4465C">
        <w:rPr>
          <w:rFonts w:ascii="Arial Narrow" w:hAnsi="Arial Narrow"/>
        </w:rPr>
        <w:t xml:space="preserve"> 16,8 %, což opět</w:t>
      </w:r>
      <w:r>
        <w:rPr>
          <w:rFonts w:ascii="Arial Narrow" w:hAnsi="Arial Narrow"/>
        </w:rPr>
        <w:t xml:space="preserve"> </w:t>
      </w:r>
      <w:r w:rsidRPr="00B4465C">
        <w:rPr>
          <w:rFonts w:ascii="Arial Narrow" w:hAnsi="Arial Narrow"/>
        </w:rPr>
        <w:t>souvisí s válečným konfliktem na Ukrajině.</w:t>
      </w:r>
      <w:r w:rsidR="00E32FA2">
        <w:rPr>
          <w:rFonts w:ascii="Arial Narrow" w:hAnsi="Arial Narrow"/>
        </w:rPr>
        <w:t xml:space="preserve"> </w:t>
      </w:r>
      <w:r w:rsidRPr="00B4465C">
        <w:rPr>
          <w:rFonts w:ascii="Arial Narrow" w:hAnsi="Arial Narrow"/>
        </w:rPr>
        <w:t>Vývoj počtu dětí dle pohlaví a jejich podílu na celkovém počtu osob s jinou než českou státní příslušností v ORP Vyškov podrobně znázorňuje tabulka</w:t>
      </w:r>
      <w:r w:rsidR="00E32FA2">
        <w:rPr>
          <w:rFonts w:ascii="Arial Narrow" w:hAnsi="Arial Narrow"/>
        </w:rPr>
        <w:t xml:space="preserve"> č. 65</w:t>
      </w:r>
      <w:r w:rsidRPr="00B4465C">
        <w:rPr>
          <w:rFonts w:ascii="Arial Narrow" w:hAnsi="Arial Narrow"/>
        </w:rPr>
        <w:t>.</w:t>
      </w:r>
    </w:p>
    <w:p w14:paraId="7B66E133" w14:textId="26EEE75E" w:rsidR="00B4465C" w:rsidRPr="00B4465C" w:rsidRDefault="00B4465C" w:rsidP="00B4465C">
      <w:pPr>
        <w:jc w:val="both"/>
        <w:rPr>
          <w:rFonts w:ascii="Arial Narrow" w:hAnsi="Arial Narrow"/>
          <w:b/>
          <w:sz w:val="24"/>
          <w:szCs w:val="24"/>
        </w:rPr>
      </w:pPr>
      <w:r w:rsidRPr="00B4465C">
        <w:rPr>
          <w:rFonts w:ascii="Arial Narrow" w:hAnsi="Arial Narrow"/>
          <w:b/>
          <w:bCs/>
          <w:sz w:val="20"/>
          <w:szCs w:val="20"/>
        </w:rPr>
        <w:br/>
      </w:r>
      <w:bookmarkStart w:id="839" w:name="_Toc136429276"/>
      <w:r w:rsidRPr="00B4465C">
        <w:rPr>
          <w:rFonts w:ascii="Arial Narrow" w:hAnsi="Arial Narrow"/>
          <w:b/>
          <w:bCs/>
          <w:sz w:val="20"/>
          <w:szCs w:val="20"/>
        </w:rPr>
        <w:t xml:space="preserve">Tabulka </w:t>
      </w:r>
      <w:r w:rsidRPr="00B4465C">
        <w:rPr>
          <w:rFonts w:ascii="Arial Narrow" w:hAnsi="Arial Narrow"/>
          <w:b/>
          <w:bCs/>
          <w:sz w:val="20"/>
          <w:szCs w:val="20"/>
        </w:rPr>
        <w:fldChar w:fldCharType="begin"/>
      </w:r>
      <w:r w:rsidRPr="00B4465C">
        <w:rPr>
          <w:rFonts w:ascii="Arial Narrow" w:hAnsi="Arial Narrow"/>
          <w:b/>
          <w:bCs/>
          <w:sz w:val="20"/>
          <w:szCs w:val="20"/>
        </w:rPr>
        <w:instrText xml:space="preserve"> SEQ Tabulka \* ARABIC </w:instrText>
      </w:r>
      <w:r w:rsidRPr="00B4465C">
        <w:rPr>
          <w:rFonts w:ascii="Arial Narrow" w:hAnsi="Arial Narrow"/>
          <w:b/>
          <w:bCs/>
          <w:sz w:val="20"/>
          <w:szCs w:val="20"/>
        </w:rPr>
        <w:fldChar w:fldCharType="separate"/>
      </w:r>
      <w:r w:rsidR="00256C97">
        <w:rPr>
          <w:rFonts w:ascii="Arial Narrow" w:hAnsi="Arial Narrow"/>
          <w:b/>
          <w:bCs/>
          <w:noProof/>
          <w:sz w:val="20"/>
          <w:szCs w:val="20"/>
        </w:rPr>
        <w:t>65</w:t>
      </w:r>
      <w:r w:rsidRPr="00B4465C">
        <w:rPr>
          <w:rFonts w:ascii="Arial Narrow" w:hAnsi="Arial Narrow"/>
          <w:b/>
          <w:bCs/>
          <w:sz w:val="20"/>
          <w:szCs w:val="20"/>
        </w:rPr>
        <w:fldChar w:fldCharType="end"/>
      </w:r>
      <w:r w:rsidRPr="00B4465C">
        <w:rPr>
          <w:rFonts w:ascii="Arial Narrow" w:hAnsi="Arial Narrow"/>
          <w:b/>
          <w:bCs/>
          <w:sz w:val="20"/>
          <w:szCs w:val="20"/>
        </w:rPr>
        <w:t xml:space="preserve">:  </w:t>
      </w:r>
      <w:r w:rsidRPr="00B4465C">
        <w:rPr>
          <w:rFonts w:ascii="Arial Narrow" w:eastAsia="Times New Roman" w:hAnsi="Arial Narrow" w:cs="Arial"/>
          <w:b/>
          <w:bCs/>
          <w:sz w:val="20"/>
          <w:szCs w:val="20"/>
          <w:lang w:eastAsia="cs-CZ"/>
        </w:rPr>
        <w:t>Podíl dětí ve věku do 15 let na celkovém počtu osob s jinou než českou státní příslušností v ORP Vyškov v letech 2006-2023</w:t>
      </w:r>
      <w:bookmarkEnd w:id="839"/>
    </w:p>
    <w:tbl>
      <w:tblPr>
        <w:tblpPr w:leftFromText="141" w:rightFromText="141" w:vertAnchor="text" w:tblpX="98" w:tblpY="1"/>
        <w:tblW w:w="4884"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971"/>
        <w:gridCol w:w="1655"/>
        <w:gridCol w:w="660"/>
        <w:gridCol w:w="678"/>
        <w:gridCol w:w="846"/>
        <w:gridCol w:w="714"/>
        <w:gridCol w:w="708"/>
        <w:gridCol w:w="851"/>
        <w:gridCol w:w="1769"/>
      </w:tblGrid>
      <w:tr w:rsidR="00B4465C" w:rsidRPr="00B4465C" w14:paraId="4D97D2C5" w14:textId="77777777" w:rsidTr="004A0C47">
        <w:trPr>
          <w:trHeight w:val="272"/>
        </w:trPr>
        <w:tc>
          <w:tcPr>
            <w:tcW w:w="971" w:type="dxa"/>
            <w:vMerge w:val="restart"/>
            <w:shd w:val="clear" w:color="auto" w:fill="D9E2F3" w:themeFill="accent1" w:themeFillTint="33"/>
            <w:vAlign w:val="center"/>
            <w:hideMark/>
          </w:tcPr>
          <w:p w14:paraId="34DA67BA" w14:textId="77777777" w:rsidR="00B4465C" w:rsidRPr="00B4465C" w:rsidRDefault="00B4465C" w:rsidP="004A0C47">
            <w:pPr>
              <w:jc w:val="center"/>
              <w:rPr>
                <w:rFonts w:ascii="Arial Narrow" w:eastAsia="Times New Roman" w:hAnsi="Arial Narrow" w:cs="Arial"/>
                <w:b/>
                <w:bCs/>
                <w:sz w:val="18"/>
                <w:szCs w:val="18"/>
                <w:lang w:eastAsia="cs-CZ"/>
              </w:rPr>
            </w:pPr>
            <w:r w:rsidRPr="00B4465C">
              <w:rPr>
                <w:rFonts w:ascii="Arial Narrow" w:eastAsia="Times New Roman" w:hAnsi="Arial Narrow" w:cs="Arial"/>
                <w:sz w:val="18"/>
                <w:szCs w:val="18"/>
                <w:lang w:eastAsia="cs-CZ"/>
              </w:rPr>
              <w:t>Rok</w:t>
            </w:r>
          </w:p>
          <w:p w14:paraId="39CA0A56" w14:textId="41DC3BD3" w:rsidR="00B4465C" w:rsidRPr="00B4465C" w:rsidRDefault="00493A7B" w:rsidP="004A0C47">
            <w:pPr>
              <w:jc w:val="center"/>
              <w:rPr>
                <w:rFonts w:ascii="Arial Narrow" w:hAnsi="Arial Narrow" w:cstheme="minorBidi"/>
                <w:sz w:val="18"/>
                <w:szCs w:val="18"/>
              </w:rPr>
            </w:pPr>
            <w:r>
              <w:rPr>
                <w:rFonts w:ascii="Arial Narrow" w:eastAsia="Times New Roman" w:hAnsi="Arial Narrow" w:cs="Arial"/>
                <w:sz w:val="18"/>
                <w:szCs w:val="18"/>
                <w:lang w:eastAsia="cs-CZ"/>
              </w:rPr>
              <w:t xml:space="preserve"> </w:t>
            </w:r>
            <w:r w:rsidR="00B4465C" w:rsidRPr="00B4465C">
              <w:rPr>
                <w:rFonts w:ascii="Arial Narrow" w:eastAsia="Times New Roman" w:hAnsi="Arial Narrow" w:cs="Arial"/>
                <w:sz w:val="18"/>
                <w:szCs w:val="18"/>
                <w:lang w:eastAsia="cs-CZ"/>
              </w:rPr>
              <w:t>(</w:t>
            </w:r>
            <w:r>
              <w:rPr>
                <w:rFonts w:ascii="Arial Narrow" w:eastAsia="Times New Roman" w:hAnsi="Arial Narrow" w:cs="Arial"/>
                <w:sz w:val="18"/>
                <w:szCs w:val="18"/>
                <w:lang w:eastAsia="cs-CZ"/>
              </w:rPr>
              <w:t xml:space="preserve">vždy </w:t>
            </w:r>
            <w:r>
              <w:rPr>
                <w:rFonts w:ascii="Arial Narrow" w:eastAsia="Times New Roman" w:hAnsi="Arial Narrow" w:cs="Arial"/>
                <w:sz w:val="18"/>
                <w:szCs w:val="18"/>
                <w:lang w:eastAsia="cs-CZ"/>
              </w:rPr>
              <w:br/>
            </w:r>
            <w:r w:rsidR="00B4465C" w:rsidRPr="00B4465C">
              <w:rPr>
                <w:rFonts w:ascii="Arial Narrow" w:eastAsia="Times New Roman" w:hAnsi="Arial Narrow" w:cs="Arial"/>
                <w:sz w:val="18"/>
                <w:szCs w:val="18"/>
                <w:lang w:eastAsia="cs-CZ"/>
              </w:rPr>
              <w:t>k 1. 1.)</w:t>
            </w:r>
          </w:p>
        </w:tc>
        <w:tc>
          <w:tcPr>
            <w:tcW w:w="1655" w:type="dxa"/>
            <w:vMerge w:val="restart"/>
            <w:shd w:val="clear" w:color="auto" w:fill="D9E2F3" w:themeFill="accent1" w:themeFillTint="33"/>
            <w:vAlign w:val="center"/>
            <w:hideMark/>
          </w:tcPr>
          <w:p w14:paraId="16FB4ED3" w14:textId="77777777" w:rsidR="00B4465C" w:rsidRPr="00B4465C" w:rsidRDefault="00B4465C" w:rsidP="004A0C47">
            <w:pPr>
              <w:jc w:val="center"/>
              <w:rPr>
                <w:rFonts w:ascii="Arial Narrow" w:hAnsi="Arial Narrow"/>
                <w:sz w:val="18"/>
                <w:szCs w:val="18"/>
              </w:rPr>
            </w:pPr>
            <w:r w:rsidRPr="00B4465C">
              <w:rPr>
                <w:rFonts w:ascii="Arial Narrow" w:eastAsia="Times New Roman" w:hAnsi="Arial Narrow" w:cs="Arial"/>
                <w:sz w:val="18"/>
                <w:szCs w:val="18"/>
                <w:lang w:eastAsia="cs-CZ"/>
              </w:rPr>
              <w:t>Osoby s jinou než českou státní příslušností – celkem</w:t>
            </w:r>
          </w:p>
        </w:tc>
        <w:tc>
          <w:tcPr>
            <w:tcW w:w="2184" w:type="dxa"/>
            <w:gridSpan w:val="3"/>
            <w:shd w:val="clear" w:color="auto" w:fill="D9E2F3" w:themeFill="accent1" w:themeFillTint="33"/>
            <w:vAlign w:val="center"/>
            <w:hideMark/>
          </w:tcPr>
          <w:p w14:paraId="420BB65D" w14:textId="77777777" w:rsidR="00B4465C" w:rsidRPr="00B4465C" w:rsidRDefault="00B4465C" w:rsidP="004A0C47">
            <w:pPr>
              <w:jc w:val="center"/>
              <w:rPr>
                <w:rFonts w:ascii="Arial Narrow" w:hAnsi="Arial Narrow"/>
                <w:b/>
                <w:bCs/>
                <w:sz w:val="18"/>
                <w:szCs w:val="18"/>
              </w:rPr>
            </w:pPr>
            <w:r w:rsidRPr="00B4465C">
              <w:rPr>
                <w:rFonts w:ascii="Arial Narrow" w:eastAsia="Times New Roman" w:hAnsi="Arial Narrow" w:cs="Arial"/>
                <w:b/>
                <w:bCs/>
                <w:sz w:val="18"/>
                <w:szCs w:val="18"/>
                <w:lang w:eastAsia="cs-CZ"/>
              </w:rPr>
              <w:t>Muži</w:t>
            </w:r>
          </w:p>
        </w:tc>
        <w:tc>
          <w:tcPr>
            <w:tcW w:w="2273" w:type="dxa"/>
            <w:gridSpan w:val="3"/>
            <w:shd w:val="clear" w:color="auto" w:fill="D9E2F3" w:themeFill="accent1" w:themeFillTint="33"/>
            <w:vAlign w:val="center"/>
            <w:hideMark/>
          </w:tcPr>
          <w:p w14:paraId="565FF316" w14:textId="77777777" w:rsidR="00B4465C" w:rsidRPr="00B4465C" w:rsidRDefault="00B4465C" w:rsidP="004A0C47">
            <w:pPr>
              <w:jc w:val="center"/>
              <w:rPr>
                <w:rFonts w:ascii="Arial Narrow" w:hAnsi="Arial Narrow"/>
                <w:b/>
                <w:bCs/>
                <w:sz w:val="18"/>
                <w:szCs w:val="18"/>
              </w:rPr>
            </w:pPr>
            <w:r w:rsidRPr="00B4465C">
              <w:rPr>
                <w:rFonts w:ascii="Arial Narrow" w:eastAsia="Times New Roman" w:hAnsi="Arial Narrow" w:cs="Arial"/>
                <w:b/>
                <w:bCs/>
                <w:sz w:val="18"/>
                <w:szCs w:val="18"/>
                <w:lang w:eastAsia="cs-CZ"/>
              </w:rPr>
              <w:t>Ženy</w:t>
            </w:r>
          </w:p>
        </w:tc>
        <w:tc>
          <w:tcPr>
            <w:tcW w:w="1769" w:type="dxa"/>
            <w:vMerge w:val="restart"/>
            <w:shd w:val="clear" w:color="auto" w:fill="D9E2F3" w:themeFill="accent1" w:themeFillTint="33"/>
            <w:vAlign w:val="center"/>
          </w:tcPr>
          <w:p w14:paraId="39FD8303" w14:textId="77777777" w:rsidR="00B4465C" w:rsidRPr="00B4465C" w:rsidRDefault="00B4465C" w:rsidP="004A0C47">
            <w:pPr>
              <w:jc w:val="center"/>
              <w:rPr>
                <w:rFonts w:ascii="Arial Narrow" w:eastAsia="Times New Roman" w:hAnsi="Arial Narrow" w:cs="Arial"/>
                <w:sz w:val="18"/>
                <w:szCs w:val="18"/>
                <w:lang w:eastAsia="cs-CZ"/>
              </w:rPr>
            </w:pPr>
            <w:r w:rsidRPr="00B4465C">
              <w:rPr>
                <w:rFonts w:ascii="Arial Narrow" w:eastAsia="Times New Roman" w:hAnsi="Arial Narrow" w:cs="Arial"/>
                <w:sz w:val="18"/>
                <w:szCs w:val="18"/>
                <w:lang w:eastAsia="cs-CZ"/>
              </w:rPr>
              <w:t>Podíl dětí ve věku do 15 let na celkovém počtu osob s jinou než českou státní příslušností</w:t>
            </w:r>
          </w:p>
        </w:tc>
      </w:tr>
      <w:tr w:rsidR="00B4465C" w:rsidRPr="00B4465C" w14:paraId="4C0281F0" w14:textId="77777777" w:rsidTr="004A0C47">
        <w:trPr>
          <w:trHeight w:val="204"/>
        </w:trPr>
        <w:tc>
          <w:tcPr>
            <w:tcW w:w="971" w:type="dxa"/>
            <w:vMerge/>
            <w:shd w:val="clear" w:color="auto" w:fill="D9E2F3" w:themeFill="accent1" w:themeFillTint="33"/>
            <w:vAlign w:val="center"/>
            <w:hideMark/>
          </w:tcPr>
          <w:p w14:paraId="547DB0BF" w14:textId="77777777" w:rsidR="00B4465C" w:rsidRPr="00B4465C" w:rsidRDefault="00B4465C" w:rsidP="004A0C47">
            <w:pPr>
              <w:jc w:val="center"/>
              <w:rPr>
                <w:rFonts w:ascii="Arial Narrow" w:hAnsi="Arial Narrow"/>
                <w:sz w:val="18"/>
                <w:szCs w:val="18"/>
              </w:rPr>
            </w:pPr>
          </w:p>
        </w:tc>
        <w:tc>
          <w:tcPr>
            <w:tcW w:w="1655" w:type="dxa"/>
            <w:vMerge/>
            <w:shd w:val="clear" w:color="auto" w:fill="D9E2F3" w:themeFill="accent1" w:themeFillTint="33"/>
            <w:vAlign w:val="center"/>
            <w:hideMark/>
          </w:tcPr>
          <w:p w14:paraId="74F27FC7" w14:textId="77777777" w:rsidR="00B4465C" w:rsidRPr="00B4465C" w:rsidRDefault="00B4465C" w:rsidP="004A0C47">
            <w:pPr>
              <w:jc w:val="center"/>
              <w:rPr>
                <w:rFonts w:ascii="Arial Narrow" w:hAnsi="Arial Narrow"/>
                <w:sz w:val="18"/>
                <w:szCs w:val="18"/>
              </w:rPr>
            </w:pPr>
          </w:p>
        </w:tc>
        <w:tc>
          <w:tcPr>
            <w:tcW w:w="660" w:type="dxa"/>
            <w:shd w:val="clear" w:color="auto" w:fill="D9E2F3" w:themeFill="accent1" w:themeFillTint="33"/>
            <w:vAlign w:val="center"/>
            <w:hideMark/>
          </w:tcPr>
          <w:p w14:paraId="161CE0D1" w14:textId="77777777" w:rsidR="00B4465C" w:rsidRPr="00B4465C" w:rsidRDefault="00B4465C" w:rsidP="004A0C47">
            <w:pPr>
              <w:jc w:val="center"/>
              <w:rPr>
                <w:rFonts w:ascii="Arial Narrow" w:hAnsi="Arial Narrow"/>
                <w:sz w:val="18"/>
                <w:szCs w:val="18"/>
              </w:rPr>
            </w:pPr>
            <w:r w:rsidRPr="00B4465C">
              <w:rPr>
                <w:rFonts w:ascii="Arial Narrow" w:eastAsia="Times New Roman" w:hAnsi="Arial Narrow" w:cs="Arial"/>
                <w:sz w:val="18"/>
                <w:szCs w:val="18"/>
                <w:lang w:eastAsia="cs-CZ"/>
              </w:rPr>
              <w:t>Nad 15</w:t>
            </w:r>
          </w:p>
        </w:tc>
        <w:tc>
          <w:tcPr>
            <w:tcW w:w="678" w:type="dxa"/>
            <w:shd w:val="clear" w:color="auto" w:fill="D9E2F3" w:themeFill="accent1" w:themeFillTint="33"/>
            <w:vAlign w:val="center"/>
            <w:hideMark/>
          </w:tcPr>
          <w:p w14:paraId="6CE97E93" w14:textId="77777777" w:rsidR="00B4465C" w:rsidRPr="00B4465C" w:rsidRDefault="00B4465C" w:rsidP="004A0C47">
            <w:pPr>
              <w:jc w:val="center"/>
              <w:rPr>
                <w:rFonts w:ascii="Arial Narrow" w:hAnsi="Arial Narrow"/>
                <w:sz w:val="18"/>
                <w:szCs w:val="18"/>
              </w:rPr>
            </w:pPr>
            <w:r w:rsidRPr="00B4465C">
              <w:rPr>
                <w:rFonts w:ascii="Arial Narrow" w:eastAsia="Times New Roman" w:hAnsi="Arial Narrow" w:cs="Arial"/>
                <w:sz w:val="18"/>
                <w:szCs w:val="18"/>
                <w:lang w:eastAsia="cs-CZ"/>
              </w:rPr>
              <w:t>Do 15</w:t>
            </w:r>
          </w:p>
        </w:tc>
        <w:tc>
          <w:tcPr>
            <w:tcW w:w="846" w:type="dxa"/>
            <w:shd w:val="clear" w:color="auto" w:fill="D9E2F3" w:themeFill="accent1" w:themeFillTint="33"/>
            <w:vAlign w:val="center"/>
            <w:hideMark/>
          </w:tcPr>
          <w:p w14:paraId="54A9C6A3" w14:textId="77777777" w:rsidR="00B4465C" w:rsidRPr="00B4465C" w:rsidRDefault="00B4465C" w:rsidP="004A0C47">
            <w:pPr>
              <w:jc w:val="center"/>
              <w:rPr>
                <w:rFonts w:ascii="Arial Narrow" w:hAnsi="Arial Narrow"/>
                <w:sz w:val="18"/>
                <w:szCs w:val="18"/>
              </w:rPr>
            </w:pPr>
            <w:r w:rsidRPr="00B4465C">
              <w:rPr>
                <w:rFonts w:ascii="Arial Narrow" w:eastAsia="Times New Roman" w:hAnsi="Arial Narrow" w:cs="Arial"/>
                <w:sz w:val="18"/>
                <w:szCs w:val="18"/>
                <w:lang w:eastAsia="cs-CZ"/>
              </w:rPr>
              <w:t>Celkem</w:t>
            </w:r>
          </w:p>
        </w:tc>
        <w:tc>
          <w:tcPr>
            <w:tcW w:w="714" w:type="dxa"/>
            <w:shd w:val="clear" w:color="auto" w:fill="D9E2F3" w:themeFill="accent1" w:themeFillTint="33"/>
            <w:vAlign w:val="center"/>
            <w:hideMark/>
          </w:tcPr>
          <w:p w14:paraId="10363129" w14:textId="77777777" w:rsidR="00B4465C" w:rsidRPr="00B4465C" w:rsidRDefault="00B4465C" w:rsidP="004A0C47">
            <w:pPr>
              <w:jc w:val="center"/>
              <w:rPr>
                <w:rFonts w:ascii="Arial Narrow" w:hAnsi="Arial Narrow"/>
                <w:sz w:val="18"/>
                <w:szCs w:val="18"/>
              </w:rPr>
            </w:pPr>
            <w:r w:rsidRPr="00B4465C">
              <w:rPr>
                <w:rFonts w:ascii="Arial Narrow" w:eastAsia="Times New Roman" w:hAnsi="Arial Narrow" w:cs="Arial"/>
                <w:sz w:val="18"/>
                <w:szCs w:val="18"/>
                <w:lang w:eastAsia="cs-CZ"/>
              </w:rPr>
              <w:t>Nad 15</w:t>
            </w:r>
          </w:p>
        </w:tc>
        <w:tc>
          <w:tcPr>
            <w:tcW w:w="708" w:type="dxa"/>
            <w:shd w:val="clear" w:color="auto" w:fill="D9E2F3" w:themeFill="accent1" w:themeFillTint="33"/>
            <w:vAlign w:val="center"/>
            <w:hideMark/>
          </w:tcPr>
          <w:p w14:paraId="0A08B27D" w14:textId="77777777" w:rsidR="00B4465C" w:rsidRPr="00B4465C" w:rsidRDefault="00B4465C" w:rsidP="004A0C47">
            <w:pPr>
              <w:jc w:val="center"/>
              <w:rPr>
                <w:rFonts w:ascii="Arial Narrow" w:hAnsi="Arial Narrow"/>
                <w:sz w:val="18"/>
                <w:szCs w:val="18"/>
              </w:rPr>
            </w:pPr>
            <w:r w:rsidRPr="00B4465C">
              <w:rPr>
                <w:rFonts w:ascii="Arial Narrow" w:eastAsia="Times New Roman" w:hAnsi="Arial Narrow" w:cs="Arial"/>
                <w:sz w:val="18"/>
                <w:szCs w:val="18"/>
                <w:lang w:eastAsia="cs-CZ"/>
              </w:rPr>
              <w:t>Do 15</w:t>
            </w:r>
          </w:p>
        </w:tc>
        <w:tc>
          <w:tcPr>
            <w:tcW w:w="851" w:type="dxa"/>
            <w:shd w:val="clear" w:color="auto" w:fill="D9E2F3" w:themeFill="accent1" w:themeFillTint="33"/>
            <w:vAlign w:val="center"/>
            <w:hideMark/>
          </w:tcPr>
          <w:p w14:paraId="0AB4088E" w14:textId="77777777" w:rsidR="00B4465C" w:rsidRPr="00B4465C" w:rsidRDefault="00B4465C" w:rsidP="004A0C47">
            <w:pPr>
              <w:jc w:val="center"/>
              <w:rPr>
                <w:rFonts w:ascii="Arial Narrow" w:hAnsi="Arial Narrow"/>
                <w:sz w:val="18"/>
                <w:szCs w:val="18"/>
              </w:rPr>
            </w:pPr>
            <w:r w:rsidRPr="00B4465C">
              <w:rPr>
                <w:rFonts w:ascii="Arial Narrow" w:eastAsia="Times New Roman" w:hAnsi="Arial Narrow" w:cs="Arial"/>
                <w:sz w:val="18"/>
                <w:szCs w:val="18"/>
                <w:lang w:eastAsia="cs-CZ"/>
              </w:rPr>
              <w:t>Celkem</w:t>
            </w:r>
          </w:p>
        </w:tc>
        <w:tc>
          <w:tcPr>
            <w:tcW w:w="1769" w:type="dxa"/>
            <w:vMerge/>
            <w:shd w:val="clear" w:color="auto" w:fill="D9E2F3" w:themeFill="accent1" w:themeFillTint="33"/>
          </w:tcPr>
          <w:p w14:paraId="37B8EA55" w14:textId="77777777" w:rsidR="00B4465C" w:rsidRPr="00B4465C" w:rsidRDefault="00B4465C" w:rsidP="004A0C47">
            <w:pPr>
              <w:jc w:val="center"/>
              <w:rPr>
                <w:rFonts w:ascii="Arial Narrow" w:eastAsia="Times New Roman" w:hAnsi="Arial Narrow" w:cs="Arial"/>
                <w:b/>
                <w:bCs/>
                <w:sz w:val="18"/>
                <w:szCs w:val="18"/>
                <w:lang w:eastAsia="cs-CZ"/>
              </w:rPr>
            </w:pPr>
          </w:p>
        </w:tc>
      </w:tr>
      <w:tr w:rsidR="00B4465C" w:rsidRPr="00B4465C" w14:paraId="74C971A2" w14:textId="77777777" w:rsidTr="004A0C47">
        <w:trPr>
          <w:trHeight w:val="204"/>
        </w:trPr>
        <w:tc>
          <w:tcPr>
            <w:tcW w:w="971" w:type="dxa"/>
            <w:shd w:val="clear" w:color="auto" w:fill="D9E2F3" w:themeFill="accent1" w:themeFillTint="33"/>
          </w:tcPr>
          <w:p w14:paraId="173FC3D5"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2023</w:t>
            </w:r>
          </w:p>
        </w:tc>
        <w:tc>
          <w:tcPr>
            <w:tcW w:w="1655" w:type="dxa"/>
            <w:vAlign w:val="center"/>
          </w:tcPr>
          <w:p w14:paraId="04488E96" w14:textId="77777777" w:rsidR="00B4465C" w:rsidRPr="00B4465C" w:rsidRDefault="00B4465C" w:rsidP="004A0C47">
            <w:pPr>
              <w:jc w:val="center"/>
              <w:rPr>
                <w:rFonts w:ascii="Arial Narrow" w:hAnsi="Arial Narrow"/>
                <w:bCs/>
                <w:sz w:val="18"/>
                <w:szCs w:val="18"/>
              </w:rPr>
            </w:pPr>
            <w:r w:rsidRPr="00B4465C">
              <w:rPr>
                <w:rFonts w:ascii="Arial Narrow" w:hAnsi="Arial Narrow"/>
                <w:bCs/>
                <w:sz w:val="18"/>
                <w:szCs w:val="18"/>
              </w:rPr>
              <w:t>2 829</w:t>
            </w:r>
          </w:p>
        </w:tc>
        <w:tc>
          <w:tcPr>
            <w:tcW w:w="660" w:type="dxa"/>
            <w:vAlign w:val="center"/>
          </w:tcPr>
          <w:p w14:paraId="6E92B98D"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1 130</w:t>
            </w:r>
          </w:p>
        </w:tc>
        <w:tc>
          <w:tcPr>
            <w:tcW w:w="678" w:type="dxa"/>
            <w:vAlign w:val="center"/>
          </w:tcPr>
          <w:p w14:paraId="0DE544BF"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210</w:t>
            </w:r>
          </w:p>
        </w:tc>
        <w:tc>
          <w:tcPr>
            <w:tcW w:w="846" w:type="dxa"/>
            <w:vAlign w:val="center"/>
          </w:tcPr>
          <w:p w14:paraId="2F8B03DE"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1 340</w:t>
            </w:r>
          </w:p>
        </w:tc>
        <w:tc>
          <w:tcPr>
            <w:tcW w:w="714" w:type="dxa"/>
            <w:vAlign w:val="center"/>
          </w:tcPr>
          <w:p w14:paraId="03202322"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1 227</w:t>
            </w:r>
          </w:p>
        </w:tc>
        <w:tc>
          <w:tcPr>
            <w:tcW w:w="708" w:type="dxa"/>
            <w:vAlign w:val="center"/>
          </w:tcPr>
          <w:p w14:paraId="02F08DC5"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262</w:t>
            </w:r>
          </w:p>
        </w:tc>
        <w:tc>
          <w:tcPr>
            <w:tcW w:w="851" w:type="dxa"/>
            <w:vAlign w:val="center"/>
          </w:tcPr>
          <w:p w14:paraId="617B7DCE"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1 489</w:t>
            </w:r>
          </w:p>
        </w:tc>
        <w:tc>
          <w:tcPr>
            <w:tcW w:w="1769" w:type="dxa"/>
            <w:vAlign w:val="center"/>
          </w:tcPr>
          <w:p w14:paraId="5996445C"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16,7 %</w:t>
            </w:r>
          </w:p>
        </w:tc>
      </w:tr>
      <w:tr w:rsidR="00B4465C" w:rsidRPr="00B4465C" w14:paraId="78388912" w14:textId="77777777" w:rsidTr="004A0C47">
        <w:trPr>
          <w:trHeight w:val="204"/>
        </w:trPr>
        <w:tc>
          <w:tcPr>
            <w:tcW w:w="971" w:type="dxa"/>
            <w:shd w:val="clear" w:color="auto" w:fill="D9E2F3" w:themeFill="accent1" w:themeFillTint="33"/>
          </w:tcPr>
          <w:p w14:paraId="6F19497D"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2022</w:t>
            </w:r>
          </w:p>
        </w:tc>
        <w:tc>
          <w:tcPr>
            <w:tcW w:w="1655" w:type="dxa"/>
            <w:vAlign w:val="center"/>
          </w:tcPr>
          <w:p w14:paraId="38252125" w14:textId="77777777" w:rsidR="00B4465C" w:rsidRPr="00B4465C" w:rsidRDefault="00B4465C" w:rsidP="004A0C47">
            <w:pPr>
              <w:jc w:val="center"/>
              <w:rPr>
                <w:rFonts w:ascii="Arial Narrow" w:hAnsi="Arial Narrow"/>
                <w:bCs/>
                <w:sz w:val="18"/>
                <w:szCs w:val="18"/>
              </w:rPr>
            </w:pPr>
            <w:r w:rsidRPr="00B4465C">
              <w:rPr>
                <w:rFonts w:ascii="Arial Narrow" w:hAnsi="Arial Narrow"/>
                <w:bCs/>
                <w:sz w:val="18"/>
                <w:szCs w:val="18"/>
              </w:rPr>
              <w:t>1502</w:t>
            </w:r>
          </w:p>
        </w:tc>
        <w:tc>
          <w:tcPr>
            <w:tcW w:w="660" w:type="dxa"/>
            <w:vAlign w:val="center"/>
          </w:tcPr>
          <w:p w14:paraId="03754F1A"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769</w:t>
            </w:r>
          </w:p>
        </w:tc>
        <w:tc>
          <w:tcPr>
            <w:tcW w:w="678" w:type="dxa"/>
            <w:vAlign w:val="center"/>
          </w:tcPr>
          <w:p w14:paraId="466856EF"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59</w:t>
            </w:r>
          </w:p>
        </w:tc>
        <w:tc>
          <w:tcPr>
            <w:tcW w:w="846" w:type="dxa"/>
            <w:vAlign w:val="center"/>
          </w:tcPr>
          <w:p w14:paraId="2BDBFB66"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828</w:t>
            </w:r>
          </w:p>
        </w:tc>
        <w:tc>
          <w:tcPr>
            <w:tcW w:w="714" w:type="dxa"/>
            <w:vAlign w:val="center"/>
          </w:tcPr>
          <w:p w14:paraId="31483319"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594</w:t>
            </w:r>
          </w:p>
        </w:tc>
        <w:tc>
          <w:tcPr>
            <w:tcW w:w="708" w:type="dxa"/>
            <w:vAlign w:val="center"/>
          </w:tcPr>
          <w:p w14:paraId="39DD2504"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80</w:t>
            </w:r>
          </w:p>
        </w:tc>
        <w:tc>
          <w:tcPr>
            <w:tcW w:w="851" w:type="dxa"/>
            <w:vAlign w:val="center"/>
          </w:tcPr>
          <w:p w14:paraId="73E1E99C" w14:textId="77777777" w:rsidR="00B4465C" w:rsidRPr="00B4465C" w:rsidRDefault="00B4465C" w:rsidP="004A0C47">
            <w:pPr>
              <w:spacing w:after="46"/>
              <w:jc w:val="center"/>
              <w:rPr>
                <w:rFonts w:ascii="Arial Narrow" w:hAnsi="Arial Narrow"/>
                <w:bCs/>
                <w:sz w:val="18"/>
                <w:szCs w:val="18"/>
              </w:rPr>
            </w:pPr>
            <w:r w:rsidRPr="00B4465C">
              <w:rPr>
                <w:rFonts w:ascii="Arial Narrow" w:hAnsi="Arial Narrow"/>
                <w:bCs/>
                <w:sz w:val="18"/>
                <w:szCs w:val="18"/>
              </w:rPr>
              <w:t>674</w:t>
            </w:r>
          </w:p>
        </w:tc>
        <w:tc>
          <w:tcPr>
            <w:tcW w:w="1769" w:type="dxa"/>
            <w:vAlign w:val="center"/>
          </w:tcPr>
          <w:p w14:paraId="3CCBF9BC"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9,3 %</w:t>
            </w:r>
          </w:p>
        </w:tc>
      </w:tr>
      <w:tr w:rsidR="00B4465C" w:rsidRPr="00B4465C" w14:paraId="65C6B055" w14:textId="77777777" w:rsidTr="004A0C47">
        <w:trPr>
          <w:trHeight w:val="204"/>
        </w:trPr>
        <w:tc>
          <w:tcPr>
            <w:tcW w:w="971" w:type="dxa"/>
            <w:shd w:val="clear" w:color="auto" w:fill="D9E2F3" w:themeFill="accent1" w:themeFillTint="33"/>
          </w:tcPr>
          <w:p w14:paraId="2BEF6755"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2021</w:t>
            </w:r>
          </w:p>
        </w:tc>
        <w:tc>
          <w:tcPr>
            <w:tcW w:w="1655" w:type="dxa"/>
            <w:vAlign w:val="center"/>
          </w:tcPr>
          <w:p w14:paraId="1A5C0205"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1 383</w:t>
            </w:r>
          </w:p>
        </w:tc>
        <w:tc>
          <w:tcPr>
            <w:tcW w:w="660" w:type="dxa"/>
            <w:vAlign w:val="center"/>
          </w:tcPr>
          <w:p w14:paraId="56C640FF"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740</w:t>
            </w:r>
          </w:p>
        </w:tc>
        <w:tc>
          <w:tcPr>
            <w:tcW w:w="678" w:type="dxa"/>
            <w:vAlign w:val="center"/>
          </w:tcPr>
          <w:p w14:paraId="0EB865E9"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54</w:t>
            </w:r>
          </w:p>
        </w:tc>
        <w:tc>
          <w:tcPr>
            <w:tcW w:w="846" w:type="dxa"/>
            <w:vAlign w:val="center"/>
          </w:tcPr>
          <w:p w14:paraId="532A4501"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794</w:t>
            </w:r>
          </w:p>
        </w:tc>
        <w:tc>
          <w:tcPr>
            <w:tcW w:w="714" w:type="dxa"/>
            <w:vAlign w:val="center"/>
          </w:tcPr>
          <w:p w14:paraId="17A61B65"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517</w:t>
            </w:r>
          </w:p>
        </w:tc>
        <w:tc>
          <w:tcPr>
            <w:tcW w:w="708" w:type="dxa"/>
            <w:vAlign w:val="center"/>
          </w:tcPr>
          <w:p w14:paraId="5A75B7F9"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72</w:t>
            </w:r>
          </w:p>
        </w:tc>
        <w:tc>
          <w:tcPr>
            <w:tcW w:w="851" w:type="dxa"/>
            <w:vAlign w:val="center"/>
          </w:tcPr>
          <w:p w14:paraId="711FB3D4"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589</w:t>
            </w:r>
          </w:p>
        </w:tc>
        <w:tc>
          <w:tcPr>
            <w:tcW w:w="1769" w:type="dxa"/>
            <w:vAlign w:val="center"/>
          </w:tcPr>
          <w:p w14:paraId="6842CD31"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9,1 %</w:t>
            </w:r>
          </w:p>
        </w:tc>
      </w:tr>
      <w:tr w:rsidR="00B4465C" w:rsidRPr="00B4465C" w14:paraId="5FB760B8" w14:textId="77777777" w:rsidTr="004A0C47">
        <w:trPr>
          <w:trHeight w:val="204"/>
        </w:trPr>
        <w:tc>
          <w:tcPr>
            <w:tcW w:w="971" w:type="dxa"/>
            <w:shd w:val="clear" w:color="auto" w:fill="D9E2F3" w:themeFill="accent1" w:themeFillTint="33"/>
          </w:tcPr>
          <w:p w14:paraId="12679D6D"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2020</w:t>
            </w:r>
          </w:p>
        </w:tc>
        <w:tc>
          <w:tcPr>
            <w:tcW w:w="1655" w:type="dxa"/>
            <w:vAlign w:val="bottom"/>
          </w:tcPr>
          <w:p w14:paraId="2C0F0B55"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1 293</w:t>
            </w:r>
          </w:p>
        </w:tc>
        <w:tc>
          <w:tcPr>
            <w:tcW w:w="660" w:type="dxa"/>
            <w:vAlign w:val="center"/>
          </w:tcPr>
          <w:p w14:paraId="58328036"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681</w:t>
            </w:r>
          </w:p>
        </w:tc>
        <w:tc>
          <w:tcPr>
            <w:tcW w:w="678" w:type="dxa"/>
            <w:vAlign w:val="center"/>
          </w:tcPr>
          <w:p w14:paraId="246D8AA2"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49</w:t>
            </w:r>
          </w:p>
        </w:tc>
        <w:tc>
          <w:tcPr>
            <w:tcW w:w="846" w:type="dxa"/>
            <w:vAlign w:val="center"/>
          </w:tcPr>
          <w:p w14:paraId="196C3BBA"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730</w:t>
            </w:r>
          </w:p>
        </w:tc>
        <w:tc>
          <w:tcPr>
            <w:tcW w:w="714" w:type="dxa"/>
            <w:vAlign w:val="center"/>
          </w:tcPr>
          <w:p w14:paraId="683BFDFF"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489</w:t>
            </w:r>
          </w:p>
        </w:tc>
        <w:tc>
          <w:tcPr>
            <w:tcW w:w="708" w:type="dxa"/>
            <w:vAlign w:val="center"/>
          </w:tcPr>
          <w:p w14:paraId="608C1F03"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74</w:t>
            </w:r>
          </w:p>
        </w:tc>
        <w:tc>
          <w:tcPr>
            <w:tcW w:w="851" w:type="dxa"/>
            <w:vAlign w:val="center"/>
          </w:tcPr>
          <w:p w14:paraId="7A8EAE32"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563</w:t>
            </w:r>
          </w:p>
        </w:tc>
        <w:tc>
          <w:tcPr>
            <w:tcW w:w="1769" w:type="dxa"/>
            <w:vAlign w:val="center"/>
          </w:tcPr>
          <w:p w14:paraId="4EBDBAE2"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9,5 %</w:t>
            </w:r>
          </w:p>
        </w:tc>
      </w:tr>
      <w:tr w:rsidR="00B4465C" w:rsidRPr="00B4465C" w14:paraId="744EE192" w14:textId="77777777" w:rsidTr="004A0C47">
        <w:trPr>
          <w:trHeight w:val="204"/>
        </w:trPr>
        <w:tc>
          <w:tcPr>
            <w:tcW w:w="971" w:type="dxa"/>
            <w:shd w:val="clear" w:color="auto" w:fill="D9E2F3" w:themeFill="accent1" w:themeFillTint="33"/>
          </w:tcPr>
          <w:p w14:paraId="19064CE9"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2019</w:t>
            </w:r>
          </w:p>
        </w:tc>
        <w:tc>
          <w:tcPr>
            <w:tcW w:w="1655" w:type="dxa"/>
            <w:vAlign w:val="center"/>
          </w:tcPr>
          <w:p w14:paraId="21C146DC"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1 206</w:t>
            </w:r>
          </w:p>
        </w:tc>
        <w:tc>
          <w:tcPr>
            <w:tcW w:w="660" w:type="dxa"/>
            <w:vAlign w:val="center"/>
          </w:tcPr>
          <w:p w14:paraId="0EC832F4"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637</w:t>
            </w:r>
          </w:p>
        </w:tc>
        <w:tc>
          <w:tcPr>
            <w:tcW w:w="678" w:type="dxa"/>
            <w:vAlign w:val="center"/>
          </w:tcPr>
          <w:p w14:paraId="315763A1"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47</w:t>
            </w:r>
          </w:p>
        </w:tc>
        <w:tc>
          <w:tcPr>
            <w:tcW w:w="846" w:type="dxa"/>
            <w:vAlign w:val="center"/>
          </w:tcPr>
          <w:p w14:paraId="0095D8AE"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684</w:t>
            </w:r>
          </w:p>
        </w:tc>
        <w:tc>
          <w:tcPr>
            <w:tcW w:w="714" w:type="dxa"/>
            <w:vAlign w:val="center"/>
          </w:tcPr>
          <w:p w14:paraId="0FA63FBD"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449</w:t>
            </w:r>
          </w:p>
        </w:tc>
        <w:tc>
          <w:tcPr>
            <w:tcW w:w="708" w:type="dxa"/>
            <w:vAlign w:val="center"/>
          </w:tcPr>
          <w:p w14:paraId="77E7F5CC"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73</w:t>
            </w:r>
          </w:p>
        </w:tc>
        <w:tc>
          <w:tcPr>
            <w:tcW w:w="851" w:type="dxa"/>
            <w:vAlign w:val="center"/>
          </w:tcPr>
          <w:p w14:paraId="18CD8B09"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522</w:t>
            </w:r>
          </w:p>
        </w:tc>
        <w:tc>
          <w:tcPr>
            <w:tcW w:w="1769" w:type="dxa"/>
            <w:vAlign w:val="center"/>
          </w:tcPr>
          <w:p w14:paraId="205B9424"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10,0 %</w:t>
            </w:r>
          </w:p>
        </w:tc>
      </w:tr>
      <w:tr w:rsidR="00B4465C" w:rsidRPr="00B4465C" w14:paraId="3D73BC4A" w14:textId="77777777" w:rsidTr="004A0C47">
        <w:trPr>
          <w:trHeight w:val="204"/>
        </w:trPr>
        <w:tc>
          <w:tcPr>
            <w:tcW w:w="971" w:type="dxa"/>
            <w:shd w:val="clear" w:color="auto" w:fill="D9E2F3" w:themeFill="accent1" w:themeFillTint="33"/>
          </w:tcPr>
          <w:p w14:paraId="11309C99"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2018</w:t>
            </w:r>
          </w:p>
        </w:tc>
        <w:tc>
          <w:tcPr>
            <w:tcW w:w="1655" w:type="dxa"/>
            <w:vAlign w:val="bottom"/>
          </w:tcPr>
          <w:p w14:paraId="10F4451E"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1 139</w:t>
            </w:r>
          </w:p>
        </w:tc>
        <w:tc>
          <w:tcPr>
            <w:tcW w:w="660" w:type="dxa"/>
            <w:vAlign w:val="center"/>
          </w:tcPr>
          <w:p w14:paraId="060C57D5"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600</w:t>
            </w:r>
          </w:p>
        </w:tc>
        <w:tc>
          <w:tcPr>
            <w:tcW w:w="678" w:type="dxa"/>
            <w:vAlign w:val="center"/>
          </w:tcPr>
          <w:p w14:paraId="2292483E"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50</w:t>
            </w:r>
          </w:p>
        </w:tc>
        <w:tc>
          <w:tcPr>
            <w:tcW w:w="846" w:type="dxa"/>
            <w:vAlign w:val="center"/>
          </w:tcPr>
          <w:p w14:paraId="60EA3F66"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650</w:t>
            </w:r>
          </w:p>
        </w:tc>
        <w:tc>
          <w:tcPr>
            <w:tcW w:w="714" w:type="dxa"/>
            <w:vAlign w:val="center"/>
          </w:tcPr>
          <w:p w14:paraId="158F13D5"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420</w:t>
            </w:r>
          </w:p>
        </w:tc>
        <w:tc>
          <w:tcPr>
            <w:tcW w:w="708" w:type="dxa"/>
            <w:vAlign w:val="center"/>
          </w:tcPr>
          <w:p w14:paraId="2CF89BCF"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69</w:t>
            </w:r>
          </w:p>
        </w:tc>
        <w:tc>
          <w:tcPr>
            <w:tcW w:w="851" w:type="dxa"/>
            <w:vAlign w:val="center"/>
          </w:tcPr>
          <w:p w14:paraId="587E2E56"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489</w:t>
            </w:r>
          </w:p>
        </w:tc>
        <w:tc>
          <w:tcPr>
            <w:tcW w:w="1769" w:type="dxa"/>
            <w:vAlign w:val="center"/>
          </w:tcPr>
          <w:p w14:paraId="7BC486C9"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10,4 %</w:t>
            </w:r>
          </w:p>
        </w:tc>
      </w:tr>
      <w:tr w:rsidR="00B4465C" w:rsidRPr="00B4465C" w14:paraId="19638B76" w14:textId="77777777" w:rsidTr="004A0C47">
        <w:trPr>
          <w:trHeight w:val="204"/>
        </w:trPr>
        <w:tc>
          <w:tcPr>
            <w:tcW w:w="971" w:type="dxa"/>
            <w:shd w:val="clear" w:color="auto" w:fill="D9E2F3" w:themeFill="accent1" w:themeFillTint="33"/>
          </w:tcPr>
          <w:p w14:paraId="1C0B32AF"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2017</w:t>
            </w:r>
          </w:p>
        </w:tc>
        <w:tc>
          <w:tcPr>
            <w:tcW w:w="1655" w:type="dxa"/>
            <w:vAlign w:val="bottom"/>
          </w:tcPr>
          <w:p w14:paraId="74A42835"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1 176</w:t>
            </w:r>
          </w:p>
        </w:tc>
        <w:tc>
          <w:tcPr>
            <w:tcW w:w="660" w:type="dxa"/>
            <w:vAlign w:val="center"/>
          </w:tcPr>
          <w:p w14:paraId="58A761C7"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628</w:t>
            </w:r>
          </w:p>
        </w:tc>
        <w:tc>
          <w:tcPr>
            <w:tcW w:w="678" w:type="dxa"/>
            <w:vAlign w:val="center"/>
          </w:tcPr>
          <w:p w14:paraId="285EF81F"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53</w:t>
            </w:r>
          </w:p>
        </w:tc>
        <w:tc>
          <w:tcPr>
            <w:tcW w:w="846" w:type="dxa"/>
            <w:vAlign w:val="center"/>
          </w:tcPr>
          <w:p w14:paraId="5E617528"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681</w:t>
            </w:r>
          </w:p>
        </w:tc>
        <w:tc>
          <w:tcPr>
            <w:tcW w:w="714" w:type="dxa"/>
            <w:vAlign w:val="center"/>
          </w:tcPr>
          <w:p w14:paraId="5BD86CB3"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429</w:t>
            </w:r>
          </w:p>
        </w:tc>
        <w:tc>
          <w:tcPr>
            <w:tcW w:w="708" w:type="dxa"/>
            <w:vAlign w:val="center"/>
          </w:tcPr>
          <w:p w14:paraId="18CF01D2"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66</w:t>
            </w:r>
          </w:p>
        </w:tc>
        <w:tc>
          <w:tcPr>
            <w:tcW w:w="851" w:type="dxa"/>
            <w:vAlign w:val="center"/>
          </w:tcPr>
          <w:p w14:paraId="58859341"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495</w:t>
            </w:r>
          </w:p>
        </w:tc>
        <w:tc>
          <w:tcPr>
            <w:tcW w:w="1769" w:type="dxa"/>
            <w:vAlign w:val="center"/>
          </w:tcPr>
          <w:p w14:paraId="176F06C6"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10,1 %</w:t>
            </w:r>
          </w:p>
        </w:tc>
      </w:tr>
      <w:tr w:rsidR="00B4465C" w:rsidRPr="00B4465C" w14:paraId="183AF856" w14:textId="77777777" w:rsidTr="004A0C47">
        <w:trPr>
          <w:trHeight w:val="204"/>
        </w:trPr>
        <w:tc>
          <w:tcPr>
            <w:tcW w:w="971" w:type="dxa"/>
            <w:shd w:val="clear" w:color="auto" w:fill="D9E2F3" w:themeFill="accent1" w:themeFillTint="33"/>
          </w:tcPr>
          <w:p w14:paraId="1AE9E3D1"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2016</w:t>
            </w:r>
          </w:p>
        </w:tc>
        <w:tc>
          <w:tcPr>
            <w:tcW w:w="1655" w:type="dxa"/>
            <w:vAlign w:val="bottom"/>
          </w:tcPr>
          <w:p w14:paraId="19D59A60"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1 107</w:t>
            </w:r>
          </w:p>
        </w:tc>
        <w:tc>
          <w:tcPr>
            <w:tcW w:w="660" w:type="dxa"/>
            <w:vAlign w:val="center"/>
          </w:tcPr>
          <w:p w14:paraId="3290195C"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594</w:t>
            </w:r>
          </w:p>
        </w:tc>
        <w:tc>
          <w:tcPr>
            <w:tcW w:w="678" w:type="dxa"/>
            <w:vAlign w:val="center"/>
          </w:tcPr>
          <w:p w14:paraId="5D29B902"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50</w:t>
            </w:r>
          </w:p>
        </w:tc>
        <w:tc>
          <w:tcPr>
            <w:tcW w:w="846" w:type="dxa"/>
            <w:vAlign w:val="center"/>
          </w:tcPr>
          <w:p w14:paraId="24AB72B8"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644</w:t>
            </w:r>
          </w:p>
        </w:tc>
        <w:tc>
          <w:tcPr>
            <w:tcW w:w="714" w:type="dxa"/>
            <w:vAlign w:val="center"/>
          </w:tcPr>
          <w:p w14:paraId="605CD362"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406</w:t>
            </w:r>
          </w:p>
        </w:tc>
        <w:tc>
          <w:tcPr>
            <w:tcW w:w="708" w:type="dxa"/>
            <w:vAlign w:val="center"/>
          </w:tcPr>
          <w:p w14:paraId="64264EEF"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57</w:t>
            </w:r>
          </w:p>
        </w:tc>
        <w:tc>
          <w:tcPr>
            <w:tcW w:w="851" w:type="dxa"/>
            <w:vAlign w:val="center"/>
          </w:tcPr>
          <w:p w14:paraId="2CAF1C17"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463</w:t>
            </w:r>
          </w:p>
        </w:tc>
        <w:tc>
          <w:tcPr>
            <w:tcW w:w="1769" w:type="dxa"/>
            <w:vAlign w:val="center"/>
          </w:tcPr>
          <w:p w14:paraId="54D55C18"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9,7 %</w:t>
            </w:r>
          </w:p>
        </w:tc>
      </w:tr>
      <w:tr w:rsidR="00B4465C" w:rsidRPr="00B4465C" w14:paraId="318DD9A0" w14:textId="77777777" w:rsidTr="004A0C47">
        <w:trPr>
          <w:trHeight w:val="204"/>
        </w:trPr>
        <w:tc>
          <w:tcPr>
            <w:tcW w:w="971" w:type="dxa"/>
            <w:shd w:val="clear" w:color="auto" w:fill="D9E2F3" w:themeFill="accent1" w:themeFillTint="33"/>
          </w:tcPr>
          <w:p w14:paraId="2955B922"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2015</w:t>
            </w:r>
          </w:p>
        </w:tc>
        <w:tc>
          <w:tcPr>
            <w:tcW w:w="1655" w:type="dxa"/>
            <w:vAlign w:val="bottom"/>
          </w:tcPr>
          <w:p w14:paraId="58AC288A"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1 083</w:t>
            </w:r>
          </w:p>
        </w:tc>
        <w:tc>
          <w:tcPr>
            <w:tcW w:w="660" w:type="dxa"/>
            <w:vAlign w:val="center"/>
          </w:tcPr>
          <w:p w14:paraId="5F9C1225"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579</w:t>
            </w:r>
          </w:p>
        </w:tc>
        <w:tc>
          <w:tcPr>
            <w:tcW w:w="678" w:type="dxa"/>
            <w:vAlign w:val="center"/>
          </w:tcPr>
          <w:p w14:paraId="0170F162"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51</w:t>
            </w:r>
          </w:p>
        </w:tc>
        <w:tc>
          <w:tcPr>
            <w:tcW w:w="846" w:type="dxa"/>
            <w:vAlign w:val="center"/>
          </w:tcPr>
          <w:p w14:paraId="64E8EB34"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630</w:t>
            </w:r>
          </w:p>
        </w:tc>
        <w:tc>
          <w:tcPr>
            <w:tcW w:w="714" w:type="dxa"/>
            <w:vAlign w:val="center"/>
          </w:tcPr>
          <w:p w14:paraId="56942958"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403</w:t>
            </w:r>
          </w:p>
        </w:tc>
        <w:tc>
          <w:tcPr>
            <w:tcW w:w="708" w:type="dxa"/>
            <w:vAlign w:val="center"/>
          </w:tcPr>
          <w:p w14:paraId="0D02F927"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50</w:t>
            </w:r>
          </w:p>
        </w:tc>
        <w:tc>
          <w:tcPr>
            <w:tcW w:w="851" w:type="dxa"/>
            <w:vAlign w:val="center"/>
          </w:tcPr>
          <w:p w14:paraId="461CFB06"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453</w:t>
            </w:r>
          </w:p>
        </w:tc>
        <w:tc>
          <w:tcPr>
            <w:tcW w:w="1769" w:type="dxa"/>
            <w:vAlign w:val="center"/>
          </w:tcPr>
          <w:p w14:paraId="60D6F550"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9,3 %</w:t>
            </w:r>
          </w:p>
        </w:tc>
      </w:tr>
      <w:tr w:rsidR="00B4465C" w:rsidRPr="00B4465C" w14:paraId="269ADCE1" w14:textId="77777777" w:rsidTr="004A0C47">
        <w:trPr>
          <w:trHeight w:val="204"/>
        </w:trPr>
        <w:tc>
          <w:tcPr>
            <w:tcW w:w="971" w:type="dxa"/>
            <w:shd w:val="clear" w:color="auto" w:fill="D9E2F3" w:themeFill="accent1" w:themeFillTint="33"/>
          </w:tcPr>
          <w:p w14:paraId="29E2A79E"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2014</w:t>
            </w:r>
          </w:p>
        </w:tc>
        <w:tc>
          <w:tcPr>
            <w:tcW w:w="1655" w:type="dxa"/>
            <w:vAlign w:val="bottom"/>
          </w:tcPr>
          <w:p w14:paraId="77451FBA"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1 072</w:t>
            </w:r>
          </w:p>
        </w:tc>
        <w:tc>
          <w:tcPr>
            <w:tcW w:w="660" w:type="dxa"/>
            <w:vAlign w:val="center"/>
          </w:tcPr>
          <w:p w14:paraId="31DF1FC7"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575</w:t>
            </w:r>
          </w:p>
        </w:tc>
        <w:tc>
          <w:tcPr>
            <w:tcW w:w="678" w:type="dxa"/>
            <w:vAlign w:val="center"/>
          </w:tcPr>
          <w:p w14:paraId="57D2DCD9"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48</w:t>
            </w:r>
          </w:p>
        </w:tc>
        <w:tc>
          <w:tcPr>
            <w:tcW w:w="846" w:type="dxa"/>
            <w:vAlign w:val="center"/>
          </w:tcPr>
          <w:p w14:paraId="4F6F5C94"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623</w:t>
            </w:r>
          </w:p>
        </w:tc>
        <w:tc>
          <w:tcPr>
            <w:tcW w:w="714" w:type="dxa"/>
            <w:vAlign w:val="center"/>
          </w:tcPr>
          <w:p w14:paraId="7E3F7B3E"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399</w:t>
            </w:r>
          </w:p>
        </w:tc>
        <w:tc>
          <w:tcPr>
            <w:tcW w:w="708" w:type="dxa"/>
            <w:vAlign w:val="center"/>
          </w:tcPr>
          <w:p w14:paraId="646805CA"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50</w:t>
            </w:r>
          </w:p>
        </w:tc>
        <w:tc>
          <w:tcPr>
            <w:tcW w:w="851" w:type="dxa"/>
            <w:vAlign w:val="center"/>
          </w:tcPr>
          <w:p w14:paraId="05B2F16D"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449</w:t>
            </w:r>
          </w:p>
        </w:tc>
        <w:tc>
          <w:tcPr>
            <w:tcW w:w="1769" w:type="dxa"/>
            <w:vAlign w:val="center"/>
          </w:tcPr>
          <w:p w14:paraId="3CE48A4F"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9,1 %</w:t>
            </w:r>
          </w:p>
        </w:tc>
      </w:tr>
      <w:tr w:rsidR="00B4465C" w:rsidRPr="00B4465C" w14:paraId="632D5861" w14:textId="77777777" w:rsidTr="004A0C47">
        <w:trPr>
          <w:trHeight w:val="204"/>
        </w:trPr>
        <w:tc>
          <w:tcPr>
            <w:tcW w:w="971" w:type="dxa"/>
            <w:shd w:val="clear" w:color="auto" w:fill="D9E2F3" w:themeFill="accent1" w:themeFillTint="33"/>
          </w:tcPr>
          <w:p w14:paraId="1E1877F6"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2013</w:t>
            </w:r>
          </w:p>
        </w:tc>
        <w:tc>
          <w:tcPr>
            <w:tcW w:w="1655" w:type="dxa"/>
            <w:vAlign w:val="bottom"/>
          </w:tcPr>
          <w:p w14:paraId="2BBED223"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1 023</w:t>
            </w:r>
          </w:p>
        </w:tc>
        <w:tc>
          <w:tcPr>
            <w:tcW w:w="660" w:type="dxa"/>
            <w:vAlign w:val="center"/>
          </w:tcPr>
          <w:p w14:paraId="52906447"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543</w:t>
            </w:r>
          </w:p>
        </w:tc>
        <w:tc>
          <w:tcPr>
            <w:tcW w:w="678" w:type="dxa"/>
            <w:vAlign w:val="center"/>
          </w:tcPr>
          <w:p w14:paraId="0863D049"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40</w:t>
            </w:r>
          </w:p>
        </w:tc>
        <w:tc>
          <w:tcPr>
            <w:tcW w:w="846" w:type="dxa"/>
            <w:vAlign w:val="center"/>
          </w:tcPr>
          <w:p w14:paraId="783A47D9"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583</w:t>
            </w:r>
          </w:p>
        </w:tc>
        <w:tc>
          <w:tcPr>
            <w:tcW w:w="714" w:type="dxa"/>
            <w:vAlign w:val="center"/>
          </w:tcPr>
          <w:p w14:paraId="6EE34D09"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399</w:t>
            </w:r>
          </w:p>
        </w:tc>
        <w:tc>
          <w:tcPr>
            <w:tcW w:w="708" w:type="dxa"/>
            <w:vAlign w:val="center"/>
          </w:tcPr>
          <w:p w14:paraId="210F4031"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41</w:t>
            </w:r>
          </w:p>
        </w:tc>
        <w:tc>
          <w:tcPr>
            <w:tcW w:w="851" w:type="dxa"/>
            <w:vAlign w:val="center"/>
          </w:tcPr>
          <w:p w14:paraId="611E5D42" w14:textId="77777777" w:rsidR="00B4465C" w:rsidRPr="00B4465C" w:rsidRDefault="00B4465C" w:rsidP="004A0C47">
            <w:pPr>
              <w:spacing w:after="46"/>
              <w:jc w:val="center"/>
              <w:rPr>
                <w:rFonts w:ascii="Arial Narrow" w:eastAsia="Times New Roman" w:hAnsi="Arial Narrow" w:cs="Arial"/>
                <w:sz w:val="18"/>
                <w:szCs w:val="18"/>
                <w:lang w:eastAsia="cs-CZ"/>
              </w:rPr>
            </w:pPr>
            <w:r w:rsidRPr="00B4465C">
              <w:rPr>
                <w:rFonts w:ascii="Arial Narrow" w:hAnsi="Arial Narrow"/>
                <w:bCs/>
                <w:sz w:val="18"/>
                <w:szCs w:val="18"/>
              </w:rPr>
              <w:t>440</w:t>
            </w:r>
          </w:p>
        </w:tc>
        <w:tc>
          <w:tcPr>
            <w:tcW w:w="1769" w:type="dxa"/>
            <w:vAlign w:val="center"/>
          </w:tcPr>
          <w:p w14:paraId="64EC956D"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7,9 %</w:t>
            </w:r>
          </w:p>
        </w:tc>
      </w:tr>
      <w:tr w:rsidR="00B4465C" w:rsidRPr="00B4465C" w14:paraId="1B56736D" w14:textId="77777777" w:rsidTr="004A0C47">
        <w:trPr>
          <w:trHeight w:val="204"/>
        </w:trPr>
        <w:tc>
          <w:tcPr>
            <w:tcW w:w="971" w:type="dxa"/>
            <w:shd w:val="clear" w:color="auto" w:fill="D9E2F3" w:themeFill="accent1" w:themeFillTint="33"/>
          </w:tcPr>
          <w:p w14:paraId="5DA45CA6"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2012</w:t>
            </w:r>
          </w:p>
        </w:tc>
        <w:tc>
          <w:tcPr>
            <w:tcW w:w="1655" w:type="dxa"/>
            <w:vAlign w:val="bottom"/>
          </w:tcPr>
          <w:p w14:paraId="05833D3A"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1 174</w:t>
            </w:r>
          </w:p>
        </w:tc>
        <w:tc>
          <w:tcPr>
            <w:tcW w:w="660" w:type="dxa"/>
            <w:vAlign w:val="center"/>
          </w:tcPr>
          <w:p w14:paraId="16D08349"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651</w:t>
            </w:r>
          </w:p>
        </w:tc>
        <w:tc>
          <w:tcPr>
            <w:tcW w:w="678" w:type="dxa"/>
            <w:vAlign w:val="center"/>
          </w:tcPr>
          <w:p w14:paraId="5849373F"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39</w:t>
            </w:r>
          </w:p>
        </w:tc>
        <w:tc>
          <w:tcPr>
            <w:tcW w:w="846" w:type="dxa"/>
            <w:vAlign w:val="center"/>
          </w:tcPr>
          <w:p w14:paraId="0BD960C7"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690</w:t>
            </w:r>
          </w:p>
        </w:tc>
        <w:tc>
          <w:tcPr>
            <w:tcW w:w="714" w:type="dxa"/>
            <w:vAlign w:val="center"/>
          </w:tcPr>
          <w:p w14:paraId="2D62738F"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444</w:t>
            </w:r>
          </w:p>
        </w:tc>
        <w:tc>
          <w:tcPr>
            <w:tcW w:w="708" w:type="dxa"/>
            <w:vAlign w:val="center"/>
          </w:tcPr>
          <w:p w14:paraId="34F7F071"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40</w:t>
            </w:r>
          </w:p>
        </w:tc>
        <w:tc>
          <w:tcPr>
            <w:tcW w:w="851" w:type="dxa"/>
            <w:vAlign w:val="center"/>
          </w:tcPr>
          <w:p w14:paraId="26D0016F"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484</w:t>
            </w:r>
          </w:p>
        </w:tc>
        <w:tc>
          <w:tcPr>
            <w:tcW w:w="1769" w:type="dxa"/>
            <w:vAlign w:val="center"/>
          </w:tcPr>
          <w:p w14:paraId="14D3C5C3"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6,7 %</w:t>
            </w:r>
          </w:p>
        </w:tc>
      </w:tr>
      <w:tr w:rsidR="00B4465C" w:rsidRPr="00B4465C" w14:paraId="44AEAF40" w14:textId="77777777" w:rsidTr="004A0C47">
        <w:trPr>
          <w:trHeight w:val="204"/>
        </w:trPr>
        <w:tc>
          <w:tcPr>
            <w:tcW w:w="971" w:type="dxa"/>
            <w:shd w:val="clear" w:color="auto" w:fill="D9E2F3" w:themeFill="accent1" w:themeFillTint="33"/>
          </w:tcPr>
          <w:p w14:paraId="5E96EF2B"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2011</w:t>
            </w:r>
          </w:p>
        </w:tc>
        <w:tc>
          <w:tcPr>
            <w:tcW w:w="1655" w:type="dxa"/>
            <w:vAlign w:val="bottom"/>
          </w:tcPr>
          <w:p w14:paraId="5F6224E7"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1 157</w:t>
            </w:r>
          </w:p>
        </w:tc>
        <w:tc>
          <w:tcPr>
            <w:tcW w:w="660" w:type="dxa"/>
            <w:vAlign w:val="center"/>
          </w:tcPr>
          <w:p w14:paraId="532E9B6B"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647</w:t>
            </w:r>
          </w:p>
        </w:tc>
        <w:tc>
          <w:tcPr>
            <w:tcW w:w="678" w:type="dxa"/>
            <w:vAlign w:val="center"/>
          </w:tcPr>
          <w:p w14:paraId="3E0D281F"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35</w:t>
            </w:r>
          </w:p>
        </w:tc>
        <w:tc>
          <w:tcPr>
            <w:tcW w:w="846" w:type="dxa"/>
            <w:vAlign w:val="center"/>
          </w:tcPr>
          <w:p w14:paraId="19C8F558"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682</w:t>
            </w:r>
          </w:p>
        </w:tc>
        <w:tc>
          <w:tcPr>
            <w:tcW w:w="714" w:type="dxa"/>
            <w:vAlign w:val="center"/>
          </w:tcPr>
          <w:p w14:paraId="4D7900C4"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440</w:t>
            </w:r>
          </w:p>
        </w:tc>
        <w:tc>
          <w:tcPr>
            <w:tcW w:w="708" w:type="dxa"/>
            <w:vAlign w:val="center"/>
          </w:tcPr>
          <w:p w14:paraId="361F4A34"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35</w:t>
            </w:r>
          </w:p>
        </w:tc>
        <w:tc>
          <w:tcPr>
            <w:tcW w:w="851" w:type="dxa"/>
            <w:vAlign w:val="center"/>
          </w:tcPr>
          <w:p w14:paraId="696E6F0D"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475</w:t>
            </w:r>
          </w:p>
        </w:tc>
        <w:tc>
          <w:tcPr>
            <w:tcW w:w="1769" w:type="dxa"/>
            <w:vAlign w:val="center"/>
          </w:tcPr>
          <w:p w14:paraId="4CA72E79"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6,1 %</w:t>
            </w:r>
          </w:p>
        </w:tc>
      </w:tr>
      <w:tr w:rsidR="00B4465C" w:rsidRPr="00B4465C" w14:paraId="44B3201D" w14:textId="77777777" w:rsidTr="004A0C47">
        <w:trPr>
          <w:trHeight w:val="204"/>
        </w:trPr>
        <w:tc>
          <w:tcPr>
            <w:tcW w:w="971" w:type="dxa"/>
            <w:shd w:val="clear" w:color="auto" w:fill="D9E2F3" w:themeFill="accent1" w:themeFillTint="33"/>
          </w:tcPr>
          <w:p w14:paraId="7C85F52D"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lastRenderedPageBreak/>
              <w:t>2010</w:t>
            </w:r>
          </w:p>
        </w:tc>
        <w:tc>
          <w:tcPr>
            <w:tcW w:w="1655" w:type="dxa"/>
            <w:vAlign w:val="bottom"/>
          </w:tcPr>
          <w:p w14:paraId="3A1BB1C4"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1 144</w:t>
            </w:r>
          </w:p>
        </w:tc>
        <w:tc>
          <w:tcPr>
            <w:tcW w:w="660" w:type="dxa"/>
            <w:vAlign w:val="center"/>
          </w:tcPr>
          <w:p w14:paraId="537F6DC4"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645</w:t>
            </w:r>
          </w:p>
        </w:tc>
        <w:tc>
          <w:tcPr>
            <w:tcW w:w="678" w:type="dxa"/>
            <w:vAlign w:val="center"/>
          </w:tcPr>
          <w:p w14:paraId="5AA2CF91"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26</w:t>
            </w:r>
          </w:p>
        </w:tc>
        <w:tc>
          <w:tcPr>
            <w:tcW w:w="846" w:type="dxa"/>
            <w:vAlign w:val="center"/>
          </w:tcPr>
          <w:p w14:paraId="3301E5F0"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671</w:t>
            </w:r>
          </w:p>
        </w:tc>
        <w:tc>
          <w:tcPr>
            <w:tcW w:w="714" w:type="dxa"/>
            <w:vAlign w:val="center"/>
          </w:tcPr>
          <w:p w14:paraId="6ADEF01E"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447</w:t>
            </w:r>
          </w:p>
        </w:tc>
        <w:tc>
          <w:tcPr>
            <w:tcW w:w="708" w:type="dxa"/>
            <w:vAlign w:val="center"/>
          </w:tcPr>
          <w:p w14:paraId="05AE9721"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26</w:t>
            </w:r>
          </w:p>
        </w:tc>
        <w:tc>
          <w:tcPr>
            <w:tcW w:w="851" w:type="dxa"/>
            <w:vAlign w:val="center"/>
          </w:tcPr>
          <w:p w14:paraId="15E87394"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473</w:t>
            </w:r>
          </w:p>
        </w:tc>
        <w:tc>
          <w:tcPr>
            <w:tcW w:w="1769" w:type="dxa"/>
            <w:vAlign w:val="center"/>
          </w:tcPr>
          <w:p w14:paraId="11A6BD26"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4,5 %</w:t>
            </w:r>
          </w:p>
        </w:tc>
      </w:tr>
      <w:tr w:rsidR="00B4465C" w:rsidRPr="00B4465C" w14:paraId="651F3DD4" w14:textId="77777777" w:rsidTr="004A0C47">
        <w:trPr>
          <w:trHeight w:val="204"/>
        </w:trPr>
        <w:tc>
          <w:tcPr>
            <w:tcW w:w="971" w:type="dxa"/>
            <w:shd w:val="clear" w:color="auto" w:fill="D9E2F3" w:themeFill="accent1" w:themeFillTint="33"/>
          </w:tcPr>
          <w:p w14:paraId="26E3D30D"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2009</w:t>
            </w:r>
          </w:p>
        </w:tc>
        <w:tc>
          <w:tcPr>
            <w:tcW w:w="1655" w:type="dxa"/>
            <w:vAlign w:val="bottom"/>
          </w:tcPr>
          <w:p w14:paraId="0D245D63"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1 057</w:t>
            </w:r>
          </w:p>
        </w:tc>
        <w:tc>
          <w:tcPr>
            <w:tcW w:w="660" w:type="dxa"/>
            <w:vAlign w:val="center"/>
          </w:tcPr>
          <w:p w14:paraId="471F5344"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604</w:t>
            </w:r>
          </w:p>
        </w:tc>
        <w:tc>
          <w:tcPr>
            <w:tcW w:w="678" w:type="dxa"/>
            <w:vAlign w:val="center"/>
          </w:tcPr>
          <w:p w14:paraId="17CA294E"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22</w:t>
            </w:r>
          </w:p>
        </w:tc>
        <w:tc>
          <w:tcPr>
            <w:tcW w:w="846" w:type="dxa"/>
            <w:vAlign w:val="center"/>
          </w:tcPr>
          <w:p w14:paraId="419F4165"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626</w:t>
            </w:r>
          </w:p>
        </w:tc>
        <w:tc>
          <w:tcPr>
            <w:tcW w:w="714" w:type="dxa"/>
            <w:vAlign w:val="center"/>
          </w:tcPr>
          <w:p w14:paraId="159C920A"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412</w:t>
            </w:r>
          </w:p>
        </w:tc>
        <w:tc>
          <w:tcPr>
            <w:tcW w:w="708" w:type="dxa"/>
            <w:vAlign w:val="center"/>
          </w:tcPr>
          <w:p w14:paraId="329B5503"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19</w:t>
            </w:r>
          </w:p>
        </w:tc>
        <w:tc>
          <w:tcPr>
            <w:tcW w:w="851" w:type="dxa"/>
            <w:vAlign w:val="center"/>
          </w:tcPr>
          <w:p w14:paraId="0C192398"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431</w:t>
            </w:r>
          </w:p>
        </w:tc>
        <w:tc>
          <w:tcPr>
            <w:tcW w:w="1769" w:type="dxa"/>
            <w:vAlign w:val="center"/>
          </w:tcPr>
          <w:p w14:paraId="3B7726FB"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3,9 %</w:t>
            </w:r>
          </w:p>
        </w:tc>
      </w:tr>
      <w:tr w:rsidR="00B4465C" w:rsidRPr="00B4465C" w14:paraId="458743C8" w14:textId="77777777" w:rsidTr="004A0C47">
        <w:trPr>
          <w:trHeight w:val="204"/>
        </w:trPr>
        <w:tc>
          <w:tcPr>
            <w:tcW w:w="971" w:type="dxa"/>
            <w:shd w:val="clear" w:color="auto" w:fill="D9E2F3" w:themeFill="accent1" w:themeFillTint="33"/>
          </w:tcPr>
          <w:p w14:paraId="7A93D543"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2008</w:t>
            </w:r>
          </w:p>
        </w:tc>
        <w:tc>
          <w:tcPr>
            <w:tcW w:w="1655" w:type="dxa"/>
            <w:vAlign w:val="bottom"/>
          </w:tcPr>
          <w:p w14:paraId="14697716"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894</w:t>
            </w:r>
          </w:p>
        </w:tc>
        <w:tc>
          <w:tcPr>
            <w:tcW w:w="660" w:type="dxa"/>
            <w:vAlign w:val="center"/>
          </w:tcPr>
          <w:p w14:paraId="2D0A3154"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518</w:t>
            </w:r>
          </w:p>
        </w:tc>
        <w:tc>
          <w:tcPr>
            <w:tcW w:w="678" w:type="dxa"/>
            <w:vAlign w:val="center"/>
          </w:tcPr>
          <w:p w14:paraId="7B132F0A"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15</w:t>
            </w:r>
          </w:p>
        </w:tc>
        <w:tc>
          <w:tcPr>
            <w:tcW w:w="846" w:type="dxa"/>
            <w:vAlign w:val="center"/>
          </w:tcPr>
          <w:p w14:paraId="2A00966F"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533</w:t>
            </w:r>
          </w:p>
        </w:tc>
        <w:tc>
          <w:tcPr>
            <w:tcW w:w="714" w:type="dxa"/>
            <w:vAlign w:val="center"/>
          </w:tcPr>
          <w:p w14:paraId="7397E747"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346</w:t>
            </w:r>
          </w:p>
        </w:tc>
        <w:tc>
          <w:tcPr>
            <w:tcW w:w="708" w:type="dxa"/>
            <w:vAlign w:val="center"/>
          </w:tcPr>
          <w:p w14:paraId="25908F86"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15</w:t>
            </w:r>
          </w:p>
        </w:tc>
        <w:tc>
          <w:tcPr>
            <w:tcW w:w="851" w:type="dxa"/>
            <w:vAlign w:val="center"/>
          </w:tcPr>
          <w:p w14:paraId="35DEBD8E"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361</w:t>
            </w:r>
          </w:p>
        </w:tc>
        <w:tc>
          <w:tcPr>
            <w:tcW w:w="1769" w:type="dxa"/>
            <w:vAlign w:val="center"/>
          </w:tcPr>
          <w:p w14:paraId="3D1ABB11" w14:textId="77777777" w:rsidR="00B4465C" w:rsidRPr="00B4465C" w:rsidRDefault="00B4465C" w:rsidP="004A0C47">
            <w:pPr>
              <w:jc w:val="center"/>
              <w:rPr>
                <w:rFonts w:ascii="Arial Narrow" w:hAnsi="Arial Narrow"/>
                <w:b/>
                <w:bCs/>
                <w:color w:val="C00000"/>
                <w:sz w:val="18"/>
                <w:szCs w:val="18"/>
              </w:rPr>
            </w:pPr>
            <w:r w:rsidRPr="00B4465C">
              <w:rPr>
                <w:rFonts w:ascii="Arial Narrow" w:hAnsi="Arial Narrow"/>
                <w:b/>
                <w:bCs/>
                <w:color w:val="C00000"/>
                <w:sz w:val="18"/>
                <w:szCs w:val="18"/>
              </w:rPr>
              <w:t>3,4 %</w:t>
            </w:r>
          </w:p>
        </w:tc>
      </w:tr>
      <w:tr w:rsidR="00B4465C" w:rsidRPr="00B4465C" w14:paraId="4025AAFD" w14:textId="77777777" w:rsidTr="004A0C47">
        <w:trPr>
          <w:trHeight w:val="204"/>
        </w:trPr>
        <w:tc>
          <w:tcPr>
            <w:tcW w:w="971" w:type="dxa"/>
            <w:shd w:val="clear" w:color="auto" w:fill="D9E2F3" w:themeFill="accent1" w:themeFillTint="33"/>
          </w:tcPr>
          <w:p w14:paraId="714029DE"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2007</w:t>
            </w:r>
          </w:p>
        </w:tc>
        <w:tc>
          <w:tcPr>
            <w:tcW w:w="1655" w:type="dxa"/>
            <w:vAlign w:val="bottom"/>
          </w:tcPr>
          <w:p w14:paraId="45931E29" w14:textId="77777777" w:rsidR="00B4465C" w:rsidRPr="00B4465C" w:rsidRDefault="00B4465C" w:rsidP="004A0C47">
            <w:pPr>
              <w:jc w:val="center"/>
              <w:rPr>
                <w:rFonts w:ascii="Arial Narrow" w:hAnsi="Arial Narrow"/>
                <w:sz w:val="18"/>
                <w:szCs w:val="18"/>
              </w:rPr>
            </w:pPr>
            <w:r w:rsidRPr="00B4465C">
              <w:rPr>
                <w:rFonts w:ascii="Arial Narrow" w:hAnsi="Arial Narrow"/>
                <w:bCs/>
                <w:sz w:val="18"/>
                <w:szCs w:val="18"/>
              </w:rPr>
              <w:t>665</w:t>
            </w:r>
          </w:p>
        </w:tc>
        <w:tc>
          <w:tcPr>
            <w:tcW w:w="660" w:type="dxa"/>
            <w:vAlign w:val="bottom"/>
          </w:tcPr>
          <w:p w14:paraId="37F8F61E"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w:t>
            </w:r>
          </w:p>
        </w:tc>
        <w:tc>
          <w:tcPr>
            <w:tcW w:w="678" w:type="dxa"/>
            <w:vAlign w:val="bottom"/>
          </w:tcPr>
          <w:p w14:paraId="6506B3F7"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w:t>
            </w:r>
          </w:p>
        </w:tc>
        <w:tc>
          <w:tcPr>
            <w:tcW w:w="846" w:type="dxa"/>
            <w:vAlign w:val="bottom"/>
          </w:tcPr>
          <w:p w14:paraId="4D32E71E"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bCs/>
                <w:sz w:val="18"/>
                <w:szCs w:val="18"/>
              </w:rPr>
              <w:t>423</w:t>
            </w:r>
          </w:p>
        </w:tc>
        <w:tc>
          <w:tcPr>
            <w:tcW w:w="714" w:type="dxa"/>
            <w:vAlign w:val="bottom"/>
          </w:tcPr>
          <w:p w14:paraId="34D94251"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w:t>
            </w:r>
          </w:p>
        </w:tc>
        <w:tc>
          <w:tcPr>
            <w:tcW w:w="708" w:type="dxa"/>
            <w:vAlign w:val="bottom"/>
          </w:tcPr>
          <w:p w14:paraId="0DD1DDCB"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w:t>
            </w:r>
          </w:p>
        </w:tc>
        <w:tc>
          <w:tcPr>
            <w:tcW w:w="851" w:type="dxa"/>
            <w:vAlign w:val="bottom"/>
          </w:tcPr>
          <w:p w14:paraId="47366958"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242</w:t>
            </w:r>
          </w:p>
        </w:tc>
        <w:tc>
          <w:tcPr>
            <w:tcW w:w="1769" w:type="dxa"/>
          </w:tcPr>
          <w:p w14:paraId="0D744271"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w:t>
            </w:r>
          </w:p>
        </w:tc>
      </w:tr>
      <w:tr w:rsidR="00B4465C" w:rsidRPr="00B4465C" w14:paraId="6389E9F0" w14:textId="77777777" w:rsidTr="004A0C47">
        <w:trPr>
          <w:trHeight w:val="204"/>
        </w:trPr>
        <w:tc>
          <w:tcPr>
            <w:tcW w:w="971" w:type="dxa"/>
            <w:shd w:val="clear" w:color="auto" w:fill="D9E2F3" w:themeFill="accent1" w:themeFillTint="33"/>
          </w:tcPr>
          <w:p w14:paraId="001D7FC2"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2006</w:t>
            </w:r>
          </w:p>
        </w:tc>
        <w:tc>
          <w:tcPr>
            <w:tcW w:w="1655" w:type="dxa"/>
            <w:vAlign w:val="bottom"/>
          </w:tcPr>
          <w:p w14:paraId="06BAF2C6"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595</w:t>
            </w:r>
          </w:p>
        </w:tc>
        <w:tc>
          <w:tcPr>
            <w:tcW w:w="660" w:type="dxa"/>
            <w:vAlign w:val="bottom"/>
          </w:tcPr>
          <w:p w14:paraId="4D00395F"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w:t>
            </w:r>
          </w:p>
        </w:tc>
        <w:tc>
          <w:tcPr>
            <w:tcW w:w="678" w:type="dxa"/>
            <w:vAlign w:val="bottom"/>
          </w:tcPr>
          <w:p w14:paraId="1CA5D682"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w:t>
            </w:r>
          </w:p>
        </w:tc>
        <w:tc>
          <w:tcPr>
            <w:tcW w:w="846" w:type="dxa"/>
            <w:vAlign w:val="bottom"/>
          </w:tcPr>
          <w:p w14:paraId="2122FE16"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382</w:t>
            </w:r>
          </w:p>
        </w:tc>
        <w:tc>
          <w:tcPr>
            <w:tcW w:w="714" w:type="dxa"/>
            <w:vAlign w:val="bottom"/>
          </w:tcPr>
          <w:p w14:paraId="567A690F"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w:t>
            </w:r>
          </w:p>
        </w:tc>
        <w:tc>
          <w:tcPr>
            <w:tcW w:w="708" w:type="dxa"/>
            <w:vAlign w:val="bottom"/>
          </w:tcPr>
          <w:p w14:paraId="311D40D6"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w:t>
            </w:r>
          </w:p>
        </w:tc>
        <w:tc>
          <w:tcPr>
            <w:tcW w:w="851" w:type="dxa"/>
            <w:vAlign w:val="bottom"/>
          </w:tcPr>
          <w:p w14:paraId="4A4D2A28" w14:textId="77777777" w:rsidR="00B4465C" w:rsidRPr="00B4465C" w:rsidRDefault="00B4465C" w:rsidP="004A0C47">
            <w:pPr>
              <w:spacing w:after="46"/>
              <w:jc w:val="center"/>
              <w:rPr>
                <w:rFonts w:ascii="Arial Narrow" w:hAnsi="Arial Narrow"/>
                <w:sz w:val="18"/>
                <w:szCs w:val="18"/>
              </w:rPr>
            </w:pPr>
            <w:r w:rsidRPr="00B4465C">
              <w:rPr>
                <w:rFonts w:ascii="Arial Narrow" w:hAnsi="Arial Narrow"/>
                <w:sz w:val="18"/>
                <w:szCs w:val="18"/>
              </w:rPr>
              <w:t>213</w:t>
            </w:r>
          </w:p>
        </w:tc>
        <w:tc>
          <w:tcPr>
            <w:tcW w:w="1769" w:type="dxa"/>
          </w:tcPr>
          <w:p w14:paraId="0D572743" w14:textId="77777777" w:rsidR="00B4465C" w:rsidRPr="00B4465C" w:rsidRDefault="00B4465C" w:rsidP="004A0C47">
            <w:pPr>
              <w:jc w:val="center"/>
              <w:rPr>
                <w:rFonts w:ascii="Arial Narrow" w:hAnsi="Arial Narrow"/>
                <w:sz w:val="18"/>
                <w:szCs w:val="18"/>
              </w:rPr>
            </w:pPr>
            <w:r w:rsidRPr="00B4465C">
              <w:rPr>
                <w:rFonts w:ascii="Arial Narrow" w:hAnsi="Arial Narrow"/>
                <w:sz w:val="18"/>
                <w:szCs w:val="18"/>
              </w:rPr>
              <w:t>-</w:t>
            </w:r>
          </w:p>
        </w:tc>
      </w:tr>
    </w:tbl>
    <w:p w14:paraId="3CE089A9" w14:textId="77777777" w:rsidR="00B4465C" w:rsidRPr="00B4465C" w:rsidRDefault="00B4465C" w:rsidP="00B4465C">
      <w:pPr>
        <w:rPr>
          <w:rFonts w:ascii="Arial Narrow" w:hAnsi="Arial Narrow"/>
          <w:b/>
          <w:bCs/>
          <w:sz w:val="28"/>
          <w:szCs w:val="28"/>
        </w:rPr>
      </w:pPr>
      <w:r w:rsidRPr="00B4465C">
        <w:rPr>
          <w:rFonts w:ascii="Arial Narrow" w:hAnsi="Arial Narrow"/>
          <w:color w:val="000000"/>
          <w:sz w:val="20"/>
          <w:szCs w:val="20"/>
          <w:lang w:eastAsia="cs-CZ"/>
        </w:rPr>
        <w:t xml:space="preserve">Zdroj: </w:t>
      </w:r>
      <w:r w:rsidRPr="00B4465C">
        <w:rPr>
          <w:rFonts w:ascii="Arial Narrow" w:hAnsi="Arial Narrow"/>
          <w:sz w:val="20"/>
          <w:szCs w:val="20"/>
        </w:rPr>
        <w:t>Ministerstvo vnitra České republiky</w:t>
      </w:r>
      <w:r w:rsidRPr="00B4465C">
        <w:rPr>
          <w:rFonts w:ascii="Arial Narrow" w:hAnsi="Arial Narrow"/>
          <w:sz w:val="20"/>
          <w:szCs w:val="20"/>
        </w:rPr>
        <w:tab/>
      </w:r>
      <w:r w:rsidRPr="00B4465C">
        <w:rPr>
          <w:rFonts w:ascii="Arial Narrow" w:hAnsi="Arial Narrow"/>
          <w:sz w:val="20"/>
          <w:szCs w:val="20"/>
        </w:rPr>
        <w:tab/>
      </w:r>
      <w:r w:rsidRPr="00B4465C">
        <w:rPr>
          <w:rFonts w:ascii="Arial Narrow" w:hAnsi="Arial Narrow"/>
          <w:sz w:val="20"/>
          <w:szCs w:val="20"/>
        </w:rPr>
        <w:tab/>
      </w:r>
      <w:r w:rsidRPr="00B4465C">
        <w:rPr>
          <w:rFonts w:ascii="Arial Narrow" w:hAnsi="Arial Narrow"/>
          <w:sz w:val="20"/>
          <w:szCs w:val="20"/>
        </w:rPr>
        <w:tab/>
        <w:t xml:space="preserve">                       Graf: AUGUR </w:t>
      </w:r>
      <w:proofErr w:type="spellStart"/>
      <w:r w:rsidRPr="00B4465C">
        <w:rPr>
          <w:rFonts w:ascii="Arial Narrow" w:hAnsi="Arial Narrow"/>
          <w:sz w:val="20"/>
          <w:szCs w:val="20"/>
        </w:rPr>
        <w:t>Consulting</w:t>
      </w:r>
      <w:proofErr w:type="spellEnd"/>
      <w:r w:rsidRPr="00B4465C">
        <w:rPr>
          <w:rFonts w:ascii="Arial Narrow" w:hAnsi="Arial Narrow"/>
          <w:sz w:val="20"/>
          <w:szCs w:val="20"/>
        </w:rPr>
        <w:t xml:space="preserve"> s.r.o.</w:t>
      </w:r>
    </w:p>
    <w:p w14:paraId="68E893C3" w14:textId="0D0DDA56" w:rsidR="00C475C3" w:rsidRPr="00B4465C" w:rsidRDefault="00C475C3" w:rsidP="00B4465C">
      <w:pPr>
        <w:spacing w:after="120" w:line="276" w:lineRule="auto"/>
        <w:jc w:val="both"/>
        <w:rPr>
          <w:rFonts w:ascii="Arial Narrow" w:hAnsi="Arial Narrow"/>
          <w:color w:val="000000"/>
          <w:lang w:eastAsia="cs-CZ"/>
        </w:rPr>
      </w:pPr>
    </w:p>
    <w:p w14:paraId="756BA353" w14:textId="73FE7C35" w:rsidR="00B4465C" w:rsidRPr="00CE357F" w:rsidRDefault="00B4465C" w:rsidP="00B4465C">
      <w:pPr>
        <w:tabs>
          <w:tab w:val="left" w:pos="7526"/>
        </w:tabs>
        <w:spacing w:after="240" w:line="276" w:lineRule="auto"/>
        <w:rPr>
          <w:rFonts w:ascii="Arial Narrow" w:hAnsi="Arial Narrow"/>
          <w:b/>
          <w:bCs/>
          <w:color w:val="C00000"/>
        </w:rPr>
      </w:pPr>
      <w:r w:rsidRPr="00E715BA">
        <w:rPr>
          <w:rFonts w:ascii="Arial Narrow" w:hAnsi="Arial Narrow"/>
          <w:b/>
          <w:bCs/>
          <w:color w:val="C00000"/>
        </w:rPr>
        <w:t xml:space="preserve">Osoby s jinou než českou státní příslušností v ORP Vyškov v letech </w:t>
      </w:r>
      <w:r w:rsidR="006355B6" w:rsidRPr="00CE357F">
        <w:rPr>
          <w:rFonts w:ascii="Arial Narrow" w:hAnsi="Arial Narrow"/>
          <w:b/>
          <w:bCs/>
          <w:color w:val="C00000"/>
        </w:rPr>
        <w:t>2021</w:t>
      </w:r>
      <w:r w:rsidR="006355B6">
        <w:rPr>
          <w:rFonts w:ascii="Arial Narrow" w:hAnsi="Arial Narrow"/>
          <w:b/>
          <w:bCs/>
          <w:color w:val="C00000"/>
        </w:rPr>
        <w:t>, 2022</w:t>
      </w:r>
      <w:r w:rsidR="006355B6" w:rsidRPr="00CE357F">
        <w:rPr>
          <w:rFonts w:ascii="Arial Narrow" w:hAnsi="Arial Narrow"/>
          <w:b/>
          <w:bCs/>
          <w:color w:val="C00000"/>
        </w:rPr>
        <w:t xml:space="preserve"> a 202</w:t>
      </w:r>
      <w:r w:rsidR="006355B6">
        <w:rPr>
          <w:rFonts w:ascii="Arial Narrow" w:hAnsi="Arial Narrow"/>
          <w:b/>
          <w:bCs/>
          <w:color w:val="C00000"/>
        </w:rPr>
        <w:t>3</w:t>
      </w:r>
      <w:r>
        <w:rPr>
          <w:rFonts w:ascii="Arial Narrow" w:hAnsi="Arial Narrow"/>
          <w:b/>
          <w:bCs/>
          <w:color w:val="C00000"/>
        </w:rPr>
        <w:tab/>
      </w:r>
    </w:p>
    <w:p w14:paraId="3D65930D" w14:textId="77777777" w:rsidR="00B4465C" w:rsidRPr="00CE357F" w:rsidRDefault="00B4465C" w:rsidP="00B4465C">
      <w:pPr>
        <w:spacing w:after="240" w:line="276" w:lineRule="auto"/>
        <w:jc w:val="both"/>
        <w:rPr>
          <w:rFonts w:ascii="Arial Narrow" w:hAnsi="Arial Narrow"/>
          <w:bCs/>
        </w:rPr>
      </w:pPr>
      <w:r w:rsidRPr="00CE357F">
        <w:rPr>
          <w:rFonts w:ascii="Arial Narrow" w:hAnsi="Arial Narrow"/>
          <w:bCs/>
        </w:rPr>
        <w:t xml:space="preserve">Tato kapitola podrobně mapuje počet osob s jinou než českou státní příslušností ve vybraných obcí ORP Vyškov v letech 2021-2022 dle věku, pohlaví a podílu těchto osob na celkovém počtu obyvatel daných obcí. </w:t>
      </w:r>
    </w:p>
    <w:p w14:paraId="7CC722C6" w14:textId="77777777" w:rsidR="00B4465C" w:rsidRPr="00CE357F" w:rsidRDefault="00B4465C" w:rsidP="00B4465C">
      <w:pPr>
        <w:spacing w:line="276" w:lineRule="auto"/>
        <w:rPr>
          <w:rFonts w:ascii="Arial Narrow" w:hAnsi="Arial Narrow"/>
          <w:b/>
          <w:bCs/>
        </w:rPr>
      </w:pPr>
      <w:r w:rsidRPr="00CE357F">
        <w:rPr>
          <w:rFonts w:ascii="Arial Narrow" w:hAnsi="Arial Narrow"/>
          <w:b/>
          <w:bCs/>
        </w:rPr>
        <w:t>Osoby s jinou než českou státní příslušností v ORP Vyškov k datu 1. 1. 2021</w:t>
      </w:r>
    </w:p>
    <w:p w14:paraId="7E8E09F3" w14:textId="77777777" w:rsidR="00B4465C" w:rsidRPr="00CE357F" w:rsidRDefault="00B4465C" w:rsidP="00B4465C">
      <w:pPr>
        <w:spacing w:line="276" w:lineRule="auto"/>
        <w:rPr>
          <w:rFonts w:ascii="Arial Narrow" w:hAnsi="Arial Narrow"/>
          <w:b/>
          <w:bCs/>
        </w:rPr>
      </w:pPr>
    </w:p>
    <w:p w14:paraId="2A20B194" w14:textId="33F54416" w:rsidR="00B4465C" w:rsidRPr="00CE357F" w:rsidRDefault="00B4465C" w:rsidP="00B4465C">
      <w:pPr>
        <w:spacing w:after="120" w:line="276" w:lineRule="auto"/>
        <w:jc w:val="both"/>
        <w:rPr>
          <w:rFonts w:ascii="Arial Narrow" w:hAnsi="Arial Narrow"/>
          <w:color w:val="000000"/>
        </w:rPr>
      </w:pPr>
      <w:r w:rsidRPr="00CE357F">
        <w:rPr>
          <w:rFonts w:ascii="Arial Narrow" w:hAnsi="Arial Narrow"/>
          <w:color w:val="000000"/>
        </w:rPr>
        <w:t xml:space="preserve">V ORP Vyškov žilo k datu 1. 1. 2021 celkem 1 383 osob s jinou než českou státní příslušností, což bylo zhruba </w:t>
      </w:r>
      <w:r>
        <w:rPr>
          <w:rFonts w:ascii="Arial Narrow" w:hAnsi="Arial Narrow"/>
          <w:color w:val="000000"/>
        </w:rPr>
        <w:br/>
      </w:r>
      <w:r w:rsidRPr="00CE357F">
        <w:rPr>
          <w:rFonts w:ascii="Arial Narrow" w:hAnsi="Arial Narrow"/>
          <w:color w:val="000000"/>
        </w:rPr>
        <w:t xml:space="preserve">2,7 % všech obyvatel ORP Vyškov. Z celkového počtu 1 383 osob s jinou než českou státní příslušností se jednalo o 568 občanů EU a 815 občanů třetích zemí. Více než polovina (58,5 %) všech osob s jinou než českou státní příslušností na území OPR Vyškov měla trvalý pobyt, 41,5 % osob s jinou než českou státní příslušností pak pobyt přechodný. Děti do 15 let tvořily k 1. 1. 2021 celkem 9,1 % všech osob s jinou než českou státní příslušností na území ORP Vyškov. </w:t>
      </w:r>
    </w:p>
    <w:p w14:paraId="43494FCF" w14:textId="77777777" w:rsidR="00B4465C" w:rsidRPr="00CE357F" w:rsidRDefault="00B4465C" w:rsidP="00B4465C">
      <w:pPr>
        <w:spacing w:after="120" w:line="276" w:lineRule="auto"/>
        <w:jc w:val="both"/>
        <w:rPr>
          <w:rFonts w:ascii="Arial Narrow" w:hAnsi="Arial Narrow"/>
          <w:color w:val="000000"/>
        </w:rPr>
      </w:pPr>
      <w:r w:rsidRPr="00CE357F">
        <w:rPr>
          <w:rFonts w:ascii="Arial Narrow" w:hAnsi="Arial Narrow"/>
          <w:color w:val="000000"/>
        </w:rPr>
        <w:t>Nejvyšší podíl osob s jinou než českou státní příslušností na celkovém počtu obyvatel v dané obci byl v obcích Vážany, kde tyto osoby 5 % všech obyvatel, a v obci Rousínov, kde tyto osoby tvořily 4 % všech obyvatel.</w:t>
      </w:r>
    </w:p>
    <w:p w14:paraId="6E879841" w14:textId="1835E735" w:rsidR="00B4465C" w:rsidRPr="00CE357F" w:rsidRDefault="00B4465C" w:rsidP="00B4465C">
      <w:pPr>
        <w:spacing w:after="120" w:line="276" w:lineRule="auto"/>
        <w:jc w:val="both"/>
        <w:rPr>
          <w:rFonts w:ascii="Arial Narrow" w:hAnsi="Arial Narrow"/>
          <w:b/>
          <w:bCs/>
          <w:sz w:val="20"/>
          <w:szCs w:val="20"/>
        </w:rPr>
      </w:pPr>
      <w:r w:rsidRPr="00CE357F">
        <w:rPr>
          <w:rFonts w:ascii="Arial Narrow" w:hAnsi="Arial Narrow"/>
          <w:color w:val="000000"/>
        </w:rPr>
        <w:t>V ORP Vyškov bylo k 1. 1. 2010 celkem 42 obcí, přičemž ve 40 obcích se nacházela alespoň jedna osoba s jinou než českou státní příslušností. Z důvodu velkého množství dat proto dále pracujeme jen s obcemi, na jejichž území v dané době pobývalo 10 a více osob s jinou než českou státní příslušností. Počty osob s jinou než českou státní příslušností v daných obcích včetně rozdělení těchto osob podle pohlaví a věku</w:t>
      </w:r>
      <w:r w:rsidR="00E32FA2">
        <w:rPr>
          <w:rFonts w:ascii="Arial Narrow" w:hAnsi="Arial Narrow"/>
          <w:color w:val="000000"/>
        </w:rPr>
        <w:t xml:space="preserve"> a jejich podílu na celkovém počtu obyvatel</w:t>
      </w:r>
      <w:r w:rsidRPr="00CE357F">
        <w:rPr>
          <w:rFonts w:ascii="Arial Narrow" w:hAnsi="Arial Narrow"/>
          <w:color w:val="000000"/>
        </w:rPr>
        <w:t xml:space="preserve"> podrobně dokumentuje následující tabulka</w:t>
      </w:r>
      <w:r w:rsidR="00E32FA2">
        <w:rPr>
          <w:rFonts w:ascii="Arial Narrow" w:hAnsi="Arial Narrow"/>
          <w:color w:val="000000"/>
        </w:rPr>
        <w:t xml:space="preserve"> č. 66 a graf č. 133</w:t>
      </w:r>
      <w:r w:rsidRPr="00CE357F">
        <w:rPr>
          <w:rFonts w:ascii="Arial Narrow" w:hAnsi="Arial Narrow"/>
          <w:color w:val="000000"/>
        </w:rPr>
        <w:t xml:space="preserve">. </w:t>
      </w:r>
      <w:r w:rsidRPr="00CE357F">
        <w:rPr>
          <w:rFonts w:ascii="Arial Narrow" w:hAnsi="Arial Narrow"/>
          <w:color w:val="000000"/>
        </w:rPr>
        <w:tab/>
      </w:r>
      <w:r w:rsidRPr="00CE357F">
        <w:rPr>
          <w:rFonts w:ascii="Arial Narrow" w:hAnsi="Arial Narrow"/>
          <w:color w:val="000000"/>
        </w:rPr>
        <w:tab/>
      </w:r>
    </w:p>
    <w:p w14:paraId="62E8F092" w14:textId="27FB07B0" w:rsidR="00B4465C" w:rsidRPr="00CE357F" w:rsidRDefault="00B4465C" w:rsidP="00B4465C">
      <w:pPr>
        <w:jc w:val="both"/>
        <w:rPr>
          <w:rFonts w:ascii="Arial Narrow" w:hAnsi="Arial Narrow"/>
        </w:rPr>
      </w:pPr>
      <w:bookmarkStart w:id="840" w:name="_Toc136429277"/>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66</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Vyškov v roce 2021</w:t>
      </w:r>
      <w:bookmarkEnd w:id="840"/>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84"/>
        <w:gridCol w:w="837"/>
        <w:gridCol w:w="1470"/>
        <w:gridCol w:w="2057"/>
        <w:gridCol w:w="559"/>
        <w:gridCol w:w="435"/>
        <w:gridCol w:w="717"/>
        <w:gridCol w:w="555"/>
        <w:gridCol w:w="542"/>
        <w:gridCol w:w="801"/>
      </w:tblGrid>
      <w:tr w:rsidR="00B4465C" w:rsidRPr="00CE357F" w14:paraId="31334E17" w14:textId="77777777" w:rsidTr="004A0C47">
        <w:trPr>
          <w:trHeight w:val="204"/>
        </w:trPr>
        <w:tc>
          <w:tcPr>
            <w:tcW w:w="989" w:type="dxa"/>
            <w:vMerge w:val="restart"/>
            <w:shd w:val="clear" w:color="auto" w:fill="D9E2F3" w:themeFill="accent1" w:themeFillTint="33"/>
            <w:vAlign w:val="center"/>
          </w:tcPr>
          <w:p w14:paraId="1D61EDBA"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845" w:type="dxa"/>
            <w:vMerge w:val="restart"/>
            <w:shd w:val="clear" w:color="auto" w:fill="D9E2F3" w:themeFill="accent1" w:themeFillTint="33"/>
            <w:vAlign w:val="center"/>
          </w:tcPr>
          <w:p w14:paraId="50E9C67F" w14:textId="77777777" w:rsidR="00B4465C" w:rsidRPr="00CE357F" w:rsidRDefault="00B4465C"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523" w:type="dxa"/>
            <w:vMerge w:val="restart"/>
            <w:shd w:val="clear" w:color="auto" w:fill="D9E2F3" w:themeFill="accent1" w:themeFillTint="33"/>
            <w:vAlign w:val="center"/>
          </w:tcPr>
          <w:p w14:paraId="3370CC6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Osoby s jinou než českou státní příslušností</w:t>
            </w:r>
            <w:r w:rsidRPr="00CE357F">
              <w:rPr>
                <w:rFonts w:ascii="Arial Narrow" w:eastAsia="Times New Roman" w:hAnsi="Arial Narrow" w:cs="Arial"/>
                <w:sz w:val="18"/>
                <w:szCs w:val="18"/>
                <w:lang w:eastAsia="cs-CZ"/>
              </w:rPr>
              <w:t xml:space="preserve"> celkem</w:t>
            </w:r>
          </w:p>
        </w:tc>
        <w:tc>
          <w:tcPr>
            <w:tcW w:w="2172" w:type="dxa"/>
            <w:vMerge w:val="restart"/>
            <w:shd w:val="clear" w:color="auto" w:fill="D9E2F3" w:themeFill="accent1" w:themeFillTint="33"/>
            <w:vAlign w:val="center"/>
          </w:tcPr>
          <w:p w14:paraId="095D81B4" w14:textId="77777777" w:rsidR="00B4465C" w:rsidRPr="00CE357F" w:rsidRDefault="00B4465C"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Podíl </w:t>
            </w:r>
            <w:r w:rsidRPr="00CE357F">
              <w:rPr>
                <w:rFonts w:ascii="Arial Narrow" w:hAnsi="Arial Narrow"/>
                <w:color w:val="000000"/>
                <w:sz w:val="18"/>
                <w:szCs w:val="18"/>
              </w:rPr>
              <w:t>osob s jinou než českou státní příslušností</w:t>
            </w:r>
            <w:r w:rsidRPr="00CE357F">
              <w:rPr>
                <w:rFonts w:ascii="Arial Narrow" w:eastAsia="Times New Roman" w:hAnsi="Arial Narrow" w:cs="Arial"/>
                <w:sz w:val="18"/>
                <w:szCs w:val="18"/>
                <w:lang w:eastAsia="cs-CZ"/>
              </w:rPr>
              <w:t xml:space="preserve"> na celkovém počtu obyvatel</w:t>
            </w:r>
          </w:p>
        </w:tc>
        <w:tc>
          <w:tcPr>
            <w:tcW w:w="1722" w:type="dxa"/>
            <w:gridSpan w:val="3"/>
            <w:shd w:val="clear" w:color="auto" w:fill="D9E2F3" w:themeFill="accent1" w:themeFillTint="33"/>
            <w:vAlign w:val="center"/>
          </w:tcPr>
          <w:p w14:paraId="63458F69"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1929" w:type="dxa"/>
            <w:gridSpan w:val="3"/>
            <w:shd w:val="clear" w:color="auto" w:fill="D9E2F3" w:themeFill="accent1" w:themeFillTint="33"/>
            <w:vAlign w:val="center"/>
          </w:tcPr>
          <w:p w14:paraId="7E9B91BF"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B4465C" w:rsidRPr="00CE357F" w14:paraId="51B1A082" w14:textId="77777777" w:rsidTr="004A0C47">
        <w:trPr>
          <w:trHeight w:val="204"/>
        </w:trPr>
        <w:tc>
          <w:tcPr>
            <w:tcW w:w="989" w:type="dxa"/>
            <w:vMerge/>
            <w:shd w:val="clear" w:color="auto" w:fill="D9E2F3" w:themeFill="accent1" w:themeFillTint="33"/>
            <w:vAlign w:val="center"/>
          </w:tcPr>
          <w:p w14:paraId="18478C05" w14:textId="77777777" w:rsidR="00B4465C" w:rsidRPr="00CE357F" w:rsidRDefault="00B4465C" w:rsidP="004A0C47">
            <w:pPr>
              <w:jc w:val="center"/>
              <w:rPr>
                <w:rFonts w:ascii="Arial Narrow" w:eastAsia="Times New Roman" w:hAnsi="Arial Narrow" w:cs="Arial"/>
                <w:sz w:val="18"/>
                <w:szCs w:val="18"/>
                <w:lang w:eastAsia="cs-CZ"/>
              </w:rPr>
            </w:pPr>
          </w:p>
        </w:tc>
        <w:tc>
          <w:tcPr>
            <w:tcW w:w="845" w:type="dxa"/>
            <w:vMerge/>
            <w:shd w:val="clear" w:color="auto" w:fill="D9E2F3" w:themeFill="accent1" w:themeFillTint="33"/>
            <w:vAlign w:val="center"/>
          </w:tcPr>
          <w:p w14:paraId="0BD3501F" w14:textId="77777777" w:rsidR="00B4465C" w:rsidRPr="00CE357F" w:rsidRDefault="00B4465C" w:rsidP="004A0C47">
            <w:pPr>
              <w:jc w:val="center"/>
              <w:rPr>
                <w:rFonts w:ascii="Arial Narrow" w:eastAsia="Times New Roman" w:hAnsi="Arial Narrow" w:cs="Arial"/>
                <w:sz w:val="18"/>
                <w:szCs w:val="18"/>
                <w:lang w:eastAsia="cs-CZ"/>
              </w:rPr>
            </w:pPr>
          </w:p>
        </w:tc>
        <w:tc>
          <w:tcPr>
            <w:tcW w:w="1523" w:type="dxa"/>
            <w:vMerge/>
            <w:shd w:val="clear" w:color="auto" w:fill="D9E2F3" w:themeFill="accent1" w:themeFillTint="33"/>
            <w:vAlign w:val="center"/>
          </w:tcPr>
          <w:p w14:paraId="44B5607F" w14:textId="77777777" w:rsidR="00B4465C" w:rsidRPr="00CE357F" w:rsidRDefault="00B4465C" w:rsidP="004A0C47">
            <w:pPr>
              <w:jc w:val="center"/>
              <w:rPr>
                <w:rFonts w:ascii="Arial Narrow" w:eastAsia="Times New Roman" w:hAnsi="Arial Narrow" w:cs="Arial"/>
                <w:sz w:val="18"/>
                <w:szCs w:val="18"/>
                <w:lang w:eastAsia="cs-CZ"/>
              </w:rPr>
            </w:pPr>
          </w:p>
        </w:tc>
        <w:tc>
          <w:tcPr>
            <w:tcW w:w="2172" w:type="dxa"/>
            <w:vMerge/>
            <w:shd w:val="clear" w:color="auto" w:fill="D9E2F3" w:themeFill="accent1" w:themeFillTint="33"/>
            <w:vAlign w:val="center"/>
          </w:tcPr>
          <w:p w14:paraId="7D43BA8E" w14:textId="77777777" w:rsidR="00B4465C" w:rsidRPr="00CE357F" w:rsidRDefault="00B4465C" w:rsidP="004A0C47">
            <w:pPr>
              <w:jc w:val="center"/>
              <w:rPr>
                <w:rFonts w:ascii="Arial Narrow" w:eastAsia="Times New Roman" w:hAnsi="Arial Narrow" w:cs="Arial"/>
                <w:sz w:val="18"/>
                <w:szCs w:val="18"/>
                <w:lang w:eastAsia="cs-CZ"/>
              </w:rPr>
            </w:pPr>
          </w:p>
        </w:tc>
        <w:tc>
          <w:tcPr>
            <w:tcW w:w="567" w:type="dxa"/>
            <w:shd w:val="clear" w:color="auto" w:fill="D9E2F3" w:themeFill="accent1" w:themeFillTint="33"/>
            <w:vAlign w:val="center"/>
          </w:tcPr>
          <w:p w14:paraId="2A58D24C"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438" w:type="dxa"/>
            <w:shd w:val="clear" w:color="auto" w:fill="D9E2F3" w:themeFill="accent1" w:themeFillTint="33"/>
            <w:vAlign w:val="center"/>
          </w:tcPr>
          <w:p w14:paraId="2C887910"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0A993149"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62" w:type="dxa"/>
            <w:shd w:val="clear" w:color="auto" w:fill="D9E2F3" w:themeFill="accent1" w:themeFillTint="33"/>
            <w:vAlign w:val="center"/>
          </w:tcPr>
          <w:p w14:paraId="32046229"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57" w:type="dxa"/>
            <w:shd w:val="clear" w:color="auto" w:fill="D9E2F3" w:themeFill="accent1" w:themeFillTint="33"/>
            <w:vAlign w:val="center"/>
          </w:tcPr>
          <w:p w14:paraId="6D3691EA"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810" w:type="dxa"/>
            <w:shd w:val="clear" w:color="auto" w:fill="D9E2F3" w:themeFill="accent1" w:themeFillTint="33"/>
            <w:vAlign w:val="center"/>
          </w:tcPr>
          <w:p w14:paraId="6188A1BC"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B4465C" w:rsidRPr="00CE357F" w14:paraId="248F1EAC" w14:textId="77777777" w:rsidTr="004A0C47">
        <w:trPr>
          <w:trHeight w:val="204"/>
        </w:trPr>
        <w:tc>
          <w:tcPr>
            <w:tcW w:w="989" w:type="dxa"/>
            <w:shd w:val="clear" w:color="auto" w:fill="D9E2F3" w:themeFill="accent1" w:themeFillTint="33"/>
            <w:vAlign w:val="center"/>
          </w:tcPr>
          <w:p w14:paraId="266774B1"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Vážany</w:t>
            </w:r>
          </w:p>
        </w:tc>
        <w:tc>
          <w:tcPr>
            <w:tcW w:w="845" w:type="dxa"/>
            <w:vAlign w:val="center"/>
          </w:tcPr>
          <w:p w14:paraId="69F47F7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437</w:t>
            </w:r>
          </w:p>
        </w:tc>
        <w:tc>
          <w:tcPr>
            <w:tcW w:w="1523" w:type="dxa"/>
            <w:vAlign w:val="center"/>
          </w:tcPr>
          <w:p w14:paraId="63CBF2C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22</w:t>
            </w:r>
          </w:p>
        </w:tc>
        <w:tc>
          <w:tcPr>
            <w:tcW w:w="2172" w:type="dxa"/>
            <w:vAlign w:val="center"/>
          </w:tcPr>
          <w:p w14:paraId="222D3BEC" w14:textId="77777777" w:rsidR="00B4465C" w:rsidRPr="00CE357F" w:rsidRDefault="00B4465C" w:rsidP="004A0C47">
            <w:pPr>
              <w:jc w:val="center"/>
              <w:rPr>
                <w:rFonts w:ascii="Arial Narrow" w:hAnsi="Arial Narrow"/>
                <w:b/>
                <w:sz w:val="18"/>
                <w:szCs w:val="18"/>
              </w:rPr>
            </w:pPr>
            <w:r w:rsidRPr="00CE357F">
              <w:rPr>
                <w:rFonts w:ascii="Arial Narrow" w:hAnsi="Arial Narrow"/>
                <w:b/>
                <w:color w:val="C00000"/>
                <w:sz w:val="18"/>
                <w:szCs w:val="18"/>
              </w:rPr>
              <w:t>5,0 %</w:t>
            </w:r>
          </w:p>
        </w:tc>
        <w:tc>
          <w:tcPr>
            <w:tcW w:w="567" w:type="dxa"/>
            <w:vAlign w:val="center"/>
          </w:tcPr>
          <w:p w14:paraId="3C6083BB"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13</w:t>
            </w:r>
          </w:p>
        </w:tc>
        <w:tc>
          <w:tcPr>
            <w:tcW w:w="438" w:type="dxa"/>
            <w:vAlign w:val="center"/>
          </w:tcPr>
          <w:p w14:paraId="5DAA8336"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71788621"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13</w:t>
            </w:r>
          </w:p>
        </w:tc>
        <w:tc>
          <w:tcPr>
            <w:tcW w:w="562" w:type="dxa"/>
            <w:vAlign w:val="center"/>
          </w:tcPr>
          <w:p w14:paraId="37BEA630"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9</w:t>
            </w:r>
          </w:p>
        </w:tc>
        <w:tc>
          <w:tcPr>
            <w:tcW w:w="557" w:type="dxa"/>
            <w:vAlign w:val="center"/>
          </w:tcPr>
          <w:p w14:paraId="27FA3F3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810" w:type="dxa"/>
            <w:vAlign w:val="center"/>
          </w:tcPr>
          <w:p w14:paraId="46577778"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9</w:t>
            </w:r>
          </w:p>
        </w:tc>
      </w:tr>
      <w:tr w:rsidR="00B4465C" w:rsidRPr="00CE357F" w14:paraId="1F1E7444" w14:textId="77777777" w:rsidTr="004A0C47">
        <w:trPr>
          <w:trHeight w:val="204"/>
        </w:trPr>
        <w:tc>
          <w:tcPr>
            <w:tcW w:w="989" w:type="dxa"/>
            <w:shd w:val="clear" w:color="auto" w:fill="D9E2F3" w:themeFill="accent1" w:themeFillTint="33"/>
            <w:vAlign w:val="center"/>
          </w:tcPr>
          <w:p w14:paraId="21986B6D"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Rousínov</w:t>
            </w:r>
          </w:p>
        </w:tc>
        <w:tc>
          <w:tcPr>
            <w:tcW w:w="845" w:type="dxa"/>
            <w:vAlign w:val="center"/>
          </w:tcPr>
          <w:p w14:paraId="6F5DFE40"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5 545</w:t>
            </w:r>
          </w:p>
        </w:tc>
        <w:tc>
          <w:tcPr>
            <w:tcW w:w="1523" w:type="dxa"/>
            <w:vAlign w:val="center"/>
          </w:tcPr>
          <w:p w14:paraId="03EFCC4C"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222</w:t>
            </w:r>
          </w:p>
        </w:tc>
        <w:tc>
          <w:tcPr>
            <w:tcW w:w="2172" w:type="dxa"/>
            <w:vAlign w:val="center"/>
          </w:tcPr>
          <w:p w14:paraId="217D3A95" w14:textId="77777777" w:rsidR="00B4465C" w:rsidRPr="00CE357F" w:rsidRDefault="00B4465C" w:rsidP="004A0C47">
            <w:pPr>
              <w:jc w:val="center"/>
              <w:rPr>
                <w:rFonts w:ascii="Arial Narrow" w:hAnsi="Arial Narrow"/>
                <w:b/>
                <w:bCs/>
                <w:sz w:val="18"/>
                <w:szCs w:val="18"/>
              </w:rPr>
            </w:pPr>
            <w:r w:rsidRPr="00CE357F">
              <w:rPr>
                <w:rFonts w:ascii="Arial Narrow" w:hAnsi="Arial Narrow"/>
                <w:b/>
                <w:bCs/>
                <w:color w:val="C00000"/>
                <w:sz w:val="18"/>
                <w:szCs w:val="18"/>
              </w:rPr>
              <w:t>4,0 %</w:t>
            </w:r>
          </w:p>
        </w:tc>
        <w:tc>
          <w:tcPr>
            <w:tcW w:w="567" w:type="dxa"/>
            <w:vAlign w:val="center"/>
          </w:tcPr>
          <w:p w14:paraId="5C3D17BB"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110</w:t>
            </w:r>
          </w:p>
        </w:tc>
        <w:tc>
          <w:tcPr>
            <w:tcW w:w="438" w:type="dxa"/>
            <w:vAlign w:val="center"/>
          </w:tcPr>
          <w:p w14:paraId="2EC4443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13</w:t>
            </w:r>
          </w:p>
        </w:tc>
        <w:tc>
          <w:tcPr>
            <w:tcW w:w="717" w:type="dxa"/>
            <w:vAlign w:val="center"/>
          </w:tcPr>
          <w:p w14:paraId="3A79BF4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123</w:t>
            </w:r>
          </w:p>
        </w:tc>
        <w:tc>
          <w:tcPr>
            <w:tcW w:w="562" w:type="dxa"/>
            <w:vAlign w:val="center"/>
          </w:tcPr>
          <w:p w14:paraId="6BACFE8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79</w:t>
            </w:r>
          </w:p>
        </w:tc>
        <w:tc>
          <w:tcPr>
            <w:tcW w:w="557" w:type="dxa"/>
            <w:vAlign w:val="center"/>
          </w:tcPr>
          <w:p w14:paraId="66AE8B0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20</w:t>
            </w:r>
          </w:p>
        </w:tc>
        <w:tc>
          <w:tcPr>
            <w:tcW w:w="810" w:type="dxa"/>
            <w:vAlign w:val="center"/>
          </w:tcPr>
          <w:p w14:paraId="5117F4FD"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99</w:t>
            </w:r>
          </w:p>
        </w:tc>
      </w:tr>
      <w:tr w:rsidR="00B4465C" w:rsidRPr="00CE357F" w14:paraId="6127F85C" w14:textId="77777777" w:rsidTr="004A0C47">
        <w:trPr>
          <w:trHeight w:val="204"/>
        </w:trPr>
        <w:tc>
          <w:tcPr>
            <w:tcW w:w="989" w:type="dxa"/>
            <w:shd w:val="clear" w:color="auto" w:fill="D9E2F3" w:themeFill="accent1" w:themeFillTint="33"/>
            <w:vAlign w:val="center"/>
          </w:tcPr>
          <w:p w14:paraId="6E5F0CD2"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Vyškov</w:t>
            </w:r>
          </w:p>
        </w:tc>
        <w:tc>
          <w:tcPr>
            <w:tcW w:w="845" w:type="dxa"/>
            <w:vAlign w:val="center"/>
          </w:tcPr>
          <w:p w14:paraId="4F7BD65D"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20 213</w:t>
            </w:r>
          </w:p>
        </w:tc>
        <w:tc>
          <w:tcPr>
            <w:tcW w:w="1523" w:type="dxa"/>
            <w:vAlign w:val="center"/>
          </w:tcPr>
          <w:p w14:paraId="5CDB9436"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754</w:t>
            </w:r>
          </w:p>
        </w:tc>
        <w:tc>
          <w:tcPr>
            <w:tcW w:w="2172" w:type="dxa"/>
            <w:vAlign w:val="center"/>
          </w:tcPr>
          <w:p w14:paraId="6ED1C111"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3,7 %</w:t>
            </w:r>
          </w:p>
        </w:tc>
        <w:tc>
          <w:tcPr>
            <w:tcW w:w="567" w:type="dxa"/>
            <w:vAlign w:val="center"/>
          </w:tcPr>
          <w:p w14:paraId="7FE8A720"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418</w:t>
            </w:r>
          </w:p>
        </w:tc>
        <w:tc>
          <w:tcPr>
            <w:tcW w:w="438" w:type="dxa"/>
            <w:vAlign w:val="center"/>
          </w:tcPr>
          <w:p w14:paraId="1B6083D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27</w:t>
            </w:r>
          </w:p>
        </w:tc>
        <w:tc>
          <w:tcPr>
            <w:tcW w:w="717" w:type="dxa"/>
            <w:vAlign w:val="center"/>
          </w:tcPr>
          <w:p w14:paraId="60AF9E42"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445</w:t>
            </w:r>
          </w:p>
        </w:tc>
        <w:tc>
          <w:tcPr>
            <w:tcW w:w="562" w:type="dxa"/>
            <w:vAlign w:val="center"/>
          </w:tcPr>
          <w:p w14:paraId="4C57362C"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276</w:t>
            </w:r>
          </w:p>
        </w:tc>
        <w:tc>
          <w:tcPr>
            <w:tcW w:w="557" w:type="dxa"/>
            <w:vAlign w:val="center"/>
          </w:tcPr>
          <w:p w14:paraId="48C61AE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33</w:t>
            </w:r>
          </w:p>
        </w:tc>
        <w:tc>
          <w:tcPr>
            <w:tcW w:w="810" w:type="dxa"/>
            <w:vAlign w:val="center"/>
          </w:tcPr>
          <w:p w14:paraId="7303502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309</w:t>
            </w:r>
          </w:p>
        </w:tc>
      </w:tr>
      <w:tr w:rsidR="00B4465C" w:rsidRPr="00CE357F" w14:paraId="6674AE83" w14:textId="77777777" w:rsidTr="004A0C47">
        <w:trPr>
          <w:trHeight w:val="204"/>
        </w:trPr>
        <w:tc>
          <w:tcPr>
            <w:tcW w:w="989" w:type="dxa"/>
            <w:shd w:val="clear" w:color="auto" w:fill="D9E2F3" w:themeFill="accent1" w:themeFillTint="33"/>
            <w:vAlign w:val="center"/>
          </w:tcPr>
          <w:p w14:paraId="556FC0CE" w14:textId="77777777" w:rsidR="00B4465C" w:rsidRPr="00CE357F" w:rsidRDefault="00B4465C" w:rsidP="004A0C47">
            <w:pPr>
              <w:spacing w:after="46"/>
              <w:jc w:val="center"/>
              <w:rPr>
                <w:rFonts w:ascii="Arial Narrow" w:hAnsi="Arial Narrow" w:cs="Arial"/>
                <w:sz w:val="18"/>
                <w:szCs w:val="18"/>
              </w:rPr>
            </w:pPr>
            <w:r w:rsidRPr="00CE357F">
              <w:rPr>
                <w:rFonts w:ascii="Arial Narrow" w:hAnsi="Arial Narrow" w:cs="Arial"/>
                <w:color w:val="000000"/>
                <w:sz w:val="18"/>
                <w:szCs w:val="18"/>
              </w:rPr>
              <w:t>Rostěnice-</w:t>
            </w:r>
          </w:p>
          <w:p w14:paraId="3B448171"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Zvonovice</w:t>
            </w:r>
          </w:p>
        </w:tc>
        <w:tc>
          <w:tcPr>
            <w:tcW w:w="845" w:type="dxa"/>
            <w:vAlign w:val="center"/>
          </w:tcPr>
          <w:p w14:paraId="4E26A763"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524</w:t>
            </w:r>
          </w:p>
        </w:tc>
        <w:tc>
          <w:tcPr>
            <w:tcW w:w="1523" w:type="dxa"/>
            <w:vAlign w:val="center"/>
          </w:tcPr>
          <w:p w14:paraId="3BF06AE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16</w:t>
            </w:r>
          </w:p>
        </w:tc>
        <w:tc>
          <w:tcPr>
            <w:tcW w:w="2172" w:type="dxa"/>
            <w:vAlign w:val="center"/>
          </w:tcPr>
          <w:p w14:paraId="114266B5"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3,1 %</w:t>
            </w:r>
          </w:p>
        </w:tc>
        <w:tc>
          <w:tcPr>
            <w:tcW w:w="567" w:type="dxa"/>
            <w:vAlign w:val="center"/>
          </w:tcPr>
          <w:p w14:paraId="3B6ADD1C"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11</w:t>
            </w:r>
          </w:p>
        </w:tc>
        <w:tc>
          <w:tcPr>
            <w:tcW w:w="438" w:type="dxa"/>
            <w:vAlign w:val="center"/>
          </w:tcPr>
          <w:p w14:paraId="0DB14D3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65EC3336"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11</w:t>
            </w:r>
          </w:p>
        </w:tc>
        <w:tc>
          <w:tcPr>
            <w:tcW w:w="562" w:type="dxa"/>
            <w:vAlign w:val="center"/>
          </w:tcPr>
          <w:p w14:paraId="31757E9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w:t>
            </w:r>
          </w:p>
        </w:tc>
        <w:tc>
          <w:tcPr>
            <w:tcW w:w="557" w:type="dxa"/>
            <w:vAlign w:val="center"/>
          </w:tcPr>
          <w:p w14:paraId="0386A793"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810" w:type="dxa"/>
            <w:vAlign w:val="center"/>
          </w:tcPr>
          <w:p w14:paraId="5FD76CC5"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w:t>
            </w:r>
          </w:p>
        </w:tc>
      </w:tr>
      <w:tr w:rsidR="00B4465C" w:rsidRPr="00CE357F" w14:paraId="2B2B4149" w14:textId="77777777" w:rsidTr="004A0C47">
        <w:trPr>
          <w:trHeight w:val="204"/>
        </w:trPr>
        <w:tc>
          <w:tcPr>
            <w:tcW w:w="989" w:type="dxa"/>
            <w:shd w:val="clear" w:color="auto" w:fill="D9E2F3" w:themeFill="accent1" w:themeFillTint="33"/>
            <w:vAlign w:val="center"/>
          </w:tcPr>
          <w:p w14:paraId="2557B57A"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Ivanovice na Hané</w:t>
            </w:r>
          </w:p>
        </w:tc>
        <w:tc>
          <w:tcPr>
            <w:tcW w:w="845" w:type="dxa"/>
            <w:vAlign w:val="center"/>
          </w:tcPr>
          <w:p w14:paraId="30D9D3A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2 861</w:t>
            </w:r>
          </w:p>
        </w:tc>
        <w:tc>
          <w:tcPr>
            <w:tcW w:w="1523" w:type="dxa"/>
            <w:vAlign w:val="center"/>
          </w:tcPr>
          <w:p w14:paraId="2F99685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76</w:t>
            </w:r>
          </w:p>
        </w:tc>
        <w:tc>
          <w:tcPr>
            <w:tcW w:w="2172" w:type="dxa"/>
            <w:vAlign w:val="center"/>
          </w:tcPr>
          <w:p w14:paraId="2B448DB3"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2,7 %</w:t>
            </w:r>
          </w:p>
        </w:tc>
        <w:tc>
          <w:tcPr>
            <w:tcW w:w="567" w:type="dxa"/>
            <w:vAlign w:val="center"/>
          </w:tcPr>
          <w:p w14:paraId="7FFCD96D"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40</w:t>
            </w:r>
          </w:p>
        </w:tc>
        <w:tc>
          <w:tcPr>
            <w:tcW w:w="438" w:type="dxa"/>
            <w:vAlign w:val="center"/>
          </w:tcPr>
          <w:p w14:paraId="222E1CC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w:t>
            </w:r>
          </w:p>
        </w:tc>
        <w:tc>
          <w:tcPr>
            <w:tcW w:w="717" w:type="dxa"/>
            <w:vAlign w:val="center"/>
          </w:tcPr>
          <w:p w14:paraId="5E13445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44</w:t>
            </w:r>
          </w:p>
        </w:tc>
        <w:tc>
          <w:tcPr>
            <w:tcW w:w="562" w:type="dxa"/>
            <w:vAlign w:val="center"/>
          </w:tcPr>
          <w:p w14:paraId="2431274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30</w:t>
            </w:r>
          </w:p>
        </w:tc>
        <w:tc>
          <w:tcPr>
            <w:tcW w:w="557" w:type="dxa"/>
            <w:vAlign w:val="center"/>
          </w:tcPr>
          <w:p w14:paraId="0CBCA3B1"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w:t>
            </w:r>
          </w:p>
        </w:tc>
        <w:tc>
          <w:tcPr>
            <w:tcW w:w="810" w:type="dxa"/>
            <w:vAlign w:val="center"/>
          </w:tcPr>
          <w:p w14:paraId="3BE0690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32</w:t>
            </w:r>
          </w:p>
        </w:tc>
      </w:tr>
      <w:tr w:rsidR="00B4465C" w:rsidRPr="00CE357F" w14:paraId="7AD1B07F" w14:textId="77777777" w:rsidTr="004A0C47">
        <w:trPr>
          <w:trHeight w:val="204"/>
        </w:trPr>
        <w:tc>
          <w:tcPr>
            <w:tcW w:w="989" w:type="dxa"/>
            <w:shd w:val="clear" w:color="auto" w:fill="D9E2F3" w:themeFill="accent1" w:themeFillTint="33"/>
            <w:vAlign w:val="center"/>
          </w:tcPr>
          <w:p w14:paraId="35746962"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Hlubočany</w:t>
            </w:r>
          </w:p>
        </w:tc>
        <w:tc>
          <w:tcPr>
            <w:tcW w:w="845" w:type="dxa"/>
            <w:vAlign w:val="center"/>
          </w:tcPr>
          <w:p w14:paraId="4DFBA29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504</w:t>
            </w:r>
          </w:p>
        </w:tc>
        <w:tc>
          <w:tcPr>
            <w:tcW w:w="1523" w:type="dxa"/>
            <w:vAlign w:val="center"/>
          </w:tcPr>
          <w:p w14:paraId="4999CB28"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13</w:t>
            </w:r>
          </w:p>
        </w:tc>
        <w:tc>
          <w:tcPr>
            <w:tcW w:w="2172" w:type="dxa"/>
            <w:vAlign w:val="center"/>
          </w:tcPr>
          <w:p w14:paraId="2C1395E0" w14:textId="77777777" w:rsidR="00B4465C" w:rsidRPr="00A23435" w:rsidRDefault="00B4465C" w:rsidP="004A0C47">
            <w:pPr>
              <w:jc w:val="center"/>
              <w:rPr>
                <w:rFonts w:ascii="Arial Narrow" w:hAnsi="Arial Narrow"/>
                <w:sz w:val="18"/>
                <w:szCs w:val="18"/>
              </w:rPr>
            </w:pPr>
            <w:r w:rsidRPr="00A23435">
              <w:rPr>
                <w:rFonts w:ascii="Arial Narrow" w:hAnsi="Arial Narrow"/>
                <w:sz w:val="18"/>
                <w:szCs w:val="18"/>
              </w:rPr>
              <w:t>2,6 %</w:t>
            </w:r>
          </w:p>
        </w:tc>
        <w:tc>
          <w:tcPr>
            <w:tcW w:w="567" w:type="dxa"/>
            <w:vAlign w:val="center"/>
          </w:tcPr>
          <w:p w14:paraId="06696BC6"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w:t>
            </w:r>
          </w:p>
        </w:tc>
        <w:tc>
          <w:tcPr>
            <w:tcW w:w="438" w:type="dxa"/>
            <w:vAlign w:val="center"/>
          </w:tcPr>
          <w:p w14:paraId="155843A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76282466"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w:t>
            </w:r>
          </w:p>
        </w:tc>
        <w:tc>
          <w:tcPr>
            <w:tcW w:w="562" w:type="dxa"/>
            <w:vAlign w:val="center"/>
          </w:tcPr>
          <w:p w14:paraId="7D0948E0"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w:t>
            </w:r>
          </w:p>
        </w:tc>
        <w:tc>
          <w:tcPr>
            <w:tcW w:w="557" w:type="dxa"/>
            <w:vAlign w:val="center"/>
          </w:tcPr>
          <w:p w14:paraId="683DA1E6"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w:t>
            </w:r>
          </w:p>
        </w:tc>
        <w:tc>
          <w:tcPr>
            <w:tcW w:w="810" w:type="dxa"/>
            <w:vAlign w:val="center"/>
          </w:tcPr>
          <w:p w14:paraId="1F78DD62"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w:t>
            </w:r>
          </w:p>
        </w:tc>
      </w:tr>
      <w:tr w:rsidR="00B4465C" w:rsidRPr="00CE357F" w14:paraId="4BEA8232" w14:textId="77777777" w:rsidTr="004A0C47">
        <w:trPr>
          <w:trHeight w:val="204"/>
        </w:trPr>
        <w:tc>
          <w:tcPr>
            <w:tcW w:w="989" w:type="dxa"/>
            <w:shd w:val="clear" w:color="auto" w:fill="D9E2F3" w:themeFill="accent1" w:themeFillTint="33"/>
            <w:vAlign w:val="center"/>
          </w:tcPr>
          <w:p w14:paraId="596CE54E"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Nemojany</w:t>
            </w:r>
          </w:p>
        </w:tc>
        <w:tc>
          <w:tcPr>
            <w:tcW w:w="845" w:type="dxa"/>
            <w:vAlign w:val="center"/>
          </w:tcPr>
          <w:p w14:paraId="41A5D43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769</w:t>
            </w:r>
          </w:p>
        </w:tc>
        <w:tc>
          <w:tcPr>
            <w:tcW w:w="1523" w:type="dxa"/>
            <w:vAlign w:val="center"/>
          </w:tcPr>
          <w:p w14:paraId="11CA93D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19</w:t>
            </w:r>
          </w:p>
        </w:tc>
        <w:tc>
          <w:tcPr>
            <w:tcW w:w="2172" w:type="dxa"/>
            <w:vAlign w:val="center"/>
          </w:tcPr>
          <w:p w14:paraId="2395E3B0"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2,5 %</w:t>
            </w:r>
          </w:p>
        </w:tc>
        <w:tc>
          <w:tcPr>
            <w:tcW w:w="567" w:type="dxa"/>
            <w:vAlign w:val="center"/>
          </w:tcPr>
          <w:p w14:paraId="484CAF3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10</w:t>
            </w:r>
          </w:p>
        </w:tc>
        <w:tc>
          <w:tcPr>
            <w:tcW w:w="438" w:type="dxa"/>
            <w:vAlign w:val="center"/>
          </w:tcPr>
          <w:p w14:paraId="40EA36A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w:t>
            </w:r>
          </w:p>
        </w:tc>
        <w:tc>
          <w:tcPr>
            <w:tcW w:w="717" w:type="dxa"/>
            <w:vAlign w:val="center"/>
          </w:tcPr>
          <w:p w14:paraId="7440946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11</w:t>
            </w:r>
          </w:p>
        </w:tc>
        <w:tc>
          <w:tcPr>
            <w:tcW w:w="562" w:type="dxa"/>
            <w:vAlign w:val="center"/>
          </w:tcPr>
          <w:p w14:paraId="6C8A933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w:t>
            </w:r>
          </w:p>
        </w:tc>
        <w:tc>
          <w:tcPr>
            <w:tcW w:w="557" w:type="dxa"/>
            <w:vAlign w:val="center"/>
          </w:tcPr>
          <w:p w14:paraId="1B3F077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w:t>
            </w:r>
          </w:p>
        </w:tc>
        <w:tc>
          <w:tcPr>
            <w:tcW w:w="810" w:type="dxa"/>
            <w:vAlign w:val="center"/>
          </w:tcPr>
          <w:p w14:paraId="5C0F2425"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w:t>
            </w:r>
          </w:p>
        </w:tc>
      </w:tr>
      <w:tr w:rsidR="00B4465C" w:rsidRPr="00CE357F" w14:paraId="4365934B" w14:textId="77777777" w:rsidTr="004A0C47">
        <w:trPr>
          <w:trHeight w:val="204"/>
        </w:trPr>
        <w:tc>
          <w:tcPr>
            <w:tcW w:w="989" w:type="dxa"/>
            <w:shd w:val="clear" w:color="auto" w:fill="D9E2F3" w:themeFill="accent1" w:themeFillTint="33"/>
            <w:vAlign w:val="center"/>
          </w:tcPr>
          <w:p w14:paraId="7E91A16F"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Komořany</w:t>
            </w:r>
          </w:p>
        </w:tc>
        <w:tc>
          <w:tcPr>
            <w:tcW w:w="845" w:type="dxa"/>
            <w:vAlign w:val="center"/>
          </w:tcPr>
          <w:p w14:paraId="33EB2765"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727</w:t>
            </w:r>
          </w:p>
        </w:tc>
        <w:tc>
          <w:tcPr>
            <w:tcW w:w="1523" w:type="dxa"/>
            <w:vAlign w:val="center"/>
          </w:tcPr>
          <w:p w14:paraId="5F532222"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17</w:t>
            </w:r>
          </w:p>
        </w:tc>
        <w:tc>
          <w:tcPr>
            <w:tcW w:w="2172" w:type="dxa"/>
            <w:vAlign w:val="center"/>
          </w:tcPr>
          <w:p w14:paraId="13516765"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2,3 %</w:t>
            </w:r>
          </w:p>
        </w:tc>
        <w:tc>
          <w:tcPr>
            <w:tcW w:w="567" w:type="dxa"/>
            <w:vAlign w:val="center"/>
          </w:tcPr>
          <w:p w14:paraId="34F8368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w:t>
            </w:r>
          </w:p>
        </w:tc>
        <w:tc>
          <w:tcPr>
            <w:tcW w:w="438" w:type="dxa"/>
            <w:vAlign w:val="center"/>
          </w:tcPr>
          <w:p w14:paraId="3150B2A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w:t>
            </w:r>
          </w:p>
        </w:tc>
        <w:tc>
          <w:tcPr>
            <w:tcW w:w="717" w:type="dxa"/>
            <w:vAlign w:val="center"/>
          </w:tcPr>
          <w:p w14:paraId="7FE2BA28"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w:t>
            </w:r>
          </w:p>
        </w:tc>
        <w:tc>
          <w:tcPr>
            <w:tcW w:w="562" w:type="dxa"/>
            <w:vAlign w:val="center"/>
          </w:tcPr>
          <w:p w14:paraId="380C9CA6"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w:t>
            </w:r>
          </w:p>
        </w:tc>
        <w:tc>
          <w:tcPr>
            <w:tcW w:w="557" w:type="dxa"/>
            <w:vAlign w:val="center"/>
          </w:tcPr>
          <w:p w14:paraId="56E2598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w:t>
            </w:r>
          </w:p>
        </w:tc>
        <w:tc>
          <w:tcPr>
            <w:tcW w:w="810" w:type="dxa"/>
            <w:vAlign w:val="center"/>
          </w:tcPr>
          <w:p w14:paraId="449280D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9</w:t>
            </w:r>
          </w:p>
        </w:tc>
      </w:tr>
      <w:tr w:rsidR="00B4465C" w:rsidRPr="00CE357F" w14:paraId="5BB6F909" w14:textId="77777777" w:rsidTr="004A0C47">
        <w:trPr>
          <w:trHeight w:val="204"/>
        </w:trPr>
        <w:tc>
          <w:tcPr>
            <w:tcW w:w="989" w:type="dxa"/>
            <w:shd w:val="clear" w:color="auto" w:fill="D9E2F3" w:themeFill="accent1" w:themeFillTint="33"/>
            <w:vAlign w:val="center"/>
          </w:tcPr>
          <w:p w14:paraId="2AD08042"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Tučapy</w:t>
            </w:r>
          </w:p>
        </w:tc>
        <w:tc>
          <w:tcPr>
            <w:tcW w:w="845" w:type="dxa"/>
            <w:vAlign w:val="center"/>
          </w:tcPr>
          <w:p w14:paraId="1BD53FEB"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583</w:t>
            </w:r>
          </w:p>
        </w:tc>
        <w:tc>
          <w:tcPr>
            <w:tcW w:w="1523" w:type="dxa"/>
            <w:vAlign w:val="center"/>
          </w:tcPr>
          <w:p w14:paraId="5F01C8F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13</w:t>
            </w:r>
          </w:p>
        </w:tc>
        <w:tc>
          <w:tcPr>
            <w:tcW w:w="2172" w:type="dxa"/>
            <w:vAlign w:val="center"/>
          </w:tcPr>
          <w:p w14:paraId="6287F7E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2,2 %</w:t>
            </w:r>
          </w:p>
        </w:tc>
        <w:tc>
          <w:tcPr>
            <w:tcW w:w="567" w:type="dxa"/>
            <w:vAlign w:val="center"/>
          </w:tcPr>
          <w:p w14:paraId="153E7E5D"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w:t>
            </w:r>
          </w:p>
        </w:tc>
        <w:tc>
          <w:tcPr>
            <w:tcW w:w="438" w:type="dxa"/>
            <w:vAlign w:val="center"/>
          </w:tcPr>
          <w:p w14:paraId="19826BA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w:t>
            </w:r>
          </w:p>
        </w:tc>
        <w:tc>
          <w:tcPr>
            <w:tcW w:w="717" w:type="dxa"/>
            <w:vAlign w:val="center"/>
          </w:tcPr>
          <w:p w14:paraId="3B68FCE0"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9</w:t>
            </w:r>
          </w:p>
        </w:tc>
        <w:tc>
          <w:tcPr>
            <w:tcW w:w="562" w:type="dxa"/>
            <w:vAlign w:val="center"/>
          </w:tcPr>
          <w:p w14:paraId="45B9E5FB"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w:t>
            </w:r>
          </w:p>
        </w:tc>
        <w:tc>
          <w:tcPr>
            <w:tcW w:w="557" w:type="dxa"/>
            <w:vAlign w:val="center"/>
          </w:tcPr>
          <w:p w14:paraId="07B8A86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810" w:type="dxa"/>
            <w:vAlign w:val="center"/>
          </w:tcPr>
          <w:p w14:paraId="52211F3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4</w:t>
            </w:r>
          </w:p>
        </w:tc>
      </w:tr>
      <w:tr w:rsidR="00B4465C" w:rsidRPr="00CE357F" w14:paraId="2F71D568" w14:textId="77777777" w:rsidTr="004A0C47">
        <w:trPr>
          <w:trHeight w:val="204"/>
        </w:trPr>
        <w:tc>
          <w:tcPr>
            <w:tcW w:w="989" w:type="dxa"/>
            <w:shd w:val="clear" w:color="auto" w:fill="D9E2F3" w:themeFill="accent1" w:themeFillTint="33"/>
            <w:vAlign w:val="center"/>
          </w:tcPr>
          <w:p w14:paraId="157CC4BC"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Drysice</w:t>
            </w:r>
          </w:p>
        </w:tc>
        <w:tc>
          <w:tcPr>
            <w:tcW w:w="845" w:type="dxa"/>
            <w:vAlign w:val="center"/>
          </w:tcPr>
          <w:p w14:paraId="6E941A70"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611</w:t>
            </w:r>
          </w:p>
        </w:tc>
        <w:tc>
          <w:tcPr>
            <w:tcW w:w="1523" w:type="dxa"/>
            <w:vAlign w:val="center"/>
          </w:tcPr>
          <w:p w14:paraId="42C7391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13</w:t>
            </w:r>
          </w:p>
        </w:tc>
        <w:tc>
          <w:tcPr>
            <w:tcW w:w="2172" w:type="dxa"/>
            <w:vAlign w:val="center"/>
          </w:tcPr>
          <w:p w14:paraId="6FE611AD"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2,1 %</w:t>
            </w:r>
          </w:p>
        </w:tc>
        <w:tc>
          <w:tcPr>
            <w:tcW w:w="567" w:type="dxa"/>
            <w:vAlign w:val="center"/>
          </w:tcPr>
          <w:p w14:paraId="68411062"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w:t>
            </w:r>
          </w:p>
        </w:tc>
        <w:tc>
          <w:tcPr>
            <w:tcW w:w="438" w:type="dxa"/>
            <w:vAlign w:val="center"/>
          </w:tcPr>
          <w:p w14:paraId="231E673B"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606AFDED"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w:t>
            </w:r>
          </w:p>
        </w:tc>
        <w:tc>
          <w:tcPr>
            <w:tcW w:w="562" w:type="dxa"/>
            <w:vAlign w:val="center"/>
          </w:tcPr>
          <w:p w14:paraId="039C4F7C"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w:t>
            </w:r>
          </w:p>
        </w:tc>
        <w:tc>
          <w:tcPr>
            <w:tcW w:w="557" w:type="dxa"/>
            <w:vAlign w:val="center"/>
          </w:tcPr>
          <w:p w14:paraId="1EA1E81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w:t>
            </w:r>
          </w:p>
        </w:tc>
        <w:tc>
          <w:tcPr>
            <w:tcW w:w="810" w:type="dxa"/>
            <w:vAlign w:val="center"/>
          </w:tcPr>
          <w:p w14:paraId="445296D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w:t>
            </w:r>
          </w:p>
        </w:tc>
      </w:tr>
      <w:tr w:rsidR="00B4465C" w:rsidRPr="00CE357F" w14:paraId="71C9062C" w14:textId="77777777" w:rsidTr="004A0C47">
        <w:trPr>
          <w:trHeight w:val="204"/>
        </w:trPr>
        <w:tc>
          <w:tcPr>
            <w:tcW w:w="989" w:type="dxa"/>
            <w:shd w:val="clear" w:color="auto" w:fill="D9E2F3" w:themeFill="accent1" w:themeFillTint="33"/>
            <w:vAlign w:val="center"/>
          </w:tcPr>
          <w:p w14:paraId="3D14B0B4" w14:textId="77777777" w:rsidR="00B4465C" w:rsidRPr="00CE357F" w:rsidRDefault="00B4465C" w:rsidP="004A0C47">
            <w:pPr>
              <w:jc w:val="center"/>
              <w:rPr>
                <w:rFonts w:ascii="Arial Narrow" w:hAnsi="Arial Narrow" w:cs="Arial"/>
                <w:sz w:val="18"/>
                <w:szCs w:val="18"/>
              </w:rPr>
            </w:pPr>
            <w:r w:rsidRPr="00CE357F">
              <w:rPr>
                <w:rFonts w:ascii="Arial Narrow" w:eastAsia="Times New Roman" w:hAnsi="Arial Narrow" w:cs="Arial"/>
                <w:color w:val="000000"/>
                <w:sz w:val="18"/>
                <w:szCs w:val="18"/>
                <w:lang w:eastAsia="cs-CZ"/>
              </w:rPr>
              <w:t>Bohdalice-</w:t>
            </w:r>
          </w:p>
          <w:p w14:paraId="5DCBAC86"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color w:val="000000"/>
                <w:sz w:val="18"/>
                <w:szCs w:val="18"/>
                <w:lang w:eastAsia="cs-CZ"/>
              </w:rPr>
              <w:t>Pavlovice</w:t>
            </w:r>
          </w:p>
        </w:tc>
        <w:tc>
          <w:tcPr>
            <w:tcW w:w="845" w:type="dxa"/>
            <w:vAlign w:val="center"/>
          </w:tcPr>
          <w:p w14:paraId="69A6874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864</w:t>
            </w:r>
          </w:p>
        </w:tc>
        <w:tc>
          <w:tcPr>
            <w:tcW w:w="1523" w:type="dxa"/>
            <w:vAlign w:val="center"/>
          </w:tcPr>
          <w:p w14:paraId="34A1105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13</w:t>
            </w:r>
          </w:p>
        </w:tc>
        <w:tc>
          <w:tcPr>
            <w:tcW w:w="2172" w:type="dxa"/>
            <w:vAlign w:val="center"/>
          </w:tcPr>
          <w:p w14:paraId="21FC3651"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1,5 %</w:t>
            </w:r>
          </w:p>
        </w:tc>
        <w:tc>
          <w:tcPr>
            <w:tcW w:w="567" w:type="dxa"/>
            <w:vAlign w:val="center"/>
          </w:tcPr>
          <w:p w14:paraId="63BC860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w:t>
            </w:r>
          </w:p>
        </w:tc>
        <w:tc>
          <w:tcPr>
            <w:tcW w:w="438" w:type="dxa"/>
            <w:vAlign w:val="center"/>
          </w:tcPr>
          <w:p w14:paraId="526FD5F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27709A35"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w:t>
            </w:r>
          </w:p>
        </w:tc>
        <w:tc>
          <w:tcPr>
            <w:tcW w:w="562" w:type="dxa"/>
            <w:vAlign w:val="center"/>
          </w:tcPr>
          <w:p w14:paraId="25D8BA8C"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w:t>
            </w:r>
          </w:p>
        </w:tc>
        <w:tc>
          <w:tcPr>
            <w:tcW w:w="557" w:type="dxa"/>
            <w:vAlign w:val="center"/>
          </w:tcPr>
          <w:p w14:paraId="067957CB"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810" w:type="dxa"/>
            <w:vAlign w:val="center"/>
          </w:tcPr>
          <w:p w14:paraId="7829AC6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5</w:t>
            </w:r>
          </w:p>
        </w:tc>
      </w:tr>
      <w:tr w:rsidR="00B4465C" w:rsidRPr="00CE357F" w14:paraId="645774A4" w14:textId="77777777" w:rsidTr="004A0C47">
        <w:trPr>
          <w:trHeight w:val="204"/>
        </w:trPr>
        <w:tc>
          <w:tcPr>
            <w:tcW w:w="989" w:type="dxa"/>
            <w:shd w:val="clear" w:color="auto" w:fill="D9E2F3" w:themeFill="accent1" w:themeFillTint="33"/>
            <w:vAlign w:val="center"/>
          </w:tcPr>
          <w:p w14:paraId="47FEBCE5"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Pustiměř</w:t>
            </w:r>
          </w:p>
        </w:tc>
        <w:tc>
          <w:tcPr>
            <w:tcW w:w="845" w:type="dxa"/>
            <w:vAlign w:val="center"/>
          </w:tcPr>
          <w:p w14:paraId="12A1813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1 842</w:t>
            </w:r>
          </w:p>
        </w:tc>
        <w:tc>
          <w:tcPr>
            <w:tcW w:w="1523" w:type="dxa"/>
            <w:vAlign w:val="center"/>
          </w:tcPr>
          <w:p w14:paraId="58E72DFD"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27</w:t>
            </w:r>
          </w:p>
        </w:tc>
        <w:tc>
          <w:tcPr>
            <w:tcW w:w="2172" w:type="dxa"/>
            <w:vAlign w:val="center"/>
          </w:tcPr>
          <w:p w14:paraId="37DC2B49"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1,5 %</w:t>
            </w:r>
          </w:p>
        </w:tc>
        <w:tc>
          <w:tcPr>
            <w:tcW w:w="567" w:type="dxa"/>
            <w:vAlign w:val="center"/>
          </w:tcPr>
          <w:p w14:paraId="14756A56"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15</w:t>
            </w:r>
          </w:p>
        </w:tc>
        <w:tc>
          <w:tcPr>
            <w:tcW w:w="438" w:type="dxa"/>
            <w:vAlign w:val="center"/>
          </w:tcPr>
          <w:p w14:paraId="777D1E6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w:t>
            </w:r>
          </w:p>
        </w:tc>
        <w:tc>
          <w:tcPr>
            <w:tcW w:w="717" w:type="dxa"/>
            <w:vAlign w:val="center"/>
          </w:tcPr>
          <w:p w14:paraId="160492B1"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16</w:t>
            </w:r>
          </w:p>
        </w:tc>
        <w:tc>
          <w:tcPr>
            <w:tcW w:w="562" w:type="dxa"/>
            <w:vAlign w:val="center"/>
          </w:tcPr>
          <w:p w14:paraId="487C3D2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w:t>
            </w:r>
          </w:p>
        </w:tc>
        <w:tc>
          <w:tcPr>
            <w:tcW w:w="557" w:type="dxa"/>
            <w:vAlign w:val="center"/>
          </w:tcPr>
          <w:p w14:paraId="61440658"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w:t>
            </w:r>
          </w:p>
        </w:tc>
        <w:tc>
          <w:tcPr>
            <w:tcW w:w="810" w:type="dxa"/>
            <w:vAlign w:val="center"/>
          </w:tcPr>
          <w:p w14:paraId="09B448B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11</w:t>
            </w:r>
          </w:p>
        </w:tc>
      </w:tr>
      <w:tr w:rsidR="00B4465C" w:rsidRPr="00CE357F" w14:paraId="3173BBE2" w14:textId="77777777" w:rsidTr="004A0C47">
        <w:trPr>
          <w:trHeight w:val="204"/>
        </w:trPr>
        <w:tc>
          <w:tcPr>
            <w:tcW w:w="989" w:type="dxa"/>
            <w:shd w:val="clear" w:color="auto" w:fill="D9E2F3" w:themeFill="accent1" w:themeFillTint="33"/>
            <w:vAlign w:val="center"/>
          </w:tcPr>
          <w:p w14:paraId="0A22ACB2"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Habrovany</w:t>
            </w:r>
          </w:p>
        </w:tc>
        <w:tc>
          <w:tcPr>
            <w:tcW w:w="845" w:type="dxa"/>
            <w:vAlign w:val="center"/>
          </w:tcPr>
          <w:p w14:paraId="6F47D87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881</w:t>
            </w:r>
          </w:p>
        </w:tc>
        <w:tc>
          <w:tcPr>
            <w:tcW w:w="1523" w:type="dxa"/>
            <w:vAlign w:val="center"/>
          </w:tcPr>
          <w:p w14:paraId="3248491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11</w:t>
            </w:r>
          </w:p>
        </w:tc>
        <w:tc>
          <w:tcPr>
            <w:tcW w:w="2172" w:type="dxa"/>
            <w:vAlign w:val="center"/>
          </w:tcPr>
          <w:p w14:paraId="1A28B493"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1,2 %</w:t>
            </w:r>
          </w:p>
        </w:tc>
        <w:tc>
          <w:tcPr>
            <w:tcW w:w="567" w:type="dxa"/>
            <w:vAlign w:val="center"/>
          </w:tcPr>
          <w:p w14:paraId="26A42E3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7</w:t>
            </w:r>
          </w:p>
        </w:tc>
        <w:tc>
          <w:tcPr>
            <w:tcW w:w="438" w:type="dxa"/>
            <w:vAlign w:val="center"/>
          </w:tcPr>
          <w:p w14:paraId="038EB4E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w:t>
            </w:r>
          </w:p>
        </w:tc>
        <w:tc>
          <w:tcPr>
            <w:tcW w:w="717" w:type="dxa"/>
            <w:vAlign w:val="center"/>
          </w:tcPr>
          <w:p w14:paraId="14BEB41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8</w:t>
            </w:r>
          </w:p>
        </w:tc>
        <w:tc>
          <w:tcPr>
            <w:tcW w:w="562" w:type="dxa"/>
            <w:vAlign w:val="center"/>
          </w:tcPr>
          <w:p w14:paraId="7310D78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w:t>
            </w:r>
          </w:p>
        </w:tc>
        <w:tc>
          <w:tcPr>
            <w:tcW w:w="557" w:type="dxa"/>
            <w:vAlign w:val="center"/>
          </w:tcPr>
          <w:p w14:paraId="682A8208"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810" w:type="dxa"/>
            <w:vAlign w:val="center"/>
          </w:tcPr>
          <w:p w14:paraId="41CB5B20"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3</w:t>
            </w:r>
          </w:p>
        </w:tc>
      </w:tr>
      <w:tr w:rsidR="00B4465C" w:rsidRPr="00CE357F" w14:paraId="2B4B53E4" w14:textId="77777777" w:rsidTr="004A0C47">
        <w:trPr>
          <w:trHeight w:val="204"/>
        </w:trPr>
        <w:tc>
          <w:tcPr>
            <w:tcW w:w="989" w:type="dxa"/>
            <w:shd w:val="clear" w:color="auto" w:fill="D9E2F3" w:themeFill="accent1" w:themeFillTint="33"/>
            <w:vAlign w:val="center"/>
          </w:tcPr>
          <w:p w14:paraId="3FFB9E19"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Drnovice</w:t>
            </w:r>
          </w:p>
        </w:tc>
        <w:tc>
          <w:tcPr>
            <w:tcW w:w="845" w:type="dxa"/>
            <w:vAlign w:val="center"/>
          </w:tcPr>
          <w:p w14:paraId="32ED0C7C"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2 400</w:t>
            </w:r>
          </w:p>
        </w:tc>
        <w:tc>
          <w:tcPr>
            <w:tcW w:w="1523" w:type="dxa"/>
            <w:vAlign w:val="center"/>
          </w:tcPr>
          <w:p w14:paraId="4B04BDF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25</w:t>
            </w:r>
          </w:p>
        </w:tc>
        <w:tc>
          <w:tcPr>
            <w:tcW w:w="2172" w:type="dxa"/>
            <w:vAlign w:val="center"/>
          </w:tcPr>
          <w:p w14:paraId="0FF9CE62"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1,0 %</w:t>
            </w:r>
          </w:p>
        </w:tc>
        <w:tc>
          <w:tcPr>
            <w:tcW w:w="567" w:type="dxa"/>
            <w:vAlign w:val="center"/>
          </w:tcPr>
          <w:p w14:paraId="7D6F4AE8"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13</w:t>
            </w:r>
          </w:p>
        </w:tc>
        <w:tc>
          <w:tcPr>
            <w:tcW w:w="438" w:type="dxa"/>
            <w:vAlign w:val="center"/>
          </w:tcPr>
          <w:p w14:paraId="3199A72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2</w:t>
            </w:r>
          </w:p>
        </w:tc>
        <w:tc>
          <w:tcPr>
            <w:tcW w:w="717" w:type="dxa"/>
            <w:vAlign w:val="center"/>
          </w:tcPr>
          <w:p w14:paraId="6EAE938D"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15</w:t>
            </w:r>
          </w:p>
        </w:tc>
        <w:tc>
          <w:tcPr>
            <w:tcW w:w="562" w:type="dxa"/>
            <w:vAlign w:val="center"/>
          </w:tcPr>
          <w:p w14:paraId="3A5F8940"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9</w:t>
            </w:r>
          </w:p>
        </w:tc>
        <w:tc>
          <w:tcPr>
            <w:tcW w:w="557" w:type="dxa"/>
            <w:vAlign w:val="center"/>
          </w:tcPr>
          <w:p w14:paraId="7E212DF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w:t>
            </w:r>
          </w:p>
        </w:tc>
        <w:tc>
          <w:tcPr>
            <w:tcW w:w="810" w:type="dxa"/>
            <w:vAlign w:val="center"/>
          </w:tcPr>
          <w:p w14:paraId="59EE6FFE"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10</w:t>
            </w:r>
          </w:p>
        </w:tc>
      </w:tr>
      <w:tr w:rsidR="00B4465C" w:rsidRPr="00CE357F" w14:paraId="649EFA08" w14:textId="77777777" w:rsidTr="004A0C47">
        <w:trPr>
          <w:trHeight w:val="204"/>
        </w:trPr>
        <w:tc>
          <w:tcPr>
            <w:tcW w:w="989" w:type="dxa"/>
            <w:shd w:val="clear" w:color="auto" w:fill="D9E2F3" w:themeFill="accent1" w:themeFillTint="33"/>
            <w:vAlign w:val="center"/>
          </w:tcPr>
          <w:p w14:paraId="03DE2BE5"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lastRenderedPageBreak/>
              <w:t>Račice-</w:t>
            </w:r>
            <w:proofErr w:type="spellStart"/>
            <w:r w:rsidRPr="00CE357F">
              <w:rPr>
                <w:rFonts w:ascii="Arial Narrow" w:hAnsi="Arial Narrow" w:cs="Arial"/>
                <w:color w:val="000000"/>
                <w:sz w:val="18"/>
                <w:szCs w:val="18"/>
              </w:rPr>
              <w:t>Pístovice</w:t>
            </w:r>
            <w:proofErr w:type="spellEnd"/>
          </w:p>
        </w:tc>
        <w:tc>
          <w:tcPr>
            <w:tcW w:w="845" w:type="dxa"/>
            <w:vAlign w:val="center"/>
          </w:tcPr>
          <w:p w14:paraId="7D46B067"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1 226</w:t>
            </w:r>
          </w:p>
        </w:tc>
        <w:tc>
          <w:tcPr>
            <w:tcW w:w="1523" w:type="dxa"/>
            <w:vAlign w:val="center"/>
          </w:tcPr>
          <w:p w14:paraId="1BEA52C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12</w:t>
            </w:r>
          </w:p>
        </w:tc>
        <w:tc>
          <w:tcPr>
            <w:tcW w:w="2172" w:type="dxa"/>
            <w:vAlign w:val="center"/>
          </w:tcPr>
          <w:p w14:paraId="07779E8D"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1,0 %</w:t>
            </w:r>
          </w:p>
        </w:tc>
        <w:tc>
          <w:tcPr>
            <w:tcW w:w="567" w:type="dxa"/>
            <w:vAlign w:val="center"/>
          </w:tcPr>
          <w:p w14:paraId="130A486A"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w:t>
            </w:r>
          </w:p>
        </w:tc>
        <w:tc>
          <w:tcPr>
            <w:tcW w:w="438" w:type="dxa"/>
            <w:vAlign w:val="center"/>
          </w:tcPr>
          <w:p w14:paraId="0C88BF0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717" w:type="dxa"/>
            <w:vAlign w:val="center"/>
          </w:tcPr>
          <w:p w14:paraId="75157C68"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w:t>
            </w:r>
          </w:p>
        </w:tc>
        <w:tc>
          <w:tcPr>
            <w:tcW w:w="562" w:type="dxa"/>
            <w:vAlign w:val="center"/>
          </w:tcPr>
          <w:p w14:paraId="54528E34"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w:t>
            </w:r>
          </w:p>
        </w:tc>
        <w:tc>
          <w:tcPr>
            <w:tcW w:w="557" w:type="dxa"/>
            <w:vAlign w:val="center"/>
          </w:tcPr>
          <w:p w14:paraId="7E26346F"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0</w:t>
            </w:r>
          </w:p>
        </w:tc>
        <w:tc>
          <w:tcPr>
            <w:tcW w:w="810" w:type="dxa"/>
            <w:vAlign w:val="center"/>
          </w:tcPr>
          <w:p w14:paraId="1AB67479" w14:textId="77777777" w:rsidR="00B4465C" w:rsidRPr="00CE357F" w:rsidRDefault="00B4465C" w:rsidP="004A0C47">
            <w:pPr>
              <w:jc w:val="center"/>
              <w:rPr>
                <w:rFonts w:ascii="Arial Narrow" w:hAnsi="Arial Narrow"/>
                <w:sz w:val="18"/>
                <w:szCs w:val="18"/>
              </w:rPr>
            </w:pPr>
            <w:r w:rsidRPr="00CE357F">
              <w:rPr>
                <w:rFonts w:ascii="Arial Narrow" w:hAnsi="Arial Narrow"/>
                <w:sz w:val="18"/>
                <w:szCs w:val="18"/>
              </w:rPr>
              <w:t>6</w:t>
            </w:r>
          </w:p>
        </w:tc>
      </w:tr>
    </w:tbl>
    <w:p w14:paraId="41EAE7F6" w14:textId="77777777" w:rsidR="00B4465C" w:rsidRPr="00CE357F" w:rsidRDefault="00B4465C" w:rsidP="00E32FA2">
      <w:pPr>
        <w:spacing w:after="240"/>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3F5A7C05" w14:textId="2DBCE7B2" w:rsidR="00B4465C" w:rsidRPr="00CE357F" w:rsidRDefault="00B4465C" w:rsidP="00B4465C">
      <w:pPr>
        <w:spacing w:line="276" w:lineRule="auto"/>
        <w:jc w:val="both"/>
        <w:rPr>
          <w:rFonts w:ascii="Arial Narrow" w:hAnsi="Arial Narrow"/>
          <w:b/>
          <w:bCs/>
          <w:sz w:val="20"/>
          <w:szCs w:val="20"/>
        </w:rPr>
      </w:pPr>
      <w:bookmarkStart w:id="841" w:name="_Toc94443823"/>
      <w:bookmarkStart w:id="842" w:name="_Toc136428977"/>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133</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 xml:space="preserve">Podíl osob s jinou než českou státní příslušností na celkovém počtu obyvatel </w:t>
      </w:r>
      <w:r w:rsidR="0066028D">
        <w:rPr>
          <w:rFonts w:ascii="Arial Narrow" w:hAnsi="Arial Narrow"/>
          <w:b/>
          <w:bCs/>
          <w:sz w:val="20"/>
          <w:szCs w:val="20"/>
        </w:rPr>
        <w:t xml:space="preserve">vybraných obcí </w:t>
      </w:r>
      <w:r w:rsidRPr="00CE357F">
        <w:rPr>
          <w:rFonts w:ascii="Arial Narrow" w:hAnsi="Arial Narrow"/>
          <w:b/>
          <w:bCs/>
          <w:sz w:val="20"/>
          <w:szCs w:val="20"/>
        </w:rPr>
        <w:t>k 1. 1. 2021</w:t>
      </w:r>
      <w:bookmarkEnd w:id="841"/>
      <w:r>
        <w:rPr>
          <w:rFonts w:ascii="Arial Narrow" w:hAnsi="Arial Narrow"/>
          <w:b/>
          <w:bCs/>
          <w:sz w:val="20"/>
          <w:szCs w:val="20"/>
        </w:rPr>
        <w:t xml:space="preserve"> v ORP Vyškov</w:t>
      </w:r>
      <w:bookmarkEnd w:id="842"/>
    </w:p>
    <w:p w14:paraId="0D549553" w14:textId="77777777" w:rsidR="00B4465C" w:rsidRPr="00CE357F" w:rsidRDefault="00B4465C" w:rsidP="00B4465C">
      <w:pPr>
        <w:rPr>
          <w:rFonts w:ascii="Arial Narrow" w:hAnsi="Arial Narrow"/>
        </w:rPr>
      </w:pPr>
      <w:r w:rsidRPr="00CE357F">
        <w:rPr>
          <w:rFonts w:ascii="Arial Narrow" w:hAnsi="Arial Narrow"/>
          <w:b/>
          <w:noProof/>
          <w:color w:val="2F5496" w:themeColor="accent1" w:themeShade="BF"/>
          <w:lang w:eastAsia="cs-CZ"/>
        </w:rPr>
        <w:drawing>
          <wp:inline distT="0" distB="0" distL="0" distR="0" wp14:anchorId="5CC73F6F" wp14:editId="2E1AEE80">
            <wp:extent cx="5765800" cy="3276600"/>
            <wp:effectExtent l="0" t="0" r="6350" b="0"/>
            <wp:docPr id="2104" name="Graf 2104">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00F14BE6" w14:textId="77777777" w:rsidR="00B4465C" w:rsidRPr="00171B4D" w:rsidRDefault="00B4465C" w:rsidP="00B4465C">
      <w:pPr>
        <w:rPr>
          <w:rFonts w:ascii="Arial Narrow" w:hAnsi="Arial Narrow"/>
          <w:b/>
          <w:bCs/>
          <w:sz w:val="28"/>
          <w:szCs w:val="28"/>
        </w:rPr>
      </w:pPr>
      <w:r w:rsidRPr="00CE357F">
        <w:rPr>
          <w:rFonts w:ascii="Arial Narrow" w:hAnsi="Arial Narrow"/>
          <w:color w:val="000000"/>
          <w:sz w:val="20"/>
          <w:szCs w:val="20"/>
          <w:lang w:eastAsia="cs-CZ"/>
        </w:rPr>
        <w:t>Zdroj: Ministerstvo Vnitra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43F9799E" w14:textId="77777777" w:rsidR="00B4465C" w:rsidRDefault="00B4465C" w:rsidP="00B4465C">
      <w:pPr>
        <w:spacing w:after="240" w:line="276" w:lineRule="auto"/>
        <w:rPr>
          <w:rFonts w:ascii="Arial Narrow" w:hAnsi="Arial Narrow"/>
          <w:b/>
          <w:bCs/>
        </w:rPr>
      </w:pPr>
    </w:p>
    <w:p w14:paraId="54BB6BAE" w14:textId="77777777" w:rsidR="00B4465C" w:rsidRPr="00CE357F" w:rsidRDefault="00B4465C" w:rsidP="00B4465C">
      <w:pPr>
        <w:spacing w:after="240" w:line="276" w:lineRule="auto"/>
        <w:rPr>
          <w:rFonts w:ascii="Arial Narrow" w:hAnsi="Arial Narrow"/>
          <w:b/>
          <w:bCs/>
        </w:rPr>
      </w:pPr>
      <w:r w:rsidRPr="00CE357F">
        <w:rPr>
          <w:rFonts w:ascii="Arial Narrow" w:hAnsi="Arial Narrow"/>
          <w:b/>
          <w:bCs/>
        </w:rPr>
        <w:t>Osoby s jinou než českou státní příslušnost</w:t>
      </w:r>
      <w:r>
        <w:rPr>
          <w:rFonts w:ascii="Arial Narrow" w:hAnsi="Arial Narrow"/>
          <w:b/>
          <w:bCs/>
        </w:rPr>
        <w:t>í v ORP Vyškov k datu 1. 1. 2022</w:t>
      </w:r>
    </w:p>
    <w:p w14:paraId="351EC9E1" w14:textId="77777777" w:rsidR="00B4465C" w:rsidRPr="00CE357F" w:rsidRDefault="00B4465C" w:rsidP="00B4465C">
      <w:pPr>
        <w:spacing w:after="120" w:line="276" w:lineRule="auto"/>
        <w:jc w:val="both"/>
        <w:rPr>
          <w:rFonts w:ascii="Arial Narrow" w:hAnsi="Arial Narrow"/>
          <w:color w:val="000000"/>
        </w:rPr>
      </w:pPr>
      <w:r w:rsidRPr="00CE357F">
        <w:rPr>
          <w:rFonts w:ascii="Arial Narrow" w:hAnsi="Arial Narrow"/>
          <w:color w:val="000000"/>
        </w:rPr>
        <w:t xml:space="preserve">V ORP Vyškov žilo k datu 1. 1. 2022 celkem 1 502 osob s jinou než českou státní příslušností, což bylo zhruba 2,9 % všech obyvatel ORP Vyškov. Děti do 15 let tvořily k 1. 1. 2021 celkem 6,6 % všech osob s jinou než českou státní příslušností na území ORP Vyškov. </w:t>
      </w:r>
    </w:p>
    <w:p w14:paraId="79338424" w14:textId="77777777" w:rsidR="00B4465C" w:rsidRPr="00CE357F" w:rsidRDefault="00B4465C" w:rsidP="00B4465C">
      <w:pPr>
        <w:spacing w:after="120" w:line="276" w:lineRule="auto"/>
        <w:jc w:val="both"/>
        <w:rPr>
          <w:rFonts w:ascii="Arial Narrow" w:hAnsi="Arial Narrow"/>
          <w:color w:val="000000"/>
        </w:rPr>
      </w:pPr>
      <w:r w:rsidRPr="00CE357F">
        <w:rPr>
          <w:rFonts w:ascii="Arial Narrow" w:hAnsi="Arial Narrow"/>
          <w:color w:val="000000"/>
        </w:rPr>
        <w:t>Nejvyšší podíl osob s jinou než českou státní příslušností na celkovém počtu obyvatel v dané obci byl ve Vážanech, kde tyto osoby tvořily 5,7 % všech obyvatel. Druhý nejvyšší podíl osob s jinou než českou státní příslušností byl evidován v obcích Rousínov, kde tyto osoby tvořily 4,3 % všech obyvatel, a v obci Vyškov, kde tyto osoby tvořily 4 % všech obyvatel.</w:t>
      </w:r>
    </w:p>
    <w:p w14:paraId="72F8D4C0" w14:textId="29A68288" w:rsidR="00B4465C" w:rsidRDefault="00B4465C" w:rsidP="00E32FA2">
      <w:pPr>
        <w:spacing w:after="240" w:line="276" w:lineRule="auto"/>
        <w:jc w:val="both"/>
        <w:rPr>
          <w:rFonts w:ascii="Arial Narrow" w:hAnsi="Arial Narrow"/>
          <w:color w:val="000000"/>
        </w:rPr>
      </w:pPr>
      <w:bookmarkStart w:id="843" w:name="_Hlk94277634"/>
      <w:r w:rsidRPr="00CE357F">
        <w:rPr>
          <w:rFonts w:ascii="Arial Narrow" w:hAnsi="Arial Narrow"/>
          <w:color w:val="000000"/>
        </w:rPr>
        <w:t>V ORP Vyškov bylo k 1. 1. 2010 celkem 42 obcí, přičemž ve 41 obcích se nacházela alespoň jedna osoba s jinou než českou státní příslušností. Z důvodu velkého množství dat proto dále pracujeme jen s obcemi, na jejichž území v dané době pobývalo 10 a více osob s jinou než českou státní příslušností. Počty osob s jinou než českou státní příslušností v daných obcích včetně rozdělení těchto osob podle pohlaví a věku</w:t>
      </w:r>
      <w:r w:rsidR="00E32FA2">
        <w:rPr>
          <w:rFonts w:ascii="Arial Narrow" w:hAnsi="Arial Narrow"/>
          <w:color w:val="000000"/>
        </w:rPr>
        <w:t xml:space="preserve"> a jejich podílu na celkovém počtu obyvatel</w:t>
      </w:r>
      <w:r w:rsidRPr="00CE357F">
        <w:rPr>
          <w:rFonts w:ascii="Arial Narrow" w:hAnsi="Arial Narrow"/>
          <w:color w:val="000000"/>
        </w:rPr>
        <w:t xml:space="preserve"> podrobně dokumentuje následující tabulka</w:t>
      </w:r>
      <w:r w:rsidR="00E32FA2">
        <w:rPr>
          <w:rFonts w:ascii="Arial Narrow" w:hAnsi="Arial Narrow"/>
          <w:color w:val="000000"/>
        </w:rPr>
        <w:t xml:space="preserve"> č. 67 a graf č. 134</w:t>
      </w:r>
      <w:r w:rsidRPr="00CE357F">
        <w:rPr>
          <w:rFonts w:ascii="Arial Narrow" w:hAnsi="Arial Narrow"/>
          <w:color w:val="000000"/>
        </w:rPr>
        <w:t xml:space="preserve">. </w:t>
      </w:r>
      <w:r w:rsidRPr="00CE357F">
        <w:rPr>
          <w:rFonts w:ascii="Arial Narrow" w:hAnsi="Arial Narrow"/>
          <w:color w:val="000000"/>
        </w:rPr>
        <w:tab/>
      </w:r>
      <w:r w:rsidRPr="00CE357F">
        <w:rPr>
          <w:rFonts w:ascii="Arial Narrow" w:hAnsi="Arial Narrow"/>
          <w:color w:val="000000"/>
        </w:rPr>
        <w:tab/>
      </w:r>
    </w:p>
    <w:p w14:paraId="512856B4" w14:textId="002A6551" w:rsidR="00B4465C" w:rsidRPr="00CE357F" w:rsidRDefault="00B4465C" w:rsidP="00B4465C">
      <w:pPr>
        <w:spacing w:line="276" w:lineRule="auto"/>
        <w:jc w:val="both"/>
        <w:rPr>
          <w:rFonts w:ascii="Arial Narrow" w:hAnsi="Arial Narrow"/>
          <w:color w:val="000000"/>
        </w:rPr>
      </w:pPr>
      <w:bookmarkStart w:id="844" w:name="_Toc136429278"/>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67</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Vyškov v roce 202</w:t>
      </w:r>
      <w:bookmarkEnd w:id="843"/>
      <w:r w:rsidRPr="00CE357F">
        <w:rPr>
          <w:rFonts w:ascii="Arial Narrow" w:eastAsia="Times New Roman" w:hAnsi="Arial Narrow" w:cs="Arial"/>
          <w:b/>
          <w:bCs/>
          <w:sz w:val="20"/>
          <w:szCs w:val="20"/>
          <w:lang w:eastAsia="cs-CZ"/>
        </w:rPr>
        <w:t>2</w:t>
      </w:r>
      <w:bookmarkEnd w:id="844"/>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011"/>
        <w:gridCol w:w="783"/>
        <w:gridCol w:w="1382"/>
        <w:gridCol w:w="2172"/>
        <w:gridCol w:w="559"/>
        <w:gridCol w:w="543"/>
        <w:gridCol w:w="717"/>
        <w:gridCol w:w="559"/>
        <w:gridCol w:w="514"/>
        <w:gridCol w:w="717"/>
      </w:tblGrid>
      <w:tr w:rsidR="00B4465C" w:rsidRPr="00CE357F" w14:paraId="4A5AD4EF" w14:textId="77777777" w:rsidTr="004A0C47">
        <w:trPr>
          <w:trHeight w:val="204"/>
        </w:trPr>
        <w:tc>
          <w:tcPr>
            <w:tcW w:w="1020" w:type="dxa"/>
            <w:vMerge w:val="restart"/>
            <w:shd w:val="clear" w:color="auto" w:fill="D9E2F3" w:themeFill="accent1" w:themeFillTint="33"/>
            <w:vAlign w:val="center"/>
          </w:tcPr>
          <w:p w14:paraId="13930877"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785" w:type="dxa"/>
            <w:vMerge w:val="restart"/>
            <w:shd w:val="clear" w:color="auto" w:fill="D9E2F3" w:themeFill="accent1" w:themeFillTint="33"/>
            <w:vAlign w:val="center"/>
          </w:tcPr>
          <w:p w14:paraId="0AB8853D" w14:textId="77777777" w:rsidR="00B4465C" w:rsidRPr="00CE357F" w:rsidRDefault="00B4465C"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425" w:type="dxa"/>
            <w:vMerge w:val="restart"/>
            <w:shd w:val="clear" w:color="auto" w:fill="D9E2F3" w:themeFill="accent1" w:themeFillTint="33"/>
            <w:vAlign w:val="center"/>
          </w:tcPr>
          <w:p w14:paraId="63DC3DFD"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Osoby s jinou než českou státní příslušností</w:t>
            </w:r>
            <w:r w:rsidRPr="00CE357F">
              <w:rPr>
                <w:rFonts w:ascii="Arial Narrow" w:eastAsia="Times New Roman" w:hAnsi="Arial Narrow" w:cs="Arial"/>
                <w:sz w:val="18"/>
                <w:szCs w:val="18"/>
                <w:lang w:eastAsia="cs-CZ"/>
              </w:rPr>
              <w:t xml:space="preserve"> celkem</w:t>
            </w:r>
          </w:p>
        </w:tc>
        <w:tc>
          <w:tcPr>
            <w:tcW w:w="2299" w:type="dxa"/>
            <w:vMerge w:val="restart"/>
            <w:shd w:val="clear" w:color="auto" w:fill="D9E2F3" w:themeFill="accent1" w:themeFillTint="33"/>
            <w:vAlign w:val="center"/>
          </w:tcPr>
          <w:p w14:paraId="13430208" w14:textId="77777777" w:rsidR="00B4465C" w:rsidRPr="00CE357F" w:rsidRDefault="00B4465C" w:rsidP="004A0C47">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Podíl </w:t>
            </w:r>
            <w:r w:rsidRPr="00CE357F">
              <w:rPr>
                <w:rFonts w:ascii="Arial Narrow" w:hAnsi="Arial Narrow"/>
                <w:color w:val="000000"/>
                <w:sz w:val="18"/>
                <w:szCs w:val="18"/>
              </w:rPr>
              <w:t>osob s jinou než českou státní příslušností</w:t>
            </w:r>
            <w:r w:rsidRPr="00CE357F">
              <w:rPr>
                <w:rFonts w:ascii="Arial Narrow" w:eastAsia="Times New Roman" w:hAnsi="Arial Narrow" w:cs="Arial"/>
                <w:sz w:val="18"/>
                <w:szCs w:val="18"/>
                <w:lang w:eastAsia="cs-CZ"/>
              </w:rPr>
              <w:t xml:space="preserve"> na celkovém počtu obyvatel</w:t>
            </w:r>
          </w:p>
        </w:tc>
        <w:tc>
          <w:tcPr>
            <w:tcW w:w="1842" w:type="dxa"/>
            <w:gridSpan w:val="3"/>
            <w:shd w:val="clear" w:color="auto" w:fill="D9E2F3" w:themeFill="accent1" w:themeFillTint="33"/>
            <w:vAlign w:val="center"/>
          </w:tcPr>
          <w:p w14:paraId="0CB1AEB2"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1809" w:type="dxa"/>
            <w:gridSpan w:val="3"/>
            <w:shd w:val="clear" w:color="auto" w:fill="D9E2F3" w:themeFill="accent1" w:themeFillTint="33"/>
            <w:vAlign w:val="center"/>
          </w:tcPr>
          <w:p w14:paraId="1787A893"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B4465C" w:rsidRPr="00CE357F" w14:paraId="2A4FB13D" w14:textId="77777777" w:rsidTr="004A0C47">
        <w:trPr>
          <w:trHeight w:val="204"/>
        </w:trPr>
        <w:tc>
          <w:tcPr>
            <w:tcW w:w="1020" w:type="dxa"/>
            <w:vMerge/>
            <w:shd w:val="clear" w:color="auto" w:fill="D9E2F3" w:themeFill="accent1" w:themeFillTint="33"/>
            <w:vAlign w:val="center"/>
          </w:tcPr>
          <w:p w14:paraId="19A7C43F" w14:textId="77777777" w:rsidR="00B4465C" w:rsidRPr="00CE357F" w:rsidRDefault="00B4465C" w:rsidP="004A0C47">
            <w:pPr>
              <w:jc w:val="center"/>
              <w:rPr>
                <w:rFonts w:ascii="Arial Narrow" w:eastAsia="Times New Roman" w:hAnsi="Arial Narrow" w:cs="Arial"/>
                <w:sz w:val="18"/>
                <w:szCs w:val="18"/>
                <w:lang w:eastAsia="cs-CZ"/>
              </w:rPr>
            </w:pPr>
          </w:p>
        </w:tc>
        <w:tc>
          <w:tcPr>
            <w:tcW w:w="785" w:type="dxa"/>
            <w:vMerge/>
            <w:shd w:val="clear" w:color="auto" w:fill="D9E2F3" w:themeFill="accent1" w:themeFillTint="33"/>
            <w:vAlign w:val="center"/>
          </w:tcPr>
          <w:p w14:paraId="54205C2F" w14:textId="77777777" w:rsidR="00B4465C" w:rsidRPr="00CE357F" w:rsidRDefault="00B4465C" w:rsidP="004A0C47">
            <w:pPr>
              <w:jc w:val="center"/>
              <w:rPr>
                <w:rFonts w:ascii="Arial Narrow" w:eastAsia="Times New Roman" w:hAnsi="Arial Narrow" w:cs="Arial"/>
                <w:sz w:val="18"/>
                <w:szCs w:val="18"/>
                <w:lang w:eastAsia="cs-CZ"/>
              </w:rPr>
            </w:pPr>
          </w:p>
        </w:tc>
        <w:tc>
          <w:tcPr>
            <w:tcW w:w="1425" w:type="dxa"/>
            <w:vMerge/>
            <w:shd w:val="clear" w:color="auto" w:fill="D9E2F3" w:themeFill="accent1" w:themeFillTint="33"/>
            <w:vAlign w:val="center"/>
          </w:tcPr>
          <w:p w14:paraId="787D52DC" w14:textId="77777777" w:rsidR="00B4465C" w:rsidRPr="00CE357F" w:rsidRDefault="00B4465C" w:rsidP="004A0C47">
            <w:pPr>
              <w:jc w:val="center"/>
              <w:rPr>
                <w:rFonts w:ascii="Arial Narrow" w:eastAsia="Times New Roman" w:hAnsi="Arial Narrow" w:cs="Arial"/>
                <w:sz w:val="18"/>
                <w:szCs w:val="18"/>
                <w:lang w:eastAsia="cs-CZ"/>
              </w:rPr>
            </w:pPr>
          </w:p>
        </w:tc>
        <w:tc>
          <w:tcPr>
            <w:tcW w:w="2299" w:type="dxa"/>
            <w:vMerge/>
            <w:shd w:val="clear" w:color="auto" w:fill="D9E2F3" w:themeFill="accent1" w:themeFillTint="33"/>
            <w:vAlign w:val="center"/>
          </w:tcPr>
          <w:p w14:paraId="7AE0AF50" w14:textId="77777777" w:rsidR="00B4465C" w:rsidRPr="00CE357F" w:rsidRDefault="00B4465C" w:rsidP="004A0C47">
            <w:pPr>
              <w:jc w:val="center"/>
              <w:rPr>
                <w:rFonts w:ascii="Arial Narrow" w:eastAsia="Times New Roman" w:hAnsi="Arial Narrow" w:cs="Arial"/>
                <w:sz w:val="18"/>
                <w:szCs w:val="18"/>
                <w:lang w:eastAsia="cs-CZ"/>
              </w:rPr>
            </w:pPr>
          </w:p>
        </w:tc>
        <w:tc>
          <w:tcPr>
            <w:tcW w:w="567" w:type="dxa"/>
            <w:shd w:val="clear" w:color="auto" w:fill="D9E2F3" w:themeFill="accent1" w:themeFillTint="33"/>
            <w:vAlign w:val="center"/>
          </w:tcPr>
          <w:p w14:paraId="18B297C3"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58" w:type="dxa"/>
            <w:shd w:val="clear" w:color="auto" w:fill="D9E2F3" w:themeFill="accent1" w:themeFillTint="33"/>
            <w:vAlign w:val="center"/>
          </w:tcPr>
          <w:p w14:paraId="1674C585"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18CA4334"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c>
          <w:tcPr>
            <w:tcW w:w="567" w:type="dxa"/>
            <w:shd w:val="clear" w:color="auto" w:fill="D9E2F3" w:themeFill="accent1" w:themeFillTint="33"/>
            <w:vAlign w:val="center"/>
          </w:tcPr>
          <w:p w14:paraId="2280EB19"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Nad 15</w:t>
            </w:r>
          </w:p>
        </w:tc>
        <w:tc>
          <w:tcPr>
            <w:tcW w:w="525" w:type="dxa"/>
            <w:shd w:val="clear" w:color="auto" w:fill="D9E2F3" w:themeFill="accent1" w:themeFillTint="33"/>
            <w:vAlign w:val="center"/>
          </w:tcPr>
          <w:p w14:paraId="46C7E351"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7D686DF8" w14:textId="77777777" w:rsidR="00B4465C" w:rsidRPr="00CE357F" w:rsidRDefault="00B4465C" w:rsidP="004A0C47">
            <w:pPr>
              <w:jc w:val="center"/>
              <w:rPr>
                <w:rFonts w:ascii="Arial Narrow" w:hAnsi="Arial Narrow"/>
                <w:sz w:val="18"/>
                <w:szCs w:val="18"/>
              </w:rPr>
            </w:pPr>
            <w:r w:rsidRPr="00CE357F">
              <w:rPr>
                <w:rFonts w:ascii="Arial Narrow" w:eastAsia="Times New Roman" w:hAnsi="Arial Narrow" w:cs="Arial"/>
                <w:sz w:val="18"/>
                <w:szCs w:val="18"/>
                <w:lang w:eastAsia="cs-CZ"/>
              </w:rPr>
              <w:t>Celkem</w:t>
            </w:r>
          </w:p>
        </w:tc>
      </w:tr>
      <w:tr w:rsidR="00B4465C" w:rsidRPr="00CE357F" w14:paraId="00F4D60A" w14:textId="77777777" w:rsidTr="004A0C47">
        <w:trPr>
          <w:trHeight w:val="204"/>
        </w:trPr>
        <w:tc>
          <w:tcPr>
            <w:tcW w:w="1020" w:type="dxa"/>
            <w:shd w:val="clear" w:color="auto" w:fill="D9E2F3" w:themeFill="accent1" w:themeFillTint="33"/>
            <w:vAlign w:val="center"/>
          </w:tcPr>
          <w:p w14:paraId="4E4F4B99"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lastRenderedPageBreak/>
              <w:t>Vážany</w:t>
            </w:r>
          </w:p>
        </w:tc>
        <w:tc>
          <w:tcPr>
            <w:tcW w:w="785" w:type="dxa"/>
            <w:vAlign w:val="center"/>
          </w:tcPr>
          <w:p w14:paraId="53140FA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440</w:t>
            </w:r>
          </w:p>
        </w:tc>
        <w:tc>
          <w:tcPr>
            <w:tcW w:w="1425" w:type="dxa"/>
            <w:vAlign w:val="center"/>
          </w:tcPr>
          <w:p w14:paraId="43A8BF00"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25</w:t>
            </w:r>
          </w:p>
        </w:tc>
        <w:tc>
          <w:tcPr>
            <w:tcW w:w="2299" w:type="dxa"/>
            <w:vAlign w:val="center"/>
          </w:tcPr>
          <w:p w14:paraId="3BB43439" w14:textId="77777777" w:rsidR="00B4465C" w:rsidRPr="00CE357F" w:rsidRDefault="00B4465C" w:rsidP="004A0C47">
            <w:pPr>
              <w:jc w:val="center"/>
              <w:rPr>
                <w:rFonts w:ascii="Arial Narrow" w:hAnsi="Arial Narrow"/>
                <w:b/>
                <w:bCs/>
                <w:sz w:val="18"/>
                <w:szCs w:val="18"/>
              </w:rPr>
            </w:pPr>
            <w:r w:rsidRPr="00CE357F">
              <w:rPr>
                <w:rFonts w:ascii="Arial Narrow" w:hAnsi="Arial Narrow"/>
                <w:b/>
                <w:bCs/>
                <w:color w:val="C00000"/>
                <w:sz w:val="18"/>
                <w:szCs w:val="18"/>
              </w:rPr>
              <w:t>5,7 %</w:t>
            </w:r>
          </w:p>
        </w:tc>
        <w:tc>
          <w:tcPr>
            <w:tcW w:w="567" w:type="dxa"/>
            <w:vAlign w:val="center"/>
          </w:tcPr>
          <w:p w14:paraId="0B4444A7"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14</w:t>
            </w:r>
          </w:p>
        </w:tc>
        <w:tc>
          <w:tcPr>
            <w:tcW w:w="558" w:type="dxa"/>
            <w:vAlign w:val="center"/>
          </w:tcPr>
          <w:p w14:paraId="550A7B4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0E275C7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15</w:t>
            </w:r>
          </w:p>
        </w:tc>
        <w:tc>
          <w:tcPr>
            <w:tcW w:w="567" w:type="dxa"/>
            <w:vAlign w:val="center"/>
          </w:tcPr>
          <w:p w14:paraId="1713BBC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10</w:t>
            </w:r>
          </w:p>
        </w:tc>
        <w:tc>
          <w:tcPr>
            <w:tcW w:w="525" w:type="dxa"/>
            <w:vAlign w:val="center"/>
          </w:tcPr>
          <w:p w14:paraId="6B181DCE"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173C577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10</w:t>
            </w:r>
          </w:p>
        </w:tc>
      </w:tr>
      <w:tr w:rsidR="00B4465C" w:rsidRPr="00CE357F" w14:paraId="5C7171AD" w14:textId="77777777" w:rsidTr="004A0C47">
        <w:trPr>
          <w:trHeight w:val="204"/>
        </w:trPr>
        <w:tc>
          <w:tcPr>
            <w:tcW w:w="1020" w:type="dxa"/>
            <w:shd w:val="clear" w:color="auto" w:fill="D9E2F3" w:themeFill="accent1" w:themeFillTint="33"/>
            <w:vAlign w:val="center"/>
          </w:tcPr>
          <w:p w14:paraId="4BC3F4A1"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Rousínov</w:t>
            </w:r>
          </w:p>
        </w:tc>
        <w:tc>
          <w:tcPr>
            <w:tcW w:w="785" w:type="dxa"/>
            <w:vAlign w:val="center"/>
          </w:tcPr>
          <w:p w14:paraId="378CAAC4"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5 567</w:t>
            </w:r>
          </w:p>
        </w:tc>
        <w:tc>
          <w:tcPr>
            <w:tcW w:w="1425" w:type="dxa"/>
            <w:vAlign w:val="center"/>
          </w:tcPr>
          <w:p w14:paraId="2A80042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240</w:t>
            </w:r>
          </w:p>
        </w:tc>
        <w:tc>
          <w:tcPr>
            <w:tcW w:w="2299" w:type="dxa"/>
            <w:vAlign w:val="center"/>
          </w:tcPr>
          <w:p w14:paraId="0C2D56E5" w14:textId="77777777" w:rsidR="00B4465C" w:rsidRPr="00CE357F" w:rsidRDefault="00B4465C" w:rsidP="004A0C47">
            <w:pPr>
              <w:jc w:val="center"/>
              <w:rPr>
                <w:rFonts w:ascii="Arial Narrow" w:hAnsi="Arial Narrow"/>
                <w:b/>
                <w:bCs/>
                <w:sz w:val="18"/>
                <w:szCs w:val="18"/>
              </w:rPr>
            </w:pPr>
            <w:r w:rsidRPr="00CE357F">
              <w:rPr>
                <w:rFonts w:ascii="Arial Narrow" w:hAnsi="Arial Narrow"/>
                <w:b/>
                <w:bCs/>
                <w:color w:val="C00000"/>
                <w:sz w:val="18"/>
                <w:szCs w:val="18"/>
              </w:rPr>
              <w:t>4,3 %</w:t>
            </w:r>
          </w:p>
        </w:tc>
        <w:tc>
          <w:tcPr>
            <w:tcW w:w="567" w:type="dxa"/>
            <w:vAlign w:val="center"/>
          </w:tcPr>
          <w:p w14:paraId="426B3E2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112</w:t>
            </w:r>
          </w:p>
        </w:tc>
        <w:tc>
          <w:tcPr>
            <w:tcW w:w="558" w:type="dxa"/>
            <w:vAlign w:val="center"/>
          </w:tcPr>
          <w:p w14:paraId="273CF38E"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16</w:t>
            </w:r>
          </w:p>
        </w:tc>
        <w:tc>
          <w:tcPr>
            <w:tcW w:w="717" w:type="dxa"/>
            <w:vAlign w:val="center"/>
          </w:tcPr>
          <w:p w14:paraId="685852B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128</w:t>
            </w:r>
          </w:p>
        </w:tc>
        <w:tc>
          <w:tcPr>
            <w:tcW w:w="567" w:type="dxa"/>
            <w:vAlign w:val="center"/>
          </w:tcPr>
          <w:p w14:paraId="1F6954C7"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89</w:t>
            </w:r>
          </w:p>
        </w:tc>
        <w:tc>
          <w:tcPr>
            <w:tcW w:w="525" w:type="dxa"/>
            <w:vAlign w:val="center"/>
          </w:tcPr>
          <w:p w14:paraId="26E60F2A"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23</w:t>
            </w:r>
          </w:p>
        </w:tc>
        <w:tc>
          <w:tcPr>
            <w:tcW w:w="717" w:type="dxa"/>
            <w:vAlign w:val="center"/>
          </w:tcPr>
          <w:p w14:paraId="62E092ED"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112</w:t>
            </w:r>
          </w:p>
        </w:tc>
      </w:tr>
      <w:tr w:rsidR="00B4465C" w:rsidRPr="00CE357F" w14:paraId="2BC0DE2D" w14:textId="77777777" w:rsidTr="004A0C47">
        <w:trPr>
          <w:trHeight w:val="204"/>
        </w:trPr>
        <w:tc>
          <w:tcPr>
            <w:tcW w:w="1020" w:type="dxa"/>
            <w:shd w:val="clear" w:color="auto" w:fill="D9E2F3" w:themeFill="accent1" w:themeFillTint="33"/>
            <w:vAlign w:val="center"/>
          </w:tcPr>
          <w:p w14:paraId="0722E30D"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Vyškov</w:t>
            </w:r>
          </w:p>
        </w:tc>
        <w:tc>
          <w:tcPr>
            <w:tcW w:w="785" w:type="dxa"/>
            <w:vAlign w:val="center"/>
          </w:tcPr>
          <w:p w14:paraId="606D1E19"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20 010</w:t>
            </w:r>
          </w:p>
        </w:tc>
        <w:tc>
          <w:tcPr>
            <w:tcW w:w="1425" w:type="dxa"/>
            <w:vAlign w:val="center"/>
          </w:tcPr>
          <w:p w14:paraId="55287DA5"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801</w:t>
            </w:r>
          </w:p>
        </w:tc>
        <w:tc>
          <w:tcPr>
            <w:tcW w:w="2299" w:type="dxa"/>
            <w:vAlign w:val="center"/>
          </w:tcPr>
          <w:p w14:paraId="0D69179C" w14:textId="77777777" w:rsidR="00B4465C" w:rsidRPr="00CE357F" w:rsidRDefault="00B4465C" w:rsidP="004A0C47">
            <w:pPr>
              <w:jc w:val="center"/>
              <w:rPr>
                <w:rFonts w:ascii="Arial Narrow" w:hAnsi="Arial Narrow"/>
                <w:b/>
                <w:sz w:val="18"/>
                <w:szCs w:val="18"/>
              </w:rPr>
            </w:pPr>
            <w:r w:rsidRPr="00CE357F">
              <w:rPr>
                <w:rFonts w:ascii="Arial Narrow" w:hAnsi="Arial Narrow"/>
                <w:b/>
                <w:color w:val="C00000"/>
                <w:sz w:val="18"/>
                <w:szCs w:val="18"/>
              </w:rPr>
              <w:t>4,0 %</w:t>
            </w:r>
          </w:p>
        </w:tc>
        <w:tc>
          <w:tcPr>
            <w:tcW w:w="567" w:type="dxa"/>
            <w:vAlign w:val="center"/>
          </w:tcPr>
          <w:p w14:paraId="13BB6808"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417</w:t>
            </w:r>
          </w:p>
        </w:tc>
        <w:tc>
          <w:tcPr>
            <w:tcW w:w="558" w:type="dxa"/>
            <w:vAlign w:val="center"/>
          </w:tcPr>
          <w:p w14:paraId="1792C2C4"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24</w:t>
            </w:r>
          </w:p>
        </w:tc>
        <w:tc>
          <w:tcPr>
            <w:tcW w:w="717" w:type="dxa"/>
            <w:vAlign w:val="center"/>
          </w:tcPr>
          <w:p w14:paraId="74469418"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441</w:t>
            </w:r>
          </w:p>
        </w:tc>
        <w:tc>
          <w:tcPr>
            <w:tcW w:w="567" w:type="dxa"/>
            <w:vAlign w:val="center"/>
          </w:tcPr>
          <w:p w14:paraId="52AC5414"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328</w:t>
            </w:r>
          </w:p>
        </w:tc>
        <w:tc>
          <w:tcPr>
            <w:tcW w:w="525" w:type="dxa"/>
            <w:vAlign w:val="center"/>
          </w:tcPr>
          <w:p w14:paraId="38226ABE"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32</w:t>
            </w:r>
          </w:p>
        </w:tc>
        <w:tc>
          <w:tcPr>
            <w:tcW w:w="717" w:type="dxa"/>
            <w:vAlign w:val="center"/>
          </w:tcPr>
          <w:p w14:paraId="1B65CEF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360</w:t>
            </w:r>
          </w:p>
        </w:tc>
      </w:tr>
      <w:tr w:rsidR="00B4465C" w:rsidRPr="00CE357F" w14:paraId="0EF45BB0" w14:textId="77777777" w:rsidTr="004A0C47">
        <w:trPr>
          <w:trHeight w:val="204"/>
        </w:trPr>
        <w:tc>
          <w:tcPr>
            <w:tcW w:w="1020" w:type="dxa"/>
            <w:shd w:val="clear" w:color="auto" w:fill="D9E2F3" w:themeFill="accent1" w:themeFillTint="33"/>
            <w:vAlign w:val="center"/>
          </w:tcPr>
          <w:p w14:paraId="21182A08"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Rybníček</w:t>
            </w:r>
          </w:p>
        </w:tc>
        <w:tc>
          <w:tcPr>
            <w:tcW w:w="785" w:type="dxa"/>
            <w:vAlign w:val="center"/>
          </w:tcPr>
          <w:p w14:paraId="37114BE6"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260</w:t>
            </w:r>
          </w:p>
        </w:tc>
        <w:tc>
          <w:tcPr>
            <w:tcW w:w="1425" w:type="dxa"/>
            <w:vAlign w:val="center"/>
          </w:tcPr>
          <w:p w14:paraId="2D998BF9"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10</w:t>
            </w:r>
          </w:p>
        </w:tc>
        <w:tc>
          <w:tcPr>
            <w:tcW w:w="2299" w:type="dxa"/>
            <w:vAlign w:val="center"/>
          </w:tcPr>
          <w:p w14:paraId="769BABFE"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3,8 %</w:t>
            </w:r>
          </w:p>
        </w:tc>
        <w:tc>
          <w:tcPr>
            <w:tcW w:w="567" w:type="dxa"/>
            <w:vAlign w:val="center"/>
          </w:tcPr>
          <w:p w14:paraId="4D2215A0"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w:t>
            </w:r>
          </w:p>
        </w:tc>
        <w:tc>
          <w:tcPr>
            <w:tcW w:w="558" w:type="dxa"/>
            <w:vAlign w:val="center"/>
          </w:tcPr>
          <w:p w14:paraId="2FA479C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53DFF120"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w:t>
            </w:r>
          </w:p>
        </w:tc>
        <w:tc>
          <w:tcPr>
            <w:tcW w:w="567" w:type="dxa"/>
            <w:vAlign w:val="center"/>
          </w:tcPr>
          <w:p w14:paraId="513236C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7</w:t>
            </w:r>
          </w:p>
        </w:tc>
        <w:tc>
          <w:tcPr>
            <w:tcW w:w="525" w:type="dxa"/>
            <w:vAlign w:val="center"/>
          </w:tcPr>
          <w:p w14:paraId="0E6D8968"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1B3D04F8"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8</w:t>
            </w:r>
          </w:p>
        </w:tc>
      </w:tr>
      <w:tr w:rsidR="00B4465C" w:rsidRPr="00CE357F" w14:paraId="621AF548" w14:textId="77777777" w:rsidTr="004A0C47">
        <w:trPr>
          <w:trHeight w:val="204"/>
        </w:trPr>
        <w:tc>
          <w:tcPr>
            <w:tcW w:w="1020" w:type="dxa"/>
            <w:shd w:val="clear" w:color="auto" w:fill="D9E2F3" w:themeFill="accent1" w:themeFillTint="33"/>
            <w:vAlign w:val="center"/>
          </w:tcPr>
          <w:p w14:paraId="4F6E2E40"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Tučapy</w:t>
            </w:r>
          </w:p>
        </w:tc>
        <w:tc>
          <w:tcPr>
            <w:tcW w:w="785" w:type="dxa"/>
            <w:vAlign w:val="center"/>
          </w:tcPr>
          <w:p w14:paraId="50F139B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581</w:t>
            </w:r>
          </w:p>
        </w:tc>
        <w:tc>
          <w:tcPr>
            <w:tcW w:w="1425" w:type="dxa"/>
            <w:vAlign w:val="center"/>
          </w:tcPr>
          <w:p w14:paraId="51412ED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18</w:t>
            </w:r>
          </w:p>
        </w:tc>
        <w:tc>
          <w:tcPr>
            <w:tcW w:w="2299" w:type="dxa"/>
            <w:vAlign w:val="center"/>
          </w:tcPr>
          <w:p w14:paraId="4CAE37B5"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3,1 %</w:t>
            </w:r>
          </w:p>
        </w:tc>
        <w:tc>
          <w:tcPr>
            <w:tcW w:w="567" w:type="dxa"/>
            <w:vAlign w:val="center"/>
          </w:tcPr>
          <w:p w14:paraId="529BF98A"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9</w:t>
            </w:r>
          </w:p>
        </w:tc>
        <w:tc>
          <w:tcPr>
            <w:tcW w:w="558" w:type="dxa"/>
            <w:vAlign w:val="center"/>
          </w:tcPr>
          <w:p w14:paraId="44C0F45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w:t>
            </w:r>
          </w:p>
        </w:tc>
        <w:tc>
          <w:tcPr>
            <w:tcW w:w="717" w:type="dxa"/>
            <w:vAlign w:val="center"/>
          </w:tcPr>
          <w:p w14:paraId="396B1D0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12</w:t>
            </w:r>
          </w:p>
        </w:tc>
        <w:tc>
          <w:tcPr>
            <w:tcW w:w="567" w:type="dxa"/>
            <w:vAlign w:val="center"/>
          </w:tcPr>
          <w:p w14:paraId="5D446FF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25" w:type="dxa"/>
            <w:vAlign w:val="center"/>
          </w:tcPr>
          <w:p w14:paraId="2587AD26"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610A458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r>
      <w:tr w:rsidR="00B4465C" w:rsidRPr="00CE357F" w14:paraId="7A8B3136" w14:textId="77777777" w:rsidTr="004A0C47">
        <w:trPr>
          <w:trHeight w:val="204"/>
        </w:trPr>
        <w:tc>
          <w:tcPr>
            <w:tcW w:w="1020" w:type="dxa"/>
            <w:shd w:val="clear" w:color="auto" w:fill="D9E2F3" w:themeFill="accent1" w:themeFillTint="33"/>
            <w:vAlign w:val="center"/>
          </w:tcPr>
          <w:p w14:paraId="3F40BACD"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Hlubočany</w:t>
            </w:r>
          </w:p>
        </w:tc>
        <w:tc>
          <w:tcPr>
            <w:tcW w:w="785" w:type="dxa"/>
            <w:vAlign w:val="center"/>
          </w:tcPr>
          <w:p w14:paraId="314B16AD"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510</w:t>
            </w:r>
          </w:p>
        </w:tc>
        <w:tc>
          <w:tcPr>
            <w:tcW w:w="1425" w:type="dxa"/>
            <w:vAlign w:val="center"/>
          </w:tcPr>
          <w:p w14:paraId="28B1BA46"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15</w:t>
            </w:r>
          </w:p>
        </w:tc>
        <w:tc>
          <w:tcPr>
            <w:tcW w:w="2299" w:type="dxa"/>
            <w:vAlign w:val="center"/>
          </w:tcPr>
          <w:p w14:paraId="4543D796"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2,9 %</w:t>
            </w:r>
          </w:p>
        </w:tc>
        <w:tc>
          <w:tcPr>
            <w:tcW w:w="567" w:type="dxa"/>
            <w:vAlign w:val="center"/>
          </w:tcPr>
          <w:p w14:paraId="56B26C4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58" w:type="dxa"/>
            <w:vAlign w:val="center"/>
          </w:tcPr>
          <w:p w14:paraId="15F006D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3443C219"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67" w:type="dxa"/>
            <w:vAlign w:val="center"/>
          </w:tcPr>
          <w:p w14:paraId="2679F7F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25" w:type="dxa"/>
            <w:vAlign w:val="center"/>
          </w:tcPr>
          <w:p w14:paraId="3029E7F7"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w:t>
            </w:r>
          </w:p>
        </w:tc>
        <w:tc>
          <w:tcPr>
            <w:tcW w:w="717" w:type="dxa"/>
            <w:vAlign w:val="center"/>
          </w:tcPr>
          <w:p w14:paraId="52B4BB88"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9</w:t>
            </w:r>
          </w:p>
        </w:tc>
      </w:tr>
      <w:tr w:rsidR="00B4465C" w:rsidRPr="00CE357F" w14:paraId="2C530298" w14:textId="77777777" w:rsidTr="004A0C47">
        <w:trPr>
          <w:trHeight w:val="204"/>
        </w:trPr>
        <w:tc>
          <w:tcPr>
            <w:tcW w:w="1020" w:type="dxa"/>
            <w:shd w:val="clear" w:color="auto" w:fill="D9E2F3" w:themeFill="accent1" w:themeFillTint="33"/>
            <w:vAlign w:val="center"/>
          </w:tcPr>
          <w:p w14:paraId="48EBD888"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Ivanovice na Hané</w:t>
            </w:r>
          </w:p>
        </w:tc>
        <w:tc>
          <w:tcPr>
            <w:tcW w:w="785" w:type="dxa"/>
            <w:vAlign w:val="center"/>
          </w:tcPr>
          <w:p w14:paraId="1ADEB33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2 863</w:t>
            </w:r>
          </w:p>
        </w:tc>
        <w:tc>
          <w:tcPr>
            <w:tcW w:w="1425" w:type="dxa"/>
            <w:vAlign w:val="center"/>
          </w:tcPr>
          <w:p w14:paraId="6C8F498E"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83</w:t>
            </w:r>
          </w:p>
        </w:tc>
        <w:tc>
          <w:tcPr>
            <w:tcW w:w="2299" w:type="dxa"/>
            <w:vAlign w:val="center"/>
          </w:tcPr>
          <w:p w14:paraId="5005CC57"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2,9 %</w:t>
            </w:r>
          </w:p>
        </w:tc>
        <w:tc>
          <w:tcPr>
            <w:tcW w:w="567" w:type="dxa"/>
            <w:vAlign w:val="center"/>
          </w:tcPr>
          <w:p w14:paraId="097CF3E9"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47</w:t>
            </w:r>
          </w:p>
        </w:tc>
        <w:tc>
          <w:tcPr>
            <w:tcW w:w="558" w:type="dxa"/>
            <w:vAlign w:val="center"/>
          </w:tcPr>
          <w:p w14:paraId="19A5DE0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4</w:t>
            </w:r>
          </w:p>
        </w:tc>
        <w:tc>
          <w:tcPr>
            <w:tcW w:w="717" w:type="dxa"/>
            <w:vAlign w:val="center"/>
          </w:tcPr>
          <w:p w14:paraId="0B429439"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51</w:t>
            </w:r>
          </w:p>
        </w:tc>
        <w:tc>
          <w:tcPr>
            <w:tcW w:w="567" w:type="dxa"/>
            <w:vAlign w:val="center"/>
          </w:tcPr>
          <w:p w14:paraId="143D099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29</w:t>
            </w:r>
          </w:p>
        </w:tc>
        <w:tc>
          <w:tcPr>
            <w:tcW w:w="525" w:type="dxa"/>
            <w:vAlign w:val="center"/>
          </w:tcPr>
          <w:p w14:paraId="04A629F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w:t>
            </w:r>
          </w:p>
        </w:tc>
        <w:tc>
          <w:tcPr>
            <w:tcW w:w="717" w:type="dxa"/>
            <w:vAlign w:val="center"/>
          </w:tcPr>
          <w:p w14:paraId="75A3E9F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32</w:t>
            </w:r>
          </w:p>
        </w:tc>
      </w:tr>
      <w:tr w:rsidR="00B4465C" w:rsidRPr="00CE357F" w14:paraId="7B233810" w14:textId="77777777" w:rsidTr="004A0C47">
        <w:trPr>
          <w:trHeight w:val="204"/>
        </w:trPr>
        <w:tc>
          <w:tcPr>
            <w:tcW w:w="1020" w:type="dxa"/>
            <w:shd w:val="clear" w:color="auto" w:fill="D9E2F3" w:themeFill="accent1" w:themeFillTint="33"/>
            <w:vAlign w:val="center"/>
          </w:tcPr>
          <w:p w14:paraId="079749AE"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Rostěnice-</w:t>
            </w:r>
          </w:p>
          <w:p w14:paraId="51F23E20"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Zvonovice</w:t>
            </w:r>
          </w:p>
        </w:tc>
        <w:tc>
          <w:tcPr>
            <w:tcW w:w="785" w:type="dxa"/>
            <w:vAlign w:val="center"/>
          </w:tcPr>
          <w:p w14:paraId="55462804"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538</w:t>
            </w:r>
          </w:p>
        </w:tc>
        <w:tc>
          <w:tcPr>
            <w:tcW w:w="1425" w:type="dxa"/>
            <w:vAlign w:val="center"/>
          </w:tcPr>
          <w:p w14:paraId="7F7A0BD9"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15</w:t>
            </w:r>
          </w:p>
        </w:tc>
        <w:tc>
          <w:tcPr>
            <w:tcW w:w="2299" w:type="dxa"/>
            <w:vAlign w:val="center"/>
          </w:tcPr>
          <w:p w14:paraId="08258157"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2,8 %</w:t>
            </w:r>
          </w:p>
        </w:tc>
        <w:tc>
          <w:tcPr>
            <w:tcW w:w="567" w:type="dxa"/>
            <w:vAlign w:val="center"/>
          </w:tcPr>
          <w:p w14:paraId="21DFA3AD"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10</w:t>
            </w:r>
          </w:p>
        </w:tc>
        <w:tc>
          <w:tcPr>
            <w:tcW w:w="558" w:type="dxa"/>
            <w:vAlign w:val="center"/>
          </w:tcPr>
          <w:p w14:paraId="1B96D8C0"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0505FA5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10</w:t>
            </w:r>
          </w:p>
        </w:tc>
        <w:tc>
          <w:tcPr>
            <w:tcW w:w="567" w:type="dxa"/>
            <w:vAlign w:val="center"/>
          </w:tcPr>
          <w:p w14:paraId="5162BFF7"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w:t>
            </w:r>
          </w:p>
        </w:tc>
        <w:tc>
          <w:tcPr>
            <w:tcW w:w="525" w:type="dxa"/>
            <w:vAlign w:val="center"/>
          </w:tcPr>
          <w:p w14:paraId="546B3C1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30EC7A79"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w:t>
            </w:r>
          </w:p>
        </w:tc>
      </w:tr>
      <w:tr w:rsidR="00B4465C" w:rsidRPr="00CE357F" w14:paraId="6C44FF66" w14:textId="77777777" w:rsidTr="004A0C47">
        <w:trPr>
          <w:trHeight w:val="204"/>
        </w:trPr>
        <w:tc>
          <w:tcPr>
            <w:tcW w:w="1020" w:type="dxa"/>
            <w:shd w:val="clear" w:color="auto" w:fill="D9E2F3" w:themeFill="accent1" w:themeFillTint="33"/>
            <w:vAlign w:val="center"/>
          </w:tcPr>
          <w:p w14:paraId="112AC24A"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Nemojany</w:t>
            </w:r>
          </w:p>
        </w:tc>
        <w:tc>
          <w:tcPr>
            <w:tcW w:w="785" w:type="dxa"/>
            <w:vAlign w:val="center"/>
          </w:tcPr>
          <w:p w14:paraId="306C49C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815</w:t>
            </w:r>
          </w:p>
        </w:tc>
        <w:tc>
          <w:tcPr>
            <w:tcW w:w="1425" w:type="dxa"/>
            <w:vAlign w:val="center"/>
          </w:tcPr>
          <w:p w14:paraId="455645C8"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22</w:t>
            </w:r>
          </w:p>
        </w:tc>
        <w:tc>
          <w:tcPr>
            <w:tcW w:w="2299" w:type="dxa"/>
            <w:vAlign w:val="center"/>
          </w:tcPr>
          <w:p w14:paraId="19BFED3D"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2,7 %</w:t>
            </w:r>
          </w:p>
        </w:tc>
        <w:tc>
          <w:tcPr>
            <w:tcW w:w="567" w:type="dxa"/>
            <w:vAlign w:val="center"/>
          </w:tcPr>
          <w:p w14:paraId="72FCFFFE"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12</w:t>
            </w:r>
          </w:p>
        </w:tc>
        <w:tc>
          <w:tcPr>
            <w:tcW w:w="558" w:type="dxa"/>
            <w:vAlign w:val="center"/>
          </w:tcPr>
          <w:p w14:paraId="6EF5B45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63159F8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13</w:t>
            </w:r>
          </w:p>
        </w:tc>
        <w:tc>
          <w:tcPr>
            <w:tcW w:w="567" w:type="dxa"/>
            <w:vAlign w:val="center"/>
          </w:tcPr>
          <w:p w14:paraId="4F95604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25" w:type="dxa"/>
            <w:vAlign w:val="center"/>
          </w:tcPr>
          <w:p w14:paraId="309C192E"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w:t>
            </w:r>
          </w:p>
        </w:tc>
        <w:tc>
          <w:tcPr>
            <w:tcW w:w="717" w:type="dxa"/>
            <w:vAlign w:val="center"/>
          </w:tcPr>
          <w:p w14:paraId="6F7EBDD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9</w:t>
            </w:r>
          </w:p>
        </w:tc>
      </w:tr>
      <w:tr w:rsidR="00B4465C" w:rsidRPr="00CE357F" w14:paraId="127A90FF" w14:textId="77777777" w:rsidTr="004A0C47">
        <w:trPr>
          <w:trHeight w:val="204"/>
        </w:trPr>
        <w:tc>
          <w:tcPr>
            <w:tcW w:w="1020" w:type="dxa"/>
            <w:shd w:val="clear" w:color="auto" w:fill="D9E2F3" w:themeFill="accent1" w:themeFillTint="33"/>
            <w:vAlign w:val="center"/>
          </w:tcPr>
          <w:p w14:paraId="2E06CB4A"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Komořany</w:t>
            </w:r>
          </w:p>
        </w:tc>
        <w:tc>
          <w:tcPr>
            <w:tcW w:w="785" w:type="dxa"/>
            <w:vAlign w:val="center"/>
          </w:tcPr>
          <w:p w14:paraId="55B1AAA0"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733</w:t>
            </w:r>
          </w:p>
        </w:tc>
        <w:tc>
          <w:tcPr>
            <w:tcW w:w="1425" w:type="dxa"/>
            <w:vAlign w:val="center"/>
          </w:tcPr>
          <w:p w14:paraId="1BEBA6AD"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18</w:t>
            </w:r>
          </w:p>
        </w:tc>
        <w:tc>
          <w:tcPr>
            <w:tcW w:w="2299" w:type="dxa"/>
            <w:vAlign w:val="center"/>
          </w:tcPr>
          <w:p w14:paraId="3A65F990"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2,5 %</w:t>
            </w:r>
          </w:p>
        </w:tc>
        <w:tc>
          <w:tcPr>
            <w:tcW w:w="567" w:type="dxa"/>
            <w:vAlign w:val="center"/>
          </w:tcPr>
          <w:p w14:paraId="7523E46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58" w:type="dxa"/>
            <w:vAlign w:val="center"/>
          </w:tcPr>
          <w:p w14:paraId="7CFEFEA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w:t>
            </w:r>
          </w:p>
        </w:tc>
        <w:tc>
          <w:tcPr>
            <w:tcW w:w="717" w:type="dxa"/>
            <w:vAlign w:val="center"/>
          </w:tcPr>
          <w:p w14:paraId="5D7BB9B6"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8</w:t>
            </w:r>
          </w:p>
        </w:tc>
        <w:tc>
          <w:tcPr>
            <w:tcW w:w="567" w:type="dxa"/>
            <w:vAlign w:val="center"/>
          </w:tcPr>
          <w:p w14:paraId="6E9056C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8</w:t>
            </w:r>
          </w:p>
        </w:tc>
        <w:tc>
          <w:tcPr>
            <w:tcW w:w="525" w:type="dxa"/>
            <w:vAlign w:val="center"/>
          </w:tcPr>
          <w:p w14:paraId="325D099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w:t>
            </w:r>
          </w:p>
        </w:tc>
        <w:tc>
          <w:tcPr>
            <w:tcW w:w="717" w:type="dxa"/>
            <w:vAlign w:val="center"/>
          </w:tcPr>
          <w:p w14:paraId="36450FC4"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10</w:t>
            </w:r>
          </w:p>
        </w:tc>
      </w:tr>
      <w:tr w:rsidR="00B4465C" w:rsidRPr="00CE357F" w14:paraId="32D2E635" w14:textId="77777777" w:rsidTr="004A0C47">
        <w:trPr>
          <w:trHeight w:val="204"/>
        </w:trPr>
        <w:tc>
          <w:tcPr>
            <w:tcW w:w="1020" w:type="dxa"/>
            <w:shd w:val="clear" w:color="auto" w:fill="D9E2F3" w:themeFill="accent1" w:themeFillTint="33"/>
            <w:vAlign w:val="center"/>
          </w:tcPr>
          <w:p w14:paraId="0319425C"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Drysice</w:t>
            </w:r>
          </w:p>
        </w:tc>
        <w:tc>
          <w:tcPr>
            <w:tcW w:w="785" w:type="dxa"/>
            <w:vAlign w:val="center"/>
          </w:tcPr>
          <w:p w14:paraId="7B136DFA"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621</w:t>
            </w:r>
          </w:p>
        </w:tc>
        <w:tc>
          <w:tcPr>
            <w:tcW w:w="1425" w:type="dxa"/>
            <w:vAlign w:val="center"/>
          </w:tcPr>
          <w:p w14:paraId="336F169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15</w:t>
            </w:r>
          </w:p>
        </w:tc>
        <w:tc>
          <w:tcPr>
            <w:tcW w:w="2299" w:type="dxa"/>
            <w:vAlign w:val="center"/>
          </w:tcPr>
          <w:p w14:paraId="47C39379"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2,4 %</w:t>
            </w:r>
          </w:p>
        </w:tc>
        <w:tc>
          <w:tcPr>
            <w:tcW w:w="567" w:type="dxa"/>
            <w:vAlign w:val="center"/>
          </w:tcPr>
          <w:p w14:paraId="34FD6E4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58" w:type="dxa"/>
            <w:vAlign w:val="center"/>
          </w:tcPr>
          <w:p w14:paraId="797BC9FE"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1D01045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67" w:type="dxa"/>
            <w:vAlign w:val="center"/>
          </w:tcPr>
          <w:p w14:paraId="4B0F78C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25" w:type="dxa"/>
            <w:vAlign w:val="center"/>
          </w:tcPr>
          <w:p w14:paraId="2B98827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w:t>
            </w:r>
          </w:p>
        </w:tc>
        <w:tc>
          <w:tcPr>
            <w:tcW w:w="717" w:type="dxa"/>
            <w:vAlign w:val="center"/>
          </w:tcPr>
          <w:p w14:paraId="14D10C55"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9</w:t>
            </w:r>
          </w:p>
        </w:tc>
      </w:tr>
      <w:tr w:rsidR="00B4465C" w:rsidRPr="00CE357F" w14:paraId="41C8FE0E" w14:textId="77777777" w:rsidTr="004A0C47">
        <w:trPr>
          <w:trHeight w:val="204"/>
        </w:trPr>
        <w:tc>
          <w:tcPr>
            <w:tcW w:w="1020" w:type="dxa"/>
            <w:shd w:val="clear" w:color="auto" w:fill="D9E2F3" w:themeFill="accent1" w:themeFillTint="33"/>
            <w:vAlign w:val="center"/>
          </w:tcPr>
          <w:p w14:paraId="5FD6441D"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Pustiměř</w:t>
            </w:r>
          </w:p>
        </w:tc>
        <w:tc>
          <w:tcPr>
            <w:tcW w:w="785" w:type="dxa"/>
            <w:vAlign w:val="center"/>
          </w:tcPr>
          <w:p w14:paraId="39FFE39A"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1 874</w:t>
            </w:r>
          </w:p>
        </w:tc>
        <w:tc>
          <w:tcPr>
            <w:tcW w:w="1425" w:type="dxa"/>
            <w:vAlign w:val="center"/>
          </w:tcPr>
          <w:p w14:paraId="28CB6755"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43</w:t>
            </w:r>
          </w:p>
        </w:tc>
        <w:tc>
          <w:tcPr>
            <w:tcW w:w="2299" w:type="dxa"/>
            <w:vAlign w:val="center"/>
          </w:tcPr>
          <w:p w14:paraId="1E48004C"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2,3 %</w:t>
            </w:r>
          </w:p>
        </w:tc>
        <w:tc>
          <w:tcPr>
            <w:tcW w:w="567" w:type="dxa"/>
            <w:vAlign w:val="center"/>
          </w:tcPr>
          <w:p w14:paraId="4B4023F9"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21</w:t>
            </w:r>
          </w:p>
        </w:tc>
        <w:tc>
          <w:tcPr>
            <w:tcW w:w="558" w:type="dxa"/>
            <w:vAlign w:val="center"/>
          </w:tcPr>
          <w:p w14:paraId="76B0E26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w:t>
            </w:r>
          </w:p>
        </w:tc>
        <w:tc>
          <w:tcPr>
            <w:tcW w:w="717" w:type="dxa"/>
            <w:vAlign w:val="center"/>
          </w:tcPr>
          <w:p w14:paraId="7AEB1057"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24</w:t>
            </w:r>
          </w:p>
        </w:tc>
        <w:tc>
          <w:tcPr>
            <w:tcW w:w="567" w:type="dxa"/>
            <w:vAlign w:val="center"/>
          </w:tcPr>
          <w:p w14:paraId="26DEC1F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13</w:t>
            </w:r>
          </w:p>
        </w:tc>
        <w:tc>
          <w:tcPr>
            <w:tcW w:w="525" w:type="dxa"/>
            <w:vAlign w:val="center"/>
          </w:tcPr>
          <w:p w14:paraId="4AC4951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717" w:type="dxa"/>
            <w:vAlign w:val="center"/>
          </w:tcPr>
          <w:p w14:paraId="7297BA0A"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19</w:t>
            </w:r>
          </w:p>
        </w:tc>
      </w:tr>
      <w:tr w:rsidR="00B4465C" w:rsidRPr="00CE357F" w14:paraId="6A416687" w14:textId="77777777" w:rsidTr="004A0C47">
        <w:trPr>
          <w:trHeight w:val="204"/>
        </w:trPr>
        <w:tc>
          <w:tcPr>
            <w:tcW w:w="1020" w:type="dxa"/>
            <w:shd w:val="clear" w:color="auto" w:fill="D9E2F3" w:themeFill="accent1" w:themeFillTint="33"/>
            <w:vAlign w:val="center"/>
          </w:tcPr>
          <w:p w14:paraId="56C732A1"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Olšany</w:t>
            </w:r>
          </w:p>
        </w:tc>
        <w:tc>
          <w:tcPr>
            <w:tcW w:w="785" w:type="dxa"/>
            <w:vAlign w:val="center"/>
          </w:tcPr>
          <w:p w14:paraId="32EE38A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625</w:t>
            </w:r>
          </w:p>
        </w:tc>
        <w:tc>
          <w:tcPr>
            <w:tcW w:w="1425" w:type="dxa"/>
            <w:vAlign w:val="center"/>
          </w:tcPr>
          <w:p w14:paraId="77FF7923"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10</w:t>
            </w:r>
          </w:p>
        </w:tc>
        <w:tc>
          <w:tcPr>
            <w:tcW w:w="2299" w:type="dxa"/>
            <w:vAlign w:val="center"/>
          </w:tcPr>
          <w:p w14:paraId="1ED72F33"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1,6 %</w:t>
            </w:r>
          </w:p>
        </w:tc>
        <w:tc>
          <w:tcPr>
            <w:tcW w:w="567" w:type="dxa"/>
            <w:vAlign w:val="center"/>
          </w:tcPr>
          <w:p w14:paraId="403A783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w:t>
            </w:r>
          </w:p>
        </w:tc>
        <w:tc>
          <w:tcPr>
            <w:tcW w:w="558" w:type="dxa"/>
            <w:vAlign w:val="center"/>
          </w:tcPr>
          <w:p w14:paraId="1E21C047"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0FDA1A6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w:t>
            </w:r>
          </w:p>
        </w:tc>
        <w:tc>
          <w:tcPr>
            <w:tcW w:w="567" w:type="dxa"/>
            <w:vAlign w:val="center"/>
          </w:tcPr>
          <w:p w14:paraId="3D343E4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w:t>
            </w:r>
          </w:p>
        </w:tc>
        <w:tc>
          <w:tcPr>
            <w:tcW w:w="525" w:type="dxa"/>
            <w:vAlign w:val="center"/>
          </w:tcPr>
          <w:p w14:paraId="18472276"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7C01C076"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5</w:t>
            </w:r>
          </w:p>
        </w:tc>
      </w:tr>
      <w:tr w:rsidR="00B4465C" w:rsidRPr="00CE357F" w14:paraId="5249B9CA" w14:textId="77777777" w:rsidTr="004A0C47">
        <w:trPr>
          <w:trHeight w:val="204"/>
        </w:trPr>
        <w:tc>
          <w:tcPr>
            <w:tcW w:w="1020" w:type="dxa"/>
            <w:shd w:val="clear" w:color="auto" w:fill="D9E2F3" w:themeFill="accent1" w:themeFillTint="33"/>
            <w:vAlign w:val="center"/>
          </w:tcPr>
          <w:p w14:paraId="6A072607"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Drnovice</w:t>
            </w:r>
          </w:p>
        </w:tc>
        <w:tc>
          <w:tcPr>
            <w:tcW w:w="785" w:type="dxa"/>
            <w:vAlign w:val="center"/>
          </w:tcPr>
          <w:p w14:paraId="2F4AC458"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2 375</w:t>
            </w:r>
          </w:p>
        </w:tc>
        <w:tc>
          <w:tcPr>
            <w:tcW w:w="1425" w:type="dxa"/>
            <w:vAlign w:val="center"/>
          </w:tcPr>
          <w:p w14:paraId="625B29BA"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35</w:t>
            </w:r>
          </w:p>
        </w:tc>
        <w:tc>
          <w:tcPr>
            <w:tcW w:w="2299" w:type="dxa"/>
            <w:vAlign w:val="center"/>
          </w:tcPr>
          <w:p w14:paraId="5E5CA287"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1,5 %</w:t>
            </w:r>
          </w:p>
        </w:tc>
        <w:tc>
          <w:tcPr>
            <w:tcW w:w="567" w:type="dxa"/>
            <w:vAlign w:val="center"/>
          </w:tcPr>
          <w:p w14:paraId="22D40CB5"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22</w:t>
            </w:r>
          </w:p>
        </w:tc>
        <w:tc>
          <w:tcPr>
            <w:tcW w:w="558" w:type="dxa"/>
            <w:vAlign w:val="center"/>
          </w:tcPr>
          <w:p w14:paraId="3BF8324D"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3</w:t>
            </w:r>
          </w:p>
        </w:tc>
        <w:tc>
          <w:tcPr>
            <w:tcW w:w="717" w:type="dxa"/>
            <w:vAlign w:val="center"/>
          </w:tcPr>
          <w:p w14:paraId="3BAE96CE"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25</w:t>
            </w:r>
          </w:p>
        </w:tc>
        <w:tc>
          <w:tcPr>
            <w:tcW w:w="567" w:type="dxa"/>
            <w:vAlign w:val="center"/>
          </w:tcPr>
          <w:p w14:paraId="33DC26B7"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9</w:t>
            </w:r>
          </w:p>
        </w:tc>
        <w:tc>
          <w:tcPr>
            <w:tcW w:w="525" w:type="dxa"/>
            <w:vAlign w:val="center"/>
          </w:tcPr>
          <w:p w14:paraId="1FC61811"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0D9618F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10</w:t>
            </w:r>
          </w:p>
        </w:tc>
      </w:tr>
      <w:tr w:rsidR="00B4465C" w:rsidRPr="00CE357F" w14:paraId="602A8CE8" w14:textId="77777777" w:rsidTr="004A0C47">
        <w:trPr>
          <w:trHeight w:val="204"/>
        </w:trPr>
        <w:tc>
          <w:tcPr>
            <w:tcW w:w="1020" w:type="dxa"/>
            <w:shd w:val="clear" w:color="auto" w:fill="D9E2F3" w:themeFill="accent1" w:themeFillTint="33"/>
            <w:vAlign w:val="center"/>
          </w:tcPr>
          <w:p w14:paraId="71695B56" w14:textId="77777777" w:rsidR="00B4465C" w:rsidRPr="00CE357F" w:rsidRDefault="00B4465C" w:rsidP="004A0C47">
            <w:pPr>
              <w:jc w:val="center"/>
              <w:rPr>
                <w:rFonts w:ascii="Arial Narrow" w:hAnsi="Arial Narrow" w:cs="Arial"/>
                <w:sz w:val="18"/>
                <w:szCs w:val="18"/>
              </w:rPr>
            </w:pPr>
            <w:r w:rsidRPr="00CE357F">
              <w:rPr>
                <w:rFonts w:ascii="Arial Narrow" w:eastAsia="Times New Roman" w:hAnsi="Arial Narrow" w:cs="Arial"/>
                <w:color w:val="000000"/>
                <w:sz w:val="18"/>
                <w:szCs w:val="18"/>
                <w:lang w:eastAsia="cs-CZ"/>
              </w:rPr>
              <w:t>Bohdalice-</w:t>
            </w:r>
          </w:p>
          <w:p w14:paraId="71E1F417" w14:textId="77777777" w:rsidR="00B4465C" w:rsidRPr="00CE357F" w:rsidRDefault="00B4465C" w:rsidP="004A0C47">
            <w:pPr>
              <w:jc w:val="center"/>
              <w:rPr>
                <w:rFonts w:ascii="Arial Narrow" w:hAnsi="Arial Narrow" w:cs="Arial"/>
                <w:sz w:val="18"/>
                <w:szCs w:val="18"/>
              </w:rPr>
            </w:pPr>
            <w:r w:rsidRPr="00CE357F">
              <w:rPr>
                <w:rFonts w:ascii="Arial Narrow" w:eastAsia="Times New Roman" w:hAnsi="Arial Narrow" w:cs="Arial"/>
                <w:color w:val="000000"/>
                <w:sz w:val="18"/>
                <w:szCs w:val="18"/>
                <w:lang w:eastAsia="cs-CZ"/>
              </w:rPr>
              <w:t>Pavlovice</w:t>
            </w:r>
          </w:p>
        </w:tc>
        <w:tc>
          <w:tcPr>
            <w:tcW w:w="785" w:type="dxa"/>
            <w:vAlign w:val="center"/>
          </w:tcPr>
          <w:p w14:paraId="045E0E52" w14:textId="77777777" w:rsidR="00B4465C" w:rsidRPr="00CE357F" w:rsidRDefault="00B4465C" w:rsidP="004A0C47">
            <w:pPr>
              <w:jc w:val="center"/>
              <w:rPr>
                <w:rFonts w:ascii="Arial Narrow" w:hAnsi="Arial Narrow"/>
                <w:color w:val="000000"/>
                <w:sz w:val="18"/>
                <w:szCs w:val="18"/>
              </w:rPr>
            </w:pPr>
            <w:r w:rsidRPr="00CE357F">
              <w:rPr>
                <w:rFonts w:ascii="Arial Narrow" w:hAnsi="Arial Narrow"/>
                <w:color w:val="000000"/>
                <w:sz w:val="18"/>
                <w:szCs w:val="18"/>
              </w:rPr>
              <w:t>879</w:t>
            </w:r>
          </w:p>
        </w:tc>
        <w:tc>
          <w:tcPr>
            <w:tcW w:w="1425" w:type="dxa"/>
            <w:vAlign w:val="center"/>
          </w:tcPr>
          <w:p w14:paraId="27580BE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12</w:t>
            </w:r>
          </w:p>
        </w:tc>
        <w:tc>
          <w:tcPr>
            <w:tcW w:w="2299" w:type="dxa"/>
            <w:vAlign w:val="center"/>
          </w:tcPr>
          <w:p w14:paraId="77CE360C"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1,4 %</w:t>
            </w:r>
          </w:p>
        </w:tc>
        <w:tc>
          <w:tcPr>
            <w:tcW w:w="567" w:type="dxa"/>
            <w:vAlign w:val="center"/>
          </w:tcPr>
          <w:p w14:paraId="3CFC57F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58" w:type="dxa"/>
            <w:vAlign w:val="center"/>
          </w:tcPr>
          <w:p w14:paraId="37C8082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0FECD2ED"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67" w:type="dxa"/>
            <w:vAlign w:val="center"/>
          </w:tcPr>
          <w:p w14:paraId="0B648805"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25" w:type="dxa"/>
            <w:vAlign w:val="center"/>
          </w:tcPr>
          <w:p w14:paraId="2AC2EAF4"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12BC62E4"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r>
      <w:tr w:rsidR="00B4465C" w:rsidRPr="00CE357F" w14:paraId="32F6BF2B" w14:textId="77777777" w:rsidTr="004A0C47">
        <w:trPr>
          <w:trHeight w:val="204"/>
        </w:trPr>
        <w:tc>
          <w:tcPr>
            <w:tcW w:w="1020" w:type="dxa"/>
            <w:shd w:val="clear" w:color="auto" w:fill="D9E2F3" w:themeFill="accent1" w:themeFillTint="33"/>
            <w:vAlign w:val="center"/>
          </w:tcPr>
          <w:p w14:paraId="5B6C9671" w14:textId="77777777" w:rsidR="00B4465C" w:rsidRPr="00CE357F" w:rsidRDefault="00B4465C" w:rsidP="004A0C47">
            <w:pPr>
              <w:jc w:val="center"/>
              <w:rPr>
                <w:rFonts w:ascii="Arial Narrow" w:hAnsi="Arial Narrow" w:cs="Arial"/>
                <w:sz w:val="18"/>
                <w:szCs w:val="18"/>
              </w:rPr>
            </w:pPr>
            <w:r w:rsidRPr="00CE357F">
              <w:rPr>
                <w:rFonts w:ascii="Arial Narrow" w:hAnsi="Arial Narrow" w:cs="Arial"/>
                <w:color w:val="000000"/>
                <w:sz w:val="18"/>
                <w:szCs w:val="18"/>
              </w:rPr>
              <w:t>Račice-</w:t>
            </w:r>
            <w:proofErr w:type="spellStart"/>
            <w:r w:rsidRPr="00CE357F">
              <w:rPr>
                <w:rFonts w:ascii="Arial Narrow" w:hAnsi="Arial Narrow" w:cs="Arial"/>
                <w:color w:val="000000"/>
                <w:sz w:val="18"/>
                <w:szCs w:val="18"/>
              </w:rPr>
              <w:t>Pístovice</w:t>
            </w:r>
            <w:proofErr w:type="spellEnd"/>
          </w:p>
        </w:tc>
        <w:tc>
          <w:tcPr>
            <w:tcW w:w="785" w:type="dxa"/>
            <w:vAlign w:val="center"/>
          </w:tcPr>
          <w:p w14:paraId="6FD4580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1 218</w:t>
            </w:r>
          </w:p>
        </w:tc>
        <w:tc>
          <w:tcPr>
            <w:tcW w:w="1425" w:type="dxa"/>
            <w:vAlign w:val="center"/>
          </w:tcPr>
          <w:p w14:paraId="4042ACE2"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14</w:t>
            </w:r>
          </w:p>
        </w:tc>
        <w:tc>
          <w:tcPr>
            <w:tcW w:w="2299" w:type="dxa"/>
            <w:vAlign w:val="center"/>
          </w:tcPr>
          <w:p w14:paraId="58EF42ED" w14:textId="77777777" w:rsidR="00B4465C" w:rsidRPr="00CE357F" w:rsidRDefault="00B4465C" w:rsidP="004A0C47">
            <w:pPr>
              <w:jc w:val="center"/>
              <w:rPr>
                <w:rFonts w:ascii="Arial Narrow" w:hAnsi="Arial Narrow"/>
                <w:bCs/>
                <w:sz w:val="18"/>
                <w:szCs w:val="18"/>
              </w:rPr>
            </w:pPr>
            <w:r w:rsidRPr="00CE357F">
              <w:rPr>
                <w:rFonts w:ascii="Arial Narrow" w:hAnsi="Arial Narrow"/>
                <w:bCs/>
                <w:sz w:val="18"/>
                <w:szCs w:val="18"/>
              </w:rPr>
              <w:t>1,1 %</w:t>
            </w:r>
          </w:p>
        </w:tc>
        <w:tc>
          <w:tcPr>
            <w:tcW w:w="567" w:type="dxa"/>
            <w:vAlign w:val="center"/>
          </w:tcPr>
          <w:p w14:paraId="6DE75C5B"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7</w:t>
            </w:r>
          </w:p>
        </w:tc>
        <w:tc>
          <w:tcPr>
            <w:tcW w:w="558" w:type="dxa"/>
            <w:vAlign w:val="center"/>
          </w:tcPr>
          <w:p w14:paraId="5FCEFC3A"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1</w:t>
            </w:r>
          </w:p>
        </w:tc>
        <w:tc>
          <w:tcPr>
            <w:tcW w:w="717" w:type="dxa"/>
            <w:vAlign w:val="center"/>
          </w:tcPr>
          <w:p w14:paraId="22AF2FF0"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8</w:t>
            </w:r>
          </w:p>
        </w:tc>
        <w:tc>
          <w:tcPr>
            <w:tcW w:w="567" w:type="dxa"/>
            <w:vAlign w:val="center"/>
          </w:tcPr>
          <w:p w14:paraId="35CECF1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c>
          <w:tcPr>
            <w:tcW w:w="525" w:type="dxa"/>
            <w:vAlign w:val="center"/>
          </w:tcPr>
          <w:p w14:paraId="59ECB64C"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0</w:t>
            </w:r>
          </w:p>
        </w:tc>
        <w:tc>
          <w:tcPr>
            <w:tcW w:w="717" w:type="dxa"/>
            <w:vAlign w:val="center"/>
          </w:tcPr>
          <w:p w14:paraId="691A59DF" w14:textId="77777777" w:rsidR="00B4465C" w:rsidRPr="00CE357F" w:rsidRDefault="00B4465C" w:rsidP="004A0C47">
            <w:pPr>
              <w:jc w:val="center"/>
              <w:rPr>
                <w:rFonts w:ascii="Arial Narrow" w:hAnsi="Arial Narrow"/>
                <w:sz w:val="18"/>
                <w:szCs w:val="18"/>
              </w:rPr>
            </w:pPr>
            <w:r w:rsidRPr="00CE357F">
              <w:rPr>
                <w:rFonts w:ascii="Arial Narrow" w:hAnsi="Arial Narrow"/>
                <w:color w:val="000000"/>
                <w:sz w:val="18"/>
                <w:szCs w:val="18"/>
              </w:rPr>
              <w:t>6</w:t>
            </w:r>
          </w:p>
        </w:tc>
      </w:tr>
    </w:tbl>
    <w:p w14:paraId="3F109177" w14:textId="77777777" w:rsidR="00B4465C" w:rsidRPr="00CE357F" w:rsidRDefault="00B4465C" w:rsidP="00E32FA2">
      <w:pPr>
        <w:spacing w:after="240"/>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67C4630C" w14:textId="64C20141" w:rsidR="00B4465C" w:rsidRPr="00CE357F" w:rsidRDefault="00B4465C" w:rsidP="00B4465C">
      <w:pPr>
        <w:spacing w:line="276" w:lineRule="auto"/>
        <w:jc w:val="both"/>
        <w:rPr>
          <w:rFonts w:ascii="Arial Narrow" w:hAnsi="Arial Narrow"/>
          <w:b/>
          <w:bCs/>
          <w:sz w:val="20"/>
          <w:szCs w:val="20"/>
        </w:rPr>
      </w:pPr>
      <w:bookmarkStart w:id="845" w:name="_Toc94443824"/>
      <w:bookmarkStart w:id="846" w:name="_Toc136428978"/>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134</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Podíl osob s jinou než českou státní příslušností na celkovém počtu obyvatel</w:t>
      </w:r>
      <w:r w:rsidR="0066028D">
        <w:rPr>
          <w:rFonts w:ascii="Arial Narrow" w:hAnsi="Arial Narrow"/>
          <w:b/>
          <w:bCs/>
          <w:sz w:val="20"/>
          <w:szCs w:val="20"/>
        </w:rPr>
        <w:t xml:space="preserve"> vybraných obcí</w:t>
      </w:r>
      <w:r w:rsidRPr="00CE357F">
        <w:rPr>
          <w:rFonts w:ascii="Arial Narrow" w:hAnsi="Arial Narrow"/>
          <w:b/>
          <w:bCs/>
          <w:sz w:val="20"/>
          <w:szCs w:val="20"/>
        </w:rPr>
        <w:t xml:space="preserve"> k 1. 1. 2022</w:t>
      </w:r>
      <w:bookmarkEnd w:id="845"/>
      <w:bookmarkEnd w:id="846"/>
    </w:p>
    <w:p w14:paraId="7418AF2E" w14:textId="77777777" w:rsidR="00B4465C" w:rsidRPr="00CE357F" w:rsidRDefault="00B4465C" w:rsidP="00B4465C">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4C40B099" wp14:editId="6F8C192E">
            <wp:extent cx="5762625" cy="3533775"/>
            <wp:effectExtent l="0" t="0" r="9525" b="9525"/>
            <wp:docPr id="2105" name="Graf 2105">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72056029" w14:textId="77777777" w:rsidR="00B4465C" w:rsidRPr="00CE357F" w:rsidRDefault="00B4465C" w:rsidP="00B4465C">
      <w:pPr>
        <w:rPr>
          <w:rFonts w:ascii="Arial Narrow" w:hAnsi="Arial Narrow"/>
          <w:b/>
          <w:bCs/>
          <w:sz w:val="28"/>
          <w:szCs w:val="28"/>
        </w:rPr>
      </w:pPr>
      <w:bookmarkStart w:id="847" w:name="_Hlk94277762"/>
      <w:r w:rsidRPr="00CE357F">
        <w:rPr>
          <w:rFonts w:ascii="Arial Narrow" w:hAnsi="Arial Narrow"/>
          <w:color w:val="000000"/>
          <w:sz w:val="20"/>
          <w:szCs w:val="20"/>
          <w:lang w:eastAsia="cs-CZ"/>
        </w:rPr>
        <w:t>Zdroj: Ministerstvo Vnitra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bookmarkEnd w:id="847"/>
    <w:p w14:paraId="2038BF0C" w14:textId="77777777" w:rsidR="00E32FA2" w:rsidRDefault="00E32FA2" w:rsidP="00B4465C">
      <w:pPr>
        <w:spacing w:line="276" w:lineRule="auto"/>
        <w:rPr>
          <w:rFonts w:ascii="Arial Narrow" w:hAnsi="Arial Narrow"/>
          <w:b/>
          <w:bCs/>
        </w:rPr>
      </w:pPr>
    </w:p>
    <w:p w14:paraId="4574F650" w14:textId="1B18C48B" w:rsidR="00B4465C" w:rsidRPr="00CE357F" w:rsidRDefault="00B4465C" w:rsidP="00B4465C">
      <w:pPr>
        <w:spacing w:line="276" w:lineRule="auto"/>
        <w:rPr>
          <w:rFonts w:ascii="Arial Narrow" w:hAnsi="Arial Narrow"/>
          <w:b/>
          <w:bCs/>
        </w:rPr>
      </w:pPr>
      <w:r w:rsidRPr="00CE357F">
        <w:rPr>
          <w:rFonts w:ascii="Arial Narrow" w:hAnsi="Arial Narrow"/>
          <w:b/>
          <w:bCs/>
        </w:rPr>
        <w:t>Osoby s jinou než českou státní příslušností v O</w:t>
      </w:r>
      <w:r>
        <w:rPr>
          <w:rFonts w:ascii="Arial Narrow" w:hAnsi="Arial Narrow"/>
          <w:b/>
          <w:bCs/>
        </w:rPr>
        <w:t>RP Vyškov k datu 1. 1. 2023</w:t>
      </w:r>
    </w:p>
    <w:p w14:paraId="331A2A30" w14:textId="77777777" w:rsidR="00B4465C" w:rsidRPr="00CE357F" w:rsidRDefault="00B4465C" w:rsidP="00B4465C">
      <w:pPr>
        <w:spacing w:line="276" w:lineRule="auto"/>
        <w:rPr>
          <w:rFonts w:ascii="Arial Narrow" w:hAnsi="Arial Narrow"/>
          <w:b/>
          <w:bCs/>
        </w:rPr>
      </w:pPr>
    </w:p>
    <w:p w14:paraId="0DD14616" w14:textId="4215A233" w:rsidR="00B4465C" w:rsidRPr="00CE357F" w:rsidRDefault="00B4465C" w:rsidP="00B4465C">
      <w:pPr>
        <w:spacing w:after="120" w:line="276" w:lineRule="auto"/>
        <w:jc w:val="both"/>
        <w:rPr>
          <w:rFonts w:ascii="Arial Narrow" w:hAnsi="Arial Narrow"/>
          <w:color w:val="000000"/>
        </w:rPr>
      </w:pPr>
      <w:r w:rsidRPr="00CE357F">
        <w:rPr>
          <w:rFonts w:ascii="Arial Narrow" w:hAnsi="Arial Narrow"/>
          <w:color w:val="000000"/>
        </w:rPr>
        <w:t>V O</w:t>
      </w:r>
      <w:r>
        <w:rPr>
          <w:rFonts w:ascii="Arial Narrow" w:hAnsi="Arial Narrow"/>
          <w:color w:val="000000"/>
        </w:rPr>
        <w:t xml:space="preserve">RP Vyškov žilo k datu 1. 1. 2023 celkem 2 829 </w:t>
      </w:r>
      <w:r w:rsidRPr="00CE357F">
        <w:rPr>
          <w:rFonts w:ascii="Arial Narrow" w:hAnsi="Arial Narrow"/>
          <w:color w:val="000000"/>
        </w:rPr>
        <w:t>osob s jinou než českou státní</w:t>
      </w:r>
      <w:r>
        <w:rPr>
          <w:rFonts w:ascii="Arial Narrow" w:hAnsi="Arial Narrow"/>
          <w:color w:val="000000"/>
        </w:rPr>
        <w:t xml:space="preserve"> příslušností, což bylo zhruba </w:t>
      </w:r>
      <w:r>
        <w:rPr>
          <w:rFonts w:ascii="Arial Narrow" w:hAnsi="Arial Narrow"/>
          <w:color w:val="000000"/>
        </w:rPr>
        <w:br/>
        <w:t>5,</w:t>
      </w:r>
      <w:r w:rsidR="009D66FA">
        <w:rPr>
          <w:rFonts w:ascii="Arial Narrow" w:hAnsi="Arial Narrow"/>
          <w:color w:val="000000"/>
        </w:rPr>
        <w:t>2</w:t>
      </w:r>
      <w:r w:rsidRPr="00CE357F">
        <w:rPr>
          <w:rFonts w:ascii="Arial Narrow" w:hAnsi="Arial Narrow"/>
          <w:color w:val="000000"/>
        </w:rPr>
        <w:t xml:space="preserve"> % všech obyvatel ORP</w:t>
      </w:r>
      <w:r>
        <w:rPr>
          <w:rFonts w:ascii="Arial Narrow" w:hAnsi="Arial Narrow"/>
          <w:color w:val="000000"/>
        </w:rPr>
        <w:t xml:space="preserve"> Vyškov. Z celkového počtu 2 829</w:t>
      </w:r>
      <w:r w:rsidRPr="00CE357F">
        <w:rPr>
          <w:rFonts w:ascii="Arial Narrow" w:hAnsi="Arial Narrow"/>
          <w:color w:val="000000"/>
        </w:rPr>
        <w:t xml:space="preserve"> osob s jinou než českou stát</w:t>
      </w:r>
      <w:r>
        <w:rPr>
          <w:rFonts w:ascii="Arial Narrow" w:hAnsi="Arial Narrow"/>
          <w:color w:val="000000"/>
        </w:rPr>
        <w:t xml:space="preserve">ní příslušností se jednalo o 576 občanů EU a 2 253 občanů třetích zemí, jejichž počet se v tomto roce výrazně zvýšil v důsledku </w:t>
      </w:r>
      <w:r w:rsidR="0008389A">
        <w:rPr>
          <w:rFonts w:ascii="Arial Narrow" w:hAnsi="Arial Narrow"/>
          <w:color w:val="000000"/>
        </w:rPr>
        <w:t>rusko-ukrajinského konfliktu</w:t>
      </w:r>
      <w:r>
        <w:rPr>
          <w:rFonts w:ascii="Arial Narrow" w:hAnsi="Arial Narrow"/>
          <w:color w:val="000000"/>
        </w:rPr>
        <w:t>. Necelá třetina (30</w:t>
      </w:r>
      <w:r w:rsidRPr="00CE357F">
        <w:rPr>
          <w:rFonts w:ascii="Arial Narrow" w:hAnsi="Arial Narrow"/>
          <w:color w:val="000000"/>
        </w:rPr>
        <w:t xml:space="preserve"> %) všech osob s jinou než českou státní příslušností na území </w:t>
      </w:r>
      <w:r>
        <w:rPr>
          <w:rFonts w:ascii="Arial Narrow" w:hAnsi="Arial Narrow"/>
          <w:color w:val="000000"/>
        </w:rPr>
        <w:t xml:space="preserve">OPR </w:t>
      </w:r>
      <w:r>
        <w:rPr>
          <w:rFonts w:ascii="Arial Narrow" w:hAnsi="Arial Narrow"/>
          <w:color w:val="000000"/>
        </w:rPr>
        <w:lastRenderedPageBreak/>
        <w:t>Vyškov měla trvalý pobyt, 70</w:t>
      </w:r>
      <w:r w:rsidRPr="00CE357F">
        <w:rPr>
          <w:rFonts w:ascii="Arial Narrow" w:hAnsi="Arial Narrow"/>
          <w:color w:val="000000"/>
        </w:rPr>
        <w:t xml:space="preserve"> % osob s jinou než českou státní příslušností pak pobyt přechodný. Děti do 15 let tvořily k 1. 1.</w:t>
      </w:r>
      <w:r>
        <w:rPr>
          <w:rFonts w:ascii="Arial Narrow" w:hAnsi="Arial Narrow"/>
          <w:color w:val="000000"/>
        </w:rPr>
        <w:t xml:space="preserve"> 2023</w:t>
      </w:r>
      <w:r w:rsidRPr="00CE357F">
        <w:rPr>
          <w:rFonts w:ascii="Arial Narrow" w:hAnsi="Arial Narrow"/>
          <w:color w:val="000000"/>
        </w:rPr>
        <w:t xml:space="preserve"> celkem </w:t>
      </w:r>
      <w:r>
        <w:rPr>
          <w:rFonts w:ascii="Arial Narrow" w:hAnsi="Arial Narrow"/>
          <w:color w:val="000000"/>
        </w:rPr>
        <w:t>16,7</w:t>
      </w:r>
      <w:r w:rsidRPr="00CE357F">
        <w:rPr>
          <w:rFonts w:ascii="Arial Narrow" w:hAnsi="Arial Narrow"/>
          <w:color w:val="000000"/>
        </w:rPr>
        <w:t xml:space="preserve"> % všech osob s jinou než českou státní příslušností na území ORP Vyškov. </w:t>
      </w:r>
    </w:p>
    <w:p w14:paraId="307A7AE2" w14:textId="3452D148" w:rsidR="00B4465C" w:rsidRPr="00CE357F" w:rsidRDefault="00B4465C" w:rsidP="00B4465C">
      <w:pPr>
        <w:spacing w:after="120" w:line="276" w:lineRule="auto"/>
        <w:jc w:val="both"/>
        <w:rPr>
          <w:rFonts w:ascii="Arial Narrow" w:hAnsi="Arial Narrow"/>
          <w:color w:val="000000"/>
        </w:rPr>
      </w:pPr>
      <w:r w:rsidRPr="00CE357F">
        <w:rPr>
          <w:rFonts w:ascii="Arial Narrow" w:hAnsi="Arial Narrow"/>
          <w:color w:val="000000"/>
        </w:rPr>
        <w:t>Nejvyšší podíl osob s jinou než českou státní příslušností na celkovém počtu obyvatel v dané ob</w:t>
      </w:r>
      <w:r>
        <w:rPr>
          <w:rFonts w:ascii="Arial Narrow" w:hAnsi="Arial Narrow"/>
          <w:color w:val="000000"/>
        </w:rPr>
        <w:t>ci byl v obcích Rostěnice-Zvonovice</w:t>
      </w:r>
      <w:r w:rsidRPr="00CE357F">
        <w:rPr>
          <w:rFonts w:ascii="Arial Narrow" w:hAnsi="Arial Narrow"/>
          <w:color w:val="000000"/>
        </w:rPr>
        <w:t xml:space="preserve">, kde tyto osoby </w:t>
      </w:r>
      <w:r>
        <w:rPr>
          <w:rFonts w:ascii="Arial Narrow" w:hAnsi="Arial Narrow"/>
          <w:color w:val="000000"/>
        </w:rPr>
        <w:t>tvořily 1</w:t>
      </w:r>
      <w:r w:rsidR="009D66FA">
        <w:rPr>
          <w:rFonts w:ascii="Arial Narrow" w:hAnsi="Arial Narrow"/>
          <w:color w:val="000000"/>
        </w:rPr>
        <w:t>0,5</w:t>
      </w:r>
      <w:r w:rsidRPr="00CE357F">
        <w:rPr>
          <w:rFonts w:ascii="Arial Narrow" w:hAnsi="Arial Narrow"/>
          <w:color w:val="000000"/>
        </w:rPr>
        <w:t xml:space="preserve"> % všech obyvatel, a v obci Ro</w:t>
      </w:r>
      <w:r>
        <w:rPr>
          <w:rFonts w:ascii="Arial Narrow" w:hAnsi="Arial Narrow"/>
          <w:color w:val="000000"/>
        </w:rPr>
        <w:t xml:space="preserve">usínov, kde tyto osoby tvořily </w:t>
      </w:r>
      <w:r w:rsidR="0008389A">
        <w:rPr>
          <w:rFonts w:ascii="Arial Narrow" w:hAnsi="Arial Narrow"/>
          <w:color w:val="000000"/>
        </w:rPr>
        <w:br/>
      </w:r>
      <w:r>
        <w:rPr>
          <w:rFonts w:ascii="Arial Narrow" w:hAnsi="Arial Narrow"/>
          <w:color w:val="000000"/>
        </w:rPr>
        <w:t>9</w:t>
      </w:r>
      <w:r w:rsidRPr="00CE357F">
        <w:rPr>
          <w:rFonts w:ascii="Arial Narrow" w:hAnsi="Arial Narrow"/>
          <w:color w:val="000000"/>
        </w:rPr>
        <w:t xml:space="preserve"> % všech obyvatel.</w:t>
      </w:r>
    </w:p>
    <w:p w14:paraId="65C8EF1D" w14:textId="66DD3BC1" w:rsidR="00B4465C" w:rsidRPr="00CE357F" w:rsidRDefault="00B4465C" w:rsidP="00B4465C">
      <w:pPr>
        <w:spacing w:after="120" w:line="276" w:lineRule="auto"/>
        <w:jc w:val="both"/>
        <w:rPr>
          <w:rFonts w:ascii="Arial Narrow" w:hAnsi="Arial Narrow"/>
          <w:b/>
          <w:bCs/>
          <w:sz w:val="20"/>
          <w:szCs w:val="20"/>
        </w:rPr>
      </w:pPr>
      <w:r>
        <w:rPr>
          <w:rFonts w:ascii="Arial Narrow" w:hAnsi="Arial Narrow"/>
          <w:color w:val="000000"/>
        </w:rPr>
        <w:t>V ORP Vyškov bylo k 1. 1. 2023 celkem 42</w:t>
      </w:r>
      <w:r w:rsidRPr="00CE357F">
        <w:rPr>
          <w:rFonts w:ascii="Arial Narrow" w:hAnsi="Arial Narrow"/>
          <w:color w:val="000000"/>
        </w:rPr>
        <w:t xml:space="preserve"> obcí, přičemž </w:t>
      </w:r>
      <w:r>
        <w:rPr>
          <w:rFonts w:ascii="Arial Narrow" w:hAnsi="Arial Narrow"/>
          <w:color w:val="000000"/>
        </w:rPr>
        <w:t>ve všech</w:t>
      </w:r>
      <w:r w:rsidRPr="00CE357F">
        <w:rPr>
          <w:rFonts w:ascii="Arial Narrow" w:hAnsi="Arial Narrow"/>
          <w:color w:val="000000"/>
        </w:rPr>
        <w:t xml:space="preserve"> se nacházela alespoň jedna osoba s jinou než českou státní příslušností. Z důvodu velkého množství dat proto dále pracujeme jen s obcemi, na jejichž území v dané době pobývalo 10 a více osob s jinou než českou státní příslušností. Počty osob s jinou než českou státní příslušností v daných obcích včetně rozdělení těchto osob podle pohlaví a věku </w:t>
      </w:r>
      <w:r w:rsidR="00E32FA2">
        <w:rPr>
          <w:rFonts w:ascii="Arial Narrow" w:hAnsi="Arial Narrow"/>
          <w:color w:val="000000"/>
        </w:rPr>
        <w:t xml:space="preserve">a jejich podílu na </w:t>
      </w:r>
      <w:r w:rsidR="00E1313E">
        <w:rPr>
          <w:rFonts w:ascii="Arial Narrow" w:hAnsi="Arial Narrow"/>
          <w:color w:val="000000"/>
        </w:rPr>
        <w:t xml:space="preserve">celkovém počtu obyvatel </w:t>
      </w:r>
      <w:r w:rsidRPr="00CE357F">
        <w:rPr>
          <w:rFonts w:ascii="Arial Narrow" w:hAnsi="Arial Narrow"/>
          <w:color w:val="000000"/>
        </w:rPr>
        <w:t>podrobně dokumentuje následující tabulka</w:t>
      </w:r>
      <w:r w:rsidR="00E1313E">
        <w:rPr>
          <w:rFonts w:ascii="Arial Narrow" w:hAnsi="Arial Narrow"/>
          <w:color w:val="000000"/>
        </w:rPr>
        <w:t xml:space="preserve"> č. 68 agraf č. 135</w:t>
      </w:r>
      <w:r w:rsidRPr="00CE357F">
        <w:rPr>
          <w:rFonts w:ascii="Arial Narrow" w:hAnsi="Arial Narrow"/>
          <w:color w:val="000000"/>
        </w:rPr>
        <w:t xml:space="preserve">. </w:t>
      </w:r>
      <w:r w:rsidRPr="00CE357F">
        <w:rPr>
          <w:rFonts w:ascii="Arial Narrow" w:hAnsi="Arial Narrow"/>
          <w:color w:val="000000"/>
        </w:rPr>
        <w:tab/>
      </w:r>
      <w:r w:rsidRPr="00CE357F">
        <w:rPr>
          <w:rFonts w:ascii="Arial Narrow" w:hAnsi="Arial Narrow"/>
          <w:color w:val="000000"/>
        </w:rPr>
        <w:tab/>
      </w:r>
    </w:p>
    <w:p w14:paraId="688A2285" w14:textId="38686D74" w:rsidR="00B4465C" w:rsidRPr="00CE357F" w:rsidRDefault="00B4465C" w:rsidP="00B4465C">
      <w:pPr>
        <w:jc w:val="both"/>
        <w:rPr>
          <w:rFonts w:ascii="Arial Narrow" w:hAnsi="Arial Narrow"/>
        </w:rPr>
      </w:pPr>
      <w:bookmarkStart w:id="848" w:name="_Toc136429279"/>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68</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Podíl osob s jinou než českou státní příslušností na celkovém počtu obyvatel vybraných obcí v ORP Vyškov v roce 202</w:t>
      </w:r>
      <w:r>
        <w:rPr>
          <w:rFonts w:ascii="Arial Narrow" w:eastAsia="Times New Roman" w:hAnsi="Arial Narrow" w:cs="Arial"/>
          <w:b/>
          <w:bCs/>
          <w:sz w:val="20"/>
          <w:szCs w:val="20"/>
          <w:lang w:eastAsia="cs-CZ"/>
        </w:rPr>
        <w:t>2 (k 1. 1. 2023)</w:t>
      </w:r>
      <w:bookmarkEnd w:id="848"/>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251"/>
        <w:gridCol w:w="819"/>
        <w:gridCol w:w="1332"/>
        <w:gridCol w:w="1756"/>
        <w:gridCol w:w="717"/>
        <w:gridCol w:w="551"/>
        <w:gridCol w:w="540"/>
        <w:gridCol w:w="717"/>
        <w:gridCol w:w="597"/>
        <w:gridCol w:w="677"/>
      </w:tblGrid>
      <w:tr w:rsidR="009D66FA" w:rsidRPr="00CE357F" w14:paraId="5B4B831C" w14:textId="77777777" w:rsidTr="00BC1C0D">
        <w:trPr>
          <w:trHeight w:val="204"/>
        </w:trPr>
        <w:tc>
          <w:tcPr>
            <w:tcW w:w="1251" w:type="dxa"/>
            <w:vMerge w:val="restart"/>
            <w:shd w:val="clear" w:color="auto" w:fill="D9E2F3" w:themeFill="accent1" w:themeFillTint="33"/>
            <w:vAlign w:val="center"/>
          </w:tcPr>
          <w:p w14:paraId="14D4A916" w14:textId="77777777" w:rsidR="009D66FA" w:rsidRPr="00CE357F" w:rsidRDefault="009D66FA" w:rsidP="00BC1C0D">
            <w:pPr>
              <w:jc w:val="center"/>
              <w:rPr>
                <w:rFonts w:ascii="Arial Narrow" w:hAnsi="Arial Narrow"/>
                <w:sz w:val="18"/>
                <w:szCs w:val="18"/>
              </w:rPr>
            </w:pPr>
            <w:r w:rsidRPr="00CE357F">
              <w:rPr>
                <w:rFonts w:ascii="Arial Narrow" w:eastAsia="Times New Roman" w:hAnsi="Arial Narrow" w:cs="Arial"/>
                <w:sz w:val="18"/>
                <w:szCs w:val="18"/>
                <w:lang w:eastAsia="cs-CZ"/>
              </w:rPr>
              <w:t>Název obce</w:t>
            </w:r>
          </w:p>
        </w:tc>
        <w:tc>
          <w:tcPr>
            <w:tcW w:w="819" w:type="dxa"/>
            <w:vMerge w:val="restart"/>
            <w:shd w:val="clear" w:color="auto" w:fill="D9E2F3" w:themeFill="accent1" w:themeFillTint="33"/>
            <w:vAlign w:val="center"/>
          </w:tcPr>
          <w:p w14:paraId="3D677614" w14:textId="77777777" w:rsidR="009D66FA" w:rsidRPr="00CE357F" w:rsidRDefault="009D66FA" w:rsidP="00BC1C0D">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Celkem obyvatel</w:t>
            </w:r>
          </w:p>
        </w:tc>
        <w:tc>
          <w:tcPr>
            <w:tcW w:w="1332" w:type="dxa"/>
            <w:vMerge w:val="restart"/>
            <w:shd w:val="clear" w:color="auto" w:fill="D9E2F3" w:themeFill="accent1" w:themeFillTint="33"/>
            <w:vAlign w:val="center"/>
          </w:tcPr>
          <w:p w14:paraId="4529A2E0" w14:textId="77777777" w:rsidR="009D66FA" w:rsidRPr="00CE357F" w:rsidRDefault="009D66FA" w:rsidP="00BC1C0D">
            <w:pPr>
              <w:jc w:val="center"/>
              <w:rPr>
                <w:rFonts w:ascii="Arial Narrow" w:hAnsi="Arial Narrow"/>
                <w:sz w:val="18"/>
                <w:szCs w:val="18"/>
              </w:rPr>
            </w:pPr>
            <w:r w:rsidRPr="00CE357F">
              <w:rPr>
                <w:rFonts w:ascii="Arial Narrow" w:hAnsi="Arial Narrow"/>
                <w:color w:val="000000"/>
                <w:sz w:val="18"/>
                <w:szCs w:val="18"/>
              </w:rPr>
              <w:t>Osoby s jinou než českou státní příslušností</w:t>
            </w:r>
            <w:r w:rsidRPr="00CE357F">
              <w:rPr>
                <w:rFonts w:ascii="Arial Narrow" w:eastAsia="Times New Roman" w:hAnsi="Arial Narrow" w:cs="Arial"/>
                <w:sz w:val="18"/>
                <w:szCs w:val="18"/>
                <w:lang w:eastAsia="cs-CZ"/>
              </w:rPr>
              <w:t xml:space="preserve"> celkem</w:t>
            </w:r>
          </w:p>
        </w:tc>
        <w:tc>
          <w:tcPr>
            <w:tcW w:w="1756" w:type="dxa"/>
            <w:vMerge w:val="restart"/>
            <w:shd w:val="clear" w:color="auto" w:fill="D9E2F3" w:themeFill="accent1" w:themeFillTint="33"/>
            <w:vAlign w:val="center"/>
          </w:tcPr>
          <w:p w14:paraId="695A3B65" w14:textId="77777777" w:rsidR="009D66FA" w:rsidRPr="00CE357F" w:rsidRDefault="009D66FA" w:rsidP="00BC1C0D">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 xml:space="preserve">Podíl </w:t>
            </w:r>
            <w:r w:rsidRPr="00CE357F">
              <w:rPr>
                <w:rFonts w:ascii="Arial Narrow" w:hAnsi="Arial Narrow"/>
                <w:color w:val="000000"/>
                <w:sz w:val="18"/>
                <w:szCs w:val="18"/>
              </w:rPr>
              <w:t>osob s jinou než českou státní příslušností</w:t>
            </w:r>
            <w:r w:rsidRPr="00CE357F">
              <w:rPr>
                <w:rFonts w:ascii="Arial Narrow" w:eastAsia="Times New Roman" w:hAnsi="Arial Narrow" w:cs="Arial"/>
                <w:sz w:val="18"/>
                <w:szCs w:val="18"/>
                <w:lang w:eastAsia="cs-CZ"/>
              </w:rPr>
              <w:t xml:space="preserve"> na celkovém počtu obyvatel</w:t>
            </w:r>
          </w:p>
        </w:tc>
        <w:tc>
          <w:tcPr>
            <w:tcW w:w="1808" w:type="dxa"/>
            <w:gridSpan w:val="3"/>
            <w:shd w:val="clear" w:color="auto" w:fill="D9E2F3" w:themeFill="accent1" w:themeFillTint="33"/>
            <w:vAlign w:val="center"/>
          </w:tcPr>
          <w:p w14:paraId="45A59198" w14:textId="77777777" w:rsidR="009D66FA" w:rsidRPr="00CE357F" w:rsidRDefault="009D66FA" w:rsidP="00BC1C0D">
            <w:pPr>
              <w:jc w:val="center"/>
              <w:rPr>
                <w:rFonts w:ascii="Arial Narrow" w:hAnsi="Arial Narrow"/>
                <w:sz w:val="18"/>
                <w:szCs w:val="18"/>
              </w:rPr>
            </w:pPr>
            <w:r w:rsidRPr="00CE357F">
              <w:rPr>
                <w:rFonts w:ascii="Arial Narrow" w:eastAsia="Times New Roman" w:hAnsi="Arial Narrow" w:cs="Arial"/>
                <w:sz w:val="18"/>
                <w:szCs w:val="18"/>
                <w:lang w:eastAsia="cs-CZ"/>
              </w:rPr>
              <w:t>Muži</w:t>
            </w:r>
          </w:p>
        </w:tc>
        <w:tc>
          <w:tcPr>
            <w:tcW w:w="1991" w:type="dxa"/>
            <w:gridSpan w:val="3"/>
            <w:shd w:val="clear" w:color="auto" w:fill="D9E2F3" w:themeFill="accent1" w:themeFillTint="33"/>
            <w:vAlign w:val="center"/>
          </w:tcPr>
          <w:p w14:paraId="7BCF5061" w14:textId="77777777" w:rsidR="009D66FA" w:rsidRPr="00CE357F" w:rsidRDefault="009D66FA" w:rsidP="00BC1C0D">
            <w:pPr>
              <w:jc w:val="center"/>
              <w:rPr>
                <w:rFonts w:ascii="Arial Narrow" w:hAnsi="Arial Narrow"/>
                <w:sz w:val="18"/>
                <w:szCs w:val="18"/>
              </w:rPr>
            </w:pPr>
            <w:r w:rsidRPr="00CE357F">
              <w:rPr>
                <w:rFonts w:ascii="Arial Narrow" w:eastAsia="Times New Roman" w:hAnsi="Arial Narrow" w:cs="Arial"/>
                <w:sz w:val="18"/>
                <w:szCs w:val="18"/>
                <w:lang w:eastAsia="cs-CZ"/>
              </w:rPr>
              <w:t>Ženy</w:t>
            </w:r>
          </w:p>
        </w:tc>
      </w:tr>
      <w:tr w:rsidR="009D66FA" w:rsidRPr="00CE357F" w14:paraId="580E8424" w14:textId="77777777" w:rsidTr="00BC1C0D">
        <w:trPr>
          <w:trHeight w:val="204"/>
        </w:trPr>
        <w:tc>
          <w:tcPr>
            <w:tcW w:w="1251" w:type="dxa"/>
            <w:vMerge/>
            <w:shd w:val="clear" w:color="auto" w:fill="D9E2F3" w:themeFill="accent1" w:themeFillTint="33"/>
            <w:vAlign w:val="center"/>
          </w:tcPr>
          <w:p w14:paraId="7AF1BC55" w14:textId="77777777" w:rsidR="009D66FA" w:rsidRPr="00CE357F" w:rsidRDefault="009D66FA" w:rsidP="00BC1C0D">
            <w:pPr>
              <w:jc w:val="center"/>
              <w:rPr>
                <w:rFonts w:ascii="Arial Narrow" w:eastAsia="Times New Roman" w:hAnsi="Arial Narrow" w:cs="Arial"/>
                <w:sz w:val="18"/>
                <w:szCs w:val="18"/>
                <w:lang w:eastAsia="cs-CZ"/>
              </w:rPr>
            </w:pPr>
          </w:p>
        </w:tc>
        <w:tc>
          <w:tcPr>
            <w:tcW w:w="819" w:type="dxa"/>
            <w:vMerge/>
            <w:shd w:val="clear" w:color="auto" w:fill="D9E2F3" w:themeFill="accent1" w:themeFillTint="33"/>
            <w:vAlign w:val="center"/>
          </w:tcPr>
          <w:p w14:paraId="26D3100D" w14:textId="77777777" w:rsidR="009D66FA" w:rsidRPr="00CE357F" w:rsidRDefault="009D66FA" w:rsidP="00BC1C0D">
            <w:pPr>
              <w:jc w:val="center"/>
              <w:rPr>
                <w:rFonts w:ascii="Arial Narrow" w:eastAsia="Times New Roman" w:hAnsi="Arial Narrow" w:cs="Arial"/>
                <w:sz w:val="18"/>
                <w:szCs w:val="18"/>
                <w:lang w:eastAsia="cs-CZ"/>
              </w:rPr>
            </w:pPr>
          </w:p>
        </w:tc>
        <w:tc>
          <w:tcPr>
            <w:tcW w:w="1332" w:type="dxa"/>
            <w:vMerge/>
            <w:shd w:val="clear" w:color="auto" w:fill="D9E2F3" w:themeFill="accent1" w:themeFillTint="33"/>
            <w:vAlign w:val="center"/>
          </w:tcPr>
          <w:p w14:paraId="0A1B9047" w14:textId="77777777" w:rsidR="009D66FA" w:rsidRPr="00CE357F" w:rsidRDefault="009D66FA" w:rsidP="00BC1C0D">
            <w:pPr>
              <w:jc w:val="center"/>
              <w:rPr>
                <w:rFonts w:ascii="Arial Narrow" w:eastAsia="Times New Roman" w:hAnsi="Arial Narrow" w:cs="Arial"/>
                <w:sz w:val="18"/>
                <w:szCs w:val="18"/>
                <w:lang w:eastAsia="cs-CZ"/>
              </w:rPr>
            </w:pPr>
          </w:p>
        </w:tc>
        <w:tc>
          <w:tcPr>
            <w:tcW w:w="1756" w:type="dxa"/>
            <w:vMerge/>
            <w:shd w:val="clear" w:color="auto" w:fill="D9E2F3" w:themeFill="accent1" w:themeFillTint="33"/>
            <w:vAlign w:val="center"/>
          </w:tcPr>
          <w:p w14:paraId="5E7AA731" w14:textId="77777777" w:rsidR="009D66FA" w:rsidRPr="00CE357F" w:rsidRDefault="009D66FA" w:rsidP="00BC1C0D">
            <w:pPr>
              <w:jc w:val="center"/>
              <w:rPr>
                <w:rFonts w:ascii="Arial Narrow" w:eastAsia="Times New Roman" w:hAnsi="Arial Narrow" w:cs="Arial"/>
                <w:sz w:val="18"/>
                <w:szCs w:val="18"/>
                <w:lang w:eastAsia="cs-CZ"/>
              </w:rPr>
            </w:pPr>
          </w:p>
        </w:tc>
        <w:tc>
          <w:tcPr>
            <w:tcW w:w="717" w:type="dxa"/>
            <w:shd w:val="clear" w:color="auto" w:fill="D9E2F3" w:themeFill="accent1" w:themeFillTint="33"/>
            <w:vAlign w:val="center"/>
          </w:tcPr>
          <w:p w14:paraId="226CF3DF" w14:textId="77777777" w:rsidR="009D66FA" w:rsidRPr="00CE357F" w:rsidRDefault="009D66FA" w:rsidP="00BC1C0D">
            <w:pPr>
              <w:jc w:val="center"/>
              <w:rPr>
                <w:rFonts w:ascii="Arial Narrow" w:hAnsi="Arial Narrow"/>
                <w:sz w:val="18"/>
                <w:szCs w:val="18"/>
              </w:rPr>
            </w:pPr>
            <w:r>
              <w:rPr>
                <w:rFonts w:ascii="Arial Narrow" w:eastAsia="Times New Roman" w:hAnsi="Arial Narrow" w:cs="Arial"/>
                <w:sz w:val="18"/>
                <w:szCs w:val="18"/>
                <w:lang w:eastAsia="cs-CZ"/>
              </w:rPr>
              <w:t>Celkem</w:t>
            </w:r>
          </w:p>
        </w:tc>
        <w:tc>
          <w:tcPr>
            <w:tcW w:w="551" w:type="dxa"/>
            <w:shd w:val="clear" w:color="auto" w:fill="D9E2F3" w:themeFill="accent1" w:themeFillTint="33"/>
            <w:vAlign w:val="center"/>
          </w:tcPr>
          <w:p w14:paraId="48D46929" w14:textId="77777777" w:rsidR="009D66FA" w:rsidRPr="00CE357F" w:rsidRDefault="009D66FA" w:rsidP="00BC1C0D">
            <w:pPr>
              <w:jc w:val="center"/>
              <w:rPr>
                <w:rFonts w:ascii="Arial Narrow" w:hAnsi="Arial Narrow"/>
                <w:sz w:val="18"/>
                <w:szCs w:val="18"/>
              </w:rPr>
            </w:pPr>
            <w:r>
              <w:rPr>
                <w:rFonts w:ascii="Arial Narrow" w:eastAsia="Times New Roman" w:hAnsi="Arial Narrow" w:cs="Arial"/>
                <w:sz w:val="18"/>
                <w:szCs w:val="18"/>
                <w:lang w:eastAsia="cs-CZ"/>
              </w:rPr>
              <w:t>Nad 15</w:t>
            </w:r>
          </w:p>
        </w:tc>
        <w:tc>
          <w:tcPr>
            <w:tcW w:w="540" w:type="dxa"/>
            <w:shd w:val="clear" w:color="auto" w:fill="D9E2F3" w:themeFill="accent1" w:themeFillTint="33"/>
            <w:vAlign w:val="center"/>
          </w:tcPr>
          <w:p w14:paraId="17D317BF" w14:textId="77777777" w:rsidR="009D66FA" w:rsidRPr="00CE357F" w:rsidRDefault="009D66FA" w:rsidP="00BC1C0D">
            <w:pPr>
              <w:jc w:val="center"/>
              <w:rPr>
                <w:rFonts w:ascii="Arial Narrow" w:hAnsi="Arial Narrow"/>
                <w:sz w:val="18"/>
                <w:szCs w:val="18"/>
              </w:rPr>
            </w:pPr>
            <w:r>
              <w:rPr>
                <w:rFonts w:ascii="Arial Narrow" w:eastAsia="Times New Roman" w:hAnsi="Arial Narrow" w:cs="Arial"/>
                <w:sz w:val="18"/>
                <w:szCs w:val="18"/>
                <w:lang w:eastAsia="cs-CZ"/>
              </w:rPr>
              <w:t>Do 15</w:t>
            </w:r>
          </w:p>
        </w:tc>
        <w:tc>
          <w:tcPr>
            <w:tcW w:w="717" w:type="dxa"/>
            <w:shd w:val="clear" w:color="auto" w:fill="D9E2F3" w:themeFill="accent1" w:themeFillTint="33"/>
            <w:vAlign w:val="center"/>
          </w:tcPr>
          <w:p w14:paraId="1842C9AA" w14:textId="77777777" w:rsidR="009D66FA" w:rsidRPr="00CE357F" w:rsidRDefault="009D66FA" w:rsidP="00BC1C0D">
            <w:pPr>
              <w:jc w:val="center"/>
              <w:rPr>
                <w:rFonts w:ascii="Arial Narrow" w:hAnsi="Arial Narrow"/>
                <w:sz w:val="18"/>
                <w:szCs w:val="18"/>
              </w:rPr>
            </w:pPr>
            <w:r>
              <w:rPr>
                <w:rFonts w:ascii="Arial Narrow" w:eastAsia="Times New Roman" w:hAnsi="Arial Narrow" w:cs="Arial"/>
                <w:sz w:val="18"/>
                <w:szCs w:val="18"/>
                <w:lang w:eastAsia="cs-CZ"/>
              </w:rPr>
              <w:t>Celkem</w:t>
            </w:r>
          </w:p>
        </w:tc>
        <w:tc>
          <w:tcPr>
            <w:tcW w:w="597" w:type="dxa"/>
            <w:shd w:val="clear" w:color="auto" w:fill="D9E2F3" w:themeFill="accent1" w:themeFillTint="33"/>
            <w:vAlign w:val="center"/>
          </w:tcPr>
          <w:p w14:paraId="553F38FA" w14:textId="77777777" w:rsidR="009D66FA" w:rsidRPr="00CE357F" w:rsidRDefault="009D66FA" w:rsidP="00BC1C0D">
            <w:pPr>
              <w:jc w:val="center"/>
              <w:rPr>
                <w:rFonts w:ascii="Arial Narrow" w:hAnsi="Arial Narrow"/>
                <w:sz w:val="18"/>
                <w:szCs w:val="18"/>
              </w:rPr>
            </w:pPr>
            <w:r>
              <w:rPr>
                <w:rFonts w:ascii="Arial Narrow" w:eastAsia="Times New Roman" w:hAnsi="Arial Narrow" w:cs="Arial"/>
                <w:sz w:val="18"/>
                <w:szCs w:val="18"/>
                <w:lang w:eastAsia="cs-CZ"/>
              </w:rPr>
              <w:t>Nad 15</w:t>
            </w:r>
          </w:p>
        </w:tc>
        <w:tc>
          <w:tcPr>
            <w:tcW w:w="677" w:type="dxa"/>
            <w:shd w:val="clear" w:color="auto" w:fill="D9E2F3" w:themeFill="accent1" w:themeFillTint="33"/>
            <w:vAlign w:val="center"/>
          </w:tcPr>
          <w:p w14:paraId="7579ADD4" w14:textId="77777777" w:rsidR="009D66FA" w:rsidRPr="00CE357F" w:rsidRDefault="009D66FA" w:rsidP="00BC1C0D">
            <w:pPr>
              <w:jc w:val="center"/>
              <w:rPr>
                <w:rFonts w:ascii="Arial Narrow" w:hAnsi="Arial Narrow"/>
                <w:sz w:val="18"/>
                <w:szCs w:val="18"/>
              </w:rPr>
            </w:pPr>
            <w:r>
              <w:rPr>
                <w:rFonts w:ascii="Arial Narrow" w:eastAsia="Times New Roman" w:hAnsi="Arial Narrow" w:cs="Arial"/>
                <w:sz w:val="18"/>
                <w:szCs w:val="18"/>
                <w:lang w:eastAsia="cs-CZ"/>
              </w:rPr>
              <w:t>Do 15</w:t>
            </w:r>
          </w:p>
        </w:tc>
      </w:tr>
      <w:tr w:rsidR="009D66FA" w:rsidRPr="00CE357F" w14:paraId="028244B7" w14:textId="77777777" w:rsidTr="00BC1C0D">
        <w:trPr>
          <w:trHeight w:val="204"/>
        </w:trPr>
        <w:tc>
          <w:tcPr>
            <w:tcW w:w="1251" w:type="dxa"/>
            <w:shd w:val="clear" w:color="auto" w:fill="D9E2F3" w:themeFill="accent1" w:themeFillTint="33"/>
            <w:vAlign w:val="center"/>
          </w:tcPr>
          <w:p w14:paraId="3FF04919"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Rostěnice-Zvonovice</w:t>
            </w:r>
          </w:p>
        </w:tc>
        <w:tc>
          <w:tcPr>
            <w:tcW w:w="819" w:type="dxa"/>
            <w:vAlign w:val="bottom"/>
          </w:tcPr>
          <w:p w14:paraId="00310CC4"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617</w:t>
            </w:r>
          </w:p>
        </w:tc>
        <w:tc>
          <w:tcPr>
            <w:tcW w:w="1332" w:type="dxa"/>
            <w:vAlign w:val="center"/>
          </w:tcPr>
          <w:p w14:paraId="74C37605"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65</w:t>
            </w:r>
          </w:p>
        </w:tc>
        <w:tc>
          <w:tcPr>
            <w:tcW w:w="1756" w:type="dxa"/>
            <w:vAlign w:val="bottom"/>
          </w:tcPr>
          <w:p w14:paraId="09938E37" w14:textId="77777777" w:rsidR="009D66FA" w:rsidRPr="00E34787" w:rsidRDefault="009D66FA" w:rsidP="00BC1C0D">
            <w:pPr>
              <w:jc w:val="center"/>
              <w:rPr>
                <w:rFonts w:ascii="Arial Narrow" w:hAnsi="Arial Narrow"/>
                <w:b/>
                <w:bCs/>
                <w:color w:val="FF0000"/>
                <w:sz w:val="18"/>
                <w:szCs w:val="18"/>
              </w:rPr>
            </w:pPr>
            <w:r w:rsidRPr="00E34787">
              <w:rPr>
                <w:rFonts w:ascii="Arial Narrow" w:hAnsi="Arial Narrow"/>
                <w:b/>
                <w:bCs/>
                <w:color w:val="FF0000"/>
                <w:sz w:val="18"/>
                <w:szCs w:val="18"/>
              </w:rPr>
              <w:t>10,5</w:t>
            </w:r>
            <w:r>
              <w:rPr>
                <w:rFonts w:ascii="Arial Narrow" w:hAnsi="Arial Narrow"/>
                <w:b/>
                <w:bCs/>
                <w:color w:val="FF0000"/>
                <w:sz w:val="18"/>
                <w:szCs w:val="18"/>
              </w:rPr>
              <w:t xml:space="preserve"> </w:t>
            </w:r>
            <w:r w:rsidRPr="00E34787">
              <w:rPr>
                <w:rFonts w:ascii="Arial Narrow" w:hAnsi="Arial Narrow"/>
                <w:b/>
                <w:bCs/>
                <w:color w:val="FF0000"/>
                <w:sz w:val="18"/>
                <w:szCs w:val="18"/>
              </w:rPr>
              <w:t>%</w:t>
            </w:r>
          </w:p>
        </w:tc>
        <w:tc>
          <w:tcPr>
            <w:tcW w:w="717" w:type="dxa"/>
            <w:vAlign w:val="center"/>
          </w:tcPr>
          <w:p w14:paraId="7CC3812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37</w:t>
            </w:r>
          </w:p>
        </w:tc>
        <w:tc>
          <w:tcPr>
            <w:tcW w:w="551" w:type="dxa"/>
            <w:vAlign w:val="center"/>
          </w:tcPr>
          <w:p w14:paraId="733EF00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30</w:t>
            </w:r>
          </w:p>
        </w:tc>
        <w:tc>
          <w:tcPr>
            <w:tcW w:w="540" w:type="dxa"/>
            <w:vAlign w:val="center"/>
          </w:tcPr>
          <w:p w14:paraId="508B8A12"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7</w:t>
            </w:r>
          </w:p>
        </w:tc>
        <w:tc>
          <w:tcPr>
            <w:tcW w:w="717" w:type="dxa"/>
            <w:vAlign w:val="center"/>
          </w:tcPr>
          <w:p w14:paraId="143CB7AC"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28</w:t>
            </w:r>
          </w:p>
        </w:tc>
        <w:tc>
          <w:tcPr>
            <w:tcW w:w="597" w:type="dxa"/>
            <w:vAlign w:val="center"/>
          </w:tcPr>
          <w:p w14:paraId="785F00DF"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25</w:t>
            </w:r>
          </w:p>
        </w:tc>
        <w:tc>
          <w:tcPr>
            <w:tcW w:w="677" w:type="dxa"/>
            <w:vAlign w:val="center"/>
          </w:tcPr>
          <w:p w14:paraId="6FB15E7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w:t>
            </w:r>
          </w:p>
        </w:tc>
      </w:tr>
      <w:tr w:rsidR="009D66FA" w:rsidRPr="00CE357F" w14:paraId="14748CA0" w14:textId="77777777" w:rsidTr="00BC1C0D">
        <w:trPr>
          <w:trHeight w:val="204"/>
        </w:trPr>
        <w:tc>
          <w:tcPr>
            <w:tcW w:w="1251" w:type="dxa"/>
            <w:shd w:val="clear" w:color="auto" w:fill="D9E2F3" w:themeFill="accent1" w:themeFillTint="33"/>
            <w:vAlign w:val="center"/>
          </w:tcPr>
          <w:p w14:paraId="5A92E497"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Rousínov</w:t>
            </w:r>
          </w:p>
        </w:tc>
        <w:tc>
          <w:tcPr>
            <w:tcW w:w="819" w:type="dxa"/>
            <w:vAlign w:val="bottom"/>
          </w:tcPr>
          <w:p w14:paraId="505852F8"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w:t>
            </w:r>
            <w:r>
              <w:rPr>
                <w:rFonts w:ascii="Arial Narrow" w:hAnsi="Arial Narrow"/>
                <w:color w:val="000000"/>
                <w:sz w:val="18"/>
                <w:szCs w:val="18"/>
              </w:rPr>
              <w:t xml:space="preserve"> </w:t>
            </w:r>
            <w:r w:rsidRPr="00E34787">
              <w:rPr>
                <w:rFonts w:ascii="Arial Narrow" w:hAnsi="Arial Narrow"/>
                <w:color w:val="000000"/>
                <w:sz w:val="18"/>
                <w:szCs w:val="18"/>
              </w:rPr>
              <w:t>121</w:t>
            </w:r>
          </w:p>
        </w:tc>
        <w:tc>
          <w:tcPr>
            <w:tcW w:w="1332" w:type="dxa"/>
            <w:vAlign w:val="center"/>
          </w:tcPr>
          <w:p w14:paraId="6773C3F7"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548</w:t>
            </w:r>
          </w:p>
        </w:tc>
        <w:tc>
          <w:tcPr>
            <w:tcW w:w="1756" w:type="dxa"/>
            <w:vAlign w:val="bottom"/>
          </w:tcPr>
          <w:p w14:paraId="5F31CCB2" w14:textId="77777777" w:rsidR="009D66FA" w:rsidRPr="00E34787" w:rsidRDefault="009D66FA" w:rsidP="00BC1C0D">
            <w:pPr>
              <w:jc w:val="center"/>
              <w:rPr>
                <w:rFonts w:ascii="Arial Narrow" w:hAnsi="Arial Narrow"/>
                <w:b/>
                <w:bCs/>
                <w:color w:val="FF0000"/>
                <w:sz w:val="18"/>
                <w:szCs w:val="18"/>
              </w:rPr>
            </w:pPr>
            <w:r w:rsidRPr="00E34787">
              <w:rPr>
                <w:rFonts w:ascii="Arial Narrow" w:hAnsi="Arial Narrow"/>
                <w:b/>
                <w:bCs/>
                <w:color w:val="FF0000"/>
                <w:sz w:val="18"/>
                <w:szCs w:val="18"/>
              </w:rPr>
              <w:t>9,0</w:t>
            </w:r>
            <w:r>
              <w:rPr>
                <w:rFonts w:ascii="Arial Narrow" w:hAnsi="Arial Narrow"/>
                <w:b/>
                <w:bCs/>
                <w:color w:val="FF0000"/>
                <w:sz w:val="18"/>
                <w:szCs w:val="18"/>
              </w:rPr>
              <w:t xml:space="preserve"> </w:t>
            </w:r>
            <w:r w:rsidRPr="00E34787">
              <w:rPr>
                <w:rFonts w:ascii="Arial Narrow" w:hAnsi="Arial Narrow"/>
                <w:b/>
                <w:bCs/>
                <w:color w:val="FF0000"/>
                <w:sz w:val="18"/>
                <w:szCs w:val="18"/>
              </w:rPr>
              <w:t>%</w:t>
            </w:r>
            <w:r>
              <w:rPr>
                <w:rFonts w:ascii="Arial Narrow" w:hAnsi="Arial Narrow"/>
                <w:b/>
                <w:bCs/>
                <w:color w:val="FF0000"/>
                <w:sz w:val="18"/>
                <w:szCs w:val="18"/>
              </w:rPr>
              <w:t xml:space="preserve"> </w:t>
            </w:r>
          </w:p>
        </w:tc>
        <w:tc>
          <w:tcPr>
            <w:tcW w:w="717" w:type="dxa"/>
            <w:vAlign w:val="center"/>
          </w:tcPr>
          <w:p w14:paraId="1486AD12"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262</w:t>
            </w:r>
          </w:p>
        </w:tc>
        <w:tc>
          <w:tcPr>
            <w:tcW w:w="551" w:type="dxa"/>
            <w:vAlign w:val="center"/>
          </w:tcPr>
          <w:p w14:paraId="0DAA4E4E"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220</w:t>
            </w:r>
          </w:p>
        </w:tc>
        <w:tc>
          <w:tcPr>
            <w:tcW w:w="540" w:type="dxa"/>
            <w:vAlign w:val="center"/>
          </w:tcPr>
          <w:p w14:paraId="598AB3BE"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42</w:t>
            </w:r>
          </w:p>
        </w:tc>
        <w:tc>
          <w:tcPr>
            <w:tcW w:w="717" w:type="dxa"/>
            <w:vAlign w:val="center"/>
          </w:tcPr>
          <w:p w14:paraId="391E5CB6"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286</w:t>
            </w:r>
          </w:p>
        </w:tc>
        <w:tc>
          <w:tcPr>
            <w:tcW w:w="597" w:type="dxa"/>
            <w:vAlign w:val="center"/>
          </w:tcPr>
          <w:p w14:paraId="5CD7800B"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225</w:t>
            </w:r>
          </w:p>
        </w:tc>
        <w:tc>
          <w:tcPr>
            <w:tcW w:w="677" w:type="dxa"/>
            <w:vAlign w:val="center"/>
          </w:tcPr>
          <w:p w14:paraId="5257FC3D"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61</w:t>
            </w:r>
          </w:p>
        </w:tc>
      </w:tr>
      <w:tr w:rsidR="009D66FA" w:rsidRPr="00CE357F" w14:paraId="3E62F068" w14:textId="77777777" w:rsidTr="00BC1C0D">
        <w:trPr>
          <w:trHeight w:val="204"/>
        </w:trPr>
        <w:tc>
          <w:tcPr>
            <w:tcW w:w="1251" w:type="dxa"/>
            <w:shd w:val="clear" w:color="auto" w:fill="D9E2F3" w:themeFill="accent1" w:themeFillTint="33"/>
            <w:vAlign w:val="center"/>
          </w:tcPr>
          <w:p w14:paraId="56438F25"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Hlubočany</w:t>
            </w:r>
          </w:p>
        </w:tc>
        <w:tc>
          <w:tcPr>
            <w:tcW w:w="819" w:type="dxa"/>
            <w:vAlign w:val="bottom"/>
          </w:tcPr>
          <w:p w14:paraId="78D7610B"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563</w:t>
            </w:r>
          </w:p>
        </w:tc>
        <w:tc>
          <w:tcPr>
            <w:tcW w:w="1332" w:type="dxa"/>
            <w:vAlign w:val="center"/>
          </w:tcPr>
          <w:p w14:paraId="79B2E4B2"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44</w:t>
            </w:r>
          </w:p>
        </w:tc>
        <w:tc>
          <w:tcPr>
            <w:tcW w:w="1756" w:type="dxa"/>
            <w:vAlign w:val="bottom"/>
          </w:tcPr>
          <w:p w14:paraId="5EFC6AB0" w14:textId="77777777" w:rsidR="009D66FA" w:rsidRPr="00E34787" w:rsidRDefault="009D66FA" w:rsidP="00BC1C0D">
            <w:pPr>
              <w:jc w:val="center"/>
              <w:rPr>
                <w:rFonts w:ascii="Arial Narrow" w:hAnsi="Arial Narrow"/>
                <w:b/>
                <w:bCs/>
                <w:color w:val="FF0000"/>
                <w:sz w:val="18"/>
                <w:szCs w:val="18"/>
              </w:rPr>
            </w:pPr>
            <w:r w:rsidRPr="00E34787">
              <w:rPr>
                <w:rFonts w:ascii="Arial Narrow" w:hAnsi="Arial Narrow"/>
                <w:b/>
                <w:bCs/>
                <w:color w:val="FF0000"/>
                <w:sz w:val="18"/>
                <w:szCs w:val="18"/>
              </w:rPr>
              <w:t>7,8</w:t>
            </w:r>
            <w:r>
              <w:rPr>
                <w:rFonts w:ascii="Arial Narrow" w:hAnsi="Arial Narrow"/>
                <w:b/>
                <w:bCs/>
                <w:color w:val="FF0000"/>
                <w:sz w:val="18"/>
                <w:szCs w:val="18"/>
              </w:rPr>
              <w:t xml:space="preserve"> </w:t>
            </w:r>
            <w:r w:rsidRPr="00E34787">
              <w:rPr>
                <w:rFonts w:ascii="Arial Narrow" w:hAnsi="Arial Narrow"/>
                <w:b/>
                <w:bCs/>
                <w:color w:val="FF0000"/>
                <w:sz w:val="18"/>
                <w:szCs w:val="18"/>
              </w:rPr>
              <w:t>%</w:t>
            </w:r>
            <w:r>
              <w:rPr>
                <w:rFonts w:ascii="Arial Narrow" w:hAnsi="Arial Narrow"/>
                <w:b/>
                <w:bCs/>
                <w:color w:val="FF0000"/>
                <w:sz w:val="18"/>
                <w:szCs w:val="18"/>
              </w:rPr>
              <w:t xml:space="preserve"> </w:t>
            </w:r>
          </w:p>
        </w:tc>
        <w:tc>
          <w:tcPr>
            <w:tcW w:w="717" w:type="dxa"/>
            <w:vAlign w:val="center"/>
          </w:tcPr>
          <w:p w14:paraId="1495BCAE"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17</w:t>
            </w:r>
          </w:p>
        </w:tc>
        <w:tc>
          <w:tcPr>
            <w:tcW w:w="551" w:type="dxa"/>
            <w:vAlign w:val="center"/>
          </w:tcPr>
          <w:p w14:paraId="4F74116A"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12</w:t>
            </w:r>
          </w:p>
        </w:tc>
        <w:tc>
          <w:tcPr>
            <w:tcW w:w="540" w:type="dxa"/>
            <w:vAlign w:val="center"/>
          </w:tcPr>
          <w:p w14:paraId="32CCDDCF"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5</w:t>
            </w:r>
          </w:p>
        </w:tc>
        <w:tc>
          <w:tcPr>
            <w:tcW w:w="717" w:type="dxa"/>
            <w:vAlign w:val="center"/>
          </w:tcPr>
          <w:p w14:paraId="786620EB"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27</w:t>
            </w:r>
          </w:p>
        </w:tc>
        <w:tc>
          <w:tcPr>
            <w:tcW w:w="597" w:type="dxa"/>
            <w:vAlign w:val="center"/>
          </w:tcPr>
          <w:p w14:paraId="0109C598"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18</w:t>
            </w:r>
          </w:p>
        </w:tc>
        <w:tc>
          <w:tcPr>
            <w:tcW w:w="677" w:type="dxa"/>
            <w:vAlign w:val="center"/>
          </w:tcPr>
          <w:p w14:paraId="6EEE132F"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9</w:t>
            </w:r>
          </w:p>
        </w:tc>
      </w:tr>
      <w:tr w:rsidR="009D66FA" w:rsidRPr="00CE357F" w14:paraId="1FF6D239" w14:textId="77777777" w:rsidTr="00BC1C0D">
        <w:trPr>
          <w:trHeight w:val="204"/>
        </w:trPr>
        <w:tc>
          <w:tcPr>
            <w:tcW w:w="1251" w:type="dxa"/>
            <w:shd w:val="clear" w:color="auto" w:fill="D9E2F3" w:themeFill="accent1" w:themeFillTint="33"/>
            <w:vAlign w:val="center"/>
          </w:tcPr>
          <w:p w14:paraId="74AD8E3C"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Rybníček</w:t>
            </w:r>
          </w:p>
        </w:tc>
        <w:tc>
          <w:tcPr>
            <w:tcW w:w="819" w:type="dxa"/>
            <w:vAlign w:val="bottom"/>
          </w:tcPr>
          <w:p w14:paraId="41368670"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282</w:t>
            </w:r>
          </w:p>
        </w:tc>
        <w:tc>
          <w:tcPr>
            <w:tcW w:w="1332" w:type="dxa"/>
            <w:vAlign w:val="center"/>
          </w:tcPr>
          <w:p w14:paraId="63D04D3A"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21</w:t>
            </w:r>
          </w:p>
        </w:tc>
        <w:tc>
          <w:tcPr>
            <w:tcW w:w="1756" w:type="dxa"/>
            <w:vAlign w:val="bottom"/>
          </w:tcPr>
          <w:p w14:paraId="492FA268"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7,4</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43763EAE"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5</w:t>
            </w:r>
          </w:p>
        </w:tc>
        <w:tc>
          <w:tcPr>
            <w:tcW w:w="551" w:type="dxa"/>
            <w:vAlign w:val="center"/>
          </w:tcPr>
          <w:p w14:paraId="2A4F7D51"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w:t>
            </w:r>
          </w:p>
        </w:tc>
        <w:tc>
          <w:tcPr>
            <w:tcW w:w="540" w:type="dxa"/>
            <w:vAlign w:val="center"/>
          </w:tcPr>
          <w:p w14:paraId="468759AD"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w:t>
            </w:r>
          </w:p>
        </w:tc>
        <w:tc>
          <w:tcPr>
            <w:tcW w:w="717" w:type="dxa"/>
            <w:vAlign w:val="center"/>
          </w:tcPr>
          <w:p w14:paraId="5188261A"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16</w:t>
            </w:r>
          </w:p>
        </w:tc>
        <w:tc>
          <w:tcPr>
            <w:tcW w:w="597" w:type="dxa"/>
            <w:vAlign w:val="center"/>
          </w:tcPr>
          <w:p w14:paraId="6F2A8EA1"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12</w:t>
            </w:r>
          </w:p>
        </w:tc>
        <w:tc>
          <w:tcPr>
            <w:tcW w:w="677" w:type="dxa"/>
            <w:vAlign w:val="center"/>
          </w:tcPr>
          <w:p w14:paraId="4EAEB8DD"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4</w:t>
            </w:r>
          </w:p>
        </w:tc>
      </w:tr>
      <w:tr w:rsidR="009D66FA" w:rsidRPr="00CE357F" w14:paraId="21132CDD" w14:textId="77777777" w:rsidTr="00BC1C0D">
        <w:trPr>
          <w:trHeight w:val="204"/>
        </w:trPr>
        <w:tc>
          <w:tcPr>
            <w:tcW w:w="1251" w:type="dxa"/>
            <w:shd w:val="clear" w:color="auto" w:fill="D9E2F3" w:themeFill="accent1" w:themeFillTint="33"/>
            <w:vAlign w:val="center"/>
          </w:tcPr>
          <w:p w14:paraId="5AEBA9AD"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Ivanovice na Hané</w:t>
            </w:r>
          </w:p>
        </w:tc>
        <w:tc>
          <w:tcPr>
            <w:tcW w:w="819" w:type="dxa"/>
            <w:vAlign w:val="bottom"/>
          </w:tcPr>
          <w:p w14:paraId="1DD92AF1"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3087</w:t>
            </w:r>
          </w:p>
        </w:tc>
        <w:tc>
          <w:tcPr>
            <w:tcW w:w="1332" w:type="dxa"/>
            <w:vAlign w:val="center"/>
          </w:tcPr>
          <w:p w14:paraId="2F5111E7"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217</w:t>
            </w:r>
          </w:p>
        </w:tc>
        <w:tc>
          <w:tcPr>
            <w:tcW w:w="1756" w:type="dxa"/>
            <w:vAlign w:val="bottom"/>
          </w:tcPr>
          <w:p w14:paraId="5428A727"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7,0</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36A17403"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88</w:t>
            </w:r>
          </w:p>
        </w:tc>
        <w:tc>
          <w:tcPr>
            <w:tcW w:w="551" w:type="dxa"/>
            <w:vAlign w:val="center"/>
          </w:tcPr>
          <w:p w14:paraId="6AEC5FB1"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72</w:t>
            </w:r>
          </w:p>
        </w:tc>
        <w:tc>
          <w:tcPr>
            <w:tcW w:w="540" w:type="dxa"/>
            <w:vAlign w:val="center"/>
          </w:tcPr>
          <w:p w14:paraId="092009E2"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16</w:t>
            </w:r>
          </w:p>
        </w:tc>
        <w:tc>
          <w:tcPr>
            <w:tcW w:w="717" w:type="dxa"/>
            <w:vAlign w:val="center"/>
          </w:tcPr>
          <w:p w14:paraId="2D27CAE4"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129</w:t>
            </w:r>
          </w:p>
        </w:tc>
        <w:tc>
          <w:tcPr>
            <w:tcW w:w="597" w:type="dxa"/>
            <w:vAlign w:val="center"/>
          </w:tcPr>
          <w:p w14:paraId="6A9F519C"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111</w:t>
            </w:r>
          </w:p>
        </w:tc>
        <w:tc>
          <w:tcPr>
            <w:tcW w:w="677" w:type="dxa"/>
            <w:vAlign w:val="center"/>
          </w:tcPr>
          <w:p w14:paraId="7D0AC421" w14:textId="77777777" w:rsidR="009D66FA" w:rsidRPr="00E715BA" w:rsidRDefault="009D66FA" w:rsidP="00BC1C0D">
            <w:pPr>
              <w:jc w:val="center"/>
              <w:rPr>
                <w:rFonts w:ascii="Arial Narrow" w:hAnsi="Arial Narrow"/>
                <w:color w:val="000000"/>
                <w:sz w:val="18"/>
                <w:szCs w:val="18"/>
              </w:rPr>
            </w:pPr>
            <w:r>
              <w:rPr>
                <w:rFonts w:ascii="Arial Narrow" w:hAnsi="Arial Narrow"/>
                <w:color w:val="000000"/>
                <w:sz w:val="18"/>
                <w:szCs w:val="18"/>
              </w:rPr>
              <w:t>18</w:t>
            </w:r>
          </w:p>
        </w:tc>
      </w:tr>
      <w:tr w:rsidR="009D66FA" w:rsidRPr="00CE357F" w14:paraId="0E853C45" w14:textId="77777777" w:rsidTr="00BC1C0D">
        <w:trPr>
          <w:trHeight w:val="204"/>
        </w:trPr>
        <w:tc>
          <w:tcPr>
            <w:tcW w:w="1251" w:type="dxa"/>
            <w:shd w:val="clear" w:color="auto" w:fill="D9E2F3" w:themeFill="accent1" w:themeFillTint="33"/>
            <w:vAlign w:val="center"/>
          </w:tcPr>
          <w:p w14:paraId="77ACCBF6"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Vážany</w:t>
            </w:r>
          </w:p>
        </w:tc>
        <w:tc>
          <w:tcPr>
            <w:tcW w:w="819" w:type="dxa"/>
            <w:vAlign w:val="bottom"/>
          </w:tcPr>
          <w:p w14:paraId="3B19869E"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465</w:t>
            </w:r>
          </w:p>
        </w:tc>
        <w:tc>
          <w:tcPr>
            <w:tcW w:w="1332" w:type="dxa"/>
            <w:vAlign w:val="center"/>
          </w:tcPr>
          <w:p w14:paraId="5D4E24C0"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32</w:t>
            </w:r>
          </w:p>
        </w:tc>
        <w:tc>
          <w:tcPr>
            <w:tcW w:w="1756" w:type="dxa"/>
            <w:vAlign w:val="bottom"/>
          </w:tcPr>
          <w:p w14:paraId="19E4D349"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6,9</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7A8A62D2"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15</w:t>
            </w:r>
          </w:p>
        </w:tc>
        <w:tc>
          <w:tcPr>
            <w:tcW w:w="551" w:type="dxa"/>
            <w:vAlign w:val="center"/>
          </w:tcPr>
          <w:p w14:paraId="29FE012F"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14</w:t>
            </w:r>
          </w:p>
        </w:tc>
        <w:tc>
          <w:tcPr>
            <w:tcW w:w="540" w:type="dxa"/>
            <w:vAlign w:val="center"/>
          </w:tcPr>
          <w:p w14:paraId="10803B53"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w:t>
            </w:r>
          </w:p>
        </w:tc>
        <w:tc>
          <w:tcPr>
            <w:tcW w:w="717" w:type="dxa"/>
            <w:vAlign w:val="center"/>
          </w:tcPr>
          <w:p w14:paraId="22708B10"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17</w:t>
            </w:r>
          </w:p>
        </w:tc>
        <w:tc>
          <w:tcPr>
            <w:tcW w:w="597" w:type="dxa"/>
            <w:vAlign w:val="center"/>
          </w:tcPr>
          <w:p w14:paraId="5293A93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14</w:t>
            </w:r>
          </w:p>
        </w:tc>
        <w:tc>
          <w:tcPr>
            <w:tcW w:w="677" w:type="dxa"/>
            <w:vAlign w:val="center"/>
          </w:tcPr>
          <w:p w14:paraId="05CFC355"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w:t>
            </w:r>
          </w:p>
        </w:tc>
      </w:tr>
      <w:tr w:rsidR="009D66FA" w:rsidRPr="00CE357F" w14:paraId="5E630911" w14:textId="77777777" w:rsidTr="00BC1C0D">
        <w:trPr>
          <w:trHeight w:val="204"/>
        </w:trPr>
        <w:tc>
          <w:tcPr>
            <w:tcW w:w="1251" w:type="dxa"/>
            <w:shd w:val="clear" w:color="auto" w:fill="D9E2F3" w:themeFill="accent1" w:themeFillTint="33"/>
            <w:vAlign w:val="center"/>
          </w:tcPr>
          <w:p w14:paraId="2865D2DF"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Vyškov</w:t>
            </w:r>
          </w:p>
        </w:tc>
        <w:tc>
          <w:tcPr>
            <w:tcW w:w="819" w:type="dxa"/>
            <w:vAlign w:val="bottom"/>
          </w:tcPr>
          <w:p w14:paraId="65578A81"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21</w:t>
            </w:r>
            <w:r>
              <w:rPr>
                <w:rFonts w:ascii="Arial Narrow" w:hAnsi="Arial Narrow"/>
                <w:color w:val="000000"/>
                <w:sz w:val="18"/>
                <w:szCs w:val="18"/>
              </w:rPr>
              <w:t xml:space="preserve"> </w:t>
            </w:r>
            <w:r w:rsidRPr="00E34787">
              <w:rPr>
                <w:rFonts w:ascii="Arial Narrow" w:hAnsi="Arial Narrow"/>
                <w:color w:val="000000"/>
                <w:sz w:val="18"/>
                <w:szCs w:val="18"/>
              </w:rPr>
              <w:t>187</w:t>
            </w:r>
          </w:p>
        </w:tc>
        <w:tc>
          <w:tcPr>
            <w:tcW w:w="1332" w:type="dxa"/>
            <w:vAlign w:val="center"/>
          </w:tcPr>
          <w:p w14:paraId="6A695A5E"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1 299</w:t>
            </w:r>
          </w:p>
        </w:tc>
        <w:tc>
          <w:tcPr>
            <w:tcW w:w="1756" w:type="dxa"/>
            <w:vAlign w:val="bottom"/>
          </w:tcPr>
          <w:p w14:paraId="66BCAA61"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6,1</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6EE12A18"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616</w:t>
            </w:r>
          </w:p>
        </w:tc>
        <w:tc>
          <w:tcPr>
            <w:tcW w:w="551" w:type="dxa"/>
            <w:vAlign w:val="center"/>
          </w:tcPr>
          <w:p w14:paraId="4F18D94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529</w:t>
            </w:r>
          </w:p>
        </w:tc>
        <w:tc>
          <w:tcPr>
            <w:tcW w:w="540" w:type="dxa"/>
            <w:vAlign w:val="center"/>
          </w:tcPr>
          <w:p w14:paraId="07542455"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87</w:t>
            </w:r>
          </w:p>
        </w:tc>
        <w:tc>
          <w:tcPr>
            <w:tcW w:w="717" w:type="dxa"/>
            <w:vAlign w:val="center"/>
          </w:tcPr>
          <w:p w14:paraId="42027272"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683</w:t>
            </w:r>
          </w:p>
        </w:tc>
        <w:tc>
          <w:tcPr>
            <w:tcW w:w="597" w:type="dxa"/>
            <w:vAlign w:val="center"/>
          </w:tcPr>
          <w:p w14:paraId="72ED67A3"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582</w:t>
            </w:r>
          </w:p>
        </w:tc>
        <w:tc>
          <w:tcPr>
            <w:tcW w:w="677" w:type="dxa"/>
            <w:vAlign w:val="center"/>
          </w:tcPr>
          <w:p w14:paraId="18ADCB75"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101</w:t>
            </w:r>
          </w:p>
        </w:tc>
      </w:tr>
      <w:tr w:rsidR="009D66FA" w:rsidRPr="00CE357F" w14:paraId="0A9799A6" w14:textId="77777777" w:rsidTr="00BC1C0D">
        <w:trPr>
          <w:trHeight w:val="204"/>
        </w:trPr>
        <w:tc>
          <w:tcPr>
            <w:tcW w:w="1251" w:type="dxa"/>
            <w:shd w:val="clear" w:color="auto" w:fill="D9E2F3" w:themeFill="accent1" w:themeFillTint="33"/>
            <w:vAlign w:val="center"/>
          </w:tcPr>
          <w:p w14:paraId="185FA88B"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Ruprechtov</w:t>
            </w:r>
          </w:p>
        </w:tc>
        <w:tc>
          <w:tcPr>
            <w:tcW w:w="819" w:type="dxa"/>
            <w:vAlign w:val="bottom"/>
          </w:tcPr>
          <w:p w14:paraId="28D1AE65"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651</w:t>
            </w:r>
          </w:p>
        </w:tc>
        <w:tc>
          <w:tcPr>
            <w:tcW w:w="1332" w:type="dxa"/>
            <w:vAlign w:val="center"/>
          </w:tcPr>
          <w:p w14:paraId="0F1C20A0"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39</w:t>
            </w:r>
          </w:p>
        </w:tc>
        <w:tc>
          <w:tcPr>
            <w:tcW w:w="1756" w:type="dxa"/>
            <w:vAlign w:val="bottom"/>
          </w:tcPr>
          <w:p w14:paraId="451C5BFD"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6,0</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6C01C5C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18</w:t>
            </w:r>
          </w:p>
        </w:tc>
        <w:tc>
          <w:tcPr>
            <w:tcW w:w="551" w:type="dxa"/>
            <w:vAlign w:val="center"/>
          </w:tcPr>
          <w:p w14:paraId="1B0D97CC"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16</w:t>
            </w:r>
          </w:p>
        </w:tc>
        <w:tc>
          <w:tcPr>
            <w:tcW w:w="540" w:type="dxa"/>
            <w:vAlign w:val="center"/>
          </w:tcPr>
          <w:p w14:paraId="7385369C"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w:t>
            </w:r>
          </w:p>
        </w:tc>
        <w:tc>
          <w:tcPr>
            <w:tcW w:w="717" w:type="dxa"/>
            <w:vAlign w:val="center"/>
          </w:tcPr>
          <w:p w14:paraId="588D0624"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21</w:t>
            </w:r>
          </w:p>
        </w:tc>
        <w:tc>
          <w:tcPr>
            <w:tcW w:w="597" w:type="dxa"/>
            <w:vAlign w:val="center"/>
          </w:tcPr>
          <w:p w14:paraId="35317C81"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18</w:t>
            </w:r>
          </w:p>
        </w:tc>
        <w:tc>
          <w:tcPr>
            <w:tcW w:w="677" w:type="dxa"/>
            <w:vAlign w:val="center"/>
          </w:tcPr>
          <w:p w14:paraId="46822A25"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w:t>
            </w:r>
          </w:p>
        </w:tc>
      </w:tr>
      <w:tr w:rsidR="009D66FA" w:rsidRPr="00CE357F" w14:paraId="34AC6A80" w14:textId="77777777" w:rsidTr="00BC1C0D">
        <w:trPr>
          <w:trHeight w:val="204"/>
        </w:trPr>
        <w:tc>
          <w:tcPr>
            <w:tcW w:w="1251" w:type="dxa"/>
            <w:shd w:val="clear" w:color="auto" w:fill="D9E2F3" w:themeFill="accent1" w:themeFillTint="33"/>
            <w:vAlign w:val="center"/>
          </w:tcPr>
          <w:p w14:paraId="74EE1E5D"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Studnice</w:t>
            </w:r>
          </w:p>
        </w:tc>
        <w:tc>
          <w:tcPr>
            <w:tcW w:w="819" w:type="dxa"/>
            <w:vAlign w:val="bottom"/>
          </w:tcPr>
          <w:p w14:paraId="6E0FC44D"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523</w:t>
            </w:r>
          </w:p>
        </w:tc>
        <w:tc>
          <w:tcPr>
            <w:tcW w:w="1332" w:type="dxa"/>
            <w:vAlign w:val="center"/>
          </w:tcPr>
          <w:p w14:paraId="6DEABB2D"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31</w:t>
            </w:r>
          </w:p>
        </w:tc>
        <w:tc>
          <w:tcPr>
            <w:tcW w:w="1756" w:type="dxa"/>
            <w:vAlign w:val="bottom"/>
          </w:tcPr>
          <w:p w14:paraId="611B9B44"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5,9</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7B206B8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15</w:t>
            </w:r>
          </w:p>
        </w:tc>
        <w:tc>
          <w:tcPr>
            <w:tcW w:w="551" w:type="dxa"/>
            <w:vAlign w:val="center"/>
          </w:tcPr>
          <w:p w14:paraId="25C9DC22"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10</w:t>
            </w:r>
          </w:p>
        </w:tc>
        <w:tc>
          <w:tcPr>
            <w:tcW w:w="540" w:type="dxa"/>
            <w:vAlign w:val="center"/>
          </w:tcPr>
          <w:p w14:paraId="4C0EBFEB"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5</w:t>
            </w:r>
          </w:p>
        </w:tc>
        <w:tc>
          <w:tcPr>
            <w:tcW w:w="717" w:type="dxa"/>
            <w:vAlign w:val="center"/>
          </w:tcPr>
          <w:p w14:paraId="6CE583B8"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16</w:t>
            </w:r>
          </w:p>
        </w:tc>
        <w:tc>
          <w:tcPr>
            <w:tcW w:w="597" w:type="dxa"/>
            <w:vAlign w:val="center"/>
          </w:tcPr>
          <w:p w14:paraId="3BFB1285"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10</w:t>
            </w:r>
          </w:p>
        </w:tc>
        <w:tc>
          <w:tcPr>
            <w:tcW w:w="677" w:type="dxa"/>
            <w:vAlign w:val="center"/>
          </w:tcPr>
          <w:p w14:paraId="2A0248B7"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r>
      <w:tr w:rsidR="009D66FA" w:rsidRPr="00CE357F" w14:paraId="543A23BC" w14:textId="77777777" w:rsidTr="00BC1C0D">
        <w:trPr>
          <w:trHeight w:val="204"/>
        </w:trPr>
        <w:tc>
          <w:tcPr>
            <w:tcW w:w="1251" w:type="dxa"/>
            <w:shd w:val="clear" w:color="auto" w:fill="D9E2F3" w:themeFill="accent1" w:themeFillTint="33"/>
            <w:vAlign w:val="center"/>
          </w:tcPr>
          <w:p w14:paraId="557E780E"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Topolany</w:t>
            </w:r>
          </w:p>
        </w:tc>
        <w:tc>
          <w:tcPr>
            <w:tcW w:w="819" w:type="dxa"/>
            <w:vAlign w:val="bottom"/>
          </w:tcPr>
          <w:p w14:paraId="6FD09CD5"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373</w:t>
            </w:r>
          </w:p>
        </w:tc>
        <w:tc>
          <w:tcPr>
            <w:tcW w:w="1332" w:type="dxa"/>
            <w:vAlign w:val="center"/>
          </w:tcPr>
          <w:p w14:paraId="311D78DD"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18</w:t>
            </w:r>
          </w:p>
        </w:tc>
        <w:tc>
          <w:tcPr>
            <w:tcW w:w="1756" w:type="dxa"/>
            <w:vAlign w:val="bottom"/>
          </w:tcPr>
          <w:p w14:paraId="52B275E6"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4,8</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2361DA90"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c>
          <w:tcPr>
            <w:tcW w:w="551" w:type="dxa"/>
            <w:vAlign w:val="center"/>
          </w:tcPr>
          <w:p w14:paraId="7C0A9043"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4</w:t>
            </w:r>
          </w:p>
        </w:tc>
        <w:tc>
          <w:tcPr>
            <w:tcW w:w="540" w:type="dxa"/>
            <w:vAlign w:val="center"/>
          </w:tcPr>
          <w:p w14:paraId="3C4D6542"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w:t>
            </w:r>
          </w:p>
        </w:tc>
        <w:tc>
          <w:tcPr>
            <w:tcW w:w="717" w:type="dxa"/>
            <w:vAlign w:val="center"/>
          </w:tcPr>
          <w:p w14:paraId="003265D4"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12</w:t>
            </w:r>
          </w:p>
        </w:tc>
        <w:tc>
          <w:tcPr>
            <w:tcW w:w="597" w:type="dxa"/>
            <w:vAlign w:val="center"/>
          </w:tcPr>
          <w:p w14:paraId="2879291E"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10</w:t>
            </w:r>
          </w:p>
        </w:tc>
        <w:tc>
          <w:tcPr>
            <w:tcW w:w="677" w:type="dxa"/>
            <w:vAlign w:val="center"/>
          </w:tcPr>
          <w:p w14:paraId="4B2B3918"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w:t>
            </w:r>
          </w:p>
        </w:tc>
      </w:tr>
      <w:tr w:rsidR="009D66FA" w:rsidRPr="00CE357F" w14:paraId="55A344D6" w14:textId="77777777" w:rsidTr="00BC1C0D">
        <w:trPr>
          <w:trHeight w:val="204"/>
        </w:trPr>
        <w:tc>
          <w:tcPr>
            <w:tcW w:w="1251" w:type="dxa"/>
            <w:shd w:val="clear" w:color="auto" w:fill="D9E2F3" w:themeFill="accent1" w:themeFillTint="33"/>
            <w:vAlign w:val="center"/>
          </w:tcPr>
          <w:p w14:paraId="5579D137"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Tučapy</w:t>
            </w:r>
          </w:p>
        </w:tc>
        <w:tc>
          <w:tcPr>
            <w:tcW w:w="819" w:type="dxa"/>
            <w:vAlign w:val="bottom"/>
          </w:tcPr>
          <w:p w14:paraId="3D5C16BA"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609</w:t>
            </w:r>
          </w:p>
        </w:tc>
        <w:tc>
          <w:tcPr>
            <w:tcW w:w="1332" w:type="dxa"/>
            <w:vAlign w:val="center"/>
          </w:tcPr>
          <w:p w14:paraId="10E0BF0E"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29</w:t>
            </w:r>
          </w:p>
        </w:tc>
        <w:tc>
          <w:tcPr>
            <w:tcW w:w="1756" w:type="dxa"/>
            <w:vAlign w:val="bottom"/>
          </w:tcPr>
          <w:p w14:paraId="190E3BA1"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4,8</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5212442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14</w:t>
            </w:r>
          </w:p>
        </w:tc>
        <w:tc>
          <w:tcPr>
            <w:tcW w:w="551" w:type="dxa"/>
            <w:vAlign w:val="center"/>
          </w:tcPr>
          <w:p w14:paraId="21CDCD5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11</w:t>
            </w:r>
          </w:p>
        </w:tc>
        <w:tc>
          <w:tcPr>
            <w:tcW w:w="540" w:type="dxa"/>
            <w:vAlign w:val="center"/>
          </w:tcPr>
          <w:p w14:paraId="6F4B1A0E"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w:t>
            </w:r>
          </w:p>
        </w:tc>
        <w:tc>
          <w:tcPr>
            <w:tcW w:w="717" w:type="dxa"/>
            <w:vAlign w:val="center"/>
          </w:tcPr>
          <w:p w14:paraId="2F3385AC"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15</w:t>
            </w:r>
          </w:p>
        </w:tc>
        <w:tc>
          <w:tcPr>
            <w:tcW w:w="597" w:type="dxa"/>
            <w:vAlign w:val="center"/>
          </w:tcPr>
          <w:p w14:paraId="669BD141"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11</w:t>
            </w:r>
          </w:p>
        </w:tc>
        <w:tc>
          <w:tcPr>
            <w:tcW w:w="677" w:type="dxa"/>
            <w:vAlign w:val="center"/>
          </w:tcPr>
          <w:p w14:paraId="02B7862E"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4</w:t>
            </w:r>
          </w:p>
        </w:tc>
      </w:tr>
      <w:tr w:rsidR="009D66FA" w:rsidRPr="00CE357F" w14:paraId="5953B99A" w14:textId="77777777" w:rsidTr="00BC1C0D">
        <w:trPr>
          <w:trHeight w:val="204"/>
        </w:trPr>
        <w:tc>
          <w:tcPr>
            <w:tcW w:w="1251" w:type="dxa"/>
            <w:shd w:val="clear" w:color="auto" w:fill="D9E2F3" w:themeFill="accent1" w:themeFillTint="33"/>
            <w:vAlign w:val="center"/>
          </w:tcPr>
          <w:p w14:paraId="7394B370"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Nemojany</w:t>
            </w:r>
          </w:p>
        </w:tc>
        <w:tc>
          <w:tcPr>
            <w:tcW w:w="819" w:type="dxa"/>
            <w:vAlign w:val="bottom"/>
          </w:tcPr>
          <w:p w14:paraId="2AB4BD89"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859</w:t>
            </w:r>
          </w:p>
        </w:tc>
        <w:tc>
          <w:tcPr>
            <w:tcW w:w="1332" w:type="dxa"/>
            <w:vAlign w:val="center"/>
          </w:tcPr>
          <w:p w14:paraId="72D7EF55"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36</w:t>
            </w:r>
          </w:p>
        </w:tc>
        <w:tc>
          <w:tcPr>
            <w:tcW w:w="1756" w:type="dxa"/>
            <w:vAlign w:val="bottom"/>
          </w:tcPr>
          <w:p w14:paraId="6105836B"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4,2</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2B8F7D4F"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17</w:t>
            </w:r>
          </w:p>
        </w:tc>
        <w:tc>
          <w:tcPr>
            <w:tcW w:w="551" w:type="dxa"/>
            <w:vAlign w:val="center"/>
          </w:tcPr>
          <w:p w14:paraId="3AC70695"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14</w:t>
            </w:r>
          </w:p>
        </w:tc>
        <w:tc>
          <w:tcPr>
            <w:tcW w:w="540" w:type="dxa"/>
            <w:vAlign w:val="center"/>
          </w:tcPr>
          <w:p w14:paraId="00545587"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w:t>
            </w:r>
          </w:p>
        </w:tc>
        <w:tc>
          <w:tcPr>
            <w:tcW w:w="717" w:type="dxa"/>
            <w:vAlign w:val="center"/>
          </w:tcPr>
          <w:p w14:paraId="3E61D5E3"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19</w:t>
            </w:r>
          </w:p>
        </w:tc>
        <w:tc>
          <w:tcPr>
            <w:tcW w:w="597" w:type="dxa"/>
            <w:vAlign w:val="center"/>
          </w:tcPr>
          <w:p w14:paraId="4A5747FF"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13</w:t>
            </w:r>
          </w:p>
        </w:tc>
        <w:tc>
          <w:tcPr>
            <w:tcW w:w="677" w:type="dxa"/>
            <w:vAlign w:val="center"/>
          </w:tcPr>
          <w:p w14:paraId="1171E465"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r>
      <w:tr w:rsidR="009D66FA" w:rsidRPr="00CE357F" w14:paraId="728504A0" w14:textId="77777777" w:rsidTr="00BC1C0D">
        <w:trPr>
          <w:trHeight w:val="204"/>
        </w:trPr>
        <w:tc>
          <w:tcPr>
            <w:tcW w:w="1251" w:type="dxa"/>
            <w:shd w:val="clear" w:color="auto" w:fill="D9E2F3" w:themeFill="accent1" w:themeFillTint="33"/>
            <w:vAlign w:val="center"/>
          </w:tcPr>
          <w:p w14:paraId="7C042AA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Lysovice</w:t>
            </w:r>
          </w:p>
        </w:tc>
        <w:tc>
          <w:tcPr>
            <w:tcW w:w="819" w:type="dxa"/>
            <w:vAlign w:val="bottom"/>
          </w:tcPr>
          <w:p w14:paraId="46E51D1D"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306</w:t>
            </w:r>
          </w:p>
        </w:tc>
        <w:tc>
          <w:tcPr>
            <w:tcW w:w="1332" w:type="dxa"/>
            <w:vAlign w:val="center"/>
          </w:tcPr>
          <w:p w14:paraId="5E9AB049"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12</w:t>
            </w:r>
          </w:p>
        </w:tc>
        <w:tc>
          <w:tcPr>
            <w:tcW w:w="1756" w:type="dxa"/>
            <w:vAlign w:val="bottom"/>
          </w:tcPr>
          <w:p w14:paraId="6F69B6AF"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3,9</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4592536E"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5</w:t>
            </w:r>
          </w:p>
        </w:tc>
        <w:tc>
          <w:tcPr>
            <w:tcW w:w="551" w:type="dxa"/>
            <w:vAlign w:val="center"/>
          </w:tcPr>
          <w:p w14:paraId="1997868B"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4</w:t>
            </w:r>
          </w:p>
        </w:tc>
        <w:tc>
          <w:tcPr>
            <w:tcW w:w="540" w:type="dxa"/>
            <w:vAlign w:val="center"/>
          </w:tcPr>
          <w:p w14:paraId="65114555"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w:t>
            </w:r>
          </w:p>
        </w:tc>
        <w:tc>
          <w:tcPr>
            <w:tcW w:w="717" w:type="dxa"/>
            <w:vAlign w:val="center"/>
          </w:tcPr>
          <w:p w14:paraId="629DA89E"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7</w:t>
            </w:r>
          </w:p>
        </w:tc>
        <w:tc>
          <w:tcPr>
            <w:tcW w:w="597" w:type="dxa"/>
            <w:vAlign w:val="center"/>
          </w:tcPr>
          <w:p w14:paraId="555A8DF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c>
          <w:tcPr>
            <w:tcW w:w="677" w:type="dxa"/>
            <w:vAlign w:val="center"/>
          </w:tcPr>
          <w:p w14:paraId="0E050B0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w:t>
            </w:r>
          </w:p>
        </w:tc>
      </w:tr>
      <w:tr w:rsidR="009D66FA" w:rsidRPr="00CE357F" w14:paraId="1CD0088D" w14:textId="77777777" w:rsidTr="00BC1C0D">
        <w:trPr>
          <w:trHeight w:val="204"/>
        </w:trPr>
        <w:tc>
          <w:tcPr>
            <w:tcW w:w="1251" w:type="dxa"/>
            <w:shd w:val="clear" w:color="auto" w:fill="D9E2F3" w:themeFill="accent1" w:themeFillTint="33"/>
            <w:vAlign w:val="center"/>
          </w:tcPr>
          <w:p w14:paraId="740F5C57"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Olšany</w:t>
            </w:r>
          </w:p>
        </w:tc>
        <w:tc>
          <w:tcPr>
            <w:tcW w:w="819" w:type="dxa"/>
            <w:vAlign w:val="bottom"/>
          </w:tcPr>
          <w:p w14:paraId="0C567D4E"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670</w:t>
            </w:r>
          </w:p>
        </w:tc>
        <w:tc>
          <w:tcPr>
            <w:tcW w:w="1332" w:type="dxa"/>
            <w:vAlign w:val="center"/>
          </w:tcPr>
          <w:p w14:paraId="6D11CB03"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26</w:t>
            </w:r>
          </w:p>
        </w:tc>
        <w:tc>
          <w:tcPr>
            <w:tcW w:w="1756" w:type="dxa"/>
            <w:vAlign w:val="bottom"/>
          </w:tcPr>
          <w:p w14:paraId="5EA61C56"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3,9</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2599FEF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12</w:t>
            </w:r>
          </w:p>
        </w:tc>
        <w:tc>
          <w:tcPr>
            <w:tcW w:w="551" w:type="dxa"/>
            <w:vAlign w:val="center"/>
          </w:tcPr>
          <w:p w14:paraId="1FD6F68A"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9</w:t>
            </w:r>
          </w:p>
        </w:tc>
        <w:tc>
          <w:tcPr>
            <w:tcW w:w="540" w:type="dxa"/>
            <w:vAlign w:val="center"/>
          </w:tcPr>
          <w:p w14:paraId="14BCD770"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w:t>
            </w:r>
          </w:p>
        </w:tc>
        <w:tc>
          <w:tcPr>
            <w:tcW w:w="717" w:type="dxa"/>
            <w:vAlign w:val="center"/>
          </w:tcPr>
          <w:p w14:paraId="2BA1AC38"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14</w:t>
            </w:r>
          </w:p>
        </w:tc>
        <w:tc>
          <w:tcPr>
            <w:tcW w:w="597" w:type="dxa"/>
            <w:vAlign w:val="center"/>
          </w:tcPr>
          <w:p w14:paraId="7458B39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12</w:t>
            </w:r>
          </w:p>
        </w:tc>
        <w:tc>
          <w:tcPr>
            <w:tcW w:w="677" w:type="dxa"/>
            <w:vAlign w:val="center"/>
          </w:tcPr>
          <w:p w14:paraId="09EE7A21"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w:t>
            </w:r>
          </w:p>
        </w:tc>
      </w:tr>
      <w:tr w:rsidR="009D66FA" w:rsidRPr="00CE357F" w14:paraId="652C9EE3" w14:textId="77777777" w:rsidTr="00BC1C0D">
        <w:trPr>
          <w:trHeight w:val="204"/>
        </w:trPr>
        <w:tc>
          <w:tcPr>
            <w:tcW w:w="1251" w:type="dxa"/>
            <w:shd w:val="clear" w:color="auto" w:fill="D9E2F3" w:themeFill="accent1" w:themeFillTint="33"/>
            <w:vAlign w:val="center"/>
          </w:tcPr>
          <w:p w14:paraId="73E4C46A"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Hvězdlice</w:t>
            </w:r>
          </w:p>
        </w:tc>
        <w:tc>
          <w:tcPr>
            <w:tcW w:w="819" w:type="dxa"/>
            <w:vAlign w:val="bottom"/>
          </w:tcPr>
          <w:p w14:paraId="2A500361"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593</w:t>
            </w:r>
          </w:p>
        </w:tc>
        <w:tc>
          <w:tcPr>
            <w:tcW w:w="1332" w:type="dxa"/>
            <w:vAlign w:val="center"/>
          </w:tcPr>
          <w:p w14:paraId="5A9E773B"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20</w:t>
            </w:r>
          </w:p>
        </w:tc>
        <w:tc>
          <w:tcPr>
            <w:tcW w:w="1756" w:type="dxa"/>
            <w:vAlign w:val="bottom"/>
          </w:tcPr>
          <w:p w14:paraId="0C50E7DB"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3,4%</w:t>
            </w:r>
          </w:p>
        </w:tc>
        <w:tc>
          <w:tcPr>
            <w:tcW w:w="717" w:type="dxa"/>
            <w:vAlign w:val="center"/>
          </w:tcPr>
          <w:p w14:paraId="16DB72BC"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12</w:t>
            </w:r>
          </w:p>
        </w:tc>
        <w:tc>
          <w:tcPr>
            <w:tcW w:w="551" w:type="dxa"/>
            <w:vAlign w:val="center"/>
          </w:tcPr>
          <w:p w14:paraId="7BCD5648"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8</w:t>
            </w:r>
          </w:p>
        </w:tc>
        <w:tc>
          <w:tcPr>
            <w:tcW w:w="540" w:type="dxa"/>
            <w:vAlign w:val="center"/>
          </w:tcPr>
          <w:p w14:paraId="0F740D02"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4</w:t>
            </w:r>
          </w:p>
        </w:tc>
        <w:tc>
          <w:tcPr>
            <w:tcW w:w="717" w:type="dxa"/>
            <w:vAlign w:val="center"/>
          </w:tcPr>
          <w:p w14:paraId="7223BB2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8</w:t>
            </w:r>
          </w:p>
        </w:tc>
        <w:tc>
          <w:tcPr>
            <w:tcW w:w="597" w:type="dxa"/>
            <w:vAlign w:val="center"/>
          </w:tcPr>
          <w:p w14:paraId="5FCF8E33"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c>
          <w:tcPr>
            <w:tcW w:w="677" w:type="dxa"/>
            <w:vAlign w:val="center"/>
          </w:tcPr>
          <w:p w14:paraId="388F1BDC"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w:t>
            </w:r>
          </w:p>
        </w:tc>
      </w:tr>
      <w:tr w:rsidR="009D66FA" w:rsidRPr="00CE357F" w14:paraId="7770D628" w14:textId="77777777" w:rsidTr="00BC1C0D">
        <w:trPr>
          <w:trHeight w:val="204"/>
        </w:trPr>
        <w:tc>
          <w:tcPr>
            <w:tcW w:w="1251" w:type="dxa"/>
            <w:shd w:val="clear" w:color="auto" w:fill="D9E2F3" w:themeFill="accent1" w:themeFillTint="33"/>
            <w:vAlign w:val="center"/>
          </w:tcPr>
          <w:p w14:paraId="7BD84DBE"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Zelená Hora</w:t>
            </w:r>
          </w:p>
        </w:tc>
        <w:tc>
          <w:tcPr>
            <w:tcW w:w="819" w:type="dxa"/>
            <w:vAlign w:val="bottom"/>
          </w:tcPr>
          <w:p w14:paraId="342B65B7"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329</w:t>
            </w:r>
          </w:p>
        </w:tc>
        <w:tc>
          <w:tcPr>
            <w:tcW w:w="1332" w:type="dxa"/>
            <w:vAlign w:val="center"/>
          </w:tcPr>
          <w:p w14:paraId="7FE9E256"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11</w:t>
            </w:r>
          </w:p>
        </w:tc>
        <w:tc>
          <w:tcPr>
            <w:tcW w:w="1756" w:type="dxa"/>
            <w:vAlign w:val="bottom"/>
          </w:tcPr>
          <w:p w14:paraId="4A9CFAAC"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3,3</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0349750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3</w:t>
            </w:r>
          </w:p>
        </w:tc>
        <w:tc>
          <w:tcPr>
            <w:tcW w:w="551" w:type="dxa"/>
            <w:vAlign w:val="center"/>
          </w:tcPr>
          <w:p w14:paraId="341B272B"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w:t>
            </w:r>
          </w:p>
        </w:tc>
        <w:tc>
          <w:tcPr>
            <w:tcW w:w="540" w:type="dxa"/>
            <w:vAlign w:val="center"/>
          </w:tcPr>
          <w:p w14:paraId="10BA7B1C"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w:t>
            </w:r>
          </w:p>
        </w:tc>
        <w:tc>
          <w:tcPr>
            <w:tcW w:w="717" w:type="dxa"/>
            <w:vAlign w:val="center"/>
          </w:tcPr>
          <w:p w14:paraId="5D11AD86"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8</w:t>
            </w:r>
          </w:p>
        </w:tc>
        <w:tc>
          <w:tcPr>
            <w:tcW w:w="597" w:type="dxa"/>
            <w:vAlign w:val="center"/>
          </w:tcPr>
          <w:p w14:paraId="0A3ACB0B"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c>
          <w:tcPr>
            <w:tcW w:w="677" w:type="dxa"/>
            <w:vAlign w:val="center"/>
          </w:tcPr>
          <w:p w14:paraId="0C8C24EA"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2</w:t>
            </w:r>
          </w:p>
        </w:tc>
      </w:tr>
      <w:tr w:rsidR="009D66FA" w:rsidRPr="00CE357F" w14:paraId="0933A0DC" w14:textId="77777777" w:rsidTr="00BC1C0D">
        <w:trPr>
          <w:trHeight w:val="204"/>
        </w:trPr>
        <w:tc>
          <w:tcPr>
            <w:tcW w:w="1251" w:type="dxa"/>
            <w:shd w:val="clear" w:color="auto" w:fill="D9E2F3" w:themeFill="accent1" w:themeFillTint="33"/>
            <w:vAlign w:val="center"/>
          </w:tcPr>
          <w:p w14:paraId="3ED4C2BA" w14:textId="77777777" w:rsidR="009D66FA" w:rsidRPr="00E715BA" w:rsidRDefault="009D66FA" w:rsidP="00BC1C0D">
            <w:pPr>
              <w:jc w:val="center"/>
              <w:rPr>
                <w:rFonts w:ascii="Arial Narrow" w:hAnsi="Arial Narrow" w:cs="Arial"/>
                <w:sz w:val="18"/>
                <w:szCs w:val="18"/>
              </w:rPr>
            </w:pPr>
            <w:r w:rsidRPr="00E715BA">
              <w:rPr>
                <w:rFonts w:ascii="Arial Narrow" w:hAnsi="Arial Narrow"/>
                <w:color w:val="000000"/>
                <w:sz w:val="18"/>
                <w:szCs w:val="18"/>
              </w:rPr>
              <w:t>Drysice</w:t>
            </w:r>
          </w:p>
        </w:tc>
        <w:tc>
          <w:tcPr>
            <w:tcW w:w="819" w:type="dxa"/>
            <w:vAlign w:val="bottom"/>
          </w:tcPr>
          <w:p w14:paraId="033F3FB4"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641</w:t>
            </w:r>
          </w:p>
        </w:tc>
        <w:tc>
          <w:tcPr>
            <w:tcW w:w="1332" w:type="dxa"/>
            <w:vAlign w:val="center"/>
          </w:tcPr>
          <w:p w14:paraId="2C7B7F9C"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21</w:t>
            </w:r>
          </w:p>
        </w:tc>
        <w:tc>
          <w:tcPr>
            <w:tcW w:w="1756" w:type="dxa"/>
            <w:vAlign w:val="bottom"/>
          </w:tcPr>
          <w:p w14:paraId="18DB4564"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3,3</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2F01BCE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c>
          <w:tcPr>
            <w:tcW w:w="551" w:type="dxa"/>
            <w:vAlign w:val="center"/>
          </w:tcPr>
          <w:p w14:paraId="70B8F73B"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c>
          <w:tcPr>
            <w:tcW w:w="540" w:type="dxa"/>
            <w:vAlign w:val="center"/>
          </w:tcPr>
          <w:p w14:paraId="02F1824E"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0</w:t>
            </w:r>
          </w:p>
        </w:tc>
        <w:tc>
          <w:tcPr>
            <w:tcW w:w="717" w:type="dxa"/>
            <w:vAlign w:val="center"/>
          </w:tcPr>
          <w:p w14:paraId="0620A529"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15</w:t>
            </w:r>
          </w:p>
        </w:tc>
        <w:tc>
          <w:tcPr>
            <w:tcW w:w="597" w:type="dxa"/>
            <w:vAlign w:val="center"/>
          </w:tcPr>
          <w:p w14:paraId="2D6CB990"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9</w:t>
            </w:r>
          </w:p>
        </w:tc>
        <w:tc>
          <w:tcPr>
            <w:tcW w:w="677" w:type="dxa"/>
            <w:vAlign w:val="center"/>
          </w:tcPr>
          <w:p w14:paraId="3F17A577" w14:textId="77777777" w:rsidR="009D66FA" w:rsidRPr="00E715BA" w:rsidRDefault="009D66FA" w:rsidP="00BC1C0D">
            <w:pPr>
              <w:jc w:val="center"/>
              <w:rPr>
                <w:rFonts w:ascii="Arial Narrow" w:hAnsi="Arial Narrow"/>
                <w:sz w:val="18"/>
                <w:szCs w:val="18"/>
              </w:rPr>
            </w:pPr>
            <w:r w:rsidRPr="00E715BA">
              <w:rPr>
                <w:rFonts w:ascii="Arial Narrow" w:hAnsi="Arial Narrow"/>
                <w:color w:val="000000"/>
                <w:sz w:val="18"/>
                <w:szCs w:val="18"/>
              </w:rPr>
              <w:t>6</w:t>
            </w:r>
          </w:p>
        </w:tc>
      </w:tr>
      <w:tr w:rsidR="009D66FA" w:rsidRPr="00CE357F" w14:paraId="62D1F55B" w14:textId="77777777" w:rsidTr="00BC1C0D">
        <w:trPr>
          <w:trHeight w:val="204"/>
        </w:trPr>
        <w:tc>
          <w:tcPr>
            <w:tcW w:w="1251" w:type="dxa"/>
            <w:shd w:val="clear" w:color="auto" w:fill="D9E2F3" w:themeFill="accent1" w:themeFillTint="33"/>
            <w:vAlign w:val="center"/>
          </w:tcPr>
          <w:p w14:paraId="1CAED2D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Pustiměř</w:t>
            </w:r>
          </w:p>
        </w:tc>
        <w:tc>
          <w:tcPr>
            <w:tcW w:w="819" w:type="dxa"/>
            <w:vAlign w:val="bottom"/>
          </w:tcPr>
          <w:p w14:paraId="79DA6CEC"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w:t>
            </w:r>
            <w:r>
              <w:rPr>
                <w:rFonts w:ascii="Arial Narrow" w:hAnsi="Arial Narrow"/>
                <w:color w:val="000000"/>
                <w:sz w:val="18"/>
                <w:szCs w:val="18"/>
              </w:rPr>
              <w:t xml:space="preserve"> </w:t>
            </w:r>
            <w:r w:rsidRPr="00E34787">
              <w:rPr>
                <w:rFonts w:ascii="Arial Narrow" w:hAnsi="Arial Narrow"/>
                <w:color w:val="000000"/>
                <w:sz w:val="18"/>
                <w:szCs w:val="18"/>
              </w:rPr>
              <w:t>962</w:t>
            </w:r>
          </w:p>
        </w:tc>
        <w:tc>
          <w:tcPr>
            <w:tcW w:w="1332" w:type="dxa"/>
            <w:vAlign w:val="center"/>
          </w:tcPr>
          <w:p w14:paraId="4B918123"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62</w:t>
            </w:r>
          </w:p>
        </w:tc>
        <w:tc>
          <w:tcPr>
            <w:tcW w:w="1756" w:type="dxa"/>
            <w:vAlign w:val="bottom"/>
          </w:tcPr>
          <w:p w14:paraId="2813E8AB"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3,2</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1ED1B08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30</w:t>
            </w:r>
          </w:p>
        </w:tc>
        <w:tc>
          <w:tcPr>
            <w:tcW w:w="551" w:type="dxa"/>
            <w:vAlign w:val="center"/>
          </w:tcPr>
          <w:p w14:paraId="6D6D0A2B"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25</w:t>
            </w:r>
          </w:p>
        </w:tc>
        <w:tc>
          <w:tcPr>
            <w:tcW w:w="540" w:type="dxa"/>
            <w:vAlign w:val="center"/>
          </w:tcPr>
          <w:p w14:paraId="0B2C148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717" w:type="dxa"/>
            <w:vAlign w:val="center"/>
          </w:tcPr>
          <w:p w14:paraId="351B3629"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32</w:t>
            </w:r>
          </w:p>
        </w:tc>
        <w:tc>
          <w:tcPr>
            <w:tcW w:w="597" w:type="dxa"/>
            <w:vAlign w:val="center"/>
          </w:tcPr>
          <w:p w14:paraId="6FF99D8E"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23</w:t>
            </w:r>
          </w:p>
        </w:tc>
        <w:tc>
          <w:tcPr>
            <w:tcW w:w="677" w:type="dxa"/>
            <w:vAlign w:val="center"/>
          </w:tcPr>
          <w:p w14:paraId="561E488C"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9</w:t>
            </w:r>
          </w:p>
        </w:tc>
      </w:tr>
      <w:tr w:rsidR="009D66FA" w:rsidRPr="00CE357F" w14:paraId="376ED121" w14:textId="77777777" w:rsidTr="00BC1C0D">
        <w:trPr>
          <w:trHeight w:val="204"/>
        </w:trPr>
        <w:tc>
          <w:tcPr>
            <w:tcW w:w="1251" w:type="dxa"/>
            <w:shd w:val="clear" w:color="auto" w:fill="D9E2F3" w:themeFill="accent1" w:themeFillTint="33"/>
            <w:vAlign w:val="center"/>
          </w:tcPr>
          <w:p w14:paraId="2BBE7D6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Prusy-</w:t>
            </w:r>
            <w:proofErr w:type="spellStart"/>
            <w:r w:rsidRPr="00E715BA">
              <w:rPr>
                <w:rFonts w:ascii="Arial Narrow" w:hAnsi="Arial Narrow"/>
                <w:color w:val="000000"/>
                <w:sz w:val="18"/>
                <w:szCs w:val="18"/>
              </w:rPr>
              <w:t>Boškůvky</w:t>
            </w:r>
            <w:proofErr w:type="spellEnd"/>
          </w:p>
        </w:tc>
        <w:tc>
          <w:tcPr>
            <w:tcW w:w="819" w:type="dxa"/>
            <w:vAlign w:val="bottom"/>
          </w:tcPr>
          <w:p w14:paraId="45DC9322"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699</w:t>
            </w:r>
          </w:p>
        </w:tc>
        <w:tc>
          <w:tcPr>
            <w:tcW w:w="1332" w:type="dxa"/>
            <w:vAlign w:val="center"/>
          </w:tcPr>
          <w:p w14:paraId="3A054F3A"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22</w:t>
            </w:r>
          </w:p>
        </w:tc>
        <w:tc>
          <w:tcPr>
            <w:tcW w:w="1756" w:type="dxa"/>
            <w:vAlign w:val="bottom"/>
          </w:tcPr>
          <w:p w14:paraId="78BD2FAB"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3,1</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0CDABDE4"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12</w:t>
            </w:r>
          </w:p>
        </w:tc>
        <w:tc>
          <w:tcPr>
            <w:tcW w:w="551" w:type="dxa"/>
            <w:vAlign w:val="center"/>
          </w:tcPr>
          <w:p w14:paraId="3EB39697"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10</w:t>
            </w:r>
          </w:p>
        </w:tc>
        <w:tc>
          <w:tcPr>
            <w:tcW w:w="540" w:type="dxa"/>
            <w:vAlign w:val="center"/>
          </w:tcPr>
          <w:p w14:paraId="0AA4F2A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w:t>
            </w:r>
          </w:p>
        </w:tc>
        <w:tc>
          <w:tcPr>
            <w:tcW w:w="717" w:type="dxa"/>
            <w:vAlign w:val="center"/>
          </w:tcPr>
          <w:p w14:paraId="74FCC0CF"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10</w:t>
            </w:r>
          </w:p>
        </w:tc>
        <w:tc>
          <w:tcPr>
            <w:tcW w:w="597" w:type="dxa"/>
            <w:vAlign w:val="center"/>
          </w:tcPr>
          <w:p w14:paraId="1F7DB97E"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8</w:t>
            </w:r>
          </w:p>
        </w:tc>
        <w:tc>
          <w:tcPr>
            <w:tcW w:w="677" w:type="dxa"/>
            <w:vAlign w:val="center"/>
          </w:tcPr>
          <w:p w14:paraId="3541C6A7"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w:t>
            </w:r>
          </w:p>
        </w:tc>
      </w:tr>
      <w:tr w:rsidR="009D66FA" w:rsidRPr="00CE357F" w14:paraId="4025E407" w14:textId="77777777" w:rsidTr="00BC1C0D">
        <w:trPr>
          <w:trHeight w:val="204"/>
        </w:trPr>
        <w:tc>
          <w:tcPr>
            <w:tcW w:w="1251" w:type="dxa"/>
            <w:shd w:val="clear" w:color="auto" w:fill="D9E2F3" w:themeFill="accent1" w:themeFillTint="33"/>
            <w:vAlign w:val="center"/>
          </w:tcPr>
          <w:p w14:paraId="3159BE6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Komořany</w:t>
            </w:r>
          </w:p>
        </w:tc>
        <w:tc>
          <w:tcPr>
            <w:tcW w:w="819" w:type="dxa"/>
            <w:vAlign w:val="bottom"/>
          </w:tcPr>
          <w:p w14:paraId="5AE9251E"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760</w:t>
            </w:r>
          </w:p>
        </w:tc>
        <w:tc>
          <w:tcPr>
            <w:tcW w:w="1332" w:type="dxa"/>
            <w:vAlign w:val="center"/>
          </w:tcPr>
          <w:p w14:paraId="3D41CB3D"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23</w:t>
            </w:r>
          </w:p>
        </w:tc>
        <w:tc>
          <w:tcPr>
            <w:tcW w:w="1756" w:type="dxa"/>
            <w:vAlign w:val="bottom"/>
          </w:tcPr>
          <w:p w14:paraId="201EA6BF"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3,0</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52EFC115"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11</w:t>
            </w:r>
          </w:p>
        </w:tc>
        <w:tc>
          <w:tcPr>
            <w:tcW w:w="551" w:type="dxa"/>
            <w:vAlign w:val="center"/>
          </w:tcPr>
          <w:p w14:paraId="52CF1859"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8</w:t>
            </w:r>
          </w:p>
        </w:tc>
        <w:tc>
          <w:tcPr>
            <w:tcW w:w="540" w:type="dxa"/>
            <w:vAlign w:val="center"/>
          </w:tcPr>
          <w:p w14:paraId="6DE5E06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3</w:t>
            </w:r>
          </w:p>
        </w:tc>
        <w:tc>
          <w:tcPr>
            <w:tcW w:w="717" w:type="dxa"/>
            <w:vAlign w:val="center"/>
          </w:tcPr>
          <w:p w14:paraId="26DDBF1C"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12</w:t>
            </w:r>
          </w:p>
        </w:tc>
        <w:tc>
          <w:tcPr>
            <w:tcW w:w="597" w:type="dxa"/>
            <w:vAlign w:val="center"/>
          </w:tcPr>
          <w:p w14:paraId="23F94EF2"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11</w:t>
            </w:r>
          </w:p>
        </w:tc>
        <w:tc>
          <w:tcPr>
            <w:tcW w:w="677" w:type="dxa"/>
            <w:vAlign w:val="center"/>
          </w:tcPr>
          <w:p w14:paraId="2E564F1D"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r>
      <w:tr w:rsidR="009D66FA" w:rsidRPr="00CE357F" w14:paraId="01F5FC1B" w14:textId="77777777" w:rsidTr="00BC1C0D">
        <w:trPr>
          <w:trHeight w:val="204"/>
        </w:trPr>
        <w:tc>
          <w:tcPr>
            <w:tcW w:w="1251" w:type="dxa"/>
            <w:shd w:val="clear" w:color="auto" w:fill="D9E2F3" w:themeFill="accent1" w:themeFillTint="33"/>
            <w:vAlign w:val="center"/>
          </w:tcPr>
          <w:p w14:paraId="08A9A7E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Kučerov</w:t>
            </w:r>
          </w:p>
        </w:tc>
        <w:tc>
          <w:tcPr>
            <w:tcW w:w="819" w:type="dxa"/>
            <w:vAlign w:val="bottom"/>
          </w:tcPr>
          <w:p w14:paraId="6F9A1337"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502</w:t>
            </w:r>
          </w:p>
        </w:tc>
        <w:tc>
          <w:tcPr>
            <w:tcW w:w="1332" w:type="dxa"/>
            <w:vAlign w:val="center"/>
          </w:tcPr>
          <w:p w14:paraId="04E012D4"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14</w:t>
            </w:r>
          </w:p>
        </w:tc>
        <w:tc>
          <w:tcPr>
            <w:tcW w:w="1756" w:type="dxa"/>
            <w:vAlign w:val="bottom"/>
          </w:tcPr>
          <w:p w14:paraId="233F0D95"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2,8</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44F8DA4E"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8</w:t>
            </w:r>
          </w:p>
        </w:tc>
        <w:tc>
          <w:tcPr>
            <w:tcW w:w="551" w:type="dxa"/>
            <w:vAlign w:val="center"/>
          </w:tcPr>
          <w:p w14:paraId="19DBBFA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7</w:t>
            </w:r>
          </w:p>
        </w:tc>
        <w:tc>
          <w:tcPr>
            <w:tcW w:w="540" w:type="dxa"/>
            <w:vAlign w:val="center"/>
          </w:tcPr>
          <w:p w14:paraId="1E531613"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c>
          <w:tcPr>
            <w:tcW w:w="717" w:type="dxa"/>
            <w:vAlign w:val="center"/>
          </w:tcPr>
          <w:p w14:paraId="74828C2C"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6</w:t>
            </w:r>
          </w:p>
        </w:tc>
        <w:tc>
          <w:tcPr>
            <w:tcW w:w="597" w:type="dxa"/>
            <w:vAlign w:val="center"/>
          </w:tcPr>
          <w:p w14:paraId="4F4879CE"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677" w:type="dxa"/>
            <w:vAlign w:val="center"/>
          </w:tcPr>
          <w:p w14:paraId="2A75BD9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r>
      <w:tr w:rsidR="009D66FA" w:rsidRPr="00CE357F" w14:paraId="10654964" w14:textId="77777777" w:rsidTr="00BC1C0D">
        <w:trPr>
          <w:trHeight w:val="204"/>
        </w:trPr>
        <w:tc>
          <w:tcPr>
            <w:tcW w:w="1251" w:type="dxa"/>
            <w:shd w:val="clear" w:color="auto" w:fill="D9E2F3" w:themeFill="accent1" w:themeFillTint="33"/>
            <w:vAlign w:val="center"/>
          </w:tcPr>
          <w:p w14:paraId="54D55387"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Medlovice</w:t>
            </w:r>
          </w:p>
        </w:tc>
        <w:tc>
          <w:tcPr>
            <w:tcW w:w="819" w:type="dxa"/>
            <w:vAlign w:val="bottom"/>
          </w:tcPr>
          <w:p w14:paraId="16F232F8"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391</w:t>
            </w:r>
          </w:p>
        </w:tc>
        <w:tc>
          <w:tcPr>
            <w:tcW w:w="1332" w:type="dxa"/>
            <w:vAlign w:val="center"/>
          </w:tcPr>
          <w:p w14:paraId="649A252A"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10</w:t>
            </w:r>
          </w:p>
        </w:tc>
        <w:tc>
          <w:tcPr>
            <w:tcW w:w="1756" w:type="dxa"/>
            <w:vAlign w:val="bottom"/>
          </w:tcPr>
          <w:p w14:paraId="0890AAA2"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2,6</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30EEAB52"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551" w:type="dxa"/>
            <w:vAlign w:val="center"/>
          </w:tcPr>
          <w:p w14:paraId="4F2F318B"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540" w:type="dxa"/>
            <w:vAlign w:val="center"/>
          </w:tcPr>
          <w:p w14:paraId="608C89A5"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0</w:t>
            </w:r>
          </w:p>
        </w:tc>
        <w:tc>
          <w:tcPr>
            <w:tcW w:w="717" w:type="dxa"/>
            <w:vAlign w:val="center"/>
          </w:tcPr>
          <w:p w14:paraId="0A896B37"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597" w:type="dxa"/>
            <w:vAlign w:val="center"/>
          </w:tcPr>
          <w:p w14:paraId="54E2E283"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677" w:type="dxa"/>
            <w:vAlign w:val="center"/>
          </w:tcPr>
          <w:p w14:paraId="1F18AB03"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0</w:t>
            </w:r>
          </w:p>
        </w:tc>
      </w:tr>
      <w:tr w:rsidR="009D66FA" w:rsidRPr="00CE357F" w14:paraId="32E4877D" w14:textId="77777777" w:rsidTr="00BC1C0D">
        <w:trPr>
          <w:trHeight w:val="204"/>
        </w:trPr>
        <w:tc>
          <w:tcPr>
            <w:tcW w:w="1251" w:type="dxa"/>
            <w:shd w:val="clear" w:color="auto" w:fill="D9E2F3" w:themeFill="accent1" w:themeFillTint="33"/>
            <w:vAlign w:val="center"/>
          </w:tcPr>
          <w:p w14:paraId="18BD36C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Luleč</w:t>
            </w:r>
          </w:p>
        </w:tc>
        <w:tc>
          <w:tcPr>
            <w:tcW w:w="819" w:type="dxa"/>
            <w:vAlign w:val="bottom"/>
          </w:tcPr>
          <w:p w14:paraId="2DEA5126"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997</w:t>
            </w:r>
          </w:p>
        </w:tc>
        <w:tc>
          <w:tcPr>
            <w:tcW w:w="1332" w:type="dxa"/>
            <w:vAlign w:val="center"/>
          </w:tcPr>
          <w:p w14:paraId="1137D9C7"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24</w:t>
            </w:r>
          </w:p>
        </w:tc>
        <w:tc>
          <w:tcPr>
            <w:tcW w:w="1756" w:type="dxa"/>
            <w:vAlign w:val="bottom"/>
          </w:tcPr>
          <w:p w14:paraId="26AA58E6"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2,4</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70212C78"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9</w:t>
            </w:r>
          </w:p>
        </w:tc>
        <w:tc>
          <w:tcPr>
            <w:tcW w:w="551" w:type="dxa"/>
            <w:vAlign w:val="center"/>
          </w:tcPr>
          <w:p w14:paraId="43B3EB48"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8</w:t>
            </w:r>
          </w:p>
        </w:tc>
        <w:tc>
          <w:tcPr>
            <w:tcW w:w="540" w:type="dxa"/>
            <w:vAlign w:val="center"/>
          </w:tcPr>
          <w:p w14:paraId="6856146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c>
          <w:tcPr>
            <w:tcW w:w="717" w:type="dxa"/>
            <w:vAlign w:val="center"/>
          </w:tcPr>
          <w:p w14:paraId="4958A44E"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15</w:t>
            </w:r>
          </w:p>
        </w:tc>
        <w:tc>
          <w:tcPr>
            <w:tcW w:w="597" w:type="dxa"/>
            <w:vAlign w:val="center"/>
          </w:tcPr>
          <w:p w14:paraId="68A420B8"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13</w:t>
            </w:r>
          </w:p>
        </w:tc>
        <w:tc>
          <w:tcPr>
            <w:tcW w:w="677" w:type="dxa"/>
            <w:vAlign w:val="center"/>
          </w:tcPr>
          <w:p w14:paraId="7B88319E"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w:t>
            </w:r>
          </w:p>
        </w:tc>
      </w:tr>
      <w:tr w:rsidR="009D66FA" w:rsidRPr="00CE357F" w14:paraId="2F155530" w14:textId="77777777" w:rsidTr="00BC1C0D">
        <w:trPr>
          <w:trHeight w:val="204"/>
        </w:trPr>
        <w:tc>
          <w:tcPr>
            <w:tcW w:w="1251" w:type="dxa"/>
            <w:shd w:val="clear" w:color="auto" w:fill="D9E2F3" w:themeFill="accent1" w:themeFillTint="33"/>
            <w:vAlign w:val="center"/>
          </w:tcPr>
          <w:p w14:paraId="042EA174"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Drnovice</w:t>
            </w:r>
          </w:p>
        </w:tc>
        <w:tc>
          <w:tcPr>
            <w:tcW w:w="819" w:type="dxa"/>
            <w:vAlign w:val="bottom"/>
          </w:tcPr>
          <w:p w14:paraId="0BF486DB"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2424</w:t>
            </w:r>
          </w:p>
        </w:tc>
        <w:tc>
          <w:tcPr>
            <w:tcW w:w="1332" w:type="dxa"/>
            <w:vAlign w:val="center"/>
          </w:tcPr>
          <w:p w14:paraId="3EE63D60"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56</w:t>
            </w:r>
          </w:p>
        </w:tc>
        <w:tc>
          <w:tcPr>
            <w:tcW w:w="1756" w:type="dxa"/>
            <w:vAlign w:val="bottom"/>
          </w:tcPr>
          <w:p w14:paraId="21CD6019"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2,3%</w:t>
            </w:r>
          </w:p>
        </w:tc>
        <w:tc>
          <w:tcPr>
            <w:tcW w:w="717" w:type="dxa"/>
            <w:vAlign w:val="center"/>
          </w:tcPr>
          <w:p w14:paraId="5EEC58DA"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34</w:t>
            </w:r>
          </w:p>
        </w:tc>
        <w:tc>
          <w:tcPr>
            <w:tcW w:w="551" w:type="dxa"/>
            <w:vAlign w:val="center"/>
          </w:tcPr>
          <w:p w14:paraId="2C197EC2"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29</w:t>
            </w:r>
          </w:p>
        </w:tc>
        <w:tc>
          <w:tcPr>
            <w:tcW w:w="540" w:type="dxa"/>
            <w:vAlign w:val="center"/>
          </w:tcPr>
          <w:p w14:paraId="6920B0F7"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717" w:type="dxa"/>
            <w:vAlign w:val="center"/>
          </w:tcPr>
          <w:p w14:paraId="2631E16D"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22</w:t>
            </w:r>
          </w:p>
        </w:tc>
        <w:tc>
          <w:tcPr>
            <w:tcW w:w="597" w:type="dxa"/>
            <w:vAlign w:val="center"/>
          </w:tcPr>
          <w:p w14:paraId="62A1E97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17</w:t>
            </w:r>
          </w:p>
        </w:tc>
        <w:tc>
          <w:tcPr>
            <w:tcW w:w="677" w:type="dxa"/>
            <w:vAlign w:val="center"/>
          </w:tcPr>
          <w:p w14:paraId="78855B87"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r>
      <w:tr w:rsidR="009D66FA" w:rsidRPr="00CE357F" w14:paraId="64CB84C8" w14:textId="77777777" w:rsidTr="00BC1C0D">
        <w:trPr>
          <w:trHeight w:val="204"/>
        </w:trPr>
        <w:tc>
          <w:tcPr>
            <w:tcW w:w="1251" w:type="dxa"/>
            <w:shd w:val="clear" w:color="auto" w:fill="D9E2F3" w:themeFill="accent1" w:themeFillTint="33"/>
            <w:vAlign w:val="center"/>
          </w:tcPr>
          <w:p w14:paraId="6071D1C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Bohdalice-Pavlovice</w:t>
            </w:r>
          </w:p>
        </w:tc>
        <w:tc>
          <w:tcPr>
            <w:tcW w:w="819" w:type="dxa"/>
            <w:vAlign w:val="bottom"/>
          </w:tcPr>
          <w:p w14:paraId="09889F40"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940</w:t>
            </w:r>
          </w:p>
        </w:tc>
        <w:tc>
          <w:tcPr>
            <w:tcW w:w="1332" w:type="dxa"/>
            <w:vAlign w:val="center"/>
          </w:tcPr>
          <w:p w14:paraId="59520E53"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20</w:t>
            </w:r>
          </w:p>
        </w:tc>
        <w:tc>
          <w:tcPr>
            <w:tcW w:w="1756" w:type="dxa"/>
            <w:vAlign w:val="bottom"/>
          </w:tcPr>
          <w:p w14:paraId="3BFC6935"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2,1</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5D5CF509"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9</w:t>
            </w:r>
          </w:p>
        </w:tc>
        <w:tc>
          <w:tcPr>
            <w:tcW w:w="551" w:type="dxa"/>
            <w:vAlign w:val="center"/>
          </w:tcPr>
          <w:p w14:paraId="523151DB"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7</w:t>
            </w:r>
          </w:p>
        </w:tc>
        <w:tc>
          <w:tcPr>
            <w:tcW w:w="540" w:type="dxa"/>
            <w:vAlign w:val="center"/>
          </w:tcPr>
          <w:p w14:paraId="491E148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w:t>
            </w:r>
          </w:p>
        </w:tc>
        <w:tc>
          <w:tcPr>
            <w:tcW w:w="717" w:type="dxa"/>
            <w:vAlign w:val="center"/>
          </w:tcPr>
          <w:p w14:paraId="22055974"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11</w:t>
            </w:r>
          </w:p>
        </w:tc>
        <w:tc>
          <w:tcPr>
            <w:tcW w:w="597" w:type="dxa"/>
            <w:vAlign w:val="center"/>
          </w:tcPr>
          <w:p w14:paraId="424580A5"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10</w:t>
            </w:r>
          </w:p>
        </w:tc>
        <w:tc>
          <w:tcPr>
            <w:tcW w:w="677" w:type="dxa"/>
            <w:vAlign w:val="center"/>
          </w:tcPr>
          <w:p w14:paraId="7F651B0C"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r>
      <w:tr w:rsidR="009D66FA" w:rsidRPr="00CE357F" w14:paraId="0EAB9352" w14:textId="77777777" w:rsidTr="00BC1C0D">
        <w:trPr>
          <w:trHeight w:val="204"/>
        </w:trPr>
        <w:tc>
          <w:tcPr>
            <w:tcW w:w="1251" w:type="dxa"/>
            <w:shd w:val="clear" w:color="auto" w:fill="D9E2F3" w:themeFill="accent1" w:themeFillTint="33"/>
            <w:vAlign w:val="center"/>
          </w:tcPr>
          <w:p w14:paraId="6EB1DC5F"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Moravské Málkovice</w:t>
            </w:r>
          </w:p>
        </w:tc>
        <w:tc>
          <w:tcPr>
            <w:tcW w:w="819" w:type="dxa"/>
            <w:vAlign w:val="bottom"/>
          </w:tcPr>
          <w:p w14:paraId="3860220C"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587</w:t>
            </w:r>
          </w:p>
        </w:tc>
        <w:tc>
          <w:tcPr>
            <w:tcW w:w="1332" w:type="dxa"/>
            <w:vAlign w:val="center"/>
          </w:tcPr>
          <w:p w14:paraId="5B06F1D0"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12</w:t>
            </w:r>
          </w:p>
        </w:tc>
        <w:tc>
          <w:tcPr>
            <w:tcW w:w="1756" w:type="dxa"/>
            <w:vAlign w:val="bottom"/>
          </w:tcPr>
          <w:p w14:paraId="34778F08"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2,0</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69B6F0E8"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7</w:t>
            </w:r>
          </w:p>
        </w:tc>
        <w:tc>
          <w:tcPr>
            <w:tcW w:w="551" w:type="dxa"/>
            <w:vAlign w:val="center"/>
          </w:tcPr>
          <w:p w14:paraId="2A44EDAB"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540" w:type="dxa"/>
            <w:vAlign w:val="center"/>
          </w:tcPr>
          <w:p w14:paraId="315E767D"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w:t>
            </w:r>
          </w:p>
        </w:tc>
        <w:tc>
          <w:tcPr>
            <w:tcW w:w="717" w:type="dxa"/>
            <w:vAlign w:val="center"/>
          </w:tcPr>
          <w:p w14:paraId="0FF46A3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597" w:type="dxa"/>
            <w:vAlign w:val="center"/>
          </w:tcPr>
          <w:p w14:paraId="2E9A5F92"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4</w:t>
            </w:r>
          </w:p>
        </w:tc>
        <w:tc>
          <w:tcPr>
            <w:tcW w:w="677" w:type="dxa"/>
            <w:vAlign w:val="center"/>
          </w:tcPr>
          <w:p w14:paraId="73513D5A"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r>
      <w:tr w:rsidR="009D66FA" w:rsidRPr="00CE357F" w14:paraId="4928A4FE" w14:textId="77777777" w:rsidTr="00BC1C0D">
        <w:trPr>
          <w:trHeight w:val="204"/>
        </w:trPr>
        <w:tc>
          <w:tcPr>
            <w:tcW w:w="1251" w:type="dxa"/>
            <w:shd w:val="clear" w:color="auto" w:fill="D9E2F3" w:themeFill="accent1" w:themeFillTint="33"/>
            <w:vAlign w:val="center"/>
          </w:tcPr>
          <w:p w14:paraId="673F5A5F"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Habrovany</w:t>
            </w:r>
          </w:p>
        </w:tc>
        <w:tc>
          <w:tcPr>
            <w:tcW w:w="819" w:type="dxa"/>
            <w:vAlign w:val="bottom"/>
          </w:tcPr>
          <w:p w14:paraId="047AE773"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921</w:t>
            </w:r>
          </w:p>
        </w:tc>
        <w:tc>
          <w:tcPr>
            <w:tcW w:w="1332" w:type="dxa"/>
            <w:vAlign w:val="center"/>
          </w:tcPr>
          <w:p w14:paraId="7A0DE0B2"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14</w:t>
            </w:r>
          </w:p>
        </w:tc>
        <w:tc>
          <w:tcPr>
            <w:tcW w:w="1756" w:type="dxa"/>
            <w:vAlign w:val="bottom"/>
          </w:tcPr>
          <w:p w14:paraId="0171F62B"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1,5</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0BFD7982"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10</w:t>
            </w:r>
          </w:p>
        </w:tc>
        <w:tc>
          <w:tcPr>
            <w:tcW w:w="551" w:type="dxa"/>
            <w:vAlign w:val="center"/>
          </w:tcPr>
          <w:p w14:paraId="162B385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10</w:t>
            </w:r>
          </w:p>
        </w:tc>
        <w:tc>
          <w:tcPr>
            <w:tcW w:w="540" w:type="dxa"/>
            <w:vAlign w:val="center"/>
          </w:tcPr>
          <w:p w14:paraId="131C0A0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0</w:t>
            </w:r>
          </w:p>
        </w:tc>
        <w:tc>
          <w:tcPr>
            <w:tcW w:w="717" w:type="dxa"/>
            <w:vAlign w:val="center"/>
          </w:tcPr>
          <w:p w14:paraId="35B87549"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4</w:t>
            </w:r>
          </w:p>
        </w:tc>
        <w:tc>
          <w:tcPr>
            <w:tcW w:w="597" w:type="dxa"/>
            <w:vAlign w:val="center"/>
          </w:tcPr>
          <w:p w14:paraId="00783419"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4</w:t>
            </w:r>
          </w:p>
        </w:tc>
        <w:tc>
          <w:tcPr>
            <w:tcW w:w="677" w:type="dxa"/>
            <w:vAlign w:val="center"/>
          </w:tcPr>
          <w:p w14:paraId="1E73524A"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0</w:t>
            </w:r>
          </w:p>
        </w:tc>
      </w:tr>
      <w:tr w:rsidR="009D66FA" w:rsidRPr="00CE357F" w14:paraId="138D5570" w14:textId="77777777" w:rsidTr="00BC1C0D">
        <w:trPr>
          <w:trHeight w:val="204"/>
        </w:trPr>
        <w:tc>
          <w:tcPr>
            <w:tcW w:w="1251" w:type="dxa"/>
            <w:shd w:val="clear" w:color="auto" w:fill="D9E2F3" w:themeFill="accent1" w:themeFillTint="33"/>
            <w:vAlign w:val="center"/>
          </w:tcPr>
          <w:p w14:paraId="374E8DE3"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Švábenice</w:t>
            </w:r>
          </w:p>
        </w:tc>
        <w:tc>
          <w:tcPr>
            <w:tcW w:w="819" w:type="dxa"/>
            <w:vAlign w:val="bottom"/>
          </w:tcPr>
          <w:p w14:paraId="5BA604F2"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w:t>
            </w:r>
            <w:r>
              <w:rPr>
                <w:rFonts w:ascii="Arial Narrow" w:hAnsi="Arial Narrow"/>
                <w:color w:val="000000"/>
                <w:sz w:val="18"/>
                <w:szCs w:val="18"/>
              </w:rPr>
              <w:t xml:space="preserve"> </w:t>
            </w:r>
            <w:r w:rsidRPr="00E34787">
              <w:rPr>
                <w:rFonts w:ascii="Arial Narrow" w:hAnsi="Arial Narrow"/>
                <w:color w:val="000000"/>
                <w:sz w:val="18"/>
                <w:szCs w:val="18"/>
              </w:rPr>
              <w:t>043</w:t>
            </w:r>
          </w:p>
        </w:tc>
        <w:tc>
          <w:tcPr>
            <w:tcW w:w="1332" w:type="dxa"/>
            <w:vAlign w:val="center"/>
          </w:tcPr>
          <w:p w14:paraId="0B189CB2"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14</w:t>
            </w:r>
          </w:p>
        </w:tc>
        <w:tc>
          <w:tcPr>
            <w:tcW w:w="1756" w:type="dxa"/>
            <w:vAlign w:val="bottom"/>
          </w:tcPr>
          <w:p w14:paraId="4A4017E7"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1,3</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17E1DE73"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7</w:t>
            </w:r>
          </w:p>
        </w:tc>
        <w:tc>
          <w:tcPr>
            <w:tcW w:w="551" w:type="dxa"/>
            <w:vAlign w:val="center"/>
          </w:tcPr>
          <w:p w14:paraId="4F1F99F9"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540" w:type="dxa"/>
            <w:vAlign w:val="center"/>
          </w:tcPr>
          <w:p w14:paraId="0A62C824"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w:t>
            </w:r>
          </w:p>
        </w:tc>
        <w:tc>
          <w:tcPr>
            <w:tcW w:w="717" w:type="dxa"/>
            <w:vAlign w:val="center"/>
          </w:tcPr>
          <w:p w14:paraId="0AA4C906"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7</w:t>
            </w:r>
          </w:p>
        </w:tc>
        <w:tc>
          <w:tcPr>
            <w:tcW w:w="597" w:type="dxa"/>
            <w:vAlign w:val="center"/>
          </w:tcPr>
          <w:p w14:paraId="6EC0AAA4"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677" w:type="dxa"/>
            <w:vAlign w:val="center"/>
          </w:tcPr>
          <w:p w14:paraId="705F5002"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2</w:t>
            </w:r>
          </w:p>
        </w:tc>
      </w:tr>
      <w:tr w:rsidR="009D66FA" w:rsidRPr="00CE357F" w14:paraId="56A62A41" w14:textId="77777777" w:rsidTr="00BC1C0D">
        <w:trPr>
          <w:trHeight w:val="204"/>
        </w:trPr>
        <w:tc>
          <w:tcPr>
            <w:tcW w:w="1251" w:type="dxa"/>
            <w:shd w:val="clear" w:color="auto" w:fill="D9E2F3" w:themeFill="accent1" w:themeFillTint="33"/>
            <w:vAlign w:val="center"/>
          </w:tcPr>
          <w:p w14:paraId="30137524"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Račice-</w:t>
            </w:r>
            <w:proofErr w:type="spellStart"/>
            <w:r w:rsidRPr="00E715BA">
              <w:rPr>
                <w:rFonts w:ascii="Arial Narrow" w:hAnsi="Arial Narrow"/>
                <w:color w:val="000000"/>
                <w:sz w:val="18"/>
                <w:szCs w:val="18"/>
              </w:rPr>
              <w:t>Pístovice</w:t>
            </w:r>
            <w:proofErr w:type="spellEnd"/>
          </w:p>
        </w:tc>
        <w:tc>
          <w:tcPr>
            <w:tcW w:w="819" w:type="dxa"/>
            <w:vAlign w:val="bottom"/>
          </w:tcPr>
          <w:p w14:paraId="7581BC8B"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w:t>
            </w:r>
            <w:r>
              <w:rPr>
                <w:rFonts w:ascii="Arial Narrow" w:hAnsi="Arial Narrow"/>
                <w:color w:val="000000"/>
                <w:sz w:val="18"/>
                <w:szCs w:val="18"/>
              </w:rPr>
              <w:t xml:space="preserve"> </w:t>
            </w:r>
            <w:r w:rsidRPr="00E34787">
              <w:rPr>
                <w:rFonts w:ascii="Arial Narrow" w:hAnsi="Arial Narrow"/>
                <w:color w:val="000000"/>
                <w:sz w:val="18"/>
                <w:szCs w:val="18"/>
              </w:rPr>
              <w:t>249</w:t>
            </w:r>
          </w:p>
        </w:tc>
        <w:tc>
          <w:tcPr>
            <w:tcW w:w="1332" w:type="dxa"/>
            <w:vAlign w:val="center"/>
          </w:tcPr>
          <w:p w14:paraId="0D2B11DE"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12</w:t>
            </w:r>
          </w:p>
        </w:tc>
        <w:tc>
          <w:tcPr>
            <w:tcW w:w="1756" w:type="dxa"/>
            <w:vAlign w:val="bottom"/>
          </w:tcPr>
          <w:p w14:paraId="48591E61"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1,0</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1DEF59F0"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6</w:t>
            </w:r>
          </w:p>
        </w:tc>
        <w:tc>
          <w:tcPr>
            <w:tcW w:w="551" w:type="dxa"/>
            <w:vAlign w:val="center"/>
          </w:tcPr>
          <w:p w14:paraId="025A18D8"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540" w:type="dxa"/>
            <w:vAlign w:val="center"/>
          </w:tcPr>
          <w:p w14:paraId="5577C2FA"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c>
          <w:tcPr>
            <w:tcW w:w="717" w:type="dxa"/>
            <w:vAlign w:val="center"/>
          </w:tcPr>
          <w:p w14:paraId="6E7FC69D"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6</w:t>
            </w:r>
          </w:p>
        </w:tc>
        <w:tc>
          <w:tcPr>
            <w:tcW w:w="597" w:type="dxa"/>
            <w:vAlign w:val="center"/>
          </w:tcPr>
          <w:p w14:paraId="36F3650E"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6</w:t>
            </w:r>
          </w:p>
        </w:tc>
        <w:tc>
          <w:tcPr>
            <w:tcW w:w="677" w:type="dxa"/>
            <w:vAlign w:val="center"/>
          </w:tcPr>
          <w:p w14:paraId="327892D8"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0</w:t>
            </w:r>
          </w:p>
        </w:tc>
      </w:tr>
      <w:tr w:rsidR="009D66FA" w:rsidRPr="00CE357F" w14:paraId="77F0F2B4" w14:textId="77777777" w:rsidTr="00BC1C0D">
        <w:trPr>
          <w:trHeight w:val="204"/>
        </w:trPr>
        <w:tc>
          <w:tcPr>
            <w:tcW w:w="1251" w:type="dxa"/>
            <w:shd w:val="clear" w:color="auto" w:fill="D9E2F3" w:themeFill="accent1" w:themeFillTint="33"/>
            <w:vAlign w:val="center"/>
          </w:tcPr>
          <w:p w14:paraId="3FAFEBE3"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Dražovice</w:t>
            </w:r>
          </w:p>
        </w:tc>
        <w:tc>
          <w:tcPr>
            <w:tcW w:w="819" w:type="dxa"/>
            <w:vAlign w:val="bottom"/>
          </w:tcPr>
          <w:p w14:paraId="5AF928FF" w14:textId="77777777" w:rsidR="009D66FA" w:rsidRPr="00E715BA"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w:t>
            </w:r>
            <w:r>
              <w:rPr>
                <w:rFonts w:ascii="Arial Narrow" w:hAnsi="Arial Narrow"/>
                <w:color w:val="000000"/>
                <w:sz w:val="18"/>
                <w:szCs w:val="18"/>
              </w:rPr>
              <w:t xml:space="preserve"> </w:t>
            </w:r>
            <w:r w:rsidRPr="00E34787">
              <w:rPr>
                <w:rFonts w:ascii="Arial Narrow" w:hAnsi="Arial Narrow"/>
                <w:color w:val="000000"/>
                <w:sz w:val="18"/>
                <w:szCs w:val="18"/>
              </w:rPr>
              <w:t>999</w:t>
            </w:r>
          </w:p>
        </w:tc>
        <w:tc>
          <w:tcPr>
            <w:tcW w:w="1332" w:type="dxa"/>
            <w:vAlign w:val="center"/>
          </w:tcPr>
          <w:p w14:paraId="23A6AE0F"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15</w:t>
            </w:r>
          </w:p>
        </w:tc>
        <w:tc>
          <w:tcPr>
            <w:tcW w:w="1756" w:type="dxa"/>
            <w:vAlign w:val="bottom"/>
          </w:tcPr>
          <w:p w14:paraId="4C702CBF" w14:textId="77777777" w:rsidR="009D66FA" w:rsidRPr="00E34787" w:rsidRDefault="009D66FA" w:rsidP="00BC1C0D">
            <w:pPr>
              <w:jc w:val="center"/>
              <w:rPr>
                <w:rFonts w:ascii="Arial Narrow" w:hAnsi="Arial Narrow"/>
                <w:color w:val="000000"/>
                <w:sz w:val="18"/>
                <w:szCs w:val="18"/>
              </w:rPr>
            </w:pPr>
            <w:r w:rsidRPr="00E34787">
              <w:rPr>
                <w:rFonts w:ascii="Arial Narrow" w:hAnsi="Arial Narrow"/>
                <w:color w:val="000000"/>
                <w:sz w:val="18"/>
                <w:szCs w:val="18"/>
              </w:rPr>
              <w:t>0,8</w:t>
            </w:r>
            <w:r>
              <w:rPr>
                <w:rFonts w:ascii="Arial Narrow" w:hAnsi="Arial Narrow"/>
                <w:color w:val="000000"/>
                <w:sz w:val="18"/>
                <w:szCs w:val="18"/>
              </w:rPr>
              <w:t xml:space="preserve"> </w:t>
            </w:r>
            <w:r w:rsidRPr="00E34787">
              <w:rPr>
                <w:rFonts w:ascii="Arial Narrow" w:hAnsi="Arial Narrow"/>
                <w:color w:val="000000"/>
                <w:sz w:val="18"/>
                <w:szCs w:val="18"/>
              </w:rPr>
              <w:t>%</w:t>
            </w:r>
          </w:p>
        </w:tc>
        <w:tc>
          <w:tcPr>
            <w:tcW w:w="717" w:type="dxa"/>
            <w:vAlign w:val="center"/>
          </w:tcPr>
          <w:p w14:paraId="0671772D"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9</w:t>
            </w:r>
          </w:p>
        </w:tc>
        <w:tc>
          <w:tcPr>
            <w:tcW w:w="551" w:type="dxa"/>
            <w:vAlign w:val="center"/>
          </w:tcPr>
          <w:p w14:paraId="49F5C06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8</w:t>
            </w:r>
          </w:p>
        </w:tc>
        <w:tc>
          <w:tcPr>
            <w:tcW w:w="540" w:type="dxa"/>
            <w:vAlign w:val="center"/>
          </w:tcPr>
          <w:p w14:paraId="73E22A9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c>
          <w:tcPr>
            <w:tcW w:w="717" w:type="dxa"/>
            <w:vAlign w:val="center"/>
          </w:tcPr>
          <w:p w14:paraId="4687FB01"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6</w:t>
            </w:r>
          </w:p>
        </w:tc>
        <w:tc>
          <w:tcPr>
            <w:tcW w:w="597" w:type="dxa"/>
            <w:vAlign w:val="center"/>
          </w:tcPr>
          <w:p w14:paraId="69B538CA"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5</w:t>
            </w:r>
          </w:p>
        </w:tc>
        <w:tc>
          <w:tcPr>
            <w:tcW w:w="677" w:type="dxa"/>
            <w:vAlign w:val="center"/>
          </w:tcPr>
          <w:p w14:paraId="68509F02" w14:textId="77777777" w:rsidR="009D66FA" w:rsidRPr="00E715BA" w:rsidRDefault="009D66FA" w:rsidP="00BC1C0D">
            <w:pPr>
              <w:jc w:val="center"/>
              <w:rPr>
                <w:rFonts w:ascii="Arial Narrow" w:hAnsi="Arial Narrow"/>
                <w:color w:val="000000"/>
                <w:sz w:val="18"/>
                <w:szCs w:val="18"/>
              </w:rPr>
            </w:pPr>
            <w:r w:rsidRPr="00E715BA">
              <w:rPr>
                <w:rFonts w:ascii="Arial Narrow" w:hAnsi="Arial Narrow"/>
                <w:color w:val="000000"/>
                <w:sz w:val="18"/>
                <w:szCs w:val="18"/>
              </w:rPr>
              <w:t>1</w:t>
            </w:r>
          </w:p>
        </w:tc>
      </w:tr>
    </w:tbl>
    <w:p w14:paraId="2DF49ACF" w14:textId="0FB08204" w:rsidR="00B4465C" w:rsidRPr="00CE357F" w:rsidRDefault="00B4465C" w:rsidP="00E1313E">
      <w:pPr>
        <w:spacing w:after="240"/>
        <w:rPr>
          <w:rFonts w:ascii="Arial Narrow" w:hAnsi="Arial Narrow"/>
          <w:b/>
          <w:bCs/>
          <w:sz w:val="28"/>
          <w:szCs w:val="28"/>
        </w:rPr>
      </w:pPr>
      <w:r w:rsidRPr="00CE357F">
        <w:rPr>
          <w:rFonts w:ascii="Arial Narrow" w:hAnsi="Arial Narrow"/>
          <w:color w:val="000000"/>
          <w:sz w:val="20"/>
          <w:szCs w:val="20"/>
          <w:lang w:eastAsia="cs-CZ"/>
        </w:rPr>
        <w:t xml:space="preserve">Zdroj: </w:t>
      </w:r>
      <w:r w:rsidRPr="00CE357F">
        <w:rPr>
          <w:rFonts w:ascii="Arial Narrow" w:hAnsi="Arial Narrow"/>
          <w:sz w:val="20"/>
          <w:szCs w:val="20"/>
        </w:rPr>
        <w:t>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51A6D3D6" w14:textId="73B68546" w:rsidR="00B4465C" w:rsidRPr="00CE357F" w:rsidRDefault="00B4465C" w:rsidP="00B4465C">
      <w:pPr>
        <w:spacing w:line="276" w:lineRule="auto"/>
        <w:jc w:val="both"/>
        <w:rPr>
          <w:rFonts w:ascii="Arial Narrow" w:hAnsi="Arial Narrow"/>
          <w:b/>
          <w:bCs/>
          <w:sz w:val="20"/>
          <w:szCs w:val="20"/>
        </w:rPr>
      </w:pPr>
      <w:bookmarkStart w:id="849" w:name="_Toc136428979"/>
      <w:r w:rsidRPr="00CE357F">
        <w:rPr>
          <w:rFonts w:ascii="Arial Narrow" w:hAnsi="Arial Narrow"/>
          <w:b/>
          <w:sz w:val="20"/>
          <w:szCs w:val="20"/>
        </w:rPr>
        <w:lastRenderedPageBreak/>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135</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 xml:space="preserve">Podíl osob s jinou než českou státní příslušností na celkovém počtu obyvatel </w:t>
      </w:r>
      <w:r w:rsidR="0066028D">
        <w:rPr>
          <w:rFonts w:ascii="Arial Narrow" w:hAnsi="Arial Narrow"/>
          <w:b/>
          <w:bCs/>
          <w:sz w:val="20"/>
          <w:szCs w:val="20"/>
        </w:rPr>
        <w:t xml:space="preserve">vybraných obcí </w:t>
      </w:r>
      <w:r w:rsidRPr="00CE357F">
        <w:rPr>
          <w:rFonts w:ascii="Arial Narrow" w:hAnsi="Arial Narrow"/>
          <w:b/>
          <w:bCs/>
          <w:sz w:val="20"/>
          <w:szCs w:val="20"/>
        </w:rPr>
        <w:t>k 1. 1. 202</w:t>
      </w:r>
      <w:r>
        <w:rPr>
          <w:rFonts w:ascii="Arial Narrow" w:hAnsi="Arial Narrow"/>
          <w:b/>
          <w:bCs/>
          <w:sz w:val="20"/>
          <w:szCs w:val="20"/>
        </w:rPr>
        <w:t>3 v ORP Vyškov</w:t>
      </w:r>
      <w:bookmarkEnd w:id="849"/>
    </w:p>
    <w:p w14:paraId="08199C67" w14:textId="7D0056E0" w:rsidR="00B4465C" w:rsidRPr="00CE357F" w:rsidRDefault="009D66FA" w:rsidP="00B4465C">
      <w:pPr>
        <w:rPr>
          <w:rFonts w:ascii="Arial Narrow" w:hAnsi="Arial Narrow"/>
        </w:rPr>
      </w:pPr>
      <w:r w:rsidRPr="00CE357F">
        <w:rPr>
          <w:rFonts w:ascii="Arial Narrow" w:hAnsi="Arial Narrow"/>
          <w:b/>
          <w:noProof/>
          <w:color w:val="2F5496" w:themeColor="accent1" w:themeShade="BF"/>
          <w:lang w:eastAsia="cs-CZ"/>
        </w:rPr>
        <w:drawing>
          <wp:inline distT="0" distB="0" distL="0" distR="0" wp14:anchorId="1111C098" wp14:editId="2B6A7EA9">
            <wp:extent cx="5760720" cy="4993286"/>
            <wp:effectExtent l="0" t="0" r="11430" b="17145"/>
            <wp:docPr id="2162" name="Graf 2162">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991BEDC" w14:textId="77777777" w:rsidR="00B4465C" w:rsidRPr="00171B4D" w:rsidRDefault="00B4465C" w:rsidP="00B4465C">
      <w:pPr>
        <w:rPr>
          <w:rFonts w:ascii="Arial Narrow" w:hAnsi="Arial Narrow"/>
          <w:b/>
          <w:bCs/>
          <w:sz w:val="28"/>
          <w:szCs w:val="28"/>
        </w:rPr>
      </w:pPr>
      <w:r w:rsidRPr="00CE357F">
        <w:rPr>
          <w:rFonts w:ascii="Arial Narrow" w:hAnsi="Arial Narrow"/>
          <w:color w:val="000000"/>
          <w:sz w:val="20"/>
          <w:szCs w:val="20"/>
          <w:lang w:eastAsia="cs-CZ"/>
        </w:rPr>
        <w:t>Zdroj: Ministerstvo Vnitra České republiky</w:t>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r>
      <w:r w:rsidRPr="00CE357F">
        <w:rPr>
          <w:rFonts w:ascii="Arial Narrow" w:hAnsi="Arial Narrow"/>
          <w:color w:val="000000"/>
          <w:sz w:val="20"/>
          <w:szCs w:val="20"/>
          <w:lang w:eastAsia="cs-CZ"/>
        </w:rPr>
        <w:tab/>
        <w:t xml:space="preserve">                  </w:t>
      </w:r>
      <w:r w:rsidRPr="00CE357F">
        <w:rPr>
          <w:rFonts w:ascii="Arial Narrow" w:hAnsi="Arial Narrow"/>
          <w:sz w:val="20"/>
          <w:szCs w:val="20"/>
        </w:rPr>
        <w:t xml:space="preserve">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xml:space="preserve"> s.r.o.</w:t>
      </w:r>
    </w:p>
    <w:p w14:paraId="4753D48A" w14:textId="77777777" w:rsidR="00B4465C" w:rsidRPr="00CE357F" w:rsidRDefault="00B4465C" w:rsidP="00B4465C">
      <w:pPr>
        <w:spacing w:line="276" w:lineRule="auto"/>
        <w:rPr>
          <w:rFonts w:ascii="Arial Narrow" w:hAnsi="Arial Narrow"/>
          <w:b/>
          <w:bCs/>
          <w:color w:val="C00000"/>
        </w:rPr>
      </w:pPr>
    </w:p>
    <w:p w14:paraId="760D8B12" w14:textId="77777777" w:rsidR="00B4465C" w:rsidRPr="00CE357F" w:rsidRDefault="00B4465C" w:rsidP="00B4465C">
      <w:pPr>
        <w:spacing w:after="240" w:line="276" w:lineRule="auto"/>
        <w:jc w:val="both"/>
        <w:rPr>
          <w:rFonts w:ascii="Arial Narrow" w:hAnsi="Arial Narrow"/>
          <w:b/>
          <w:bCs/>
          <w:color w:val="C00000"/>
        </w:rPr>
      </w:pPr>
      <w:r w:rsidRPr="00CE357F">
        <w:rPr>
          <w:rFonts w:ascii="Arial Narrow" w:hAnsi="Arial Narrow"/>
          <w:b/>
          <w:bCs/>
          <w:color w:val="C00000"/>
        </w:rPr>
        <w:t xml:space="preserve">Vývoj podílu osob s jinou než českou státní příslušností ve vybraných obcích ORP </w:t>
      </w:r>
      <w:r>
        <w:rPr>
          <w:rFonts w:ascii="Arial Narrow" w:hAnsi="Arial Narrow"/>
          <w:b/>
          <w:bCs/>
          <w:color w:val="C00000"/>
        </w:rPr>
        <w:t>Vyškov</w:t>
      </w:r>
      <w:r w:rsidRPr="00CE357F">
        <w:rPr>
          <w:rFonts w:ascii="Arial Narrow" w:hAnsi="Arial Narrow"/>
          <w:b/>
          <w:bCs/>
          <w:color w:val="C00000"/>
        </w:rPr>
        <w:t xml:space="preserve"> mezi lety 2006–</w:t>
      </w:r>
      <w:r>
        <w:rPr>
          <w:rFonts w:ascii="Arial Narrow" w:hAnsi="Arial Narrow"/>
          <w:b/>
          <w:bCs/>
          <w:color w:val="C00000"/>
        </w:rPr>
        <w:t>2023</w:t>
      </w:r>
    </w:p>
    <w:p w14:paraId="009D22AF" w14:textId="486DD28B" w:rsidR="00B4465C" w:rsidRPr="00CE357F" w:rsidRDefault="00B4465C" w:rsidP="00B4465C">
      <w:pPr>
        <w:spacing w:after="120" w:line="276" w:lineRule="auto"/>
        <w:jc w:val="both"/>
        <w:rPr>
          <w:rFonts w:ascii="Arial Narrow" w:hAnsi="Arial Narrow"/>
          <w:color w:val="000000"/>
        </w:rPr>
      </w:pPr>
      <w:r w:rsidRPr="00CE357F">
        <w:rPr>
          <w:rFonts w:ascii="Arial Narrow" w:hAnsi="Arial Narrow"/>
          <w:color w:val="000000"/>
        </w:rPr>
        <w:t xml:space="preserve">Podíváme-li se na obce s nejvyšším podílem osob s jinou než českou státní příslušností na celkovém </w:t>
      </w:r>
      <w:r>
        <w:rPr>
          <w:rFonts w:ascii="Arial Narrow" w:hAnsi="Arial Narrow"/>
          <w:color w:val="000000"/>
        </w:rPr>
        <w:t>počtu obyvatel obce k 1. 1. 2023, tedy na obce Rostěnice-Zvonovice</w:t>
      </w:r>
      <w:r w:rsidRPr="00CE357F">
        <w:rPr>
          <w:rFonts w:ascii="Arial Narrow" w:hAnsi="Arial Narrow"/>
          <w:color w:val="000000"/>
        </w:rPr>
        <w:t xml:space="preserve"> a Rousínov z hlediska vývoje podílu osob s jinou než českou státní</w:t>
      </w:r>
      <w:r>
        <w:rPr>
          <w:rFonts w:ascii="Arial Narrow" w:hAnsi="Arial Narrow"/>
          <w:color w:val="000000"/>
        </w:rPr>
        <w:t xml:space="preserve"> příslušností v letech 2006-2023, v obci Rostěnice-Zvonovice mezi lety 2006 a 2010</w:t>
      </w:r>
      <w:r w:rsidRPr="00CE357F">
        <w:rPr>
          <w:rFonts w:ascii="Arial Narrow" w:hAnsi="Arial Narrow"/>
          <w:color w:val="000000"/>
        </w:rPr>
        <w:t xml:space="preserve"> žilo méně než 10 osob s jinou než českou státní příslušností, tato obec proto nebyla zahrnuta do výpočtu podílu osob s jinou než českou státní příslušností na celkovém počtu obyvatel. V posledních třech letech se podíl osob s jinou než českou státní příslušností na celkovém počtu </w:t>
      </w:r>
      <w:r>
        <w:rPr>
          <w:rFonts w:ascii="Arial Narrow" w:hAnsi="Arial Narrow"/>
          <w:color w:val="000000"/>
        </w:rPr>
        <w:t xml:space="preserve">obyvatel </w:t>
      </w:r>
      <w:r w:rsidR="00D31A34">
        <w:rPr>
          <w:rFonts w:ascii="Arial Narrow" w:hAnsi="Arial Narrow"/>
          <w:color w:val="000000"/>
        </w:rPr>
        <w:t>pohyboval</w:t>
      </w:r>
      <w:r>
        <w:rPr>
          <w:rFonts w:ascii="Arial Narrow" w:hAnsi="Arial Narrow"/>
          <w:color w:val="000000"/>
        </w:rPr>
        <w:t xml:space="preserve"> průměrně na 3 %, </w:t>
      </w:r>
      <w:r w:rsidR="00D31A34">
        <w:rPr>
          <w:rFonts w:ascii="Arial Narrow" w:hAnsi="Arial Narrow"/>
          <w:color w:val="000000"/>
        </w:rPr>
        <w:t>nicméně</w:t>
      </w:r>
      <w:r>
        <w:rPr>
          <w:rFonts w:ascii="Arial Narrow" w:hAnsi="Arial Narrow"/>
          <w:color w:val="000000"/>
        </w:rPr>
        <w:t xml:space="preserve"> k</w:t>
      </w:r>
      <w:r w:rsidR="00D31A34">
        <w:rPr>
          <w:rFonts w:ascii="Arial Narrow" w:hAnsi="Arial Narrow"/>
          <w:color w:val="000000"/>
        </w:rPr>
        <w:t> 1. 1.</w:t>
      </w:r>
      <w:r>
        <w:rPr>
          <w:rFonts w:ascii="Arial Narrow" w:hAnsi="Arial Narrow"/>
          <w:color w:val="000000"/>
        </w:rPr>
        <w:t xml:space="preserve"> 2023 stoupnul na 1</w:t>
      </w:r>
      <w:r w:rsidR="009D66FA">
        <w:rPr>
          <w:rFonts w:ascii="Arial Narrow" w:hAnsi="Arial Narrow"/>
          <w:color w:val="000000"/>
        </w:rPr>
        <w:t>0,5</w:t>
      </w:r>
      <w:r>
        <w:rPr>
          <w:rFonts w:ascii="Arial Narrow" w:hAnsi="Arial Narrow"/>
          <w:color w:val="000000"/>
        </w:rPr>
        <w:t xml:space="preserve"> % tedy téměř čtyřnásobně.</w:t>
      </w:r>
      <w:r w:rsidRPr="00CE357F">
        <w:rPr>
          <w:rFonts w:ascii="Arial Narrow" w:hAnsi="Arial Narrow"/>
          <w:color w:val="000000"/>
        </w:rPr>
        <w:t xml:space="preserve"> V obci Rousínov lze zaznamenat významný nárůst podílu osob s jinou než českou státní příslušností na celkovém počtu obyva</w:t>
      </w:r>
      <w:r>
        <w:rPr>
          <w:rFonts w:ascii="Arial Narrow" w:hAnsi="Arial Narrow"/>
          <w:color w:val="000000"/>
        </w:rPr>
        <w:t>tel zejména mezi lety 2006 a 201</w:t>
      </w:r>
      <w:r w:rsidRPr="00CE357F">
        <w:rPr>
          <w:rFonts w:ascii="Arial Narrow" w:hAnsi="Arial Narrow"/>
          <w:color w:val="000000"/>
        </w:rPr>
        <w:t>0, a to ze 1,8 % v r</w:t>
      </w:r>
      <w:r>
        <w:rPr>
          <w:rFonts w:ascii="Arial Narrow" w:hAnsi="Arial Narrow"/>
          <w:color w:val="000000"/>
        </w:rPr>
        <w:t>oce 2006 na 3,1 % v roce 2010. Do roku 2022</w:t>
      </w:r>
      <w:r w:rsidRPr="00CE357F">
        <w:rPr>
          <w:rFonts w:ascii="Arial Narrow" w:hAnsi="Arial Narrow"/>
          <w:color w:val="000000"/>
        </w:rPr>
        <w:t> </w:t>
      </w:r>
      <w:r>
        <w:rPr>
          <w:rFonts w:ascii="Arial Narrow" w:hAnsi="Arial Narrow"/>
          <w:color w:val="000000"/>
        </w:rPr>
        <w:t>potom</w:t>
      </w:r>
      <w:r w:rsidRPr="00CE357F">
        <w:rPr>
          <w:rFonts w:ascii="Arial Narrow" w:hAnsi="Arial Narrow"/>
          <w:color w:val="000000"/>
        </w:rPr>
        <w:t xml:space="preserve"> podíl osob s jinou než českou státní příslušností na celkovém počtu obyvatel obce Rousínov mí</w:t>
      </w:r>
      <w:r>
        <w:rPr>
          <w:rFonts w:ascii="Arial Narrow" w:hAnsi="Arial Narrow"/>
          <w:color w:val="000000"/>
        </w:rPr>
        <w:t>rně narůstal až na 4,3 %, a k roku 2023 se více než zdvojnásobil</w:t>
      </w:r>
      <w:r w:rsidR="00D31A34">
        <w:rPr>
          <w:rFonts w:ascii="Arial Narrow" w:hAnsi="Arial Narrow"/>
          <w:color w:val="000000"/>
        </w:rPr>
        <w:t xml:space="preserve"> na 9 %</w:t>
      </w:r>
      <w:r w:rsidRPr="00CE357F">
        <w:rPr>
          <w:rFonts w:ascii="Arial Narrow" w:hAnsi="Arial Narrow"/>
          <w:color w:val="000000"/>
        </w:rPr>
        <w:t xml:space="preserve"> </w:t>
      </w:r>
    </w:p>
    <w:p w14:paraId="274851D7" w14:textId="25B1513E" w:rsidR="00B4465C" w:rsidRPr="005C47C3" w:rsidRDefault="00B4465C" w:rsidP="00B4465C">
      <w:pPr>
        <w:spacing w:after="120" w:line="276" w:lineRule="auto"/>
        <w:jc w:val="both"/>
        <w:rPr>
          <w:rFonts w:ascii="Arial Narrow" w:hAnsi="Arial Narrow"/>
          <w:color w:val="000000"/>
        </w:rPr>
      </w:pPr>
      <w:r w:rsidRPr="00CE357F">
        <w:rPr>
          <w:rFonts w:ascii="Arial Narrow" w:hAnsi="Arial Narrow"/>
          <w:color w:val="000000"/>
        </w:rPr>
        <w:lastRenderedPageBreak/>
        <w:t>Vývoj podílu osob s jinou než českou státní příslušností na cel</w:t>
      </w:r>
      <w:r>
        <w:rPr>
          <w:rFonts w:ascii="Arial Narrow" w:hAnsi="Arial Narrow"/>
          <w:color w:val="000000"/>
        </w:rPr>
        <w:t>kovém počtu obyvatel obcí Rostěnice-Zvonovice a Rousínov v letech 2006-2023</w:t>
      </w:r>
      <w:r w:rsidRPr="00CE357F">
        <w:rPr>
          <w:rFonts w:ascii="Arial Narrow" w:hAnsi="Arial Narrow"/>
          <w:color w:val="000000"/>
        </w:rPr>
        <w:t xml:space="preserve"> dokumentují následující grafy</w:t>
      </w:r>
      <w:r w:rsidR="00E1313E">
        <w:rPr>
          <w:rFonts w:ascii="Arial Narrow" w:hAnsi="Arial Narrow"/>
          <w:color w:val="000000"/>
        </w:rPr>
        <w:t xml:space="preserve"> č. 136 a č. 137</w:t>
      </w:r>
      <w:r w:rsidRPr="00CE357F">
        <w:rPr>
          <w:rFonts w:ascii="Arial Narrow" w:hAnsi="Arial Narrow"/>
          <w:color w:val="000000"/>
        </w:rPr>
        <w:t>.</w:t>
      </w:r>
    </w:p>
    <w:p w14:paraId="1C787CC6" w14:textId="5020258D" w:rsidR="00B4465C" w:rsidRPr="00CE357F" w:rsidRDefault="00B4465C" w:rsidP="00B4465C">
      <w:pPr>
        <w:spacing w:line="276" w:lineRule="auto"/>
        <w:jc w:val="both"/>
        <w:rPr>
          <w:rFonts w:ascii="Arial Narrow" w:hAnsi="Arial Narrow"/>
          <w:b/>
          <w:bCs/>
          <w:sz w:val="20"/>
          <w:szCs w:val="20"/>
        </w:rPr>
      </w:pPr>
      <w:bookmarkStart w:id="850" w:name="_Toc94443825"/>
      <w:bookmarkStart w:id="851" w:name="_Toc136428980"/>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136</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Vývoj podílu osob s jinou než českou státní příslušností na celkovém počtu obyv</w:t>
      </w:r>
      <w:r>
        <w:rPr>
          <w:rFonts w:ascii="Arial Narrow" w:hAnsi="Arial Narrow"/>
          <w:b/>
          <w:bCs/>
          <w:sz w:val="20"/>
          <w:szCs w:val="20"/>
        </w:rPr>
        <w:t>atel obce Rostěnice-Zvonovice</w:t>
      </w:r>
      <w:r w:rsidRPr="00CE357F">
        <w:rPr>
          <w:rFonts w:ascii="Arial Narrow" w:hAnsi="Arial Narrow"/>
          <w:b/>
          <w:bCs/>
          <w:sz w:val="20"/>
          <w:szCs w:val="20"/>
        </w:rPr>
        <w:t xml:space="preserve"> v letech 2006-202</w:t>
      </w:r>
      <w:bookmarkEnd w:id="850"/>
      <w:r>
        <w:rPr>
          <w:rFonts w:ascii="Arial Narrow" w:hAnsi="Arial Narrow"/>
          <w:b/>
          <w:bCs/>
          <w:sz w:val="20"/>
          <w:szCs w:val="20"/>
        </w:rPr>
        <w:t>3</w:t>
      </w:r>
      <w:bookmarkEnd w:id="851"/>
    </w:p>
    <w:p w14:paraId="55578AD6" w14:textId="0CA293B8" w:rsidR="00B4465C" w:rsidRPr="00CE357F" w:rsidRDefault="009D66FA" w:rsidP="00B4465C">
      <w:pPr>
        <w:spacing w:line="276" w:lineRule="auto"/>
        <w:rPr>
          <w:rFonts w:ascii="Arial Narrow" w:hAnsi="Arial Narrow"/>
        </w:rPr>
      </w:pPr>
      <w:r w:rsidRPr="00CE357F">
        <w:rPr>
          <w:rFonts w:ascii="Arial Narrow" w:hAnsi="Arial Narrow"/>
          <w:b/>
          <w:noProof/>
          <w:color w:val="2F5496" w:themeColor="accent1" w:themeShade="BF"/>
          <w:lang w:eastAsia="cs-CZ"/>
        </w:rPr>
        <w:drawing>
          <wp:inline distT="0" distB="0" distL="0" distR="0" wp14:anchorId="5409C466" wp14:editId="08510DE5">
            <wp:extent cx="5760720" cy="1637491"/>
            <wp:effectExtent l="0" t="0" r="11430" b="1270"/>
            <wp:docPr id="2054" name="Graf 2054">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1A762034" w14:textId="77777777" w:rsidR="00B4465C" w:rsidRPr="00CE357F" w:rsidRDefault="00B4465C" w:rsidP="00B4465C">
      <w:pPr>
        <w:spacing w:after="240" w:line="276" w:lineRule="auto"/>
        <w:rPr>
          <w:rFonts w:ascii="Arial Narrow" w:hAnsi="Arial Narrow"/>
          <w:color w:val="000000"/>
          <w:sz w:val="20"/>
          <w:szCs w:val="20"/>
          <w:lang w:eastAsia="cs-CZ"/>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40BE2EA0" w14:textId="6E059EE0" w:rsidR="00B4465C" w:rsidRPr="00CE357F" w:rsidRDefault="00B4465C" w:rsidP="00B4465C">
      <w:pPr>
        <w:spacing w:line="276" w:lineRule="auto"/>
        <w:jc w:val="both"/>
        <w:rPr>
          <w:rFonts w:ascii="Arial Narrow" w:hAnsi="Arial Narrow"/>
          <w:b/>
          <w:bCs/>
          <w:sz w:val="20"/>
          <w:szCs w:val="20"/>
        </w:rPr>
      </w:pPr>
      <w:bookmarkStart w:id="852" w:name="_Toc94443826"/>
      <w:bookmarkStart w:id="853" w:name="_Toc136428981"/>
      <w:r w:rsidRPr="00CE357F">
        <w:rPr>
          <w:rFonts w:ascii="Arial Narrow" w:hAnsi="Arial Narrow"/>
          <w:b/>
          <w:sz w:val="20"/>
          <w:szCs w:val="20"/>
        </w:rPr>
        <w:t xml:space="preserve">Graf </w:t>
      </w:r>
      <w:r>
        <w:rPr>
          <w:rFonts w:ascii="Arial Narrow" w:hAnsi="Arial Narrow"/>
          <w:b/>
          <w:sz w:val="20"/>
          <w:szCs w:val="20"/>
        </w:rPr>
        <w:fldChar w:fldCharType="begin"/>
      </w:r>
      <w:r>
        <w:rPr>
          <w:rFonts w:ascii="Arial Narrow" w:hAnsi="Arial Narrow"/>
          <w:b/>
          <w:sz w:val="20"/>
          <w:szCs w:val="20"/>
        </w:rPr>
        <w:instrText xml:space="preserve"> SEQ Graf \* ARABIC </w:instrText>
      </w:r>
      <w:r>
        <w:rPr>
          <w:rFonts w:ascii="Arial Narrow" w:hAnsi="Arial Narrow"/>
          <w:b/>
          <w:sz w:val="20"/>
          <w:szCs w:val="20"/>
        </w:rPr>
        <w:fldChar w:fldCharType="separate"/>
      </w:r>
      <w:r w:rsidR="009F49C8">
        <w:rPr>
          <w:rFonts w:ascii="Arial Narrow" w:hAnsi="Arial Narrow"/>
          <w:b/>
          <w:noProof/>
          <w:sz w:val="20"/>
          <w:szCs w:val="20"/>
        </w:rPr>
        <w:t>137</w:t>
      </w:r>
      <w:r>
        <w:rPr>
          <w:rFonts w:ascii="Arial Narrow" w:hAnsi="Arial Narrow"/>
          <w:b/>
          <w:sz w:val="20"/>
          <w:szCs w:val="20"/>
        </w:rPr>
        <w:fldChar w:fldCharType="end"/>
      </w:r>
      <w:r w:rsidRPr="00CE357F">
        <w:rPr>
          <w:rFonts w:ascii="Arial Narrow" w:hAnsi="Arial Narrow"/>
          <w:b/>
          <w:sz w:val="20"/>
          <w:szCs w:val="20"/>
        </w:rPr>
        <w:t>:</w:t>
      </w:r>
      <w:r w:rsidRPr="00CE357F">
        <w:rPr>
          <w:rFonts w:ascii="Arial Narrow" w:eastAsiaTheme="minorEastAsia" w:hAnsi="Arial Narrow" w:cstheme="minorBidi"/>
          <w:b/>
          <w:bCs/>
          <w:color w:val="000000" w:themeColor="text1"/>
          <w:kern w:val="24"/>
          <w:sz w:val="20"/>
          <w:szCs w:val="20"/>
          <w:lang w:eastAsia="cs-CZ"/>
        </w:rPr>
        <w:t xml:space="preserve"> </w:t>
      </w:r>
      <w:r w:rsidRPr="00CE357F">
        <w:rPr>
          <w:rFonts w:ascii="Arial Narrow" w:hAnsi="Arial Narrow"/>
          <w:b/>
          <w:bCs/>
          <w:sz w:val="20"/>
          <w:szCs w:val="20"/>
        </w:rPr>
        <w:t>Vývoj podílu osob s jinou než českou státní příslušností na celkovém počtu obyvatel obce Rousínov v letech 2006-202</w:t>
      </w:r>
      <w:bookmarkEnd w:id="852"/>
      <w:r>
        <w:rPr>
          <w:rFonts w:ascii="Arial Narrow" w:hAnsi="Arial Narrow"/>
          <w:b/>
          <w:bCs/>
          <w:sz w:val="20"/>
          <w:szCs w:val="20"/>
        </w:rPr>
        <w:t>3</w:t>
      </w:r>
      <w:bookmarkEnd w:id="853"/>
    </w:p>
    <w:p w14:paraId="5B0F91C1" w14:textId="32FA8CD3" w:rsidR="00B4465C" w:rsidRPr="00CE357F" w:rsidRDefault="009D66FA" w:rsidP="00B4465C">
      <w:pPr>
        <w:spacing w:line="276" w:lineRule="auto"/>
        <w:rPr>
          <w:rFonts w:ascii="Arial Narrow" w:hAnsi="Arial Narrow"/>
          <w:b/>
          <w:bCs/>
          <w:color w:val="C00000"/>
        </w:rPr>
      </w:pPr>
      <w:r w:rsidRPr="00CE357F">
        <w:rPr>
          <w:rFonts w:ascii="Arial Narrow" w:hAnsi="Arial Narrow"/>
          <w:b/>
          <w:noProof/>
          <w:color w:val="2F5496" w:themeColor="accent1" w:themeShade="BF"/>
          <w:lang w:eastAsia="cs-CZ"/>
        </w:rPr>
        <w:drawing>
          <wp:inline distT="0" distB="0" distL="0" distR="0" wp14:anchorId="50F937B8" wp14:editId="430654A1">
            <wp:extent cx="5760720" cy="1619727"/>
            <wp:effectExtent l="0" t="0" r="11430" b="0"/>
            <wp:docPr id="2073" name="Graf 2073">
              <a:extLst xmlns:a="http://schemas.openxmlformats.org/drawingml/2006/main">
                <a:ext uri="{FF2B5EF4-FFF2-40B4-BE49-F238E27FC236}">
                  <a16:creationId xmlns:a16="http://schemas.microsoft.com/office/drawing/2014/main" id="{E307FA9D-9B19-4EB0-9EB5-39F1694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04348211" w14:textId="1E8684ED" w:rsidR="00FA2445" w:rsidRPr="00E1313E" w:rsidRDefault="00B4465C" w:rsidP="00E1313E">
      <w:pPr>
        <w:spacing w:after="240" w:line="276" w:lineRule="auto"/>
        <w:rPr>
          <w:rFonts w:ascii="Arial Narrow" w:hAnsi="Arial Narrow"/>
          <w:color w:val="000000"/>
          <w:sz w:val="20"/>
          <w:szCs w:val="20"/>
          <w:lang w:eastAsia="cs-CZ"/>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Graf: AUGUR </w:t>
      </w:r>
      <w:proofErr w:type="spellStart"/>
      <w:r w:rsidRPr="00CE357F">
        <w:rPr>
          <w:rFonts w:ascii="Arial Narrow" w:hAnsi="Arial Narrow"/>
          <w:sz w:val="20"/>
          <w:szCs w:val="20"/>
        </w:rPr>
        <w:t>Consulting</w:t>
      </w:r>
      <w:proofErr w:type="spellEnd"/>
      <w:r w:rsidRPr="00CE357F">
        <w:rPr>
          <w:rFonts w:ascii="Arial Narrow" w:hAnsi="Arial Narrow"/>
          <w:sz w:val="20"/>
          <w:szCs w:val="20"/>
        </w:rPr>
        <w:t>, s.r.o.</w:t>
      </w:r>
    </w:p>
    <w:p w14:paraId="660049A4" w14:textId="605A60E8" w:rsidR="00C475C3" w:rsidRPr="00CE357F" w:rsidRDefault="00E46A4F" w:rsidP="00C475C3">
      <w:pPr>
        <w:pStyle w:val="Nadpis3"/>
      </w:pPr>
      <w:bookmarkStart w:id="854" w:name="_Toc136876155"/>
      <w:r w:rsidRPr="00CE357F">
        <w:t>Zaměstnanost v</w:t>
      </w:r>
      <w:r w:rsidR="00C475C3" w:rsidRPr="00CE357F">
        <w:t> ORP V</w:t>
      </w:r>
      <w:r w:rsidRPr="00CE357F">
        <w:t>yškov</w:t>
      </w:r>
      <w:bookmarkEnd w:id="854"/>
    </w:p>
    <w:p w14:paraId="44D31637" w14:textId="77777777" w:rsidR="00C475C3" w:rsidRPr="00CE357F" w:rsidRDefault="00C475C3" w:rsidP="00C475C3">
      <w:pPr>
        <w:rPr>
          <w:rFonts w:ascii="Arial Narrow" w:hAnsi="Arial Narrow"/>
        </w:rPr>
      </w:pPr>
    </w:p>
    <w:p w14:paraId="5F539E49" w14:textId="77777777" w:rsidR="00C475C3" w:rsidRPr="00CE357F" w:rsidRDefault="00C475C3" w:rsidP="00C475C3">
      <w:pPr>
        <w:rPr>
          <w:rFonts w:ascii="Arial Narrow" w:hAnsi="Arial Narrow"/>
        </w:rPr>
      </w:pPr>
    </w:p>
    <w:p w14:paraId="6D279B78" w14:textId="3D0A4637" w:rsidR="00D31A34" w:rsidRPr="00CE357F" w:rsidRDefault="00D31A34" w:rsidP="00D31A34">
      <w:pPr>
        <w:spacing w:after="120" w:line="276" w:lineRule="auto"/>
        <w:jc w:val="both"/>
        <w:rPr>
          <w:rFonts w:ascii="Arial Narrow" w:hAnsi="Arial Narrow"/>
        </w:rPr>
      </w:pPr>
      <w:r>
        <w:rPr>
          <w:rFonts w:ascii="Arial Narrow" w:hAnsi="Arial Narrow"/>
        </w:rPr>
        <w:t>Za měsíci prosinec roku 2022</w:t>
      </w:r>
      <w:r w:rsidRPr="00CE357F">
        <w:rPr>
          <w:rFonts w:ascii="Arial Narrow" w:hAnsi="Arial Narrow"/>
        </w:rPr>
        <w:t xml:space="preserve"> bylo v</w:t>
      </w:r>
      <w:r>
        <w:rPr>
          <w:rFonts w:ascii="Arial Narrow" w:hAnsi="Arial Narrow"/>
        </w:rPr>
        <w:t> ORP Vyškov evidováno celkem 920</w:t>
      </w:r>
      <w:r w:rsidRPr="00CE357F">
        <w:rPr>
          <w:rFonts w:ascii="Arial Narrow" w:hAnsi="Arial Narrow"/>
        </w:rPr>
        <w:t xml:space="preserve"> uchazečů o zaměstnání. Podíl nezaměstnanosti v ORP Vyškov od roku 2014 klesal, mírný nárůst lze zaznamenat </w:t>
      </w:r>
      <w:r>
        <w:rPr>
          <w:rFonts w:ascii="Arial Narrow" w:hAnsi="Arial Narrow"/>
        </w:rPr>
        <w:t>od roku 2020,</w:t>
      </w:r>
      <w:r w:rsidRPr="00CE357F">
        <w:rPr>
          <w:rFonts w:ascii="Arial Narrow" w:hAnsi="Arial Narrow"/>
        </w:rPr>
        <w:t xml:space="preserve"> což může souviset s dopady celosv</w:t>
      </w:r>
      <w:r>
        <w:rPr>
          <w:rFonts w:ascii="Arial Narrow" w:hAnsi="Arial Narrow"/>
        </w:rPr>
        <w:t>ětové pandemie viru SARS-CoV-2 a válečným konfliktem na Ukrajině, který přivedl do ORP nové uchazeče o zaměstnání.</w:t>
      </w:r>
    </w:p>
    <w:p w14:paraId="23844DCC" w14:textId="4E346FCA" w:rsidR="00D31A34" w:rsidRPr="00CE357F" w:rsidRDefault="00D31A34" w:rsidP="00D31A34">
      <w:pPr>
        <w:spacing w:after="120" w:line="276" w:lineRule="auto"/>
        <w:jc w:val="both"/>
        <w:rPr>
          <w:rFonts w:ascii="Arial Narrow" w:hAnsi="Arial Narrow"/>
        </w:rPr>
      </w:pPr>
      <w:r w:rsidRPr="00CE357F">
        <w:rPr>
          <w:rFonts w:ascii="Arial Narrow" w:hAnsi="Arial Narrow"/>
        </w:rPr>
        <w:t>Podíváme-li se na vývoj počtu uchazečů o zaměstnání</w:t>
      </w:r>
      <w:r>
        <w:rPr>
          <w:rFonts w:ascii="Arial Narrow" w:hAnsi="Arial Narrow"/>
        </w:rPr>
        <w:t xml:space="preserve"> v ORP Vyškov v letech 2005-2022</w:t>
      </w:r>
      <w:r w:rsidRPr="00CE357F">
        <w:rPr>
          <w:rFonts w:ascii="Arial Narrow" w:hAnsi="Arial Narrow"/>
        </w:rPr>
        <w:t xml:space="preserve">, mezi lety 2009–2011 je patrný výrazný nárůst počtu uchazečů o zaměstnání, který může v tomto období souviset s dopady celosvětové ekonomické krize. Nejnižší počet uchazečů o zaměstnání v ORP Vyškov byl zaznamenán v roce 2013 </w:t>
      </w:r>
      <w:r>
        <w:rPr>
          <w:rFonts w:ascii="Arial Narrow" w:hAnsi="Arial Narrow"/>
        </w:rPr>
        <w:br/>
      </w:r>
      <w:r w:rsidRPr="00CE357F">
        <w:rPr>
          <w:rFonts w:ascii="Arial Narrow" w:hAnsi="Arial Narrow"/>
        </w:rPr>
        <w:t xml:space="preserve">(574 uchazečů), následoval jejich prudký nárůst, a to na 2 198 uchazečů v roce 2014. Do roku 2019 počet uchazečů o zaměstnání v ORP mírně klesal a nárůst počtu uchazečů je patrný opět až v roce 2020, což může souviset s dopady celosvětové pandemie viru SARS-CoV-2. </w:t>
      </w:r>
    </w:p>
    <w:p w14:paraId="69234E8A" w14:textId="659FB220" w:rsidR="00D31A34" w:rsidRPr="00CE357F" w:rsidRDefault="00D31A34" w:rsidP="00E1313E">
      <w:pPr>
        <w:spacing w:after="120" w:line="276" w:lineRule="auto"/>
        <w:jc w:val="both"/>
        <w:rPr>
          <w:rFonts w:ascii="Arial Narrow" w:hAnsi="Arial Narrow"/>
        </w:rPr>
      </w:pPr>
      <w:r w:rsidRPr="00CE357F">
        <w:rPr>
          <w:rFonts w:ascii="Arial Narrow" w:hAnsi="Arial Narrow"/>
        </w:rPr>
        <w:t xml:space="preserve">Nejvyšší počet evidovaných uchazečů o zaměstnání připadajících na 1 volné pracovní místo v ORP Vyškov byl zaznamenán v roce 2009 (23,7 uchazečů na 1 volné místo). Vysoký počet uchazečů o zaměstnání připadajících na 1 volné pracovní místo byl zaznamenán také v roce 2010 a 2011 (16,8 v roce 2010 a 19,1 v roce </w:t>
      </w:r>
      <w:r>
        <w:rPr>
          <w:rFonts w:ascii="Arial Narrow" w:hAnsi="Arial Narrow"/>
        </w:rPr>
        <w:t>2011). Od roku 2017 do roku 2022</w:t>
      </w:r>
      <w:r w:rsidRPr="00CE357F">
        <w:rPr>
          <w:rFonts w:ascii="Arial Narrow" w:hAnsi="Arial Narrow"/>
        </w:rPr>
        <w:t xml:space="preserve"> je pak počet uchazečů o zaměstnání připadajících na 1 volné pracovní místo v ORP Vyškov </w:t>
      </w:r>
      <w:r w:rsidRPr="00CE357F">
        <w:rPr>
          <w:rFonts w:ascii="Arial Narrow" w:hAnsi="Arial Narrow"/>
        </w:rPr>
        <w:lastRenderedPageBreak/>
        <w:t xml:space="preserve">velmi </w:t>
      </w:r>
      <w:r>
        <w:rPr>
          <w:rFonts w:ascii="Arial Narrow" w:hAnsi="Arial Narrow"/>
        </w:rPr>
        <w:t>nízký, jedná se v průměru o 0,78</w:t>
      </w:r>
      <w:r w:rsidRPr="00CE357F">
        <w:rPr>
          <w:rFonts w:ascii="Arial Narrow" w:hAnsi="Arial Narrow"/>
        </w:rPr>
        <w:t xml:space="preserve"> uchazeče o zaměstnání připadajících na 1 pracovní místo. Jedná se o nejnižší počty uchazečů o zaměstnání za sledované období.</w:t>
      </w:r>
      <w:bookmarkStart w:id="855" w:name="_Toc136429280"/>
      <w:r w:rsidR="00E1313E">
        <w:rPr>
          <w:rFonts w:ascii="Arial Narrow" w:hAnsi="Arial Narrow"/>
        </w:rPr>
        <w:t xml:space="preserve"> </w:t>
      </w:r>
      <w:r w:rsidRPr="00CE357F">
        <w:rPr>
          <w:rFonts w:ascii="Arial Narrow" w:hAnsi="Arial Narrow"/>
        </w:rPr>
        <w:t>Vývoj počtu uchazečů o zaměstnání a volných pracovních míst v ORP Vyškov v letech 2005–</w:t>
      </w:r>
      <w:r>
        <w:rPr>
          <w:rFonts w:ascii="Arial Narrow" w:hAnsi="Arial Narrow"/>
        </w:rPr>
        <w:t>2022</w:t>
      </w:r>
      <w:r w:rsidRPr="00CE357F">
        <w:rPr>
          <w:rFonts w:ascii="Arial Narrow" w:hAnsi="Arial Narrow"/>
        </w:rPr>
        <w:t xml:space="preserve"> podrobně dokumentuje následující tabulka</w:t>
      </w:r>
      <w:r w:rsidR="00E1313E">
        <w:rPr>
          <w:rFonts w:ascii="Arial Narrow" w:hAnsi="Arial Narrow"/>
        </w:rPr>
        <w:t xml:space="preserve"> č. 69</w:t>
      </w:r>
      <w:r w:rsidRPr="00CE357F">
        <w:rPr>
          <w:rFonts w:ascii="Arial Narrow" w:hAnsi="Arial Narrow"/>
        </w:rPr>
        <w:t xml:space="preserve">. </w:t>
      </w:r>
      <w:r w:rsidRPr="00CE357F">
        <w:rPr>
          <w:rFonts w:ascii="Arial Narrow" w:hAnsi="Arial Narrow"/>
        </w:rPr>
        <w:tab/>
      </w:r>
      <w:r w:rsidRPr="00CE357F">
        <w:rPr>
          <w:rFonts w:ascii="Arial Narrow" w:hAnsi="Arial Narrow"/>
        </w:rPr>
        <w:br/>
      </w:r>
      <w:r w:rsidRPr="00CE357F">
        <w:rPr>
          <w:rFonts w:ascii="Arial Narrow" w:hAnsi="Arial Narrow"/>
        </w:rPr>
        <w:br/>
      </w:r>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69</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Vývoj počtu uchazečů o zaměstnání a volných pracovních míst v ORP Vyškov v letech 2005-202</w:t>
      </w:r>
      <w:r>
        <w:rPr>
          <w:rFonts w:ascii="Arial Narrow" w:eastAsia="Times New Roman" w:hAnsi="Arial Narrow" w:cs="Arial"/>
          <w:b/>
          <w:bCs/>
          <w:sz w:val="20"/>
          <w:szCs w:val="20"/>
          <w:lang w:eastAsia="cs-CZ"/>
        </w:rPr>
        <w:t>2</w:t>
      </w:r>
      <w:bookmarkEnd w:id="855"/>
    </w:p>
    <w:tbl>
      <w:tblPr>
        <w:tblW w:w="4942"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76"/>
        <w:gridCol w:w="1118"/>
        <w:gridCol w:w="1371"/>
        <w:gridCol w:w="1210"/>
        <w:gridCol w:w="1363"/>
        <w:gridCol w:w="1187"/>
        <w:gridCol w:w="1732"/>
      </w:tblGrid>
      <w:tr w:rsidR="00D31A34" w:rsidRPr="00CE357F" w14:paraId="22241489" w14:textId="77777777" w:rsidTr="004A0C47">
        <w:trPr>
          <w:trHeight w:val="648"/>
        </w:trPr>
        <w:tc>
          <w:tcPr>
            <w:tcW w:w="993" w:type="dxa"/>
            <w:shd w:val="clear" w:color="auto" w:fill="D9E2F3" w:themeFill="accent1" w:themeFillTint="33"/>
            <w:vAlign w:val="center"/>
          </w:tcPr>
          <w:p w14:paraId="0A890397"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ORP VYŠKOV</w:t>
            </w:r>
          </w:p>
        </w:tc>
        <w:tc>
          <w:tcPr>
            <w:tcW w:w="1134" w:type="dxa"/>
            <w:shd w:val="clear" w:color="auto" w:fill="D9E2F3" w:themeFill="accent1" w:themeFillTint="33"/>
            <w:vAlign w:val="center"/>
          </w:tcPr>
          <w:p w14:paraId="455B6A35" w14:textId="77777777" w:rsidR="00D31A34" w:rsidRPr="00CE357F" w:rsidRDefault="00D31A34"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Uchazeči o zaměstnání</w:t>
            </w:r>
          </w:p>
        </w:tc>
        <w:tc>
          <w:tcPr>
            <w:tcW w:w="1419" w:type="dxa"/>
            <w:shd w:val="clear" w:color="auto" w:fill="D9E2F3" w:themeFill="accent1" w:themeFillTint="33"/>
            <w:vAlign w:val="center"/>
          </w:tcPr>
          <w:p w14:paraId="5F064F7D"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Dosažitelní uchazeči 15–64 let</w:t>
            </w:r>
          </w:p>
        </w:tc>
        <w:tc>
          <w:tcPr>
            <w:tcW w:w="1226" w:type="dxa"/>
            <w:shd w:val="clear" w:color="auto" w:fill="D9E2F3" w:themeFill="accent1" w:themeFillTint="33"/>
            <w:vAlign w:val="center"/>
          </w:tcPr>
          <w:p w14:paraId="10245F41" w14:textId="77777777" w:rsidR="00D31A34" w:rsidRPr="00CE357F" w:rsidRDefault="00D31A34"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Obyvatelstvo</w:t>
            </w:r>
          </w:p>
          <w:p w14:paraId="5E670938" w14:textId="77777777" w:rsidR="00D31A34" w:rsidRPr="00CE357F" w:rsidRDefault="00D31A34"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15–64 let</w:t>
            </w:r>
          </w:p>
        </w:tc>
        <w:tc>
          <w:tcPr>
            <w:tcW w:w="1366" w:type="dxa"/>
            <w:shd w:val="clear" w:color="auto" w:fill="D9E2F3" w:themeFill="accent1" w:themeFillTint="33"/>
            <w:vAlign w:val="center"/>
          </w:tcPr>
          <w:p w14:paraId="31D9838F" w14:textId="77777777" w:rsidR="00D31A34" w:rsidRPr="00CE357F" w:rsidRDefault="00D31A34"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Podíl nezaměstnanosti osob (v %)</w:t>
            </w:r>
          </w:p>
        </w:tc>
        <w:tc>
          <w:tcPr>
            <w:tcW w:w="1233" w:type="dxa"/>
            <w:shd w:val="clear" w:color="auto" w:fill="D9E2F3" w:themeFill="accent1" w:themeFillTint="33"/>
            <w:vAlign w:val="center"/>
          </w:tcPr>
          <w:p w14:paraId="0098D31B" w14:textId="77777777" w:rsidR="00D31A34" w:rsidRPr="00CE357F" w:rsidRDefault="00D31A34"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Volná pracovní místa</w:t>
            </w:r>
          </w:p>
        </w:tc>
        <w:tc>
          <w:tcPr>
            <w:tcW w:w="1809" w:type="dxa"/>
            <w:shd w:val="clear" w:color="auto" w:fill="D9E2F3" w:themeFill="accent1" w:themeFillTint="33"/>
            <w:vAlign w:val="center"/>
          </w:tcPr>
          <w:p w14:paraId="01E7513C" w14:textId="77777777" w:rsidR="00D31A34" w:rsidRPr="00CE357F" w:rsidRDefault="00D31A34" w:rsidP="004A0C47">
            <w:pPr>
              <w:jc w:val="center"/>
              <w:rPr>
                <w:rFonts w:ascii="Arial Narrow" w:eastAsia="Times New Roman" w:hAnsi="Arial Narrow" w:cs="Arial"/>
                <w:bCs/>
                <w:sz w:val="18"/>
                <w:szCs w:val="18"/>
                <w:lang w:eastAsia="cs-CZ"/>
              </w:rPr>
            </w:pPr>
            <w:r w:rsidRPr="00CE357F">
              <w:rPr>
                <w:rFonts w:ascii="Arial Narrow" w:eastAsia="Times New Roman" w:hAnsi="Arial Narrow" w:cs="Arial"/>
                <w:bCs/>
                <w:sz w:val="18"/>
                <w:szCs w:val="18"/>
                <w:lang w:eastAsia="cs-CZ"/>
              </w:rPr>
              <w:t>Počet uchazečů připadajících na 1 volné pracovní místo</w:t>
            </w:r>
          </w:p>
        </w:tc>
      </w:tr>
      <w:tr w:rsidR="00D31A34" w:rsidRPr="00CE357F" w14:paraId="0546CB8F" w14:textId="77777777" w:rsidTr="004A0C47">
        <w:trPr>
          <w:trHeight w:val="204"/>
        </w:trPr>
        <w:tc>
          <w:tcPr>
            <w:tcW w:w="993" w:type="dxa"/>
            <w:shd w:val="clear" w:color="auto" w:fill="D9E2F3" w:themeFill="accent1" w:themeFillTint="33"/>
            <w:vAlign w:val="center"/>
          </w:tcPr>
          <w:p w14:paraId="5D349169" w14:textId="77777777" w:rsidR="00D31A34" w:rsidRPr="00CE357F" w:rsidRDefault="00D31A34" w:rsidP="004A0C47">
            <w:pPr>
              <w:jc w:val="center"/>
              <w:rPr>
                <w:rFonts w:ascii="Arial Narrow" w:hAnsi="Arial Narrow" w:cs="Arial"/>
                <w:b/>
                <w:sz w:val="18"/>
                <w:szCs w:val="18"/>
              </w:rPr>
            </w:pPr>
            <w:r>
              <w:rPr>
                <w:rFonts w:ascii="Arial Narrow" w:hAnsi="Arial Narrow" w:cs="Arial"/>
                <w:b/>
                <w:sz w:val="18"/>
                <w:szCs w:val="18"/>
              </w:rPr>
              <w:t>2022</w:t>
            </w:r>
          </w:p>
        </w:tc>
        <w:tc>
          <w:tcPr>
            <w:tcW w:w="1134" w:type="dxa"/>
            <w:vAlign w:val="center"/>
          </w:tcPr>
          <w:p w14:paraId="44BB5F32" w14:textId="77777777" w:rsidR="00D31A34" w:rsidRPr="00CE357F" w:rsidRDefault="00D31A34" w:rsidP="004A0C47">
            <w:pPr>
              <w:jc w:val="center"/>
              <w:rPr>
                <w:rFonts w:ascii="Arial Narrow" w:hAnsi="Arial Narrow"/>
                <w:bCs/>
                <w:sz w:val="18"/>
                <w:szCs w:val="18"/>
              </w:rPr>
            </w:pPr>
            <w:r>
              <w:rPr>
                <w:rFonts w:ascii="Arial Narrow" w:hAnsi="Arial Narrow"/>
                <w:bCs/>
                <w:sz w:val="18"/>
                <w:szCs w:val="18"/>
              </w:rPr>
              <w:t>920</w:t>
            </w:r>
          </w:p>
        </w:tc>
        <w:tc>
          <w:tcPr>
            <w:tcW w:w="1419" w:type="dxa"/>
            <w:vAlign w:val="center"/>
          </w:tcPr>
          <w:p w14:paraId="633FCE7D" w14:textId="77777777" w:rsidR="00D31A34" w:rsidRPr="00CE357F" w:rsidRDefault="00D31A34" w:rsidP="004A0C47">
            <w:pPr>
              <w:jc w:val="center"/>
              <w:rPr>
                <w:rFonts w:ascii="Arial Narrow" w:hAnsi="Arial Narrow"/>
                <w:sz w:val="18"/>
                <w:szCs w:val="18"/>
              </w:rPr>
            </w:pPr>
            <w:r>
              <w:rPr>
                <w:rFonts w:ascii="Arial Narrow" w:hAnsi="Arial Narrow"/>
                <w:sz w:val="18"/>
                <w:szCs w:val="18"/>
              </w:rPr>
              <w:t>798</w:t>
            </w:r>
          </w:p>
        </w:tc>
        <w:tc>
          <w:tcPr>
            <w:tcW w:w="1226" w:type="dxa"/>
            <w:vAlign w:val="center"/>
          </w:tcPr>
          <w:p w14:paraId="21E17CA2" w14:textId="77777777" w:rsidR="00D31A34" w:rsidRPr="00CE357F" w:rsidRDefault="00D31A34" w:rsidP="004A0C47">
            <w:pPr>
              <w:jc w:val="center"/>
              <w:rPr>
                <w:rFonts w:ascii="Arial Narrow" w:hAnsi="Arial Narrow"/>
                <w:sz w:val="18"/>
                <w:szCs w:val="18"/>
              </w:rPr>
            </w:pPr>
            <w:r>
              <w:rPr>
                <w:rFonts w:ascii="Arial Narrow" w:hAnsi="Arial Narrow"/>
                <w:sz w:val="18"/>
                <w:szCs w:val="18"/>
              </w:rPr>
              <w:t>32 547</w:t>
            </w:r>
          </w:p>
        </w:tc>
        <w:tc>
          <w:tcPr>
            <w:tcW w:w="1366" w:type="dxa"/>
            <w:vAlign w:val="center"/>
          </w:tcPr>
          <w:p w14:paraId="627729EB" w14:textId="77777777" w:rsidR="00D31A34" w:rsidRPr="00CE357F" w:rsidRDefault="00D31A34" w:rsidP="004A0C47">
            <w:pPr>
              <w:jc w:val="center"/>
              <w:rPr>
                <w:rFonts w:ascii="Arial Narrow" w:hAnsi="Arial Narrow"/>
                <w:sz w:val="18"/>
                <w:szCs w:val="18"/>
              </w:rPr>
            </w:pPr>
            <w:r>
              <w:rPr>
                <w:rFonts w:ascii="Arial Narrow" w:hAnsi="Arial Narrow"/>
                <w:sz w:val="18"/>
                <w:szCs w:val="18"/>
              </w:rPr>
              <w:t>2,5</w:t>
            </w:r>
          </w:p>
        </w:tc>
        <w:tc>
          <w:tcPr>
            <w:tcW w:w="1233" w:type="dxa"/>
            <w:vAlign w:val="center"/>
          </w:tcPr>
          <w:p w14:paraId="108FF8C3" w14:textId="77777777" w:rsidR="00D31A34" w:rsidRPr="00CE357F" w:rsidRDefault="00D31A34" w:rsidP="004A0C47">
            <w:pPr>
              <w:jc w:val="center"/>
              <w:rPr>
                <w:rFonts w:ascii="Arial Narrow" w:hAnsi="Arial Narrow"/>
                <w:sz w:val="18"/>
                <w:szCs w:val="18"/>
              </w:rPr>
            </w:pPr>
            <w:r>
              <w:rPr>
                <w:rFonts w:ascii="Arial Narrow" w:hAnsi="Arial Narrow"/>
                <w:sz w:val="18"/>
                <w:szCs w:val="18"/>
              </w:rPr>
              <w:t>990</w:t>
            </w:r>
          </w:p>
        </w:tc>
        <w:tc>
          <w:tcPr>
            <w:tcW w:w="1809" w:type="dxa"/>
          </w:tcPr>
          <w:p w14:paraId="7E4702E3" w14:textId="77777777" w:rsidR="00D31A34" w:rsidRPr="00CE357F" w:rsidRDefault="00D31A34" w:rsidP="004A0C47">
            <w:pPr>
              <w:jc w:val="center"/>
              <w:rPr>
                <w:rFonts w:ascii="Arial Narrow" w:hAnsi="Arial Narrow"/>
                <w:sz w:val="18"/>
                <w:szCs w:val="18"/>
              </w:rPr>
            </w:pPr>
            <w:r>
              <w:rPr>
                <w:rFonts w:ascii="Arial Narrow" w:hAnsi="Arial Narrow"/>
                <w:sz w:val="18"/>
                <w:szCs w:val="18"/>
              </w:rPr>
              <w:t>0,9</w:t>
            </w:r>
          </w:p>
        </w:tc>
      </w:tr>
      <w:tr w:rsidR="00D31A34" w:rsidRPr="00CE357F" w14:paraId="18560832" w14:textId="77777777" w:rsidTr="004A0C47">
        <w:trPr>
          <w:trHeight w:val="204"/>
        </w:trPr>
        <w:tc>
          <w:tcPr>
            <w:tcW w:w="993" w:type="dxa"/>
            <w:shd w:val="clear" w:color="auto" w:fill="D9E2F3" w:themeFill="accent1" w:themeFillTint="33"/>
            <w:vAlign w:val="center"/>
          </w:tcPr>
          <w:p w14:paraId="07FBE1A1"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2021</w:t>
            </w:r>
          </w:p>
        </w:tc>
        <w:tc>
          <w:tcPr>
            <w:tcW w:w="1134" w:type="dxa"/>
            <w:vAlign w:val="center"/>
          </w:tcPr>
          <w:p w14:paraId="650B8533"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763</w:t>
            </w:r>
          </w:p>
        </w:tc>
        <w:tc>
          <w:tcPr>
            <w:tcW w:w="1419" w:type="dxa"/>
            <w:vAlign w:val="center"/>
          </w:tcPr>
          <w:p w14:paraId="0601D9B6"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663</w:t>
            </w:r>
          </w:p>
        </w:tc>
        <w:tc>
          <w:tcPr>
            <w:tcW w:w="1226" w:type="dxa"/>
            <w:vAlign w:val="center"/>
          </w:tcPr>
          <w:p w14:paraId="1009C8FA"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33 206</w:t>
            </w:r>
          </w:p>
        </w:tc>
        <w:tc>
          <w:tcPr>
            <w:tcW w:w="1366" w:type="dxa"/>
            <w:vAlign w:val="center"/>
          </w:tcPr>
          <w:p w14:paraId="626FD897"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2,0</w:t>
            </w:r>
          </w:p>
        </w:tc>
        <w:tc>
          <w:tcPr>
            <w:tcW w:w="1233" w:type="dxa"/>
            <w:vAlign w:val="center"/>
          </w:tcPr>
          <w:p w14:paraId="77D4F46A"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1 103</w:t>
            </w:r>
          </w:p>
        </w:tc>
        <w:tc>
          <w:tcPr>
            <w:tcW w:w="1809" w:type="dxa"/>
          </w:tcPr>
          <w:p w14:paraId="3FB1855D"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0,6</w:t>
            </w:r>
          </w:p>
        </w:tc>
      </w:tr>
      <w:tr w:rsidR="00D31A34" w:rsidRPr="00CE357F" w14:paraId="1B03B0C9" w14:textId="77777777" w:rsidTr="004A0C47">
        <w:trPr>
          <w:trHeight w:val="204"/>
        </w:trPr>
        <w:tc>
          <w:tcPr>
            <w:tcW w:w="993" w:type="dxa"/>
            <w:shd w:val="clear" w:color="auto" w:fill="D9E2F3" w:themeFill="accent1" w:themeFillTint="33"/>
            <w:vAlign w:val="center"/>
          </w:tcPr>
          <w:p w14:paraId="37851D9D"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2020</w:t>
            </w:r>
          </w:p>
        </w:tc>
        <w:tc>
          <w:tcPr>
            <w:tcW w:w="1134" w:type="dxa"/>
            <w:vAlign w:val="center"/>
          </w:tcPr>
          <w:p w14:paraId="08CDD366"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951</w:t>
            </w:r>
          </w:p>
        </w:tc>
        <w:tc>
          <w:tcPr>
            <w:tcW w:w="1419" w:type="dxa"/>
            <w:vAlign w:val="center"/>
          </w:tcPr>
          <w:p w14:paraId="5B33AED8"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878</w:t>
            </w:r>
          </w:p>
        </w:tc>
        <w:tc>
          <w:tcPr>
            <w:tcW w:w="1226" w:type="dxa"/>
            <w:vAlign w:val="center"/>
          </w:tcPr>
          <w:p w14:paraId="68C7768C"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33 359</w:t>
            </w:r>
          </w:p>
        </w:tc>
        <w:tc>
          <w:tcPr>
            <w:tcW w:w="1366" w:type="dxa"/>
            <w:vAlign w:val="center"/>
          </w:tcPr>
          <w:p w14:paraId="471BD025"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2,6</w:t>
            </w:r>
          </w:p>
        </w:tc>
        <w:tc>
          <w:tcPr>
            <w:tcW w:w="1233" w:type="dxa"/>
            <w:vAlign w:val="center"/>
          </w:tcPr>
          <w:p w14:paraId="110CFBE1"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1 148</w:t>
            </w:r>
          </w:p>
        </w:tc>
        <w:tc>
          <w:tcPr>
            <w:tcW w:w="1809" w:type="dxa"/>
          </w:tcPr>
          <w:p w14:paraId="3A279173"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0,8</w:t>
            </w:r>
          </w:p>
        </w:tc>
      </w:tr>
      <w:tr w:rsidR="00D31A34" w:rsidRPr="00CE357F" w14:paraId="72DA82B4" w14:textId="77777777" w:rsidTr="004A0C47">
        <w:trPr>
          <w:trHeight w:val="204"/>
        </w:trPr>
        <w:tc>
          <w:tcPr>
            <w:tcW w:w="993" w:type="dxa"/>
            <w:shd w:val="clear" w:color="auto" w:fill="D9E2F3" w:themeFill="accent1" w:themeFillTint="33"/>
            <w:vAlign w:val="center"/>
          </w:tcPr>
          <w:p w14:paraId="77A1D7D9"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2019</w:t>
            </w:r>
          </w:p>
        </w:tc>
        <w:tc>
          <w:tcPr>
            <w:tcW w:w="1134" w:type="dxa"/>
            <w:vAlign w:val="center"/>
          </w:tcPr>
          <w:p w14:paraId="16E28EF4"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679</w:t>
            </w:r>
          </w:p>
        </w:tc>
        <w:tc>
          <w:tcPr>
            <w:tcW w:w="1419" w:type="dxa"/>
            <w:vAlign w:val="center"/>
          </w:tcPr>
          <w:p w14:paraId="0C92E882"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584</w:t>
            </w:r>
          </w:p>
        </w:tc>
        <w:tc>
          <w:tcPr>
            <w:tcW w:w="1226" w:type="dxa"/>
            <w:vAlign w:val="center"/>
          </w:tcPr>
          <w:p w14:paraId="7AEE69BD"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33 612</w:t>
            </w:r>
          </w:p>
        </w:tc>
        <w:tc>
          <w:tcPr>
            <w:tcW w:w="1366" w:type="dxa"/>
            <w:vAlign w:val="center"/>
          </w:tcPr>
          <w:p w14:paraId="275B5F7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1,7</w:t>
            </w:r>
          </w:p>
        </w:tc>
        <w:tc>
          <w:tcPr>
            <w:tcW w:w="1233" w:type="dxa"/>
            <w:vAlign w:val="center"/>
          </w:tcPr>
          <w:p w14:paraId="7769153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1 142</w:t>
            </w:r>
          </w:p>
        </w:tc>
        <w:tc>
          <w:tcPr>
            <w:tcW w:w="1809" w:type="dxa"/>
          </w:tcPr>
          <w:p w14:paraId="155ED9E9"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0,6</w:t>
            </w:r>
          </w:p>
        </w:tc>
      </w:tr>
      <w:tr w:rsidR="00D31A34" w:rsidRPr="00CE357F" w14:paraId="02FA8955" w14:textId="77777777" w:rsidTr="004A0C47">
        <w:trPr>
          <w:trHeight w:val="204"/>
        </w:trPr>
        <w:tc>
          <w:tcPr>
            <w:tcW w:w="993" w:type="dxa"/>
            <w:shd w:val="clear" w:color="auto" w:fill="D9E2F3" w:themeFill="accent1" w:themeFillTint="33"/>
            <w:vAlign w:val="center"/>
          </w:tcPr>
          <w:p w14:paraId="43D52309"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2018</w:t>
            </w:r>
          </w:p>
        </w:tc>
        <w:tc>
          <w:tcPr>
            <w:tcW w:w="1134" w:type="dxa"/>
            <w:vAlign w:val="center"/>
          </w:tcPr>
          <w:p w14:paraId="62ADDC9F"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738</w:t>
            </w:r>
          </w:p>
        </w:tc>
        <w:tc>
          <w:tcPr>
            <w:tcW w:w="1419" w:type="dxa"/>
            <w:vAlign w:val="center"/>
          </w:tcPr>
          <w:p w14:paraId="42F59D1F"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665</w:t>
            </w:r>
          </w:p>
        </w:tc>
        <w:tc>
          <w:tcPr>
            <w:tcW w:w="1226" w:type="dxa"/>
            <w:vAlign w:val="center"/>
          </w:tcPr>
          <w:p w14:paraId="63999489"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33 928</w:t>
            </w:r>
          </w:p>
        </w:tc>
        <w:tc>
          <w:tcPr>
            <w:tcW w:w="1366" w:type="dxa"/>
            <w:vAlign w:val="center"/>
          </w:tcPr>
          <w:p w14:paraId="15E449A7"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2,0</w:t>
            </w:r>
          </w:p>
        </w:tc>
        <w:tc>
          <w:tcPr>
            <w:tcW w:w="1233" w:type="dxa"/>
            <w:vAlign w:val="center"/>
          </w:tcPr>
          <w:p w14:paraId="71EA4523"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1 117</w:t>
            </w:r>
          </w:p>
        </w:tc>
        <w:tc>
          <w:tcPr>
            <w:tcW w:w="1809" w:type="dxa"/>
          </w:tcPr>
          <w:p w14:paraId="436B35C4"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0,7</w:t>
            </w:r>
          </w:p>
        </w:tc>
      </w:tr>
      <w:tr w:rsidR="00D31A34" w:rsidRPr="00CE357F" w14:paraId="124D9245" w14:textId="77777777" w:rsidTr="004A0C47">
        <w:trPr>
          <w:trHeight w:val="204"/>
        </w:trPr>
        <w:tc>
          <w:tcPr>
            <w:tcW w:w="993" w:type="dxa"/>
            <w:shd w:val="clear" w:color="auto" w:fill="D9E2F3" w:themeFill="accent1" w:themeFillTint="33"/>
            <w:vAlign w:val="center"/>
          </w:tcPr>
          <w:p w14:paraId="60732F49"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2017</w:t>
            </w:r>
          </w:p>
        </w:tc>
        <w:tc>
          <w:tcPr>
            <w:tcW w:w="1134" w:type="dxa"/>
            <w:vAlign w:val="center"/>
          </w:tcPr>
          <w:p w14:paraId="3DE9E035"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924</w:t>
            </w:r>
          </w:p>
        </w:tc>
        <w:tc>
          <w:tcPr>
            <w:tcW w:w="1419" w:type="dxa"/>
            <w:vAlign w:val="center"/>
          </w:tcPr>
          <w:p w14:paraId="504B362F"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836</w:t>
            </w:r>
          </w:p>
        </w:tc>
        <w:tc>
          <w:tcPr>
            <w:tcW w:w="1226" w:type="dxa"/>
            <w:vAlign w:val="center"/>
          </w:tcPr>
          <w:p w14:paraId="706A763F"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34 361</w:t>
            </w:r>
          </w:p>
        </w:tc>
        <w:tc>
          <w:tcPr>
            <w:tcW w:w="1366" w:type="dxa"/>
            <w:vAlign w:val="center"/>
          </w:tcPr>
          <w:p w14:paraId="3F475289"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2,4</w:t>
            </w:r>
          </w:p>
        </w:tc>
        <w:tc>
          <w:tcPr>
            <w:tcW w:w="1233" w:type="dxa"/>
            <w:vAlign w:val="center"/>
          </w:tcPr>
          <w:p w14:paraId="2E363128"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817</w:t>
            </w:r>
          </w:p>
        </w:tc>
        <w:tc>
          <w:tcPr>
            <w:tcW w:w="1809" w:type="dxa"/>
          </w:tcPr>
          <w:p w14:paraId="700887C5"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1,1</w:t>
            </w:r>
          </w:p>
        </w:tc>
      </w:tr>
      <w:tr w:rsidR="00D31A34" w:rsidRPr="00CE357F" w14:paraId="4B688092" w14:textId="77777777" w:rsidTr="004A0C47">
        <w:trPr>
          <w:trHeight w:val="204"/>
        </w:trPr>
        <w:tc>
          <w:tcPr>
            <w:tcW w:w="993" w:type="dxa"/>
            <w:shd w:val="clear" w:color="auto" w:fill="D9E2F3" w:themeFill="accent1" w:themeFillTint="33"/>
            <w:vAlign w:val="center"/>
          </w:tcPr>
          <w:p w14:paraId="44F124BA"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2016</w:t>
            </w:r>
          </w:p>
        </w:tc>
        <w:tc>
          <w:tcPr>
            <w:tcW w:w="1134" w:type="dxa"/>
            <w:vAlign w:val="center"/>
          </w:tcPr>
          <w:p w14:paraId="721ACE3B"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1 329</w:t>
            </w:r>
          </w:p>
        </w:tc>
        <w:tc>
          <w:tcPr>
            <w:tcW w:w="1419" w:type="dxa"/>
            <w:vAlign w:val="center"/>
          </w:tcPr>
          <w:p w14:paraId="0966A566"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1 189</w:t>
            </w:r>
          </w:p>
        </w:tc>
        <w:tc>
          <w:tcPr>
            <w:tcW w:w="1226" w:type="dxa"/>
            <w:vAlign w:val="center"/>
          </w:tcPr>
          <w:p w14:paraId="41E3E63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34 757</w:t>
            </w:r>
          </w:p>
        </w:tc>
        <w:tc>
          <w:tcPr>
            <w:tcW w:w="1366" w:type="dxa"/>
            <w:vAlign w:val="center"/>
          </w:tcPr>
          <w:p w14:paraId="5F0298C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3,4</w:t>
            </w:r>
          </w:p>
        </w:tc>
        <w:tc>
          <w:tcPr>
            <w:tcW w:w="1233" w:type="dxa"/>
            <w:vAlign w:val="center"/>
          </w:tcPr>
          <w:p w14:paraId="01AAEB6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575</w:t>
            </w:r>
          </w:p>
        </w:tc>
        <w:tc>
          <w:tcPr>
            <w:tcW w:w="1809" w:type="dxa"/>
          </w:tcPr>
          <w:p w14:paraId="15146B63"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2,3</w:t>
            </w:r>
          </w:p>
        </w:tc>
      </w:tr>
      <w:tr w:rsidR="00D31A34" w:rsidRPr="00CE357F" w14:paraId="0CA47C12" w14:textId="77777777" w:rsidTr="004A0C47">
        <w:trPr>
          <w:trHeight w:val="204"/>
        </w:trPr>
        <w:tc>
          <w:tcPr>
            <w:tcW w:w="993" w:type="dxa"/>
            <w:shd w:val="clear" w:color="auto" w:fill="D9E2F3" w:themeFill="accent1" w:themeFillTint="33"/>
            <w:vAlign w:val="center"/>
          </w:tcPr>
          <w:p w14:paraId="03193616"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2015</w:t>
            </w:r>
          </w:p>
        </w:tc>
        <w:tc>
          <w:tcPr>
            <w:tcW w:w="1134" w:type="dxa"/>
            <w:vAlign w:val="center"/>
          </w:tcPr>
          <w:p w14:paraId="793CA3AF"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1 709</w:t>
            </w:r>
          </w:p>
        </w:tc>
        <w:tc>
          <w:tcPr>
            <w:tcW w:w="1419" w:type="dxa"/>
            <w:vAlign w:val="center"/>
          </w:tcPr>
          <w:p w14:paraId="26606B89"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1 576</w:t>
            </w:r>
          </w:p>
        </w:tc>
        <w:tc>
          <w:tcPr>
            <w:tcW w:w="1226" w:type="dxa"/>
            <w:vAlign w:val="center"/>
          </w:tcPr>
          <w:p w14:paraId="5C0A3405"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35 074</w:t>
            </w:r>
          </w:p>
        </w:tc>
        <w:tc>
          <w:tcPr>
            <w:tcW w:w="1366" w:type="dxa"/>
            <w:vAlign w:val="center"/>
          </w:tcPr>
          <w:p w14:paraId="0E7A8813"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4,5</w:t>
            </w:r>
          </w:p>
        </w:tc>
        <w:tc>
          <w:tcPr>
            <w:tcW w:w="1233" w:type="dxa"/>
            <w:vAlign w:val="center"/>
          </w:tcPr>
          <w:p w14:paraId="0DC2F5BB"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439</w:t>
            </w:r>
          </w:p>
        </w:tc>
        <w:tc>
          <w:tcPr>
            <w:tcW w:w="1809" w:type="dxa"/>
          </w:tcPr>
          <w:p w14:paraId="0B59BC96"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3,9</w:t>
            </w:r>
          </w:p>
        </w:tc>
      </w:tr>
      <w:tr w:rsidR="00D31A34" w:rsidRPr="00CE357F" w14:paraId="41C5DBBC" w14:textId="77777777" w:rsidTr="004A0C47">
        <w:trPr>
          <w:trHeight w:val="204"/>
        </w:trPr>
        <w:tc>
          <w:tcPr>
            <w:tcW w:w="993" w:type="dxa"/>
            <w:shd w:val="clear" w:color="auto" w:fill="D9E2F3" w:themeFill="accent1" w:themeFillTint="33"/>
            <w:vAlign w:val="center"/>
          </w:tcPr>
          <w:p w14:paraId="1D386D26"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2014</w:t>
            </w:r>
          </w:p>
        </w:tc>
        <w:tc>
          <w:tcPr>
            <w:tcW w:w="1134" w:type="dxa"/>
            <w:vAlign w:val="center"/>
          </w:tcPr>
          <w:p w14:paraId="18BFFD89"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2 198</w:t>
            </w:r>
          </w:p>
        </w:tc>
        <w:tc>
          <w:tcPr>
            <w:tcW w:w="1419" w:type="dxa"/>
            <w:vAlign w:val="center"/>
          </w:tcPr>
          <w:p w14:paraId="186E232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2 061</w:t>
            </w:r>
          </w:p>
        </w:tc>
        <w:tc>
          <w:tcPr>
            <w:tcW w:w="1226" w:type="dxa"/>
            <w:vAlign w:val="center"/>
          </w:tcPr>
          <w:p w14:paraId="5446387F"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35 389</w:t>
            </w:r>
          </w:p>
        </w:tc>
        <w:tc>
          <w:tcPr>
            <w:tcW w:w="1366" w:type="dxa"/>
            <w:vAlign w:val="center"/>
          </w:tcPr>
          <w:p w14:paraId="24F250FB"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5,8</w:t>
            </w:r>
          </w:p>
        </w:tc>
        <w:tc>
          <w:tcPr>
            <w:tcW w:w="1233" w:type="dxa"/>
            <w:vAlign w:val="center"/>
          </w:tcPr>
          <w:p w14:paraId="7F1975C9"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226</w:t>
            </w:r>
          </w:p>
        </w:tc>
        <w:tc>
          <w:tcPr>
            <w:tcW w:w="1809" w:type="dxa"/>
          </w:tcPr>
          <w:p w14:paraId="0EC8A09A"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9,7</w:t>
            </w:r>
          </w:p>
        </w:tc>
      </w:tr>
      <w:tr w:rsidR="00D31A34" w:rsidRPr="00CE357F" w14:paraId="76B466E2" w14:textId="77777777" w:rsidTr="004A0C47">
        <w:trPr>
          <w:trHeight w:val="204"/>
        </w:trPr>
        <w:tc>
          <w:tcPr>
            <w:tcW w:w="993" w:type="dxa"/>
            <w:shd w:val="clear" w:color="auto" w:fill="D9E2F3" w:themeFill="accent1" w:themeFillTint="33"/>
            <w:vAlign w:val="center"/>
          </w:tcPr>
          <w:p w14:paraId="5E8B8014"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2013</w:t>
            </w:r>
          </w:p>
        </w:tc>
        <w:tc>
          <w:tcPr>
            <w:tcW w:w="1134" w:type="dxa"/>
            <w:vAlign w:val="center"/>
          </w:tcPr>
          <w:p w14:paraId="28BD75BB"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574</w:t>
            </w:r>
          </w:p>
        </w:tc>
        <w:tc>
          <w:tcPr>
            <w:tcW w:w="1419" w:type="dxa"/>
            <w:vAlign w:val="center"/>
          </w:tcPr>
          <w:p w14:paraId="075A4115"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2C7F744F"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309DBE96"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2EA549B3"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178</w:t>
            </w:r>
          </w:p>
        </w:tc>
        <w:tc>
          <w:tcPr>
            <w:tcW w:w="1809" w:type="dxa"/>
          </w:tcPr>
          <w:p w14:paraId="16091D44"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3,2</w:t>
            </w:r>
          </w:p>
        </w:tc>
      </w:tr>
      <w:tr w:rsidR="00D31A34" w:rsidRPr="00CE357F" w14:paraId="43365DAB" w14:textId="77777777" w:rsidTr="004A0C47">
        <w:trPr>
          <w:trHeight w:val="204"/>
        </w:trPr>
        <w:tc>
          <w:tcPr>
            <w:tcW w:w="993" w:type="dxa"/>
            <w:shd w:val="clear" w:color="auto" w:fill="D9E2F3" w:themeFill="accent1" w:themeFillTint="33"/>
            <w:vAlign w:val="center"/>
          </w:tcPr>
          <w:p w14:paraId="01DBDA40"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2012</w:t>
            </w:r>
          </w:p>
        </w:tc>
        <w:tc>
          <w:tcPr>
            <w:tcW w:w="1134" w:type="dxa"/>
            <w:vAlign w:val="center"/>
          </w:tcPr>
          <w:p w14:paraId="6A507D53"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924</w:t>
            </w:r>
          </w:p>
        </w:tc>
        <w:tc>
          <w:tcPr>
            <w:tcW w:w="1419" w:type="dxa"/>
            <w:vAlign w:val="center"/>
          </w:tcPr>
          <w:p w14:paraId="2CE4BC36"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5E15330A"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6E53F526"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25F0AFF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178</w:t>
            </w:r>
          </w:p>
        </w:tc>
        <w:tc>
          <w:tcPr>
            <w:tcW w:w="1809" w:type="dxa"/>
          </w:tcPr>
          <w:p w14:paraId="1D9A4ADA"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5,2</w:t>
            </w:r>
          </w:p>
        </w:tc>
      </w:tr>
      <w:tr w:rsidR="00D31A34" w:rsidRPr="00CE357F" w14:paraId="2496D744" w14:textId="77777777" w:rsidTr="004A0C47">
        <w:trPr>
          <w:trHeight w:val="204"/>
        </w:trPr>
        <w:tc>
          <w:tcPr>
            <w:tcW w:w="993" w:type="dxa"/>
            <w:shd w:val="clear" w:color="auto" w:fill="D9E2F3" w:themeFill="accent1" w:themeFillTint="33"/>
            <w:vAlign w:val="center"/>
          </w:tcPr>
          <w:p w14:paraId="17B4461C"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2011</w:t>
            </w:r>
          </w:p>
        </w:tc>
        <w:tc>
          <w:tcPr>
            <w:tcW w:w="1134" w:type="dxa"/>
            <w:vAlign w:val="center"/>
          </w:tcPr>
          <w:p w14:paraId="79F2639B" w14:textId="77777777" w:rsidR="00D31A34" w:rsidRPr="00CE357F" w:rsidRDefault="00D31A34" w:rsidP="004A0C47">
            <w:pPr>
              <w:jc w:val="center"/>
              <w:rPr>
                <w:rFonts w:ascii="Arial Narrow" w:hAnsi="Arial Narrow"/>
                <w:b/>
                <w:bCs/>
                <w:color w:val="C00000"/>
                <w:sz w:val="18"/>
                <w:szCs w:val="18"/>
              </w:rPr>
            </w:pPr>
            <w:r w:rsidRPr="00CE357F">
              <w:rPr>
                <w:rFonts w:ascii="Arial Narrow" w:hAnsi="Arial Narrow"/>
                <w:b/>
                <w:bCs/>
                <w:color w:val="C00000"/>
                <w:sz w:val="18"/>
                <w:szCs w:val="18"/>
              </w:rPr>
              <w:t>2 517</w:t>
            </w:r>
          </w:p>
        </w:tc>
        <w:tc>
          <w:tcPr>
            <w:tcW w:w="1419" w:type="dxa"/>
            <w:vAlign w:val="center"/>
          </w:tcPr>
          <w:p w14:paraId="62E41D6E"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6449E2FE"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019628E8"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78ABFEB4"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132</w:t>
            </w:r>
          </w:p>
        </w:tc>
        <w:tc>
          <w:tcPr>
            <w:tcW w:w="1809" w:type="dxa"/>
          </w:tcPr>
          <w:p w14:paraId="795748F5" w14:textId="77777777" w:rsidR="00D31A34" w:rsidRPr="00CE357F" w:rsidRDefault="00D31A34" w:rsidP="004A0C47">
            <w:pPr>
              <w:jc w:val="center"/>
              <w:rPr>
                <w:rFonts w:ascii="Arial Narrow" w:hAnsi="Arial Narrow"/>
                <w:b/>
                <w:color w:val="C00000"/>
                <w:sz w:val="18"/>
                <w:szCs w:val="18"/>
              </w:rPr>
            </w:pPr>
            <w:r w:rsidRPr="00CE357F">
              <w:rPr>
                <w:rFonts w:ascii="Arial Narrow" w:hAnsi="Arial Narrow"/>
                <w:b/>
                <w:color w:val="C00000"/>
                <w:sz w:val="18"/>
                <w:szCs w:val="18"/>
              </w:rPr>
              <w:t>19,1</w:t>
            </w:r>
          </w:p>
        </w:tc>
      </w:tr>
      <w:tr w:rsidR="00D31A34" w:rsidRPr="00CE357F" w14:paraId="6B266D67" w14:textId="77777777" w:rsidTr="004A0C47">
        <w:trPr>
          <w:trHeight w:val="204"/>
        </w:trPr>
        <w:tc>
          <w:tcPr>
            <w:tcW w:w="993" w:type="dxa"/>
            <w:shd w:val="clear" w:color="auto" w:fill="D9E2F3" w:themeFill="accent1" w:themeFillTint="33"/>
            <w:vAlign w:val="center"/>
          </w:tcPr>
          <w:p w14:paraId="49CD13B5"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2010</w:t>
            </w:r>
          </w:p>
        </w:tc>
        <w:tc>
          <w:tcPr>
            <w:tcW w:w="1134" w:type="dxa"/>
            <w:vAlign w:val="center"/>
          </w:tcPr>
          <w:p w14:paraId="5B79F5F2" w14:textId="77777777" w:rsidR="00D31A34" w:rsidRPr="00CE357F" w:rsidRDefault="00D31A34" w:rsidP="004A0C47">
            <w:pPr>
              <w:jc w:val="center"/>
              <w:rPr>
                <w:rFonts w:ascii="Arial Narrow" w:hAnsi="Arial Narrow"/>
                <w:b/>
                <w:bCs/>
                <w:color w:val="C00000"/>
                <w:sz w:val="18"/>
                <w:szCs w:val="18"/>
              </w:rPr>
            </w:pPr>
            <w:r w:rsidRPr="00CE357F">
              <w:rPr>
                <w:rFonts w:ascii="Arial Narrow" w:hAnsi="Arial Narrow"/>
                <w:b/>
                <w:bCs/>
                <w:color w:val="C00000"/>
                <w:sz w:val="18"/>
                <w:szCs w:val="18"/>
              </w:rPr>
              <w:t>2 567</w:t>
            </w:r>
          </w:p>
        </w:tc>
        <w:tc>
          <w:tcPr>
            <w:tcW w:w="1419" w:type="dxa"/>
            <w:vAlign w:val="center"/>
          </w:tcPr>
          <w:p w14:paraId="70DD3408"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7121FF0E"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4042A882"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584756C5"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153</w:t>
            </w:r>
          </w:p>
        </w:tc>
        <w:tc>
          <w:tcPr>
            <w:tcW w:w="1809" w:type="dxa"/>
          </w:tcPr>
          <w:p w14:paraId="43D8B1B6" w14:textId="77777777" w:rsidR="00D31A34" w:rsidRPr="00CE357F" w:rsidRDefault="00D31A34" w:rsidP="004A0C47">
            <w:pPr>
              <w:jc w:val="center"/>
              <w:rPr>
                <w:rFonts w:ascii="Arial Narrow" w:hAnsi="Arial Narrow"/>
                <w:b/>
                <w:color w:val="C00000"/>
                <w:sz w:val="18"/>
                <w:szCs w:val="18"/>
              </w:rPr>
            </w:pPr>
            <w:r w:rsidRPr="00CE357F">
              <w:rPr>
                <w:rFonts w:ascii="Arial Narrow" w:hAnsi="Arial Narrow"/>
                <w:b/>
                <w:color w:val="C00000"/>
                <w:sz w:val="18"/>
                <w:szCs w:val="18"/>
              </w:rPr>
              <w:t>16,8</w:t>
            </w:r>
          </w:p>
        </w:tc>
      </w:tr>
      <w:tr w:rsidR="00D31A34" w:rsidRPr="00CE357F" w14:paraId="68C01407" w14:textId="77777777" w:rsidTr="004A0C47">
        <w:trPr>
          <w:trHeight w:val="204"/>
        </w:trPr>
        <w:tc>
          <w:tcPr>
            <w:tcW w:w="993" w:type="dxa"/>
            <w:shd w:val="clear" w:color="auto" w:fill="D9E2F3" w:themeFill="accent1" w:themeFillTint="33"/>
            <w:vAlign w:val="center"/>
          </w:tcPr>
          <w:p w14:paraId="3C4003E6"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2009</w:t>
            </w:r>
          </w:p>
        </w:tc>
        <w:tc>
          <w:tcPr>
            <w:tcW w:w="1134" w:type="dxa"/>
            <w:vAlign w:val="center"/>
          </w:tcPr>
          <w:p w14:paraId="7EE27594" w14:textId="77777777" w:rsidR="00D31A34" w:rsidRPr="00CE357F" w:rsidRDefault="00D31A34" w:rsidP="004A0C47">
            <w:pPr>
              <w:jc w:val="center"/>
              <w:rPr>
                <w:rFonts w:ascii="Arial Narrow" w:hAnsi="Arial Narrow"/>
                <w:b/>
                <w:bCs/>
                <w:color w:val="C00000"/>
                <w:sz w:val="18"/>
                <w:szCs w:val="18"/>
              </w:rPr>
            </w:pPr>
            <w:r w:rsidRPr="00CE357F">
              <w:rPr>
                <w:rFonts w:ascii="Arial Narrow" w:hAnsi="Arial Narrow"/>
                <w:b/>
                <w:bCs/>
                <w:color w:val="C00000"/>
                <w:sz w:val="18"/>
                <w:szCs w:val="18"/>
              </w:rPr>
              <w:t>2 578</w:t>
            </w:r>
          </w:p>
        </w:tc>
        <w:tc>
          <w:tcPr>
            <w:tcW w:w="1419" w:type="dxa"/>
            <w:vAlign w:val="center"/>
          </w:tcPr>
          <w:p w14:paraId="50C5A59A"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496EE215"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3DE4110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716D10E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109</w:t>
            </w:r>
          </w:p>
        </w:tc>
        <w:tc>
          <w:tcPr>
            <w:tcW w:w="1809" w:type="dxa"/>
          </w:tcPr>
          <w:p w14:paraId="002D6674" w14:textId="77777777" w:rsidR="00D31A34" w:rsidRPr="00CE357F" w:rsidRDefault="00D31A34" w:rsidP="004A0C47">
            <w:pPr>
              <w:jc w:val="center"/>
              <w:rPr>
                <w:rFonts w:ascii="Arial Narrow" w:hAnsi="Arial Narrow"/>
                <w:b/>
                <w:color w:val="C00000"/>
                <w:sz w:val="18"/>
                <w:szCs w:val="18"/>
              </w:rPr>
            </w:pPr>
            <w:r w:rsidRPr="00CE357F">
              <w:rPr>
                <w:rFonts w:ascii="Arial Narrow" w:hAnsi="Arial Narrow"/>
                <w:b/>
                <w:color w:val="C00000"/>
                <w:sz w:val="18"/>
                <w:szCs w:val="18"/>
              </w:rPr>
              <w:t>23,7</w:t>
            </w:r>
          </w:p>
        </w:tc>
      </w:tr>
      <w:tr w:rsidR="00D31A34" w:rsidRPr="00CE357F" w14:paraId="74F4C25E" w14:textId="77777777" w:rsidTr="004A0C47">
        <w:trPr>
          <w:trHeight w:val="204"/>
        </w:trPr>
        <w:tc>
          <w:tcPr>
            <w:tcW w:w="993" w:type="dxa"/>
            <w:shd w:val="clear" w:color="auto" w:fill="D9E2F3" w:themeFill="accent1" w:themeFillTint="33"/>
            <w:vAlign w:val="center"/>
          </w:tcPr>
          <w:p w14:paraId="2BCD50F9"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2008</w:t>
            </w:r>
          </w:p>
        </w:tc>
        <w:tc>
          <w:tcPr>
            <w:tcW w:w="1134" w:type="dxa"/>
            <w:vAlign w:val="center"/>
          </w:tcPr>
          <w:p w14:paraId="7EA82F0E"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1 494</w:t>
            </w:r>
          </w:p>
        </w:tc>
        <w:tc>
          <w:tcPr>
            <w:tcW w:w="1419" w:type="dxa"/>
            <w:vAlign w:val="center"/>
          </w:tcPr>
          <w:p w14:paraId="15221AAF"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586662F2"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6AEEC0AB"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64624965"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270</w:t>
            </w:r>
          </w:p>
        </w:tc>
        <w:tc>
          <w:tcPr>
            <w:tcW w:w="1809" w:type="dxa"/>
          </w:tcPr>
          <w:p w14:paraId="29A68979"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5,5</w:t>
            </w:r>
          </w:p>
        </w:tc>
      </w:tr>
      <w:tr w:rsidR="00D31A34" w:rsidRPr="00CE357F" w14:paraId="7CAA0188" w14:textId="77777777" w:rsidTr="004A0C47">
        <w:trPr>
          <w:trHeight w:val="204"/>
        </w:trPr>
        <w:tc>
          <w:tcPr>
            <w:tcW w:w="993" w:type="dxa"/>
            <w:shd w:val="clear" w:color="auto" w:fill="D9E2F3" w:themeFill="accent1" w:themeFillTint="33"/>
            <w:vAlign w:val="center"/>
          </w:tcPr>
          <w:p w14:paraId="6CD18110"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2007</w:t>
            </w:r>
          </w:p>
        </w:tc>
        <w:tc>
          <w:tcPr>
            <w:tcW w:w="1134" w:type="dxa"/>
            <w:vAlign w:val="center"/>
          </w:tcPr>
          <w:p w14:paraId="3C5138D3"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1 400</w:t>
            </w:r>
          </w:p>
        </w:tc>
        <w:tc>
          <w:tcPr>
            <w:tcW w:w="1419" w:type="dxa"/>
            <w:vAlign w:val="center"/>
          </w:tcPr>
          <w:p w14:paraId="12FDD3CB"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2EB2BDC2"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1A2678FF"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50FC86FB"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398</w:t>
            </w:r>
          </w:p>
        </w:tc>
        <w:tc>
          <w:tcPr>
            <w:tcW w:w="1809" w:type="dxa"/>
          </w:tcPr>
          <w:p w14:paraId="02D33BCE"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3,5</w:t>
            </w:r>
          </w:p>
        </w:tc>
      </w:tr>
      <w:tr w:rsidR="00D31A34" w:rsidRPr="00CE357F" w14:paraId="3F6CF2A4" w14:textId="77777777" w:rsidTr="004A0C47">
        <w:trPr>
          <w:trHeight w:val="204"/>
        </w:trPr>
        <w:tc>
          <w:tcPr>
            <w:tcW w:w="993" w:type="dxa"/>
            <w:shd w:val="clear" w:color="auto" w:fill="D9E2F3" w:themeFill="accent1" w:themeFillTint="33"/>
            <w:vAlign w:val="center"/>
          </w:tcPr>
          <w:p w14:paraId="2109CB5A"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2006</w:t>
            </w:r>
          </w:p>
        </w:tc>
        <w:tc>
          <w:tcPr>
            <w:tcW w:w="1134" w:type="dxa"/>
            <w:vAlign w:val="center"/>
          </w:tcPr>
          <w:p w14:paraId="0FCAF95D"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1 976</w:t>
            </w:r>
          </w:p>
        </w:tc>
        <w:tc>
          <w:tcPr>
            <w:tcW w:w="1419" w:type="dxa"/>
            <w:vAlign w:val="center"/>
          </w:tcPr>
          <w:p w14:paraId="78CD2B11"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71FA138C"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21CCE31D"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4C318FC0"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347</w:t>
            </w:r>
          </w:p>
        </w:tc>
        <w:tc>
          <w:tcPr>
            <w:tcW w:w="1809" w:type="dxa"/>
          </w:tcPr>
          <w:p w14:paraId="246485C7"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5,7</w:t>
            </w:r>
          </w:p>
        </w:tc>
      </w:tr>
      <w:tr w:rsidR="00D31A34" w:rsidRPr="00CE357F" w14:paraId="132EFB1D" w14:textId="77777777" w:rsidTr="004A0C47">
        <w:trPr>
          <w:trHeight w:val="204"/>
        </w:trPr>
        <w:tc>
          <w:tcPr>
            <w:tcW w:w="993" w:type="dxa"/>
            <w:shd w:val="clear" w:color="auto" w:fill="D9E2F3" w:themeFill="accent1" w:themeFillTint="33"/>
            <w:vAlign w:val="center"/>
          </w:tcPr>
          <w:p w14:paraId="51A56521" w14:textId="77777777" w:rsidR="00D31A34" w:rsidRPr="00CE357F" w:rsidRDefault="00D31A34" w:rsidP="004A0C47">
            <w:pPr>
              <w:jc w:val="center"/>
              <w:rPr>
                <w:rFonts w:ascii="Arial Narrow" w:hAnsi="Arial Narrow" w:cs="Arial"/>
                <w:b/>
                <w:sz w:val="18"/>
                <w:szCs w:val="18"/>
              </w:rPr>
            </w:pPr>
            <w:r w:rsidRPr="00CE357F">
              <w:rPr>
                <w:rFonts w:ascii="Arial Narrow" w:hAnsi="Arial Narrow" w:cs="Arial"/>
                <w:b/>
                <w:sz w:val="18"/>
                <w:szCs w:val="18"/>
              </w:rPr>
              <w:t>2005</w:t>
            </w:r>
          </w:p>
        </w:tc>
        <w:tc>
          <w:tcPr>
            <w:tcW w:w="1134" w:type="dxa"/>
            <w:vAlign w:val="center"/>
          </w:tcPr>
          <w:p w14:paraId="51257DE0" w14:textId="77777777" w:rsidR="00D31A34" w:rsidRPr="00CE357F" w:rsidRDefault="00D31A34" w:rsidP="004A0C47">
            <w:pPr>
              <w:jc w:val="center"/>
              <w:rPr>
                <w:rFonts w:ascii="Arial Narrow" w:hAnsi="Arial Narrow"/>
                <w:bCs/>
                <w:sz w:val="18"/>
                <w:szCs w:val="18"/>
              </w:rPr>
            </w:pPr>
            <w:r w:rsidRPr="00CE357F">
              <w:rPr>
                <w:rFonts w:ascii="Arial Narrow" w:hAnsi="Arial Narrow"/>
                <w:bCs/>
                <w:sz w:val="18"/>
                <w:szCs w:val="18"/>
              </w:rPr>
              <w:t>2 350</w:t>
            </w:r>
          </w:p>
        </w:tc>
        <w:tc>
          <w:tcPr>
            <w:tcW w:w="1419" w:type="dxa"/>
            <w:vAlign w:val="center"/>
          </w:tcPr>
          <w:p w14:paraId="265AE0E1"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26" w:type="dxa"/>
            <w:vAlign w:val="center"/>
          </w:tcPr>
          <w:p w14:paraId="0771DDCD"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366" w:type="dxa"/>
            <w:vAlign w:val="center"/>
          </w:tcPr>
          <w:p w14:paraId="3656AE95"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w:t>
            </w:r>
          </w:p>
        </w:tc>
        <w:tc>
          <w:tcPr>
            <w:tcW w:w="1233" w:type="dxa"/>
            <w:vAlign w:val="center"/>
          </w:tcPr>
          <w:p w14:paraId="36744AF1"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173</w:t>
            </w:r>
          </w:p>
        </w:tc>
        <w:tc>
          <w:tcPr>
            <w:tcW w:w="1809" w:type="dxa"/>
          </w:tcPr>
          <w:p w14:paraId="266BDDF6" w14:textId="77777777" w:rsidR="00D31A34" w:rsidRPr="00CE357F" w:rsidRDefault="00D31A34" w:rsidP="004A0C47">
            <w:pPr>
              <w:jc w:val="center"/>
              <w:rPr>
                <w:rFonts w:ascii="Arial Narrow" w:hAnsi="Arial Narrow"/>
                <w:sz w:val="18"/>
                <w:szCs w:val="18"/>
              </w:rPr>
            </w:pPr>
            <w:r w:rsidRPr="00CE357F">
              <w:rPr>
                <w:rFonts w:ascii="Arial Narrow" w:hAnsi="Arial Narrow"/>
                <w:sz w:val="18"/>
                <w:szCs w:val="18"/>
              </w:rPr>
              <w:t>13,6</w:t>
            </w:r>
          </w:p>
        </w:tc>
      </w:tr>
    </w:tbl>
    <w:p w14:paraId="6919C12D" w14:textId="29A643ED" w:rsidR="00FA2445" w:rsidRPr="00E1313E" w:rsidRDefault="00D31A34" w:rsidP="00E1313E">
      <w:pPr>
        <w:spacing w:after="240" w:line="276" w:lineRule="auto"/>
        <w:rPr>
          <w:rFonts w:ascii="Arial Narrow" w:hAnsi="Arial Narrow"/>
          <w:color w:val="000000"/>
          <w:sz w:val="20"/>
          <w:lang w:eastAsia="cs-CZ"/>
        </w:rPr>
      </w:pPr>
      <w:r w:rsidRPr="00CE357F">
        <w:rPr>
          <w:rFonts w:ascii="Arial Narrow" w:hAnsi="Arial Narrow"/>
          <w:color w:val="000000"/>
          <w:sz w:val="20"/>
          <w:lang w:eastAsia="cs-CZ"/>
        </w:rPr>
        <w:t xml:space="preserve">Zdroj: Ministerstvo práce a sociálních věcí (data za měsíc prosinec daného roku)      </w:t>
      </w:r>
      <w:r w:rsidRPr="00CE357F">
        <w:rPr>
          <w:rFonts w:ascii="Arial Narrow" w:hAnsi="Arial Narrow"/>
          <w:sz w:val="20"/>
        </w:rPr>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xml:space="preserve"> s.r.o.</w:t>
      </w:r>
    </w:p>
    <w:p w14:paraId="1613FEE6" w14:textId="3BBD23D5" w:rsidR="00C475C3" w:rsidRPr="00CE357F" w:rsidRDefault="00C475C3" w:rsidP="00C475C3">
      <w:pPr>
        <w:pStyle w:val="Nadpis3"/>
      </w:pPr>
      <w:bookmarkStart w:id="856" w:name="_Toc136876156"/>
      <w:r w:rsidRPr="00CE357F">
        <w:t>O</w:t>
      </w:r>
      <w:r w:rsidR="00E46A4F" w:rsidRPr="00CE357F">
        <w:t>soby</w:t>
      </w:r>
      <w:r w:rsidRPr="00CE357F">
        <w:t xml:space="preserve"> s jinou než českou státní příslušností zaměstnan</w:t>
      </w:r>
      <w:r w:rsidR="00E46A4F" w:rsidRPr="00CE357F">
        <w:t>é</w:t>
      </w:r>
      <w:r w:rsidRPr="00CE357F">
        <w:t xml:space="preserve"> v roce 2020 ve firmách na území ORP</w:t>
      </w:r>
      <w:bookmarkEnd w:id="856"/>
    </w:p>
    <w:p w14:paraId="630C6F25" w14:textId="77777777" w:rsidR="00C475C3" w:rsidRPr="00CE357F" w:rsidRDefault="00C475C3" w:rsidP="00732A00">
      <w:pPr>
        <w:rPr>
          <w:rFonts w:ascii="Arial Narrow" w:hAnsi="Arial Narrow"/>
        </w:rPr>
      </w:pPr>
    </w:p>
    <w:p w14:paraId="7CEF00D0" w14:textId="3120A4CD" w:rsidR="00C475C3" w:rsidRPr="00CE357F" w:rsidRDefault="00C475C3" w:rsidP="00C475C3">
      <w:pPr>
        <w:spacing w:line="276" w:lineRule="auto"/>
        <w:rPr>
          <w:rFonts w:ascii="Arial Narrow" w:hAnsi="Arial Narrow"/>
          <w:b/>
          <w:bCs/>
          <w:color w:val="C00000"/>
        </w:rPr>
      </w:pPr>
      <w:r w:rsidRPr="00CE357F">
        <w:rPr>
          <w:rFonts w:ascii="Arial Narrow" w:hAnsi="Arial Narrow"/>
          <w:b/>
          <w:bCs/>
          <w:color w:val="C00000"/>
        </w:rPr>
        <w:t xml:space="preserve">Soupis </w:t>
      </w:r>
      <w:r w:rsidR="001E64E1">
        <w:rPr>
          <w:rFonts w:ascii="Arial Narrow" w:hAnsi="Arial Narrow"/>
          <w:b/>
          <w:bCs/>
          <w:color w:val="C00000"/>
        </w:rPr>
        <w:t>významných</w:t>
      </w:r>
      <w:r w:rsidRPr="00CE357F">
        <w:rPr>
          <w:rFonts w:ascii="Arial Narrow" w:hAnsi="Arial Narrow"/>
          <w:b/>
          <w:bCs/>
          <w:color w:val="C00000"/>
        </w:rPr>
        <w:t xml:space="preserve"> zaměstnavatelů </w:t>
      </w:r>
      <w:r w:rsidR="00566BC3" w:rsidRPr="00CE357F">
        <w:rPr>
          <w:rFonts w:ascii="Arial Narrow" w:hAnsi="Arial Narrow"/>
          <w:b/>
          <w:bCs/>
          <w:color w:val="C00000"/>
        </w:rPr>
        <w:t>osob s jinou než českou státní příslušností</w:t>
      </w:r>
      <w:r w:rsidRPr="00CE357F">
        <w:rPr>
          <w:rFonts w:ascii="Arial Narrow" w:hAnsi="Arial Narrow"/>
          <w:b/>
          <w:bCs/>
          <w:color w:val="C00000"/>
        </w:rPr>
        <w:t xml:space="preserve"> v ORP Vyškov </w:t>
      </w:r>
    </w:p>
    <w:p w14:paraId="77FF37D3" w14:textId="77777777" w:rsidR="00C475C3" w:rsidRPr="00CE357F" w:rsidRDefault="00C475C3" w:rsidP="00C475C3">
      <w:pPr>
        <w:spacing w:line="276" w:lineRule="auto"/>
        <w:rPr>
          <w:rFonts w:ascii="Arial Narrow" w:hAnsi="Arial Narrow"/>
          <w:b/>
          <w:bCs/>
          <w:color w:val="C00000"/>
        </w:rPr>
      </w:pPr>
    </w:p>
    <w:p w14:paraId="150D9B0E" w14:textId="77777777" w:rsidR="00C475C3" w:rsidRPr="00CE357F" w:rsidRDefault="00C475C3" w:rsidP="00C475C3">
      <w:pPr>
        <w:spacing w:after="120" w:line="276" w:lineRule="auto"/>
        <w:jc w:val="both"/>
        <w:rPr>
          <w:rFonts w:ascii="Arial Narrow" w:hAnsi="Arial Narrow"/>
        </w:rPr>
      </w:pPr>
      <w:r w:rsidRPr="00CE357F">
        <w:rPr>
          <w:rFonts w:ascii="Arial Narrow" w:hAnsi="Arial Narrow"/>
        </w:rPr>
        <w:t>Níže uvedená tabulka dokumentuje přehled zaměstnavatelů, u nichž bylo v rámci Průzkumu zaměstnanosti v Jihomoravském kraji prokazatelně identifikované, že v roce 2020 zaměstnávali alespoň 10 osob s jinou než českou státní příslušností. Přehled všech zaměstnavatelů, u nichž bylo prokazatelně identifikované, že v roce 2020 zaměstnávali alespoň 1 osobu s jinou než českou státní příslušností, je z důvodu rozsahu součástí přílohy této zprávy.</w:t>
      </w:r>
    </w:p>
    <w:p w14:paraId="4602363C" w14:textId="284B94E3" w:rsidR="00C475C3" w:rsidRPr="00CE357F" w:rsidRDefault="00C475C3" w:rsidP="00C475C3">
      <w:pPr>
        <w:spacing w:after="120" w:line="276" w:lineRule="auto"/>
        <w:jc w:val="both"/>
        <w:rPr>
          <w:rFonts w:ascii="Arial Narrow" w:hAnsi="Arial Narrow"/>
        </w:rPr>
      </w:pPr>
      <w:r w:rsidRPr="00CE357F">
        <w:rPr>
          <w:rFonts w:ascii="Arial Narrow" w:hAnsi="Arial Narrow"/>
        </w:rPr>
        <w:t xml:space="preserve">Dle těchto údajů byl v ORP Vyškov v roce 2020 </w:t>
      </w:r>
      <w:r w:rsidR="001E64E1">
        <w:rPr>
          <w:rFonts w:ascii="Arial Narrow" w:hAnsi="Arial Narrow"/>
        </w:rPr>
        <w:t>významný</w:t>
      </w:r>
      <w:r w:rsidRPr="00CE357F">
        <w:rPr>
          <w:rFonts w:ascii="Arial Narrow" w:hAnsi="Arial Narrow"/>
        </w:rPr>
        <w:t xml:space="preserve"> zaměstnavatel </w:t>
      </w:r>
      <w:r w:rsidR="001E64E1">
        <w:rPr>
          <w:rFonts w:ascii="Arial Narrow" w:hAnsi="Arial Narrow"/>
        </w:rPr>
        <w:t>osob</w:t>
      </w:r>
      <w:r w:rsidRPr="00CE357F">
        <w:rPr>
          <w:rFonts w:ascii="Arial Narrow" w:hAnsi="Arial Narrow"/>
        </w:rPr>
        <w:t xml:space="preserve"> s jinou než českou státní příslušností firma </w:t>
      </w:r>
      <w:r w:rsidRPr="00CE357F">
        <w:rPr>
          <w:rFonts w:ascii="Arial Narrow" w:hAnsi="Arial Narrow"/>
          <w:b/>
          <w:bCs/>
        </w:rPr>
        <w:t>MORAVIA AGENCY s.r.o.,</w:t>
      </w:r>
      <w:r w:rsidRPr="00CE357F">
        <w:rPr>
          <w:rFonts w:ascii="Arial Narrow" w:hAnsi="Arial Narrow"/>
        </w:rPr>
        <w:t xml:space="preserve"> která v roce 2020 zaměstnávala celkem 102 osob s jinou než českou státní příslušností, z toho 1 občana SK, 51 osob z EZ/EHP a Švýcarska a 50 občanů třetích zemí. Tato firma v roce 2020 zaměstnávala 28,98 % všech zaměstnaných osob s jinou než českou státní příslušností v ORP Vyškov. Druhým </w:t>
      </w:r>
      <w:r w:rsidR="001E64E1">
        <w:rPr>
          <w:rFonts w:ascii="Arial Narrow" w:hAnsi="Arial Narrow"/>
        </w:rPr>
        <w:t>významným</w:t>
      </w:r>
      <w:r w:rsidRPr="00CE357F">
        <w:rPr>
          <w:rFonts w:ascii="Arial Narrow" w:hAnsi="Arial Narrow"/>
        </w:rPr>
        <w:t xml:space="preserve"> zaměstnavatelem byla podle těchto údajů firma </w:t>
      </w:r>
      <w:r w:rsidR="001E64E1">
        <w:rPr>
          <w:rFonts w:ascii="Arial Narrow" w:hAnsi="Arial Narrow"/>
          <w:b/>
          <w:bCs/>
        </w:rPr>
        <w:t>F</w:t>
      </w:r>
      <w:r w:rsidRPr="00CE357F">
        <w:rPr>
          <w:rFonts w:ascii="Arial Narrow" w:hAnsi="Arial Narrow"/>
          <w:b/>
          <w:bCs/>
        </w:rPr>
        <w:t xml:space="preserve">ischer </w:t>
      </w:r>
      <w:proofErr w:type="spellStart"/>
      <w:r w:rsidRPr="00CE357F">
        <w:rPr>
          <w:rFonts w:ascii="Arial Narrow" w:hAnsi="Arial Narrow"/>
          <w:b/>
          <w:bCs/>
        </w:rPr>
        <w:t>automotive</w:t>
      </w:r>
      <w:proofErr w:type="spellEnd"/>
      <w:r w:rsidRPr="00CE357F">
        <w:rPr>
          <w:rFonts w:ascii="Arial Narrow" w:hAnsi="Arial Narrow"/>
          <w:b/>
          <w:bCs/>
        </w:rPr>
        <w:t xml:space="preserve"> </w:t>
      </w:r>
      <w:proofErr w:type="spellStart"/>
      <w:r w:rsidRPr="00CE357F">
        <w:rPr>
          <w:rFonts w:ascii="Arial Narrow" w:hAnsi="Arial Narrow"/>
          <w:b/>
          <w:bCs/>
        </w:rPr>
        <w:t>systems</w:t>
      </w:r>
      <w:proofErr w:type="spellEnd"/>
      <w:r w:rsidRPr="00CE357F">
        <w:rPr>
          <w:rFonts w:ascii="Arial Narrow" w:hAnsi="Arial Narrow"/>
          <w:b/>
          <w:bCs/>
        </w:rPr>
        <w:t xml:space="preserve"> s.r.o.,</w:t>
      </w:r>
      <w:r w:rsidRPr="00CE357F">
        <w:rPr>
          <w:rFonts w:ascii="Arial Narrow" w:hAnsi="Arial Narrow"/>
        </w:rPr>
        <w:t xml:space="preserve"> která v roce 2020 zaměstnávala 36 osob s jinou než českou státní příslušností, přičemž 32 z nich bylo občany jedné z třetích zemí. Mezi další významné zaměstnavatele občanů s jinou než českou státní příslušností v ORP Vyškov patřily v roce 2020 firma Lear </w:t>
      </w:r>
      <w:proofErr w:type="spellStart"/>
      <w:r w:rsidRPr="00CE357F">
        <w:rPr>
          <w:rFonts w:ascii="Arial Narrow" w:hAnsi="Arial Narrow"/>
        </w:rPr>
        <w:t>Corporation</w:t>
      </w:r>
      <w:proofErr w:type="spellEnd"/>
      <w:r w:rsidRPr="00CE357F">
        <w:rPr>
          <w:rFonts w:ascii="Arial Narrow" w:hAnsi="Arial Narrow"/>
        </w:rPr>
        <w:t xml:space="preserve"> Czech Republic s.r.o., která zaměstnávala 16 občanů z třetích zemí, Nemocnice Vyškov, </w:t>
      </w:r>
      <w:proofErr w:type="spellStart"/>
      <w:r w:rsidRPr="00CE357F">
        <w:rPr>
          <w:rFonts w:ascii="Arial Narrow" w:hAnsi="Arial Narrow"/>
        </w:rPr>
        <w:t>p.o</w:t>
      </w:r>
      <w:proofErr w:type="spellEnd"/>
      <w:r w:rsidRPr="00CE357F">
        <w:rPr>
          <w:rFonts w:ascii="Arial Narrow" w:hAnsi="Arial Narrow"/>
        </w:rPr>
        <w:t xml:space="preserve">. (33 zaměstnanců z řad cizinců) či firma ALJUSI s.r.o. (21 zaměstnanců). </w:t>
      </w:r>
    </w:p>
    <w:p w14:paraId="3096A711" w14:textId="342C5941" w:rsidR="00171B4D" w:rsidRDefault="00C475C3" w:rsidP="00C475C3">
      <w:pPr>
        <w:spacing w:after="120" w:line="276" w:lineRule="auto"/>
        <w:jc w:val="both"/>
        <w:rPr>
          <w:rFonts w:ascii="Arial Narrow" w:hAnsi="Arial Narrow"/>
        </w:rPr>
      </w:pPr>
      <w:r w:rsidRPr="00CE357F">
        <w:rPr>
          <w:rFonts w:ascii="Arial Narrow" w:hAnsi="Arial Narrow"/>
        </w:rPr>
        <w:t>Z celkových 352 zaměstnanců</w:t>
      </w:r>
      <w:r w:rsidR="001E64E1">
        <w:t>–</w:t>
      </w:r>
      <w:r w:rsidR="001E64E1">
        <w:rPr>
          <w:rFonts w:ascii="Arial Narrow" w:hAnsi="Arial Narrow"/>
        </w:rPr>
        <w:t>osob</w:t>
      </w:r>
      <w:r w:rsidRPr="00CE357F">
        <w:rPr>
          <w:rFonts w:ascii="Arial Narrow" w:hAnsi="Arial Narrow"/>
        </w:rPr>
        <w:t xml:space="preserve"> s jinou než českou příslušností jich bylo 76,7 % zaměstnaných v obci Vyškov a 13,4 % v obci Ivanovice na Hané.</w:t>
      </w:r>
    </w:p>
    <w:p w14:paraId="2F1E2F7B" w14:textId="5BE29611" w:rsidR="00C475C3" w:rsidRPr="00CE357F" w:rsidRDefault="00C475C3" w:rsidP="00EC6552">
      <w:pPr>
        <w:jc w:val="both"/>
        <w:rPr>
          <w:rFonts w:ascii="Arial Narrow" w:hAnsi="Arial Narrow"/>
          <w:b/>
          <w:bCs/>
          <w:sz w:val="24"/>
          <w:szCs w:val="24"/>
        </w:rPr>
      </w:pPr>
      <w:bookmarkStart w:id="857" w:name="_Toc136429281"/>
      <w:r w:rsidRPr="00CE357F">
        <w:rPr>
          <w:rFonts w:ascii="Arial Narrow" w:hAnsi="Arial Narrow"/>
          <w:b/>
          <w:bCs/>
          <w:sz w:val="20"/>
          <w:szCs w:val="20"/>
        </w:rPr>
        <w:lastRenderedPageBreak/>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70</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sidRPr="00CE357F">
        <w:rPr>
          <w:rFonts w:ascii="Arial Narrow" w:eastAsia="Times New Roman" w:hAnsi="Arial Narrow" w:cs="Arial"/>
          <w:b/>
          <w:bCs/>
          <w:sz w:val="20"/>
          <w:szCs w:val="20"/>
          <w:lang w:eastAsia="cs-CZ"/>
        </w:rPr>
        <w:t xml:space="preserve">Soupis </w:t>
      </w:r>
      <w:r w:rsidR="001E64E1">
        <w:rPr>
          <w:rFonts w:ascii="Arial Narrow" w:eastAsia="Times New Roman" w:hAnsi="Arial Narrow" w:cs="Arial"/>
          <w:b/>
          <w:bCs/>
          <w:sz w:val="20"/>
          <w:szCs w:val="20"/>
          <w:lang w:eastAsia="cs-CZ"/>
        </w:rPr>
        <w:t>významných</w:t>
      </w:r>
      <w:r w:rsidRPr="00CE357F">
        <w:rPr>
          <w:rFonts w:ascii="Arial Narrow" w:eastAsia="Times New Roman" w:hAnsi="Arial Narrow" w:cs="Arial"/>
          <w:b/>
          <w:bCs/>
          <w:sz w:val="20"/>
          <w:szCs w:val="20"/>
          <w:lang w:eastAsia="cs-CZ"/>
        </w:rPr>
        <w:t xml:space="preserve"> zaměstnavatelů osob s jinou než českou státní příslušností v ORP Vyškov v roce 2020</w:t>
      </w:r>
      <w:bookmarkEnd w:id="857"/>
    </w:p>
    <w:tbl>
      <w:tblPr>
        <w:tblW w:w="9253" w:type="dxa"/>
        <w:tblInd w:w="-5"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1031"/>
        <w:gridCol w:w="2835"/>
        <w:gridCol w:w="830"/>
        <w:gridCol w:w="1526"/>
        <w:gridCol w:w="1374"/>
        <w:gridCol w:w="1657"/>
      </w:tblGrid>
      <w:tr w:rsidR="00C475C3" w:rsidRPr="00CE357F" w14:paraId="7317F04B" w14:textId="77777777" w:rsidTr="005423B0">
        <w:trPr>
          <w:trHeight w:val="274"/>
        </w:trPr>
        <w:tc>
          <w:tcPr>
            <w:tcW w:w="1031" w:type="dxa"/>
            <w:vMerge w:val="restart"/>
            <w:shd w:val="clear" w:color="auto" w:fill="D9E2F3" w:themeFill="accent1" w:themeFillTint="33"/>
            <w:vAlign w:val="center"/>
            <w:hideMark/>
          </w:tcPr>
          <w:p w14:paraId="678FCD98" w14:textId="77777777" w:rsidR="00C475C3" w:rsidRPr="00CE357F" w:rsidRDefault="00C475C3" w:rsidP="00730BE8">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Obec</w:t>
            </w:r>
          </w:p>
        </w:tc>
        <w:tc>
          <w:tcPr>
            <w:tcW w:w="2835" w:type="dxa"/>
            <w:vMerge w:val="restart"/>
            <w:shd w:val="clear" w:color="auto" w:fill="D9E2F3" w:themeFill="accent1" w:themeFillTint="33"/>
            <w:vAlign w:val="center"/>
            <w:hideMark/>
          </w:tcPr>
          <w:p w14:paraId="12CF3EA0" w14:textId="77777777" w:rsidR="00C475C3" w:rsidRPr="00CE357F" w:rsidRDefault="00C475C3" w:rsidP="00730BE8">
            <w:pPr>
              <w:jc w:val="center"/>
              <w:rPr>
                <w:rFonts w:ascii="Arial Narrow" w:eastAsia="Times New Roman" w:hAnsi="Arial Narrow" w:cs="Arial"/>
                <w:b/>
                <w:bCs/>
                <w:sz w:val="18"/>
                <w:szCs w:val="18"/>
                <w:lang w:eastAsia="cs-CZ"/>
              </w:rPr>
            </w:pPr>
            <w:r w:rsidRPr="00CE357F">
              <w:rPr>
                <w:rFonts w:ascii="Arial Narrow" w:eastAsia="Times New Roman" w:hAnsi="Arial Narrow" w:cs="Arial"/>
                <w:sz w:val="18"/>
                <w:szCs w:val="18"/>
                <w:lang w:eastAsia="cs-CZ"/>
              </w:rPr>
              <w:t>Název zaměstnavatele</w:t>
            </w:r>
          </w:p>
        </w:tc>
        <w:tc>
          <w:tcPr>
            <w:tcW w:w="5387" w:type="dxa"/>
            <w:gridSpan w:val="4"/>
            <w:shd w:val="clear" w:color="auto" w:fill="D9E2F3" w:themeFill="accent1" w:themeFillTint="33"/>
            <w:vAlign w:val="center"/>
          </w:tcPr>
          <w:p w14:paraId="33A24403" w14:textId="77777777" w:rsidR="00C475C3" w:rsidRPr="00CE357F" w:rsidRDefault="00C475C3" w:rsidP="00730BE8">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sz w:val="18"/>
                <w:szCs w:val="18"/>
                <w:lang w:eastAsia="cs-CZ"/>
              </w:rPr>
              <w:t>Zaměstnané osoby s jinou než českou státní příslušností</w:t>
            </w:r>
          </w:p>
        </w:tc>
      </w:tr>
      <w:tr w:rsidR="00C475C3" w:rsidRPr="00CE357F" w14:paraId="373A955F" w14:textId="77777777" w:rsidTr="005423B0">
        <w:trPr>
          <w:trHeight w:val="464"/>
        </w:trPr>
        <w:tc>
          <w:tcPr>
            <w:tcW w:w="1031" w:type="dxa"/>
            <w:vMerge/>
            <w:shd w:val="clear" w:color="auto" w:fill="D9E2F3" w:themeFill="accent1" w:themeFillTint="33"/>
            <w:vAlign w:val="center"/>
            <w:hideMark/>
          </w:tcPr>
          <w:p w14:paraId="786A58D7" w14:textId="77777777" w:rsidR="00C475C3" w:rsidRPr="00CE357F" w:rsidRDefault="00C475C3" w:rsidP="00730BE8">
            <w:pPr>
              <w:jc w:val="center"/>
              <w:rPr>
                <w:rFonts w:ascii="Arial Narrow" w:eastAsia="Times New Roman" w:hAnsi="Arial Narrow" w:cs="Arial"/>
                <w:b/>
                <w:bCs/>
                <w:sz w:val="18"/>
                <w:szCs w:val="18"/>
                <w:lang w:eastAsia="cs-CZ"/>
              </w:rPr>
            </w:pPr>
          </w:p>
        </w:tc>
        <w:tc>
          <w:tcPr>
            <w:tcW w:w="2835" w:type="dxa"/>
            <w:vMerge/>
            <w:shd w:val="clear" w:color="auto" w:fill="D9E2F3" w:themeFill="accent1" w:themeFillTint="33"/>
            <w:vAlign w:val="center"/>
            <w:hideMark/>
          </w:tcPr>
          <w:p w14:paraId="22DF2A04" w14:textId="77777777" w:rsidR="00C475C3" w:rsidRPr="00CE357F" w:rsidRDefault="00C475C3" w:rsidP="00730BE8">
            <w:pPr>
              <w:jc w:val="center"/>
              <w:rPr>
                <w:rFonts w:ascii="Arial Narrow" w:eastAsia="Times New Roman" w:hAnsi="Arial Narrow" w:cs="Arial"/>
                <w:b/>
                <w:bCs/>
                <w:sz w:val="18"/>
                <w:szCs w:val="18"/>
                <w:lang w:eastAsia="cs-CZ"/>
              </w:rPr>
            </w:pPr>
          </w:p>
        </w:tc>
        <w:tc>
          <w:tcPr>
            <w:tcW w:w="830" w:type="dxa"/>
            <w:shd w:val="clear" w:color="auto" w:fill="D9E2F3" w:themeFill="accent1" w:themeFillTint="33"/>
            <w:vAlign w:val="center"/>
          </w:tcPr>
          <w:p w14:paraId="665BA34F" w14:textId="77777777" w:rsidR="00C475C3" w:rsidRPr="00CE357F" w:rsidRDefault="00C475C3" w:rsidP="00730BE8">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 SK</w:t>
            </w:r>
          </w:p>
        </w:tc>
        <w:tc>
          <w:tcPr>
            <w:tcW w:w="1526" w:type="dxa"/>
            <w:shd w:val="clear" w:color="auto" w:fill="D9E2F3" w:themeFill="accent1" w:themeFillTint="33"/>
            <w:vAlign w:val="center"/>
          </w:tcPr>
          <w:p w14:paraId="6494EEF4" w14:textId="47B82CD2" w:rsidR="00C475C3" w:rsidRPr="00CE357F" w:rsidRDefault="00566BC3" w:rsidP="00730BE8">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w:t>
            </w:r>
            <w:r w:rsidR="00C475C3" w:rsidRPr="00CE357F">
              <w:rPr>
                <w:rFonts w:ascii="Arial Narrow" w:eastAsia="Times New Roman" w:hAnsi="Arial Narrow" w:cs="Arial"/>
                <w:sz w:val="18"/>
                <w:szCs w:val="18"/>
                <w:lang w:eastAsia="cs-CZ"/>
              </w:rPr>
              <w:t> EU/EHP a Švýcarska (mimo občanů SK)</w:t>
            </w:r>
          </w:p>
        </w:tc>
        <w:tc>
          <w:tcPr>
            <w:tcW w:w="1374" w:type="dxa"/>
            <w:shd w:val="clear" w:color="auto" w:fill="D9E2F3" w:themeFill="accent1" w:themeFillTint="33"/>
            <w:vAlign w:val="center"/>
          </w:tcPr>
          <w:p w14:paraId="409FFE00" w14:textId="38413B5E" w:rsidR="00C475C3" w:rsidRPr="00CE357F" w:rsidRDefault="00566BC3" w:rsidP="00730BE8">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Občané</w:t>
            </w:r>
            <w:r w:rsidR="00C475C3" w:rsidRPr="00CE357F">
              <w:rPr>
                <w:rFonts w:ascii="Arial Narrow" w:eastAsia="Times New Roman" w:hAnsi="Arial Narrow" w:cs="Arial"/>
                <w:sz w:val="18"/>
                <w:szCs w:val="18"/>
                <w:lang w:eastAsia="cs-CZ"/>
              </w:rPr>
              <w:t> ostatních zemí (celkem)</w:t>
            </w:r>
          </w:p>
        </w:tc>
        <w:tc>
          <w:tcPr>
            <w:tcW w:w="1657" w:type="dxa"/>
            <w:shd w:val="clear" w:color="auto" w:fill="D9E2F3" w:themeFill="accent1" w:themeFillTint="33"/>
            <w:vAlign w:val="center"/>
          </w:tcPr>
          <w:p w14:paraId="54E02D66" w14:textId="77777777" w:rsidR="00C475C3" w:rsidRPr="00CE357F" w:rsidRDefault="00C475C3" w:rsidP="00730BE8">
            <w:pPr>
              <w:jc w:val="center"/>
              <w:rPr>
                <w:rFonts w:ascii="Arial Narrow" w:eastAsia="Times New Roman" w:hAnsi="Arial Narrow" w:cs="Arial"/>
                <w:sz w:val="18"/>
                <w:szCs w:val="18"/>
                <w:lang w:eastAsia="cs-CZ"/>
              </w:rPr>
            </w:pPr>
            <w:r w:rsidRPr="00CE357F">
              <w:rPr>
                <w:rFonts w:ascii="Arial Narrow" w:eastAsia="Times New Roman" w:hAnsi="Arial Narrow" w:cs="Arial"/>
                <w:sz w:val="18"/>
                <w:szCs w:val="18"/>
                <w:lang w:eastAsia="cs-CZ"/>
              </w:rPr>
              <w:t>Osoby s jinou než českou státní příslušností CELKEM</w:t>
            </w:r>
          </w:p>
        </w:tc>
      </w:tr>
      <w:tr w:rsidR="00C475C3" w:rsidRPr="00CE357F" w14:paraId="3E49AC1F" w14:textId="77777777" w:rsidTr="005423B0">
        <w:trPr>
          <w:trHeight w:val="227"/>
        </w:trPr>
        <w:tc>
          <w:tcPr>
            <w:tcW w:w="1031" w:type="dxa"/>
            <w:shd w:val="clear" w:color="auto" w:fill="D9E2F3" w:themeFill="accent1" w:themeFillTint="33"/>
            <w:vAlign w:val="center"/>
          </w:tcPr>
          <w:p w14:paraId="5D8125E4"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Vyškov</w:t>
            </w:r>
          </w:p>
        </w:tc>
        <w:tc>
          <w:tcPr>
            <w:tcW w:w="2835" w:type="dxa"/>
            <w:vAlign w:val="center"/>
          </w:tcPr>
          <w:p w14:paraId="3E978780" w14:textId="77777777" w:rsidR="00C475C3" w:rsidRPr="00CE357F" w:rsidRDefault="00C475C3" w:rsidP="00730BE8">
            <w:pPr>
              <w:jc w:val="center"/>
              <w:rPr>
                <w:rFonts w:ascii="Arial Narrow" w:hAnsi="Arial Narrow"/>
                <w:sz w:val="18"/>
                <w:szCs w:val="18"/>
              </w:rPr>
            </w:pPr>
            <w:bookmarkStart w:id="858" w:name="_Hlk93574289"/>
            <w:r w:rsidRPr="00CE357F">
              <w:rPr>
                <w:rFonts w:ascii="Arial Narrow" w:hAnsi="Arial Narrow"/>
                <w:sz w:val="18"/>
                <w:szCs w:val="18"/>
              </w:rPr>
              <w:t>MORAVIA AGENCY s.r.o.</w:t>
            </w:r>
            <w:bookmarkEnd w:id="858"/>
          </w:p>
        </w:tc>
        <w:tc>
          <w:tcPr>
            <w:tcW w:w="830" w:type="dxa"/>
            <w:vAlign w:val="center"/>
          </w:tcPr>
          <w:p w14:paraId="56361403"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1</w:t>
            </w:r>
          </w:p>
        </w:tc>
        <w:tc>
          <w:tcPr>
            <w:tcW w:w="1526" w:type="dxa"/>
            <w:vAlign w:val="center"/>
          </w:tcPr>
          <w:p w14:paraId="73AAA11C"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51</w:t>
            </w:r>
          </w:p>
        </w:tc>
        <w:tc>
          <w:tcPr>
            <w:tcW w:w="1374" w:type="dxa"/>
            <w:vAlign w:val="center"/>
          </w:tcPr>
          <w:p w14:paraId="73F3B032"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50</w:t>
            </w:r>
          </w:p>
        </w:tc>
        <w:tc>
          <w:tcPr>
            <w:tcW w:w="1657" w:type="dxa"/>
            <w:vAlign w:val="center"/>
          </w:tcPr>
          <w:p w14:paraId="66BB661F"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102</w:t>
            </w:r>
          </w:p>
        </w:tc>
      </w:tr>
      <w:tr w:rsidR="00C475C3" w:rsidRPr="00CE357F" w14:paraId="42DD6CB4" w14:textId="77777777" w:rsidTr="005423B0">
        <w:trPr>
          <w:trHeight w:val="227"/>
        </w:trPr>
        <w:tc>
          <w:tcPr>
            <w:tcW w:w="1031" w:type="dxa"/>
            <w:shd w:val="clear" w:color="auto" w:fill="D9E2F3" w:themeFill="accent1" w:themeFillTint="33"/>
            <w:vAlign w:val="center"/>
          </w:tcPr>
          <w:p w14:paraId="2B5CFA94"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Ivanovice na Hané</w:t>
            </w:r>
          </w:p>
        </w:tc>
        <w:tc>
          <w:tcPr>
            <w:tcW w:w="2835" w:type="dxa"/>
            <w:vAlign w:val="center"/>
          </w:tcPr>
          <w:p w14:paraId="2905C706" w14:textId="77777777" w:rsidR="00C475C3" w:rsidRPr="00CE357F" w:rsidRDefault="00C475C3" w:rsidP="00730BE8">
            <w:pPr>
              <w:jc w:val="center"/>
              <w:rPr>
                <w:rFonts w:ascii="Arial Narrow" w:hAnsi="Arial Narrow"/>
                <w:sz w:val="18"/>
                <w:szCs w:val="18"/>
              </w:rPr>
            </w:pPr>
            <w:bookmarkStart w:id="859" w:name="_Hlk93574321"/>
            <w:proofErr w:type="spellStart"/>
            <w:r w:rsidRPr="00CE357F">
              <w:rPr>
                <w:rFonts w:ascii="Arial Narrow" w:hAnsi="Arial Narrow"/>
                <w:sz w:val="18"/>
                <w:szCs w:val="18"/>
              </w:rPr>
              <w:t>fischer</w:t>
            </w:r>
            <w:proofErr w:type="spellEnd"/>
            <w:r w:rsidRPr="00CE357F">
              <w:rPr>
                <w:rFonts w:ascii="Arial Narrow" w:hAnsi="Arial Narrow"/>
                <w:sz w:val="18"/>
                <w:szCs w:val="18"/>
              </w:rPr>
              <w:t xml:space="preserve"> </w:t>
            </w:r>
            <w:proofErr w:type="spellStart"/>
            <w:r w:rsidRPr="00CE357F">
              <w:rPr>
                <w:rFonts w:ascii="Arial Narrow" w:hAnsi="Arial Narrow"/>
                <w:sz w:val="18"/>
                <w:szCs w:val="18"/>
              </w:rPr>
              <w:t>automotive</w:t>
            </w:r>
            <w:proofErr w:type="spellEnd"/>
            <w:r w:rsidRPr="00CE357F">
              <w:rPr>
                <w:rFonts w:ascii="Arial Narrow" w:hAnsi="Arial Narrow"/>
                <w:sz w:val="18"/>
                <w:szCs w:val="18"/>
              </w:rPr>
              <w:t xml:space="preserve"> </w:t>
            </w:r>
            <w:proofErr w:type="spellStart"/>
            <w:r w:rsidRPr="00CE357F">
              <w:rPr>
                <w:rFonts w:ascii="Arial Narrow" w:hAnsi="Arial Narrow"/>
                <w:sz w:val="18"/>
                <w:szCs w:val="18"/>
              </w:rPr>
              <w:t>systems</w:t>
            </w:r>
            <w:proofErr w:type="spellEnd"/>
            <w:r w:rsidRPr="00CE357F">
              <w:rPr>
                <w:rFonts w:ascii="Arial Narrow" w:hAnsi="Arial Narrow"/>
                <w:sz w:val="18"/>
                <w:szCs w:val="18"/>
              </w:rPr>
              <w:t xml:space="preserve"> s.r.o.</w:t>
            </w:r>
            <w:bookmarkEnd w:id="859"/>
          </w:p>
        </w:tc>
        <w:tc>
          <w:tcPr>
            <w:tcW w:w="830" w:type="dxa"/>
            <w:vAlign w:val="center"/>
          </w:tcPr>
          <w:p w14:paraId="5DB1010D"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2</w:t>
            </w:r>
          </w:p>
        </w:tc>
        <w:tc>
          <w:tcPr>
            <w:tcW w:w="1526" w:type="dxa"/>
            <w:vAlign w:val="center"/>
          </w:tcPr>
          <w:p w14:paraId="6A8241B0"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2</w:t>
            </w:r>
          </w:p>
        </w:tc>
        <w:tc>
          <w:tcPr>
            <w:tcW w:w="1374" w:type="dxa"/>
            <w:vAlign w:val="center"/>
          </w:tcPr>
          <w:p w14:paraId="221EE158"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32</w:t>
            </w:r>
          </w:p>
        </w:tc>
        <w:tc>
          <w:tcPr>
            <w:tcW w:w="1657" w:type="dxa"/>
            <w:vAlign w:val="center"/>
          </w:tcPr>
          <w:p w14:paraId="15B7AFBC"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36</w:t>
            </w:r>
          </w:p>
        </w:tc>
      </w:tr>
      <w:tr w:rsidR="00C475C3" w:rsidRPr="00CE357F" w14:paraId="7722CBF8" w14:textId="77777777" w:rsidTr="005423B0">
        <w:trPr>
          <w:trHeight w:val="227"/>
        </w:trPr>
        <w:tc>
          <w:tcPr>
            <w:tcW w:w="1031" w:type="dxa"/>
            <w:shd w:val="clear" w:color="auto" w:fill="D9E2F3" w:themeFill="accent1" w:themeFillTint="33"/>
            <w:vAlign w:val="center"/>
          </w:tcPr>
          <w:p w14:paraId="43A01214"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Vyškov</w:t>
            </w:r>
          </w:p>
        </w:tc>
        <w:tc>
          <w:tcPr>
            <w:tcW w:w="2835" w:type="dxa"/>
            <w:vAlign w:val="center"/>
          </w:tcPr>
          <w:p w14:paraId="6EE25730" w14:textId="77777777" w:rsidR="00C475C3" w:rsidRPr="00CE357F" w:rsidRDefault="00C475C3" w:rsidP="00730BE8">
            <w:pPr>
              <w:jc w:val="center"/>
              <w:rPr>
                <w:rFonts w:ascii="Arial Narrow" w:hAnsi="Arial Narrow"/>
                <w:sz w:val="18"/>
                <w:szCs w:val="18"/>
              </w:rPr>
            </w:pPr>
            <w:bookmarkStart w:id="860" w:name="_Hlk93574369"/>
            <w:r w:rsidRPr="00CE357F">
              <w:rPr>
                <w:rFonts w:ascii="Arial Narrow" w:hAnsi="Arial Narrow"/>
                <w:sz w:val="18"/>
                <w:szCs w:val="18"/>
              </w:rPr>
              <w:t xml:space="preserve">Lear </w:t>
            </w:r>
            <w:proofErr w:type="spellStart"/>
            <w:r w:rsidRPr="00CE357F">
              <w:rPr>
                <w:rFonts w:ascii="Arial Narrow" w:hAnsi="Arial Narrow"/>
                <w:sz w:val="18"/>
                <w:szCs w:val="18"/>
              </w:rPr>
              <w:t>Corporation</w:t>
            </w:r>
            <w:proofErr w:type="spellEnd"/>
            <w:r w:rsidRPr="00CE357F">
              <w:rPr>
                <w:rFonts w:ascii="Arial Narrow" w:hAnsi="Arial Narrow"/>
                <w:sz w:val="18"/>
                <w:szCs w:val="18"/>
              </w:rPr>
              <w:t xml:space="preserve"> Czech Republic s.r.o.</w:t>
            </w:r>
            <w:bookmarkEnd w:id="860"/>
          </w:p>
        </w:tc>
        <w:tc>
          <w:tcPr>
            <w:tcW w:w="830" w:type="dxa"/>
            <w:vAlign w:val="center"/>
          </w:tcPr>
          <w:p w14:paraId="7C37C90A"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4</w:t>
            </w:r>
          </w:p>
        </w:tc>
        <w:tc>
          <w:tcPr>
            <w:tcW w:w="1526" w:type="dxa"/>
            <w:vAlign w:val="center"/>
          </w:tcPr>
          <w:p w14:paraId="03288789"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13</w:t>
            </w:r>
          </w:p>
        </w:tc>
        <w:tc>
          <w:tcPr>
            <w:tcW w:w="1374" w:type="dxa"/>
            <w:vAlign w:val="center"/>
          </w:tcPr>
          <w:p w14:paraId="44E452D5"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16</w:t>
            </w:r>
          </w:p>
        </w:tc>
        <w:tc>
          <w:tcPr>
            <w:tcW w:w="1657" w:type="dxa"/>
            <w:vAlign w:val="center"/>
          </w:tcPr>
          <w:p w14:paraId="064A9AD7"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33</w:t>
            </w:r>
          </w:p>
        </w:tc>
      </w:tr>
      <w:tr w:rsidR="00C475C3" w:rsidRPr="00CE357F" w14:paraId="58F6457F" w14:textId="77777777" w:rsidTr="005423B0">
        <w:trPr>
          <w:trHeight w:val="227"/>
        </w:trPr>
        <w:tc>
          <w:tcPr>
            <w:tcW w:w="1031" w:type="dxa"/>
            <w:shd w:val="clear" w:color="auto" w:fill="D9E2F3" w:themeFill="accent1" w:themeFillTint="33"/>
            <w:vAlign w:val="center"/>
          </w:tcPr>
          <w:p w14:paraId="0CF7ED32"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Vyškov</w:t>
            </w:r>
          </w:p>
        </w:tc>
        <w:tc>
          <w:tcPr>
            <w:tcW w:w="2835" w:type="dxa"/>
            <w:vAlign w:val="center"/>
          </w:tcPr>
          <w:p w14:paraId="1E5353A2" w14:textId="77777777" w:rsidR="00C475C3" w:rsidRPr="00CE357F" w:rsidRDefault="00C475C3" w:rsidP="00730BE8">
            <w:pPr>
              <w:jc w:val="center"/>
              <w:rPr>
                <w:rFonts w:ascii="Arial Narrow" w:hAnsi="Arial Narrow"/>
                <w:sz w:val="18"/>
                <w:szCs w:val="18"/>
              </w:rPr>
            </w:pPr>
            <w:bookmarkStart w:id="861" w:name="_Hlk93574583"/>
            <w:r w:rsidRPr="00CE357F">
              <w:rPr>
                <w:rFonts w:ascii="Arial Narrow" w:hAnsi="Arial Narrow"/>
                <w:sz w:val="18"/>
                <w:szCs w:val="18"/>
              </w:rPr>
              <w:t>Nemocnice Vyškov, příspěvková organizace</w:t>
            </w:r>
            <w:bookmarkEnd w:id="861"/>
          </w:p>
        </w:tc>
        <w:tc>
          <w:tcPr>
            <w:tcW w:w="830" w:type="dxa"/>
            <w:vAlign w:val="center"/>
          </w:tcPr>
          <w:p w14:paraId="7DBC37BA"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28</w:t>
            </w:r>
          </w:p>
        </w:tc>
        <w:tc>
          <w:tcPr>
            <w:tcW w:w="1526" w:type="dxa"/>
            <w:vAlign w:val="center"/>
          </w:tcPr>
          <w:p w14:paraId="38B2DE85"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1</w:t>
            </w:r>
          </w:p>
        </w:tc>
        <w:tc>
          <w:tcPr>
            <w:tcW w:w="1374" w:type="dxa"/>
            <w:vAlign w:val="center"/>
          </w:tcPr>
          <w:p w14:paraId="410F6936"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3</w:t>
            </w:r>
          </w:p>
        </w:tc>
        <w:tc>
          <w:tcPr>
            <w:tcW w:w="1657" w:type="dxa"/>
            <w:vAlign w:val="center"/>
          </w:tcPr>
          <w:p w14:paraId="07440EBE"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32</w:t>
            </w:r>
          </w:p>
        </w:tc>
      </w:tr>
      <w:tr w:rsidR="00C475C3" w:rsidRPr="00CE357F" w14:paraId="25BFDE12" w14:textId="77777777" w:rsidTr="005423B0">
        <w:trPr>
          <w:trHeight w:val="227"/>
        </w:trPr>
        <w:tc>
          <w:tcPr>
            <w:tcW w:w="1031" w:type="dxa"/>
            <w:shd w:val="clear" w:color="auto" w:fill="D9E2F3" w:themeFill="accent1" w:themeFillTint="33"/>
            <w:vAlign w:val="center"/>
          </w:tcPr>
          <w:p w14:paraId="7AD4F4FF"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Vyškov</w:t>
            </w:r>
          </w:p>
        </w:tc>
        <w:tc>
          <w:tcPr>
            <w:tcW w:w="2835" w:type="dxa"/>
            <w:vAlign w:val="center"/>
          </w:tcPr>
          <w:p w14:paraId="56C7CF00" w14:textId="77777777" w:rsidR="00C475C3" w:rsidRPr="00CE357F" w:rsidRDefault="00C475C3" w:rsidP="00730BE8">
            <w:pPr>
              <w:jc w:val="center"/>
              <w:rPr>
                <w:rFonts w:ascii="Arial Narrow" w:hAnsi="Arial Narrow"/>
                <w:sz w:val="18"/>
                <w:szCs w:val="18"/>
              </w:rPr>
            </w:pPr>
            <w:bookmarkStart w:id="862" w:name="_Hlk93574589"/>
            <w:r w:rsidRPr="00CE357F">
              <w:rPr>
                <w:rFonts w:ascii="Arial Narrow" w:hAnsi="Arial Narrow"/>
                <w:sz w:val="18"/>
                <w:szCs w:val="18"/>
              </w:rPr>
              <w:t>ALJUSI s.r.o.</w:t>
            </w:r>
            <w:bookmarkEnd w:id="862"/>
          </w:p>
        </w:tc>
        <w:tc>
          <w:tcPr>
            <w:tcW w:w="830" w:type="dxa"/>
            <w:vAlign w:val="center"/>
          </w:tcPr>
          <w:p w14:paraId="4A5D1049"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0</w:t>
            </w:r>
          </w:p>
        </w:tc>
        <w:tc>
          <w:tcPr>
            <w:tcW w:w="1526" w:type="dxa"/>
            <w:vAlign w:val="center"/>
          </w:tcPr>
          <w:p w14:paraId="6F469FD3"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0</w:t>
            </w:r>
          </w:p>
        </w:tc>
        <w:tc>
          <w:tcPr>
            <w:tcW w:w="1374" w:type="dxa"/>
            <w:vAlign w:val="center"/>
          </w:tcPr>
          <w:p w14:paraId="036E63A8"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21</w:t>
            </w:r>
          </w:p>
        </w:tc>
        <w:tc>
          <w:tcPr>
            <w:tcW w:w="1657" w:type="dxa"/>
            <w:vAlign w:val="center"/>
          </w:tcPr>
          <w:p w14:paraId="3CF1DD34"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21</w:t>
            </w:r>
          </w:p>
        </w:tc>
      </w:tr>
      <w:tr w:rsidR="00C475C3" w:rsidRPr="00CE357F" w14:paraId="35BF35D1" w14:textId="77777777" w:rsidTr="005423B0">
        <w:trPr>
          <w:trHeight w:val="227"/>
        </w:trPr>
        <w:tc>
          <w:tcPr>
            <w:tcW w:w="1031" w:type="dxa"/>
            <w:shd w:val="clear" w:color="auto" w:fill="D9E2F3" w:themeFill="accent1" w:themeFillTint="33"/>
            <w:vAlign w:val="center"/>
          </w:tcPr>
          <w:p w14:paraId="4CB72BA2"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Vyškov</w:t>
            </w:r>
          </w:p>
        </w:tc>
        <w:tc>
          <w:tcPr>
            <w:tcW w:w="2835" w:type="dxa"/>
            <w:vAlign w:val="center"/>
          </w:tcPr>
          <w:p w14:paraId="2A11D08D" w14:textId="77777777" w:rsidR="00C475C3" w:rsidRPr="00CE357F" w:rsidRDefault="00C475C3" w:rsidP="00730BE8">
            <w:pPr>
              <w:jc w:val="center"/>
              <w:rPr>
                <w:rFonts w:ascii="Arial Narrow" w:hAnsi="Arial Narrow"/>
                <w:sz w:val="18"/>
                <w:szCs w:val="18"/>
              </w:rPr>
            </w:pPr>
            <w:bookmarkStart w:id="863" w:name="_Hlk93574595"/>
            <w:r w:rsidRPr="00CE357F">
              <w:rPr>
                <w:rFonts w:ascii="Arial Narrow" w:hAnsi="Arial Narrow"/>
                <w:sz w:val="18"/>
                <w:szCs w:val="18"/>
              </w:rPr>
              <w:t>SALVAVITA s.r.o.</w:t>
            </w:r>
            <w:bookmarkEnd w:id="863"/>
          </w:p>
        </w:tc>
        <w:tc>
          <w:tcPr>
            <w:tcW w:w="830" w:type="dxa"/>
            <w:vAlign w:val="center"/>
          </w:tcPr>
          <w:p w14:paraId="087A7DE1"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0</w:t>
            </w:r>
          </w:p>
        </w:tc>
        <w:tc>
          <w:tcPr>
            <w:tcW w:w="1526" w:type="dxa"/>
            <w:vAlign w:val="center"/>
          </w:tcPr>
          <w:p w14:paraId="5E3BCD3F"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3</w:t>
            </w:r>
          </w:p>
        </w:tc>
        <w:tc>
          <w:tcPr>
            <w:tcW w:w="1374" w:type="dxa"/>
            <w:vAlign w:val="center"/>
          </w:tcPr>
          <w:p w14:paraId="373DBFAE"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16</w:t>
            </w:r>
          </w:p>
        </w:tc>
        <w:tc>
          <w:tcPr>
            <w:tcW w:w="1657" w:type="dxa"/>
            <w:vAlign w:val="center"/>
          </w:tcPr>
          <w:p w14:paraId="56EF4F3A"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19</w:t>
            </w:r>
          </w:p>
        </w:tc>
      </w:tr>
      <w:tr w:rsidR="00C475C3" w:rsidRPr="00CE357F" w14:paraId="619E34D2" w14:textId="77777777" w:rsidTr="005423B0">
        <w:trPr>
          <w:trHeight w:val="227"/>
        </w:trPr>
        <w:tc>
          <w:tcPr>
            <w:tcW w:w="1031" w:type="dxa"/>
            <w:shd w:val="clear" w:color="auto" w:fill="D9E2F3" w:themeFill="accent1" w:themeFillTint="33"/>
            <w:vAlign w:val="center"/>
          </w:tcPr>
          <w:p w14:paraId="0380734A"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Rousínov</w:t>
            </w:r>
          </w:p>
        </w:tc>
        <w:tc>
          <w:tcPr>
            <w:tcW w:w="2835" w:type="dxa"/>
            <w:vAlign w:val="center"/>
          </w:tcPr>
          <w:p w14:paraId="71D3819F" w14:textId="77777777" w:rsidR="00C475C3" w:rsidRPr="00CE357F" w:rsidRDefault="00C475C3" w:rsidP="00730BE8">
            <w:pPr>
              <w:jc w:val="center"/>
              <w:rPr>
                <w:rFonts w:ascii="Arial Narrow" w:hAnsi="Arial Narrow"/>
                <w:sz w:val="18"/>
                <w:szCs w:val="18"/>
              </w:rPr>
            </w:pPr>
            <w:bookmarkStart w:id="864" w:name="_Hlk93574606"/>
            <w:proofErr w:type="spellStart"/>
            <w:r w:rsidRPr="00CE357F">
              <w:rPr>
                <w:rFonts w:ascii="Arial Narrow" w:hAnsi="Arial Narrow"/>
                <w:sz w:val="18"/>
                <w:szCs w:val="18"/>
              </w:rPr>
              <w:t>European</w:t>
            </w:r>
            <w:proofErr w:type="spellEnd"/>
            <w:r w:rsidRPr="00CE357F">
              <w:rPr>
                <w:rFonts w:ascii="Arial Narrow" w:hAnsi="Arial Narrow"/>
                <w:sz w:val="18"/>
                <w:szCs w:val="18"/>
              </w:rPr>
              <w:t xml:space="preserve"> Data Project s.r.o.</w:t>
            </w:r>
            <w:bookmarkEnd w:id="864"/>
          </w:p>
        </w:tc>
        <w:tc>
          <w:tcPr>
            <w:tcW w:w="830" w:type="dxa"/>
            <w:vAlign w:val="center"/>
          </w:tcPr>
          <w:p w14:paraId="5A20A340"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13</w:t>
            </w:r>
          </w:p>
        </w:tc>
        <w:tc>
          <w:tcPr>
            <w:tcW w:w="1526" w:type="dxa"/>
            <w:vAlign w:val="center"/>
          </w:tcPr>
          <w:p w14:paraId="3123BD12"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2</w:t>
            </w:r>
          </w:p>
        </w:tc>
        <w:tc>
          <w:tcPr>
            <w:tcW w:w="1374" w:type="dxa"/>
            <w:vAlign w:val="center"/>
          </w:tcPr>
          <w:p w14:paraId="431927D1"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4</w:t>
            </w:r>
          </w:p>
        </w:tc>
        <w:tc>
          <w:tcPr>
            <w:tcW w:w="1657" w:type="dxa"/>
            <w:vAlign w:val="center"/>
          </w:tcPr>
          <w:p w14:paraId="37195352"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19</w:t>
            </w:r>
          </w:p>
        </w:tc>
      </w:tr>
      <w:tr w:rsidR="00C475C3" w:rsidRPr="00CE357F" w14:paraId="7BA26AFD" w14:textId="77777777" w:rsidTr="005423B0">
        <w:trPr>
          <w:trHeight w:val="227"/>
        </w:trPr>
        <w:tc>
          <w:tcPr>
            <w:tcW w:w="1031" w:type="dxa"/>
            <w:shd w:val="clear" w:color="auto" w:fill="D9E2F3" w:themeFill="accent1" w:themeFillTint="33"/>
            <w:vAlign w:val="center"/>
          </w:tcPr>
          <w:p w14:paraId="0D5D59CC"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Vyškov</w:t>
            </w:r>
          </w:p>
        </w:tc>
        <w:tc>
          <w:tcPr>
            <w:tcW w:w="2835" w:type="dxa"/>
            <w:vAlign w:val="center"/>
          </w:tcPr>
          <w:p w14:paraId="514AA41A" w14:textId="77777777" w:rsidR="00C475C3" w:rsidRPr="00CE357F" w:rsidRDefault="00C475C3" w:rsidP="00730BE8">
            <w:pPr>
              <w:jc w:val="center"/>
              <w:rPr>
                <w:rFonts w:ascii="Arial Narrow" w:hAnsi="Arial Narrow"/>
                <w:sz w:val="18"/>
                <w:szCs w:val="18"/>
              </w:rPr>
            </w:pPr>
            <w:proofErr w:type="spellStart"/>
            <w:r w:rsidRPr="00CE357F">
              <w:rPr>
                <w:rFonts w:ascii="Arial Narrow" w:hAnsi="Arial Narrow"/>
                <w:sz w:val="18"/>
                <w:szCs w:val="18"/>
              </w:rPr>
              <w:t>Hestego</w:t>
            </w:r>
            <w:proofErr w:type="spellEnd"/>
            <w:r w:rsidRPr="00CE357F">
              <w:rPr>
                <w:rFonts w:ascii="Arial Narrow" w:hAnsi="Arial Narrow"/>
                <w:sz w:val="18"/>
                <w:szCs w:val="18"/>
              </w:rPr>
              <w:t xml:space="preserve"> </w:t>
            </w:r>
            <w:proofErr w:type="spellStart"/>
            <w:r w:rsidRPr="00CE357F">
              <w:rPr>
                <w:rFonts w:ascii="Arial Narrow" w:hAnsi="Arial Narrow"/>
                <w:sz w:val="18"/>
                <w:szCs w:val="18"/>
              </w:rPr>
              <w:t>a.s</w:t>
            </w:r>
            <w:proofErr w:type="spellEnd"/>
          </w:p>
        </w:tc>
        <w:tc>
          <w:tcPr>
            <w:tcW w:w="830" w:type="dxa"/>
            <w:vAlign w:val="center"/>
          </w:tcPr>
          <w:p w14:paraId="37864DBE"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7</w:t>
            </w:r>
          </w:p>
        </w:tc>
        <w:tc>
          <w:tcPr>
            <w:tcW w:w="1526" w:type="dxa"/>
            <w:vAlign w:val="center"/>
          </w:tcPr>
          <w:p w14:paraId="366132C3"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1</w:t>
            </w:r>
          </w:p>
        </w:tc>
        <w:tc>
          <w:tcPr>
            <w:tcW w:w="1374" w:type="dxa"/>
            <w:vAlign w:val="center"/>
          </w:tcPr>
          <w:p w14:paraId="49E53A48"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4</w:t>
            </w:r>
          </w:p>
        </w:tc>
        <w:tc>
          <w:tcPr>
            <w:tcW w:w="1657" w:type="dxa"/>
            <w:vAlign w:val="center"/>
          </w:tcPr>
          <w:p w14:paraId="79F9B505"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12</w:t>
            </w:r>
          </w:p>
        </w:tc>
      </w:tr>
      <w:tr w:rsidR="00C475C3" w:rsidRPr="00CE357F" w14:paraId="7156235F" w14:textId="77777777" w:rsidTr="005423B0">
        <w:trPr>
          <w:trHeight w:val="227"/>
        </w:trPr>
        <w:tc>
          <w:tcPr>
            <w:tcW w:w="1031" w:type="dxa"/>
            <w:shd w:val="clear" w:color="auto" w:fill="D9E2F3" w:themeFill="accent1" w:themeFillTint="33"/>
            <w:vAlign w:val="center"/>
          </w:tcPr>
          <w:p w14:paraId="20EF5496" w14:textId="77777777" w:rsidR="00C475C3" w:rsidRPr="00CE357F" w:rsidRDefault="00C475C3" w:rsidP="00730BE8">
            <w:pPr>
              <w:jc w:val="center"/>
              <w:rPr>
                <w:rFonts w:ascii="Arial Narrow" w:hAnsi="Arial Narrow"/>
                <w:b/>
                <w:bCs/>
                <w:color w:val="000000"/>
                <w:sz w:val="18"/>
                <w:szCs w:val="18"/>
              </w:rPr>
            </w:pPr>
            <w:r w:rsidRPr="00CE357F">
              <w:rPr>
                <w:rFonts w:ascii="Arial Narrow" w:hAnsi="Arial Narrow"/>
                <w:color w:val="000000"/>
                <w:sz w:val="18"/>
                <w:szCs w:val="18"/>
              </w:rPr>
              <w:t>Ivanovice na Hané</w:t>
            </w:r>
          </w:p>
        </w:tc>
        <w:tc>
          <w:tcPr>
            <w:tcW w:w="2835" w:type="dxa"/>
            <w:vAlign w:val="center"/>
          </w:tcPr>
          <w:p w14:paraId="188CCEE5" w14:textId="77777777" w:rsidR="00C475C3" w:rsidRPr="00CE357F" w:rsidRDefault="00C475C3" w:rsidP="00730BE8">
            <w:pPr>
              <w:jc w:val="center"/>
              <w:rPr>
                <w:rFonts w:ascii="Arial Narrow" w:hAnsi="Arial Narrow"/>
                <w:sz w:val="18"/>
                <w:szCs w:val="18"/>
              </w:rPr>
            </w:pPr>
            <w:proofErr w:type="spellStart"/>
            <w:r w:rsidRPr="00CE357F">
              <w:rPr>
                <w:rFonts w:ascii="Arial Narrow" w:hAnsi="Arial Narrow"/>
                <w:sz w:val="18"/>
                <w:szCs w:val="18"/>
              </w:rPr>
              <w:t>Bioveta</w:t>
            </w:r>
            <w:proofErr w:type="spellEnd"/>
            <w:r w:rsidRPr="00CE357F">
              <w:rPr>
                <w:rFonts w:ascii="Arial Narrow" w:hAnsi="Arial Narrow"/>
                <w:sz w:val="18"/>
                <w:szCs w:val="18"/>
              </w:rPr>
              <w:t>, a.s.</w:t>
            </w:r>
          </w:p>
        </w:tc>
        <w:tc>
          <w:tcPr>
            <w:tcW w:w="830" w:type="dxa"/>
            <w:vAlign w:val="center"/>
          </w:tcPr>
          <w:p w14:paraId="6CE9D6D8"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6</w:t>
            </w:r>
          </w:p>
        </w:tc>
        <w:tc>
          <w:tcPr>
            <w:tcW w:w="1526" w:type="dxa"/>
            <w:vAlign w:val="center"/>
          </w:tcPr>
          <w:p w14:paraId="61E40A63"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3</w:t>
            </w:r>
          </w:p>
        </w:tc>
        <w:tc>
          <w:tcPr>
            <w:tcW w:w="1374" w:type="dxa"/>
            <w:vAlign w:val="center"/>
          </w:tcPr>
          <w:p w14:paraId="046F63CA"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2</w:t>
            </w:r>
          </w:p>
        </w:tc>
        <w:tc>
          <w:tcPr>
            <w:tcW w:w="1657" w:type="dxa"/>
            <w:vAlign w:val="center"/>
          </w:tcPr>
          <w:p w14:paraId="4053FE78"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11</w:t>
            </w:r>
          </w:p>
        </w:tc>
      </w:tr>
      <w:tr w:rsidR="00C475C3" w:rsidRPr="00CE357F" w14:paraId="4D9C7795" w14:textId="77777777" w:rsidTr="005423B0">
        <w:trPr>
          <w:trHeight w:val="227"/>
        </w:trPr>
        <w:tc>
          <w:tcPr>
            <w:tcW w:w="1031" w:type="dxa"/>
            <w:shd w:val="clear" w:color="auto" w:fill="D9E2F3" w:themeFill="accent1" w:themeFillTint="33"/>
            <w:vAlign w:val="center"/>
          </w:tcPr>
          <w:p w14:paraId="1097F54A" w14:textId="77777777" w:rsidR="00C475C3" w:rsidRPr="00CE357F" w:rsidRDefault="00C475C3" w:rsidP="00730BE8">
            <w:pPr>
              <w:jc w:val="center"/>
              <w:rPr>
                <w:rFonts w:ascii="Arial Narrow" w:hAnsi="Arial Narrow"/>
                <w:color w:val="000000"/>
                <w:sz w:val="18"/>
                <w:szCs w:val="18"/>
              </w:rPr>
            </w:pPr>
          </w:p>
        </w:tc>
        <w:tc>
          <w:tcPr>
            <w:tcW w:w="2835" w:type="dxa"/>
            <w:vAlign w:val="center"/>
          </w:tcPr>
          <w:p w14:paraId="30A9E270"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Ostatní zaměstnavatelé s méně než 10 zaměstnanci s jinou než českou státní příslušností</w:t>
            </w:r>
          </w:p>
        </w:tc>
        <w:tc>
          <w:tcPr>
            <w:tcW w:w="830" w:type="dxa"/>
            <w:vAlign w:val="center"/>
          </w:tcPr>
          <w:p w14:paraId="0060B244"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30</w:t>
            </w:r>
          </w:p>
        </w:tc>
        <w:tc>
          <w:tcPr>
            <w:tcW w:w="1526" w:type="dxa"/>
            <w:vAlign w:val="center"/>
          </w:tcPr>
          <w:p w14:paraId="18A38A6F"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4</w:t>
            </w:r>
          </w:p>
        </w:tc>
        <w:tc>
          <w:tcPr>
            <w:tcW w:w="1374" w:type="dxa"/>
            <w:vAlign w:val="center"/>
          </w:tcPr>
          <w:p w14:paraId="550292D9" w14:textId="77777777" w:rsidR="00C475C3" w:rsidRPr="00CE357F" w:rsidRDefault="00C475C3" w:rsidP="00730BE8">
            <w:pPr>
              <w:jc w:val="center"/>
              <w:rPr>
                <w:rFonts w:ascii="Arial Narrow" w:hAnsi="Arial Narrow"/>
                <w:color w:val="000000"/>
                <w:sz w:val="18"/>
                <w:szCs w:val="18"/>
              </w:rPr>
            </w:pPr>
            <w:r w:rsidRPr="00CE357F">
              <w:rPr>
                <w:rFonts w:ascii="Arial Narrow" w:hAnsi="Arial Narrow"/>
                <w:color w:val="000000"/>
                <w:sz w:val="18"/>
                <w:szCs w:val="18"/>
              </w:rPr>
              <w:t>33</w:t>
            </w:r>
          </w:p>
        </w:tc>
        <w:tc>
          <w:tcPr>
            <w:tcW w:w="1657" w:type="dxa"/>
            <w:vAlign w:val="center"/>
          </w:tcPr>
          <w:p w14:paraId="5EC884D3" w14:textId="77777777" w:rsidR="00C475C3" w:rsidRPr="00CE357F" w:rsidRDefault="00C475C3" w:rsidP="00730BE8">
            <w:pPr>
              <w:jc w:val="center"/>
              <w:rPr>
                <w:rFonts w:ascii="Arial Narrow" w:hAnsi="Arial Narrow"/>
                <w:b/>
                <w:bCs/>
                <w:color w:val="C00000"/>
                <w:sz w:val="18"/>
                <w:szCs w:val="18"/>
              </w:rPr>
            </w:pPr>
            <w:r w:rsidRPr="00CE357F">
              <w:rPr>
                <w:rFonts w:ascii="Arial Narrow" w:hAnsi="Arial Narrow"/>
                <w:b/>
                <w:bCs/>
                <w:color w:val="C00000"/>
                <w:sz w:val="18"/>
                <w:szCs w:val="18"/>
              </w:rPr>
              <w:t>67</w:t>
            </w:r>
          </w:p>
        </w:tc>
      </w:tr>
      <w:tr w:rsidR="00C475C3" w:rsidRPr="00CE357F" w14:paraId="4F4FEE5C" w14:textId="77777777" w:rsidTr="005423B0">
        <w:trPr>
          <w:trHeight w:val="170"/>
        </w:trPr>
        <w:tc>
          <w:tcPr>
            <w:tcW w:w="1031" w:type="dxa"/>
            <w:shd w:val="clear" w:color="auto" w:fill="D9E2F3" w:themeFill="accent1" w:themeFillTint="33"/>
            <w:vAlign w:val="center"/>
          </w:tcPr>
          <w:p w14:paraId="06A45C4F" w14:textId="77777777" w:rsidR="00C475C3" w:rsidRPr="00CE357F" w:rsidRDefault="00C475C3" w:rsidP="00730BE8">
            <w:pPr>
              <w:jc w:val="center"/>
              <w:rPr>
                <w:rFonts w:ascii="Arial Narrow" w:hAnsi="Arial Narrow"/>
                <w:color w:val="000000"/>
                <w:sz w:val="20"/>
                <w:szCs w:val="20"/>
              </w:rPr>
            </w:pPr>
            <w:r w:rsidRPr="00CE357F">
              <w:rPr>
                <w:rFonts w:ascii="Arial Narrow" w:hAnsi="Arial Narrow"/>
                <w:sz w:val="20"/>
                <w:szCs w:val="20"/>
              </w:rPr>
              <w:t>ORP CELKEM</w:t>
            </w:r>
          </w:p>
        </w:tc>
        <w:tc>
          <w:tcPr>
            <w:tcW w:w="2835" w:type="dxa"/>
            <w:shd w:val="clear" w:color="auto" w:fill="D9E2F3" w:themeFill="accent1" w:themeFillTint="33"/>
            <w:vAlign w:val="center"/>
          </w:tcPr>
          <w:p w14:paraId="6A75F99F" w14:textId="77777777" w:rsidR="00C475C3" w:rsidRPr="00CE357F" w:rsidRDefault="00C475C3" w:rsidP="00730BE8">
            <w:pPr>
              <w:jc w:val="center"/>
              <w:rPr>
                <w:rFonts w:ascii="Arial Narrow" w:hAnsi="Arial Narrow"/>
                <w:color w:val="000000"/>
                <w:sz w:val="20"/>
                <w:szCs w:val="20"/>
              </w:rPr>
            </w:pPr>
          </w:p>
        </w:tc>
        <w:tc>
          <w:tcPr>
            <w:tcW w:w="830" w:type="dxa"/>
            <w:shd w:val="clear" w:color="auto" w:fill="D9E2F3" w:themeFill="accent1" w:themeFillTint="33"/>
            <w:vAlign w:val="center"/>
          </w:tcPr>
          <w:p w14:paraId="4AF62812" w14:textId="77777777" w:rsidR="00C475C3" w:rsidRPr="00CE357F" w:rsidRDefault="00C475C3" w:rsidP="00730BE8">
            <w:pPr>
              <w:jc w:val="center"/>
              <w:rPr>
                <w:rFonts w:ascii="Arial Narrow" w:hAnsi="Arial Narrow" w:cs="Arial"/>
                <w:sz w:val="20"/>
                <w:szCs w:val="20"/>
              </w:rPr>
            </w:pPr>
            <w:r w:rsidRPr="00CE357F">
              <w:rPr>
                <w:rFonts w:ascii="Arial Narrow" w:hAnsi="Arial Narrow" w:cs="Arial"/>
                <w:sz w:val="20"/>
                <w:szCs w:val="20"/>
              </w:rPr>
              <w:t>91</w:t>
            </w:r>
          </w:p>
        </w:tc>
        <w:tc>
          <w:tcPr>
            <w:tcW w:w="1526" w:type="dxa"/>
            <w:shd w:val="clear" w:color="auto" w:fill="D9E2F3" w:themeFill="accent1" w:themeFillTint="33"/>
            <w:vAlign w:val="center"/>
          </w:tcPr>
          <w:p w14:paraId="606C162D" w14:textId="77777777" w:rsidR="00C475C3" w:rsidRPr="00CE357F" w:rsidRDefault="00C475C3" w:rsidP="00730BE8">
            <w:pPr>
              <w:jc w:val="center"/>
              <w:rPr>
                <w:rFonts w:ascii="Arial Narrow" w:hAnsi="Arial Narrow" w:cs="Arial"/>
                <w:sz w:val="20"/>
                <w:szCs w:val="20"/>
              </w:rPr>
            </w:pPr>
            <w:r w:rsidRPr="00CE357F">
              <w:rPr>
                <w:rFonts w:ascii="Arial Narrow" w:hAnsi="Arial Narrow" w:cs="Arial"/>
                <w:sz w:val="20"/>
                <w:szCs w:val="20"/>
              </w:rPr>
              <w:t>80</w:t>
            </w:r>
          </w:p>
        </w:tc>
        <w:tc>
          <w:tcPr>
            <w:tcW w:w="1374" w:type="dxa"/>
            <w:shd w:val="clear" w:color="auto" w:fill="D9E2F3" w:themeFill="accent1" w:themeFillTint="33"/>
            <w:vAlign w:val="center"/>
          </w:tcPr>
          <w:p w14:paraId="2D9B9BCF" w14:textId="77777777" w:rsidR="00C475C3" w:rsidRPr="00CE357F" w:rsidRDefault="00C475C3" w:rsidP="00730BE8">
            <w:pPr>
              <w:jc w:val="center"/>
              <w:rPr>
                <w:rFonts w:ascii="Arial Narrow" w:hAnsi="Arial Narrow"/>
                <w:color w:val="000000"/>
                <w:sz w:val="20"/>
                <w:szCs w:val="20"/>
              </w:rPr>
            </w:pPr>
            <w:r w:rsidRPr="00CE357F">
              <w:rPr>
                <w:rFonts w:ascii="Arial Narrow" w:hAnsi="Arial Narrow"/>
                <w:color w:val="000000"/>
                <w:sz w:val="20"/>
                <w:szCs w:val="20"/>
              </w:rPr>
              <w:t>181</w:t>
            </w:r>
          </w:p>
        </w:tc>
        <w:tc>
          <w:tcPr>
            <w:tcW w:w="1657" w:type="dxa"/>
            <w:shd w:val="clear" w:color="auto" w:fill="D9E2F3" w:themeFill="accent1" w:themeFillTint="33"/>
            <w:vAlign w:val="center"/>
          </w:tcPr>
          <w:p w14:paraId="45B51769" w14:textId="77777777" w:rsidR="00C475C3" w:rsidRPr="00CE357F" w:rsidRDefault="00C475C3" w:rsidP="00730BE8">
            <w:pPr>
              <w:jc w:val="center"/>
              <w:rPr>
                <w:rFonts w:ascii="Arial Narrow" w:hAnsi="Arial Narrow" w:cs="Arial"/>
                <w:sz w:val="20"/>
                <w:szCs w:val="20"/>
              </w:rPr>
            </w:pPr>
            <w:r w:rsidRPr="00CE357F">
              <w:rPr>
                <w:rFonts w:ascii="Arial Narrow" w:hAnsi="Arial Narrow" w:cs="Arial"/>
                <w:sz w:val="20"/>
                <w:szCs w:val="20"/>
              </w:rPr>
              <w:t>352</w:t>
            </w:r>
          </w:p>
        </w:tc>
      </w:tr>
    </w:tbl>
    <w:p w14:paraId="44E6548F" w14:textId="3A8154DC" w:rsidR="00C475C3" w:rsidRPr="00E1313E" w:rsidRDefault="00C475C3" w:rsidP="00E1313E">
      <w:pPr>
        <w:spacing w:after="240" w:line="276" w:lineRule="auto"/>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r>
      <w:r w:rsidRPr="00CE357F">
        <w:rPr>
          <w:rFonts w:ascii="Arial Narrow" w:hAnsi="Arial Narrow"/>
          <w:sz w:val="20"/>
        </w:rPr>
        <w:tab/>
        <w:t xml:space="preserve">                 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5346D96D" w14:textId="77777777" w:rsidR="00C475C3" w:rsidRPr="00CE357F" w:rsidRDefault="00C475C3" w:rsidP="00C475C3">
      <w:pPr>
        <w:spacing w:before="240" w:after="240" w:line="276" w:lineRule="auto"/>
        <w:jc w:val="both"/>
        <w:rPr>
          <w:rFonts w:ascii="Arial Narrow" w:hAnsi="Arial Narrow"/>
          <w:b/>
          <w:bCs/>
          <w:color w:val="C00000"/>
          <w:sz w:val="28"/>
        </w:rPr>
      </w:pPr>
      <w:bookmarkStart w:id="865" w:name="_Hlk94289229"/>
      <w:r w:rsidRPr="00CE357F">
        <w:rPr>
          <w:rFonts w:ascii="Arial Narrow" w:hAnsi="Arial Narrow"/>
          <w:b/>
          <w:bCs/>
          <w:color w:val="C00000"/>
          <w:szCs w:val="18"/>
        </w:rPr>
        <w:t xml:space="preserve">Zaměstnané </w:t>
      </w:r>
      <w:r w:rsidRPr="00CE357F">
        <w:rPr>
          <w:rFonts w:ascii="Arial Narrow" w:eastAsia="Times New Roman" w:hAnsi="Arial Narrow" w:cs="Arial"/>
          <w:b/>
          <w:bCs/>
          <w:color w:val="C00000"/>
          <w:szCs w:val="18"/>
          <w:lang w:eastAsia="cs-CZ"/>
        </w:rPr>
        <w:t>osoby s jinou než českou státní příslušností v ORP Vyškov podle klasifikace ekonomické činnosti</w:t>
      </w:r>
    </w:p>
    <w:p w14:paraId="60A3F893" w14:textId="106D9650" w:rsidR="00C475C3" w:rsidRPr="00CE357F" w:rsidRDefault="00C475C3" w:rsidP="00E1313E">
      <w:pPr>
        <w:spacing w:line="276" w:lineRule="auto"/>
        <w:jc w:val="both"/>
        <w:rPr>
          <w:rFonts w:ascii="Arial Narrow" w:hAnsi="Arial Narrow"/>
        </w:rPr>
      </w:pPr>
      <w:bookmarkStart w:id="866" w:name="_Hlk94293816"/>
      <w:bookmarkEnd w:id="865"/>
      <w:r w:rsidRPr="00CE357F">
        <w:rPr>
          <w:rFonts w:ascii="Arial Narrow" w:hAnsi="Arial Narrow"/>
        </w:rPr>
        <w:t>Dle klasifikace ekonomických činností CZ-NACE</w:t>
      </w:r>
      <w:r w:rsidRPr="00CE357F">
        <w:rPr>
          <w:rStyle w:val="Znakapoznpodarou"/>
          <w:rFonts w:ascii="Arial Narrow" w:hAnsi="Arial Narrow"/>
        </w:rPr>
        <w:footnoteReference w:id="105"/>
      </w:r>
      <w:r w:rsidRPr="00CE357F">
        <w:rPr>
          <w:rFonts w:ascii="Arial Narrow" w:hAnsi="Arial Narrow"/>
        </w:rPr>
        <w:t xml:space="preserve"> bylo nejvíce zaměstnaných osob s jinou než českou státní příslušností v ORP Vyškov k datu 31. 12. 2020 zaměstnáno ve zpracovatelském průmyslu (48,9 %). Druhou oblastí, ve které bylo zaměstnáno nejvíce osob s jinou než českou státní příslušností, byly administrativní a podpůrné činnosti (29,3 %). Významnější počet osob s jinou než českou státní příslušností byl zaměstnán také v oblasti zdravotní a sociální péče (7,3 %) a </w:t>
      </w:r>
      <w:r w:rsidR="002D58F4" w:rsidRPr="00CE357F">
        <w:rPr>
          <w:rFonts w:ascii="Arial Narrow" w:hAnsi="Arial Narrow"/>
        </w:rPr>
        <w:t>činnostech v oblasti nemovitostí (6,0 %).</w:t>
      </w:r>
      <w:r w:rsidR="00E1313E">
        <w:rPr>
          <w:rFonts w:ascii="Arial Narrow" w:hAnsi="Arial Narrow"/>
        </w:rPr>
        <w:t xml:space="preserve"> </w:t>
      </w:r>
      <w:r w:rsidRPr="00CE357F">
        <w:rPr>
          <w:rFonts w:ascii="Arial Narrow" w:hAnsi="Arial Narrow"/>
        </w:rPr>
        <w:t>Zaměstnané osoby s jinou než českou státní příslušností v ORP Vyškov k 31. 12. 2020 podle klasifikace ekonomických činností CZ-NACE podrobně dokumentuje tabulka</w:t>
      </w:r>
      <w:r w:rsidR="00E1313E">
        <w:rPr>
          <w:rFonts w:ascii="Arial Narrow" w:hAnsi="Arial Narrow"/>
        </w:rPr>
        <w:t xml:space="preserve"> č. 71</w:t>
      </w:r>
      <w:r w:rsidRPr="00CE357F">
        <w:rPr>
          <w:rFonts w:ascii="Arial Narrow" w:hAnsi="Arial Narrow"/>
        </w:rPr>
        <w:t xml:space="preserve">. </w:t>
      </w:r>
    </w:p>
    <w:bookmarkEnd w:id="866"/>
    <w:p w14:paraId="5DF7923B" w14:textId="77777777" w:rsidR="00566BC3" w:rsidRPr="00CE357F" w:rsidRDefault="00566BC3" w:rsidP="00C475C3">
      <w:pPr>
        <w:spacing w:line="276" w:lineRule="auto"/>
        <w:rPr>
          <w:rFonts w:ascii="Arial Narrow" w:hAnsi="Arial Narrow"/>
          <w:color w:val="C00000"/>
          <w:sz w:val="24"/>
          <w:szCs w:val="24"/>
        </w:rPr>
      </w:pPr>
    </w:p>
    <w:p w14:paraId="1DB811C6" w14:textId="7A80C5F1" w:rsidR="00C475C3" w:rsidRPr="00CE357F" w:rsidRDefault="00C475C3" w:rsidP="00EC6552">
      <w:pPr>
        <w:jc w:val="both"/>
        <w:rPr>
          <w:rFonts w:ascii="Arial Narrow" w:eastAsia="Times New Roman" w:hAnsi="Arial Narrow" w:cs="Arial"/>
          <w:b/>
          <w:bCs/>
          <w:sz w:val="20"/>
          <w:szCs w:val="20"/>
          <w:lang w:eastAsia="cs-CZ"/>
        </w:rPr>
      </w:pPr>
      <w:bookmarkStart w:id="867" w:name="_Hlk94293766"/>
      <w:bookmarkStart w:id="868" w:name="_Toc136429282"/>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71</w:t>
      </w:r>
      <w:r w:rsidRPr="00CE357F">
        <w:rPr>
          <w:rFonts w:ascii="Arial Narrow" w:hAnsi="Arial Narrow"/>
          <w:b/>
          <w:bCs/>
          <w:sz w:val="20"/>
          <w:szCs w:val="20"/>
        </w:rPr>
        <w:fldChar w:fldCharType="end"/>
      </w:r>
      <w:r w:rsidRPr="00CE357F">
        <w:rPr>
          <w:rFonts w:ascii="Arial Narrow" w:hAnsi="Arial Narrow"/>
          <w:b/>
          <w:bCs/>
          <w:sz w:val="20"/>
          <w:szCs w:val="20"/>
        </w:rPr>
        <w:t xml:space="preserve">:  Zaměstnané </w:t>
      </w:r>
      <w:r w:rsidRPr="00CE357F">
        <w:rPr>
          <w:rFonts w:ascii="Arial Narrow" w:eastAsia="Times New Roman" w:hAnsi="Arial Narrow" w:cs="Arial"/>
          <w:b/>
          <w:bCs/>
          <w:sz w:val="20"/>
          <w:szCs w:val="20"/>
          <w:lang w:eastAsia="cs-CZ"/>
        </w:rPr>
        <w:t>osoby s jinou než českou státní příslušností v ORP Vyškov podle klasifikace ekonomické činnosti</w:t>
      </w:r>
      <w:bookmarkEnd w:id="867"/>
      <w:bookmarkEnd w:id="868"/>
    </w:p>
    <w:tbl>
      <w:tblPr>
        <w:tblW w:w="9008"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5969"/>
        <w:gridCol w:w="3039"/>
      </w:tblGrid>
      <w:tr w:rsidR="00566BC3" w:rsidRPr="00CE357F" w14:paraId="422ADEC3" w14:textId="77777777" w:rsidTr="003C5FC2">
        <w:trPr>
          <w:trHeight w:val="509"/>
          <w:jc w:val="center"/>
        </w:trPr>
        <w:tc>
          <w:tcPr>
            <w:tcW w:w="5969" w:type="dxa"/>
            <w:vMerge w:val="restart"/>
            <w:shd w:val="clear" w:color="auto" w:fill="D9E2F3" w:themeFill="accent1" w:themeFillTint="33"/>
            <w:vAlign w:val="center"/>
            <w:hideMark/>
          </w:tcPr>
          <w:p w14:paraId="34D73F86" w14:textId="77777777" w:rsidR="00566BC3" w:rsidRPr="00CE357F" w:rsidRDefault="00566BC3" w:rsidP="003C5FC2">
            <w:pPr>
              <w:jc w:val="center"/>
              <w:rPr>
                <w:rFonts w:ascii="Arial Narrow" w:eastAsia="Times New Roman" w:hAnsi="Arial Narrow" w:cs="Arial"/>
                <w:b/>
                <w:sz w:val="18"/>
                <w:szCs w:val="18"/>
                <w:lang w:eastAsia="cs-CZ"/>
              </w:rPr>
            </w:pPr>
            <w:r w:rsidRPr="00CE357F">
              <w:rPr>
                <w:rFonts w:ascii="Arial Narrow" w:eastAsia="Times New Roman" w:hAnsi="Arial Narrow" w:cs="Arial"/>
                <w:b/>
                <w:sz w:val="18"/>
                <w:szCs w:val="18"/>
                <w:lang w:eastAsia="cs-CZ"/>
              </w:rPr>
              <w:t>Klasifikace ekonomické činnosti</w:t>
            </w:r>
          </w:p>
        </w:tc>
        <w:tc>
          <w:tcPr>
            <w:tcW w:w="3039" w:type="dxa"/>
            <w:vMerge w:val="restart"/>
            <w:shd w:val="clear" w:color="auto" w:fill="D9E2F3" w:themeFill="accent1" w:themeFillTint="33"/>
            <w:vAlign w:val="center"/>
            <w:hideMark/>
          </w:tcPr>
          <w:p w14:paraId="40ACD9C3" w14:textId="77777777" w:rsidR="00566BC3" w:rsidRPr="00CE357F" w:rsidRDefault="00566BC3" w:rsidP="003C5FC2">
            <w:pPr>
              <w:jc w:val="center"/>
              <w:rPr>
                <w:rFonts w:ascii="Arial Narrow" w:eastAsia="Times New Roman" w:hAnsi="Arial Narrow" w:cs="Arial"/>
                <w:bCs/>
                <w:sz w:val="18"/>
                <w:szCs w:val="18"/>
                <w:lang w:eastAsia="cs-CZ"/>
              </w:rPr>
            </w:pPr>
            <w:r w:rsidRPr="00CE357F">
              <w:rPr>
                <w:rFonts w:ascii="Arial Narrow" w:eastAsia="Times New Roman" w:hAnsi="Arial Narrow" w:cs="Arial"/>
                <w:b/>
                <w:bCs/>
                <w:sz w:val="18"/>
                <w:szCs w:val="18"/>
                <w:lang w:eastAsia="cs-CZ"/>
              </w:rPr>
              <w:t>Počet osob s jinou než českou státní příslušností pracujících v daném oboru</w:t>
            </w:r>
          </w:p>
        </w:tc>
      </w:tr>
      <w:tr w:rsidR="00566BC3" w:rsidRPr="00CE357F" w14:paraId="39F469DF" w14:textId="77777777" w:rsidTr="002D58F4">
        <w:trPr>
          <w:trHeight w:val="450"/>
          <w:jc w:val="center"/>
        </w:trPr>
        <w:tc>
          <w:tcPr>
            <w:tcW w:w="5969" w:type="dxa"/>
            <w:vMerge/>
            <w:shd w:val="clear" w:color="auto" w:fill="D9E2F3" w:themeFill="accent1" w:themeFillTint="33"/>
            <w:hideMark/>
          </w:tcPr>
          <w:p w14:paraId="01B0BF47" w14:textId="77777777" w:rsidR="00566BC3" w:rsidRPr="00CE357F" w:rsidRDefault="00566BC3" w:rsidP="003C5FC2">
            <w:pPr>
              <w:jc w:val="center"/>
              <w:rPr>
                <w:rFonts w:ascii="Arial Narrow" w:eastAsia="Times New Roman" w:hAnsi="Arial Narrow" w:cs="Arial"/>
                <w:b/>
                <w:bCs/>
                <w:sz w:val="18"/>
                <w:szCs w:val="18"/>
                <w:lang w:eastAsia="cs-CZ"/>
              </w:rPr>
            </w:pPr>
          </w:p>
        </w:tc>
        <w:tc>
          <w:tcPr>
            <w:tcW w:w="3039" w:type="dxa"/>
            <w:vMerge/>
            <w:shd w:val="clear" w:color="auto" w:fill="D9E2F3" w:themeFill="accent1" w:themeFillTint="33"/>
            <w:hideMark/>
          </w:tcPr>
          <w:p w14:paraId="74A6B180" w14:textId="77777777" w:rsidR="00566BC3" w:rsidRPr="00CE357F" w:rsidRDefault="00566BC3" w:rsidP="003C5FC2">
            <w:pPr>
              <w:jc w:val="center"/>
              <w:rPr>
                <w:rFonts w:ascii="Arial Narrow" w:eastAsia="Times New Roman" w:hAnsi="Arial Narrow" w:cs="Arial"/>
                <w:b/>
                <w:bCs/>
                <w:sz w:val="18"/>
                <w:szCs w:val="18"/>
                <w:lang w:eastAsia="cs-CZ"/>
              </w:rPr>
            </w:pPr>
          </w:p>
        </w:tc>
      </w:tr>
      <w:tr w:rsidR="00566BC3" w:rsidRPr="00CE357F" w14:paraId="0B72B24B" w14:textId="77777777" w:rsidTr="003C5FC2">
        <w:trPr>
          <w:trHeight w:val="227"/>
          <w:jc w:val="center"/>
        </w:trPr>
        <w:tc>
          <w:tcPr>
            <w:tcW w:w="5969" w:type="dxa"/>
            <w:shd w:val="clear" w:color="auto" w:fill="D9E2F3" w:themeFill="accent1" w:themeFillTint="33"/>
          </w:tcPr>
          <w:p w14:paraId="708E6FD8"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A – Zemědělství, lesnictví, rybářství</w:t>
            </w:r>
          </w:p>
        </w:tc>
        <w:tc>
          <w:tcPr>
            <w:tcW w:w="3039" w:type="dxa"/>
          </w:tcPr>
          <w:p w14:paraId="23659786" w14:textId="63CF4F31"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1</w:t>
            </w:r>
          </w:p>
        </w:tc>
      </w:tr>
      <w:tr w:rsidR="00566BC3" w:rsidRPr="00CE357F" w14:paraId="1310F458" w14:textId="77777777" w:rsidTr="003C5FC2">
        <w:trPr>
          <w:trHeight w:val="227"/>
          <w:jc w:val="center"/>
        </w:trPr>
        <w:tc>
          <w:tcPr>
            <w:tcW w:w="5969" w:type="dxa"/>
            <w:shd w:val="clear" w:color="auto" w:fill="D9E2F3" w:themeFill="accent1" w:themeFillTint="33"/>
          </w:tcPr>
          <w:p w14:paraId="4A2EAD14"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B – Těžba a dobývání</w:t>
            </w:r>
          </w:p>
        </w:tc>
        <w:tc>
          <w:tcPr>
            <w:tcW w:w="3039" w:type="dxa"/>
          </w:tcPr>
          <w:p w14:paraId="7BB2BD31" w14:textId="4E26AA3F"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30BD165A" w14:textId="77777777" w:rsidTr="003C5FC2">
        <w:trPr>
          <w:trHeight w:val="227"/>
          <w:jc w:val="center"/>
        </w:trPr>
        <w:tc>
          <w:tcPr>
            <w:tcW w:w="5969" w:type="dxa"/>
            <w:shd w:val="clear" w:color="auto" w:fill="D9E2F3" w:themeFill="accent1" w:themeFillTint="33"/>
          </w:tcPr>
          <w:p w14:paraId="0C7A8AE5" w14:textId="77777777" w:rsidR="00566BC3" w:rsidRPr="00CE357F" w:rsidRDefault="00566BC3" w:rsidP="00566BC3">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C – Zpracovatelský průmysl</w:t>
            </w:r>
          </w:p>
        </w:tc>
        <w:tc>
          <w:tcPr>
            <w:tcW w:w="3039" w:type="dxa"/>
          </w:tcPr>
          <w:p w14:paraId="542F2C23" w14:textId="02232A54" w:rsidR="00566BC3" w:rsidRPr="00CE357F" w:rsidRDefault="00566BC3" w:rsidP="00566BC3">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color w:val="C00000"/>
                <w:sz w:val="18"/>
                <w:szCs w:val="18"/>
                <w:lang w:eastAsia="cs-CZ"/>
              </w:rPr>
              <w:t>172</w:t>
            </w:r>
          </w:p>
        </w:tc>
      </w:tr>
      <w:tr w:rsidR="00566BC3" w:rsidRPr="00CE357F" w14:paraId="6A1F173D" w14:textId="77777777" w:rsidTr="003C5FC2">
        <w:trPr>
          <w:trHeight w:val="227"/>
          <w:jc w:val="center"/>
        </w:trPr>
        <w:tc>
          <w:tcPr>
            <w:tcW w:w="5969" w:type="dxa"/>
            <w:shd w:val="clear" w:color="auto" w:fill="D9E2F3" w:themeFill="accent1" w:themeFillTint="33"/>
          </w:tcPr>
          <w:p w14:paraId="610F5A27"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D – Výroba a rozvod elektřiny, plynu, tepla a klimatizovaného vzduchu</w:t>
            </w:r>
          </w:p>
        </w:tc>
        <w:tc>
          <w:tcPr>
            <w:tcW w:w="3039" w:type="dxa"/>
          </w:tcPr>
          <w:p w14:paraId="250273BE" w14:textId="2DBF61FC"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6EB56DD1" w14:textId="77777777" w:rsidTr="003C5FC2">
        <w:trPr>
          <w:trHeight w:val="227"/>
          <w:jc w:val="center"/>
        </w:trPr>
        <w:tc>
          <w:tcPr>
            <w:tcW w:w="5969" w:type="dxa"/>
            <w:shd w:val="clear" w:color="auto" w:fill="D9E2F3" w:themeFill="accent1" w:themeFillTint="33"/>
          </w:tcPr>
          <w:p w14:paraId="45CB697C"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E – Zásobování vodou; činnosti související s odpadními vodami, odpady a sanacemi</w:t>
            </w:r>
          </w:p>
        </w:tc>
        <w:tc>
          <w:tcPr>
            <w:tcW w:w="3039" w:type="dxa"/>
          </w:tcPr>
          <w:p w14:paraId="279A8A39" w14:textId="117F5E3D"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2</w:t>
            </w:r>
          </w:p>
        </w:tc>
      </w:tr>
      <w:tr w:rsidR="00566BC3" w:rsidRPr="00CE357F" w14:paraId="05DAD96D" w14:textId="77777777" w:rsidTr="003C5FC2">
        <w:trPr>
          <w:trHeight w:val="227"/>
          <w:jc w:val="center"/>
        </w:trPr>
        <w:tc>
          <w:tcPr>
            <w:tcW w:w="5969" w:type="dxa"/>
            <w:shd w:val="clear" w:color="auto" w:fill="D9E2F3" w:themeFill="accent1" w:themeFillTint="33"/>
          </w:tcPr>
          <w:p w14:paraId="4142E536"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F – Stavebnictví</w:t>
            </w:r>
          </w:p>
        </w:tc>
        <w:tc>
          <w:tcPr>
            <w:tcW w:w="3039" w:type="dxa"/>
          </w:tcPr>
          <w:p w14:paraId="3E600CE1" w14:textId="19A12E2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5</w:t>
            </w:r>
          </w:p>
        </w:tc>
      </w:tr>
      <w:tr w:rsidR="00566BC3" w:rsidRPr="00CE357F" w14:paraId="46DB38F2" w14:textId="77777777" w:rsidTr="003C5FC2">
        <w:trPr>
          <w:trHeight w:val="227"/>
          <w:jc w:val="center"/>
        </w:trPr>
        <w:tc>
          <w:tcPr>
            <w:tcW w:w="5969" w:type="dxa"/>
            <w:shd w:val="clear" w:color="auto" w:fill="D9E2F3" w:themeFill="accent1" w:themeFillTint="33"/>
          </w:tcPr>
          <w:p w14:paraId="37D3DB3A" w14:textId="77777777" w:rsidR="00566BC3" w:rsidRPr="00CE357F" w:rsidRDefault="00566BC3" w:rsidP="00566BC3">
            <w:pPr>
              <w:jc w:val="center"/>
              <w:rPr>
                <w:rFonts w:ascii="Arial Narrow" w:eastAsia="Times New Roman" w:hAnsi="Arial Narrow" w:cs="Arial"/>
                <w:bCs/>
                <w:color w:val="C00000"/>
                <w:sz w:val="18"/>
                <w:szCs w:val="18"/>
                <w:lang w:eastAsia="cs-CZ"/>
              </w:rPr>
            </w:pPr>
            <w:r w:rsidRPr="00CE357F">
              <w:rPr>
                <w:rFonts w:ascii="Arial Narrow" w:eastAsia="Times New Roman" w:hAnsi="Arial Narrow" w:cs="Arial"/>
                <w:bCs/>
                <w:sz w:val="18"/>
                <w:szCs w:val="18"/>
                <w:lang w:eastAsia="cs-CZ"/>
              </w:rPr>
              <w:t>G – Velkoobchod a maloobchod; opravy a údržba motorových vozidel</w:t>
            </w:r>
          </w:p>
        </w:tc>
        <w:tc>
          <w:tcPr>
            <w:tcW w:w="3039" w:type="dxa"/>
          </w:tcPr>
          <w:p w14:paraId="558E157D" w14:textId="258AE023" w:rsidR="00566BC3" w:rsidRPr="00CE357F" w:rsidRDefault="00566BC3" w:rsidP="00566BC3">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sz w:val="18"/>
                <w:szCs w:val="18"/>
                <w:lang w:eastAsia="cs-CZ"/>
              </w:rPr>
              <w:t>6</w:t>
            </w:r>
          </w:p>
        </w:tc>
      </w:tr>
      <w:tr w:rsidR="00566BC3" w:rsidRPr="00CE357F" w14:paraId="28529227" w14:textId="77777777" w:rsidTr="003C5FC2">
        <w:trPr>
          <w:trHeight w:val="227"/>
          <w:jc w:val="center"/>
        </w:trPr>
        <w:tc>
          <w:tcPr>
            <w:tcW w:w="5969" w:type="dxa"/>
            <w:shd w:val="clear" w:color="auto" w:fill="D9E2F3" w:themeFill="accent1" w:themeFillTint="33"/>
          </w:tcPr>
          <w:p w14:paraId="63248244"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H – Doprava a skladování</w:t>
            </w:r>
          </w:p>
        </w:tc>
        <w:tc>
          <w:tcPr>
            <w:tcW w:w="3039" w:type="dxa"/>
          </w:tcPr>
          <w:p w14:paraId="0AA64931" w14:textId="3E087B4A"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3</w:t>
            </w:r>
          </w:p>
        </w:tc>
      </w:tr>
      <w:tr w:rsidR="00566BC3" w:rsidRPr="00CE357F" w14:paraId="317A5A0F" w14:textId="77777777" w:rsidTr="003C5FC2">
        <w:trPr>
          <w:trHeight w:val="227"/>
          <w:jc w:val="center"/>
        </w:trPr>
        <w:tc>
          <w:tcPr>
            <w:tcW w:w="5969" w:type="dxa"/>
            <w:shd w:val="clear" w:color="auto" w:fill="D9E2F3" w:themeFill="accent1" w:themeFillTint="33"/>
          </w:tcPr>
          <w:p w14:paraId="02BDA23C"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lastRenderedPageBreak/>
              <w:t>I – Ubytování, stravování a pohostinství</w:t>
            </w:r>
          </w:p>
        </w:tc>
        <w:tc>
          <w:tcPr>
            <w:tcW w:w="3039" w:type="dxa"/>
          </w:tcPr>
          <w:p w14:paraId="400596E3" w14:textId="3C5FB47A"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7D778F79" w14:textId="77777777" w:rsidTr="003C5FC2">
        <w:trPr>
          <w:trHeight w:val="227"/>
          <w:jc w:val="center"/>
        </w:trPr>
        <w:tc>
          <w:tcPr>
            <w:tcW w:w="5969" w:type="dxa"/>
            <w:shd w:val="clear" w:color="auto" w:fill="D9E2F3" w:themeFill="accent1" w:themeFillTint="33"/>
          </w:tcPr>
          <w:p w14:paraId="3DDDC8E4"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J – Informační a komunikační činnosti</w:t>
            </w:r>
          </w:p>
        </w:tc>
        <w:tc>
          <w:tcPr>
            <w:tcW w:w="3039" w:type="dxa"/>
          </w:tcPr>
          <w:p w14:paraId="0070ABB3" w14:textId="6C65E7DF"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7039CFAA" w14:textId="77777777" w:rsidTr="003C5FC2">
        <w:trPr>
          <w:trHeight w:val="227"/>
          <w:jc w:val="center"/>
        </w:trPr>
        <w:tc>
          <w:tcPr>
            <w:tcW w:w="5969" w:type="dxa"/>
            <w:shd w:val="clear" w:color="auto" w:fill="D9E2F3" w:themeFill="accent1" w:themeFillTint="33"/>
          </w:tcPr>
          <w:p w14:paraId="6EC7FD8E"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K – Peněžnictví a pojišťovnictví</w:t>
            </w:r>
          </w:p>
        </w:tc>
        <w:tc>
          <w:tcPr>
            <w:tcW w:w="3039" w:type="dxa"/>
          </w:tcPr>
          <w:p w14:paraId="09572BD9" w14:textId="0B705B0D"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1139338A" w14:textId="77777777" w:rsidTr="003C5FC2">
        <w:trPr>
          <w:trHeight w:val="227"/>
          <w:jc w:val="center"/>
        </w:trPr>
        <w:tc>
          <w:tcPr>
            <w:tcW w:w="5969" w:type="dxa"/>
            <w:shd w:val="clear" w:color="auto" w:fill="D9E2F3" w:themeFill="accent1" w:themeFillTint="33"/>
          </w:tcPr>
          <w:p w14:paraId="74E0908F" w14:textId="77777777" w:rsidR="00566BC3" w:rsidRPr="00CE357F" w:rsidRDefault="00566BC3" w:rsidP="00566BC3">
            <w:pPr>
              <w:jc w:val="center"/>
              <w:rPr>
                <w:rFonts w:ascii="Arial Narrow" w:eastAsia="Times New Roman" w:hAnsi="Arial Narrow" w:cs="Arial"/>
                <w:b/>
                <w:bCs/>
                <w:sz w:val="18"/>
                <w:szCs w:val="18"/>
                <w:lang w:eastAsia="cs-CZ"/>
              </w:rPr>
            </w:pPr>
            <w:r w:rsidRPr="00CE357F">
              <w:rPr>
                <w:rFonts w:ascii="Arial Narrow" w:eastAsia="Times New Roman" w:hAnsi="Arial Narrow" w:cs="Arial"/>
                <w:b/>
                <w:bCs/>
                <w:color w:val="C00000"/>
                <w:sz w:val="18"/>
                <w:szCs w:val="18"/>
                <w:lang w:eastAsia="cs-CZ"/>
              </w:rPr>
              <w:t>L – Činnosti v oblasti nemovitostí</w:t>
            </w:r>
          </w:p>
        </w:tc>
        <w:tc>
          <w:tcPr>
            <w:tcW w:w="3039" w:type="dxa"/>
          </w:tcPr>
          <w:p w14:paraId="6616BC0D" w14:textId="6DADEB80" w:rsidR="00566BC3" w:rsidRPr="00CE357F" w:rsidRDefault="00566BC3" w:rsidP="00566BC3">
            <w:pPr>
              <w:jc w:val="center"/>
              <w:rPr>
                <w:rFonts w:ascii="Arial Narrow" w:eastAsia="Times New Roman" w:hAnsi="Arial Narrow" w:cs="Arial"/>
                <w:b/>
                <w:bCs/>
                <w:sz w:val="18"/>
                <w:szCs w:val="18"/>
                <w:lang w:eastAsia="cs-CZ"/>
              </w:rPr>
            </w:pPr>
            <w:r w:rsidRPr="00CE357F">
              <w:rPr>
                <w:rFonts w:ascii="Arial Narrow" w:eastAsia="Times New Roman" w:hAnsi="Arial Narrow" w:cs="Arial"/>
                <w:b/>
                <w:color w:val="C00000"/>
                <w:sz w:val="18"/>
                <w:szCs w:val="18"/>
                <w:lang w:eastAsia="cs-CZ"/>
              </w:rPr>
              <w:t>21</w:t>
            </w:r>
          </w:p>
        </w:tc>
      </w:tr>
      <w:tr w:rsidR="00566BC3" w:rsidRPr="00CE357F" w14:paraId="697BFF68" w14:textId="77777777" w:rsidTr="003C5FC2">
        <w:trPr>
          <w:trHeight w:val="227"/>
          <w:jc w:val="center"/>
        </w:trPr>
        <w:tc>
          <w:tcPr>
            <w:tcW w:w="5969" w:type="dxa"/>
            <w:shd w:val="clear" w:color="auto" w:fill="D9E2F3" w:themeFill="accent1" w:themeFillTint="33"/>
          </w:tcPr>
          <w:p w14:paraId="5A7AEF6D" w14:textId="77777777" w:rsidR="00566BC3" w:rsidRPr="00CE357F" w:rsidRDefault="00566BC3" w:rsidP="00566BC3">
            <w:pPr>
              <w:jc w:val="center"/>
              <w:rPr>
                <w:rFonts w:ascii="Arial Narrow" w:eastAsia="Times New Roman" w:hAnsi="Arial Narrow" w:cs="Arial"/>
                <w:bCs/>
                <w:color w:val="C00000"/>
                <w:sz w:val="18"/>
                <w:szCs w:val="18"/>
                <w:lang w:eastAsia="cs-CZ"/>
              </w:rPr>
            </w:pPr>
            <w:r w:rsidRPr="00CE357F">
              <w:rPr>
                <w:rFonts w:ascii="Arial Narrow" w:eastAsia="Times New Roman" w:hAnsi="Arial Narrow" w:cs="Arial"/>
                <w:bCs/>
                <w:sz w:val="18"/>
                <w:szCs w:val="18"/>
                <w:lang w:eastAsia="cs-CZ"/>
              </w:rPr>
              <w:t>M – Profesní, vědecké a technické činnosti</w:t>
            </w:r>
          </w:p>
        </w:tc>
        <w:tc>
          <w:tcPr>
            <w:tcW w:w="3039" w:type="dxa"/>
          </w:tcPr>
          <w:p w14:paraId="39400E93" w14:textId="14E44DB6" w:rsidR="00566BC3" w:rsidRPr="00CE357F" w:rsidRDefault="00566BC3" w:rsidP="00566BC3">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sz w:val="18"/>
                <w:szCs w:val="18"/>
                <w:lang w:eastAsia="cs-CZ"/>
              </w:rPr>
              <w:t>0</w:t>
            </w:r>
          </w:p>
        </w:tc>
      </w:tr>
      <w:tr w:rsidR="00566BC3" w:rsidRPr="00CE357F" w14:paraId="5659A5E9" w14:textId="77777777" w:rsidTr="003C5FC2">
        <w:trPr>
          <w:trHeight w:val="227"/>
          <w:jc w:val="center"/>
        </w:trPr>
        <w:tc>
          <w:tcPr>
            <w:tcW w:w="5969" w:type="dxa"/>
            <w:shd w:val="clear" w:color="auto" w:fill="D9E2F3" w:themeFill="accent1" w:themeFillTint="33"/>
          </w:tcPr>
          <w:p w14:paraId="55022919" w14:textId="77777777" w:rsidR="00566BC3" w:rsidRPr="00CE357F" w:rsidRDefault="00566BC3" w:rsidP="00566BC3">
            <w:pPr>
              <w:jc w:val="center"/>
              <w:rPr>
                <w:rFonts w:ascii="Arial Narrow" w:eastAsia="Times New Roman" w:hAnsi="Arial Narrow" w:cs="Arial"/>
                <w:b/>
                <w:bCs/>
                <w:sz w:val="18"/>
                <w:szCs w:val="18"/>
                <w:lang w:eastAsia="cs-CZ"/>
              </w:rPr>
            </w:pPr>
            <w:r w:rsidRPr="00CE357F">
              <w:rPr>
                <w:rFonts w:ascii="Arial Narrow" w:eastAsia="Times New Roman" w:hAnsi="Arial Narrow" w:cs="Arial"/>
                <w:b/>
                <w:color w:val="C00000"/>
                <w:sz w:val="18"/>
                <w:szCs w:val="18"/>
                <w:lang w:eastAsia="cs-CZ"/>
              </w:rPr>
              <w:t>N – Administrativní a podpůrné činnosti</w:t>
            </w:r>
          </w:p>
        </w:tc>
        <w:tc>
          <w:tcPr>
            <w:tcW w:w="3039" w:type="dxa"/>
          </w:tcPr>
          <w:p w14:paraId="4EEF88A3" w14:textId="4F67DB00" w:rsidR="00566BC3" w:rsidRPr="00CE357F" w:rsidRDefault="00566BC3" w:rsidP="00566BC3">
            <w:pPr>
              <w:jc w:val="center"/>
              <w:rPr>
                <w:rFonts w:ascii="Arial Narrow" w:eastAsia="Times New Roman" w:hAnsi="Arial Narrow" w:cs="Arial"/>
                <w:b/>
                <w:bCs/>
                <w:sz w:val="18"/>
                <w:szCs w:val="18"/>
                <w:lang w:eastAsia="cs-CZ"/>
              </w:rPr>
            </w:pPr>
            <w:r w:rsidRPr="00CE357F">
              <w:rPr>
                <w:rFonts w:ascii="Arial Narrow" w:eastAsia="Times New Roman" w:hAnsi="Arial Narrow" w:cs="Arial"/>
                <w:b/>
                <w:color w:val="C00000"/>
                <w:sz w:val="18"/>
                <w:szCs w:val="18"/>
                <w:lang w:eastAsia="cs-CZ"/>
              </w:rPr>
              <w:t>103</w:t>
            </w:r>
          </w:p>
        </w:tc>
      </w:tr>
      <w:tr w:rsidR="00566BC3" w:rsidRPr="00CE357F" w14:paraId="74DC5E22" w14:textId="77777777" w:rsidTr="003C5FC2">
        <w:trPr>
          <w:trHeight w:val="227"/>
          <w:jc w:val="center"/>
        </w:trPr>
        <w:tc>
          <w:tcPr>
            <w:tcW w:w="5969" w:type="dxa"/>
            <w:shd w:val="clear" w:color="auto" w:fill="D9E2F3" w:themeFill="accent1" w:themeFillTint="33"/>
          </w:tcPr>
          <w:p w14:paraId="483ECD89"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O – Veřejná správa a obrana; povinné sociální zabezpečení</w:t>
            </w:r>
          </w:p>
        </w:tc>
        <w:tc>
          <w:tcPr>
            <w:tcW w:w="3039" w:type="dxa"/>
          </w:tcPr>
          <w:p w14:paraId="2C5FDE35" w14:textId="43C8D4F0"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2</w:t>
            </w:r>
          </w:p>
        </w:tc>
      </w:tr>
      <w:tr w:rsidR="00566BC3" w:rsidRPr="00CE357F" w14:paraId="6B35CDA3" w14:textId="77777777" w:rsidTr="003C5FC2">
        <w:trPr>
          <w:trHeight w:val="227"/>
          <w:jc w:val="center"/>
        </w:trPr>
        <w:tc>
          <w:tcPr>
            <w:tcW w:w="5969" w:type="dxa"/>
            <w:shd w:val="clear" w:color="auto" w:fill="D9E2F3" w:themeFill="accent1" w:themeFillTint="33"/>
          </w:tcPr>
          <w:p w14:paraId="4514381C"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P – Vzdělávání</w:t>
            </w:r>
          </w:p>
        </w:tc>
        <w:tc>
          <w:tcPr>
            <w:tcW w:w="3039" w:type="dxa"/>
          </w:tcPr>
          <w:p w14:paraId="33B96A75" w14:textId="64331D04"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2</w:t>
            </w:r>
          </w:p>
        </w:tc>
      </w:tr>
      <w:tr w:rsidR="00566BC3" w:rsidRPr="00CE357F" w14:paraId="75D763C0" w14:textId="77777777" w:rsidTr="003C5FC2">
        <w:trPr>
          <w:trHeight w:val="227"/>
          <w:jc w:val="center"/>
        </w:trPr>
        <w:tc>
          <w:tcPr>
            <w:tcW w:w="5969" w:type="dxa"/>
            <w:shd w:val="clear" w:color="auto" w:fill="D9E2F3" w:themeFill="accent1" w:themeFillTint="33"/>
          </w:tcPr>
          <w:p w14:paraId="0A1EDCD4" w14:textId="77777777" w:rsidR="00566BC3" w:rsidRPr="00CE357F" w:rsidRDefault="00566BC3" w:rsidP="00566BC3">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bCs/>
                <w:color w:val="C00000"/>
                <w:sz w:val="18"/>
                <w:szCs w:val="18"/>
                <w:lang w:eastAsia="cs-CZ"/>
              </w:rPr>
              <w:t>Q – Zdravotní a sociální péče</w:t>
            </w:r>
          </w:p>
        </w:tc>
        <w:tc>
          <w:tcPr>
            <w:tcW w:w="3039" w:type="dxa"/>
          </w:tcPr>
          <w:p w14:paraId="5D0A792C" w14:textId="7A86302E" w:rsidR="00566BC3" w:rsidRPr="00CE357F" w:rsidRDefault="00566BC3" w:rsidP="00566BC3">
            <w:pPr>
              <w:jc w:val="center"/>
              <w:rPr>
                <w:rFonts w:ascii="Arial Narrow" w:eastAsia="Times New Roman" w:hAnsi="Arial Narrow" w:cs="Arial"/>
                <w:b/>
                <w:bCs/>
                <w:color w:val="C00000"/>
                <w:sz w:val="18"/>
                <w:szCs w:val="18"/>
                <w:lang w:eastAsia="cs-CZ"/>
              </w:rPr>
            </w:pPr>
            <w:r w:rsidRPr="00CE357F">
              <w:rPr>
                <w:rFonts w:ascii="Arial Narrow" w:eastAsia="Times New Roman" w:hAnsi="Arial Narrow" w:cs="Arial"/>
                <w:b/>
                <w:color w:val="C00000"/>
                <w:sz w:val="18"/>
                <w:szCs w:val="18"/>
                <w:lang w:eastAsia="cs-CZ"/>
              </w:rPr>
              <w:t>35</w:t>
            </w:r>
          </w:p>
        </w:tc>
      </w:tr>
      <w:tr w:rsidR="00566BC3" w:rsidRPr="00CE357F" w14:paraId="086A1D48" w14:textId="77777777" w:rsidTr="003C5FC2">
        <w:trPr>
          <w:trHeight w:val="227"/>
          <w:jc w:val="center"/>
        </w:trPr>
        <w:tc>
          <w:tcPr>
            <w:tcW w:w="5969" w:type="dxa"/>
            <w:shd w:val="clear" w:color="auto" w:fill="D9E2F3" w:themeFill="accent1" w:themeFillTint="33"/>
          </w:tcPr>
          <w:p w14:paraId="631AA3A0"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R – Kulturní, zábavní a rekreační činnosti</w:t>
            </w:r>
          </w:p>
        </w:tc>
        <w:tc>
          <w:tcPr>
            <w:tcW w:w="3039" w:type="dxa"/>
          </w:tcPr>
          <w:p w14:paraId="10041A1A" w14:textId="7A77C1E4"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115493E4" w14:textId="77777777" w:rsidTr="003C5FC2">
        <w:trPr>
          <w:trHeight w:val="227"/>
          <w:jc w:val="center"/>
        </w:trPr>
        <w:tc>
          <w:tcPr>
            <w:tcW w:w="5969" w:type="dxa"/>
            <w:shd w:val="clear" w:color="auto" w:fill="D9E2F3" w:themeFill="accent1" w:themeFillTint="33"/>
          </w:tcPr>
          <w:p w14:paraId="69F211B8"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S – Ostatní činnosti</w:t>
            </w:r>
          </w:p>
        </w:tc>
        <w:tc>
          <w:tcPr>
            <w:tcW w:w="3039" w:type="dxa"/>
          </w:tcPr>
          <w:p w14:paraId="069EB363" w14:textId="0C2A4BAD"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2E85BF36" w14:textId="77777777" w:rsidTr="003C5FC2">
        <w:trPr>
          <w:trHeight w:val="227"/>
          <w:jc w:val="center"/>
        </w:trPr>
        <w:tc>
          <w:tcPr>
            <w:tcW w:w="5969" w:type="dxa"/>
            <w:shd w:val="clear" w:color="auto" w:fill="D9E2F3" w:themeFill="accent1" w:themeFillTint="33"/>
          </w:tcPr>
          <w:p w14:paraId="74BA4AC5"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T – Činnosti domácností</w:t>
            </w:r>
          </w:p>
        </w:tc>
        <w:tc>
          <w:tcPr>
            <w:tcW w:w="3039" w:type="dxa"/>
          </w:tcPr>
          <w:p w14:paraId="29D36992" w14:textId="70D1152C"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4A2CCA97" w14:textId="77777777" w:rsidTr="003C5FC2">
        <w:trPr>
          <w:trHeight w:val="227"/>
          <w:jc w:val="center"/>
        </w:trPr>
        <w:tc>
          <w:tcPr>
            <w:tcW w:w="5969" w:type="dxa"/>
            <w:shd w:val="clear" w:color="auto" w:fill="D9E2F3" w:themeFill="accent1" w:themeFillTint="33"/>
          </w:tcPr>
          <w:p w14:paraId="5C0544CB"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U – Činnosti exteritoriálních organizací a orgánů</w:t>
            </w:r>
          </w:p>
        </w:tc>
        <w:tc>
          <w:tcPr>
            <w:tcW w:w="3039" w:type="dxa"/>
          </w:tcPr>
          <w:p w14:paraId="512D1934" w14:textId="755E58C1"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795A71DF" w14:textId="77777777" w:rsidTr="003C5FC2">
        <w:trPr>
          <w:trHeight w:val="227"/>
          <w:jc w:val="center"/>
        </w:trPr>
        <w:tc>
          <w:tcPr>
            <w:tcW w:w="5969" w:type="dxa"/>
            <w:shd w:val="clear" w:color="auto" w:fill="D9E2F3" w:themeFill="accent1" w:themeFillTint="33"/>
          </w:tcPr>
          <w:p w14:paraId="3364CF82" w14:textId="7777777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neuvedeno</w:t>
            </w:r>
          </w:p>
        </w:tc>
        <w:tc>
          <w:tcPr>
            <w:tcW w:w="3039" w:type="dxa"/>
          </w:tcPr>
          <w:p w14:paraId="3D798119" w14:textId="25AC4887" w:rsidR="00566BC3" w:rsidRPr="00CE357F" w:rsidRDefault="00566BC3" w:rsidP="00566BC3">
            <w:pPr>
              <w:jc w:val="center"/>
              <w:rPr>
                <w:rFonts w:ascii="Arial Narrow" w:eastAsia="Times New Roman" w:hAnsi="Arial Narrow" w:cs="Arial"/>
                <w:bCs/>
                <w:sz w:val="18"/>
                <w:szCs w:val="18"/>
                <w:lang w:eastAsia="cs-CZ"/>
              </w:rPr>
            </w:pPr>
            <w:r w:rsidRPr="00CE357F">
              <w:rPr>
                <w:rFonts w:ascii="Arial Narrow" w:eastAsia="Times New Roman" w:hAnsi="Arial Narrow" w:cs="Arial"/>
                <w:sz w:val="18"/>
                <w:szCs w:val="18"/>
                <w:lang w:eastAsia="cs-CZ"/>
              </w:rPr>
              <w:t>0</w:t>
            </w:r>
          </w:p>
        </w:tc>
      </w:tr>
      <w:tr w:rsidR="00566BC3" w:rsidRPr="00CE357F" w14:paraId="707CFE42" w14:textId="77777777" w:rsidTr="003C5FC2">
        <w:trPr>
          <w:trHeight w:val="272"/>
          <w:jc w:val="center"/>
        </w:trPr>
        <w:tc>
          <w:tcPr>
            <w:tcW w:w="5969" w:type="dxa"/>
            <w:shd w:val="clear" w:color="auto" w:fill="D9E2F3" w:themeFill="accent1" w:themeFillTint="33"/>
            <w:vAlign w:val="center"/>
          </w:tcPr>
          <w:p w14:paraId="1DCF7764" w14:textId="77777777" w:rsidR="00566BC3" w:rsidRPr="00CE357F" w:rsidRDefault="00566BC3" w:rsidP="00566BC3">
            <w:pPr>
              <w:jc w:val="center"/>
              <w:rPr>
                <w:rFonts w:ascii="Arial Narrow" w:hAnsi="Arial Narrow"/>
                <w:b/>
                <w:bCs/>
                <w:sz w:val="18"/>
                <w:szCs w:val="18"/>
              </w:rPr>
            </w:pPr>
            <w:r w:rsidRPr="00CE357F">
              <w:rPr>
                <w:rFonts w:ascii="Arial Narrow" w:hAnsi="Arial Narrow"/>
                <w:b/>
                <w:bCs/>
                <w:sz w:val="18"/>
                <w:szCs w:val="18"/>
              </w:rPr>
              <w:t>Počet pracujících osob s jinou než českou státní příslušností v ORP celkem</w:t>
            </w:r>
          </w:p>
        </w:tc>
        <w:tc>
          <w:tcPr>
            <w:tcW w:w="3039" w:type="dxa"/>
          </w:tcPr>
          <w:p w14:paraId="3B240913" w14:textId="575ED7E9" w:rsidR="00566BC3" w:rsidRPr="00CE357F" w:rsidRDefault="00566BC3" w:rsidP="00566BC3">
            <w:pPr>
              <w:jc w:val="center"/>
              <w:rPr>
                <w:rFonts w:ascii="Arial Narrow" w:hAnsi="Arial Narrow"/>
                <w:b/>
                <w:bCs/>
                <w:sz w:val="18"/>
                <w:szCs w:val="18"/>
              </w:rPr>
            </w:pPr>
            <w:r w:rsidRPr="00CE357F">
              <w:rPr>
                <w:rFonts w:ascii="Arial Narrow" w:hAnsi="Arial Narrow"/>
                <w:b/>
                <w:bCs/>
                <w:sz w:val="18"/>
                <w:szCs w:val="18"/>
              </w:rPr>
              <w:t>352</w:t>
            </w:r>
          </w:p>
        </w:tc>
      </w:tr>
    </w:tbl>
    <w:p w14:paraId="192B7FEC" w14:textId="6008E6DA" w:rsidR="00566BC3" w:rsidRPr="00B21467" w:rsidRDefault="002D58F4" w:rsidP="00B21467">
      <w:pPr>
        <w:spacing w:after="240"/>
        <w:rPr>
          <w:rFonts w:ascii="Arial Narrow" w:hAnsi="Arial Narrow"/>
          <w:sz w:val="20"/>
        </w:rPr>
      </w:pPr>
      <w:r w:rsidRPr="00CE357F">
        <w:rPr>
          <w:rFonts w:ascii="Arial Narrow" w:hAnsi="Arial Narrow"/>
          <w:color w:val="000000"/>
          <w:sz w:val="20"/>
          <w:lang w:eastAsia="cs-CZ"/>
        </w:rPr>
        <w:t>Zdroj: Jihomoravský kraj</w:t>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r>
      <w:r w:rsidRPr="00CE357F">
        <w:rPr>
          <w:rFonts w:ascii="Arial Narrow" w:hAnsi="Arial Narrow"/>
          <w:color w:val="000000"/>
          <w:sz w:val="20"/>
          <w:lang w:eastAsia="cs-CZ"/>
        </w:rPr>
        <w:tab/>
        <w:t xml:space="preserve">                 </w:t>
      </w:r>
      <w:r w:rsidRPr="00CE357F">
        <w:rPr>
          <w:rFonts w:ascii="Arial Narrow" w:hAnsi="Arial Narrow"/>
          <w:sz w:val="20"/>
        </w:rPr>
        <w:t xml:space="preserve">Tabulka: AUGUR </w:t>
      </w:r>
      <w:proofErr w:type="spellStart"/>
      <w:r w:rsidRPr="00CE357F">
        <w:rPr>
          <w:rFonts w:ascii="Arial Narrow" w:hAnsi="Arial Narrow"/>
          <w:sz w:val="20"/>
        </w:rPr>
        <w:t>Consulting</w:t>
      </w:r>
      <w:proofErr w:type="spellEnd"/>
      <w:r w:rsidRPr="00CE357F">
        <w:rPr>
          <w:rFonts w:ascii="Arial Narrow" w:hAnsi="Arial Narrow"/>
          <w:sz w:val="20"/>
        </w:rPr>
        <w:t>, s.r.o.</w:t>
      </w:r>
    </w:p>
    <w:p w14:paraId="4C7BED17" w14:textId="27F04A63" w:rsidR="00B21467" w:rsidRDefault="00B21467" w:rsidP="00C475C3">
      <w:pPr>
        <w:spacing w:line="276" w:lineRule="auto"/>
        <w:jc w:val="both"/>
        <w:rPr>
          <w:rFonts w:ascii="Arial Narrow" w:hAnsi="Arial Narrow"/>
          <w:b/>
          <w:bCs/>
          <w:sz w:val="24"/>
          <w:szCs w:val="24"/>
        </w:rPr>
      </w:pPr>
    </w:p>
    <w:p w14:paraId="38866AF1" w14:textId="77777777" w:rsidR="00B21467" w:rsidRPr="00B21467" w:rsidRDefault="00B21467" w:rsidP="008B3D36">
      <w:pPr>
        <w:pStyle w:val="Odstavecseseznamem"/>
        <w:keepNext/>
        <w:keepLines/>
        <w:numPr>
          <w:ilvl w:val="2"/>
          <w:numId w:val="32"/>
        </w:numPr>
        <w:spacing w:before="200"/>
        <w:contextualSpacing w:val="0"/>
        <w:jc w:val="both"/>
        <w:outlineLvl w:val="2"/>
        <w:rPr>
          <w:rFonts w:ascii="Arial Narrow" w:eastAsiaTheme="majorEastAsia" w:hAnsi="Arial Narrow" w:cs="Arial"/>
          <w:b/>
          <w:bCs/>
          <w:vanish/>
          <w:color w:val="002060"/>
          <w:sz w:val="26"/>
          <w:szCs w:val="26"/>
          <w:u w:val="single"/>
        </w:rPr>
      </w:pPr>
      <w:bookmarkStart w:id="869" w:name="_Toc95986776"/>
      <w:bookmarkStart w:id="870" w:name="_Toc125635503"/>
      <w:bookmarkStart w:id="871" w:name="_Toc132629210"/>
      <w:bookmarkStart w:id="872" w:name="_Toc136876157"/>
      <w:bookmarkEnd w:id="869"/>
      <w:bookmarkEnd w:id="870"/>
      <w:bookmarkEnd w:id="871"/>
      <w:bookmarkEnd w:id="872"/>
    </w:p>
    <w:p w14:paraId="711EE83E" w14:textId="77777777" w:rsidR="00B21467" w:rsidRPr="00B21467" w:rsidRDefault="00B21467" w:rsidP="008B3D36">
      <w:pPr>
        <w:pStyle w:val="Odstavecseseznamem"/>
        <w:keepNext/>
        <w:keepLines/>
        <w:numPr>
          <w:ilvl w:val="2"/>
          <w:numId w:val="32"/>
        </w:numPr>
        <w:spacing w:before="200"/>
        <w:contextualSpacing w:val="0"/>
        <w:jc w:val="both"/>
        <w:outlineLvl w:val="2"/>
        <w:rPr>
          <w:rFonts w:ascii="Arial Narrow" w:eastAsiaTheme="majorEastAsia" w:hAnsi="Arial Narrow" w:cs="Arial"/>
          <w:b/>
          <w:bCs/>
          <w:vanish/>
          <w:color w:val="002060"/>
          <w:sz w:val="26"/>
          <w:szCs w:val="26"/>
          <w:u w:val="single"/>
        </w:rPr>
      </w:pPr>
      <w:bookmarkStart w:id="873" w:name="_Toc95986777"/>
      <w:bookmarkStart w:id="874" w:name="_Toc125635504"/>
      <w:bookmarkStart w:id="875" w:name="_Toc132629211"/>
      <w:bookmarkStart w:id="876" w:name="_Toc136876158"/>
      <w:bookmarkEnd w:id="873"/>
      <w:bookmarkEnd w:id="874"/>
      <w:bookmarkEnd w:id="875"/>
      <w:bookmarkEnd w:id="876"/>
    </w:p>
    <w:p w14:paraId="7B5C803A" w14:textId="77777777" w:rsidR="00B21467" w:rsidRPr="00B21467" w:rsidRDefault="00B21467" w:rsidP="008B3D36">
      <w:pPr>
        <w:pStyle w:val="Odstavecseseznamem"/>
        <w:keepNext/>
        <w:keepLines/>
        <w:numPr>
          <w:ilvl w:val="2"/>
          <w:numId w:val="32"/>
        </w:numPr>
        <w:spacing w:before="200"/>
        <w:contextualSpacing w:val="0"/>
        <w:jc w:val="both"/>
        <w:outlineLvl w:val="2"/>
        <w:rPr>
          <w:rFonts w:ascii="Arial Narrow" w:eastAsiaTheme="majorEastAsia" w:hAnsi="Arial Narrow" w:cs="Arial"/>
          <w:b/>
          <w:bCs/>
          <w:vanish/>
          <w:color w:val="002060"/>
          <w:sz w:val="26"/>
          <w:szCs w:val="26"/>
          <w:u w:val="single"/>
        </w:rPr>
      </w:pPr>
      <w:bookmarkStart w:id="877" w:name="_Toc95986778"/>
      <w:bookmarkStart w:id="878" w:name="_Toc125635505"/>
      <w:bookmarkStart w:id="879" w:name="_Toc132629212"/>
      <w:bookmarkStart w:id="880" w:name="_Toc136876159"/>
      <w:bookmarkEnd w:id="877"/>
      <w:bookmarkEnd w:id="878"/>
      <w:bookmarkEnd w:id="879"/>
      <w:bookmarkEnd w:id="880"/>
    </w:p>
    <w:p w14:paraId="51D1EB6B" w14:textId="77777777" w:rsidR="00B21467" w:rsidRPr="00B21467" w:rsidRDefault="00B21467" w:rsidP="008B3D36">
      <w:pPr>
        <w:pStyle w:val="Odstavecseseznamem"/>
        <w:keepNext/>
        <w:keepLines/>
        <w:numPr>
          <w:ilvl w:val="2"/>
          <w:numId w:val="32"/>
        </w:numPr>
        <w:spacing w:before="200"/>
        <w:contextualSpacing w:val="0"/>
        <w:jc w:val="both"/>
        <w:outlineLvl w:val="2"/>
        <w:rPr>
          <w:rFonts w:ascii="Arial Narrow" w:eastAsiaTheme="majorEastAsia" w:hAnsi="Arial Narrow" w:cs="Arial"/>
          <w:b/>
          <w:bCs/>
          <w:vanish/>
          <w:color w:val="002060"/>
          <w:sz w:val="26"/>
          <w:szCs w:val="26"/>
          <w:u w:val="single"/>
        </w:rPr>
      </w:pPr>
      <w:bookmarkStart w:id="881" w:name="_Toc95986779"/>
      <w:bookmarkStart w:id="882" w:name="_Toc125635506"/>
      <w:bookmarkStart w:id="883" w:name="_Toc132629213"/>
      <w:bookmarkStart w:id="884" w:name="_Toc136876160"/>
      <w:bookmarkEnd w:id="881"/>
      <w:bookmarkEnd w:id="882"/>
      <w:bookmarkEnd w:id="883"/>
      <w:bookmarkEnd w:id="884"/>
    </w:p>
    <w:p w14:paraId="48627C39" w14:textId="4886376B" w:rsidR="00B21467" w:rsidRPr="00366165" w:rsidRDefault="00B21467" w:rsidP="008B3D36">
      <w:pPr>
        <w:pStyle w:val="Nadpis3"/>
        <w:numPr>
          <w:ilvl w:val="2"/>
          <w:numId w:val="32"/>
        </w:numPr>
        <w:spacing w:line="276" w:lineRule="auto"/>
        <w:rPr>
          <w:sz w:val="24"/>
          <w:szCs w:val="24"/>
        </w:rPr>
      </w:pPr>
      <w:bookmarkStart w:id="885" w:name="_Toc136876161"/>
      <w:r w:rsidRPr="00366165">
        <w:t>Shrnutí poznatků ORP Vyškov</w:t>
      </w:r>
      <w:bookmarkEnd w:id="885"/>
    </w:p>
    <w:p w14:paraId="5D44EF9B" w14:textId="38A8F3A9" w:rsidR="00B21467" w:rsidRDefault="00B21467" w:rsidP="00C475C3">
      <w:pPr>
        <w:spacing w:line="276" w:lineRule="auto"/>
        <w:jc w:val="both"/>
        <w:rPr>
          <w:rFonts w:ascii="Arial Narrow" w:hAnsi="Arial Narrow"/>
          <w:b/>
          <w:bCs/>
          <w:sz w:val="24"/>
          <w:szCs w:val="24"/>
        </w:rPr>
      </w:pPr>
    </w:p>
    <w:p w14:paraId="55C3106E" w14:textId="4629D275" w:rsidR="00B21467" w:rsidRPr="00B21467" w:rsidRDefault="00B21467" w:rsidP="00B214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Arial Narrow" w:hAnsi="Arial Narrow" w:cs="Arial Narrow"/>
          <w:color w:val="000000"/>
          <w:u w:color="000000"/>
          <w:shd w:val="clear" w:color="auto" w:fill="FFFFFF"/>
        </w:rPr>
      </w:pPr>
      <w:r w:rsidRPr="00B21467">
        <w:rPr>
          <w:rFonts w:ascii="Arial Narrow" w:eastAsia="Arial Unicode MS" w:hAnsi="Arial Narrow" w:cs="Arial Unicode MS"/>
          <w:color w:val="000000"/>
          <w:u w:color="000000"/>
        </w:rPr>
        <w:t xml:space="preserve">Závěrem této kapitoly si dovolujeme </w:t>
      </w:r>
      <w:r>
        <w:rPr>
          <w:rFonts w:ascii="Arial Narrow" w:eastAsia="Arial Unicode MS" w:hAnsi="Arial Narrow" w:cs="Arial Unicode MS"/>
          <w:color w:val="000000"/>
          <w:u w:color="000000"/>
        </w:rPr>
        <w:t xml:space="preserve">předložit </w:t>
      </w:r>
      <w:r w:rsidRPr="00B21467">
        <w:rPr>
          <w:rFonts w:ascii="Arial Narrow" w:eastAsia="Arial Unicode MS" w:hAnsi="Arial Narrow" w:cs="Arial Unicode MS"/>
          <w:color w:val="000000"/>
          <w:u w:color="000000"/>
        </w:rPr>
        <w:t>stručné shrnutí základních poznatků, které vyplývají ze sekundární analýzy dat k osobám s jinou než českou státní příslušností v</w:t>
      </w:r>
      <w:r>
        <w:rPr>
          <w:rFonts w:ascii="Arial Narrow" w:eastAsia="Arial Unicode MS" w:hAnsi="Arial Narrow" w:cs="Arial Unicode MS"/>
          <w:color w:val="000000"/>
          <w:u w:color="000000"/>
        </w:rPr>
        <w:t> ORP Vyškov</w:t>
      </w:r>
      <w:r w:rsidRPr="00B21467">
        <w:rPr>
          <w:rFonts w:ascii="Arial Narrow" w:eastAsia="Arial Unicode MS" w:hAnsi="Arial Narrow" w:cs="Arial Unicode MS"/>
          <w:color w:val="000000"/>
          <w:u w:color="000000"/>
        </w:rPr>
        <w:t xml:space="preserve">. Tyto údaje jsou součástí projektu </w:t>
      </w:r>
      <w:r w:rsidRPr="00B21467">
        <w:rPr>
          <w:rFonts w:ascii="Arial Narrow" w:eastAsia="Arial Unicode MS" w:hAnsi="Arial Narrow" w:cs="Arial Unicode MS"/>
          <w:color w:val="000000"/>
          <w:u w:color="000000"/>
          <w:shd w:val="clear" w:color="auto" w:fill="FFFFFF"/>
        </w:rPr>
        <w:t>„Analýza potřeb klíčových aktérů v</w:t>
      </w:r>
      <w:r w:rsidRPr="00B21467">
        <w:rPr>
          <w:rFonts w:ascii="Arial" w:eastAsia="Arial Unicode MS" w:hAnsi="Arial" w:cs="Arial"/>
          <w:color w:val="000000"/>
          <w:u w:color="000000"/>
          <w:shd w:val="clear" w:color="auto" w:fill="FFFFFF"/>
        </w:rPr>
        <w:t> </w:t>
      </w:r>
      <w:r w:rsidRPr="00B21467">
        <w:rPr>
          <w:rFonts w:ascii="Arial Narrow" w:eastAsia="Arial Unicode MS" w:hAnsi="Arial Narrow" w:cs="Arial Unicode MS"/>
          <w:color w:val="000000"/>
          <w:u w:color="000000"/>
          <w:shd w:val="clear" w:color="auto" w:fill="FFFFFF"/>
        </w:rPr>
        <w:t>oblasti zaměstnávání cizinců v JMK“.</w:t>
      </w:r>
    </w:p>
    <w:p w14:paraId="00683E58" w14:textId="7E931BBC" w:rsidR="00E56229" w:rsidRDefault="00E56229" w:rsidP="00E56229">
      <w:pPr>
        <w:spacing w:line="276" w:lineRule="auto"/>
        <w:jc w:val="both"/>
        <w:rPr>
          <w:rFonts w:ascii="Arial Narrow" w:hAnsi="Arial Narrow"/>
        </w:rPr>
      </w:pPr>
      <w:r w:rsidRPr="00B4465C">
        <w:rPr>
          <w:rFonts w:ascii="Arial Narrow" w:hAnsi="Arial Narrow"/>
        </w:rPr>
        <w:t>K 31. 12. 2021 žilo na území ORP Vyškov celkem 51 941 obyvatel, což představovalo zhruba 4,4 % všech obyvatel Jihomoravského kraje. Mezi obyvateli ORP Vyškov byli k tomuto datu muži a ženy téměř rovnoměrně zastoupeni (49,2 % mužů a 50,8 % žen).  Zastoupení mužů a žen mezi obyvateli ORP Vyškov zůstává, stejně jako podíl obyvatel na celkovém počtu obyvatel JMK, dlouhodobě stabilní. Meziročně vzrůstá pouze průměrný věk obyvatel. Zatímco v roce 2005 byl průměrný věk obyvatel ORP Vyškov 39,6 let, v roce 2022 to bylo 42,6 let. Jedná se ale o trend, který je charakteristický pro území celé České republiky</w:t>
      </w:r>
      <w:r w:rsidRPr="00B4465C">
        <w:rPr>
          <w:rStyle w:val="Znakapoznpodarou"/>
          <w:rFonts w:ascii="Arial Narrow" w:eastAsia="Times New Roman" w:hAnsi="Arial Narrow" w:cs="Arial"/>
          <w:sz w:val="18"/>
          <w:szCs w:val="18"/>
          <w:lang w:eastAsia="cs-CZ"/>
        </w:rPr>
        <w:footnoteReference w:id="106"/>
      </w:r>
      <w:r w:rsidRPr="00B4465C">
        <w:rPr>
          <w:rFonts w:ascii="Arial Narrow" w:hAnsi="Arial Narrow"/>
        </w:rPr>
        <w:t xml:space="preserve">. </w:t>
      </w:r>
    </w:p>
    <w:p w14:paraId="6C9C0982" w14:textId="77777777" w:rsidR="00E56229" w:rsidRPr="00B4465C" w:rsidRDefault="00E56229" w:rsidP="00E56229">
      <w:pPr>
        <w:spacing w:line="276" w:lineRule="auto"/>
        <w:jc w:val="both"/>
        <w:rPr>
          <w:rFonts w:ascii="Arial Narrow" w:hAnsi="Arial Narrow"/>
        </w:rPr>
      </w:pPr>
    </w:p>
    <w:p w14:paraId="69C282D4" w14:textId="7933705D" w:rsidR="00E56229" w:rsidRDefault="00E56229" w:rsidP="00E56229">
      <w:pPr>
        <w:spacing w:after="120" w:line="276" w:lineRule="auto"/>
        <w:jc w:val="both"/>
        <w:rPr>
          <w:rFonts w:ascii="Arial Narrow" w:hAnsi="Arial Narrow"/>
        </w:rPr>
      </w:pPr>
      <w:r w:rsidRPr="006B2844">
        <w:rPr>
          <w:rFonts w:ascii="Arial Narrow" w:eastAsia="Calibri" w:hAnsi="Arial Narrow"/>
          <w:color w:val="000000"/>
          <w:u w:color="000000"/>
        </w:rPr>
        <w:t xml:space="preserve">ORP </w:t>
      </w:r>
      <w:r>
        <w:rPr>
          <w:rFonts w:ascii="Arial Narrow" w:eastAsia="Calibri" w:hAnsi="Arial Narrow"/>
          <w:color w:val="000000"/>
          <w:u w:color="000000"/>
        </w:rPr>
        <w:t>Vyškov</w:t>
      </w:r>
      <w:r w:rsidRPr="006B2844">
        <w:rPr>
          <w:rFonts w:ascii="Arial Narrow" w:eastAsia="Calibri" w:hAnsi="Arial Narrow"/>
          <w:color w:val="000000"/>
          <w:u w:color="000000"/>
        </w:rPr>
        <w:t xml:space="preserve"> dlouhodobě představovalo, ve srovnání s jinými vybranými ORP Jihomoravského kraje, </w:t>
      </w:r>
      <w:r w:rsidRPr="006B2844">
        <w:rPr>
          <w:rFonts w:ascii="Arial Narrow" w:eastAsia="Calibri" w:hAnsi="Arial Narrow"/>
          <w:b/>
          <w:bCs/>
          <w:color w:val="000000"/>
          <w:u w:color="000000"/>
        </w:rPr>
        <w:t xml:space="preserve">oblast s </w:t>
      </w:r>
      <w:r>
        <w:rPr>
          <w:rFonts w:ascii="Arial Narrow" w:eastAsia="Calibri" w:hAnsi="Arial Narrow"/>
          <w:b/>
          <w:bCs/>
          <w:color w:val="000000"/>
          <w:u w:color="000000"/>
        </w:rPr>
        <w:t>nízkým</w:t>
      </w:r>
      <w:r w:rsidRPr="006B2844">
        <w:rPr>
          <w:rFonts w:ascii="Arial Narrow" w:eastAsia="Calibri" w:hAnsi="Arial Narrow"/>
          <w:b/>
          <w:bCs/>
          <w:color w:val="000000"/>
          <w:u w:color="000000"/>
        </w:rPr>
        <w:t xml:space="preserve"> podílem osob s jinou než českou příslušností. V posledním roce se však podíl osob s jinou než českou státní příslušností </w:t>
      </w:r>
      <w:r w:rsidRPr="006B2844">
        <w:rPr>
          <w:rFonts w:ascii="Arial Narrow" w:hAnsi="Arial Narrow"/>
          <w:b/>
          <w:bCs/>
        </w:rPr>
        <w:t xml:space="preserve">zvýšil </w:t>
      </w:r>
      <w:r>
        <w:rPr>
          <w:rFonts w:ascii="Arial Narrow" w:hAnsi="Arial Narrow"/>
          <w:b/>
          <w:bCs/>
        </w:rPr>
        <w:t>téměř dvojnásobně</w:t>
      </w:r>
      <w:r w:rsidRPr="006B2844">
        <w:rPr>
          <w:rFonts w:ascii="Arial Narrow" w:hAnsi="Arial Narrow"/>
          <w:b/>
          <w:bCs/>
        </w:rPr>
        <w:t xml:space="preserve">, což bylo </w:t>
      </w:r>
      <w:r>
        <w:rPr>
          <w:rFonts w:ascii="Arial Narrow" w:hAnsi="Arial Narrow"/>
          <w:b/>
          <w:bCs/>
        </w:rPr>
        <w:t xml:space="preserve">pravděpodobně </w:t>
      </w:r>
      <w:r w:rsidRPr="006B2844">
        <w:rPr>
          <w:rFonts w:ascii="Arial Narrow" w:hAnsi="Arial Narrow"/>
          <w:b/>
          <w:bCs/>
        </w:rPr>
        <w:t>způsobeno především válečným konfliktem na Ukrajině.</w:t>
      </w:r>
      <w:r>
        <w:rPr>
          <w:rFonts w:ascii="Arial Narrow" w:eastAsia="Calibri" w:hAnsi="Arial Narrow"/>
          <w:b/>
          <w:bCs/>
          <w:color w:val="000000"/>
          <w:u w:color="000000"/>
        </w:rPr>
        <w:t xml:space="preserve"> </w:t>
      </w:r>
      <w:r>
        <w:rPr>
          <w:rFonts w:ascii="Arial Narrow" w:eastAsia="Calibri" w:hAnsi="Arial Narrow"/>
          <w:color w:val="000000"/>
          <w:u w:color="000000"/>
        </w:rPr>
        <w:t>Zatímco k</w:t>
      </w:r>
      <w:r w:rsidRPr="00513F64">
        <w:rPr>
          <w:rFonts w:ascii="Arial Narrow" w:eastAsia="Calibri" w:hAnsi="Arial Narrow"/>
          <w:color w:val="000000"/>
          <w:u w:color="000000"/>
        </w:rPr>
        <w:t> datu 1. 1. 2022</w:t>
      </w:r>
      <w:r>
        <w:rPr>
          <w:rFonts w:ascii="Arial Narrow" w:eastAsia="Calibri" w:hAnsi="Arial Narrow"/>
          <w:color w:val="000000"/>
          <w:u w:color="000000"/>
        </w:rPr>
        <w:t xml:space="preserve"> žilo v ORP </w:t>
      </w:r>
      <w:r w:rsidRPr="00B21467">
        <w:rPr>
          <w:rFonts w:ascii="Arial Narrow" w:eastAsia="Arial Unicode MS" w:hAnsi="Arial Narrow" w:cs="Arial Unicode MS"/>
          <w:color w:val="000000"/>
          <w:u w:color="000000"/>
        </w:rPr>
        <w:t>Vyškov celkem 1 502 osob s jinou než českou státní příslušností</w:t>
      </w:r>
      <w:r w:rsidRPr="00513F64">
        <w:rPr>
          <w:rFonts w:ascii="Arial Narrow" w:eastAsia="Calibri" w:hAnsi="Arial Narrow"/>
          <w:color w:val="000000"/>
          <w:u w:color="000000"/>
        </w:rPr>
        <w:t xml:space="preserve">, což bylo zhruba </w:t>
      </w:r>
      <w:r>
        <w:rPr>
          <w:rFonts w:ascii="Arial Narrow" w:eastAsia="Calibri" w:hAnsi="Arial Narrow"/>
          <w:color w:val="000000"/>
          <w:u w:color="000000"/>
        </w:rPr>
        <w:t>2,9</w:t>
      </w:r>
      <w:r w:rsidRPr="00513F64">
        <w:rPr>
          <w:rFonts w:ascii="Arial Narrow" w:eastAsia="Calibri" w:hAnsi="Arial Narrow"/>
          <w:color w:val="000000"/>
          <w:u w:color="000000"/>
        </w:rPr>
        <w:t xml:space="preserve"> % všech obyvatel ORP </w:t>
      </w:r>
      <w:r>
        <w:rPr>
          <w:rFonts w:ascii="Arial Narrow" w:eastAsia="Calibri" w:hAnsi="Arial Narrow"/>
          <w:color w:val="000000"/>
          <w:u w:color="000000"/>
        </w:rPr>
        <w:t xml:space="preserve">Vyškov, k 1. 1. 2023 v ORP Vyškov žilo </w:t>
      </w:r>
      <w:r w:rsidRPr="00B4465C">
        <w:rPr>
          <w:rFonts w:ascii="Arial Narrow" w:hAnsi="Arial Narrow"/>
        </w:rPr>
        <w:t>celkem 2 829 osob s jinou než českou státní příslušností, což představuje zhruba 5,3 % všech obyvatel ORP Vyškov</w:t>
      </w:r>
      <w:r>
        <w:rPr>
          <w:rFonts w:ascii="Arial Narrow" w:hAnsi="Arial Narrow"/>
          <w:color w:val="000000"/>
        </w:rPr>
        <w:t>. Téměř tři čtvrtiny (70,0</w:t>
      </w:r>
      <w:r w:rsidRPr="00CE357F">
        <w:rPr>
          <w:rFonts w:ascii="Arial Narrow" w:hAnsi="Arial Narrow"/>
          <w:color w:val="000000"/>
        </w:rPr>
        <w:t xml:space="preserve"> %) všech osob s jinou než českou státní příslušností</w:t>
      </w:r>
      <w:r>
        <w:rPr>
          <w:rFonts w:ascii="Arial Narrow" w:hAnsi="Arial Narrow"/>
          <w:color w:val="000000"/>
        </w:rPr>
        <w:t xml:space="preserve"> na území OPR Vyškov mělo přechodný pobyt. </w:t>
      </w:r>
    </w:p>
    <w:p w14:paraId="23B7C677" w14:textId="6EF5DC0B" w:rsidR="00E56229" w:rsidRPr="00CE357F" w:rsidRDefault="00E56229" w:rsidP="00E56229">
      <w:pPr>
        <w:spacing w:after="120" w:line="276" w:lineRule="auto"/>
        <w:jc w:val="both"/>
        <w:rPr>
          <w:rFonts w:ascii="Arial Narrow" w:hAnsi="Arial Narrow"/>
          <w:color w:val="000000"/>
        </w:rPr>
      </w:pPr>
      <w:r>
        <w:rPr>
          <w:rFonts w:ascii="Arial Narrow" w:hAnsi="Arial Narrow"/>
          <w:color w:val="000000"/>
        </w:rPr>
        <w:t xml:space="preserve">V ORP Vyškov bylo k 1. 1. 2023 celkem 42 obcí, přičemž ve všech </w:t>
      </w:r>
      <w:r w:rsidRPr="00CE357F">
        <w:rPr>
          <w:rFonts w:ascii="Arial Narrow" w:hAnsi="Arial Narrow"/>
          <w:color w:val="000000"/>
        </w:rPr>
        <w:t>obcích se nacházela alespoň jedna osoba s jinou než českou státní příslušností.</w:t>
      </w:r>
      <w:r>
        <w:rPr>
          <w:rFonts w:ascii="Arial Narrow" w:hAnsi="Arial Narrow"/>
          <w:color w:val="000000"/>
        </w:rPr>
        <w:t xml:space="preserve"> </w:t>
      </w:r>
      <w:r w:rsidRPr="00CE357F">
        <w:rPr>
          <w:rFonts w:ascii="Arial Narrow" w:hAnsi="Arial Narrow"/>
          <w:color w:val="000000"/>
        </w:rPr>
        <w:t>Nejvyšší podíl osob s jinou než českou státní příslušností na celkovém počtu oby</w:t>
      </w:r>
      <w:r>
        <w:rPr>
          <w:rFonts w:ascii="Arial Narrow" w:hAnsi="Arial Narrow"/>
          <w:color w:val="000000"/>
        </w:rPr>
        <w:t xml:space="preserve">vatel v dané obci byl v obcích </w:t>
      </w:r>
      <w:r w:rsidRPr="006C5629">
        <w:rPr>
          <w:rFonts w:ascii="Arial Narrow" w:hAnsi="Arial Narrow"/>
          <w:b/>
          <w:bCs/>
          <w:color w:val="000000"/>
        </w:rPr>
        <w:t>Rostěnice-Zvonovice, kde tyto osoby tvořily 1</w:t>
      </w:r>
      <w:r w:rsidR="009D66FA">
        <w:rPr>
          <w:rFonts w:ascii="Arial Narrow" w:hAnsi="Arial Narrow"/>
          <w:b/>
          <w:bCs/>
          <w:color w:val="000000"/>
        </w:rPr>
        <w:t>0,5</w:t>
      </w:r>
      <w:r w:rsidRPr="006C5629">
        <w:rPr>
          <w:rFonts w:ascii="Arial Narrow" w:hAnsi="Arial Narrow"/>
          <w:b/>
          <w:bCs/>
          <w:color w:val="000000"/>
        </w:rPr>
        <w:t xml:space="preserve"> % všech obyvatel, a v obci Rousínov, kde tyto osoby tvořily 9 % všech obyvatel</w:t>
      </w:r>
      <w:r w:rsidRPr="00CE357F">
        <w:rPr>
          <w:rFonts w:ascii="Arial Narrow" w:hAnsi="Arial Narrow"/>
          <w:color w:val="000000"/>
        </w:rPr>
        <w:t>.</w:t>
      </w:r>
      <w:r w:rsidR="006C5629">
        <w:rPr>
          <w:rFonts w:ascii="Arial Narrow" w:hAnsi="Arial Narrow"/>
          <w:color w:val="000000"/>
        </w:rPr>
        <w:t xml:space="preserve"> </w:t>
      </w:r>
      <w:r w:rsidRPr="00513F64">
        <w:rPr>
          <w:rFonts w:ascii="Arial Narrow" w:eastAsia="Calibri" w:hAnsi="Arial Narrow"/>
          <w:color w:val="000000"/>
          <w:u w:color="000000"/>
        </w:rPr>
        <w:t xml:space="preserve">V obou obcích došlo k nárůstu podílu osob s jinou než českou státní příslušností </w:t>
      </w:r>
      <w:r>
        <w:rPr>
          <w:rFonts w:ascii="Arial Narrow" w:eastAsia="Calibri" w:hAnsi="Arial Narrow"/>
          <w:color w:val="000000"/>
          <w:u w:color="000000"/>
        </w:rPr>
        <w:t>v posledním roce</w:t>
      </w:r>
      <w:r w:rsidRPr="00513F64">
        <w:rPr>
          <w:rFonts w:ascii="Arial Narrow" w:eastAsia="Calibri" w:hAnsi="Arial Narrow"/>
          <w:color w:val="000000"/>
          <w:u w:color="000000"/>
        </w:rPr>
        <w:t>.</w:t>
      </w:r>
      <w:r>
        <w:rPr>
          <w:rFonts w:ascii="Arial Narrow" w:eastAsia="Calibri" w:hAnsi="Arial Narrow"/>
          <w:color w:val="000000"/>
          <w:u w:color="000000"/>
        </w:rPr>
        <w:t xml:space="preserve"> V roce 2022 představoval podíl těchto osob v </w:t>
      </w:r>
      <w:r w:rsidR="006C5629">
        <w:rPr>
          <w:rFonts w:ascii="Arial Narrow" w:hAnsi="Arial Narrow"/>
          <w:color w:val="000000"/>
        </w:rPr>
        <w:t>obci Rostěnice-Zvonovice</w:t>
      </w:r>
      <w:r w:rsidR="006C5629">
        <w:rPr>
          <w:rFonts w:ascii="Arial Narrow" w:eastAsia="Calibri" w:hAnsi="Arial Narrow"/>
          <w:color w:val="000000"/>
          <w:u w:color="000000"/>
        </w:rPr>
        <w:t xml:space="preserve"> 2,8</w:t>
      </w:r>
      <w:r>
        <w:rPr>
          <w:rFonts w:ascii="Arial Narrow" w:eastAsia="Calibri" w:hAnsi="Arial Narrow"/>
          <w:color w:val="000000"/>
          <w:u w:color="000000"/>
        </w:rPr>
        <w:t xml:space="preserve"> %, v obci </w:t>
      </w:r>
      <w:r w:rsidR="006C5629">
        <w:rPr>
          <w:rFonts w:ascii="Arial Narrow" w:eastAsia="Calibri" w:hAnsi="Arial Narrow"/>
          <w:color w:val="000000"/>
          <w:u w:color="000000"/>
        </w:rPr>
        <w:t>Rousínov</w:t>
      </w:r>
      <w:r>
        <w:rPr>
          <w:rFonts w:ascii="Arial Narrow" w:eastAsia="Calibri" w:hAnsi="Arial Narrow"/>
          <w:color w:val="000000"/>
          <w:u w:color="000000"/>
        </w:rPr>
        <w:t xml:space="preserve"> </w:t>
      </w:r>
      <w:r w:rsidR="006C5629">
        <w:rPr>
          <w:rFonts w:ascii="Arial Narrow" w:eastAsia="Calibri" w:hAnsi="Arial Narrow"/>
          <w:color w:val="000000"/>
          <w:u w:color="000000"/>
        </w:rPr>
        <w:t>4,3</w:t>
      </w:r>
      <w:r>
        <w:rPr>
          <w:rFonts w:ascii="Arial Narrow" w:eastAsia="Calibri" w:hAnsi="Arial Narrow"/>
          <w:color w:val="000000"/>
          <w:u w:color="000000"/>
        </w:rPr>
        <w:t xml:space="preserve"> %.</w:t>
      </w:r>
    </w:p>
    <w:p w14:paraId="39CF5BF1" w14:textId="4AF5DAE2" w:rsidR="00D12B75" w:rsidRDefault="00D12B75" w:rsidP="00D12B75">
      <w:pPr>
        <w:spacing w:after="120" w:line="276" w:lineRule="auto"/>
        <w:jc w:val="both"/>
        <w:rPr>
          <w:rFonts w:ascii="Arial Narrow" w:hAnsi="Arial Narrow"/>
        </w:rPr>
      </w:pPr>
      <w:r w:rsidRPr="00CE357F">
        <w:rPr>
          <w:rFonts w:ascii="Arial Narrow" w:hAnsi="Arial Narrow"/>
        </w:rPr>
        <w:lastRenderedPageBreak/>
        <w:t xml:space="preserve">V populaci osob s jinou než českou státní příslušností v ORP </w:t>
      </w:r>
      <w:r>
        <w:rPr>
          <w:rFonts w:ascii="Arial Narrow" w:hAnsi="Arial Narrow"/>
        </w:rPr>
        <w:t>Vyškov</w:t>
      </w:r>
      <w:r w:rsidRPr="00CE357F">
        <w:rPr>
          <w:rFonts w:ascii="Arial Narrow" w:hAnsi="Arial Narrow"/>
        </w:rPr>
        <w:t xml:space="preserve"> </w:t>
      </w:r>
      <w:r>
        <w:rPr>
          <w:rFonts w:ascii="Arial Narrow" w:hAnsi="Arial Narrow"/>
        </w:rPr>
        <w:t>do roku 2022</w:t>
      </w:r>
      <w:r w:rsidRPr="00CE357F">
        <w:rPr>
          <w:rFonts w:ascii="Arial Narrow" w:hAnsi="Arial Narrow"/>
        </w:rPr>
        <w:t xml:space="preserve"> převažoval počet mužů nad počtem žen.</w:t>
      </w:r>
      <w:r w:rsidRPr="00B4465C">
        <w:rPr>
          <w:rFonts w:ascii="Arial Narrow" w:hAnsi="Arial Narrow"/>
        </w:rPr>
        <w:t xml:space="preserve"> Podíl žen se ale dlouhodobě mírně zvyš</w:t>
      </w:r>
      <w:r>
        <w:rPr>
          <w:rFonts w:ascii="Arial Narrow" w:hAnsi="Arial Narrow"/>
        </w:rPr>
        <w:t>oval</w:t>
      </w:r>
      <w:r w:rsidRPr="00B4465C">
        <w:rPr>
          <w:rFonts w:ascii="Arial Narrow" w:hAnsi="Arial Narrow"/>
        </w:rPr>
        <w:t xml:space="preserve"> a v roce 2023 převážil nad počtem mužů. Skokový nárůst počtu žen je</w:t>
      </w:r>
      <w:r>
        <w:rPr>
          <w:rFonts w:ascii="Arial Narrow" w:hAnsi="Arial Narrow"/>
        </w:rPr>
        <w:t xml:space="preserve"> pravděpodobně</w:t>
      </w:r>
      <w:r w:rsidRPr="00B4465C">
        <w:rPr>
          <w:rFonts w:ascii="Arial Narrow" w:hAnsi="Arial Narrow"/>
        </w:rPr>
        <w:t xml:space="preserve"> způsoben příchodem </w:t>
      </w:r>
      <w:r>
        <w:rPr>
          <w:rFonts w:ascii="Arial Narrow" w:hAnsi="Arial Narrow"/>
        </w:rPr>
        <w:t>u</w:t>
      </w:r>
      <w:r w:rsidRPr="00B4465C">
        <w:rPr>
          <w:rFonts w:ascii="Arial Narrow" w:hAnsi="Arial Narrow"/>
        </w:rPr>
        <w:t xml:space="preserve">krajinských </w:t>
      </w:r>
      <w:r w:rsidR="007A5B21">
        <w:rPr>
          <w:rFonts w:ascii="Arial Narrow" w:hAnsi="Arial Narrow"/>
        </w:rPr>
        <w:t>občanů v důsledku válečného konfliktu</w:t>
      </w:r>
      <w:r w:rsidRPr="00B4465C">
        <w:rPr>
          <w:rFonts w:ascii="Arial Narrow" w:hAnsi="Arial Narrow"/>
        </w:rPr>
        <w:t xml:space="preserve">. V roce 2006 bylo procento zastoupení mužů 64,2 % oproti 35,8 % žen. V roce 2022 byl již podíl obou pohlaví téměř vyrovnaný (44,9 % žen a 55,1 % mužů) a </w:t>
      </w:r>
      <w:r w:rsidRPr="00D12B75">
        <w:rPr>
          <w:rFonts w:ascii="Arial Narrow" w:hAnsi="Arial Narrow"/>
          <w:b/>
          <w:bCs/>
        </w:rPr>
        <w:t>k 1. 1. 2023 se podíl žen zvýšil na 52,6 %</w:t>
      </w:r>
      <w:r w:rsidRPr="00B4465C">
        <w:rPr>
          <w:rFonts w:ascii="Arial Narrow" w:hAnsi="Arial Narrow"/>
        </w:rPr>
        <w:t xml:space="preserve">. </w:t>
      </w:r>
    </w:p>
    <w:p w14:paraId="2412D7CC" w14:textId="7A06C659" w:rsidR="00E56229" w:rsidRPr="00B4465C" w:rsidRDefault="00E56229" w:rsidP="00E56229">
      <w:pPr>
        <w:spacing w:line="276" w:lineRule="auto"/>
        <w:jc w:val="both"/>
        <w:rPr>
          <w:rFonts w:ascii="Arial Narrow" w:hAnsi="Arial Narrow"/>
        </w:rPr>
      </w:pPr>
      <w:r w:rsidRPr="00B4465C">
        <w:rPr>
          <w:rFonts w:ascii="Arial Narrow" w:hAnsi="Arial Narrow"/>
        </w:rPr>
        <w:t>Stejně jako roste podíl žen na celkovém počtu osob s jinou než českou státní příslušností v ORP Vyškov se meziročně mírně zvyš</w:t>
      </w:r>
      <w:r>
        <w:rPr>
          <w:rFonts w:ascii="Arial Narrow" w:hAnsi="Arial Narrow"/>
        </w:rPr>
        <w:t>oval</w:t>
      </w:r>
      <w:r w:rsidRPr="00B4465C">
        <w:rPr>
          <w:rFonts w:ascii="Arial Narrow" w:hAnsi="Arial Narrow"/>
        </w:rPr>
        <w:t xml:space="preserve"> také podíl dětí do 15 let na celkovém počtu těchto osob.</w:t>
      </w:r>
      <w:r>
        <w:rPr>
          <w:rFonts w:ascii="Arial Narrow" w:hAnsi="Arial Narrow"/>
        </w:rPr>
        <w:t xml:space="preserve"> </w:t>
      </w:r>
      <w:r w:rsidRPr="00D12B75">
        <w:rPr>
          <w:rFonts w:ascii="Arial Narrow" w:hAnsi="Arial Narrow"/>
          <w:b/>
          <w:bCs/>
        </w:rPr>
        <w:t>Skokový nárůst byl zaznamenán v roce 2022.</w:t>
      </w:r>
      <w:r w:rsidRPr="00B4465C">
        <w:rPr>
          <w:rFonts w:ascii="Arial Narrow" w:hAnsi="Arial Narrow"/>
        </w:rPr>
        <w:t xml:space="preserve"> Zatímco k 1. 1. 20</w:t>
      </w:r>
      <w:r w:rsidR="00D12B75">
        <w:rPr>
          <w:rFonts w:ascii="Arial Narrow" w:hAnsi="Arial Narrow"/>
        </w:rPr>
        <w:t>22</w:t>
      </w:r>
      <w:r w:rsidRPr="00B4465C">
        <w:rPr>
          <w:rFonts w:ascii="Arial Narrow" w:hAnsi="Arial Narrow"/>
        </w:rPr>
        <w:t xml:space="preserve"> tvořily děti do 15 let celkem </w:t>
      </w:r>
      <w:r w:rsidR="00D12B75">
        <w:rPr>
          <w:rFonts w:ascii="Arial Narrow" w:hAnsi="Arial Narrow"/>
        </w:rPr>
        <w:t>9,3</w:t>
      </w:r>
      <w:r w:rsidRPr="00B4465C">
        <w:rPr>
          <w:rFonts w:ascii="Arial Narrow" w:hAnsi="Arial Narrow"/>
        </w:rPr>
        <w:t xml:space="preserve"> % všech osob s jinou než českou státní příslušností, k 1. 1. 2023 </w:t>
      </w:r>
      <w:r>
        <w:rPr>
          <w:rFonts w:ascii="Arial Narrow" w:hAnsi="Arial Narrow"/>
        </w:rPr>
        <w:t>se jednalo o</w:t>
      </w:r>
      <w:r w:rsidRPr="00B4465C">
        <w:rPr>
          <w:rFonts w:ascii="Arial Narrow" w:hAnsi="Arial Narrow"/>
        </w:rPr>
        <w:t xml:space="preserve"> 16,8 %, což opět</w:t>
      </w:r>
      <w:r>
        <w:rPr>
          <w:rFonts w:ascii="Arial Narrow" w:hAnsi="Arial Narrow"/>
        </w:rPr>
        <w:t xml:space="preserve"> </w:t>
      </w:r>
      <w:r w:rsidRPr="00B4465C">
        <w:rPr>
          <w:rFonts w:ascii="Arial Narrow" w:hAnsi="Arial Narrow"/>
        </w:rPr>
        <w:t>souvisí s válečným konfliktem na Ukrajině.</w:t>
      </w:r>
    </w:p>
    <w:p w14:paraId="4517F58B" w14:textId="4333AB84" w:rsidR="00E56229" w:rsidRDefault="00E56229" w:rsidP="00B214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Arial Unicode MS" w:hAnsi="Arial Narrow" w:cs="Arial Unicode MS"/>
          <w:color w:val="000000"/>
          <w:u w:color="000000"/>
        </w:rPr>
      </w:pPr>
    </w:p>
    <w:p w14:paraId="7391D8C1" w14:textId="67EC53C5" w:rsidR="00D3440D" w:rsidRPr="005423B0" w:rsidRDefault="00D3440D" w:rsidP="00B214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Narrow" w:eastAsia="Arial Narrow" w:hAnsi="Arial Narrow" w:cs="Arial Narrow"/>
          <w:u w:color="000000"/>
        </w:rPr>
      </w:pPr>
      <w:r w:rsidRPr="005423B0">
        <w:rPr>
          <w:rFonts w:ascii="Arial Narrow" w:eastAsia="Arial Narrow" w:hAnsi="Arial Narrow" w:cs="Arial Narrow"/>
          <w:u w:color="000000"/>
        </w:rPr>
        <w:t>V rámci průzkumu zaměstnanosti k 31. 12. 2020 byly v ORP Vyškov získány údaje od 190 subjektů a bylo sečteno 10 147 zaměstnaných. Z nich v primárním sektoru je zaměstnáno 3,6 % zaměstnanců. V</w:t>
      </w:r>
      <w:r w:rsidR="00853D66" w:rsidRPr="005423B0">
        <w:rPr>
          <w:rFonts w:ascii="Arial Narrow" w:eastAsia="Arial Narrow" w:hAnsi="Arial Narrow" w:cs="Arial Narrow"/>
          <w:u w:color="000000"/>
        </w:rPr>
        <w:t> </w:t>
      </w:r>
      <w:r w:rsidRPr="005423B0">
        <w:rPr>
          <w:rFonts w:ascii="Arial Narrow" w:eastAsia="Arial Narrow" w:hAnsi="Arial Narrow" w:cs="Arial Narrow"/>
          <w:u w:color="000000"/>
        </w:rPr>
        <w:t>sekun</w:t>
      </w:r>
      <w:r w:rsidR="00853D66" w:rsidRPr="005423B0">
        <w:rPr>
          <w:rFonts w:ascii="Arial Narrow" w:eastAsia="Arial Narrow" w:hAnsi="Arial Narrow" w:cs="Arial Narrow"/>
          <w:u w:color="000000"/>
        </w:rPr>
        <w:t xml:space="preserve">dárním sektoru bylo </w:t>
      </w:r>
      <w:r w:rsidRPr="005423B0">
        <w:rPr>
          <w:rFonts w:ascii="Arial Narrow" w:eastAsia="Arial Narrow" w:hAnsi="Arial Narrow" w:cs="Arial Narrow"/>
          <w:u w:color="000000"/>
        </w:rPr>
        <w:t>zaměstnáno 56,9 % všech zaměstnanců. Nejčastěji pracovníci byli zaměstnaní v chemickém průmyslu (14,6 %), strojírenském průmyslu (14,2 %) a v hutnickém a kovozpracujícím průmyslu (11,1 %). V terciéru je zaměstnáno 39,5 % pracovníků. Nejčastěji zaměstnanci pracovali v zdravotní a sociální péče (12,7 %).</w:t>
      </w:r>
      <w:r w:rsidRPr="005423B0">
        <w:rPr>
          <w:rStyle w:val="Znakapoznpodarou"/>
          <w:rFonts w:ascii="Arial Narrow" w:eastAsia="Arial Narrow" w:hAnsi="Arial Narrow" w:cs="Arial Narrow"/>
          <w:u w:color="000000"/>
        </w:rPr>
        <w:footnoteReference w:id="107"/>
      </w:r>
    </w:p>
    <w:p w14:paraId="6272EFB5" w14:textId="1EF14A59" w:rsidR="00B21467" w:rsidRPr="00B21467" w:rsidRDefault="00B21467" w:rsidP="00B21467">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eastAsia="Arial Narrow" w:hAnsi="Arial Narrow" w:cs="Arial Narrow"/>
          <w:u w:color="000000"/>
        </w:rPr>
      </w:pPr>
      <w:r w:rsidRPr="005423B0">
        <w:rPr>
          <w:rFonts w:ascii="Arial Narrow" w:hAnsi="Arial Narrow"/>
          <w:color w:val="auto"/>
          <w:u w:color="000000"/>
        </w:rPr>
        <w:t xml:space="preserve">Za měsíci prosinec roku 2021 bylo v ORP Vyškov evidováno celkem 763 uchazečů o zaměstnání. Podíl nezaměstnanosti v ORP </w:t>
      </w:r>
      <w:r w:rsidR="00E30EC7">
        <w:rPr>
          <w:rFonts w:ascii="Arial Narrow" w:hAnsi="Arial Narrow"/>
          <w:color w:val="auto"/>
          <w:u w:color="000000"/>
        </w:rPr>
        <w:t>Vyškov</w:t>
      </w:r>
      <w:r w:rsidRPr="005423B0">
        <w:rPr>
          <w:rFonts w:ascii="Arial Narrow" w:hAnsi="Arial Narrow"/>
          <w:color w:val="auto"/>
          <w:u w:color="000000"/>
        </w:rPr>
        <w:t xml:space="preserve"> od roku 2014 klesal</w:t>
      </w:r>
      <w:r w:rsidRPr="00B21467">
        <w:rPr>
          <w:rFonts w:ascii="Arial Narrow" w:hAnsi="Arial Narrow"/>
          <w:u w:color="000000"/>
        </w:rPr>
        <w:t xml:space="preserve">, mírný nárůst lze, podobně jako v dalších ORP, zaznamenat v letech 2020 a 2021, což může souviset s dopady celosvětové pandemie viru SARS-CoV-2. Navzdory mírnému nárůstu počtu uchazečů v letech 2020 a 2021 zůstával počet uchazečů o zaměstnání připadajících na 1 volné pracovní místo v ORP </w:t>
      </w:r>
      <w:r w:rsidR="00E30EC7">
        <w:rPr>
          <w:rFonts w:ascii="Arial Narrow" w:hAnsi="Arial Narrow"/>
          <w:u w:color="000000"/>
        </w:rPr>
        <w:t>Vyškov</w:t>
      </w:r>
      <w:r w:rsidRPr="00B21467">
        <w:rPr>
          <w:rFonts w:ascii="Arial Narrow" w:hAnsi="Arial Narrow"/>
          <w:u w:color="000000"/>
        </w:rPr>
        <w:t xml:space="preserve"> v tomto období stabilní a v prosinci roku 2021 dosáhl stejných hodnot jako například v prosinci roku 2019, a to 0,6 uchazeče připadajícího na 1 volné pracovní místo.</w:t>
      </w:r>
    </w:p>
    <w:p w14:paraId="0325A54D" w14:textId="77777777" w:rsidR="00B21467" w:rsidRDefault="00B21467" w:rsidP="00B21467">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hAnsi="Arial Narrow"/>
          <w:u w:color="000000"/>
        </w:rPr>
      </w:pPr>
      <w:r w:rsidRPr="00B21467">
        <w:rPr>
          <w:rFonts w:ascii="Arial Narrow" w:hAnsi="Arial Narrow"/>
          <w:u w:color="000000"/>
        </w:rPr>
        <w:t>V OPR Vyškov byla evidována řada zaměstnavatelů, u nichž bylo prokazatelně identifikované, že v roce 2020 zaměstnávali osoby s jinou než českou státní příslušností. Mezi významné zaměstnavatele těchto osob v ORP Vyškov patřil</w:t>
      </w:r>
      <w:r>
        <w:rPr>
          <w:rFonts w:ascii="Arial Narrow" w:hAnsi="Arial Narrow"/>
          <w:u w:color="000000"/>
        </w:rPr>
        <w:t xml:space="preserve">a </w:t>
      </w:r>
      <w:r w:rsidRPr="00B21467">
        <w:rPr>
          <w:rFonts w:ascii="Arial Narrow" w:hAnsi="Arial Narrow"/>
          <w:u w:color="000000"/>
        </w:rPr>
        <w:t xml:space="preserve">v roce 2020 například firma </w:t>
      </w:r>
      <w:r w:rsidRPr="00B21467">
        <w:rPr>
          <w:rFonts w:ascii="Arial Narrow" w:hAnsi="Arial Narrow"/>
          <w:b/>
          <w:bCs/>
          <w:u w:color="000000"/>
        </w:rPr>
        <w:t xml:space="preserve">MORAVIA AGENCY s.r.o. </w:t>
      </w:r>
      <w:r w:rsidRPr="00B21467">
        <w:rPr>
          <w:rFonts w:ascii="Arial Narrow" w:hAnsi="Arial Narrow"/>
          <w:u w:color="000000"/>
        </w:rPr>
        <w:t>(102 zaměstnanců s jinou než českou státní příslušností), či</w:t>
      </w:r>
      <w:r w:rsidRPr="00B21467">
        <w:rPr>
          <w:rFonts w:ascii="Arial Narrow" w:hAnsi="Arial Narrow"/>
          <w:b/>
          <w:bCs/>
          <w:u w:color="000000"/>
        </w:rPr>
        <w:t xml:space="preserve"> </w:t>
      </w:r>
      <w:r w:rsidRPr="00B21467">
        <w:rPr>
          <w:rFonts w:ascii="Arial Narrow" w:hAnsi="Arial Narrow"/>
          <w:u w:color="000000"/>
        </w:rPr>
        <w:t xml:space="preserve">firma </w:t>
      </w:r>
      <w:r w:rsidRPr="00B21467">
        <w:rPr>
          <w:rFonts w:ascii="Arial Narrow" w:hAnsi="Arial Narrow"/>
          <w:b/>
          <w:bCs/>
          <w:u w:color="000000"/>
        </w:rPr>
        <w:t xml:space="preserve">Fischer </w:t>
      </w:r>
      <w:proofErr w:type="spellStart"/>
      <w:r w:rsidRPr="00B21467">
        <w:rPr>
          <w:rFonts w:ascii="Arial Narrow" w:hAnsi="Arial Narrow"/>
          <w:b/>
          <w:bCs/>
          <w:u w:color="000000"/>
        </w:rPr>
        <w:t>automotive</w:t>
      </w:r>
      <w:proofErr w:type="spellEnd"/>
      <w:r w:rsidRPr="00B21467">
        <w:rPr>
          <w:rFonts w:ascii="Arial Narrow" w:hAnsi="Arial Narrow"/>
          <w:b/>
          <w:bCs/>
          <w:u w:color="000000"/>
        </w:rPr>
        <w:t xml:space="preserve"> </w:t>
      </w:r>
      <w:proofErr w:type="spellStart"/>
      <w:r w:rsidRPr="00B21467">
        <w:rPr>
          <w:rFonts w:ascii="Arial Narrow" w:hAnsi="Arial Narrow"/>
          <w:b/>
          <w:bCs/>
          <w:u w:color="000000"/>
        </w:rPr>
        <w:t>systems</w:t>
      </w:r>
      <w:proofErr w:type="spellEnd"/>
      <w:r w:rsidRPr="00B21467">
        <w:rPr>
          <w:rFonts w:ascii="Arial Narrow" w:hAnsi="Arial Narrow"/>
          <w:b/>
          <w:bCs/>
          <w:u w:color="000000"/>
        </w:rPr>
        <w:t xml:space="preserve"> s.r.o. </w:t>
      </w:r>
      <w:r w:rsidRPr="00B21467">
        <w:rPr>
          <w:rFonts w:ascii="Arial Narrow" w:hAnsi="Arial Narrow"/>
          <w:u w:color="000000"/>
        </w:rPr>
        <w:t xml:space="preserve">(36 zaměstnanců s jinou než českou státní příslušností). Mezi další významné zaměstnavatele občanů s jinou než českou státní příslušností v ORP Vyškov patřily firmy Lear </w:t>
      </w:r>
      <w:proofErr w:type="spellStart"/>
      <w:r w:rsidRPr="00B21467">
        <w:rPr>
          <w:rFonts w:ascii="Arial Narrow" w:hAnsi="Arial Narrow"/>
          <w:u w:color="000000"/>
        </w:rPr>
        <w:t>Corporation</w:t>
      </w:r>
      <w:proofErr w:type="spellEnd"/>
      <w:r w:rsidRPr="00B21467">
        <w:rPr>
          <w:rFonts w:ascii="Arial Narrow" w:hAnsi="Arial Narrow"/>
          <w:u w:color="000000"/>
        </w:rPr>
        <w:t xml:space="preserve"> Czech Republic s.r.o., Nemocnice Vyškov, </w:t>
      </w:r>
      <w:proofErr w:type="spellStart"/>
      <w:r w:rsidRPr="00B21467">
        <w:rPr>
          <w:rFonts w:ascii="Arial Narrow" w:hAnsi="Arial Narrow"/>
          <w:u w:color="000000"/>
        </w:rPr>
        <w:t>p.o</w:t>
      </w:r>
      <w:proofErr w:type="spellEnd"/>
      <w:r w:rsidRPr="00B21467">
        <w:rPr>
          <w:rFonts w:ascii="Arial Narrow" w:hAnsi="Arial Narrow"/>
          <w:u w:color="000000"/>
        </w:rPr>
        <w:t xml:space="preserve">., či ALJUSI s.r.o. </w:t>
      </w:r>
    </w:p>
    <w:p w14:paraId="449878E1" w14:textId="51970D3C" w:rsidR="00B21467" w:rsidRPr="009C6457" w:rsidRDefault="00B21467" w:rsidP="009C6457">
      <w:pPr>
        <w:pStyle w:val="Vchoz"/>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276" w:lineRule="auto"/>
        <w:jc w:val="both"/>
        <w:rPr>
          <w:rFonts w:ascii="Arial Narrow" w:hAnsi="Arial Narrow"/>
        </w:rPr>
      </w:pPr>
      <w:r w:rsidRPr="00B21467">
        <w:rPr>
          <w:rFonts w:ascii="Arial Narrow" w:hAnsi="Arial Narrow"/>
          <w:u w:color="000000"/>
        </w:rPr>
        <w:t>Nejvíce osob s jinou než českou státní příslušností v ORP Vyškov bylo v roce 2020 zaměstnáno ve zpracovatelském průmyslu, kde pracovala téměř polovina (48,9 %) všech zaznamenaných zaměstnanců z řad osob s jinou než českou státní příslušností</w:t>
      </w:r>
      <w:r>
        <w:rPr>
          <w:rFonts w:ascii="Arial Narrow" w:hAnsi="Arial Narrow"/>
          <w:u w:color="000000"/>
        </w:rPr>
        <w:t>,</w:t>
      </w:r>
      <w:r w:rsidRPr="00B21467">
        <w:rPr>
          <w:rFonts w:ascii="Arial Narrow" w:hAnsi="Arial Narrow"/>
          <w:u w:color="000000"/>
        </w:rPr>
        <w:t xml:space="preserve"> a v oblasti administrativních a podpůrných činností, kde pracovali zhruba 3 zaměstnanci z 10 (29,3 %).</w:t>
      </w:r>
    </w:p>
    <w:p w14:paraId="6042EA3A" w14:textId="572C222D" w:rsidR="00B21467" w:rsidRDefault="0036214A" w:rsidP="00E1313E">
      <w:pPr>
        <w:spacing w:after="120" w:line="276" w:lineRule="auto"/>
        <w:jc w:val="both"/>
        <w:rPr>
          <w:rFonts w:ascii="Arial Narrow" w:eastAsia="Calibri" w:hAnsi="Arial Narrow"/>
          <w:color w:val="000000"/>
          <w:u w:color="000000"/>
        </w:rPr>
      </w:pPr>
      <w:r w:rsidRPr="009931FE">
        <w:rPr>
          <w:rFonts w:ascii="Arial Narrow" w:hAnsi="Arial Narrow"/>
        </w:rPr>
        <w:t>Je pravděpodobné, že z důvodu výraznějších změn v</w:t>
      </w:r>
      <w:r w:rsidRPr="009931FE">
        <w:rPr>
          <w:rFonts w:ascii="Arial Narrow" w:eastAsia="Calibri" w:hAnsi="Arial Narrow"/>
          <w:color w:val="000000"/>
          <w:u w:color="000000"/>
        </w:rPr>
        <w:t xml:space="preserve"> populaci osob s jinou než českou státní příslušností v ORP </w:t>
      </w:r>
      <w:r w:rsidR="00A156BD">
        <w:rPr>
          <w:rFonts w:ascii="Arial Narrow" w:eastAsia="Calibri" w:hAnsi="Arial Narrow"/>
          <w:color w:val="000000"/>
          <w:u w:color="000000"/>
        </w:rPr>
        <w:t>Vyškov</w:t>
      </w:r>
      <w:r w:rsidRPr="009931FE">
        <w:rPr>
          <w:rFonts w:ascii="Arial Narrow" w:eastAsia="Calibri" w:hAnsi="Arial Narrow"/>
          <w:color w:val="000000"/>
          <w:u w:color="000000"/>
        </w:rPr>
        <w:t xml:space="preserve"> během roku 2022 a 2023, především v návaznosti na rusko-ukrajinský konflikt</w:t>
      </w:r>
      <w:r>
        <w:rPr>
          <w:rFonts w:ascii="Arial Narrow" w:eastAsia="Calibri" w:hAnsi="Arial Narrow"/>
        </w:rPr>
        <w:t>,</w:t>
      </w:r>
      <w:r w:rsidRPr="009931FE">
        <w:rPr>
          <w:rFonts w:ascii="Arial Narrow" w:eastAsia="Calibri" w:hAnsi="Arial Narrow"/>
          <w:color w:val="000000"/>
          <w:u w:color="000000"/>
        </w:rPr>
        <w:t xml:space="preserve"> se změní také struktura zaměstnanosti v ORP </w:t>
      </w:r>
      <w:r w:rsidR="00E30EC7">
        <w:rPr>
          <w:rFonts w:ascii="Arial Narrow" w:eastAsia="Calibri" w:hAnsi="Arial Narrow"/>
          <w:color w:val="000000"/>
          <w:u w:color="000000"/>
        </w:rPr>
        <w:t>Vyškov</w:t>
      </w:r>
      <w:r w:rsidRPr="009931FE">
        <w:rPr>
          <w:rFonts w:ascii="Arial Narrow" w:eastAsia="Calibri" w:hAnsi="Arial Narrow"/>
          <w:color w:val="000000"/>
          <w:u w:color="000000"/>
        </w:rPr>
        <w:t>. Změny budou patrné také po ukončení konfliktu, kdy je očekáván návrat části osob s ukrajinskou státní příslušností zpět do země původu.</w:t>
      </w:r>
    </w:p>
    <w:p w14:paraId="27FA585B" w14:textId="77777777" w:rsidR="00B32B4F" w:rsidRDefault="00B32B4F" w:rsidP="00E1313E">
      <w:pPr>
        <w:spacing w:after="120" w:line="276" w:lineRule="auto"/>
        <w:jc w:val="both"/>
        <w:rPr>
          <w:rFonts w:ascii="Arial Narrow" w:hAnsi="Arial Narrow"/>
          <w:b/>
          <w:bCs/>
          <w:sz w:val="24"/>
          <w:szCs w:val="24"/>
        </w:rPr>
      </w:pPr>
    </w:p>
    <w:p w14:paraId="22FC5075" w14:textId="77777777" w:rsidR="00B21467" w:rsidRPr="00B21467" w:rsidRDefault="00B21467" w:rsidP="008B3D36">
      <w:pPr>
        <w:pStyle w:val="Odstavecseseznamem"/>
        <w:keepNext/>
        <w:keepLines/>
        <w:numPr>
          <w:ilvl w:val="1"/>
          <w:numId w:val="31"/>
        </w:numPr>
        <w:spacing w:before="200"/>
        <w:contextualSpacing w:val="0"/>
        <w:jc w:val="both"/>
        <w:outlineLvl w:val="1"/>
        <w:rPr>
          <w:rFonts w:ascii="Arial Narrow" w:eastAsiaTheme="majorEastAsia" w:hAnsi="Arial Narrow" w:cs="Arial"/>
          <w:b/>
          <w:bCs/>
          <w:smallCaps/>
          <w:vanish/>
          <w:color w:val="C00000"/>
          <w:sz w:val="30"/>
          <w:szCs w:val="30"/>
        </w:rPr>
      </w:pPr>
      <w:bookmarkStart w:id="886" w:name="_Toc95986781"/>
      <w:bookmarkStart w:id="887" w:name="_Toc125635508"/>
      <w:bookmarkStart w:id="888" w:name="_Toc132629215"/>
      <w:bookmarkStart w:id="889" w:name="_Toc136876162"/>
      <w:bookmarkEnd w:id="886"/>
      <w:bookmarkEnd w:id="887"/>
      <w:bookmarkEnd w:id="888"/>
      <w:bookmarkEnd w:id="889"/>
    </w:p>
    <w:p w14:paraId="64A4251E" w14:textId="77777777" w:rsidR="00B21467" w:rsidRPr="00B21467" w:rsidRDefault="00B21467" w:rsidP="008B3D36">
      <w:pPr>
        <w:pStyle w:val="Odstavecseseznamem"/>
        <w:keepNext/>
        <w:keepLines/>
        <w:numPr>
          <w:ilvl w:val="1"/>
          <w:numId w:val="31"/>
        </w:numPr>
        <w:spacing w:before="200"/>
        <w:contextualSpacing w:val="0"/>
        <w:jc w:val="both"/>
        <w:outlineLvl w:val="1"/>
        <w:rPr>
          <w:rFonts w:ascii="Arial Narrow" w:eastAsiaTheme="majorEastAsia" w:hAnsi="Arial Narrow" w:cs="Arial"/>
          <w:b/>
          <w:bCs/>
          <w:smallCaps/>
          <w:vanish/>
          <w:color w:val="C00000"/>
          <w:sz w:val="30"/>
          <w:szCs w:val="30"/>
        </w:rPr>
      </w:pPr>
      <w:bookmarkStart w:id="890" w:name="_Toc95986782"/>
      <w:bookmarkStart w:id="891" w:name="_Toc125635509"/>
      <w:bookmarkStart w:id="892" w:name="_Toc132629216"/>
      <w:bookmarkStart w:id="893" w:name="_Toc136876163"/>
      <w:bookmarkEnd w:id="890"/>
      <w:bookmarkEnd w:id="891"/>
      <w:bookmarkEnd w:id="892"/>
      <w:bookmarkEnd w:id="893"/>
    </w:p>
    <w:p w14:paraId="53957F5F" w14:textId="77777777" w:rsidR="00B21467" w:rsidRPr="00B21467" w:rsidRDefault="00B21467" w:rsidP="008B3D36">
      <w:pPr>
        <w:pStyle w:val="Odstavecseseznamem"/>
        <w:keepNext/>
        <w:keepLines/>
        <w:numPr>
          <w:ilvl w:val="1"/>
          <w:numId w:val="31"/>
        </w:numPr>
        <w:spacing w:before="200"/>
        <w:contextualSpacing w:val="0"/>
        <w:jc w:val="both"/>
        <w:outlineLvl w:val="1"/>
        <w:rPr>
          <w:rFonts w:ascii="Arial Narrow" w:eastAsiaTheme="majorEastAsia" w:hAnsi="Arial Narrow" w:cs="Arial"/>
          <w:b/>
          <w:bCs/>
          <w:smallCaps/>
          <w:vanish/>
          <w:color w:val="C00000"/>
          <w:sz w:val="30"/>
          <w:szCs w:val="30"/>
        </w:rPr>
      </w:pPr>
      <w:bookmarkStart w:id="894" w:name="_Toc95986783"/>
      <w:bookmarkStart w:id="895" w:name="_Toc125635510"/>
      <w:bookmarkStart w:id="896" w:name="_Toc132629217"/>
      <w:bookmarkStart w:id="897" w:name="_Toc136876164"/>
      <w:bookmarkEnd w:id="894"/>
      <w:bookmarkEnd w:id="895"/>
      <w:bookmarkEnd w:id="896"/>
      <w:bookmarkEnd w:id="897"/>
    </w:p>
    <w:p w14:paraId="3D77F3E8" w14:textId="77777777" w:rsidR="00B21467" w:rsidRPr="00B21467" w:rsidRDefault="00B21467" w:rsidP="008B3D36">
      <w:pPr>
        <w:pStyle w:val="Odstavecseseznamem"/>
        <w:keepNext/>
        <w:keepLines/>
        <w:numPr>
          <w:ilvl w:val="1"/>
          <w:numId w:val="31"/>
        </w:numPr>
        <w:spacing w:before="200"/>
        <w:contextualSpacing w:val="0"/>
        <w:jc w:val="both"/>
        <w:outlineLvl w:val="1"/>
        <w:rPr>
          <w:rFonts w:ascii="Arial Narrow" w:eastAsiaTheme="majorEastAsia" w:hAnsi="Arial Narrow" w:cs="Arial"/>
          <w:b/>
          <w:bCs/>
          <w:smallCaps/>
          <w:vanish/>
          <w:color w:val="C00000"/>
          <w:sz w:val="30"/>
          <w:szCs w:val="30"/>
        </w:rPr>
      </w:pPr>
      <w:bookmarkStart w:id="898" w:name="_Toc95986784"/>
      <w:bookmarkStart w:id="899" w:name="_Toc125635511"/>
      <w:bookmarkStart w:id="900" w:name="_Toc132629218"/>
      <w:bookmarkStart w:id="901" w:name="_Toc136876165"/>
      <w:bookmarkEnd w:id="898"/>
      <w:bookmarkEnd w:id="899"/>
      <w:bookmarkEnd w:id="900"/>
      <w:bookmarkEnd w:id="901"/>
    </w:p>
    <w:p w14:paraId="28E5A4C6" w14:textId="77777777" w:rsidR="00B21467" w:rsidRPr="00B21467" w:rsidRDefault="00B21467" w:rsidP="008B3D36">
      <w:pPr>
        <w:pStyle w:val="Odstavecseseznamem"/>
        <w:keepNext/>
        <w:keepLines/>
        <w:numPr>
          <w:ilvl w:val="1"/>
          <w:numId w:val="31"/>
        </w:numPr>
        <w:spacing w:before="200"/>
        <w:contextualSpacing w:val="0"/>
        <w:jc w:val="both"/>
        <w:outlineLvl w:val="1"/>
        <w:rPr>
          <w:rFonts w:ascii="Arial Narrow" w:eastAsiaTheme="majorEastAsia" w:hAnsi="Arial Narrow" w:cs="Arial"/>
          <w:b/>
          <w:bCs/>
          <w:smallCaps/>
          <w:vanish/>
          <w:color w:val="C00000"/>
          <w:sz w:val="30"/>
          <w:szCs w:val="30"/>
        </w:rPr>
      </w:pPr>
      <w:bookmarkStart w:id="902" w:name="_Toc95986785"/>
      <w:bookmarkStart w:id="903" w:name="_Toc125635512"/>
      <w:bookmarkStart w:id="904" w:name="_Toc132629219"/>
      <w:bookmarkStart w:id="905" w:name="_Toc136876166"/>
      <w:bookmarkEnd w:id="902"/>
      <w:bookmarkEnd w:id="903"/>
      <w:bookmarkEnd w:id="904"/>
      <w:bookmarkEnd w:id="905"/>
    </w:p>
    <w:p w14:paraId="4B690FFD" w14:textId="77777777" w:rsidR="00B21467" w:rsidRPr="00B21467" w:rsidRDefault="00B21467" w:rsidP="008B3D36">
      <w:pPr>
        <w:pStyle w:val="Odstavecseseznamem"/>
        <w:keepNext/>
        <w:keepLines/>
        <w:numPr>
          <w:ilvl w:val="1"/>
          <w:numId w:val="31"/>
        </w:numPr>
        <w:spacing w:before="200"/>
        <w:contextualSpacing w:val="0"/>
        <w:jc w:val="both"/>
        <w:outlineLvl w:val="1"/>
        <w:rPr>
          <w:rFonts w:ascii="Arial Narrow" w:eastAsiaTheme="majorEastAsia" w:hAnsi="Arial Narrow" w:cs="Arial"/>
          <w:b/>
          <w:bCs/>
          <w:smallCaps/>
          <w:vanish/>
          <w:color w:val="C00000"/>
          <w:sz w:val="30"/>
          <w:szCs w:val="30"/>
        </w:rPr>
      </w:pPr>
      <w:bookmarkStart w:id="906" w:name="_Toc95986786"/>
      <w:bookmarkStart w:id="907" w:name="_Toc125635513"/>
      <w:bookmarkStart w:id="908" w:name="_Toc132629220"/>
      <w:bookmarkStart w:id="909" w:name="_Toc136876167"/>
      <w:bookmarkEnd w:id="906"/>
      <w:bookmarkEnd w:id="907"/>
      <w:bookmarkEnd w:id="908"/>
      <w:bookmarkEnd w:id="909"/>
    </w:p>
    <w:p w14:paraId="2734B397" w14:textId="5243DC2D" w:rsidR="00B21467" w:rsidRPr="00B21467" w:rsidRDefault="00B21467" w:rsidP="008B3D36">
      <w:pPr>
        <w:pStyle w:val="Nadpis2"/>
        <w:numPr>
          <w:ilvl w:val="1"/>
          <w:numId w:val="31"/>
        </w:numPr>
        <w:ind w:left="284"/>
        <w:jc w:val="both"/>
        <w:rPr>
          <w:rFonts w:ascii="Arial Narrow" w:hAnsi="Arial Narrow"/>
        </w:rPr>
      </w:pPr>
      <w:bookmarkStart w:id="910" w:name="_Toc136876168"/>
      <w:bookmarkStart w:id="911" w:name="_Hlk95991657"/>
      <w:r>
        <w:rPr>
          <w:rFonts w:ascii="Arial Narrow" w:hAnsi="Arial Narrow"/>
          <w:sz w:val="30"/>
          <w:szCs w:val="30"/>
        </w:rPr>
        <w:t xml:space="preserve">SROVNÁNÍ VYBRANÝCH ORP </w:t>
      </w:r>
      <w:r w:rsidR="00664139">
        <w:rPr>
          <w:rFonts w:ascii="Arial Narrow" w:hAnsi="Arial Narrow"/>
          <w:sz w:val="30"/>
          <w:szCs w:val="30"/>
        </w:rPr>
        <w:t>– VÝVOJ PODÍLU OSOB S JINOU NEŽ ČESKOU STÁTNÍ PŘÍSLUŠNOSTÍ NA CELKOVÉM POČTU OBYVATEL ORP</w:t>
      </w:r>
      <w:bookmarkEnd w:id="910"/>
    </w:p>
    <w:bookmarkEnd w:id="911"/>
    <w:p w14:paraId="5C701B80" w14:textId="77777777" w:rsidR="00E903BA" w:rsidRPr="00CE357F" w:rsidRDefault="00E903BA" w:rsidP="00E903BA">
      <w:pPr>
        <w:rPr>
          <w:rFonts w:ascii="Arial Narrow" w:hAnsi="Arial Narrow"/>
        </w:rPr>
      </w:pPr>
    </w:p>
    <w:p w14:paraId="4DE2B7AE" w14:textId="467F4D07" w:rsidR="002274AB" w:rsidRDefault="00664139" w:rsidP="00664139">
      <w:pPr>
        <w:spacing w:after="120" w:line="276" w:lineRule="auto"/>
        <w:jc w:val="both"/>
        <w:rPr>
          <w:rFonts w:ascii="Arial Narrow" w:hAnsi="Arial Narrow"/>
        </w:rPr>
      </w:pPr>
      <w:r>
        <w:rPr>
          <w:rFonts w:ascii="Arial Narrow" w:hAnsi="Arial Narrow"/>
        </w:rPr>
        <w:br/>
      </w:r>
      <w:r w:rsidR="00D109D4" w:rsidRPr="000378BA">
        <w:rPr>
          <w:rFonts w:ascii="Arial Narrow" w:hAnsi="Arial Narrow"/>
        </w:rPr>
        <w:t>Podíváme-li se na vybraná ORP Jihomoravského kraje z hlediska vývoje podílu osob s jinou než českou státní příslušností na celkovém počtu obyvatel těchto ORP v letech 201</w:t>
      </w:r>
      <w:r w:rsidR="00940C24" w:rsidRPr="000378BA">
        <w:rPr>
          <w:rFonts w:ascii="Arial Narrow" w:hAnsi="Arial Narrow"/>
        </w:rPr>
        <w:t>5</w:t>
      </w:r>
      <w:r w:rsidR="00D109D4" w:rsidRPr="000378BA">
        <w:rPr>
          <w:rFonts w:ascii="Arial Narrow" w:hAnsi="Arial Narrow"/>
        </w:rPr>
        <w:t>-202</w:t>
      </w:r>
      <w:r w:rsidR="00C2607F" w:rsidRPr="000378BA">
        <w:rPr>
          <w:rFonts w:ascii="Arial Narrow" w:hAnsi="Arial Narrow"/>
        </w:rPr>
        <w:t>3</w:t>
      </w:r>
      <w:r w:rsidR="00D109D4" w:rsidRPr="000378BA">
        <w:rPr>
          <w:rStyle w:val="Znakapoznpodarou"/>
          <w:rFonts w:ascii="Arial Narrow" w:hAnsi="Arial Narrow"/>
        </w:rPr>
        <w:footnoteReference w:id="108"/>
      </w:r>
      <w:r w:rsidR="002274AB" w:rsidRPr="000378BA">
        <w:rPr>
          <w:rFonts w:ascii="Arial Narrow" w:hAnsi="Arial Narrow"/>
        </w:rPr>
        <w:t xml:space="preserve">, nejvyšší podíl těchto osob </w:t>
      </w:r>
      <w:r w:rsidR="000378BA" w:rsidRPr="000378BA">
        <w:rPr>
          <w:rFonts w:ascii="Arial Narrow" w:hAnsi="Arial Narrow"/>
        </w:rPr>
        <w:t xml:space="preserve">byl </w:t>
      </w:r>
      <w:r w:rsidR="000378BA">
        <w:rPr>
          <w:rFonts w:ascii="Arial Narrow" w:hAnsi="Arial Narrow"/>
        </w:rPr>
        <w:t>k </w:t>
      </w:r>
      <w:r w:rsidR="000378BA">
        <w:rPr>
          <w:rFonts w:ascii="Arial Narrow" w:hAnsi="Arial Narrow"/>
        </w:rPr>
        <w:br/>
        <w:t>datu 1. 1.</w:t>
      </w:r>
      <w:r w:rsidR="000378BA" w:rsidRPr="000378BA">
        <w:rPr>
          <w:rFonts w:ascii="Arial Narrow" w:hAnsi="Arial Narrow"/>
        </w:rPr>
        <w:t xml:space="preserve"> 2022</w:t>
      </w:r>
      <w:r w:rsidR="002274AB" w:rsidRPr="000378BA">
        <w:rPr>
          <w:rFonts w:ascii="Arial Narrow" w:hAnsi="Arial Narrow"/>
        </w:rPr>
        <w:t xml:space="preserve"> evidován v OPR Brno a v ORP Kuřim. V rámci těchto dvou ORP byl zároveň mezi lety 2015 a 2022 evidován nejvyšší nárůst podílu osob s jinou než českou státní příslušností na celkovém počtu obyvatel těchto ORP, a to 3,2 % v rámci ORP Brno a 2,5 % v případě ORP Kuřim.</w:t>
      </w:r>
      <w:r w:rsidR="00940C24" w:rsidRPr="000378BA">
        <w:rPr>
          <w:rFonts w:ascii="Arial Narrow" w:hAnsi="Arial Narrow"/>
        </w:rPr>
        <w:t xml:space="preserve"> </w:t>
      </w:r>
      <w:r w:rsidR="002274AB" w:rsidRPr="000378BA">
        <w:rPr>
          <w:rFonts w:ascii="Arial Narrow" w:hAnsi="Arial Narrow"/>
        </w:rPr>
        <w:t xml:space="preserve">Ve zbývajících čtyřech ORP </w:t>
      </w:r>
      <w:r w:rsidR="000378BA" w:rsidRPr="000378BA">
        <w:rPr>
          <w:rFonts w:ascii="Arial Narrow" w:hAnsi="Arial Narrow"/>
        </w:rPr>
        <w:t>byl</w:t>
      </w:r>
      <w:r w:rsidR="002274AB" w:rsidRPr="000378BA">
        <w:rPr>
          <w:rFonts w:ascii="Arial Narrow" w:hAnsi="Arial Narrow"/>
        </w:rPr>
        <w:t xml:space="preserve"> mezi lety 2015 a 2022 zaznamen</w:t>
      </w:r>
      <w:r w:rsidR="000378BA" w:rsidRPr="000378BA">
        <w:rPr>
          <w:rFonts w:ascii="Arial Narrow" w:hAnsi="Arial Narrow"/>
        </w:rPr>
        <w:t>án</w:t>
      </w:r>
      <w:r w:rsidR="002274AB" w:rsidRPr="000378BA">
        <w:rPr>
          <w:rFonts w:ascii="Arial Narrow" w:hAnsi="Arial Narrow"/>
        </w:rPr>
        <w:t xml:space="preserve"> pouze mírný nárůst podílu </w:t>
      </w:r>
      <w:r w:rsidR="00940C24" w:rsidRPr="000378BA">
        <w:rPr>
          <w:rFonts w:ascii="Arial Narrow" w:hAnsi="Arial Narrow"/>
        </w:rPr>
        <w:t xml:space="preserve">(méně než 1,0 %) </w:t>
      </w:r>
      <w:r w:rsidR="002274AB" w:rsidRPr="000378BA">
        <w:rPr>
          <w:rFonts w:ascii="Arial Narrow" w:hAnsi="Arial Narrow"/>
        </w:rPr>
        <w:t xml:space="preserve">osob s jinou než českou státní příslušností na celkovém počtu obyvatel těchto ORP, a to </w:t>
      </w:r>
      <w:r w:rsidR="00940C24" w:rsidRPr="000378BA">
        <w:rPr>
          <w:rFonts w:ascii="Arial Narrow" w:hAnsi="Arial Narrow"/>
        </w:rPr>
        <w:t xml:space="preserve">0,9 % v rámci ORP Břeclav, 0,8 v rámci ORP Vyškov, 0,5 % v rámci ORP Tišnov a </w:t>
      </w:r>
      <w:r w:rsidR="002274AB" w:rsidRPr="000378BA">
        <w:rPr>
          <w:rFonts w:ascii="Arial Narrow" w:hAnsi="Arial Narrow"/>
        </w:rPr>
        <w:t>0,2 % v rámci ORP Blansko</w:t>
      </w:r>
      <w:r w:rsidR="00940C24" w:rsidRPr="000378BA">
        <w:rPr>
          <w:rFonts w:ascii="Arial Narrow" w:hAnsi="Arial Narrow"/>
        </w:rPr>
        <w:t>.</w:t>
      </w:r>
    </w:p>
    <w:p w14:paraId="2C5A2693" w14:textId="38325C93" w:rsidR="00D109D4" w:rsidRPr="00664139" w:rsidRDefault="000378BA" w:rsidP="00664139">
      <w:pPr>
        <w:spacing w:after="120" w:line="276" w:lineRule="auto"/>
        <w:jc w:val="both"/>
        <w:rPr>
          <w:rFonts w:ascii="Arial Narrow" w:hAnsi="Arial Narrow"/>
        </w:rPr>
      </w:pPr>
      <w:r w:rsidRPr="005369EA">
        <w:rPr>
          <w:rFonts w:ascii="Arial Narrow" w:hAnsi="Arial Narrow"/>
          <w:b/>
          <w:bCs/>
        </w:rPr>
        <w:t xml:space="preserve">V průběhu roku 2022 se však především v důsledku migrační vlny ukrajinských </w:t>
      </w:r>
      <w:r w:rsidR="007A5B21">
        <w:rPr>
          <w:rFonts w:ascii="Arial Narrow" w:hAnsi="Arial Narrow"/>
          <w:b/>
          <w:bCs/>
        </w:rPr>
        <w:t>občanů</w:t>
      </w:r>
      <w:r w:rsidRPr="005369EA">
        <w:rPr>
          <w:rFonts w:ascii="Arial Narrow" w:hAnsi="Arial Narrow"/>
          <w:b/>
          <w:bCs/>
        </w:rPr>
        <w:t xml:space="preserve"> výrazně změnily demografické charakteristiky všech vybraných ORP Jihomoravského kraje</w:t>
      </w:r>
      <w:bookmarkStart w:id="912" w:name="_Hlk131513896"/>
      <w:r w:rsidRPr="005369EA">
        <w:rPr>
          <w:rFonts w:ascii="Arial Narrow" w:hAnsi="Arial Narrow"/>
          <w:b/>
          <w:bCs/>
        </w:rPr>
        <w:t>.</w:t>
      </w:r>
      <w:r>
        <w:rPr>
          <w:rFonts w:ascii="Arial Narrow" w:hAnsi="Arial Narrow"/>
        </w:rPr>
        <w:t xml:space="preserve"> </w:t>
      </w:r>
      <w:r w:rsidRPr="00923B27">
        <w:rPr>
          <w:rFonts w:ascii="Arial Narrow" w:hAnsi="Arial Narrow"/>
        </w:rPr>
        <w:t xml:space="preserve">Nejvyšší podíl osob s jinou než českou státní příslušností byl k datu 1. 1. 2023 evidován v OPR Brno a v ORP </w:t>
      </w:r>
      <w:r w:rsidR="00923B27" w:rsidRPr="00923B27">
        <w:rPr>
          <w:rFonts w:ascii="Arial Narrow" w:hAnsi="Arial Narrow"/>
        </w:rPr>
        <w:t>Kuřim</w:t>
      </w:r>
      <w:r w:rsidRPr="00923B27">
        <w:rPr>
          <w:rFonts w:ascii="Arial Narrow" w:hAnsi="Arial Narrow"/>
        </w:rPr>
        <w:t xml:space="preserve">. </w:t>
      </w:r>
      <w:bookmarkEnd w:id="912"/>
      <w:r w:rsidRPr="00923B27">
        <w:rPr>
          <w:rFonts w:ascii="Arial Narrow" w:hAnsi="Arial Narrow"/>
        </w:rPr>
        <w:t xml:space="preserve">Nejvyšší nárůst podílu osob s jinou než českou státní příslušností na celkovém počtu obyvatel těchto ORP v průběhu roku 2022 byl evidován </w:t>
      </w:r>
      <w:r w:rsidR="00923B27" w:rsidRPr="00923B27">
        <w:rPr>
          <w:rFonts w:ascii="Arial Narrow" w:hAnsi="Arial Narrow"/>
        </w:rPr>
        <w:t xml:space="preserve">taktéž </w:t>
      </w:r>
      <w:r w:rsidRPr="00923B27">
        <w:rPr>
          <w:rFonts w:ascii="Arial Narrow" w:hAnsi="Arial Narrow"/>
        </w:rPr>
        <w:t xml:space="preserve">v ORP </w:t>
      </w:r>
      <w:r w:rsidR="00923B27" w:rsidRPr="00923B27">
        <w:rPr>
          <w:rFonts w:ascii="Arial Narrow" w:hAnsi="Arial Narrow"/>
        </w:rPr>
        <w:t>Brno</w:t>
      </w:r>
      <w:r w:rsidRPr="00923B27">
        <w:rPr>
          <w:rFonts w:ascii="Arial Narrow" w:hAnsi="Arial Narrow"/>
        </w:rPr>
        <w:t xml:space="preserve"> a </w:t>
      </w:r>
      <w:r w:rsidR="00923B27" w:rsidRPr="00923B27">
        <w:rPr>
          <w:rFonts w:ascii="Arial Narrow" w:hAnsi="Arial Narrow"/>
        </w:rPr>
        <w:t>Kuřim</w:t>
      </w:r>
      <w:r w:rsidRPr="00923B27">
        <w:rPr>
          <w:rFonts w:ascii="Arial Narrow" w:hAnsi="Arial Narrow"/>
        </w:rPr>
        <w:t xml:space="preserve">, a to </w:t>
      </w:r>
      <w:r w:rsidR="00923B27" w:rsidRPr="00923B27">
        <w:rPr>
          <w:rFonts w:ascii="Arial Narrow" w:hAnsi="Arial Narrow"/>
        </w:rPr>
        <w:t>o 5</w:t>
      </w:r>
      <w:r w:rsidRPr="00923B27">
        <w:rPr>
          <w:rFonts w:ascii="Arial Narrow" w:hAnsi="Arial Narrow"/>
        </w:rPr>
        <w:t xml:space="preserve"> % v rámci ORP </w:t>
      </w:r>
      <w:r w:rsidR="00923B27" w:rsidRPr="00923B27">
        <w:rPr>
          <w:rFonts w:ascii="Arial Narrow" w:hAnsi="Arial Narrow"/>
        </w:rPr>
        <w:t>Brno</w:t>
      </w:r>
      <w:r w:rsidRPr="00923B27">
        <w:rPr>
          <w:rFonts w:ascii="Arial Narrow" w:hAnsi="Arial Narrow"/>
        </w:rPr>
        <w:t xml:space="preserve"> a </w:t>
      </w:r>
      <w:r w:rsidR="00923B27" w:rsidRPr="00923B27">
        <w:rPr>
          <w:rFonts w:ascii="Arial Narrow" w:hAnsi="Arial Narrow"/>
        </w:rPr>
        <w:t>o 3,9</w:t>
      </w:r>
      <w:r w:rsidRPr="00923B27">
        <w:rPr>
          <w:rFonts w:ascii="Arial Narrow" w:hAnsi="Arial Narrow"/>
        </w:rPr>
        <w:t xml:space="preserve"> % v případě ORP </w:t>
      </w:r>
      <w:r w:rsidR="00923B27" w:rsidRPr="00923B27">
        <w:rPr>
          <w:rFonts w:ascii="Arial Narrow" w:hAnsi="Arial Narrow"/>
        </w:rPr>
        <w:t>Kuřim</w:t>
      </w:r>
      <w:r w:rsidRPr="00923B27">
        <w:rPr>
          <w:rFonts w:ascii="Arial Narrow" w:hAnsi="Arial Narrow"/>
        </w:rPr>
        <w:t>.</w:t>
      </w:r>
      <w:r w:rsidR="008032DE" w:rsidRPr="00923B27">
        <w:rPr>
          <w:rFonts w:ascii="Arial Narrow" w:hAnsi="Arial Narrow"/>
        </w:rPr>
        <w:t xml:space="preserve"> </w:t>
      </w:r>
      <w:bookmarkStart w:id="913" w:name="_Hlk131513851"/>
      <w:r w:rsidR="008032DE" w:rsidRPr="00923B27">
        <w:rPr>
          <w:rFonts w:ascii="Arial Narrow" w:hAnsi="Arial Narrow"/>
        </w:rPr>
        <w:t>Skokový</w:t>
      </w:r>
      <w:r w:rsidR="008032DE">
        <w:rPr>
          <w:rFonts w:ascii="Arial Narrow" w:hAnsi="Arial Narrow"/>
        </w:rPr>
        <w:t xml:space="preserve"> nárůst podílu osob s jinou než českou státní příslušností je však patrný ve všech sledovaných ORP Jihomoravského kraje.</w:t>
      </w:r>
      <w:bookmarkEnd w:id="913"/>
      <w:r w:rsidR="00E1313E">
        <w:rPr>
          <w:rFonts w:ascii="Arial Narrow" w:hAnsi="Arial Narrow"/>
        </w:rPr>
        <w:t xml:space="preserve"> </w:t>
      </w:r>
      <w:r w:rsidR="00940C24" w:rsidRPr="00E20FE9">
        <w:rPr>
          <w:rFonts w:ascii="Arial Narrow" w:hAnsi="Arial Narrow"/>
        </w:rPr>
        <w:t>Vývoj podílu osob s jinou než českou státní příslušností na celkovém počtu obyvatel vybraných ORP v letech 2015-202</w:t>
      </w:r>
      <w:r w:rsidR="00E20FE9" w:rsidRPr="00E20FE9">
        <w:rPr>
          <w:rFonts w:ascii="Arial Narrow" w:hAnsi="Arial Narrow"/>
        </w:rPr>
        <w:t>3</w:t>
      </w:r>
      <w:r w:rsidR="00940C24" w:rsidRPr="00E20FE9">
        <w:rPr>
          <w:rFonts w:ascii="Arial Narrow" w:hAnsi="Arial Narrow"/>
        </w:rPr>
        <w:t xml:space="preserve"> podrobně dokumentuje následující tabulka</w:t>
      </w:r>
      <w:r w:rsidR="00E1313E">
        <w:rPr>
          <w:rFonts w:ascii="Arial Narrow" w:hAnsi="Arial Narrow"/>
        </w:rPr>
        <w:t xml:space="preserve"> č. 72</w:t>
      </w:r>
      <w:r w:rsidR="00940C24" w:rsidRPr="00E20FE9">
        <w:rPr>
          <w:rFonts w:ascii="Arial Narrow" w:hAnsi="Arial Narrow"/>
        </w:rPr>
        <w:t>.</w:t>
      </w:r>
    </w:p>
    <w:p w14:paraId="2AA1346E" w14:textId="72151B51" w:rsidR="00E903BA" w:rsidRPr="00E903BA" w:rsidRDefault="00E903BA" w:rsidP="00E903BA">
      <w:pPr>
        <w:jc w:val="both"/>
        <w:rPr>
          <w:rFonts w:ascii="Arial Narrow" w:eastAsia="Times New Roman" w:hAnsi="Arial Narrow" w:cs="Arial"/>
          <w:b/>
          <w:bCs/>
          <w:sz w:val="20"/>
          <w:szCs w:val="20"/>
          <w:lang w:eastAsia="cs-CZ"/>
        </w:rPr>
      </w:pPr>
      <w:bookmarkStart w:id="914" w:name="_Toc136429283"/>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72</w:t>
      </w:r>
      <w:r w:rsidRPr="00CE357F">
        <w:rPr>
          <w:rFonts w:ascii="Arial Narrow" w:hAnsi="Arial Narrow"/>
          <w:b/>
          <w:bCs/>
          <w:sz w:val="20"/>
          <w:szCs w:val="20"/>
        </w:rPr>
        <w:fldChar w:fldCharType="end"/>
      </w:r>
      <w:r w:rsidRPr="00CE357F">
        <w:rPr>
          <w:rFonts w:ascii="Arial Narrow" w:hAnsi="Arial Narrow"/>
          <w:b/>
          <w:bCs/>
          <w:sz w:val="20"/>
          <w:szCs w:val="20"/>
        </w:rPr>
        <w:t xml:space="preserve">:  </w:t>
      </w:r>
      <w:r>
        <w:rPr>
          <w:rFonts w:ascii="Arial Narrow" w:hAnsi="Arial Narrow"/>
          <w:b/>
          <w:bCs/>
          <w:sz w:val="20"/>
          <w:szCs w:val="20"/>
        </w:rPr>
        <w:t xml:space="preserve">Vývoj </w:t>
      </w:r>
      <w:r w:rsidR="00CF312D">
        <w:rPr>
          <w:rFonts w:ascii="Arial Narrow" w:eastAsia="Times New Roman" w:hAnsi="Arial Narrow" w:cs="Arial"/>
          <w:b/>
          <w:bCs/>
          <w:sz w:val="20"/>
          <w:szCs w:val="20"/>
          <w:lang w:eastAsia="cs-CZ"/>
        </w:rPr>
        <w:t>p</w:t>
      </w:r>
      <w:r w:rsidRPr="003261BF">
        <w:rPr>
          <w:rFonts w:ascii="Arial Narrow" w:eastAsia="Times New Roman" w:hAnsi="Arial Narrow" w:cs="Arial"/>
          <w:b/>
          <w:bCs/>
          <w:sz w:val="20"/>
          <w:szCs w:val="20"/>
          <w:lang w:eastAsia="cs-CZ"/>
        </w:rPr>
        <w:t>odíl</w:t>
      </w:r>
      <w:r w:rsidR="00CF312D">
        <w:rPr>
          <w:rFonts w:ascii="Arial Narrow" w:eastAsia="Times New Roman" w:hAnsi="Arial Narrow" w:cs="Arial"/>
          <w:b/>
          <w:bCs/>
          <w:sz w:val="20"/>
          <w:szCs w:val="20"/>
          <w:lang w:eastAsia="cs-CZ"/>
        </w:rPr>
        <w:t>u</w:t>
      </w:r>
      <w:r w:rsidRPr="003261BF">
        <w:rPr>
          <w:rFonts w:ascii="Arial Narrow" w:eastAsia="Times New Roman" w:hAnsi="Arial Narrow" w:cs="Arial"/>
          <w:b/>
          <w:bCs/>
          <w:sz w:val="20"/>
          <w:szCs w:val="20"/>
          <w:lang w:eastAsia="cs-CZ"/>
        </w:rPr>
        <w:t xml:space="preserve"> osob s jinou než českou státní příslušností na celkovém počtu obyvatel </w:t>
      </w:r>
      <w:r w:rsidR="00CB0681">
        <w:rPr>
          <w:rFonts w:ascii="Arial Narrow" w:eastAsia="Times New Roman" w:hAnsi="Arial Narrow" w:cs="Arial"/>
          <w:b/>
          <w:bCs/>
          <w:sz w:val="20"/>
          <w:szCs w:val="20"/>
          <w:lang w:eastAsia="cs-CZ"/>
        </w:rPr>
        <w:t xml:space="preserve">vybraných </w:t>
      </w:r>
      <w:r w:rsidRPr="003261BF">
        <w:rPr>
          <w:rFonts w:ascii="Arial Narrow" w:eastAsia="Times New Roman" w:hAnsi="Arial Narrow" w:cs="Arial"/>
          <w:b/>
          <w:bCs/>
          <w:sz w:val="20"/>
          <w:szCs w:val="20"/>
          <w:lang w:eastAsia="cs-CZ"/>
        </w:rPr>
        <w:t>ORP</w:t>
      </w:r>
      <w:r w:rsidR="00CF312D">
        <w:rPr>
          <w:rFonts w:ascii="Arial Narrow" w:eastAsia="Times New Roman" w:hAnsi="Arial Narrow" w:cs="Arial"/>
          <w:b/>
          <w:bCs/>
          <w:sz w:val="20"/>
          <w:szCs w:val="20"/>
          <w:lang w:eastAsia="cs-CZ"/>
        </w:rPr>
        <w:t xml:space="preserve"> v letech 2015-202</w:t>
      </w:r>
      <w:r w:rsidR="00C2607F">
        <w:rPr>
          <w:rFonts w:ascii="Arial Narrow" w:eastAsia="Times New Roman" w:hAnsi="Arial Narrow" w:cs="Arial"/>
          <w:b/>
          <w:bCs/>
          <w:sz w:val="20"/>
          <w:szCs w:val="20"/>
          <w:lang w:eastAsia="cs-CZ"/>
        </w:rPr>
        <w:t>3</w:t>
      </w:r>
      <w:bookmarkEnd w:id="914"/>
    </w:p>
    <w:tbl>
      <w:tblPr>
        <w:tblW w:w="4940"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60"/>
        <w:gridCol w:w="873"/>
        <w:gridCol w:w="873"/>
        <w:gridCol w:w="872"/>
        <w:gridCol w:w="873"/>
        <w:gridCol w:w="873"/>
        <w:gridCol w:w="872"/>
        <w:gridCol w:w="873"/>
        <w:gridCol w:w="873"/>
        <w:gridCol w:w="811"/>
      </w:tblGrid>
      <w:tr w:rsidR="00C2607F" w:rsidRPr="0054620D" w14:paraId="0305F97A" w14:textId="27B59431" w:rsidTr="004A0C47">
        <w:trPr>
          <w:trHeight w:val="288"/>
        </w:trPr>
        <w:tc>
          <w:tcPr>
            <w:tcW w:w="8953" w:type="dxa"/>
            <w:gridSpan w:val="10"/>
            <w:shd w:val="clear" w:color="auto" w:fill="D9E2F3" w:themeFill="accent1" w:themeFillTint="33"/>
            <w:vAlign w:val="center"/>
          </w:tcPr>
          <w:p w14:paraId="7C02F2A4" w14:textId="1DD71541" w:rsidR="00C2607F" w:rsidRPr="00CB0681" w:rsidRDefault="00C2607F" w:rsidP="00E903BA">
            <w:pPr>
              <w:jc w:val="center"/>
              <w:rPr>
                <w:rFonts w:ascii="Arial Narrow" w:eastAsia="Times New Roman" w:hAnsi="Arial Narrow" w:cs="Arial"/>
                <w:b/>
                <w:bCs/>
                <w:sz w:val="18"/>
                <w:szCs w:val="18"/>
                <w:lang w:eastAsia="cs-CZ"/>
              </w:rPr>
            </w:pPr>
            <w:r w:rsidRPr="00CB0681">
              <w:rPr>
                <w:rFonts w:ascii="Arial Narrow" w:eastAsia="Times New Roman" w:hAnsi="Arial Narrow" w:cs="Arial"/>
                <w:b/>
                <w:bCs/>
                <w:sz w:val="18"/>
                <w:szCs w:val="18"/>
                <w:lang w:eastAsia="cs-CZ"/>
              </w:rPr>
              <w:t>Vývoj podílu osob s jinou než českou státní příslušností na celkovém počtu obyvatel vybraných ORP v letech 2015-202</w:t>
            </w:r>
            <w:r>
              <w:rPr>
                <w:rFonts w:ascii="Arial Narrow" w:eastAsia="Times New Roman" w:hAnsi="Arial Narrow" w:cs="Arial"/>
                <w:b/>
                <w:bCs/>
                <w:sz w:val="18"/>
                <w:szCs w:val="18"/>
                <w:lang w:eastAsia="cs-CZ"/>
              </w:rPr>
              <w:t>3</w:t>
            </w:r>
          </w:p>
        </w:tc>
      </w:tr>
      <w:tr w:rsidR="00C2607F" w:rsidRPr="0054620D" w14:paraId="6EEB282F" w14:textId="18236B6D" w:rsidTr="00C2607F">
        <w:trPr>
          <w:trHeight w:val="457"/>
        </w:trPr>
        <w:tc>
          <w:tcPr>
            <w:tcW w:w="1160" w:type="dxa"/>
            <w:shd w:val="clear" w:color="auto" w:fill="D9E2F3" w:themeFill="accent1" w:themeFillTint="33"/>
            <w:vAlign w:val="center"/>
          </w:tcPr>
          <w:p w14:paraId="17406DBA" w14:textId="77777777" w:rsidR="00C2607F" w:rsidRPr="0054620D" w:rsidRDefault="00C2607F" w:rsidP="00E903BA">
            <w:pPr>
              <w:jc w:val="center"/>
              <w:rPr>
                <w:rFonts w:ascii="Arial Narrow" w:hAnsi="Arial Narrow"/>
                <w:sz w:val="18"/>
                <w:szCs w:val="18"/>
              </w:rPr>
            </w:pPr>
          </w:p>
        </w:tc>
        <w:tc>
          <w:tcPr>
            <w:tcW w:w="873" w:type="dxa"/>
            <w:shd w:val="clear" w:color="auto" w:fill="D9E2F3" w:themeFill="accent1" w:themeFillTint="33"/>
            <w:vAlign w:val="center"/>
          </w:tcPr>
          <w:p w14:paraId="1DBE3917" w14:textId="77777777" w:rsidR="00C2607F" w:rsidRPr="00C2607F" w:rsidRDefault="00C2607F" w:rsidP="00C2607F">
            <w:pPr>
              <w:jc w:val="center"/>
              <w:rPr>
                <w:rFonts w:ascii="Arial Narrow" w:eastAsia="Times New Roman" w:hAnsi="Arial Narrow" w:cs="Arial"/>
                <w:b/>
                <w:bCs/>
                <w:sz w:val="16"/>
                <w:szCs w:val="16"/>
                <w:lang w:eastAsia="cs-CZ"/>
              </w:rPr>
            </w:pPr>
            <w:r w:rsidRPr="00C2607F">
              <w:rPr>
                <w:rFonts w:ascii="Arial Narrow" w:hAnsi="Arial Narrow"/>
                <w:b/>
                <w:bCs/>
                <w:color w:val="000000"/>
                <w:sz w:val="16"/>
                <w:szCs w:val="16"/>
              </w:rPr>
              <w:t>1. 1. 2015</w:t>
            </w:r>
          </w:p>
        </w:tc>
        <w:tc>
          <w:tcPr>
            <w:tcW w:w="873" w:type="dxa"/>
            <w:shd w:val="clear" w:color="auto" w:fill="D9E2F3" w:themeFill="accent1" w:themeFillTint="33"/>
            <w:vAlign w:val="center"/>
          </w:tcPr>
          <w:p w14:paraId="25A0DA89" w14:textId="77777777" w:rsidR="00C2607F" w:rsidRPr="00C2607F" w:rsidRDefault="00C2607F" w:rsidP="00C2607F">
            <w:pPr>
              <w:jc w:val="center"/>
              <w:rPr>
                <w:rFonts w:ascii="Arial Narrow" w:hAnsi="Arial Narrow"/>
                <w:b/>
                <w:bCs/>
                <w:sz w:val="16"/>
                <w:szCs w:val="16"/>
              </w:rPr>
            </w:pPr>
            <w:r w:rsidRPr="00C2607F">
              <w:rPr>
                <w:rFonts w:ascii="Arial Narrow" w:hAnsi="Arial Narrow"/>
                <w:b/>
                <w:bCs/>
                <w:color w:val="000000"/>
                <w:sz w:val="16"/>
                <w:szCs w:val="16"/>
              </w:rPr>
              <w:t>1. 1. 2016</w:t>
            </w:r>
          </w:p>
        </w:tc>
        <w:tc>
          <w:tcPr>
            <w:tcW w:w="872" w:type="dxa"/>
            <w:shd w:val="clear" w:color="auto" w:fill="D9E2F3" w:themeFill="accent1" w:themeFillTint="33"/>
            <w:vAlign w:val="center"/>
          </w:tcPr>
          <w:p w14:paraId="26EC6F92" w14:textId="77777777" w:rsidR="00C2607F" w:rsidRPr="00C2607F" w:rsidRDefault="00C2607F" w:rsidP="00C2607F">
            <w:pPr>
              <w:jc w:val="center"/>
              <w:rPr>
                <w:rFonts w:ascii="Arial Narrow" w:eastAsia="Times New Roman" w:hAnsi="Arial Narrow" w:cs="Arial"/>
                <w:b/>
                <w:bCs/>
                <w:sz w:val="16"/>
                <w:szCs w:val="16"/>
                <w:lang w:eastAsia="cs-CZ"/>
              </w:rPr>
            </w:pPr>
            <w:r w:rsidRPr="00C2607F">
              <w:rPr>
                <w:rFonts w:ascii="Arial Narrow" w:eastAsia="Times New Roman" w:hAnsi="Arial Narrow" w:cs="Arial"/>
                <w:b/>
                <w:bCs/>
                <w:sz w:val="16"/>
                <w:szCs w:val="16"/>
                <w:lang w:eastAsia="cs-CZ"/>
              </w:rPr>
              <w:t>1. 1. 2017</w:t>
            </w:r>
          </w:p>
        </w:tc>
        <w:tc>
          <w:tcPr>
            <w:tcW w:w="873" w:type="dxa"/>
            <w:shd w:val="clear" w:color="auto" w:fill="D9E2F3" w:themeFill="accent1" w:themeFillTint="33"/>
            <w:vAlign w:val="center"/>
          </w:tcPr>
          <w:p w14:paraId="5780F78C" w14:textId="77777777" w:rsidR="00C2607F" w:rsidRPr="00C2607F" w:rsidRDefault="00C2607F" w:rsidP="00C2607F">
            <w:pPr>
              <w:jc w:val="center"/>
              <w:rPr>
                <w:rFonts w:ascii="Arial Narrow" w:eastAsia="Times New Roman" w:hAnsi="Arial Narrow" w:cs="Arial"/>
                <w:b/>
                <w:bCs/>
                <w:sz w:val="16"/>
                <w:szCs w:val="16"/>
                <w:lang w:eastAsia="cs-CZ"/>
              </w:rPr>
            </w:pPr>
            <w:r w:rsidRPr="00C2607F">
              <w:rPr>
                <w:rFonts w:ascii="Arial Narrow" w:eastAsia="Times New Roman" w:hAnsi="Arial Narrow" w:cs="Arial"/>
                <w:b/>
                <w:bCs/>
                <w:sz w:val="16"/>
                <w:szCs w:val="16"/>
                <w:lang w:eastAsia="cs-CZ"/>
              </w:rPr>
              <w:t>1. 1. 2018</w:t>
            </w:r>
          </w:p>
        </w:tc>
        <w:tc>
          <w:tcPr>
            <w:tcW w:w="873" w:type="dxa"/>
            <w:shd w:val="clear" w:color="auto" w:fill="D9E2F3" w:themeFill="accent1" w:themeFillTint="33"/>
            <w:vAlign w:val="center"/>
          </w:tcPr>
          <w:p w14:paraId="09A5A8F4" w14:textId="77777777" w:rsidR="00C2607F" w:rsidRPr="00C2607F" w:rsidRDefault="00C2607F" w:rsidP="00C2607F">
            <w:pPr>
              <w:jc w:val="center"/>
              <w:rPr>
                <w:rFonts w:ascii="Arial Narrow" w:eastAsia="Times New Roman" w:hAnsi="Arial Narrow" w:cs="Arial"/>
                <w:b/>
                <w:bCs/>
                <w:sz w:val="16"/>
                <w:szCs w:val="16"/>
                <w:lang w:eastAsia="cs-CZ"/>
              </w:rPr>
            </w:pPr>
            <w:r w:rsidRPr="00C2607F">
              <w:rPr>
                <w:rFonts w:ascii="Arial Narrow" w:eastAsia="Times New Roman" w:hAnsi="Arial Narrow" w:cs="Arial"/>
                <w:b/>
                <w:bCs/>
                <w:sz w:val="16"/>
                <w:szCs w:val="16"/>
                <w:lang w:eastAsia="cs-CZ"/>
              </w:rPr>
              <w:t>1. 1. 2019</w:t>
            </w:r>
          </w:p>
        </w:tc>
        <w:tc>
          <w:tcPr>
            <w:tcW w:w="872" w:type="dxa"/>
            <w:shd w:val="clear" w:color="auto" w:fill="D9E2F3" w:themeFill="accent1" w:themeFillTint="33"/>
            <w:vAlign w:val="center"/>
          </w:tcPr>
          <w:p w14:paraId="334F4C1E" w14:textId="77777777" w:rsidR="00C2607F" w:rsidRPr="00C2607F" w:rsidRDefault="00C2607F" w:rsidP="00C2607F">
            <w:pPr>
              <w:jc w:val="center"/>
              <w:rPr>
                <w:rFonts w:ascii="Arial Narrow" w:eastAsia="Times New Roman" w:hAnsi="Arial Narrow" w:cs="Arial"/>
                <w:b/>
                <w:bCs/>
                <w:sz w:val="16"/>
                <w:szCs w:val="16"/>
                <w:lang w:eastAsia="cs-CZ"/>
              </w:rPr>
            </w:pPr>
            <w:r w:rsidRPr="00C2607F">
              <w:rPr>
                <w:rFonts w:ascii="Arial Narrow" w:eastAsia="Times New Roman" w:hAnsi="Arial Narrow" w:cs="Arial"/>
                <w:b/>
                <w:bCs/>
                <w:sz w:val="16"/>
                <w:szCs w:val="16"/>
                <w:lang w:eastAsia="cs-CZ"/>
              </w:rPr>
              <w:t>1. 1. 2020</w:t>
            </w:r>
          </w:p>
        </w:tc>
        <w:tc>
          <w:tcPr>
            <w:tcW w:w="873" w:type="dxa"/>
            <w:shd w:val="clear" w:color="auto" w:fill="D9E2F3" w:themeFill="accent1" w:themeFillTint="33"/>
            <w:vAlign w:val="center"/>
          </w:tcPr>
          <w:p w14:paraId="0427EC93" w14:textId="77777777" w:rsidR="00C2607F" w:rsidRPr="00C2607F" w:rsidRDefault="00C2607F" w:rsidP="00C2607F">
            <w:pPr>
              <w:jc w:val="center"/>
              <w:rPr>
                <w:rFonts w:ascii="Arial Narrow" w:eastAsia="Times New Roman" w:hAnsi="Arial Narrow" w:cs="Arial"/>
                <w:b/>
                <w:bCs/>
                <w:sz w:val="16"/>
                <w:szCs w:val="16"/>
                <w:lang w:eastAsia="cs-CZ"/>
              </w:rPr>
            </w:pPr>
            <w:r w:rsidRPr="00C2607F">
              <w:rPr>
                <w:rFonts w:ascii="Arial Narrow" w:eastAsia="Times New Roman" w:hAnsi="Arial Narrow" w:cs="Arial"/>
                <w:b/>
                <w:bCs/>
                <w:sz w:val="16"/>
                <w:szCs w:val="16"/>
                <w:lang w:eastAsia="cs-CZ"/>
              </w:rPr>
              <w:t>1. 1. 2021</w:t>
            </w:r>
          </w:p>
        </w:tc>
        <w:tc>
          <w:tcPr>
            <w:tcW w:w="873" w:type="dxa"/>
            <w:shd w:val="clear" w:color="auto" w:fill="D9E2F3" w:themeFill="accent1" w:themeFillTint="33"/>
            <w:vAlign w:val="center"/>
          </w:tcPr>
          <w:p w14:paraId="0AAB766F" w14:textId="77777777" w:rsidR="00C2607F" w:rsidRPr="00C2607F" w:rsidRDefault="00C2607F" w:rsidP="00C2607F">
            <w:pPr>
              <w:jc w:val="center"/>
              <w:rPr>
                <w:rFonts w:ascii="Arial Narrow" w:eastAsia="Times New Roman" w:hAnsi="Arial Narrow" w:cs="Arial"/>
                <w:b/>
                <w:bCs/>
                <w:sz w:val="16"/>
                <w:szCs w:val="16"/>
                <w:lang w:eastAsia="cs-CZ"/>
              </w:rPr>
            </w:pPr>
            <w:r w:rsidRPr="00C2607F">
              <w:rPr>
                <w:rFonts w:ascii="Arial Narrow" w:eastAsia="Times New Roman" w:hAnsi="Arial Narrow" w:cs="Arial"/>
                <w:b/>
                <w:bCs/>
                <w:sz w:val="16"/>
                <w:szCs w:val="16"/>
                <w:lang w:eastAsia="cs-CZ"/>
              </w:rPr>
              <w:t>1. 1. 2022</w:t>
            </w:r>
          </w:p>
        </w:tc>
        <w:tc>
          <w:tcPr>
            <w:tcW w:w="811" w:type="dxa"/>
            <w:shd w:val="clear" w:color="auto" w:fill="D9E2F3" w:themeFill="accent1" w:themeFillTint="33"/>
            <w:vAlign w:val="center"/>
          </w:tcPr>
          <w:p w14:paraId="21DCF32A" w14:textId="482355C2" w:rsidR="00C2607F" w:rsidRPr="00C2607F" w:rsidRDefault="00C2607F" w:rsidP="00C2607F">
            <w:pPr>
              <w:jc w:val="center"/>
              <w:rPr>
                <w:rFonts w:ascii="Arial Narrow" w:eastAsia="Times New Roman" w:hAnsi="Arial Narrow" w:cs="Arial"/>
                <w:b/>
                <w:bCs/>
                <w:sz w:val="16"/>
                <w:szCs w:val="16"/>
                <w:lang w:eastAsia="cs-CZ"/>
              </w:rPr>
            </w:pPr>
            <w:r w:rsidRPr="00C2607F">
              <w:rPr>
                <w:rFonts w:ascii="Arial Narrow" w:eastAsia="Times New Roman" w:hAnsi="Arial Narrow" w:cs="Arial"/>
                <w:b/>
                <w:bCs/>
                <w:sz w:val="16"/>
                <w:szCs w:val="16"/>
                <w:lang w:eastAsia="cs-CZ"/>
              </w:rPr>
              <w:t>1. 1. 2023</w:t>
            </w:r>
          </w:p>
        </w:tc>
      </w:tr>
      <w:tr w:rsidR="00C2607F" w:rsidRPr="0054620D" w14:paraId="3C6EA313" w14:textId="34695F6F" w:rsidTr="00C2607F">
        <w:trPr>
          <w:trHeight w:val="489"/>
        </w:trPr>
        <w:tc>
          <w:tcPr>
            <w:tcW w:w="1160" w:type="dxa"/>
            <w:shd w:val="clear" w:color="auto" w:fill="D9E2F3" w:themeFill="accent1" w:themeFillTint="33"/>
            <w:vAlign w:val="center"/>
          </w:tcPr>
          <w:p w14:paraId="4E718531" w14:textId="77777777" w:rsidR="00C2607F" w:rsidRPr="0054620D" w:rsidRDefault="00C2607F" w:rsidP="00E903BA">
            <w:pPr>
              <w:jc w:val="center"/>
              <w:rPr>
                <w:rFonts w:ascii="Arial Narrow" w:hAnsi="Arial Narrow"/>
                <w:b/>
                <w:bCs/>
                <w:sz w:val="18"/>
                <w:szCs w:val="18"/>
              </w:rPr>
            </w:pPr>
            <w:r w:rsidRPr="0054620D">
              <w:rPr>
                <w:rFonts w:ascii="Arial Narrow" w:hAnsi="Arial Narrow"/>
                <w:b/>
                <w:bCs/>
                <w:sz w:val="18"/>
                <w:szCs w:val="18"/>
              </w:rPr>
              <w:t>ORP Blansko</w:t>
            </w:r>
          </w:p>
        </w:tc>
        <w:tc>
          <w:tcPr>
            <w:tcW w:w="873" w:type="dxa"/>
            <w:vAlign w:val="center"/>
          </w:tcPr>
          <w:p w14:paraId="740F74DA" w14:textId="77777777" w:rsidR="00C2607F" w:rsidRPr="00F67FC5" w:rsidRDefault="00C2607F" w:rsidP="00C2607F">
            <w:pPr>
              <w:jc w:val="center"/>
              <w:rPr>
                <w:rFonts w:ascii="Arial Narrow" w:hAnsi="Arial Narrow"/>
                <w:sz w:val="18"/>
                <w:szCs w:val="18"/>
              </w:rPr>
            </w:pPr>
            <w:r w:rsidRPr="00F67FC5">
              <w:rPr>
                <w:rFonts w:ascii="Arial Narrow" w:hAnsi="Arial Narrow"/>
                <w:sz w:val="18"/>
                <w:szCs w:val="18"/>
              </w:rPr>
              <w:t>2,6</w:t>
            </w:r>
            <w:r>
              <w:rPr>
                <w:rFonts w:ascii="Arial Narrow" w:hAnsi="Arial Narrow"/>
                <w:sz w:val="18"/>
                <w:szCs w:val="18"/>
              </w:rPr>
              <w:t xml:space="preserve"> %</w:t>
            </w:r>
          </w:p>
        </w:tc>
        <w:tc>
          <w:tcPr>
            <w:tcW w:w="873" w:type="dxa"/>
            <w:vAlign w:val="center"/>
          </w:tcPr>
          <w:p w14:paraId="1002B70D" w14:textId="77777777" w:rsidR="00C2607F" w:rsidRPr="00F67FC5" w:rsidRDefault="00C2607F" w:rsidP="00C2607F">
            <w:pPr>
              <w:jc w:val="center"/>
              <w:rPr>
                <w:rFonts w:ascii="Arial Narrow" w:hAnsi="Arial Narrow"/>
                <w:sz w:val="18"/>
                <w:szCs w:val="18"/>
              </w:rPr>
            </w:pPr>
            <w:r>
              <w:rPr>
                <w:rFonts w:ascii="Arial Narrow" w:hAnsi="Arial Narrow"/>
                <w:sz w:val="18"/>
                <w:szCs w:val="18"/>
              </w:rPr>
              <w:t>2,6 %</w:t>
            </w:r>
          </w:p>
        </w:tc>
        <w:tc>
          <w:tcPr>
            <w:tcW w:w="872" w:type="dxa"/>
            <w:vAlign w:val="center"/>
          </w:tcPr>
          <w:p w14:paraId="533517E8" w14:textId="77777777" w:rsidR="00C2607F" w:rsidRPr="00F67FC5" w:rsidRDefault="00C2607F" w:rsidP="00C2607F">
            <w:pPr>
              <w:jc w:val="center"/>
              <w:rPr>
                <w:rFonts w:ascii="Arial Narrow" w:hAnsi="Arial Narrow"/>
                <w:sz w:val="18"/>
                <w:szCs w:val="18"/>
              </w:rPr>
            </w:pPr>
            <w:r>
              <w:rPr>
                <w:rFonts w:ascii="Arial Narrow" w:hAnsi="Arial Narrow"/>
                <w:sz w:val="18"/>
                <w:szCs w:val="18"/>
              </w:rPr>
              <w:t>2,5 %</w:t>
            </w:r>
          </w:p>
        </w:tc>
        <w:tc>
          <w:tcPr>
            <w:tcW w:w="873" w:type="dxa"/>
            <w:vAlign w:val="center"/>
          </w:tcPr>
          <w:p w14:paraId="36E3033D" w14:textId="77777777" w:rsidR="00C2607F" w:rsidRPr="00F67FC5" w:rsidRDefault="00C2607F" w:rsidP="00C2607F">
            <w:pPr>
              <w:jc w:val="center"/>
              <w:rPr>
                <w:rFonts w:ascii="Arial Narrow" w:hAnsi="Arial Narrow"/>
                <w:sz w:val="18"/>
                <w:szCs w:val="18"/>
              </w:rPr>
            </w:pPr>
            <w:r>
              <w:rPr>
                <w:rFonts w:ascii="Arial Narrow" w:hAnsi="Arial Narrow"/>
                <w:sz w:val="18"/>
                <w:szCs w:val="18"/>
              </w:rPr>
              <w:t>2,5 %</w:t>
            </w:r>
          </w:p>
        </w:tc>
        <w:tc>
          <w:tcPr>
            <w:tcW w:w="873" w:type="dxa"/>
            <w:vAlign w:val="center"/>
          </w:tcPr>
          <w:p w14:paraId="3DFFFA7A" w14:textId="77777777" w:rsidR="00C2607F" w:rsidRPr="00F67FC5" w:rsidRDefault="00C2607F" w:rsidP="00C2607F">
            <w:pPr>
              <w:jc w:val="center"/>
              <w:rPr>
                <w:rFonts w:ascii="Arial Narrow" w:hAnsi="Arial Narrow"/>
                <w:sz w:val="18"/>
                <w:szCs w:val="18"/>
              </w:rPr>
            </w:pPr>
            <w:r>
              <w:rPr>
                <w:rFonts w:ascii="Arial Narrow" w:hAnsi="Arial Narrow"/>
                <w:sz w:val="18"/>
                <w:szCs w:val="18"/>
              </w:rPr>
              <w:t>2,5 %</w:t>
            </w:r>
          </w:p>
        </w:tc>
        <w:tc>
          <w:tcPr>
            <w:tcW w:w="872" w:type="dxa"/>
            <w:vAlign w:val="center"/>
          </w:tcPr>
          <w:p w14:paraId="2038E075" w14:textId="77777777" w:rsidR="00C2607F" w:rsidRPr="00F67FC5" w:rsidRDefault="00C2607F" w:rsidP="00C2607F">
            <w:pPr>
              <w:jc w:val="center"/>
              <w:rPr>
                <w:rFonts w:ascii="Arial Narrow" w:hAnsi="Arial Narrow"/>
                <w:sz w:val="18"/>
                <w:szCs w:val="18"/>
              </w:rPr>
            </w:pPr>
            <w:r w:rsidRPr="00F67FC5">
              <w:rPr>
                <w:rFonts w:ascii="Arial Narrow" w:hAnsi="Arial Narrow"/>
                <w:sz w:val="18"/>
                <w:szCs w:val="18"/>
              </w:rPr>
              <w:t>2,7</w:t>
            </w:r>
            <w:r>
              <w:rPr>
                <w:rFonts w:ascii="Arial Narrow" w:hAnsi="Arial Narrow"/>
                <w:sz w:val="18"/>
                <w:szCs w:val="18"/>
              </w:rPr>
              <w:t xml:space="preserve"> %</w:t>
            </w:r>
          </w:p>
        </w:tc>
        <w:tc>
          <w:tcPr>
            <w:tcW w:w="873" w:type="dxa"/>
            <w:vAlign w:val="center"/>
          </w:tcPr>
          <w:p w14:paraId="41079C94" w14:textId="77777777" w:rsidR="00C2607F" w:rsidRPr="00F67FC5" w:rsidRDefault="00C2607F" w:rsidP="00C2607F">
            <w:pPr>
              <w:jc w:val="center"/>
              <w:rPr>
                <w:rFonts w:ascii="Arial Narrow" w:hAnsi="Arial Narrow"/>
                <w:sz w:val="18"/>
                <w:szCs w:val="18"/>
              </w:rPr>
            </w:pPr>
            <w:r w:rsidRPr="00F67FC5">
              <w:rPr>
                <w:rFonts w:ascii="Arial Narrow" w:hAnsi="Arial Narrow"/>
                <w:sz w:val="18"/>
                <w:szCs w:val="18"/>
              </w:rPr>
              <w:t>2,7</w:t>
            </w:r>
            <w:r>
              <w:rPr>
                <w:rFonts w:ascii="Arial Narrow" w:hAnsi="Arial Narrow"/>
                <w:sz w:val="18"/>
                <w:szCs w:val="18"/>
              </w:rPr>
              <w:t xml:space="preserve"> %</w:t>
            </w:r>
          </w:p>
        </w:tc>
        <w:tc>
          <w:tcPr>
            <w:tcW w:w="873" w:type="dxa"/>
            <w:vAlign w:val="center"/>
          </w:tcPr>
          <w:p w14:paraId="5C0EBCD2" w14:textId="77777777" w:rsidR="00C2607F" w:rsidRPr="00C2607F" w:rsidRDefault="00C2607F" w:rsidP="00C2607F">
            <w:pPr>
              <w:jc w:val="center"/>
              <w:rPr>
                <w:rFonts w:ascii="Arial Narrow" w:hAnsi="Arial Narrow"/>
                <w:sz w:val="18"/>
                <w:szCs w:val="18"/>
              </w:rPr>
            </w:pPr>
            <w:r w:rsidRPr="00C2607F">
              <w:rPr>
                <w:rFonts w:ascii="Arial Narrow" w:hAnsi="Arial Narrow"/>
                <w:sz w:val="18"/>
                <w:szCs w:val="18"/>
              </w:rPr>
              <w:t>2,8 %</w:t>
            </w:r>
          </w:p>
        </w:tc>
        <w:tc>
          <w:tcPr>
            <w:tcW w:w="811" w:type="dxa"/>
            <w:vAlign w:val="center"/>
          </w:tcPr>
          <w:p w14:paraId="497F029C" w14:textId="017008BD" w:rsidR="00C2607F" w:rsidRPr="00F67FC5" w:rsidRDefault="003C1DE9" w:rsidP="00C2607F">
            <w:pPr>
              <w:jc w:val="center"/>
              <w:rPr>
                <w:rFonts w:ascii="Arial Narrow" w:hAnsi="Arial Narrow"/>
                <w:b/>
                <w:bCs/>
                <w:color w:val="C00000"/>
                <w:sz w:val="18"/>
                <w:szCs w:val="18"/>
              </w:rPr>
            </w:pPr>
            <w:r>
              <w:rPr>
                <w:rFonts w:ascii="Arial Narrow" w:hAnsi="Arial Narrow"/>
                <w:b/>
                <w:bCs/>
                <w:color w:val="C00000"/>
                <w:sz w:val="18"/>
                <w:szCs w:val="18"/>
              </w:rPr>
              <w:t>5,4 %</w:t>
            </w:r>
          </w:p>
        </w:tc>
      </w:tr>
      <w:tr w:rsidR="00C2607F" w:rsidRPr="0054620D" w14:paraId="31F75EF1" w14:textId="2893F9FB" w:rsidTr="00C2607F">
        <w:trPr>
          <w:trHeight w:val="489"/>
        </w:trPr>
        <w:tc>
          <w:tcPr>
            <w:tcW w:w="1160" w:type="dxa"/>
            <w:shd w:val="clear" w:color="auto" w:fill="D9E2F3" w:themeFill="accent1" w:themeFillTint="33"/>
            <w:vAlign w:val="center"/>
          </w:tcPr>
          <w:p w14:paraId="7B72E11F" w14:textId="77777777" w:rsidR="00C2607F" w:rsidRPr="0054620D" w:rsidRDefault="00C2607F" w:rsidP="00E903BA">
            <w:pPr>
              <w:jc w:val="center"/>
              <w:rPr>
                <w:rFonts w:ascii="Arial Narrow" w:hAnsi="Arial Narrow"/>
                <w:b/>
                <w:bCs/>
                <w:sz w:val="18"/>
                <w:szCs w:val="18"/>
              </w:rPr>
            </w:pPr>
            <w:r w:rsidRPr="0054620D">
              <w:rPr>
                <w:rFonts w:ascii="Arial Narrow" w:hAnsi="Arial Narrow"/>
                <w:b/>
                <w:bCs/>
                <w:sz w:val="18"/>
                <w:szCs w:val="18"/>
              </w:rPr>
              <w:t>ORP Brno</w:t>
            </w:r>
          </w:p>
        </w:tc>
        <w:tc>
          <w:tcPr>
            <w:tcW w:w="873" w:type="dxa"/>
            <w:vAlign w:val="center"/>
          </w:tcPr>
          <w:p w14:paraId="01335E92" w14:textId="77777777" w:rsidR="00C2607F" w:rsidRPr="00F67FC5" w:rsidRDefault="00C2607F" w:rsidP="00C2607F">
            <w:pPr>
              <w:jc w:val="center"/>
              <w:rPr>
                <w:rFonts w:ascii="Arial Narrow" w:hAnsi="Arial Narrow"/>
                <w:sz w:val="18"/>
                <w:szCs w:val="18"/>
              </w:rPr>
            </w:pPr>
            <w:r>
              <w:rPr>
                <w:rFonts w:ascii="Arial Narrow" w:hAnsi="Arial Narrow"/>
                <w:sz w:val="18"/>
                <w:szCs w:val="18"/>
              </w:rPr>
              <w:t>6,3 %</w:t>
            </w:r>
          </w:p>
        </w:tc>
        <w:tc>
          <w:tcPr>
            <w:tcW w:w="873" w:type="dxa"/>
            <w:vAlign w:val="center"/>
          </w:tcPr>
          <w:p w14:paraId="2ABFC7B4" w14:textId="0CCEDCD6" w:rsidR="00C2607F" w:rsidRPr="00F67FC5" w:rsidRDefault="00C2607F" w:rsidP="00C2607F">
            <w:pPr>
              <w:jc w:val="center"/>
              <w:rPr>
                <w:rFonts w:ascii="Arial Narrow" w:hAnsi="Arial Narrow"/>
                <w:sz w:val="18"/>
                <w:szCs w:val="18"/>
              </w:rPr>
            </w:pPr>
            <w:r>
              <w:rPr>
                <w:rFonts w:ascii="Arial Narrow" w:hAnsi="Arial Narrow"/>
                <w:sz w:val="18"/>
                <w:szCs w:val="18"/>
              </w:rPr>
              <w:t>6,5</w:t>
            </w:r>
            <w:r w:rsidR="00872E66">
              <w:rPr>
                <w:rFonts w:ascii="Arial Narrow" w:hAnsi="Arial Narrow"/>
                <w:sz w:val="18"/>
                <w:szCs w:val="18"/>
              </w:rPr>
              <w:t xml:space="preserve"> %</w:t>
            </w:r>
          </w:p>
        </w:tc>
        <w:tc>
          <w:tcPr>
            <w:tcW w:w="872" w:type="dxa"/>
            <w:vAlign w:val="center"/>
          </w:tcPr>
          <w:p w14:paraId="1A5D14DE" w14:textId="77777777" w:rsidR="00C2607F" w:rsidRDefault="00C2607F" w:rsidP="00C2607F">
            <w:pPr>
              <w:jc w:val="center"/>
              <w:rPr>
                <w:rFonts w:ascii="Arial Narrow" w:hAnsi="Arial Narrow"/>
                <w:sz w:val="18"/>
                <w:szCs w:val="18"/>
              </w:rPr>
            </w:pPr>
            <w:r>
              <w:rPr>
                <w:rFonts w:ascii="Arial Narrow" w:hAnsi="Arial Narrow"/>
                <w:sz w:val="18"/>
                <w:szCs w:val="18"/>
              </w:rPr>
              <w:t>6,9 %</w:t>
            </w:r>
          </w:p>
        </w:tc>
        <w:tc>
          <w:tcPr>
            <w:tcW w:w="873" w:type="dxa"/>
            <w:vAlign w:val="center"/>
          </w:tcPr>
          <w:p w14:paraId="7FF64AC5" w14:textId="77777777" w:rsidR="00C2607F" w:rsidRDefault="00C2607F" w:rsidP="00C2607F">
            <w:pPr>
              <w:jc w:val="center"/>
              <w:rPr>
                <w:rFonts w:ascii="Arial Narrow" w:hAnsi="Arial Narrow"/>
                <w:sz w:val="18"/>
                <w:szCs w:val="18"/>
              </w:rPr>
            </w:pPr>
            <w:r>
              <w:rPr>
                <w:rFonts w:ascii="Arial Narrow" w:hAnsi="Arial Narrow"/>
                <w:sz w:val="18"/>
                <w:szCs w:val="18"/>
              </w:rPr>
              <w:t>7,4 %</w:t>
            </w:r>
          </w:p>
        </w:tc>
        <w:tc>
          <w:tcPr>
            <w:tcW w:w="873" w:type="dxa"/>
            <w:vAlign w:val="center"/>
          </w:tcPr>
          <w:p w14:paraId="269F6004" w14:textId="77777777" w:rsidR="00C2607F" w:rsidRDefault="00C2607F" w:rsidP="00C2607F">
            <w:pPr>
              <w:jc w:val="center"/>
              <w:rPr>
                <w:rFonts w:ascii="Arial Narrow" w:hAnsi="Arial Narrow"/>
                <w:sz w:val="18"/>
                <w:szCs w:val="18"/>
              </w:rPr>
            </w:pPr>
            <w:r>
              <w:rPr>
                <w:rFonts w:ascii="Arial Narrow" w:hAnsi="Arial Narrow"/>
                <w:sz w:val="18"/>
                <w:szCs w:val="18"/>
              </w:rPr>
              <w:t>7,9 %</w:t>
            </w:r>
          </w:p>
        </w:tc>
        <w:tc>
          <w:tcPr>
            <w:tcW w:w="872" w:type="dxa"/>
            <w:vAlign w:val="center"/>
          </w:tcPr>
          <w:p w14:paraId="4B333FA9" w14:textId="77777777" w:rsidR="00C2607F" w:rsidRPr="00F67FC5" w:rsidRDefault="00C2607F" w:rsidP="00C2607F">
            <w:pPr>
              <w:jc w:val="center"/>
              <w:rPr>
                <w:rFonts w:ascii="Arial Narrow" w:hAnsi="Arial Narrow"/>
                <w:sz w:val="18"/>
                <w:szCs w:val="18"/>
              </w:rPr>
            </w:pPr>
            <w:r>
              <w:rPr>
                <w:rFonts w:ascii="Arial Narrow" w:hAnsi="Arial Narrow"/>
                <w:sz w:val="18"/>
                <w:szCs w:val="18"/>
              </w:rPr>
              <w:t>8,4 %</w:t>
            </w:r>
          </w:p>
        </w:tc>
        <w:tc>
          <w:tcPr>
            <w:tcW w:w="873" w:type="dxa"/>
            <w:vAlign w:val="center"/>
          </w:tcPr>
          <w:p w14:paraId="081E17CE" w14:textId="77777777" w:rsidR="00C2607F" w:rsidRPr="00F67FC5" w:rsidRDefault="00C2607F" w:rsidP="00C2607F">
            <w:pPr>
              <w:jc w:val="center"/>
              <w:rPr>
                <w:rFonts w:ascii="Arial Narrow" w:hAnsi="Arial Narrow"/>
                <w:sz w:val="18"/>
                <w:szCs w:val="18"/>
              </w:rPr>
            </w:pPr>
            <w:r>
              <w:rPr>
                <w:rFonts w:ascii="Arial Narrow" w:hAnsi="Arial Narrow"/>
                <w:sz w:val="18"/>
                <w:szCs w:val="18"/>
              </w:rPr>
              <w:t>9,1 %</w:t>
            </w:r>
          </w:p>
        </w:tc>
        <w:tc>
          <w:tcPr>
            <w:tcW w:w="873" w:type="dxa"/>
            <w:vAlign w:val="center"/>
          </w:tcPr>
          <w:p w14:paraId="0583F269" w14:textId="77777777" w:rsidR="00C2607F" w:rsidRPr="00C2607F" w:rsidRDefault="00C2607F" w:rsidP="00C2607F">
            <w:pPr>
              <w:jc w:val="center"/>
              <w:rPr>
                <w:rFonts w:ascii="Arial Narrow" w:hAnsi="Arial Narrow"/>
                <w:sz w:val="18"/>
                <w:szCs w:val="18"/>
              </w:rPr>
            </w:pPr>
            <w:r w:rsidRPr="00C2607F">
              <w:rPr>
                <w:rFonts w:ascii="Arial Narrow" w:hAnsi="Arial Narrow"/>
                <w:sz w:val="18"/>
                <w:szCs w:val="18"/>
              </w:rPr>
              <w:t>9,5 %</w:t>
            </w:r>
          </w:p>
        </w:tc>
        <w:tc>
          <w:tcPr>
            <w:tcW w:w="811" w:type="dxa"/>
            <w:vAlign w:val="center"/>
          </w:tcPr>
          <w:p w14:paraId="4FE9EDD2" w14:textId="2AE6B775" w:rsidR="00C2607F" w:rsidRDefault="00E67CE3" w:rsidP="00C2607F">
            <w:pPr>
              <w:jc w:val="center"/>
              <w:rPr>
                <w:rFonts w:ascii="Arial Narrow" w:hAnsi="Arial Narrow"/>
                <w:b/>
                <w:bCs/>
                <w:color w:val="C00000"/>
                <w:sz w:val="18"/>
                <w:szCs w:val="18"/>
              </w:rPr>
            </w:pPr>
            <w:r>
              <w:rPr>
                <w:rFonts w:ascii="Arial Narrow" w:hAnsi="Arial Narrow"/>
                <w:b/>
                <w:bCs/>
                <w:color w:val="C00000"/>
                <w:sz w:val="18"/>
                <w:szCs w:val="18"/>
              </w:rPr>
              <w:t>14,5 %</w:t>
            </w:r>
          </w:p>
        </w:tc>
      </w:tr>
      <w:tr w:rsidR="00C2607F" w:rsidRPr="0054620D" w14:paraId="52151361" w14:textId="5C5570BF" w:rsidTr="00C2607F">
        <w:trPr>
          <w:trHeight w:val="489"/>
        </w:trPr>
        <w:tc>
          <w:tcPr>
            <w:tcW w:w="1160" w:type="dxa"/>
            <w:shd w:val="clear" w:color="auto" w:fill="D9E2F3" w:themeFill="accent1" w:themeFillTint="33"/>
            <w:vAlign w:val="center"/>
          </w:tcPr>
          <w:p w14:paraId="7A021140" w14:textId="77777777" w:rsidR="00C2607F" w:rsidRPr="0054620D" w:rsidRDefault="00C2607F" w:rsidP="00E903BA">
            <w:pPr>
              <w:jc w:val="center"/>
              <w:rPr>
                <w:rFonts w:ascii="Arial Narrow" w:hAnsi="Arial Narrow"/>
                <w:b/>
                <w:bCs/>
                <w:sz w:val="18"/>
                <w:szCs w:val="18"/>
              </w:rPr>
            </w:pPr>
            <w:r w:rsidRPr="0054620D">
              <w:rPr>
                <w:rFonts w:ascii="Arial Narrow" w:hAnsi="Arial Narrow"/>
                <w:b/>
                <w:bCs/>
                <w:sz w:val="18"/>
                <w:szCs w:val="18"/>
              </w:rPr>
              <w:t>ORP Břeclav</w:t>
            </w:r>
          </w:p>
        </w:tc>
        <w:tc>
          <w:tcPr>
            <w:tcW w:w="873" w:type="dxa"/>
            <w:vAlign w:val="center"/>
          </w:tcPr>
          <w:p w14:paraId="3C5CABF4" w14:textId="77777777" w:rsidR="00C2607F" w:rsidRPr="00F67FC5" w:rsidRDefault="00C2607F" w:rsidP="00C2607F">
            <w:pPr>
              <w:jc w:val="center"/>
              <w:rPr>
                <w:rFonts w:ascii="Arial Narrow" w:hAnsi="Arial Narrow"/>
                <w:sz w:val="18"/>
                <w:szCs w:val="18"/>
              </w:rPr>
            </w:pPr>
            <w:r>
              <w:rPr>
                <w:rFonts w:ascii="Arial Narrow" w:hAnsi="Arial Narrow"/>
                <w:sz w:val="18"/>
                <w:szCs w:val="18"/>
              </w:rPr>
              <w:t>2,5 %</w:t>
            </w:r>
          </w:p>
        </w:tc>
        <w:tc>
          <w:tcPr>
            <w:tcW w:w="873" w:type="dxa"/>
            <w:vAlign w:val="center"/>
          </w:tcPr>
          <w:p w14:paraId="4A3D721A" w14:textId="77777777" w:rsidR="00C2607F" w:rsidRPr="00F67FC5" w:rsidRDefault="00C2607F" w:rsidP="00C2607F">
            <w:pPr>
              <w:jc w:val="center"/>
              <w:rPr>
                <w:rFonts w:ascii="Arial Narrow" w:hAnsi="Arial Narrow"/>
                <w:sz w:val="18"/>
                <w:szCs w:val="18"/>
              </w:rPr>
            </w:pPr>
            <w:r>
              <w:rPr>
                <w:rFonts w:ascii="Arial Narrow" w:hAnsi="Arial Narrow"/>
                <w:sz w:val="18"/>
                <w:szCs w:val="18"/>
              </w:rPr>
              <w:t>2,6 %</w:t>
            </w:r>
          </w:p>
        </w:tc>
        <w:tc>
          <w:tcPr>
            <w:tcW w:w="872" w:type="dxa"/>
            <w:vAlign w:val="center"/>
          </w:tcPr>
          <w:p w14:paraId="324F2DB5" w14:textId="77777777" w:rsidR="00C2607F" w:rsidRDefault="00C2607F" w:rsidP="00C2607F">
            <w:pPr>
              <w:jc w:val="center"/>
              <w:rPr>
                <w:rFonts w:ascii="Arial Narrow" w:hAnsi="Arial Narrow"/>
                <w:sz w:val="18"/>
                <w:szCs w:val="18"/>
              </w:rPr>
            </w:pPr>
            <w:r>
              <w:rPr>
                <w:rFonts w:ascii="Arial Narrow" w:hAnsi="Arial Narrow"/>
                <w:sz w:val="18"/>
                <w:szCs w:val="18"/>
              </w:rPr>
              <w:t>2,7 %</w:t>
            </w:r>
          </w:p>
        </w:tc>
        <w:tc>
          <w:tcPr>
            <w:tcW w:w="873" w:type="dxa"/>
            <w:vAlign w:val="center"/>
          </w:tcPr>
          <w:p w14:paraId="22993F90" w14:textId="77777777" w:rsidR="00C2607F" w:rsidRDefault="00C2607F" w:rsidP="00C2607F">
            <w:pPr>
              <w:jc w:val="center"/>
              <w:rPr>
                <w:rFonts w:ascii="Arial Narrow" w:hAnsi="Arial Narrow"/>
                <w:sz w:val="18"/>
                <w:szCs w:val="18"/>
              </w:rPr>
            </w:pPr>
            <w:r>
              <w:rPr>
                <w:rFonts w:ascii="Arial Narrow" w:hAnsi="Arial Narrow"/>
                <w:sz w:val="18"/>
                <w:szCs w:val="18"/>
              </w:rPr>
              <w:t>2,8 %</w:t>
            </w:r>
          </w:p>
        </w:tc>
        <w:tc>
          <w:tcPr>
            <w:tcW w:w="873" w:type="dxa"/>
            <w:vAlign w:val="center"/>
          </w:tcPr>
          <w:p w14:paraId="6C2843BD" w14:textId="77777777" w:rsidR="00C2607F" w:rsidRDefault="00C2607F" w:rsidP="00C2607F">
            <w:pPr>
              <w:jc w:val="center"/>
              <w:rPr>
                <w:rFonts w:ascii="Arial Narrow" w:hAnsi="Arial Narrow"/>
                <w:sz w:val="18"/>
                <w:szCs w:val="18"/>
              </w:rPr>
            </w:pPr>
            <w:r>
              <w:rPr>
                <w:rFonts w:ascii="Arial Narrow" w:hAnsi="Arial Narrow"/>
                <w:sz w:val="18"/>
                <w:szCs w:val="18"/>
              </w:rPr>
              <w:t>3,1 %</w:t>
            </w:r>
          </w:p>
        </w:tc>
        <w:tc>
          <w:tcPr>
            <w:tcW w:w="872" w:type="dxa"/>
            <w:vAlign w:val="center"/>
          </w:tcPr>
          <w:p w14:paraId="5FBB8DFD" w14:textId="77777777" w:rsidR="00C2607F" w:rsidRPr="00F67FC5" w:rsidRDefault="00C2607F" w:rsidP="00C2607F">
            <w:pPr>
              <w:jc w:val="center"/>
              <w:rPr>
                <w:rFonts w:ascii="Arial Narrow" w:hAnsi="Arial Narrow"/>
                <w:sz w:val="18"/>
                <w:szCs w:val="18"/>
              </w:rPr>
            </w:pPr>
            <w:r>
              <w:rPr>
                <w:rFonts w:ascii="Arial Narrow" w:hAnsi="Arial Narrow"/>
                <w:sz w:val="18"/>
                <w:szCs w:val="18"/>
              </w:rPr>
              <w:t>3,4 %</w:t>
            </w:r>
          </w:p>
        </w:tc>
        <w:tc>
          <w:tcPr>
            <w:tcW w:w="873" w:type="dxa"/>
            <w:vAlign w:val="center"/>
          </w:tcPr>
          <w:p w14:paraId="39430524" w14:textId="77777777" w:rsidR="00C2607F" w:rsidRPr="00F67FC5" w:rsidRDefault="00C2607F" w:rsidP="00C2607F">
            <w:pPr>
              <w:jc w:val="center"/>
              <w:rPr>
                <w:rFonts w:ascii="Arial Narrow" w:hAnsi="Arial Narrow"/>
                <w:sz w:val="18"/>
                <w:szCs w:val="18"/>
              </w:rPr>
            </w:pPr>
            <w:r>
              <w:rPr>
                <w:rFonts w:ascii="Arial Narrow" w:hAnsi="Arial Narrow"/>
                <w:sz w:val="18"/>
                <w:szCs w:val="18"/>
              </w:rPr>
              <w:t>3,5 %</w:t>
            </w:r>
          </w:p>
        </w:tc>
        <w:tc>
          <w:tcPr>
            <w:tcW w:w="873" w:type="dxa"/>
            <w:vAlign w:val="center"/>
          </w:tcPr>
          <w:p w14:paraId="5B2914F0" w14:textId="77777777" w:rsidR="00C2607F" w:rsidRPr="00C2607F" w:rsidRDefault="00C2607F" w:rsidP="00C2607F">
            <w:pPr>
              <w:jc w:val="center"/>
              <w:rPr>
                <w:rFonts w:ascii="Arial Narrow" w:hAnsi="Arial Narrow"/>
                <w:sz w:val="18"/>
                <w:szCs w:val="18"/>
              </w:rPr>
            </w:pPr>
            <w:r w:rsidRPr="00C2607F">
              <w:rPr>
                <w:rFonts w:ascii="Arial Narrow" w:hAnsi="Arial Narrow"/>
                <w:sz w:val="18"/>
                <w:szCs w:val="18"/>
              </w:rPr>
              <w:t>3,4 %</w:t>
            </w:r>
          </w:p>
        </w:tc>
        <w:tc>
          <w:tcPr>
            <w:tcW w:w="811" w:type="dxa"/>
            <w:vAlign w:val="center"/>
          </w:tcPr>
          <w:p w14:paraId="54D338F6" w14:textId="17702B12" w:rsidR="00C2607F" w:rsidRDefault="00CA4FB3" w:rsidP="00C2607F">
            <w:pPr>
              <w:jc w:val="center"/>
              <w:rPr>
                <w:rFonts w:ascii="Arial Narrow" w:hAnsi="Arial Narrow"/>
                <w:b/>
                <w:bCs/>
                <w:color w:val="C00000"/>
                <w:sz w:val="18"/>
                <w:szCs w:val="18"/>
              </w:rPr>
            </w:pPr>
            <w:r>
              <w:rPr>
                <w:rFonts w:ascii="Arial Narrow" w:hAnsi="Arial Narrow"/>
                <w:b/>
                <w:bCs/>
                <w:color w:val="C00000"/>
                <w:sz w:val="18"/>
                <w:szCs w:val="18"/>
              </w:rPr>
              <w:t>6,9 %</w:t>
            </w:r>
          </w:p>
        </w:tc>
      </w:tr>
      <w:tr w:rsidR="00C2607F" w:rsidRPr="0054620D" w14:paraId="28FCE993" w14:textId="463D0C95" w:rsidTr="00C2607F">
        <w:trPr>
          <w:trHeight w:val="489"/>
        </w:trPr>
        <w:tc>
          <w:tcPr>
            <w:tcW w:w="1160" w:type="dxa"/>
            <w:shd w:val="clear" w:color="auto" w:fill="D9E2F3" w:themeFill="accent1" w:themeFillTint="33"/>
            <w:vAlign w:val="center"/>
          </w:tcPr>
          <w:p w14:paraId="0D954210" w14:textId="77777777" w:rsidR="00C2607F" w:rsidRPr="0054620D" w:rsidRDefault="00C2607F" w:rsidP="00E903BA">
            <w:pPr>
              <w:jc w:val="center"/>
              <w:rPr>
                <w:rFonts w:ascii="Arial Narrow" w:hAnsi="Arial Narrow"/>
                <w:b/>
                <w:bCs/>
                <w:sz w:val="18"/>
                <w:szCs w:val="18"/>
              </w:rPr>
            </w:pPr>
            <w:r w:rsidRPr="0054620D">
              <w:rPr>
                <w:rFonts w:ascii="Arial Narrow" w:hAnsi="Arial Narrow"/>
                <w:b/>
                <w:bCs/>
                <w:sz w:val="18"/>
                <w:szCs w:val="18"/>
              </w:rPr>
              <w:t>ORP Kuřim</w:t>
            </w:r>
          </w:p>
        </w:tc>
        <w:tc>
          <w:tcPr>
            <w:tcW w:w="873" w:type="dxa"/>
            <w:vAlign w:val="center"/>
          </w:tcPr>
          <w:p w14:paraId="321420C7" w14:textId="77777777" w:rsidR="00C2607F" w:rsidRPr="00F67FC5" w:rsidRDefault="00C2607F" w:rsidP="00C2607F">
            <w:pPr>
              <w:jc w:val="center"/>
              <w:rPr>
                <w:rFonts w:ascii="Arial Narrow" w:hAnsi="Arial Narrow"/>
                <w:sz w:val="18"/>
                <w:szCs w:val="18"/>
              </w:rPr>
            </w:pPr>
            <w:r>
              <w:rPr>
                <w:rFonts w:ascii="Arial Narrow" w:hAnsi="Arial Narrow"/>
                <w:sz w:val="18"/>
                <w:szCs w:val="18"/>
              </w:rPr>
              <w:t>1,8 %</w:t>
            </w:r>
          </w:p>
        </w:tc>
        <w:tc>
          <w:tcPr>
            <w:tcW w:w="873" w:type="dxa"/>
            <w:vAlign w:val="center"/>
          </w:tcPr>
          <w:p w14:paraId="493A3847" w14:textId="77777777" w:rsidR="00C2607F" w:rsidRPr="00F67FC5" w:rsidRDefault="00C2607F" w:rsidP="00C2607F">
            <w:pPr>
              <w:jc w:val="center"/>
              <w:rPr>
                <w:rFonts w:ascii="Arial Narrow" w:hAnsi="Arial Narrow"/>
                <w:sz w:val="18"/>
                <w:szCs w:val="18"/>
              </w:rPr>
            </w:pPr>
            <w:r>
              <w:rPr>
                <w:rFonts w:ascii="Arial Narrow" w:hAnsi="Arial Narrow"/>
                <w:sz w:val="18"/>
                <w:szCs w:val="18"/>
              </w:rPr>
              <w:t>1,9 %</w:t>
            </w:r>
          </w:p>
        </w:tc>
        <w:tc>
          <w:tcPr>
            <w:tcW w:w="872" w:type="dxa"/>
            <w:vAlign w:val="center"/>
          </w:tcPr>
          <w:p w14:paraId="598DC84B" w14:textId="77777777" w:rsidR="00C2607F" w:rsidRDefault="00C2607F" w:rsidP="00C2607F">
            <w:pPr>
              <w:jc w:val="center"/>
              <w:rPr>
                <w:rFonts w:ascii="Arial Narrow" w:hAnsi="Arial Narrow"/>
                <w:sz w:val="18"/>
                <w:szCs w:val="18"/>
              </w:rPr>
            </w:pPr>
            <w:r>
              <w:rPr>
                <w:rFonts w:ascii="Arial Narrow" w:hAnsi="Arial Narrow"/>
                <w:sz w:val="18"/>
                <w:szCs w:val="18"/>
              </w:rPr>
              <w:t>1,9 %</w:t>
            </w:r>
          </w:p>
        </w:tc>
        <w:tc>
          <w:tcPr>
            <w:tcW w:w="873" w:type="dxa"/>
            <w:vAlign w:val="center"/>
          </w:tcPr>
          <w:p w14:paraId="2F49D08B" w14:textId="77777777" w:rsidR="00C2607F" w:rsidRDefault="00C2607F" w:rsidP="00C2607F">
            <w:pPr>
              <w:jc w:val="center"/>
              <w:rPr>
                <w:rFonts w:ascii="Arial Narrow" w:hAnsi="Arial Narrow"/>
                <w:sz w:val="18"/>
                <w:szCs w:val="18"/>
              </w:rPr>
            </w:pPr>
            <w:r>
              <w:rPr>
                <w:rFonts w:ascii="Arial Narrow" w:hAnsi="Arial Narrow"/>
                <w:sz w:val="18"/>
                <w:szCs w:val="18"/>
              </w:rPr>
              <w:t>2,0 %</w:t>
            </w:r>
          </w:p>
        </w:tc>
        <w:tc>
          <w:tcPr>
            <w:tcW w:w="873" w:type="dxa"/>
            <w:vAlign w:val="center"/>
          </w:tcPr>
          <w:p w14:paraId="3DD24288" w14:textId="77777777" w:rsidR="00C2607F" w:rsidRDefault="00C2607F" w:rsidP="00C2607F">
            <w:pPr>
              <w:jc w:val="center"/>
              <w:rPr>
                <w:rFonts w:ascii="Arial Narrow" w:hAnsi="Arial Narrow"/>
                <w:sz w:val="18"/>
                <w:szCs w:val="18"/>
              </w:rPr>
            </w:pPr>
            <w:r>
              <w:rPr>
                <w:rFonts w:ascii="Arial Narrow" w:hAnsi="Arial Narrow"/>
                <w:sz w:val="18"/>
                <w:szCs w:val="18"/>
              </w:rPr>
              <w:t>2,4 %</w:t>
            </w:r>
          </w:p>
        </w:tc>
        <w:tc>
          <w:tcPr>
            <w:tcW w:w="872" w:type="dxa"/>
            <w:vAlign w:val="center"/>
          </w:tcPr>
          <w:p w14:paraId="464F33AC" w14:textId="77777777" w:rsidR="00C2607F" w:rsidRPr="00F67FC5" w:rsidRDefault="00C2607F" w:rsidP="00C2607F">
            <w:pPr>
              <w:jc w:val="center"/>
              <w:rPr>
                <w:rFonts w:ascii="Arial Narrow" w:hAnsi="Arial Narrow"/>
                <w:sz w:val="18"/>
                <w:szCs w:val="18"/>
              </w:rPr>
            </w:pPr>
            <w:r>
              <w:rPr>
                <w:rFonts w:ascii="Arial Narrow" w:hAnsi="Arial Narrow"/>
                <w:sz w:val="18"/>
                <w:szCs w:val="18"/>
              </w:rPr>
              <w:t>3,0 %</w:t>
            </w:r>
          </w:p>
        </w:tc>
        <w:tc>
          <w:tcPr>
            <w:tcW w:w="873" w:type="dxa"/>
            <w:vAlign w:val="center"/>
          </w:tcPr>
          <w:p w14:paraId="677E2646" w14:textId="77777777" w:rsidR="00C2607F" w:rsidRPr="00F67FC5" w:rsidRDefault="00C2607F" w:rsidP="00C2607F">
            <w:pPr>
              <w:jc w:val="center"/>
              <w:rPr>
                <w:rFonts w:ascii="Arial Narrow" w:hAnsi="Arial Narrow"/>
                <w:sz w:val="18"/>
                <w:szCs w:val="18"/>
              </w:rPr>
            </w:pPr>
            <w:r>
              <w:rPr>
                <w:rFonts w:ascii="Arial Narrow" w:hAnsi="Arial Narrow"/>
                <w:sz w:val="18"/>
                <w:szCs w:val="18"/>
              </w:rPr>
              <w:t>3,9 %</w:t>
            </w:r>
          </w:p>
        </w:tc>
        <w:tc>
          <w:tcPr>
            <w:tcW w:w="873" w:type="dxa"/>
            <w:vAlign w:val="center"/>
          </w:tcPr>
          <w:p w14:paraId="6D8F2EA2" w14:textId="77777777" w:rsidR="00C2607F" w:rsidRPr="00C2607F" w:rsidRDefault="00C2607F" w:rsidP="00C2607F">
            <w:pPr>
              <w:jc w:val="center"/>
              <w:rPr>
                <w:rFonts w:ascii="Arial Narrow" w:hAnsi="Arial Narrow"/>
                <w:sz w:val="18"/>
                <w:szCs w:val="18"/>
              </w:rPr>
            </w:pPr>
            <w:r w:rsidRPr="00C2607F">
              <w:rPr>
                <w:rFonts w:ascii="Arial Narrow" w:hAnsi="Arial Narrow"/>
                <w:sz w:val="18"/>
                <w:szCs w:val="18"/>
              </w:rPr>
              <w:t>4,3 %</w:t>
            </w:r>
          </w:p>
        </w:tc>
        <w:tc>
          <w:tcPr>
            <w:tcW w:w="811" w:type="dxa"/>
            <w:vAlign w:val="center"/>
          </w:tcPr>
          <w:p w14:paraId="2F189A74" w14:textId="09C7ED9C" w:rsidR="00C2607F" w:rsidRDefault="00C2607F" w:rsidP="00C2607F">
            <w:pPr>
              <w:jc w:val="center"/>
              <w:rPr>
                <w:rFonts w:ascii="Arial Narrow" w:hAnsi="Arial Narrow"/>
                <w:b/>
                <w:bCs/>
                <w:color w:val="C00000"/>
                <w:sz w:val="18"/>
                <w:szCs w:val="18"/>
              </w:rPr>
            </w:pPr>
            <w:r>
              <w:rPr>
                <w:rFonts w:ascii="Arial Narrow" w:hAnsi="Arial Narrow"/>
                <w:b/>
                <w:bCs/>
                <w:color w:val="C00000"/>
                <w:sz w:val="18"/>
                <w:szCs w:val="18"/>
              </w:rPr>
              <w:t>8,2 %</w:t>
            </w:r>
          </w:p>
        </w:tc>
      </w:tr>
      <w:tr w:rsidR="00C2607F" w:rsidRPr="0054620D" w14:paraId="66A0C675" w14:textId="5DEA2450" w:rsidTr="00C2607F">
        <w:trPr>
          <w:trHeight w:val="489"/>
        </w:trPr>
        <w:tc>
          <w:tcPr>
            <w:tcW w:w="1160" w:type="dxa"/>
            <w:shd w:val="clear" w:color="auto" w:fill="D9E2F3" w:themeFill="accent1" w:themeFillTint="33"/>
            <w:vAlign w:val="center"/>
          </w:tcPr>
          <w:p w14:paraId="09997576" w14:textId="77777777" w:rsidR="00C2607F" w:rsidRPr="0054620D" w:rsidRDefault="00C2607F" w:rsidP="00E903BA">
            <w:pPr>
              <w:jc w:val="center"/>
              <w:rPr>
                <w:rFonts w:ascii="Arial Narrow" w:hAnsi="Arial Narrow"/>
                <w:b/>
                <w:bCs/>
                <w:sz w:val="18"/>
                <w:szCs w:val="18"/>
              </w:rPr>
            </w:pPr>
            <w:r w:rsidRPr="0054620D">
              <w:rPr>
                <w:rFonts w:ascii="Arial Narrow" w:hAnsi="Arial Narrow"/>
                <w:b/>
                <w:bCs/>
                <w:sz w:val="18"/>
                <w:szCs w:val="18"/>
              </w:rPr>
              <w:t>ORP Tišnov</w:t>
            </w:r>
          </w:p>
        </w:tc>
        <w:tc>
          <w:tcPr>
            <w:tcW w:w="873" w:type="dxa"/>
            <w:vAlign w:val="center"/>
          </w:tcPr>
          <w:p w14:paraId="5F3BE72A" w14:textId="77777777" w:rsidR="00C2607F" w:rsidRPr="00F67FC5" w:rsidRDefault="00C2607F" w:rsidP="00C2607F">
            <w:pPr>
              <w:jc w:val="center"/>
              <w:rPr>
                <w:rFonts w:ascii="Arial Narrow" w:hAnsi="Arial Narrow"/>
                <w:sz w:val="18"/>
                <w:szCs w:val="18"/>
              </w:rPr>
            </w:pPr>
            <w:r>
              <w:rPr>
                <w:rFonts w:ascii="Arial Narrow" w:hAnsi="Arial Narrow"/>
                <w:sz w:val="18"/>
                <w:szCs w:val="18"/>
              </w:rPr>
              <w:t>1,2 %</w:t>
            </w:r>
          </w:p>
        </w:tc>
        <w:tc>
          <w:tcPr>
            <w:tcW w:w="873" w:type="dxa"/>
            <w:vAlign w:val="center"/>
          </w:tcPr>
          <w:p w14:paraId="1820120C" w14:textId="77777777" w:rsidR="00C2607F" w:rsidRPr="00F67FC5" w:rsidRDefault="00C2607F" w:rsidP="00C2607F">
            <w:pPr>
              <w:jc w:val="center"/>
              <w:rPr>
                <w:rFonts w:ascii="Arial Narrow" w:hAnsi="Arial Narrow"/>
                <w:sz w:val="18"/>
                <w:szCs w:val="18"/>
              </w:rPr>
            </w:pPr>
            <w:r>
              <w:rPr>
                <w:rFonts w:ascii="Arial Narrow" w:hAnsi="Arial Narrow"/>
                <w:sz w:val="18"/>
                <w:szCs w:val="18"/>
              </w:rPr>
              <w:t>1,2 %</w:t>
            </w:r>
          </w:p>
        </w:tc>
        <w:tc>
          <w:tcPr>
            <w:tcW w:w="872" w:type="dxa"/>
            <w:vAlign w:val="center"/>
          </w:tcPr>
          <w:p w14:paraId="21611D65" w14:textId="77777777" w:rsidR="00C2607F" w:rsidRPr="00F67FC5" w:rsidRDefault="00C2607F" w:rsidP="00C2607F">
            <w:pPr>
              <w:jc w:val="center"/>
              <w:rPr>
                <w:rFonts w:ascii="Arial Narrow" w:hAnsi="Arial Narrow"/>
                <w:sz w:val="18"/>
                <w:szCs w:val="18"/>
              </w:rPr>
            </w:pPr>
            <w:r>
              <w:rPr>
                <w:rFonts w:ascii="Arial Narrow" w:hAnsi="Arial Narrow"/>
                <w:sz w:val="18"/>
                <w:szCs w:val="18"/>
              </w:rPr>
              <w:t>1,2 %</w:t>
            </w:r>
          </w:p>
        </w:tc>
        <w:tc>
          <w:tcPr>
            <w:tcW w:w="873" w:type="dxa"/>
            <w:vAlign w:val="center"/>
          </w:tcPr>
          <w:p w14:paraId="25B166A9" w14:textId="77777777" w:rsidR="00C2607F" w:rsidRPr="00F67FC5" w:rsidRDefault="00C2607F" w:rsidP="00C2607F">
            <w:pPr>
              <w:jc w:val="center"/>
              <w:rPr>
                <w:rFonts w:ascii="Arial Narrow" w:hAnsi="Arial Narrow"/>
                <w:sz w:val="18"/>
                <w:szCs w:val="18"/>
              </w:rPr>
            </w:pPr>
            <w:r>
              <w:rPr>
                <w:rFonts w:ascii="Arial Narrow" w:hAnsi="Arial Narrow"/>
                <w:sz w:val="18"/>
                <w:szCs w:val="18"/>
              </w:rPr>
              <w:t>1,3 %</w:t>
            </w:r>
          </w:p>
        </w:tc>
        <w:tc>
          <w:tcPr>
            <w:tcW w:w="873" w:type="dxa"/>
            <w:vAlign w:val="center"/>
          </w:tcPr>
          <w:p w14:paraId="21BC395D" w14:textId="77777777" w:rsidR="00C2607F" w:rsidRPr="00F67FC5" w:rsidRDefault="00C2607F" w:rsidP="00C2607F">
            <w:pPr>
              <w:jc w:val="center"/>
              <w:rPr>
                <w:rFonts w:ascii="Arial Narrow" w:hAnsi="Arial Narrow"/>
                <w:sz w:val="18"/>
                <w:szCs w:val="18"/>
              </w:rPr>
            </w:pPr>
            <w:r>
              <w:rPr>
                <w:rFonts w:ascii="Arial Narrow" w:hAnsi="Arial Narrow"/>
                <w:sz w:val="18"/>
                <w:szCs w:val="18"/>
              </w:rPr>
              <w:t>1,3 %</w:t>
            </w:r>
          </w:p>
        </w:tc>
        <w:tc>
          <w:tcPr>
            <w:tcW w:w="872" w:type="dxa"/>
            <w:vAlign w:val="center"/>
          </w:tcPr>
          <w:p w14:paraId="4CF161B4" w14:textId="77777777" w:rsidR="00C2607F" w:rsidRPr="00F67FC5" w:rsidRDefault="00C2607F" w:rsidP="00C2607F">
            <w:pPr>
              <w:jc w:val="center"/>
              <w:rPr>
                <w:rFonts w:ascii="Arial Narrow" w:hAnsi="Arial Narrow"/>
                <w:sz w:val="18"/>
                <w:szCs w:val="18"/>
              </w:rPr>
            </w:pPr>
            <w:r>
              <w:rPr>
                <w:rFonts w:ascii="Arial Narrow" w:hAnsi="Arial Narrow"/>
                <w:sz w:val="18"/>
                <w:szCs w:val="18"/>
              </w:rPr>
              <w:t>1,4 %</w:t>
            </w:r>
          </w:p>
        </w:tc>
        <w:tc>
          <w:tcPr>
            <w:tcW w:w="873" w:type="dxa"/>
            <w:vAlign w:val="center"/>
          </w:tcPr>
          <w:p w14:paraId="633E03B7" w14:textId="77777777" w:rsidR="00C2607F" w:rsidRPr="00F67FC5" w:rsidRDefault="00C2607F" w:rsidP="00C2607F">
            <w:pPr>
              <w:jc w:val="center"/>
              <w:rPr>
                <w:rFonts w:ascii="Arial Narrow" w:hAnsi="Arial Narrow"/>
                <w:sz w:val="18"/>
                <w:szCs w:val="18"/>
              </w:rPr>
            </w:pPr>
            <w:r>
              <w:rPr>
                <w:rFonts w:ascii="Arial Narrow" w:hAnsi="Arial Narrow"/>
                <w:sz w:val="18"/>
                <w:szCs w:val="18"/>
              </w:rPr>
              <w:t>1,5 %</w:t>
            </w:r>
          </w:p>
        </w:tc>
        <w:tc>
          <w:tcPr>
            <w:tcW w:w="873" w:type="dxa"/>
            <w:vAlign w:val="center"/>
          </w:tcPr>
          <w:p w14:paraId="5D216EB4" w14:textId="77777777" w:rsidR="00C2607F" w:rsidRPr="00C2607F" w:rsidRDefault="00C2607F" w:rsidP="00C2607F">
            <w:pPr>
              <w:jc w:val="center"/>
              <w:rPr>
                <w:rFonts w:ascii="Arial Narrow" w:hAnsi="Arial Narrow"/>
                <w:sz w:val="18"/>
                <w:szCs w:val="18"/>
              </w:rPr>
            </w:pPr>
            <w:r w:rsidRPr="00C2607F">
              <w:rPr>
                <w:rFonts w:ascii="Arial Narrow" w:hAnsi="Arial Narrow"/>
                <w:sz w:val="18"/>
                <w:szCs w:val="18"/>
              </w:rPr>
              <w:t>1,7 %</w:t>
            </w:r>
          </w:p>
        </w:tc>
        <w:tc>
          <w:tcPr>
            <w:tcW w:w="811" w:type="dxa"/>
            <w:vAlign w:val="center"/>
          </w:tcPr>
          <w:p w14:paraId="7A7FF889" w14:textId="7D6DF2F1" w:rsidR="00C2607F" w:rsidRDefault="00C2607F" w:rsidP="00C2607F">
            <w:pPr>
              <w:jc w:val="center"/>
              <w:rPr>
                <w:rFonts w:ascii="Arial Narrow" w:hAnsi="Arial Narrow"/>
                <w:b/>
                <w:bCs/>
                <w:color w:val="C00000"/>
                <w:sz w:val="18"/>
                <w:szCs w:val="18"/>
              </w:rPr>
            </w:pPr>
            <w:r>
              <w:rPr>
                <w:rFonts w:ascii="Arial Narrow" w:hAnsi="Arial Narrow"/>
                <w:b/>
                <w:bCs/>
                <w:color w:val="C00000"/>
                <w:sz w:val="18"/>
                <w:szCs w:val="18"/>
              </w:rPr>
              <w:t>4,9 %</w:t>
            </w:r>
          </w:p>
        </w:tc>
      </w:tr>
      <w:tr w:rsidR="00C2607F" w:rsidRPr="0054620D" w14:paraId="198B66B4" w14:textId="1A6E9A0E" w:rsidTr="00C2607F">
        <w:trPr>
          <w:trHeight w:val="489"/>
        </w:trPr>
        <w:tc>
          <w:tcPr>
            <w:tcW w:w="1160" w:type="dxa"/>
            <w:shd w:val="clear" w:color="auto" w:fill="D9E2F3" w:themeFill="accent1" w:themeFillTint="33"/>
            <w:vAlign w:val="center"/>
          </w:tcPr>
          <w:p w14:paraId="40EA52E4" w14:textId="77777777" w:rsidR="00C2607F" w:rsidRPr="0054620D" w:rsidRDefault="00C2607F" w:rsidP="00E903BA">
            <w:pPr>
              <w:jc w:val="center"/>
              <w:rPr>
                <w:rFonts w:ascii="Arial Narrow" w:hAnsi="Arial Narrow"/>
                <w:b/>
                <w:bCs/>
                <w:sz w:val="18"/>
                <w:szCs w:val="18"/>
              </w:rPr>
            </w:pPr>
            <w:r w:rsidRPr="0054620D">
              <w:rPr>
                <w:rFonts w:ascii="Arial Narrow" w:hAnsi="Arial Narrow"/>
                <w:b/>
                <w:bCs/>
                <w:sz w:val="18"/>
                <w:szCs w:val="18"/>
              </w:rPr>
              <w:t>ORP Vyškov</w:t>
            </w:r>
          </w:p>
        </w:tc>
        <w:tc>
          <w:tcPr>
            <w:tcW w:w="873" w:type="dxa"/>
            <w:vAlign w:val="center"/>
          </w:tcPr>
          <w:p w14:paraId="787ACD3E" w14:textId="77777777" w:rsidR="00C2607F" w:rsidRPr="00F67FC5" w:rsidRDefault="00C2607F" w:rsidP="00C2607F">
            <w:pPr>
              <w:jc w:val="center"/>
              <w:rPr>
                <w:rFonts w:ascii="Arial Narrow" w:hAnsi="Arial Narrow"/>
                <w:sz w:val="18"/>
                <w:szCs w:val="18"/>
              </w:rPr>
            </w:pPr>
            <w:r>
              <w:rPr>
                <w:rFonts w:ascii="Arial Narrow" w:hAnsi="Arial Narrow"/>
                <w:sz w:val="18"/>
                <w:szCs w:val="18"/>
              </w:rPr>
              <w:t>2,1 %</w:t>
            </w:r>
          </w:p>
        </w:tc>
        <w:tc>
          <w:tcPr>
            <w:tcW w:w="873" w:type="dxa"/>
            <w:vAlign w:val="center"/>
          </w:tcPr>
          <w:p w14:paraId="1A20AA41" w14:textId="77777777" w:rsidR="00C2607F" w:rsidRPr="00F67FC5" w:rsidRDefault="00C2607F" w:rsidP="00C2607F">
            <w:pPr>
              <w:jc w:val="center"/>
              <w:rPr>
                <w:rFonts w:ascii="Arial Narrow" w:hAnsi="Arial Narrow"/>
                <w:sz w:val="18"/>
                <w:szCs w:val="18"/>
              </w:rPr>
            </w:pPr>
            <w:r>
              <w:rPr>
                <w:rFonts w:ascii="Arial Narrow" w:hAnsi="Arial Narrow"/>
                <w:sz w:val="18"/>
                <w:szCs w:val="18"/>
              </w:rPr>
              <w:t>2,1 %</w:t>
            </w:r>
          </w:p>
        </w:tc>
        <w:tc>
          <w:tcPr>
            <w:tcW w:w="872" w:type="dxa"/>
            <w:vAlign w:val="center"/>
          </w:tcPr>
          <w:p w14:paraId="72303449" w14:textId="77777777" w:rsidR="00C2607F" w:rsidRPr="00F67FC5" w:rsidRDefault="00C2607F" w:rsidP="00C2607F">
            <w:pPr>
              <w:jc w:val="center"/>
              <w:rPr>
                <w:rFonts w:ascii="Arial Narrow" w:hAnsi="Arial Narrow"/>
                <w:sz w:val="18"/>
                <w:szCs w:val="18"/>
              </w:rPr>
            </w:pPr>
            <w:r>
              <w:rPr>
                <w:rFonts w:ascii="Arial Narrow" w:hAnsi="Arial Narrow"/>
                <w:sz w:val="18"/>
                <w:szCs w:val="18"/>
              </w:rPr>
              <w:t>2,3 %</w:t>
            </w:r>
          </w:p>
        </w:tc>
        <w:tc>
          <w:tcPr>
            <w:tcW w:w="873" w:type="dxa"/>
            <w:vAlign w:val="center"/>
          </w:tcPr>
          <w:p w14:paraId="3E52C8F5" w14:textId="77777777" w:rsidR="00C2607F" w:rsidRPr="00F67FC5" w:rsidRDefault="00C2607F" w:rsidP="00C2607F">
            <w:pPr>
              <w:jc w:val="center"/>
              <w:rPr>
                <w:rFonts w:ascii="Arial Narrow" w:hAnsi="Arial Narrow"/>
                <w:sz w:val="18"/>
                <w:szCs w:val="18"/>
              </w:rPr>
            </w:pPr>
            <w:r>
              <w:rPr>
                <w:rFonts w:ascii="Arial Narrow" w:hAnsi="Arial Narrow"/>
                <w:sz w:val="18"/>
                <w:szCs w:val="18"/>
              </w:rPr>
              <w:t>2,2 %</w:t>
            </w:r>
          </w:p>
        </w:tc>
        <w:tc>
          <w:tcPr>
            <w:tcW w:w="873" w:type="dxa"/>
            <w:vAlign w:val="center"/>
          </w:tcPr>
          <w:p w14:paraId="08F44356" w14:textId="77777777" w:rsidR="00C2607F" w:rsidRPr="00F67FC5" w:rsidRDefault="00C2607F" w:rsidP="00C2607F">
            <w:pPr>
              <w:jc w:val="center"/>
              <w:rPr>
                <w:rFonts w:ascii="Arial Narrow" w:hAnsi="Arial Narrow"/>
                <w:sz w:val="18"/>
                <w:szCs w:val="18"/>
              </w:rPr>
            </w:pPr>
            <w:r>
              <w:rPr>
                <w:rFonts w:ascii="Arial Narrow" w:hAnsi="Arial Narrow"/>
                <w:sz w:val="18"/>
                <w:szCs w:val="18"/>
              </w:rPr>
              <w:t>2,3 %</w:t>
            </w:r>
          </w:p>
        </w:tc>
        <w:tc>
          <w:tcPr>
            <w:tcW w:w="872" w:type="dxa"/>
            <w:vAlign w:val="center"/>
          </w:tcPr>
          <w:p w14:paraId="1DC7F60A" w14:textId="77777777" w:rsidR="00C2607F" w:rsidRPr="00F67FC5" w:rsidRDefault="00C2607F" w:rsidP="00C2607F">
            <w:pPr>
              <w:jc w:val="center"/>
              <w:rPr>
                <w:rFonts w:ascii="Arial Narrow" w:hAnsi="Arial Narrow"/>
                <w:sz w:val="18"/>
                <w:szCs w:val="18"/>
              </w:rPr>
            </w:pPr>
            <w:r>
              <w:rPr>
                <w:rFonts w:ascii="Arial Narrow" w:hAnsi="Arial Narrow"/>
                <w:sz w:val="18"/>
                <w:szCs w:val="18"/>
              </w:rPr>
              <w:t>2,5 %</w:t>
            </w:r>
          </w:p>
        </w:tc>
        <w:tc>
          <w:tcPr>
            <w:tcW w:w="873" w:type="dxa"/>
            <w:vAlign w:val="center"/>
          </w:tcPr>
          <w:p w14:paraId="1B368F2A" w14:textId="77777777" w:rsidR="00C2607F" w:rsidRPr="00F67FC5" w:rsidRDefault="00C2607F" w:rsidP="00C2607F">
            <w:pPr>
              <w:jc w:val="center"/>
              <w:rPr>
                <w:rFonts w:ascii="Arial Narrow" w:hAnsi="Arial Narrow"/>
                <w:sz w:val="18"/>
                <w:szCs w:val="18"/>
              </w:rPr>
            </w:pPr>
            <w:r>
              <w:rPr>
                <w:rFonts w:ascii="Arial Narrow" w:hAnsi="Arial Narrow"/>
                <w:sz w:val="18"/>
                <w:szCs w:val="18"/>
              </w:rPr>
              <w:t>2,7 %</w:t>
            </w:r>
          </w:p>
        </w:tc>
        <w:tc>
          <w:tcPr>
            <w:tcW w:w="873" w:type="dxa"/>
            <w:vAlign w:val="center"/>
          </w:tcPr>
          <w:p w14:paraId="171EF436" w14:textId="77777777" w:rsidR="00C2607F" w:rsidRPr="00C2607F" w:rsidRDefault="00C2607F" w:rsidP="00C2607F">
            <w:pPr>
              <w:jc w:val="center"/>
              <w:rPr>
                <w:rFonts w:ascii="Arial Narrow" w:hAnsi="Arial Narrow"/>
                <w:sz w:val="18"/>
                <w:szCs w:val="18"/>
              </w:rPr>
            </w:pPr>
            <w:r w:rsidRPr="00C2607F">
              <w:rPr>
                <w:rFonts w:ascii="Arial Narrow" w:hAnsi="Arial Narrow"/>
                <w:sz w:val="18"/>
                <w:szCs w:val="18"/>
              </w:rPr>
              <w:t>2,9 %</w:t>
            </w:r>
          </w:p>
        </w:tc>
        <w:tc>
          <w:tcPr>
            <w:tcW w:w="811" w:type="dxa"/>
            <w:vAlign w:val="center"/>
          </w:tcPr>
          <w:p w14:paraId="2018CF59" w14:textId="16EA03D3" w:rsidR="00C2607F" w:rsidRDefault="00C2607F" w:rsidP="00C2607F">
            <w:pPr>
              <w:jc w:val="center"/>
              <w:rPr>
                <w:rFonts w:ascii="Arial Narrow" w:hAnsi="Arial Narrow"/>
                <w:b/>
                <w:bCs/>
                <w:color w:val="C00000"/>
                <w:sz w:val="18"/>
                <w:szCs w:val="18"/>
              </w:rPr>
            </w:pPr>
            <w:r>
              <w:rPr>
                <w:rFonts w:ascii="Arial Narrow" w:hAnsi="Arial Narrow"/>
                <w:b/>
                <w:bCs/>
                <w:color w:val="C00000"/>
                <w:sz w:val="18"/>
                <w:szCs w:val="18"/>
              </w:rPr>
              <w:t>5,3 %</w:t>
            </w:r>
          </w:p>
        </w:tc>
      </w:tr>
    </w:tbl>
    <w:p w14:paraId="177E3E1D" w14:textId="444E792F" w:rsidR="00E903BA" w:rsidRDefault="00CF312D" w:rsidP="00732A00">
      <w:pPr>
        <w:rPr>
          <w:rFonts w:ascii="Arial Narrow" w:hAnsi="Arial Narrow"/>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Pr>
          <w:rFonts w:ascii="Arial Narrow" w:hAnsi="Arial Narrow"/>
          <w:sz w:val="20"/>
          <w:szCs w:val="20"/>
        </w:rPr>
        <w:tab/>
        <w:t xml:space="preserve">Tabulka: AUGUR </w:t>
      </w:r>
      <w:proofErr w:type="spellStart"/>
      <w:r>
        <w:rPr>
          <w:rFonts w:ascii="Arial Narrow" w:hAnsi="Arial Narrow"/>
          <w:sz w:val="20"/>
          <w:szCs w:val="20"/>
        </w:rPr>
        <w:t>Consulting</w:t>
      </w:r>
      <w:proofErr w:type="spellEnd"/>
      <w:r>
        <w:rPr>
          <w:rFonts w:ascii="Arial Narrow" w:hAnsi="Arial Narrow"/>
          <w:sz w:val="20"/>
          <w:szCs w:val="20"/>
        </w:rPr>
        <w:t xml:space="preserve"> s.r.o.</w:t>
      </w:r>
    </w:p>
    <w:p w14:paraId="60A90639" w14:textId="4F60B503" w:rsidR="00E903BA" w:rsidRDefault="00E903BA" w:rsidP="00732A00">
      <w:pPr>
        <w:rPr>
          <w:rFonts w:ascii="Arial Narrow" w:hAnsi="Arial Narrow"/>
        </w:rPr>
      </w:pPr>
    </w:p>
    <w:p w14:paraId="4C0D1B0A" w14:textId="2DD33E81" w:rsidR="00E903BA" w:rsidRDefault="00E903BA" w:rsidP="00732A00">
      <w:pPr>
        <w:rPr>
          <w:rFonts w:ascii="Arial Narrow" w:hAnsi="Arial Narrow"/>
        </w:rPr>
      </w:pPr>
    </w:p>
    <w:p w14:paraId="1C11959C" w14:textId="73252636" w:rsidR="00E903BA" w:rsidRDefault="00E903BA" w:rsidP="00732A00">
      <w:pPr>
        <w:rPr>
          <w:rFonts w:ascii="Arial Narrow" w:hAnsi="Arial Narrow"/>
        </w:rPr>
      </w:pPr>
    </w:p>
    <w:p w14:paraId="7337CC0B" w14:textId="3E9BA786" w:rsidR="00923B27" w:rsidRDefault="00923B27" w:rsidP="00732A00">
      <w:pPr>
        <w:rPr>
          <w:rFonts w:ascii="Arial Narrow" w:hAnsi="Arial Narrow"/>
        </w:rPr>
      </w:pPr>
    </w:p>
    <w:p w14:paraId="74769E50" w14:textId="5C26EFEA" w:rsidR="00923B27" w:rsidRDefault="00923B27" w:rsidP="00732A00">
      <w:pPr>
        <w:rPr>
          <w:rFonts w:ascii="Arial Narrow" w:hAnsi="Arial Narrow"/>
        </w:rPr>
      </w:pPr>
    </w:p>
    <w:p w14:paraId="5CCED2AD" w14:textId="65429135" w:rsidR="00923B27" w:rsidRDefault="00923B27" w:rsidP="00732A00">
      <w:pPr>
        <w:rPr>
          <w:rFonts w:ascii="Arial Narrow" w:hAnsi="Arial Narrow"/>
        </w:rPr>
      </w:pPr>
    </w:p>
    <w:p w14:paraId="2952C703" w14:textId="332BFDEE" w:rsidR="00EB29DA" w:rsidRDefault="00923B27" w:rsidP="00923B27">
      <w:pPr>
        <w:spacing w:after="120" w:line="276" w:lineRule="auto"/>
        <w:jc w:val="both"/>
        <w:rPr>
          <w:rFonts w:ascii="Arial Narrow" w:hAnsi="Arial Narrow"/>
        </w:rPr>
      </w:pPr>
      <w:r w:rsidRPr="000378BA">
        <w:rPr>
          <w:rFonts w:ascii="Arial Narrow" w:hAnsi="Arial Narrow"/>
        </w:rPr>
        <w:lastRenderedPageBreak/>
        <w:t xml:space="preserve">Podíváme-li se na vybraná ORP Jihomoravského kraje z hlediska </w:t>
      </w:r>
      <w:r w:rsidRPr="005B0185">
        <w:rPr>
          <w:rFonts w:ascii="Arial Narrow" w:hAnsi="Arial Narrow"/>
          <w:b/>
          <w:bCs/>
        </w:rPr>
        <w:t>vývoje podílu</w:t>
      </w:r>
      <w:r w:rsidR="00EB29DA" w:rsidRPr="005B0185">
        <w:rPr>
          <w:rFonts w:ascii="Arial Narrow" w:hAnsi="Arial Narrow"/>
          <w:b/>
          <w:bCs/>
        </w:rPr>
        <w:t xml:space="preserve"> demografických skupin v rámci</w:t>
      </w:r>
      <w:r w:rsidRPr="005B0185">
        <w:rPr>
          <w:rFonts w:ascii="Arial Narrow" w:hAnsi="Arial Narrow"/>
          <w:b/>
          <w:bCs/>
        </w:rPr>
        <w:t xml:space="preserve"> osob s jinou než českou státní příslušností v letech 20</w:t>
      </w:r>
      <w:r w:rsidR="00EB29DA" w:rsidRPr="005B0185">
        <w:rPr>
          <w:rFonts w:ascii="Arial Narrow" w:hAnsi="Arial Narrow"/>
          <w:b/>
          <w:bCs/>
        </w:rPr>
        <w:t>22</w:t>
      </w:r>
      <w:r w:rsidRPr="005B0185">
        <w:rPr>
          <w:rFonts w:ascii="Arial Narrow" w:hAnsi="Arial Narrow"/>
          <w:b/>
          <w:bCs/>
        </w:rPr>
        <w:t>-2023</w:t>
      </w:r>
      <w:r w:rsidRPr="000378BA">
        <w:rPr>
          <w:rStyle w:val="Znakapoznpodarou"/>
          <w:rFonts w:ascii="Arial Narrow" w:hAnsi="Arial Narrow"/>
        </w:rPr>
        <w:footnoteReference w:id="109"/>
      </w:r>
      <w:r w:rsidRPr="000378BA">
        <w:rPr>
          <w:rFonts w:ascii="Arial Narrow" w:hAnsi="Arial Narrow"/>
        </w:rPr>
        <w:t>,</w:t>
      </w:r>
      <w:r w:rsidR="00EB29DA">
        <w:rPr>
          <w:rFonts w:ascii="Arial Narrow" w:hAnsi="Arial Narrow"/>
        </w:rPr>
        <w:t xml:space="preserve"> vidíme změny v podílu pohlaví. Zatímco v roce 2022 převažoval podíl mužů nad podílem žen ve všech vybraných ORP kromě ORP Kuřim, v roce 2023 se trend otočil, a především z důvodu demografických charakteristik ukrajinských </w:t>
      </w:r>
      <w:proofErr w:type="spellStart"/>
      <w:r w:rsidR="007A5B21">
        <w:rPr>
          <w:rFonts w:ascii="Arial Narrow" w:hAnsi="Arial Narrow"/>
        </w:rPr>
        <w:t>občanů</w:t>
      </w:r>
      <w:r w:rsidR="00EB29DA">
        <w:rPr>
          <w:rFonts w:ascii="Arial Narrow" w:hAnsi="Arial Narrow"/>
        </w:rPr>
        <w:t>ů</w:t>
      </w:r>
      <w:proofErr w:type="spellEnd"/>
      <w:r w:rsidR="00EB29DA">
        <w:rPr>
          <w:rFonts w:ascii="Arial Narrow" w:hAnsi="Arial Narrow"/>
        </w:rPr>
        <w:t>, kteří do Jihomoravského kraje přišli v průběhu roku 2022, byla k 1. 1. 2023 evidována téměř ve všech vybraných ORP převaha podílu žen nad podílem mužů. Největší rozdíl mezi podílem žen a mužů byl k</w:t>
      </w:r>
      <w:r w:rsidR="00127FC6">
        <w:rPr>
          <w:rFonts w:ascii="Arial Narrow" w:hAnsi="Arial Narrow"/>
        </w:rPr>
        <w:t> 1. 1. 2023</w:t>
      </w:r>
      <w:r w:rsidR="00EB29DA">
        <w:rPr>
          <w:rFonts w:ascii="Arial Narrow" w:hAnsi="Arial Narrow"/>
        </w:rPr>
        <w:t xml:space="preserve"> v ORP Břeclav (o 19,2 % více žen) a v ORP Kuřim (o 16,4 % více žen). Pouze v ORP Brno stále převažoval podíl mužů nad podílem žen, nicméně již pouze o 1,4 %. </w:t>
      </w:r>
    </w:p>
    <w:p w14:paraId="30E593CE" w14:textId="0EAC1B67" w:rsidR="00923B27" w:rsidRPr="00664139" w:rsidRDefault="00923B27" w:rsidP="00127FC6">
      <w:pPr>
        <w:spacing w:after="120" w:line="276" w:lineRule="auto"/>
        <w:jc w:val="both"/>
        <w:rPr>
          <w:rFonts w:ascii="Arial Narrow" w:hAnsi="Arial Narrow"/>
        </w:rPr>
      </w:pPr>
      <w:r>
        <w:rPr>
          <w:rFonts w:ascii="Arial Narrow" w:hAnsi="Arial Narrow"/>
        </w:rPr>
        <w:t xml:space="preserve">V průběhu roku 2022 se především v důsledku migrační vlny ukrajinských </w:t>
      </w:r>
      <w:r w:rsidR="007A5B21">
        <w:rPr>
          <w:rFonts w:ascii="Arial Narrow" w:hAnsi="Arial Narrow"/>
        </w:rPr>
        <w:t>státních příslušníků</w:t>
      </w:r>
      <w:r>
        <w:rPr>
          <w:rFonts w:ascii="Arial Narrow" w:hAnsi="Arial Narrow"/>
        </w:rPr>
        <w:t xml:space="preserve"> výrazně změnily demografické charakteristiky všech vybraných ORP Jihomoravského kraje</w:t>
      </w:r>
      <w:r w:rsidR="00127FC6">
        <w:rPr>
          <w:rFonts w:ascii="Arial Narrow" w:hAnsi="Arial Narrow"/>
        </w:rPr>
        <w:t xml:space="preserve"> také v souvislosti s </w:t>
      </w:r>
      <w:r w:rsidR="00127FC6" w:rsidRPr="005B0185">
        <w:rPr>
          <w:rFonts w:ascii="Arial Narrow" w:hAnsi="Arial Narrow"/>
          <w:b/>
          <w:bCs/>
        </w:rPr>
        <w:t>nárůstem podílu dětí do 15 let ve skupině osob s jinou než českou státní příslušností</w:t>
      </w:r>
      <w:r w:rsidR="00127FC6">
        <w:rPr>
          <w:rFonts w:ascii="Arial Narrow" w:hAnsi="Arial Narrow"/>
        </w:rPr>
        <w:t>. V roce 2022 byl nejvyšší podíl dětí do 15 let ve skupině osob s jinou než českou státní příslušností zaznamenán v ORP Blansko. Během roku 2022 však zaznamenalo výrazný nárůst této skupiny osob ORP Brno (meziroční nárůst o 18,1 %), ORP Tišnov (meziroční nárůst o 13,5 %) a ORP Kuřim (</w:t>
      </w:r>
      <w:r w:rsidR="00166F19">
        <w:rPr>
          <w:rFonts w:ascii="Arial Narrow" w:hAnsi="Arial Narrow"/>
        </w:rPr>
        <w:t xml:space="preserve">meziroční nárůst o </w:t>
      </w:r>
      <w:r w:rsidR="00127FC6">
        <w:rPr>
          <w:rFonts w:ascii="Arial Narrow" w:hAnsi="Arial Narrow"/>
        </w:rPr>
        <w:t xml:space="preserve">11,1 %). K datu 1. 1. 2023 byl nejvyšší podíl této skupiny osob evidován v ORP Brno, ORP Tišnov a ORP Blansko. </w:t>
      </w:r>
      <w:bookmarkStart w:id="915" w:name="_Hlk131513946"/>
      <w:r w:rsidR="00127FC6">
        <w:rPr>
          <w:rFonts w:ascii="Arial Narrow" w:hAnsi="Arial Narrow"/>
        </w:rPr>
        <w:t xml:space="preserve">Ve všech vybraných ORP Jihomoravského kraje se podíl </w:t>
      </w:r>
      <w:r w:rsidR="00166F19">
        <w:rPr>
          <w:rFonts w:ascii="Arial Narrow" w:hAnsi="Arial Narrow"/>
        </w:rPr>
        <w:t>dětí do 15 let ve skupině osob s jinou než českou státní příslušností</w:t>
      </w:r>
      <w:r w:rsidR="00891A93">
        <w:rPr>
          <w:rFonts w:ascii="Arial Narrow" w:hAnsi="Arial Narrow"/>
        </w:rPr>
        <w:t xml:space="preserve"> zvýšil v průměru dvojnásobně. </w:t>
      </w:r>
      <w:bookmarkEnd w:id="915"/>
      <w:r w:rsidRPr="00E20FE9">
        <w:rPr>
          <w:rFonts w:ascii="Arial Narrow" w:hAnsi="Arial Narrow"/>
        </w:rPr>
        <w:t xml:space="preserve">Vývoj podílu </w:t>
      </w:r>
      <w:r w:rsidR="00127FC6" w:rsidRPr="00127FC6">
        <w:rPr>
          <w:rFonts w:ascii="Arial Narrow" w:hAnsi="Arial Narrow"/>
        </w:rPr>
        <w:t>demografických skupin v rámci osob s jinou než českou státní příslušností ve vybraných ORP v letech 2022</w:t>
      </w:r>
      <w:r w:rsidR="00127FC6">
        <w:rPr>
          <w:rFonts w:ascii="Arial Narrow" w:hAnsi="Arial Narrow"/>
        </w:rPr>
        <w:t>–</w:t>
      </w:r>
      <w:r w:rsidR="00127FC6" w:rsidRPr="00127FC6">
        <w:rPr>
          <w:rFonts w:ascii="Arial Narrow" w:hAnsi="Arial Narrow"/>
        </w:rPr>
        <w:t>2023</w:t>
      </w:r>
      <w:r w:rsidR="00127FC6">
        <w:rPr>
          <w:rFonts w:ascii="Arial Narrow" w:hAnsi="Arial Narrow"/>
        </w:rPr>
        <w:t xml:space="preserve"> </w:t>
      </w:r>
      <w:r w:rsidRPr="00E20FE9">
        <w:rPr>
          <w:rFonts w:ascii="Arial Narrow" w:hAnsi="Arial Narrow"/>
        </w:rPr>
        <w:t>podrobně dokumentuje tabulka</w:t>
      </w:r>
      <w:r w:rsidR="00E1313E">
        <w:rPr>
          <w:rFonts w:ascii="Arial Narrow" w:hAnsi="Arial Narrow"/>
        </w:rPr>
        <w:t xml:space="preserve"> č. 73</w:t>
      </w:r>
      <w:r w:rsidRPr="00E20FE9">
        <w:rPr>
          <w:rFonts w:ascii="Arial Narrow" w:hAnsi="Arial Narrow"/>
        </w:rPr>
        <w:t>.</w:t>
      </w:r>
    </w:p>
    <w:p w14:paraId="726409A5" w14:textId="6FF2ED24" w:rsidR="00923B27" w:rsidRPr="00E903BA" w:rsidRDefault="00923B27" w:rsidP="00923B27">
      <w:pPr>
        <w:jc w:val="both"/>
        <w:rPr>
          <w:rFonts w:ascii="Arial Narrow" w:eastAsia="Times New Roman" w:hAnsi="Arial Narrow" w:cs="Arial"/>
          <w:b/>
          <w:bCs/>
          <w:sz w:val="20"/>
          <w:szCs w:val="20"/>
          <w:lang w:eastAsia="cs-CZ"/>
        </w:rPr>
      </w:pPr>
      <w:bookmarkStart w:id="916" w:name="_Toc136429284"/>
      <w:r w:rsidRPr="00CE357F">
        <w:rPr>
          <w:rFonts w:ascii="Arial Narrow" w:hAnsi="Arial Narrow"/>
          <w:b/>
          <w:bCs/>
          <w:sz w:val="20"/>
          <w:szCs w:val="20"/>
        </w:rPr>
        <w:t xml:space="preserve">Tabulka </w:t>
      </w:r>
      <w:r w:rsidRPr="00CE357F">
        <w:rPr>
          <w:rFonts w:ascii="Arial Narrow" w:hAnsi="Arial Narrow"/>
          <w:b/>
          <w:bCs/>
          <w:sz w:val="20"/>
          <w:szCs w:val="20"/>
        </w:rPr>
        <w:fldChar w:fldCharType="begin"/>
      </w:r>
      <w:r w:rsidRPr="00CE357F">
        <w:rPr>
          <w:rFonts w:ascii="Arial Narrow" w:hAnsi="Arial Narrow"/>
          <w:b/>
          <w:bCs/>
          <w:sz w:val="20"/>
          <w:szCs w:val="20"/>
        </w:rPr>
        <w:instrText xml:space="preserve"> SEQ Tabulka \* ARABIC </w:instrText>
      </w:r>
      <w:r w:rsidRPr="00CE357F">
        <w:rPr>
          <w:rFonts w:ascii="Arial Narrow" w:hAnsi="Arial Narrow"/>
          <w:b/>
          <w:bCs/>
          <w:sz w:val="20"/>
          <w:szCs w:val="20"/>
        </w:rPr>
        <w:fldChar w:fldCharType="separate"/>
      </w:r>
      <w:r w:rsidR="00256C97">
        <w:rPr>
          <w:rFonts w:ascii="Arial Narrow" w:hAnsi="Arial Narrow"/>
          <w:b/>
          <w:bCs/>
          <w:noProof/>
          <w:sz w:val="20"/>
          <w:szCs w:val="20"/>
        </w:rPr>
        <w:t>73</w:t>
      </w:r>
      <w:r w:rsidRPr="00CE357F">
        <w:rPr>
          <w:rFonts w:ascii="Arial Narrow" w:hAnsi="Arial Narrow"/>
          <w:b/>
          <w:bCs/>
          <w:sz w:val="20"/>
          <w:szCs w:val="20"/>
        </w:rPr>
        <w:fldChar w:fldCharType="end"/>
      </w:r>
      <w:r w:rsidRPr="00CE357F">
        <w:rPr>
          <w:rFonts w:ascii="Arial Narrow" w:hAnsi="Arial Narrow"/>
          <w:b/>
          <w:bCs/>
          <w:sz w:val="20"/>
          <w:szCs w:val="20"/>
        </w:rPr>
        <w:t>:</w:t>
      </w:r>
      <w:r w:rsidR="002E7645">
        <w:rPr>
          <w:rFonts w:ascii="Arial Narrow" w:hAnsi="Arial Narrow"/>
          <w:b/>
          <w:bCs/>
          <w:sz w:val="20"/>
          <w:szCs w:val="20"/>
        </w:rPr>
        <w:t xml:space="preserve"> </w:t>
      </w:r>
      <w:r w:rsidR="002E7645" w:rsidRPr="00CB0681">
        <w:rPr>
          <w:rFonts w:ascii="Arial Narrow" w:eastAsia="Times New Roman" w:hAnsi="Arial Narrow" w:cs="Arial"/>
          <w:b/>
          <w:bCs/>
          <w:sz w:val="18"/>
          <w:szCs w:val="18"/>
          <w:lang w:eastAsia="cs-CZ"/>
        </w:rPr>
        <w:t xml:space="preserve">Vývoj podílu </w:t>
      </w:r>
      <w:r w:rsidR="002E7645">
        <w:rPr>
          <w:rFonts w:ascii="Arial Narrow" w:eastAsia="Times New Roman" w:hAnsi="Arial Narrow" w:cs="Arial"/>
          <w:b/>
          <w:bCs/>
          <w:sz w:val="18"/>
          <w:szCs w:val="18"/>
          <w:lang w:eastAsia="cs-CZ"/>
        </w:rPr>
        <w:t>demografických skupin v rámci osob</w:t>
      </w:r>
      <w:r w:rsidR="002E7645" w:rsidRPr="00CB0681">
        <w:rPr>
          <w:rFonts w:ascii="Arial Narrow" w:eastAsia="Times New Roman" w:hAnsi="Arial Narrow" w:cs="Arial"/>
          <w:b/>
          <w:bCs/>
          <w:sz w:val="18"/>
          <w:szCs w:val="18"/>
          <w:lang w:eastAsia="cs-CZ"/>
        </w:rPr>
        <w:t xml:space="preserve"> s jinou než českou státní příslušností </w:t>
      </w:r>
      <w:r w:rsidR="002E7645">
        <w:rPr>
          <w:rFonts w:ascii="Arial Narrow" w:eastAsia="Times New Roman" w:hAnsi="Arial Narrow" w:cs="Arial"/>
          <w:b/>
          <w:bCs/>
          <w:sz w:val="18"/>
          <w:szCs w:val="18"/>
          <w:lang w:eastAsia="cs-CZ"/>
        </w:rPr>
        <w:t xml:space="preserve">ve </w:t>
      </w:r>
      <w:r w:rsidR="002E7645" w:rsidRPr="00CB0681">
        <w:rPr>
          <w:rFonts w:ascii="Arial Narrow" w:eastAsia="Times New Roman" w:hAnsi="Arial Narrow" w:cs="Arial"/>
          <w:b/>
          <w:bCs/>
          <w:sz w:val="18"/>
          <w:szCs w:val="18"/>
          <w:lang w:eastAsia="cs-CZ"/>
        </w:rPr>
        <w:t xml:space="preserve">vybraných ORP </w:t>
      </w:r>
      <w:r w:rsidR="002E7645">
        <w:rPr>
          <w:rFonts w:ascii="Arial Narrow" w:eastAsia="Times New Roman" w:hAnsi="Arial Narrow" w:cs="Arial"/>
          <w:b/>
          <w:bCs/>
          <w:sz w:val="18"/>
          <w:szCs w:val="18"/>
          <w:lang w:eastAsia="cs-CZ"/>
        </w:rPr>
        <w:br/>
      </w:r>
      <w:r w:rsidR="002E7645" w:rsidRPr="00CB0681">
        <w:rPr>
          <w:rFonts w:ascii="Arial Narrow" w:eastAsia="Times New Roman" w:hAnsi="Arial Narrow" w:cs="Arial"/>
          <w:b/>
          <w:bCs/>
          <w:sz w:val="18"/>
          <w:szCs w:val="18"/>
          <w:lang w:eastAsia="cs-CZ"/>
        </w:rPr>
        <w:t>v letech 20</w:t>
      </w:r>
      <w:r w:rsidR="002E7645">
        <w:rPr>
          <w:rFonts w:ascii="Arial Narrow" w:eastAsia="Times New Roman" w:hAnsi="Arial Narrow" w:cs="Arial"/>
          <w:b/>
          <w:bCs/>
          <w:sz w:val="18"/>
          <w:szCs w:val="18"/>
          <w:lang w:eastAsia="cs-CZ"/>
        </w:rPr>
        <w:t>22</w:t>
      </w:r>
      <w:r w:rsidR="00127FC6">
        <w:rPr>
          <w:rFonts w:ascii="Arial Narrow" w:eastAsia="Times New Roman" w:hAnsi="Arial Narrow" w:cs="Arial"/>
          <w:b/>
          <w:bCs/>
          <w:sz w:val="18"/>
          <w:szCs w:val="18"/>
          <w:lang w:eastAsia="cs-CZ"/>
        </w:rPr>
        <w:t>–</w:t>
      </w:r>
      <w:r w:rsidR="002E7645" w:rsidRPr="00CB0681">
        <w:rPr>
          <w:rFonts w:ascii="Arial Narrow" w:eastAsia="Times New Roman" w:hAnsi="Arial Narrow" w:cs="Arial"/>
          <w:b/>
          <w:bCs/>
          <w:sz w:val="18"/>
          <w:szCs w:val="18"/>
          <w:lang w:eastAsia="cs-CZ"/>
        </w:rPr>
        <w:t>202</w:t>
      </w:r>
      <w:r w:rsidR="002E7645">
        <w:rPr>
          <w:rFonts w:ascii="Arial Narrow" w:eastAsia="Times New Roman" w:hAnsi="Arial Narrow" w:cs="Arial"/>
          <w:b/>
          <w:bCs/>
          <w:sz w:val="18"/>
          <w:szCs w:val="18"/>
          <w:lang w:eastAsia="cs-CZ"/>
        </w:rPr>
        <w:t>3</w:t>
      </w:r>
      <w:bookmarkEnd w:id="916"/>
    </w:p>
    <w:tbl>
      <w:tblPr>
        <w:tblW w:w="4865" w:type="pct"/>
        <w:tblInd w:w="10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161"/>
        <w:gridCol w:w="1276"/>
        <w:gridCol w:w="1276"/>
        <w:gridCol w:w="1276"/>
        <w:gridCol w:w="1276"/>
        <w:gridCol w:w="1276"/>
        <w:gridCol w:w="1276"/>
      </w:tblGrid>
      <w:tr w:rsidR="00D215BF" w:rsidRPr="0054620D" w14:paraId="1451ADC4" w14:textId="77777777" w:rsidTr="004A0C47">
        <w:trPr>
          <w:trHeight w:val="457"/>
        </w:trPr>
        <w:tc>
          <w:tcPr>
            <w:tcW w:w="8817" w:type="dxa"/>
            <w:gridSpan w:val="7"/>
            <w:shd w:val="clear" w:color="auto" w:fill="D9E2F3" w:themeFill="accent1" w:themeFillTint="33"/>
            <w:vAlign w:val="center"/>
          </w:tcPr>
          <w:p w14:paraId="13393277" w14:textId="4C97F618" w:rsidR="00D215BF" w:rsidRPr="00C2607F" w:rsidRDefault="00D215BF" w:rsidP="004A0C47">
            <w:pPr>
              <w:jc w:val="center"/>
              <w:rPr>
                <w:rFonts w:ascii="Arial Narrow" w:eastAsia="Times New Roman" w:hAnsi="Arial Narrow" w:cs="Arial"/>
                <w:b/>
                <w:bCs/>
                <w:sz w:val="16"/>
                <w:szCs w:val="16"/>
                <w:lang w:eastAsia="cs-CZ"/>
              </w:rPr>
            </w:pPr>
            <w:r w:rsidRPr="00CB0681">
              <w:rPr>
                <w:rFonts w:ascii="Arial Narrow" w:eastAsia="Times New Roman" w:hAnsi="Arial Narrow" w:cs="Arial"/>
                <w:b/>
                <w:bCs/>
                <w:sz w:val="18"/>
                <w:szCs w:val="18"/>
                <w:lang w:eastAsia="cs-CZ"/>
              </w:rPr>
              <w:t xml:space="preserve">Vývoj podílu </w:t>
            </w:r>
            <w:r>
              <w:rPr>
                <w:rFonts w:ascii="Arial Narrow" w:eastAsia="Times New Roman" w:hAnsi="Arial Narrow" w:cs="Arial"/>
                <w:b/>
                <w:bCs/>
                <w:sz w:val="18"/>
                <w:szCs w:val="18"/>
                <w:lang w:eastAsia="cs-CZ"/>
              </w:rPr>
              <w:t>demografických skupin v rámci osob</w:t>
            </w:r>
            <w:r w:rsidRPr="00CB0681">
              <w:rPr>
                <w:rFonts w:ascii="Arial Narrow" w:eastAsia="Times New Roman" w:hAnsi="Arial Narrow" w:cs="Arial"/>
                <w:b/>
                <w:bCs/>
                <w:sz w:val="18"/>
                <w:szCs w:val="18"/>
                <w:lang w:eastAsia="cs-CZ"/>
              </w:rPr>
              <w:t xml:space="preserve"> s jinou než českou státní příslušností </w:t>
            </w:r>
            <w:r>
              <w:rPr>
                <w:rFonts w:ascii="Arial Narrow" w:eastAsia="Times New Roman" w:hAnsi="Arial Narrow" w:cs="Arial"/>
                <w:b/>
                <w:bCs/>
                <w:sz w:val="18"/>
                <w:szCs w:val="18"/>
                <w:lang w:eastAsia="cs-CZ"/>
              </w:rPr>
              <w:t xml:space="preserve">ve </w:t>
            </w:r>
            <w:r w:rsidRPr="00CB0681">
              <w:rPr>
                <w:rFonts w:ascii="Arial Narrow" w:eastAsia="Times New Roman" w:hAnsi="Arial Narrow" w:cs="Arial"/>
                <w:b/>
                <w:bCs/>
                <w:sz w:val="18"/>
                <w:szCs w:val="18"/>
                <w:lang w:eastAsia="cs-CZ"/>
              </w:rPr>
              <w:t xml:space="preserve">vybraných ORP </w:t>
            </w:r>
            <w:r>
              <w:rPr>
                <w:rFonts w:ascii="Arial Narrow" w:eastAsia="Times New Roman" w:hAnsi="Arial Narrow" w:cs="Arial"/>
                <w:b/>
                <w:bCs/>
                <w:sz w:val="18"/>
                <w:szCs w:val="18"/>
                <w:lang w:eastAsia="cs-CZ"/>
              </w:rPr>
              <w:br/>
            </w:r>
            <w:r w:rsidRPr="00CB0681">
              <w:rPr>
                <w:rFonts w:ascii="Arial Narrow" w:eastAsia="Times New Roman" w:hAnsi="Arial Narrow" w:cs="Arial"/>
                <w:b/>
                <w:bCs/>
                <w:sz w:val="18"/>
                <w:szCs w:val="18"/>
                <w:lang w:eastAsia="cs-CZ"/>
              </w:rPr>
              <w:t>v letech 20</w:t>
            </w:r>
            <w:r>
              <w:rPr>
                <w:rFonts w:ascii="Arial Narrow" w:eastAsia="Times New Roman" w:hAnsi="Arial Narrow" w:cs="Arial"/>
                <w:b/>
                <w:bCs/>
                <w:sz w:val="18"/>
                <w:szCs w:val="18"/>
                <w:lang w:eastAsia="cs-CZ"/>
              </w:rPr>
              <w:t>22</w:t>
            </w:r>
            <w:r w:rsidR="00127FC6">
              <w:rPr>
                <w:rFonts w:ascii="Arial Narrow" w:eastAsia="Times New Roman" w:hAnsi="Arial Narrow" w:cs="Arial"/>
                <w:b/>
                <w:bCs/>
                <w:sz w:val="18"/>
                <w:szCs w:val="18"/>
                <w:lang w:eastAsia="cs-CZ"/>
              </w:rPr>
              <w:t>–</w:t>
            </w:r>
            <w:r w:rsidRPr="00CB0681">
              <w:rPr>
                <w:rFonts w:ascii="Arial Narrow" w:eastAsia="Times New Roman" w:hAnsi="Arial Narrow" w:cs="Arial"/>
                <w:b/>
                <w:bCs/>
                <w:sz w:val="18"/>
                <w:szCs w:val="18"/>
                <w:lang w:eastAsia="cs-CZ"/>
              </w:rPr>
              <w:t>202</w:t>
            </w:r>
            <w:r>
              <w:rPr>
                <w:rFonts w:ascii="Arial Narrow" w:eastAsia="Times New Roman" w:hAnsi="Arial Narrow" w:cs="Arial"/>
                <w:b/>
                <w:bCs/>
                <w:sz w:val="18"/>
                <w:szCs w:val="18"/>
                <w:lang w:eastAsia="cs-CZ"/>
              </w:rPr>
              <w:t>3</w:t>
            </w:r>
          </w:p>
        </w:tc>
      </w:tr>
      <w:tr w:rsidR="00D215BF" w:rsidRPr="0054620D" w14:paraId="6B7AF1CD" w14:textId="77777777" w:rsidTr="00127FC6">
        <w:trPr>
          <w:trHeight w:val="457"/>
        </w:trPr>
        <w:tc>
          <w:tcPr>
            <w:tcW w:w="1161" w:type="dxa"/>
            <w:shd w:val="clear" w:color="auto" w:fill="D9E2F3" w:themeFill="accent1" w:themeFillTint="33"/>
            <w:vAlign w:val="center"/>
          </w:tcPr>
          <w:p w14:paraId="1C83E3F7" w14:textId="77777777" w:rsidR="00D215BF" w:rsidRPr="0054620D" w:rsidRDefault="00D215BF" w:rsidP="004A0C47">
            <w:pPr>
              <w:jc w:val="center"/>
              <w:rPr>
                <w:rFonts w:ascii="Arial Narrow" w:hAnsi="Arial Narrow"/>
                <w:sz w:val="18"/>
                <w:szCs w:val="18"/>
              </w:rPr>
            </w:pPr>
          </w:p>
        </w:tc>
        <w:tc>
          <w:tcPr>
            <w:tcW w:w="1276" w:type="dxa"/>
            <w:shd w:val="clear" w:color="auto" w:fill="D9E2F3" w:themeFill="accent1" w:themeFillTint="33"/>
            <w:vAlign w:val="center"/>
          </w:tcPr>
          <w:p w14:paraId="0ACD3135" w14:textId="77777777" w:rsidR="00D215BF" w:rsidRPr="00C2607F" w:rsidRDefault="00D215BF" w:rsidP="004A0C47">
            <w:pPr>
              <w:jc w:val="center"/>
              <w:rPr>
                <w:rFonts w:ascii="Arial Narrow" w:eastAsia="Times New Roman" w:hAnsi="Arial Narrow" w:cs="Arial"/>
                <w:b/>
                <w:bCs/>
                <w:sz w:val="16"/>
                <w:szCs w:val="16"/>
                <w:lang w:eastAsia="cs-CZ"/>
              </w:rPr>
            </w:pPr>
            <w:r>
              <w:rPr>
                <w:rFonts w:ascii="Arial Narrow" w:hAnsi="Arial Narrow"/>
                <w:b/>
                <w:bCs/>
                <w:color w:val="000000"/>
                <w:sz w:val="16"/>
                <w:szCs w:val="16"/>
              </w:rPr>
              <w:t>Podíl žen</w:t>
            </w:r>
            <w:r>
              <w:rPr>
                <w:rFonts w:ascii="Arial Narrow" w:hAnsi="Arial Narrow"/>
                <w:b/>
                <w:bCs/>
                <w:color w:val="000000"/>
                <w:sz w:val="16"/>
                <w:szCs w:val="16"/>
              </w:rPr>
              <w:br/>
            </w:r>
            <w:r w:rsidRPr="00C2607F">
              <w:rPr>
                <w:rFonts w:ascii="Arial Narrow" w:hAnsi="Arial Narrow"/>
                <w:b/>
                <w:bCs/>
                <w:color w:val="000000"/>
                <w:sz w:val="16"/>
                <w:szCs w:val="16"/>
              </w:rPr>
              <w:t>1. 1. 20</w:t>
            </w:r>
            <w:r>
              <w:rPr>
                <w:rFonts w:ascii="Arial Narrow" w:hAnsi="Arial Narrow"/>
                <w:b/>
                <w:bCs/>
                <w:color w:val="000000"/>
                <w:sz w:val="16"/>
                <w:szCs w:val="16"/>
              </w:rPr>
              <w:t>22</w:t>
            </w:r>
          </w:p>
        </w:tc>
        <w:tc>
          <w:tcPr>
            <w:tcW w:w="1276" w:type="dxa"/>
            <w:tcBorders>
              <w:right w:val="single" w:sz="4" w:space="0" w:color="2F5496" w:themeColor="accent1" w:themeShade="BF"/>
            </w:tcBorders>
            <w:shd w:val="clear" w:color="auto" w:fill="D9E2F3" w:themeFill="accent1" w:themeFillTint="33"/>
            <w:vAlign w:val="center"/>
          </w:tcPr>
          <w:p w14:paraId="7CE573C0" w14:textId="77777777" w:rsidR="00D215BF" w:rsidRPr="00C2607F" w:rsidRDefault="00D215BF" w:rsidP="004A0C47">
            <w:pPr>
              <w:jc w:val="center"/>
              <w:rPr>
                <w:rFonts w:ascii="Arial Narrow" w:hAnsi="Arial Narrow"/>
                <w:b/>
                <w:bCs/>
                <w:sz w:val="16"/>
                <w:szCs w:val="16"/>
              </w:rPr>
            </w:pPr>
            <w:r>
              <w:rPr>
                <w:rFonts w:ascii="Arial Narrow" w:hAnsi="Arial Narrow"/>
                <w:b/>
                <w:bCs/>
                <w:color w:val="000000"/>
                <w:sz w:val="16"/>
                <w:szCs w:val="16"/>
              </w:rPr>
              <w:t>Podíl mužů</w:t>
            </w:r>
            <w:r>
              <w:rPr>
                <w:rFonts w:ascii="Arial Narrow" w:hAnsi="Arial Narrow"/>
                <w:b/>
                <w:bCs/>
                <w:color w:val="000000"/>
                <w:sz w:val="16"/>
                <w:szCs w:val="16"/>
              </w:rPr>
              <w:br/>
            </w:r>
            <w:r w:rsidRPr="00C2607F">
              <w:rPr>
                <w:rFonts w:ascii="Arial Narrow" w:hAnsi="Arial Narrow"/>
                <w:b/>
                <w:bCs/>
                <w:color w:val="000000"/>
                <w:sz w:val="16"/>
                <w:szCs w:val="16"/>
              </w:rPr>
              <w:t>1. 1. 20</w:t>
            </w:r>
            <w:r>
              <w:rPr>
                <w:rFonts w:ascii="Arial Narrow" w:hAnsi="Arial Narrow"/>
                <w:b/>
                <w:bCs/>
                <w:color w:val="000000"/>
                <w:sz w:val="16"/>
                <w:szCs w:val="16"/>
              </w:rPr>
              <w:t>22</w:t>
            </w:r>
          </w:p>
        </w:tc>
        <w:tc>
          <w:tcPr>
            <w:tcW w:w="1276" w:type="dxa"/>
            <w:tcBorders>
              <w:top w:val="single" w:sz="4" w:space="0" w:color="B4C6E7" w:themeColor="accent1" w:themeTint="66"/>
              <w:left w:val="single" w:sz="4" w:space="0" w:color="2F5496" w:themeColor="accent1" w:themeShade="BF"/>
              <w:right w:val="single" w:sz="4" w:space="0" w:color="B4C6E7" w:themeColor="accent1" w:themeTint="66"/>
            </w:tcBorders>
            <w:shd w:val="clear" w:color="auto" w:fill="D9E2F3" w:themeFill="accent1" w:themeFillTint="33"/>
            <w:vAlign w:val="center"/>
          </w:tcPr>
          <w:p w14:paraId="0996811E" w14:textId="77777777" w:rsidR="00D215BF" w:rsidRPr="00C2607F" w:rsidRDefault="00D215BF" w:rsidP="004A0C47">
            <w:pPr>
              <w:jc w:val="center"/>
              <w:rPr>
                <w:rFonts w:ascii="Arial Narrow" w:eastAsia="Times New Roman" w:hAnsi="Arial Narrow" w:cs="Arial"/>
                <w:b/>
                <w:bCs/>
                <w:sz w:val="16"/>
                <w:szCs w:val="16"/>
                <w:lang w:eastAsia="cs-CZ"/>
              </w:rPr>
            </w:pPr>
            <w:r>
              <w:rPr>
                <w:rFonts w:ascii="Arial Narrow" w:hAnsi="Arial Narrow"/>
                <w:b/>
                <w:bCs/>
                <w:color w:val="000000"/>
                <w:sz w:val="16"/>
                <w:szCs w:val="16"/>
              </w:rPr>
              <w:t>Podíl žen</w:t>
            </w:r>
            <w:r>
              <w:rPr>
                <w:rFonts w:ascii="Arial Narrow" w:hAnsi="Arial Narrow"/>
                <w:b/>
                <w:bCs/>
                <w:color w:val="000000"/>
                <w:sz w:val="16"/>
                <w:szCs w:val="16"/>
              </w:rPr>
              <w:br/>
            </w:r>
            <w:r w:rsidRPr="00C2607F">
              <w:rPr>
                <w:rFonts w:ascii="Arial Narrow" w:hAnsi="Arial Narrow"/>
                <w:b/>
                <w:bCs/>
                <w:color w:val="000000"/>
                <w:sz w:val="16"/>
                <w:szCs w:val="16"/>
              </w:rPr>
              <w:t>1. 1. 20</w:t>
            </w:r>
            <w:r>
              <w:rPr>
                <w:rFonts w:ascii="Arial Narrow" w:hAnsi="Arial Narrow"/>
                <w:b/>
                <w:bCs/>
                <w:color w:val="000000"/>
                <w:sz w:val="16"/>
                <w:szCs w:val="16"/>
              </w:rPr>
              <w:t>23</w:t>
            </w:r>
          </w:p>
        </w:tc>
        <w:tc>
          <w:tcPr>
            <w:tcW w:w="1276" w:type="dxa"/>
            <w:tcBorders>
              <w:top w:val="single" w:sz="4" w:space="0" w:color="B4C6E7" w:themeColor="accent1" w:themeTint="66"/>
              <w:left w:val="single" w:sz="4" w:space="0" w:color="B4C6E7" w:themeColor="accent1" w:themeTint="66"/>
              <w:right w:val="single" w:sz="4" w:space="0" w:color="2F5496" w:themeColor="accent1" w:themeShade="BF"/>
            </w:tcBorders>
            <w:shd w:val="clear" w:color="auto" w:fill="D9E2F3" w:themeFill="accent1" w:themeFillTint="33"/>
            <w:vAlign w:val="center"/>
          </w:tcPr>
          <w:p w14:paraId="6DE412D2" w14:textId="77777777" w:rsidR="00D215BF" w:rsidRPr="00C2607F" w:rsidRDefault="00D215BF" w:rsidP="004A0C47">
            <w:pPr>
              <w:jc w:val="center"/>
              <w:rPr>
                <w:rFonts w:ascii="Arial Narrow" w:eastAsia="Times New Roman" w:hAnsi="Arial Narrow" w:cs="Arial"/>
                <w:b/>
                <w:bCs/>
                <w:sz w:val="16"/>
                <w:szCs w:val="16"/>
                <w:lang w:eastAsia="cs-CZ"/>
              </w:rPr>
            </w:pPr>
            <w:r>
              <w:rPr>
                <w:rFonts w:ascii="Arial Narrow" w:hAnsi="Arial Narrow"/>
                <w:b/>
                <w:bCs/>
                <w:color w:val="000000"/>
                <w:sz w:val="16"/>
                <w:szCs w:val="16"/>
              </w:rPr>
              <w:t>Podíl mužů</w:t>
            </w:r>
            <w:r>
              <w:rPr>
                <w:rFonts w:ascii="Arial Narrow" w:hAnsi="Arial Narrow"/>
                <w:b/>
                <w:bCs/>
                <w:color w:val="000000"/>
                <w:sz w:val="16"/>
                <w:szCs w:val="16"/>
              </w:rPr>
              <w:br/>
            </w:r>
            <w:r w:rsidRPr="00C2607F">
              <w:rPr>
                <w:rFonts w:ascii="Arial Narrow" w:hAnsi="Arial Narrow"/>
                <w:b/>
                <w:bCs/>
                <w:color w:val="000000"/>
                <w:sz w:val="16"/>
                <w:szCs w:val="16"/>
              </w:rPr>
              <w:t>1. 1. 20</w:t>
            </w:r>
            <w:r>
              <w:rPr>
                <w:rFonts w:ascii="Arial Narrow" w:hAnsi="Arial Narrow"/>
                <w:b/>
                <w:bCs/>
                <w:color w:val="000000"/>
                <w:sz w:val="16"/>
                <w:szCs w:val="16"/>
              </w:rPr>
              <w:t>23</w:t>
            </w:r>
          </w:p>
        </w:tc>
        <w:tc>
          <w:tcPr>
            <w:tcW w:w="1276" w:type="dxa"/>
            <w:tcBorders>
              <w:left w:val="single" w:sz="4" w:space="0" w:color="2F5496" w:themeColor="accent1" w:themeShade="BF"/>
            </w:tcBorders>
            <w:shd w:val="clear" w:color="auto" w:fill="D9E2F3" w:themeFill="accent1" w:themeFillTint="33"/>
            <w:vAlign w:val="center"/>
          </w:tcPr>
          <w:p w14:paraId="61B2E199" w14:textId="77777777" w:rsidR="00D215BF" w:rsidRPr="00C2607F" w:rsidRDefault="00D215BF" w:rsidP="004A0C47">
            <w:pPr>
              <w:jc w:val="center"/>
              <w:rPr>
                <w:rFonts w:ascii="Arial Narrow" w:eastAsia="Times New Roman" w:hAnsi="Arial Narrow" w:cs="Arial"/>
                <w:b/>
                <w:bCs/>
                <w:sz w:val="16"/>
                <w:szCs w:val="16"/>
                <w:lang w:eastAsia="cs-CZ"/>
              </w:rPr>
            </w:pPr>
            <w:r>
              <w:rPr>
                <w:rFonts w:ascii="Arial Narrow" w:hAnsi="Arial Narrow"/>
                <w:b/>
                <w:bCs/>
                <w:color w:val="000000"/>
                <w:sz w:val="16"/>
                <w:szCs w:val="16"/>
              </w:rPr>
              <w:t xml:space="preserve">Podíl dětí </w:t>
            </w:r>
            <w:r>
              <w:rPr>
                <w:rFonts w:ascii="Arial Narrow" w:hAnsi="Arial Narrow"/>
                <w:b/>
                <w:bCs/>
                <w:color w:val="000000"/>
                <w:sz w:val="16"/>
                <w:szCs w:val="16"/>
              </w:rPr>
              <w:br/>
              <w:t xml:space="preserve">do 15 let </w:t>
            </w:r>
            <w:r>
              <w:rPr>
                <w:rFonts w:ascii="Arial Narrow" w:hAnsi="Arial Narrow"/>
                <w:b/>
                <w:bCs/>
                <w:color w:val="000000"/>
                <w:sz w:val="16"/>
                <w:szCs w:val="16"/>
              </w:rPr>
              <w:br/>
            </w:r>
            <w:r w:rsidRPr="00C2607F">
              <w:rPr>
                <w:rFonts w:ascii="Arial Narrow" w:hAnsi="Arial Narrow"/>
                <w:b/>
                <w:bCs/>
                <w:color w:val="000000"/>
                <w:sz w:val="16"/>
                <w:szCs w:val="16"/>
              </w:rPr>
              <w:t>1. 1. 20</w:t>
            </w:r>
            <w:r>
              <w:rPr>
                <w:rFonts w:ascii="Arial Narrow" w:hAnsi="Arial Narrow"/>
                <w:b/>
                <w:bCs/>
                <w:color w:val="000000"/>
                <w:sz w:val="16"/>
                <w:szCs w:val="16"/>
              </w:rPr>
              <w:t>22</w:t>
            </w:r>
          </w:p>
        </w:tc>
        <w:tc>
          <w:tcPr>
            <w:tcW w:w="1276" w:type="dxa"/>
            <w:shd w:val="clear" w:color="auto" w:fill="D9E2F3" w:themeFill="accent1" w:themeFillTint="33"/>
            <w:vAlign w:val="center"/>
          </w:tcPr>
          <w:p w14:paraId="26858639" w14:textId="77777777" w:rsidR="00D215BF" w:rsidRPr="00C2607F" w:rsidRDefault="00D215BF" w:rsidP="004A0C47">
            <w:pPr>
              <w:jc w:val="center"/>
              <w:rPr>
                <w:rFonts w:ascii="Arial Narrow" w:eastAsia="Times New Roman" w:hAnsi="Arial Narrow" w:cs="Arial"/>
                <w:b/>
                <w:bCs/>
                <w:sz w:val="16"/>
                <w:szCs w:val="16"/>
                <w:lang w:eastAsia="cs-CZ"/>
              </w:rPr>
            </w:pPr>
            <w:r>
              <w:rPr>
                <w:rFonts w:ascii="Arial Narrow" w:hAnsi="Arial Narrow"/>
                <w:b/>
                <w:bCs/>
                <w:color w:val="000000"/>
                <w:sz w:val="16"/>
                <w:szCs w:val="16"/>
              </w:rPr>
              <w:t xml:space="preserve">Podíl dětí </w:t>
            </w:r>
            <w:r>
              <w:rPr>
                <w:rFonts w:ascii="Arial Narrow" w:hAnsi="Arial Narrow"/>
                <w:b/>
                <w:bCs/>
                <w:color w:val="000000"/>
                <w:sz w:val="16"/>
                <w:szCs w:val="16"/>
              </w:rPr>
              <w:br/>
              <w:t xml:space="preserve">do 15 let </w:t>
            </w:r>
            <w:r>
              <w:rPr>
                <w:rFonts w:ascii="Arial Narrow" w:hAnsi="Arial Narrow"/>
                <w:b/>
                <w:bCs/>
                <w:color w:val="000000"/>
                <w:sz w:val="16"/>
                <w:szCs w:val="16"/>
              </w:rPr>
              <w:br/>
            </w:r>
            <w:r w:rsidRPr="00C2607F">
              <w:rPr>
                <w:rFonts w:ascii="Arial Narrow" w:hAnsi="Arial Narrow"/>
                <w:b/>
                <w:bCs/>
                <w:color w:val="000000"/>
                <w:sz w:val="16"/>
                <w:szCs w:val="16"/>
              </w:rPr>
              <w:t>1. 1. 20</w:t>
            </w:r>
            <w:r>
              <w:rPr>
                <w:rFonts w:ascii="Arial Narrow" w:hAnsi="Arial Narrow"/>
                <w:b/>
                <w:bCs/>
                <w:color w:val="000000"/>
                <w:sz w:val="16"/>
                <w:szCs w:val="16"/>
              </w:rPr>
              <w:t>23</w:t>
            </w:r>
          </w:p>
        </w:tc>
      </w:tr>
      <w:tr w:rsidR="00127FC6" w:rsidRPr="0054620D" w14:paraId="294408FA" w14:textId="77777777" w:rsidTr="00127FC6">
        <w:trPr>
          <w:trHeight w:val="489"/>
        </w:trPr>
        <w:tc>
          <w:tcPr>
            <w:tcW w:w="1161" w:type="dxa"/>
            <w:shd w:val="clear" w:color="auto" w:fill="D9E2F3" w:themeFill="accent1" w:themeFillTint="33"/>
            <w:vAlign w:val="center"/>
          </w:tcPr>
          <w:p w14:paraId="669B2F0B" w14:textId="77777777" w:rsidR="00D215BF" w:rsidRPr="0054620D" w:rsidRDefault="00D215BF" w:rsidP="004A0C47">
            <w:pPr>
              <w:jc w:val="center"/>
              <w:rPr>
                <w:rFonts w:ascii="Arial Narrow" w:hAnsi="Arial Narrow"/>
                <w:b/>
                <w:bCs/>
                <w:sz w:val="18"/>
                <w:szCs w:val="18"/>
              </w:rPr>
            </w:pPr>
            <w:r w:rsidRPr="0054620D">
              <w:rPr>
                <w:rFonts w:ascii="Arial Narrow" w:hAnsi="Arial Narrow"/>
                <w:b/>
                <w:bCs/>
                <w:sz w:val="18"/>
                <w:szCs w:val="18"/>
              </w:rPr>
              <w:t>ORP Blansko</w:t>
            </w:r>
          </w:p>
        </w:tc>
        <w:tc>
          <w:tcPr>
            <w:tcW w:w="1276" w:type="dxa"/>
            <w:shd w:val="clear" w:color="auto" w:fill="FFF3F3"/>
            <w:vAlign w:val="center"/>
          </w:tcPr>
          <w:p w14:paraId="6A68B6A6" w14:textId="77777777" w:rsidR="00D215BF" w:rsidRPr="00F67FC5" w:rsidRDefault="00D215BF" w:rsidP="004A0C47">
            <w:pPr>
              <w:jc w:val="center"/>
              <w:rPr>
                <w:rFonts w:ascii="Arial Narrow" w:hAnsi="Arial Narrow"/>
                <w:sz w:val="18"/>
                <w:szCs w:val="18"/>
              </w:rPr>
            </w:pPr>
            <w:r>
              <w:rPr>
                <w:rFonts w:ascii="Arial Narrow" w:hAnsi="Arial Narrow"/>
                <w:sz w:val="18"/>
                <w:szCs w:val="18"/>
              </w:rPr>
              <w:t>46,4 %</w:t>
            </w:r>
          </w:p>
        </w:tc>
        <w:tc>
          <w:tcPr>
            <w:tcW w:w="1276" w:type="dxa"/>
            <w:tcBorders>
              <w:right w:val="single" w:sz="4" w:space="0" w:color="2F5496" w:themeColor="accent1" w:themeShade="BF"/>
            </w:tcBorders>
            <w:shd w:val="clear" w:color="auto" w:fill="ECF3FA"/>
            <w:vAlign w:val="center"/>
          </w:tcPr>
          <w:p w14:paraId="4E33EF99" w14:textId="77777777" w:rsidR="00D215BF" w:rsidRPr="00F67FC5" w:rsidRDefault="00D215BF" w:rsidP="004A0C47">
            <w:pPr>
              <w:jc w:val="center"/>
              <w:rPr>
                <w:rFonts w:ascii="Arial Narrow" w:hAnsi="Arial Narrow"/>
                <w:sz w:val="18"/>
                <w:szCs w:val="18"/>
              </w:rPr>
            </w:pPr>
            <w:r>
              <w:rPr>
                <w:rFonts w:ascii="Arial Narrow" w:hAnsi="Arial Narrow"/>
                <w:sz w:val="18"/>
                <w:szCs w:val="18"/>
              </w:rPr>
              <w:t>53,6 %</w:t>
            </w:r>
          </w:p>
        </w:tc>
        <w:tc>
          <w:tcPr>
            <w:tcW w:w="1276" w:type="dxa"/>
            <w:tcBorders>
              <w:left w:val="single" w:sz="4" w:space="0" w:color="2F5496" w:themeColor="accent1" w:themeShade="BF"/>
            </w:tcBorders>
            <w:shd w:val="clear" w:color="auto" w:fill="FFF3F3"/>
            <w:vAlign w:val="center"/>
          </w:tcPr>
          <w:p w14:paraId="397B8CA3" w14:textId="77777777" w:rsidR="00D215BF" w:rsidRPr="00F67FC5" w:rsidRDefault="00D215BF" w:rsidP="004A0C47">
            <w:pPr>
              <w:jc w:val="center"/>
              <w:rPr>
                <w:rFonts w:ascii="Arial Narrow" w:hAnsi="Arial Narrow"/>
                <w:sz w:val="18"/>
                <w:szCs w:val="18"/>
              </w:rPr>
            </w:pPr>
            <w:r>
              <w:rPr>
                <w:rFonts w:ascii="Arial Narrow" w:hAnsi="Arial Narrow"/>
                <w:sz w:val="18"/>
                <w:szCs w:val="18"/>
              </w:rPr>
              <w:t>51,0 %</w:t>
            </w:r>
          </w:p>
        </w:tc>
        <w:tc>
          <w:tcPr>
            <w:tcW w:w="1276" w:type="dxa"/>
            <w:tcBorders>
              <w:right w:val="single" w:sz="4" w:space="0" w:color="2F5496" w:themeColor="accent1" w:themeShade="BF"/>
            </w:tcBorders>
            <w:shd w:val="clear" w:color="auto" w:fill="ECF3FA"/>
            <w:vAlign w:val="center"/>
          </w:tcPr>
          <w:p w14:paraId="53CF0AB4" w14:textId="77777777" w:rsidR="00D215BF" w:rsidRPr="00F67FC5" w:rsidRDefault="00D215BF" w:rsidP="004A0C47">
            <w:pPr>
              <w:jc w:val="center"/>
              <w:rPr>
                <w:rFonts w:ascii="Arial Narrow" w:hAnsi="Arial Narrow"/>
                <w:sz w:val="18"/>
                <w:szCs w:val="18"/>
              </w:rPr>
            </w:pPr>
            <w:r>
              <w:rPr>
                <w:rFonts w:ascii="Arial Narrow" w:hAnsi="Arial Narrow"/>
                <w:sz w:val="18"/>
                <w:szCs w:val="18"/>
              </w:rPr>
              <w:t>49,0 %</w:t>
            </w:r>
          </w:p>
        </w:tc>
        <w:tc>
          <w:tcPr>
            <w:tcW w:w="1276" w:type="dxa"/>
            <w:tcBorders>
              <w:left w:val="single" w:sz="4" w:space="0" w:color="2F5496" w:themeColor="accent1" w:themeShade="BF"/>
            </w:tcBorders>
            <w:vAlign w:val="center"/>
          </w:tcPr>
          <w:p w14:paraId="48DA6BCA" w14:textId="77777777" w:rsidR="00D215BF" w:rsidRPr="00F67FC5" w:rsidRDefault="00D215BF" w:rsidP="004A0C47">
            <w:pPr>
              <w:jc w:val="center"/>
              <w:rPr>
                <w:rFonts w:ascii="Arial Narrow" w:hAnsi="Arial Narrow"/>
                <w:sz w:val="18"/>
                <w:szCs w:val="18"/>
              </w:rPr>
            </w:pPr>
            <w:r>
              <w:rPr>
                <w:rFonts w:ascii="Arial Narrow" w:hAnsi="Arial Narrow"/>
                <w:sz w:val="18"/>
                <w:szCs w:val="18"/>
              </w:rPr>
              <w:t>15,9 %</w:t>
            </w:r>
          </w:p>
        </w:tc>
        <w:tc>
          <w:tcPr>
            <w:tcW w:w="1276" w:type="dxa"/>
            <w:vAlign w:val="center"/>
          </w:tcPr>
          <w:p w14:paraId="7E65FA66" w14:textId="77777777" w:rsidR="00D215BF" w:rsidRPr="000C2425" w:rsidRDefault="00D215BF" w:rsidP="004A0C47">
            <w:pPr>
              <w:jc w:val="center"/>
              <w:rPr>
                <w:rFonts w:ascii="Arial Narrow" w:hAnsi="Arial Narrow"/>
                <w:b/>
                <w:bCs/>
                <w:sz w:val="18"/>
                <w:szCs w:val="18"/>
              </w:rPr>
            </w:pPr>
            <w:r w:rsidRPr="000C2425">
              <w:rPr>
                <w:rFonts w:ascii="Arial Narrow" w:hAnsi="Arial Narrow"/>
                <w:b/>
                <w:bCs/>
                <w:color w:val="C00000"/>
                <w:sz w:val="18"/>
                <w:szCs w:val="18"/>
              </w:rPr>
              <w:t>20,2 %</w:t>
            </w:r>
          </w:p>
        </w:tc>
      </w:tr>
      <w:tr w:rsidR="00127FC6" w:rsidRPr="0054620D" w14:paraId="63563F2F" w14:textId="77777777" w:rsidTr="00127FC6">
        <w:trPr>
          <w:trHeight w:val="489"/>
        </w:trPr>
        <w:tc>
          <w:tcPr>
            <w:tcW w:w="1161" w:type="dxa"/>
            <w:shd w:val="clear" w:color="auto" w:fill="D9E2F3" w:themeFill="accent1" w:themeFillTint="33"/>
            <w:vAlign w:val="center"/>
          </w:tcPr>
          <w:p w14:paraId="32192448" w14:textId="77777777" w:rsidR="00D215BF" w:rsidRPr="0054620D" w:rsidRDefault="00D215BF" w:rsidP="004A0C47">
            <w:pPr>
              <w:jc w:val="center"/>
              <w:rPr>
                <w:rFonts w:ascii="Arial Narrow" w:hAnsi="Arial Narrow"/>
                <w:b/>
                <w:bCs/>
                <w:sz w:val="18"/>
                <w:szCs w:val="18"/>
              </w:rPr>
            </w:pPr>
            <w:r w:rsidRPr="0054620D">
              <w:rPr>
                <w:rFonts w:ascii="Arial Narrow" w:hAnsi="Arial Narrow"/>
                <w:b/>
                <w:bCs/>
                <w:sz w:val="18"/>
                <w:szCs w:val="18"/>
              </w:rPr>
              <w:t>ORP Brno</w:t>
            </w:r>
          </w:p>
        </w:tc>
        <w:tc>
          <w:tcPr>
            <w:tcW w:w="1276" w:type="dxa"/>
            <w:shd w:val="clear" w:color="auto" w:fill="FFF3F3"/>
            <w:vAlign w:val="center"/>
          </w:tcPr>
          <w:p w14:paraId="0991A03F" w14:textId="77777777" w:rsidR="00D215BF" w:rsidRPr="00F67FC5" w:rsidRDefault="00D215BF" w:rsidP="004A0C47">
            <w:pPr>
              <w:jc w:val="center"/>
              <w:rPr>
                <w:rFonts w:ascii="Arial Narrow" w:hAnsi="Arial Narrow"/>
                <w:sz w:val="18"/>
                <w:szCs w:val="18"/>
              </w:rPr>
            </w:pPr>
            <w:r>
              <w:rPr>
                <w:rFonts w:ascii="Arial Narrow" w:hAnsi="Arial Narrow"/>
                <w:sz w:val="18"/>
                <w:szCs w:val="18"/>
              </w:rPr>
              <w:t>41,5 %</w:t>
            </w:r>
          </w:p>
        </w:tc>
        <w:tc>
          <w:tcPr>
            <w:tcW w:w="1276" w:type="dxa"/>
            <w:tcBorders>
              <w:right w:val="single" w:sz="4" w:space="0" w:color="2F5496" w:themeColor="accent1" w:themeShade="BF"/>
            </w:tcBorders>
            <w:shd w:val="clear" w:color="auto" w:fill="ECF3FA"/>
            <w:vAlign w:val="center"/>
          </w:tcPr>
          <w:p w14:paraId="32BD4C4E" w14:textId="77777777" w:rsidR="00D215BF" w:rsidRPr="00F67FC5" w:rsidRDefault="00D215BF" w:rsidP="004A0C47">
            <w:pPr>
              <w:jc w:val="center"/>
              <w:rPr>
                <w:rFonts w:ascii="Arial Narrow" w:hAnsi="Arial Narrow"/>
                <w:sz w:val="18"/>
                <w:szCs w:val="18"/>
              </w:rPr>
            </w:pPr>
            <w:r>
              <w:rPr>
                <w:rFonts w:ascii="Arial Narrow" w:hAnsi="Arial Narrow"/>
                <w:sz w:val="18"/>
                <w:szCs w:val="18"/>
              </w:rPr>
              <w:t>58,5 %</w:t>
            </w:r>
          </w:p>
        </w:tc>
        <w:tc>
          <w:tcPr>
            <w:tcW w:w="1276" w:type="dxa"/>
            <w:tcBorders>
              <w:left w:val="single" w:sz="4" w:space="0" w:color="2F5496" w:themeColor="accent1" w:themeShade="BF"/>
            </w:tcBorders>
            <w:shd w:val="clear" w:color="auto" w:fill="FFF3F3"/>
            <w:vAlign w:val="center"/>
          </w:tcPr>
          <w:p w14:paraId="232527C0" w14:textId="77777777" w:rsidR="00D215BF" w:rsidRDefault="00D215BF" w:rsidP="004A0C47">
            <w:pPr>
              <w:jc w:val="center"/>
              <w:rPr>
                <w:rFonts w:ascii="Arial Narrow" w:hAnsi="Arial Narrow"/>
                <w:sz w:val="18"/>
                <w:szCs w:val="18"/>
              </w:rPr>
            </w:pPr>
            <w:r>
              <w:rPr>
                <w:rFonts w:ascii="Arial Narrow" w:hAnsi="Arial Narrow"/>
                <w:sz w:val="18"/>
                <w:szCs w:val="18"/>
              </w:rPr>
              <w:t>49,3 %</w:t>
            </w:r>
          </w:p>
        </w:tc>
        <w:tc>
          <w:tcPr>
            <w:tcW w:w="1276" w:type="dxa"/>
            <w:tcBorders>
              <w:right w:val="single" w:sz="4" w:space="0" w:color="2F5496" w:themeColor="accent1" w:themeShade="BF"/>
            </w:tcBorders>
            <w:shd w:val="clear" w:color="auto" w:fill="ECF3FA"/>
            <w:vAlign w:val="center"/>
          </w:tcPr>
          <w:p w14:paraId="6372BB4D" w14:textId="77777777" w:rsidR="00D215BF" w:rsidRDefault="00D215BF" w:rsidP="004A0C47">
            <w:pPr>
              <w:jc w:val="center"/>
              <w:rPr>
                <w:rFonts w:ascii="Arial Narrow" w:hAnsi="Arial Narrow"/>
                <w:sz w:val="18"/>
                <w:szCs w:val="18"/>
              </w:rPr>
            </w:pPr>
            <w:r>
              <w:rPr>
                <w:rFonts w:ascii="Arial Narrow" w:hAnsi="Arial Narrow"/>
                <w:sz w:val="18"/>
                <w:szCs w:val="18"/>
              </w:rPr>
              <w:t>50,7 %</w:t>
            </w:r>
          </w:p>
        </w:tc>
        <w:tc>
          <w:tcPr>
            <w:tcW w:w="1276" w:type="dxa"/>
            <w:tcBorders>
              <w:left w:val="single" w:sz="4" w:space="0" w:color="2F5496" w:themeColor="accent1" w:themeShade="BF"/>
            </w:tcBorders>
            <w:vAlign w:val="center"/>
          </w:tcPr>
          <w:p w14:paraId="43886EE9" w14:textId="77777777" w:rsidR="00D215BF" w:rsidRDefault="00D215BF" w:rsidP="004A0C47">
            <w:pPr>
              <w:jc w:val="center"/>
              <w:rPr>
                <w:rFonts w:ascii="Arial Narrow" w:hAnsi="Arial Narrow"/>
                <w:sz w:val="18"/>
                <w:szCs w:val="18"/>
              </w:rPr>
            </w:pPr>
            <w:r>
              <w:rPr>
                <w:rFonts w:ascii="Arial Narrow" w:hAnsi="Arial Narrow"/>
                <w:sz w:val="18"/>
                <w:szCs w:val="18"/>
              </w:rPr>
              <w:t>8,4 %</w:t>
            </w:r>
          </w:p>
        </w:tc>
        <w:tc>
          <w:tcPr>
            <w:tcW w:w="1276" w:type="dxa"/>
            <w:vAlign w:val="center"/>
          </w:tcPr>
          <w:p w14:paraId="6413B6BC" w14:textId="77777777" w:rsidR="00D215BF" w:rsidRPr="000C2425" w:rsidRDefault="00D215BF" w:rsidP="004A0C47">
            <w:pPr>
              <w:jc w:val="center"/>
              <w:rPr>
                <w:rFonts w:ascii="Arial Narrow" w:hAnsi="Arial Narrow"/>
                <w:b/>
                <w:bCs/>
                <w:sz w:val="18"/>
                <w:szCs w:val="18"/>
              </w:rPr>
            </w:pPr>
            <w:r w:rsidRPr="000C2425">
              <w:rPr>
                <w:rFonts w:ascii="Arial Narrow" w:hAnsi="Arial Narrow"/>
                <w:b/>
                <w:bCs/>
                <w:color w:val="C00000"/>
                <w:sz w:val="18"/>
                <w:szCs w:val="18"/>
              </w:rPr>
              <w:t>26,5 %</w:t>
            </w:r>
          </w:p>
        </w:tc>
      </w:tr>
      <w:tr w:rsidR="00127FC6" w:rsidRPr="0054620D" w14:paraId="4EAC9944" w14:textId="77777777" w:rsidTr="00127FC6">
        <w:trPr>
          <w:trHeight w:val="489"/>
        </w:trPr>
        <w:tc>
          <w:tcPr>
            <w:tcW w:w="1161" w:type="dxa"/>
            <w:shd w:val="clear" w:color="auto" w:fill="D9E2F3" w:themeFill="accent1" w:themeFillTint="33"/>
            <w:vAlign w:val="center"/>
          </w:tcPr>
          <w:p w14:paraId="7EC2D5B2" w14:textId="77777777" w:rsidR="00D215BF" w:rsidRPr="0054620D" w:rsidRDefault="00D215BF" w:rsidP="004A0C47">
            <w:pPr>
              <w:jc w:val="center"/>
              <w:rPr>
                <w:rFonts w:ascii="Arial Narrow" w:hAnsi="Arial Narrow"/>
                <w:b/>
                <w:bCs/>
                <w:sz w:val="18"/>
                <w:szCs w:val="18"/>
              </w:rPr>
            </w:pPr>
            <w:r w:rsidRPr="0054620D">
              <w:rPr>
                <w:rFonts w:ascii="Arial Narrow" w:hAnsi="Arial Narrow"/>
                <w:b/>
                <w:bCs/>
                <w:sz w:val="18"/>
                <w:szCs w:val="18"/>
              </w:rPr>
              <w:t>ORP Břeclav</w:t>
            </w:r>
          </w:p>
        </w:tc>
        <w:tc>
          <w:tcPr>
            <w:tcW w:w="1276" w:type="dxa"/>
            <w:shd w:val="clear" w:color="auto" w:fill="FFF3F3"/>
            <w:vAlign w:val="center"/>
          </w:tcPr>
          <w:p w14:paraId="138D15E3" w14:textId="77777777" w:rsidR="00D215BF" w:rsidRPr="00F67FC5" w:rsidRDefault="00D215BF" w:rsidP="004A0C47">
            <w:pPr>
              <w:jc w:val="center"/>
              <w:rPr>
                <w:rFonts w:ascii="Arial Narrow" w:hAnsi="Arial Narrow"/>
                <w:sz w:val="18"/>
                <w:szCs w:val="18"/>
              </w:rPr>
            </w:pPr>
            <w:r>
              <w:rPr>
                <w:rFonts w:ascii="Arial Narrow" w:hAnsi="Arial Narrow"/>
                <w:sz w:val="18"/>
                <w:szCs w:val="18"/>
              </w:rPr>
              <w:t>46,1 %</w:t>
            </w:r>
          </w:p>
        </w:tc>
        <w:tc>
          <w:tcPr>
            <w:tcW w:w="1276" w:type="dxa"/>
            <w:tcBorders>
              <w:right w:val="single" w:sz="4" w:space="0" w:color="2F5496" w:themeColor="accent1" w:themeShade="BF"/>
            </w:tcBorders>
            <w:shd w:val="clear" w:color="auto" w:fill="ECF3FA"/>
            <w:vAlign w:val="center"/>
          </w:tcPr>
          <w:p w14:paraId="268D61A2" w14:textId="77777777" w:rsidR="00D215BF" w:rsidRPr="00F67FC5" w:rsidRDefault="00D215BF" w:rsidP="004A0C47">
            <w:pPr>
              <w:jc w:val="center"/>
              <w:rPr>
                <w:rFonts w:ascii="Arial Narrow" w:hAnsi="Arial Narrow"/>
                <w:sz w:val="18"/>
                <w:szCs w:val="18"/>
              </w:rPr>
            </w:pPr>
            <w:r>
              <w:rPr>
                <w:rFonts w:ascii="Arial Narrow" w:hAnsi="Arial Narrow"/>
                <w:sz w:val="18"/>
                <w:szCs w:val="18"/>
              </w:rPr>
              <w:t>53,9 %</w:t>
            </w:r>
          </w:p>
        </w:tc>
        <w:tc>
          <w:tcPr>
            <w:tcW w:w="1276" w:type="dxa"/>
            <w:tcBorders>
              <w:left w:val="single" w:sz="4" w:space="0" w:color="2F5496" w:themeColor="accent1" w:themeShade="BF"/>
            </w:tcBorders>
            <w:shd w:val="clear" w:color="auto" w:fill="FFF3F3"/>
            <w:vAlign w:val="center"/>
          </w:tcPr>
          <w:p w14:paraId="18E75839" w14:textId="77777777" w:rsidR="00D215BF" w:rsidRPr="000C2425" w:rsidRDefault="00D215BF" w:rsidP="004A0C47">
            <w:pPr>
              <w:jc w:val="center"/>
              <w:rPr>
                <w:rFonts w:ascii="Arial Narrow" w:hAnsi="Arial Narrow"/>
                <w:b/>
                <w:bCs/>
                <w:sz w:val="18"/>
                <w:szCs w:val="18"/>
              </w:rPr>
            </w:pPr>
            <w:r w:rsidRPr="000C2425">
              <w:rPr>
                <w:rFonts w:ascii="Arial Narrow" w:hAnsi="Arial Narrow"/>
                <w:b/>
                <w:bCs/>
                <w:color w:val="C00000"/>
                <w:sz w:val="18"/>
                <w:szCs w:val="18"/>
              </w:rPr>
              <w:t>59,6 %</w:t>
            </w:r>
          </w:p>
        </w:tc>
        <w:tc>
          <w:tcPr>
            <w:tcW w:w="1276" w:type="dxa"/>
            <w:tcBorders>
              <w:right w:val="single" w:sz="4" w:space="0" w:color="2F5496" w:themeColor="accent1" w:themeShade="BF"/>
            </w:tcBorders>
            <w:shd w:val="clear" w:color="auto" w:fill="ECF3FA"/>
            <w:vAlign w:val="center"/>
          </w:tcPr>
          <w:p w14:paraId="7E304A69" w14:textId="77777777" w:rsidR="00D215BF" w:rsidRDefault="00D215BF" w:rsidP="004A0C47">
            <w:pPr>
              <w:jc w:val="center"/>
              <w:rPr>
                <w:rFonts w:ascii="Arial Narrow" w:hAnsi="Arial Narrow"/>
                <w:sz w:val="18"/>
                <w:szCs w:val="18"/>
              </w:rPr>
            </w:pPr>
            <w:r>
              <w:rPr>
                <w:rFonts w:ascii="Arial Narrow" w:hAnsi="Arial Narrow"/>
                <w:sz w:val="18"/>
                <w:szCs w:val="18"/>
              </w:rPr>
              <w:t>40,4 %</w:t>
            </w:r>
          </w:p>
        </w:tc>
        <w:tc>
          <w:tcPr>
            <w:tcW w:w="1276" w:type="dxa"/>
            <w:tcBorders>
              <w:left w:val="single" w:sz="4" w:space="0" w:color="2F5496" w:themeColor="accent1" w:themeShade="BF"/>
            </w:tcBorders>
            <w:vAlign w:val="center"/>
          </w:tcPr>
          <w:p w14:paraId="1DA397D5" w14:textId="77777777" w:rsidR="00D215BF" w:rsidRDefault="00D215BF" w:rsidP="004A0C47">
            <w:pPr>
              <w:jc w:val="center"/>
              <w:rPr>
                <w:rFonts w:ascii="Arial Narrow" w:hAnsi="Arial Narrow"/>
                <w:sz w:val="18"/>
                <w:szCs w:val="18"/>
              </w:rPr>
            </w:pPr>
            <w:r>
              <w:rPr>
                <w:rFonts w:ascii="Arial Narrow" w:hAnsi="Arial Narrow"/>
                <w:sz w:val="18"/>
                <w:szCs w:val="18"/>
              </w:rPr>
              <w:t>9,1 %</w:t>
            </w:r>
          </w:p>
        </w:tc>
        <w:tc>
          <w:tcPr>
            <w:tcW w:w="1276" w:type="dxa"/>
            <w:vAlign w:val="center"/>
          </w:tcPr>
          <w:p w14:paraId="28047942" w14:textId="77777777" w:rsidR="00D215BF" w:rsidRDefault="00D215BF" w:rsidP="004A0C47">
            <w:pPr>
              <w:jc w:val="center"/>
              <w:rPr>
                <w:rFonts w:ascii="Arial Narrow" w:hAnsi="Arial Narrow"/>
                <w:sz w:val="18"/>
                <w:szCs w:val="18"/>
              </w:rPr>
            </w:pPr>
            <w:r>
              <w:rPr>
                <w:rFonts w:ascii="Arial Narrow" w:hAnsi="Arial Narrow"/>
                <w:sz w:val="18"/>
                <w:szCs w:val="18"/>
              </w:rPr>
              <w:t>16,8 %</w:t>
            </w:r>
          </w:p>
        </w:tc>
      </w:tr>
      <w:tr w:rsidR="00127FC6" w:rsidRPr="0054620D" w14:paraId="257278CF" w14:textId="77777777" w:rsidTr="00127FC6">
        <w:trPr>
          <w:trHeight w:val="489"/>
        </w:trPr>
        <w:tc>
          <w:tcPr>
            <w:tcW w:w="1161" w:type="dxa"/>
            <w:shd w:val="clear" w:color="auto" w:fill="D9E2F3" w:themeFill="accent1" w:themeFillTint="33"/>
            <w:vAlign w:val="center"/>
          </w:tcPr>
          <w:p w14:paraId="4E8099B2" w14:textId="77777777" w:rsidR="00D215BF" w:rsidRPr="0054620D" w:rsidRDefault="00D215BF" w:rsidP="004A0C47">
            <w:pPr>
              <w:jc w:val="center"/>
              <w:rPr>
                <w:rFonts w:ascii="Arial Narrow" w:hAnsi="Arial Narrow"/>
                <w:b/>
                <w:bCs/>
                <w:sz w:val="18"/>
                <w:szCs w:val="18"/>
              </w:rPr>
            </w:pPr>
            <w:r w:rsidRPr="0054620D">
              <w:rPr>
                <w:rFonts w:ascii="Arial Narrow" w:hAnsi="Arial Narrow"/>
                <w:b/>
                <w:bCs/>
                <w:sz w:val="18"/>
                <w:szCs w:val="18"/>
              </w:rPr>
              <w:t>ORP Kuřim</w:t>
            </w:r>
          </w:p>
        </w:tc>
        <w:tc>
          <w:tcPr>
            <w:tcW w:w="1276" w:type="dxa"/>
            <w:shd w:val="clear" w:color="auto" w:fill="FFF3F3"/>
            <w:vAlign w:val="center"/>
          </w:tcPr>
          <w:p w14:paraId="36953342" w14:textId="77777777" w:rsidR="00D215BF" w:rsidRPr="00F67FC5" w:rsidRDefault="00D215BF" w:rsidP="004A0C47">
            <w:pPr>
              <w:jc w:val="center"/>
              <w:rPr>
                <w:rFonts w:ascii="Arial Narrow" w:hAnsi="Arial Narrow"/>
                <w:sz w:val="18"/>
                <w:szCs w:val="18"/>
              </w:rPr>
            </w:pPr>
            <w:r>
              <w:rPr>
                <w:rFonts w:ascii="Arial Narrow" w:hAnsi="Arial Narrow"/>
                <w:sz w:val="18"/>
                <w:szCs w:val="18"/>
              </w:rPr>
              <w:t>52,6 %</w:t>
            </w:r>
          </w:p>
        </w:tc>
        <w:tc>
          <w:tcPr>
            <w:tcW w:w="1276" w:type="dxa"/>
            <w:tcBorders>
              <w:right w:val="single" w:sz="4" w:space="0" w:color="2F5496" w:themeColor="accent1" w:themeShade="BF"/>
            </w:tcBorders>
            <w:shd w:val="clear" w:color="auto" w:fill="ECF3FA"/>
            <w:vAlign w:val="center"/>
          </w:tcPr>
          <w:p w14:paraId="14DC2C8B" w14:textId="77777777" w:rsidR="00D215BF" w:rsidRPr="00F67FC5" w:rsidRDefault="00D215BF" w:rsidP="004A0C47">
            <w:pPr>
              <w:jc w:val="center"/>
              <w:rPr>
                <w:rFonts w:ascii="Arial Narrow" w:hAnsi="Arial Narrow"/>
                <w:sz w:val="18"/>
                <w:szCs w:val="18"/>
              </w:rPr>
            </w:pPr>
            <w:r>
              <w:rPr>
                <w:rFonts w:ascii="Arial Narrow" w:hAnsi="Arial Narrow"/>
                <w:sz w:val="18"/>
                <w:szCs w:val="18"/>
              </w:rPr>
              <w:t>47,4 %</w:t>
            </w:r>
          </w:p>
        </w:tc>
        <w:tc>
          <w:tcPr>
            <w:tcW w:w="1276" w:type="dxa"/>
            <w:tcBorders>
              <w:left w:val="single" w:sz="4" w:space="0" w:color="2F5496" w:themeColor="accent1" w:themeShade="BF"/>
            </w:tcBorders>
            <w:shd w:val="clear" w:color="auto" w:fill="FFF3F3"/>
            <w:vAlign w:val="center"/>
          </w:tcPr>
          <w:p w14:paraId="5DA5817F" w14:textId="77777777" w:rsidR="00D215BF" w:rsidRPr="000C2425" w:rsidRDefault="00D215BF" w:rsidP="004A0C47">
            <w:pPr>
              <w:jc w:val="center"/>
              <w:rPr>
                <w:rFonts w:ascii="Arial Narrow" w:hAnsi="Arial Narrow"/>
                <w:b/>
                <w:bCs/>
                <w:sz w:val="18"/>
                <w:szCs w:val="18"/>
              </w:rPr>
            </w:pPr>
            <w:r w:rsidRPr="000C2425">
              <w:rPr>
                <w:rFonts w:ascii="Arial Narrow" w:hAnsi="Arial Narrow"/>
                <w:b/>
                <w:bCs/>
                <w:color w:val="C00000"/>
                <w:sz w:val="18"/>
                <w:szCs w:val="18"/>
              </w:rPr>
              <w:t>58,2 %</w:t>
            </w:r>
          </w:p>
        </w:tc>
        <w:tc>
          <w:tcPr>
            <w:tcW w:w="1276" w:type="dxa"/>
            <w:tcBorders>
              <w:right w:val="single" w:sz="4" w:space="0" w:color="2F5496" w:themeColor="accent1" w:themeShade="BF"/>
            </w:tcBorders>
            <w:shd w:val="clear" w:color="auto" w:fill="ECF3FA"/>
            <w:vAlign w:val="center"/>
          </w:tcPr>
          <w:p w14:paraId="3165DD66" w14:textId="77777777" w:rsidR="00D215BF" w:rsidRDefault="00D215BF" w:rsidP="004A0C47">
            <w:pPr>
              <w:jc w:val="center"/>
              <w:rPr>
                <w:rFonts w:ascii="Arial Narrow" w:hAnsi="Arial Narrow"/>
                <w:sz w:val="18"/>
                <w:szCs w:val="18"/>
              </w:rPr>
            </w:pPr>
            <w:r>
              <w:rPr>
                <w:rFonts w:ascii="Arial Narrow" w:hAnsi="Arial Narrow"/>
                <w:sz w:val="18"/>
                <w:szCs w:val="18"/>
              </w:rPr>
              <w:t>41,8 %</w:t>
            </w:r>
          </w:p>
        </w:tc>
        <w:tc>
          <w:tcPr>
            <w:tcW w:w="1276" w:type="dxa"/>
            <w:tcBorders>
              <w:left w:val="single" w:sz="4" w:space="0" w:color="2F5496" w:themeColor="accent1" w:themeShade="BF"/>
            </w:tcBorders>
            <w:vAlign w:val="center"/>
          </w:tcPr>
          <w:p w14:paraId="2BEB59FD" w14:textId="77777777" w:rsidR="00D215BF" w:rsidRDefault="00D215BF" w:rsidP="004A0C47">
            <w:pPr>
              <w:jc w:val="center"/>
              <w:rPr>
                <w:rFonts w:ascii="Arial Narrow" w:hAnsi="Arial Narrow"/>
                <w:sz w:val="18"/>
                <w:szCs w:val="18"/>
              </w:rPr>
            </w:pPr>
            <w:r>
              <w:rPr>
                <w:rFonts w:ascii="Arial Narrow" w:hAnsi="Arial Narrow"/>
                <w:sz w:val="18"/>
                <w:szCs w:val="18"/>
              </w:rPr>
              <w:t>7,4 %</w:t>
            </w:r>
          </w:p>
        </w:tc>
        <w:tc>
          <w:tcPr>
            <w:tcW w:w="1276" w:type="dxa"/>
            <w:vAlign w:val="center"/>
          </w:tcPr>
          <w:p w14:paraId="7EE800C5" w14:textId="77777777" w:rsidR="00D215BF" w:rsidRDefault="00D215BF" w:rsidP="004A0C47">
            <w:pPr>
              <w:jc w:val="center"/>
              <w:rPr>
                <w:rFonts w:ascii="Arial Narrow" w:hAnsi="Arial Narrow"/>
                <w:sz w:val="18"/>
                <w:szCs w:val="18"/>
              </w:rPr>
            </w:pPr>
            <w:r>
              <w:rPr>
                <w:rFonts w:ascii="Arial Narrow" w:hAnsi="Arial Narrow"/>
                <w:sz w:val="18"/>
                <w:szCs w:val="18"/>
              </w:rPr>
              <w:t>18,5 %</w:t>
            </w:r>
          </w:p>
        </w:tc>
      </w:tr>
      <w:tr w:rsidR="00127FC6" w:rsidRPr="0054620D" w14:paraId="1E650383" w14:textId="77777777" w:rsidTr="00127FC6">
        <w:trPr>
          <w:trHeight w:val="489"/>
        </w:trPr>
        <w:tc>
          <w:tcPr>
            <w:tcW w:w="1161" w:type="dxa"/>
            <w:shd w:val="clear" w:color="auto" w:fill="D9E2F3" w:themeFill="accent1" w:themeFillTint="33"/>
            <w:vAlign w:val="center"/>
          </w:tcPr>
          <w:p w14:paraId="33915EC3" w14:textId="77777777" w:rsidR="00D215BF" w:rsidRPr="0054620D" w:rsidRDefault="00D215BF" w:rsidP="004A0C47">
            <w:pPr>
              <w:jc w:val="center"/>
              <w:rPr>
                <w:rFonts w:ascii="Arial Narrow" w:hAnsi="Arial Narrow"/>
                <w:b/>
                <w:bCs/>
                <w:sz w:val="18"/>
                <w:szCs w:val="18"/>
              </w:rPr>
            </w:pPr>
            <w:r w:rsidRPr="0054620D">
              <w:rPr>
                <w:rFonts w:ascii="Arial Narrow" w:hAnsi="Arial Narrow"/>
                <w:b/>
                <w:bCs/>
                <w:sz w:val="18"/>
                <w:szCs w:val="18"/>
              </w:rPr>
              <w:t>ORP Tišnov</w:t>
            </w:r>
          </w:p>
        </w:tc>
        <w:tc>
          <w:tcPr>
            <w:tcW w:w="1276" w:type="dxa"/>
            <w:shd w:val="clear" w:color="auto" w:fill="FFF3F3"/>
            <w:vAlign w:val="center"/>
          </w:tcPr>
          <w:p w14:paraId="6AED3634" w14:textId="77777777" w:rsidR="00D215BF" w:rsidRPr="00F67FC5" w:rsidRDefault="00D215BF" w:rsidP="004A0C47">
            <w:pPr>
              <w:jc w:val="center"/>
              <w:rPr>
                <w:rFonts w:ascii="Arial Narrow" w:hAnsi="Arial Narrow"/>
                <w:sz w:val="18"/>
                <w:szCs w:val="18"/>
              </w:rPr>
            </w:pPr>
            <w:r>
              <w:rPr>
                <w:rFonts w:ascii="Arial Narrow" w:hAnsi="Arial Narrow"/>
                <w:sz w:val="18"/>
                <w:szCs w:val="18"/>
              </w:rPr>
              <w:t>45,6 %</w:t>
            </w:r>
          </w:p>
        </w:tc>
        <w:tc>
          <w:tcPr>
            <w:tcW w:w="1276" w:type="dxa"/>
            <w:tcBorders>
              <w:right w:val="single" w:sz="4" w:space="0" w:color="2F5496" w:themeColor="accent1" w:themeShade="BF"/>
            </w:tcBorders>
            <w:shd w:val="clear" w:color="auto" w:fill="ECF3FA"/>
            <w:vAlign w:val="center"/>
          </w:tcPr>
          <w:p w14:paraId="29456127" w14:textId="77777777" w:rsidR="00D215BF" w:rsidRPr="00F67FC5" w:rsidRDefault="00D215BF" w:rsidP="004A0C47">
            <w:pPr>
              <w:jc w:val="center"/>
              <w:rPr>
                <w:rFonts w:ascii="Arial Narrow" w:hAnsi="Arial Narrow"/>
                <w:sz w:val="18"/>
                <w:szCs w:val="18"/>
              </w:rPr>
            </w:pPr>
            <w:r>
              <w:rPr>
                <w:rFonts w:ascii="Arial Narrow" w:hAnsi="Arial Narrow"/>
                <w:sz w:val="18"/>
                <w:szCs w:val="18"/>
              </w:rPr>
              <w:t>54,4 %</w:t>
            </w:r>
          </w:p>
        </w:tc>
        <w:tc>
          <w:tcPr>
            <w:tcW w:w="1276" w:type="dxa"/>
            <w:tcBorders>
              <w:left w:val="single" w:sz="4" w:space="0" w:color="2F5496" w:themeColor="accent1" w:themeShade="BF"/>
            </w:tcBorders>
            <w:shd w:val="clear" w:color="auto" w:fill="FFF3F3"/>
            <w:vAlign w:val="center"/>
          </w:tcPr>
          <w:p w14:paraId="65ACDD2C" w14:textId="77777777" w:rsidR="00D215BF" w:rsidRPr="00F67FC5" w:rsidRDefault="00D215BF" w:rsidP="004A0C47">
            <w:pPr>
              <w:jc w:val="center"/>
              <w:rPr>
                <w:rFonts w:ascii="Arial Narrow" w:hAnsi="Arial Narrow"/>
                <w:sz w:val="18"/>
                <w:szCs w:val="18"/>
              </w:rPr>
            </w:pPr>
            <w:r>
              <w:rPr>
                <w:rFonts w:ascii="Arial Narrow" w:hAnsi="Arial Narrow"/>
                <w:sz w:val="18"/>
                <w:szCs w:val="18"/>
              </w:rPr>
              <w:t>54,3 %</w:t>
            </w:r>
          </w:p>
        </w:tc>
        <w:tc>
          <w:tcPr>
            <w:tcW w:w="1276" w:type="dxa"/>
            <w:tcBorders>
              <w:right w:val="single" w:sz="4" w:space="0" w:color="2F5496" w:themeColor="accent1" w:themeShade="BF"/>
            </w:tcBorders>
            <w:shd w:val="clear" w:color="auto" w:fill="ECF3FA"/>
            <w:vAlign w:val="center"/>
          </w:tcPr>
          <w:p w14:paraId="33ADD02E" w14:textId="77777777" w:rsidR="00D215BF" w:rsidRPr="00F67FC5" w:rsidRDefault="00D215BF" w:rsidP="004A0C47">
            <w:pPr>
              <w:jc w:val="center"/>
              <w:rPr>
                <w:rFonts w:ascii="Arial Narrow" w:hAnsi="Arial Narrow"/>
                <w:sz w:val="18"/>
                <w:szCs w:val="18"/>
              </w:rPr>
            </w:pPr>
            <w:r>
              <w:rPr>
                <w:rFonts w:ascii="Arial Narrow" w:hAnsi="Arial Narrow"/>
                <w:sz w:val="18"/>
                <w:szCs w:val="18"/>
              </w:rPr>
              <w:t>45,7 %</w:t>
            </w:r>
          </w:p>
        </w:tc>
        <w:tc>
          <w:tcPr>
            <w:tcW w:w="1276" w:type="dxa"/>
            <w:tcBorders>
              <w:left w:val="single" w:sz="4" w:space="0" w:color="2F5496" w:themeColor="accent1" w:themeShade="BF"/>
            </w:tcBorders>
            <w:vAlign w:val="center"/>
          </w:tcPr>
          <w:p w14:paraId="2E183D78" w14:textId="77777777" w:rsidR="00D215BF" w:rsidRPr="00F67FC5" w:rsidRDefault="00D215BF" w:rsidP="004A0C47">
            <w:pPr>
              <w:jc w:val="center"/>
              <w:rPr>
                <w:rFonts w:ascii="Arial Narrow" w:hAnsi="Arial Narrow"/>
                <w:sz w:val="18"/>
                <w:szCs w:val="18"/>
              </w:rPr>
            </w:pPr>
            <w:r>
              <w:rPr>
                <w:rFonts w:ascii="Arial Narrow" w:hAnsi="Arial Narrow"/>
                <w:sz w:val="18"/>
                <w:szCs w:val="18"/>
              </w:rPr>
              <w:t>9,0 %</w:t>
            </w:r>
          </w:p>
        </w:tc>
        <w:tc>
          <w:tcPr>
            <w:tcW w:w="1276" w:type="dxa"/>
            <w:vAlign w:val="center"/>
          </w:tcPr>
          <w:p w14:paraId="72FAE661" w14:textId="77777777" w:rsidR="00D215BF" w:rsidRPr="000C2425" w:rsidRDefault="00D215BF" w:rsidP="004A0C47">
            <w:pPr>
              <w:jc w:val="center"/>
              <w:rPr>
                <w:rFonts w:ascii="Arial Narrow" w:hAnsi="Arial Narrow"/>
                <w:b/>
                <w:bCs/>
                <w:sz w:val="18"/>
                <w:szCs w:val="18"/>
              </w:rPr>
            </w:pPr>
            <w:r w:rsidRPr="000C2425">
              <w:rPr>
                <w:rFonts w:ascii="Arial Narrow" w:hAnsi="Arial Narrow"/>
                <w:b/>
                <w:bCs/>
                <w:color w:val="C00000"/>
                <w:sz w:val="18"/>
                <w:szCs w:val="18"/>
              </w:rPr>
              <w:t>22,5 %</w:t>
            </w:r>
          </w:p>
        </w:tc>
      </w:tr>
      <w:tr w:rsidR="00127FC6" w:rsidRPr="0054620D" w14:paraId="0A656C58" w14:textId="77777777" w:rsidTr="00127FC6">
        <w:trPr>
          <w:trHeight w:val="489"/>
        </w:trPr>
        <w:tc>
          <w:tcPr>
            <w:tcW w:w="1161" w:type="dxa"/>
            <w:shd w:val="clear" w:color="auto" w:fill="D9E2F3" w:themeFill="accent1" w:themeFillTint="33"/>
            <w:vAlign w:val="center"/>
          </w:tcPr>
          <w:p w14:paraId="24447E33" w14:textId="77777777" w:rsidR="00D215BF" w:rsidRPr="0054620D" w:rsidRDefault="00D215BF" w:rsidP="004A0C47">
            <w:pPr>
              <w:jc w:val="center"/>
              <w:rPr>
                <w:rFonts w:ascii="Arial Narrow" w:hAnsi="Arial Narrow"/>
                <w:b/>
                <w:bCs/>
                <w:sz w:val="18"/>
                <w:szCs w:val="18"/>
              </w:rPr>
            </w:pPr>
            <w:r w:rsidRPr="0054620D">
              <w:rPr>
                <w:rFonts w:ascii="Arial Narrow" w:hAnsi="Arial Narrow"/>
                <w:b/>
                <w:bCs/>
                <w:sz w:val="18"/>
                <w:szCs w:val="18"/>
              </w:rPr>
              <w:t>ORP Vyškov</w:t>
            </w:r>
          </w:p>
        </w:tc>
        <w:tc>
          <w:tcPr>
            <w:tcW w:w="1276" w:type="dxa"/>
            <w:shd w:val="clear" w:color="auto" w:fill="FFF3F3"/>
            <w:vAlign w:val="center"/>
          </w:tcPr>
          <w:p w14:paraId="72AA3A8C" w14:textId="77777777" w:rsidR="00D215BF" w:rsidRPr="00F67FC5" w:rsidRDefault="00D215BF" w:rsidP="004A0C47">
            <w:pPr>
              <w:jc w:val="center"/>
              <w:rPr>
                <w:rFonts w:ascii="Arial Narrow" w:hAnsi="Arial Narrow"/>
                <w:sz w:val="18"/>
                <w:szCs w:val="18"/>
              </w:rPr>
            </w:pPr>
            <w:r>
              <w:rPr>
                <w:rFonts w:ascii="Arial Narrow" w:hAnsi="Arial Narrow"/>
                <w:sz w:val="18"/>
                <w:szCs w:val="18"/>
              </w:rPr>
              <w:t>44,9 %</w:t>
            </w:r>
          </w:p>
        </w:tc>
        <w:tc>
          <w:tcPr>
            <w:tcW w:w="1276" w:type="dxa"/>
            <w:tcBorders>
              <w:right w:val="single" w:sz="4" w:space="0" w:color="2F5496" w:themeColor="accent1" w:themeShade="BF"/>
            </w:tcBorders>
            <w:shd w:val="clear" w:color="auto" w:fill="ECF3FA"/>
            <w:vAlign w:val="center"/>
          </w:tcPr>
          <w:p w14:paraId="07950CC4" w14:textId="77777777" w:rsidR="00D215BF" w:rsidRPr="00F67FC5" w:rsidRDefault="00D215BF" w:rsidP="004A0C47">
            <w:pPr>
              <w:jc w:val="center"/>
              <w:rPr>
                <w:rFonts w:ascii="Arial Narrow" w:hAnsi="Arial Narrow"/>
                <w:sz w:val="18"/>
                <w:szCs w:val="18"/>
              </w:rPr>
            </w:pPr>
            <w:r>
              <w:rPr>
                <w:rFonts w:ascii="Arial Narrow" w:hAnsi="Arial Narrow"/>
                <w:sz w:val="18"/>
                <w:szCs w:val="18"/>
              </w:rPr>
              <w:t>55,1 %</w:t>
            </w:r>
          </w:p>
        </w:tc>
        <w:tc>
          <w:tcPr>
            <w:tcW w:w="1276" w:type="dxa"/>
            <w:tcBorders>
              <w:left w:val="single" w:sz="4" w:space="0" w:color="2F5496" w:themeColor="accent1" w:themeShade="BF"/>
              <w:bottom w:val="single" w:sz="4" w:space="0" w:color="B4C6E7" w:themeColor="accent1" w:themeTint="66"/>
              <w:right w:val="single" w:sz="4" w:space="0" w:color="B4C6E7" w:themeColor="accent1" w:themeTint="66"/>
            </w:tcBorders>
            <w:shd w:val="clear" w:color="auto" w:fill="FFF3F3"/>
            <w:vAlign w:val="center"/>
          </w:tcPr>
          <w:p w14:paraId="7C177113" w14:textId="77777777" w:rsidR="00D215BF" w:rsidRPr="00F67FC5" w:rsidRDefault="00D215BF" w:rsidP="004A0C47">
            <w:pPr>
              <w:jc w:val="center"/>
              <w:rPr>
                <w:rFonts w:ascii="Arial Narrow" w:hAnsi="Arial Narrow"/>
                <w:sz w:val="18"/>
                <w:szCs w:val="18"/>
              </w:rPr>
            </w:pPr>
            <w:r>
              <w:rPr>
                <w:rFonts w:ascii="Arial Narrow" w:hAnsi="Arial Narrow"/>
                <w:sz w:val="18"/>
                <w:szCs w:val="18"/>
              </w:rPr>
              <w:t>52,6 %</w:t>
            </w:r>
          </w:p>
        </w:tc>
        <w:tc>
          <w:tcPr>
            <w:tcW w:w="1276" w:type="dxa"/>
            <w:tcBorders>
              <w:left w:val="single" w:sz="4" w:space="0" w:color="B4C6E7" w:themeColor="accent1" w:themeTint="66"/>
              <w:bottom w:val="single" w:sz="4" w:space="0" w:color="B4C6E7" w:themeColor="accent1" w:themeTint="66"/>
              <w:right w:val="single" w:sz="4" w:space="0" w:color="2F5496" w:themeColor="accent1" w:themeShade="BF"/>
            </w:tcBorders>
            <w:shd w:val="clear" w:color="auto" w:fill="ECF3FA"/>
            <w:vAlign w:val="center"/>
          </w:tcPr>
          <w:p w14:paraId="2A59D6BF" w14:textId="77777777" w:rsidR="00D215BF" w:rsidRPr="00F67FC5" w:rsidRDefault="00D215BF" w:rsidP="004A0C47">
            <w:pPr>
              <w:jc w:val="center"/>
              <w:rPr>
                <w:rFonts w:ascii="Arial Narrow" w:hAnsi="Arial Narrow"/>
                <w:sz w:val="18"/>
                <w:szCs w:val="18"/>
              </w:rPr>
            </w:pPr>
            <w:r>
              <w:rPr>
                <w:rFonts w:ascii="Arial Narrow" w:hAnsi="Arial Narrow"/>
                <w:sz w:val="18"/>
                <w:szCs w:val="18"/>
              </w:rPr>
              <w:t>47,4 %</w:t>
            </w:r>
          </w:p>
        </w:tc>
        <w:tc>
          <w:tcPr>
            <w:tcW w:w="1276" w:type="dxa"/>
            <w:tcBorders>
              <w:left w:val="single" w:sz="4" w:space="0" w:color="2F5496" w:themeColor="accent1" w:themeShade="BF"/>
            </w:tcBorders>
            <w:vAlign w:val="center"/>
          </w:tcPr>
          <w:p w14:paraId="53902624" w14:textId="77777777" w:rsidR="00D215BF" w:rsidRPr="00F67FC5" w:rsidRDefault="00D215BF" w:rsidP="004A0C47">
            <w:pPr>
              <w:jc w:val="center"/>
              <w:rPr>
                <w:rFonts w:ascii="Arial Narrow" w:hAnsi="Arial Narrow"/>
                <w:sz w:val="18"/>
                <w:szCs w:val="18"/>
              </w:rPr>
            </w:pPr>
            <w:r>
              <w:rPr>
                <w:rFonts w:ascii="Arial Narrow" w:hAnsi="Arial Narrow"/>
                <w:sz w:val="18"/>
                <w:szCs w:val="18"/>
              </w:rPr>
              <w:t>9,3 %</w:t>
            </w:r>
          </w:p>
        </w:tc>
        <w:tc>
          <w:tcPr>
            <w:tcW w:w="1276" w:type="dxa"/>
            <w:vAlign w:val="center"/>
          </w:tcPr>
          <w:p w14:paraId="5C141B3A" w14:textId="77777777" w:rsidR="00D215BF" w:rsidRPr="00F67FC5" w:rsidRDefault="00D215BF" w:rsidP="004A0C47">
            <w:pPr>
              <w:jc w:val="center"/>
              <w:rPr>
                <w:rFonts w:ascii="Arial Narrow" w:hAnsi="Arial Narrow"/>
                <w:sz w:val="18"/>
                <w:szCs w:val="18"/>
              </w:rPr>
            </w:pPr>
            <w:r>
              <w:rPr>
                <w:rFonts w:ascii="Arial Narrow" w:hAnsi="Arial Narrow"/>
                <w:sz w:val="18"/>
                <w:szCs w:val="18"/>
              </w:rPr>
              <w:t>16,7 %</w:t>
            </w:r>
          </w:p>
        </w:tc>
      </w:tr>
    </w:tbl>
    <w:p w14:paraId="205DEEE2" w14:textId="77777777" w:rsidR="00923B27" w:rsidRDefault="00923B27" w:rsidP="00923B27">
      <w:pPr>
        <w:rPr>
          <w:rFonts w:ascii="Arial Narrow" w:hAnsi="Arial Narrow"/>
        </w:rPr>
      </w:pPr>
      <w:r w:rsidRPr="00CE357F">
        <w:rPr>
          <w:rFonts w:ascii="Arial Narrow" w:hAnsi="Arial Narrow"/>
          <w:color w:val="000000"/>
          <w:sz w:val="20"/>
          <w:szCs w:val="20"/>
          <w:lang w:eastAsia="cs-CZ"/>
        </w:rPr>
        <w:t>Zdroj: Ministerstvo Vnitra České republiky</w:t>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r>
      <w:r w:rsidRPr="00CE357F">
        <w:rPr>
          <w:rFonts w:ascii="Arial Narrow" w:hAnsi="Arial Narrow"/>
          <w:sz w:val="20"/>
          <w:szCs w:val="20"/>
        </w:rPr>
        <w:tab/>
        <w:t xml:space="preserve">   </w:t>
      </w:r>
      <w:r>
        <w:rPr>
          <w:rFonts w:ascii="Arial Narrow" w:hAnsi="Arial Narrow"/>
          <w:sz w:val="20"/>
          <w:szCs w:val="20"/>
        </w:rPr>
        <w:tab/>
        <w:t xml:space="preserve">Tabulka: AUGUR </w:t>
      </w:r>
      <w:proofErr w:type="spellStart"/>
      <w:r>
        <w:rPr>
          <w:rFonts w:ascii="Arial Narrow" w:hAnsi="Arial Narrow"/>
          <w:sz w:val="20"/>
          <w:szCs w:val="20"/>
        </w:rPr>
        <w:t>Consulting</w:t>
      </w:r>
      <w:proofErr w:type="spellEnd"/>
      <w:r>
        <w:rPr>
          <w:rFonts w:ascii="Arial Narrow" w:hAnsi="Arial Narrow"/>
          <w:sz w:val="20"/>
          <w:szCs w:val="20"/>
        </w:rPr>
        <w:t xml:space="preserve"> s.r.o.</w:t>
      </w:r>
    </w:p>
    <w:p w14:paraId="05D37C6F" w14:textId="297960A7" w:rsidR="00923B27" w:rsidRDefault="00923B27" w:rsidP="00732A00">
      <w:pPr>
        <w:rPr>
          <w:rFonts w:ascii="Arial Narrow" w:hAnsi="Arial Narrow"/>
        </w:rPr>
      </w:pPr>
    </w:p>
    <w:p w14:paraId="307DB798" w14:textId="41B44603" w:rsidR="00923B27" w:rsidRDefault="00923B27" w:rsidP="00732A00">
      <w:pPr>
        <w:rPr>
          <w:rFonts w:ascii="Arial Narrow" w:hAnsi="Arial Narrow"/>
        </w:rPr>
      </w:pPr>
    </w:p>
    <w:p w14:paraId="5CCA7646" w14:textId="77777777" w:rsidR="00923B27" w:rsidRPr="00C2607F" w:rsidRDefault="00923B27" w:rsidP="00923B27">
      <w:pPr>
        <w:spacing w:after="120" w:line="276" w:lineRule="auto"/>
        <w:jc w:val="both"/>
        <w:rPr>
          <w:rFonts w:ascii="Arial Narrow" w:hAnsi="Arial Narrow"/>
          <w:highlight w:val="yellow"/>
        </w:rPr>
      </w:pPr>
      <w:r>
        <w:rPr>
          <w:rFonts w:ascii="Arial Narrow" w:eastAsia="Calibri" w:hAnsi="Arial Narrow"/>
          <w:color w:val="000000"/>
          <w:u w:color="000000"/>
        </w:rPr>
        <w:t>Z</w:t>
      </w:r>
      <w:r w:rsidRPr="009931FE">
        <w:rPr>
          <w:rFonts w:ascii="Arial Narrow" w:eastAsia="Calibri" w:hAnsi="Arial Narrow"/>
          <w:color w:val="000000"/>
          <w:u w:color="000000"/>
        </w:rPr>
        <w:t>měny</w:t>
      </w:r>
      <w:r>
        <w:rPr>
          <w:rFonts w:ascii="Arial Narrow" w:eastAsia="Calibri" w:hAnsi="Arial Narrow"/>
          <w:color w:val="000000"/>
          <w:u w:color="000000"/>
        </w:rPr>
        <w:t xml:space="preserve"> v demografické struktuře vybraných ORP JMK</w:t>
      </w:r>
      <w:r w:rsidRPr="009931FE">
        <w:rPr>
          <w:rFonts w:ascii="Arial Narrow" w:eastAsia="Calibri" w:hAnsi="Arial Narrow"/>
          <w:color w:val="000000"/>
          <w:u w:color="000000"/>
        </w:rPr>
        <w:t xml:space="preserve"> budou </w:t>
      </w:r>
      <w:r>
        <w:rPr>
          <w:rFonts w:ascii="Arial Narrow" w:eastAsia="Calibri" w:hAnsi="Arial Narrow"/>
          <w:color w:val="000000"/>
          <w:u w:color="000000"/>
        </w:rPr>
        <w:t>očekávatelné</w:t>
      </w:r>
      <w:r w:rsidRPr="009931FE">
        <w:rPr>
          <w:rFonts w:ascii="Arial Narrow" w:eastAsia="Calibri" w:hAnsi="Arial Narrow"/>
          <w:color w:val="000000"/>
          <w:u w:color="000000"/>
        </w:rPr>
        <w:t xml:space="preserve"> také po ukončení konfliktu, kdy je </w:t>
      </w:r>
      <w:r>
        <w:rPr>
          <w:rFonts w:ascii="Arial Narrow" w:eastAsia="Calibri" w:hAnsi="Arial Narrow"/>
          <w:color w:val="000000"/>
          <w:u w:color="000000"/>
        </w:rPr>
        <w:t>pravděpodobný</w:t>
      </w:r>
      <w:r w:rsidRPr="009931FE">
        <w:rPr>
          <w:rFonts w:ascii="Arial Narrow" w:eastAsia="Calibri" w:hAnsi="Arial Narrow"/>
          <w:color w:val="000000"/>
          <w:u w:color="000000"/>
        </w:rPr>
        <w:t xml:space="preserve"> návrat části osob s ukrajinskou státní příslušností zpět do země původu.</w:t>
      </w:r>
      <w:r>
        <w:rPr>
          <w:rFonts w:ascii="Arial Narrow" w:hAnsi="Arial Narrow"/>
        </w:rPr>
        <w:t xml:space="preserve"> </w:t>
      </w:r>
    </w:p>
    <w:p w14:paraId="3BEEA9EC" w14:textId="515FB438" w:rsidR="00923B27" w:rsidRDefault="00923B27" w:rsidP="00732A00">
      <w:pPr>
        <w:rPr>
          <w:rFonts w:ascii="Arial Narrow" w:hAnsi="Arial Narrow"/>
        </w:rPr>
      </w:pPr>
    </w:p>
    <w:p w14:paraId="5F91B450" w14:textId="799AEFA9" w:rsidR="00923B27" w:rsidRDefault="00923B27" w:rsidP="00732A00">
      <w:pPr>
        <w:rPr>
          <w:rFonts w:ascii="Arial Narrow" w:hAnsi="Arial Narrow"/>
        </w:rPr>
      </w:pPr>
    </w:p>
    <w:p w14:paraId="47E9173D" w14:textId="6F1185F2" w:rsidR="00923B27" w:rsidRDefault="00270A4C" w:rsidP="00270A4C">
      <w:pPr>
        <w:tabs>
          <w:tab w:val="left" w:pos="1356"/>
        </w:tabs>
        <w:rPr>
          <w:rFonts w:ascii="Arial Narrow" w:hAnsi="Arial Narrow"/>
        </w:rPr>
      </w:pPr>
      <w:r>
        <w:rPr>
          <w:rFonts w:ascii="Arial Narrow" w:hAnsi="Arial Narrow"/>
        </w:rPr>
        <w:tab/>
      </w:r>
    </w:p>
    <w:p w14:paraId="53A08A5E" w14:textId="5B159607" w:rsidR="00923B27" w:rsidRDefault="00923B27" w:rsidP="00732A00">
      <w:pPr>
        <w:rPr>
          <w:rFonts w:ascii="Arial Narrow" w:hAnsi="Arial Narrow"/>
        </w:rPr>
      </w:pPr>
    </w:p>
    <w:p w14:paraId="662977F0" w14:textId="5CFC866F" w:rsidR="00923B27" w:rsidRDefault="00923B27" w:rsidP="00732A00">
      <w:pPr>
        <w:rPr>
          <w:rFonts w:ascii="Arial Narrow" w:hAnsi="Arial Narrow"/>
        </w:rPr>
      </w:pPr>
    </w:p>
    <w:p w14:paraId="13B43ECA" w14:textId="542B0A92" w:rsidR="00730BE8" w:rsidRPr="00CE357F" w:rsidRDefault="00730BE8" w:rsidP="00730BE8">
      <w:pPr>
        <w:pStyle w:val="Nadpis1"/>
        <w:ind w:left="426"/>
        <w:rPr>
          <w:rFonts w:ascii="Arial Narrow" w:hAnsi="Arial Narrow"/>
          <w:color w:val="002060"/>
          <w:sz w:val="36"/>
          <w:szCs w:val="36"/>
        </w:rPr>
      </w:pPr>
      <w:bookmarkStart w:id="917" w:name="_Toc136876169"/>
      <w:r w:rsidRPr="00CE357F">
        <w:rPr>
          <w:rFonts w:ascii="Arial Narrow" w:hAnsi="Arial Narrow"/>
          <w:color w:val="002060"/>
          <w:sz w:val="36"/>
          <w:szCs w:val="36"/>
        </w:rPr>
        <w:lastRenderedPageBreak/>
        <w:t>DÍLČÍ ZÁVĚRY A PRAKTICKÁ DOPORUČENÍ PRO PROJEKT A VEŘEJNOU POLITIKU K TEMATICKÉMU OKRUHU A)</w:t>
      </w:r>
      <w:bookmarkEnd w:id="917"/>
    </w:p>
    <w:p w14:paraId="024DDFF4" w14:textId="77777777" w:rsidR="00F1264F" w:rsidRPr="00CE357F" w:rsidRDefault="00F1264F" w:rsidP="00F1264F">
      <w:pPr>
        <w:spacing w:after="120" w:line="276" w:lineRule="auto"/>
        <w:jc w:val="both"/>
        <w:rPr>
          <w:rFonts w:ascii="Arial Narrow" w:hAnsi="Arial Narrow"/>
          <w:b/>
          <w:bCs/>
        </w:rPr>
      </w:pPr>
    </w:p>
    <w:p w14:paraId="22E74360" w14:textId="77777777" w:rsidR="00285A50" w:rsidRPr="00CE357F" w:rsidRDefault="00DB170D" w:rsidP="00285A50">
      <w:pPr>
        <w:spacing w:after="120" w:line="276" w:lineRule="auto"/>
        <w:jc w:val="both"/>
        <w:rPr>
          <w:rFonts w:ascii="Arial Narrow" w:hAnsi="Arial Narrow" w:cs="Arial"/>
        </w:rPr>
      </w:pPr>
      <w:r w:rsidRPr="00CE357F">
        <w:rPr>
          <w:rFonts w:ascii="Arial Narrow" w:hAnsi="Arial Narrow"/>
          <w:b/>
          <w:bCs/>
        </w:rPr>
        <w:br/>
      </w:r>
      <w:r w:rsidR="00285A50" w:rsidRPr="00CE357F">
        <w:rPr>
          <w:rFonts w:ascii="Arial Narrow" w:hAnsi="Arial Narrow" w:cs="Arial"/>
        </w:rPr>
        <w:t>Projekt „</w:t>
      </w:r>
      <w:r w:rsidR="00285A50" w:rsidRPr="00CE357F">
        <w:rPr>
          <w:rFonts w:ascii="Arial Narrow" w:hAnsi="Arial Narrow" w:cs="Arial"/>
          <w:bCs/>
        </w:rPr>
        <w:t>Analýza potřeb klíčových aktérů v oblasti zaměstnávání cizinců v JMK</w:t>
      </w:r>
      <w:r w:rsidR="00285A50" w:rsidRPr="00CE357F">
        <w:rPr>
          <w:rFonts w:ascii="Arial Narrow" w:hAnsi="Arial Narrow" w:cs="Arial"/>
        </w:rPr>
        <w:t xml:space="preserve">“ je rozdělen do tří etap. Cílem první etapy bylo zajistit </w:t>
      </w:r>
      <w:r w:rsidR="00285A50" w:rsidRPr="00CE357F">
        <w:rPr>
          <w:rFonts w:ascii="Arial Narrow" w:hAnsi="Arial Narrow" w:cs="Arial"/>
          <w:lang w:eastAsia="cs-CZ"/>
        </w:rPr>
        <w:t>sběr, analýzu a vyhodnocení základních dat o počtech osob s jinou než českou státní příslušností v Jihomoravském kraji a o jejich zaměstnanosti, nezaměstnanosti a zaměstnávání, a to v rámci základních statistických jednotek obcí Jihomoravského kraje s významným počtem či podílem registrovaných osob s jinou než českou státní příslušností.</w:t>
      </w:r>
      <w:r w:rsidR="00285A50" w:rsidRPr="00CE357F">
        <w:rPr>
          <w:rFonts w:ascii="Arial Narrow" w:hAnsi="Arial Narrow" w:cs="Arial"/>
        </w:rPr>
        <w:t xml:space="preserve"> </w:t>
      </w:r>
    </w:p>
    <w:p w14:paraId="1D106E1A" w14:textId="5D053938" w:rsidR="00285A50" w:rsidRPr="00F457FC" w:rsidRDefault="00285A50" w:rsidP="00285A50">
      <w:pPr>
        <w:spacing w:after="120" w:line="276" w:lineRule="auto"/>
        <w:jc w:val="both"/>
        <w:rPr>
          <w:rFonts w:ascii="Arial Narrow" w:hAnsi="Arial Narrow"/>
          <w:bCs/>
        </w:rPr>
      </w:pPr>
      <w:r w:rsidRPr="00CE357F">
        <w:rPr>
          <w:rFonts w:ascii="Arial Narrow" w:hAnsi="Arial Narrow"/>
        </w:rPr>
        <w:t xml:space="preserve">Jedním z významných úkolů první etapy projektu bylo také uskutečnění rešerše a analýzy v oblasti zaměstnanosti </w:t>
      </w:r>
      <w:r w:rsidRPr="00F457FC">
        <w:rPr>
          <w:rFonts w:ascii="Arial Narrow" w:hAnsi="Arial Narrow"/>
        </w:rPr>
        <w:t xml:space="preserve">těchto osob a jejich pobytu v Jihomoravském kraji až do úrovně obcí I. a II. typu. Na základě těchto podkladů </w:t>
      </w:r>
      <w:r w:rsidR="00FA0D52" w:rsidRPr="00F457FC">
        <w:rPr>
          <w:rFonts w:ascii="Arial Narrow" w:hAnsi="Arial Narrow"/>
        </w:rPr>
        <w:t>bylo</w:t>
      </w:r>
      <w:r w:rsidRPr="00F457FC">
        <w:rPr>
          <w:rFonts w:ascii="Arial Narrow" w:hAnsi="Arial Narrow"/>
        </w:rPr>
        <w:t xml:space="preserve"> možné lépe zohlednit priority v přístupu k empirické fázi sběru dat, který </w:t>
      </w:r>
      <w:r w:rsidR="00FA0D52" w:rsidRPr="00F457FC">
        <w:rPr>
          <w:rFonts w:ascii="Arial Narrow" w:hAnsi="Arial Narrow"/>
        </w:rPr>
        <w:t>byl</w:t>
      </w:r>
      <w:r w:rsidRPr="00F457FC">
        <w:rPr>
          <w:rFonts w:ascii="Arial Narrow" w:hAnsi="Arial Narrow"/>
        </w:rPr>
        <w:t xml:space="preserve"> primárně součástí druhé etapy projektu. </w:t>
      </w:r>
      <w:r w:rsidRPr="00F457FC">
        <w:rPr>
          <w:rFonts w:ascii="Arial Narrow" w:hAnsi="Arial Narrow"/>
          <w:bCs/>
        </w:rPr>
        <w:t>Dalším významným cílem první etapy projektu byla příprava a nastavení metodologického konceptu, který by</w:t>
      </w:r>
      <w:r w:rsidR="00FA0D52" w:rsidRPr="00F457FC">
        <w:rPr>
          <w:rFonts w:ascii="Arial Narrow" w:hAnsi="Arial Narrow"/>
          <w:bCs/>
        </w:rPr>
        <w:t>l</w:t>
      </w:r>
      <w:r w:rsidRPr="00F457FC">
        <w:rPr>
          <w:rFonts w:ascii="Arial Narrow" w:hAnsi="Arial Narrow"/>
          <w:bCs/>
        </w:rPr>
        <w:t xml:space="preserve"> uplatněn ve druhé etapě projektu. Součástí výstupů první etapy projektu </w:t>
      </w:r>
      <w:r w:rsidR="00FA0D52" w:rsidRPr="00F457FC">
        <w:rPr>
          <w:rFonts w:ascii="Arial Narrow" w:hAnsi="Arial Narrow"/>
          <w:bCs/>
        </w:rPr>
        <w:t>byly</w:t>
      </w:r>
      <w:r w:rsidRPr="00F457FC">
        <w:rPr>
          <w:rFonts w:ascii="Arial Narrow" w:hAnsi="Arial Narrow"/>
          <w:bCs/>
        </w:rPr>
        <w:t xml:space="preserve"> také návrhy zjišťovacích strategií a zjišťovacích nástrojů pro empirické aktivity.</w:t>
      </w:r>
    </w:p>
    <w:p w14:paraId="440DA532" w14:textId="4B266754" w:rsidR="00FA0D52" w:rsidRPr="00F457FC" w:rsidRDefault="00FA0D52" w:rsidP="00FA0D52">
      <w:pPr>
        <w:spacing w:after="120" w:line="276" w:lineRule="auto"/>
        <w:jc w:val="both"/>
        <w:rPr>
          <w:rFonts w:ascii="Arial Narrow" w:hAnsi="Arial Narrow" w:cstheme="minorHAnsi"/>
          <w:b/>
          <w:bCs/>
        </w:rPr>
      </w:pPr>
      <w:r w:rsidRPr="00F457FC">
        <w:rPr>
          <w:rFonts w:ascii="Arial Narrow" w:hAnsi="Arial Narrow" w:cstheme="minorHAnsi"/>
        </w:rPr>
        <w:t xml:space="preserve">První dílčí analýza byla odevzdána zadavateli v lednu 2022. </w:t>
      </w:r>
      <w:r w:rsidRPr="00F457FC">
        <w:rPr>
          <w:rFonts w:ascii="Arial Narrow" w:hAnsi="Arial Narrow" w:cstheme="minorHAnsi"/>
          <w:b/>
          <w:bCs/>
        </w:rPr>
        <w:t>Tato d</w:t>
      </w:r>
      <w:r w:rsidRPr="00F457FC">
        <w:rPr>
          <w:rFonts w:ascii="Arial Narrow" w:hAnsi="Arial Narrow" w:cs="Arial"/>
          <w:b/>
          <w:bCs/>
          <w:lang w:eastAsia="cs-CZ"/>
        </w:rPr>
        <w:t>ruhá dílčí analýza prezentuje aktualizovaná data o počtech osob s jinou než českou státní příslušností v Jihomoravském kraji a o jejich zaměstnanosti, nezaměstnanosti a zaměstnávání,</w:t>
      </w:r>
      <w:r w:rsidRPr="00F457FC">
        <w:rPr>
          <w:rFonts w:ascii="Arial Narrow" w:hAnsi="Arial Narrow" w:cs="Arial"/>
          <w:lang w:eastAsia="cs-CZ"/>
        </w:rPr>
        <w:t xml:space="preserve"> a to v rámci základních statistických jednotek obcí Jihomoravského kraje s významným počtem či podílem registrovaných osob s jinou než českou státní příslušností, včetně aktualizovaných dílčích závěrů</w:t>
      </w:r>
      <w:r w:rsidRPr="00F457FC">
        <w:rPr>
          <w:rFonts w:ascii="Arial Narrow" w:hAnsi="Arial Narrow" w:cstheme="minorHAnsi"/>
        </w:rPr>
        <w:t xml:space="preserve"> a doporučení pro projekt a veřejnou politiku.</w:t>
      </w:r>
      <w:r w:rsidRPr="00F457FC">
        <w:rPr>
          <w:rFonts w:ascii="Arial Narrow" w:hAnsi="Arial Narrow" w:cstheme="minorHAnsi"/>
          <w:b/>
          <w:bCs/>
        </w:rPr>
        <w:t xml:space="preserve"> </w:t>
      </w:r>
    </w:p>
    <w:p w14:paraId="1A5CA614" w14:textId="7911C129" w:rsidR="00285A50" w:rsidRPr="00F457FC" w:rsidRDefault="00285A50" w:rsidP="00285A50">
      <w:pPr>
        <w:spacing w:after="120" w:line="276" w:lineRule="auto"/>
        <w:jc w:val="both"/>
        <w:rPr>
          <w:rFonts w:ascii="Arial Narrow" w:hAnsi="Arial Narrow"/>
        </w:rPr>
      </w:pPr>
      <w:r w:rsidRPr="00F457FC">
        <w:rPr>
          <w:rFonts w:ascii="Arial Narrow" w:hAnsi="Arial Narrow"/>
        </w:rPr>
        <w:t xml:space="preserve">Zprostředkovaná data považujeme za důležitá </w:t>
      </w:r>
      <w:r w:rsidR="00FA0D52" w:rsidRPr="00F457FC">
        <w:rPr>
          <w:rFonts w:ascii="Arial Narrow" w:hAnsi="Arial Narrow"/>
        </w:rPr>
        <w:t xml:space="preserve">pro </w:t>
      </w:r>
      <w:r w:rsidRPr="00F457FC">
        <w:rPr>
          <w:rFonts w:ascii="Arial Narrow" w:hAnsi="Arial Narrow"/>
        </w:rPr>
        <w:t xml:space="preserve">nastavení komplexního přístupu k tvorbě veřejné politiky v dané oblasti. </w:t>
      </w:r>
      <w:r w:rsidR="00FA0D52" w:rsidRPr="00F457FC">
        <w:rPr>
          <w:rFonts w:ascii="Arial Narrow" w:hAnsi="Arial Narrow"/>
        </w:rPr>
        <w:t>Aktualizovaná a v čase doplňovaná data umožňují</w:t>
      </w:r>
      <w:r w:rsidRPr="00F457FC">
        <w:rPr>
          <w:rFonts w:ascii="Arial Narrow" w:hAnsi="Arial Narrow"/>
        </w:rPr>
        <w:t xml:space="preserve"> řídit tvorbu veřejné politiky v dané oblasti i v průběhu realizace projektu</w:t>
      </w:r>
      <w:r w:rsidRPr="00F457FC">
        <w:rPr>
          <w:rFonts w:ascii="Arial Narrow" w:hAnsi="Arial Narrow"/>
          <w:color w:val="FF0000"/>
        </w:rPr>
        <w:t>.</w:t>
      </w:r>
    </w:p>
    <w:p w14:paraId="6E2EC8A5" w14:textId="77777777" w:rsidR="00986CE8" w:rsidRPr="00F457FC" w:rsidRDefault="00285A50" w:rsidP="00285A50">
      <w:pPr>
        <w:spacing w:after="120" w:line="276" w:lineRule="auto"/>
        <w:jc w:val="both"/>
        <w:rPr>
          <w:rFonts w:ascii="Arial Narrow" w:hAnsi="Arial Narrow"/>
        </w:rPr>
      </w:pPr>
      <w:r w:rsidRPr="00F457FC">
        <w:rPr>
          <w:rFonts w:ascii="Arial Narrow" w:hAnsi="Arial Narrow"/>
        </w:rPr>
        <w:t xml:space="preserve">Na rozdíl od řady jiných států není problematika </w:t>
      </w:r>
      <w:r w:rsidRPr="00F457FC">
        <w:rPr>
          <w:rFonts w:ascii="Arial Narrow" w:hAnsi="Arial Narrow" w:cs="Arial"/>
          <w:lang w:eastAsia="cs-CZ"/>
        </w:rPr>
        <w:t xml:space="preserve">osob s jinou než českou státní příslušností </w:t>
      </w:r>
      <w:r w:rsidRPr="00F457FC">
        <w:rPr>
          <w:rFonts w:ascii="Arial Narrow" w:hAnsi="Arial Narrow"/>
        </w:rPr>
        <w:t xml:space="preserve">v České republice ještě stále zásadním tématem. Pokud pomineme některé menší země jako Lucembursko, Lichtenštejnsko, Maltu, Kypr apod., kde </w:t>
      </w:r>
      <w:r w:rsidRPr="00F457FC">
        <w:rPr>
          <w:rFonts w:ascii="Arial Narrow" w:hAnsi="Arial Narrow" w:cs="Arial"/>
          <w:lang w:eastAsia="cs-CZ"/>
        </w:rPr>
        <w:t xml:space="preserve">osoby s jinou než českou státní příslušností </w:t>
      </w:r>
      <w:r w:rsidRPr="00F457FC">
        <w:rPr>
          <w:rFonts w:ascii="Arial Narrow" w:hAnsi="Arial Narrow"/>
        </w:rPr>
        <w:t xml:space="preserve">tvoří významný podíl celkové populace, vysoký podíl cizinců v populaci je také například ve Švýcarsku, Rakousku, Estonsku či Lotyšsku, tedy v zemích, které jsou geograficky blízké České republice. Na základě srovnání podílu </w:t>
      </w:r>
      <w:r w:rsidRPr="00F457FC">
        <w:rPr>
          <w:rFonts w:ascii="Arial Narrow" w:hAnsi="Arial Narrow" w:cs="Arial"/>
          <w:lang w:eastAsia="cs-CZ"/>
        </w:rPr>
        <w:t xml:space="preserve">osob s jinou než českou státní příslušností </w:t>
      </w:r>
      <w:r w:rsidRPr="00F457FC">
        <w:rPr>
          <w:rFonts w:ascii="Arial Narrow" w:hAnsi="Arial Narrow"/>
        </w:rPr>
        <w:t>v celkové populaci s jinými zeměmi by se tedy mohlo zdát, že problematiku těchto osob není potřeba vnímat intenzivně a komplexně.</w:t>
      </w:r>
    </w:p>
    <w:p w14:paraId="6F5BFD71" w14:textId="2C059B97" w:rsidR="00285A50" w:rsidRPr="00F457FC" w:rsidRDefault="00285A50" w:rsidP="00285A50">
      <w:pPr>
        <w:spacing w:after="120" w:line="276" w:lineRule="auto"/>
        <w:jc w:val="both"/>
        <w:rPr>
          <w:rFonts w:ascii="Arial Narrow" w:hAnsi="Arial Narrow"/>
        </w:rPr>
      </w:pPr>
      <w:r w:rsidRPr="00F457FC">
        <w:rPr>
          <w:rFonts w:ascii="Arial Narrow" w:hAnsi="Arial Narrow"/>
          <w:b/>
          <w:bCs/>
        </w:rPr>
        <w:t xml:space="preserve">V návaznosti na </w:t>
      </w:r>
      <w:r w:rsidR="00986CE8" w:rsidRPr="00F457FC">
        <w:rPr>
          <w:rFonts w:ascii="Arial Narrow" w:hAnsi="Arial Narrow"/>
          <w:b/>
          <w:bCs/>
        </w:rPr>
        <w:t>změny mezinárodní bezpečnostní situace související s ozbrojeným konfliktem na území Ukrajiny, který započal invazí vojsk Ruské federace dne 24. února 2022,</w:t>
      </w:r>
      <w:r w:rsidRPr="00F457FC">
        <w:rPr>
          <w:rFonts w:ascii="Arial Narrow" w:hAnsi="Arial Narrow"/>
          <w:b/>
          <w:bCs/>
        </w:rPr>
        <w:t xml:space="preserve"> se však </w:t>
      </w:r>
      <w:r w:rsidR="00986CE8" w:rsidRPr="00F457FC">
        <w:rPr>
          <w:rFonts w:ascii="Arial Narrow" w:hAnsi="Arial Narrow"/>
          <w:b/>
          <w:bCs/>
        </w:rPr>
        <w:t>během roku 2022</w:t>
      </w:r>
      <w:r w:rsidRPr="00F457FC">
        <w:rPr>
          <w:rFonts w:ascii="Arial Narrow" w:hAnsi="Arial Narrow"/>
          <w:b/>
          <w:bCs/>
        </w:rPr>
        <w:t xml:space="preserve"> projevi</w:t>
      </w:r>
      <w:r w:rsidR="00986CE8" w:rsidRPr="00F457FC">
        <w:rPr>
          <w:rFonts w:ascii="Arial Narrow" w:hAnsi="Arial Narrow"/>
          <w:b/>
          <w:bCs/>
        </w:rPr>
        <w:t>l</w:t>
      </w:r>
      <w:r w:rsidRPr="00F457FC">
        <w:rPr>
          <w:rFonts w:ascii="Arial Narrow" w:hAnsi="Arial Narrow"/>
          <w:b/>
          <w:bCs/>
        </w:rPr>
        <w:t xml:space="preserve"> skokový nárůst </w:t>
      </w:r>
      <w:r w:rsidRPr="00F457FC">
        <w:rPr>
          <w:rFonts w:ascii="Arial Narrow" w:hAnsi="Arial Narrow" w:cs="Arial"/>
          <w:b/>
          <w:bCs/>
          <w:lang w:eastAsia="cs-CZ"/>
        </w:rPr>
        <w:t>osob s </w:t>
      </w:r>
      <w:r w:rsidR="00986CE8" w:rsidRPr="00F457FC">
        <w:rPr>
          <w:rFonts w:ascii="Arial Narrow" w:hAnsi="Arial Narrow" w:cs="Arial"/>
          <w:b/>
          <w:bCs/>
          <w:lang w:eastAsia="cs-CZ"/>
        </w:rPr>
        <w:t>ukrajinskou</w:t>
      </w:r>
      <w:r w:rsidRPr="00F457FC">
        <w:rPr>
          <w:rFonts w:ascii="Arial Narrow" w:hAnsi="Arial Narrow" w:cs="Arial"/>
          <w:b/>
          <w:bCs/>
          <w:lang w:eastAsia="cs-CZ"/>
        </w:rPr>
        <w:t xml:space="preserve"> státní příslušností </w:t>
      </w:r>
      <w:r w:rsidRPr="00F457FC">
        <w:rPr>
          <w:rFonts w:ascii="Arial Narrow" w:hAnsi="Arial Narrow"/>
          <w:b/>
          <w:bCs/>
        </w:rPr>
        <w:t>v České republice.</w:t>
      </w:r>
      <w:r w:rsidR="00986CE8" w:rsidRPr="00F457FC">
        <w:rPr>
          <w:rFonts w:ascii="Arial Narrow" w:hAnsi="Arial Narrow"/>
        </w:rPr>
        <w:t xml:space="preserve"> </w:t>
      </w:r>
      <w:r w:rsidR="00986CE8" w:rsidRPr="00F457FC">
        <w:rPr>
          <w:rFonts w:ascii="Arial Narrow" w:hAnsi="Arial Narrow"/>
          <w:bCs/>
        </w:rPr>
        <w:t>Za výrazným nárůstem počtu cizinců na území ČR stojí zejména vydávání dočasné ochrany státním příslušníkům Ukrajiny, kteří prchají před válkou ve své zemi. Ke konci roku 2022 bylo v České republice vydáno celkem 473 216 dočasných ochran.</w:t>
      </w:r>
      <w:r w:rsidR="00986CE8" w:rsidRPr="00F457FC">
        <w:rPr>
          <w:rFonts w:ascii="Arial Narrow" w:hAnsi="Arial Narrow"/>
        </w:rPr>
        <w:t xml:space="preserve"> </w:t>
      </w:r>
    </w:p>
    <w:p w14:paraId="2D304CFB" w14:textId="4425894F" w:rsidR="00DA02DE" w:rsidRPr="00F457FC" w:rsidRDefault="00DA02DE" w:rsidP="00DA02DE">
      <w:pPr>
        <w:spacing w:after="120" w:line="276" w:lineRule="auto"/>
        <w:jc w:val="both"/>
        <w:rPr>
          <w:rFonts w:ascii="Arial Narrow" w:hAnsi="Arial Narrow"/>
        </w:rPr>
      </w:pPr>
      <w:r w:rsidRPr="00F457FC">
        <w:rPr>
          <w:rFonts w:ascii="Arial Narrow" w:hAnsi="Arial Narrow"/>
        </w:rPr>
        <w:t xml:space="preserve">Jak vyplývá z analýzy sekundárních dat, </w:t>
      </w:r>
      <w:r w:rsidR="00270A4C" w:rsidRPr="00F457FC">
        <w:rPr>
          <w:rFonts w:ascii="Arial Narrow" w:hAnsi="Arial Narrow"/>
        </w:rPr>
        <w:t>podíl</w:t>
      </w:r>
      <w:r w:rsidRPr="00F457FC">
        <w:rPr>
          <w:rFonts w:ascii="Arial Narrow" w:hAnsi="Arial Narrow"/>
        </w:rPr>
        <w:t xml:space="preserve"> </w:t>
      </w:r>
      <w:r w:rsidRPr="00F457FC">
        <w:rPr>
          <w:rFonts w:ascii="Arial Narrow" w:hAnsi="Arial Narrow" w:cs="Arial"/>
          <w:lang w:eastAsia="cs-CZ"/>
        </w:rPr>
        <w:t xml:space="preserve">osob s jinou než českou státní příslušností </w:t>
      </w:r>
      <w:r w:rsidRPr="00F457FC">
        <w:rPr>
          <w:rFonts w:ascii="Arial Narrow" w:hAnsi="Arial Narrow"/>
        </w:rPr>
        <w:t xml:space="preserve">v Jihomoravském kraji </w:t>
      </w:r>
      <w:r w:rsidR="00270A4C" w:rsidRPr="00F457FC">
        <w:rPr>
          <w:rFonts w:ascii="Arial Narrow" w:hAnsi="Arial Narrow"/>
        </w:rPr>
        <w:t xml:space="preserve">na celkovém počtu obyvatel </w:t>
      </w:r>
      <w:r w:rsidRPr="00F457FC">
        <w:rPr>
          <w:rFonts w:ascii="Arial Narrow" w:hAnsi="Arial Narrow"/>
        </w:rPr>
        <w:t xml:space="preserve">dlouhodobě meziročně vzrůstal. Zatímco v roce 2005 žilo na území Jihomoravského kraje 2,5 % cizinců ve vztahu k celkové populaci kraje, v roce 2021 to bylo již 5,3 % cizinců. V JMK byl evidován třetí nejvyšší počet </w:t>
      </w:r>
      <w:r w:rsidRPr="00F457FC">
        <w:rPr>
          <w:rFonts w:ascii="Arial Narrow" w:hAnsi="Arial Narrow" w:cs="Arial"/>
          <w:lang w:eastAsia="cs-CZ"/>
        </w:rPr>
        <w:t xml:space="preserve">osob s jinou než českou státní příslušností </w:t>
      </w:r>
      <w:r w:rsidRPr="00F457FC">
        <w:rPr>
          <w:rFonts w:ascii="Arial Narrow" w:hAnsi="Arial Narrow"/>
        </w:rPr>
        <w:t xml:space="preserve">v rámci ČR, hned po Praze a Středočeském kraji. Mezi cizinci převažovali významně muži oproti ženám. Z hlediska věku byly častěji než v majoritní populaci Jihomoravského kraje zastoupeny věkové kohorty v produktivním věku. Oproti běžné populaci JMK bylo mezi těmito osobami významně méně seniorů ve věku 65 a více let, ale také dětí do 15 let. </w:t>
      </w:r>
    </w:p>
    <w:p w14:paraId="38370F43" w14:textId="1C576E5C" w:rsidR="00F30E98" w:rsidRPr="00F457FC" w:rsidRDefault="00DA02DE" w:rsidP="00F30E98">
      <w:pPr>
        <w:spacing w:after="120" w:line="276" w:lineRule="auto"/>
        <w:jc w:val="both"/>
        <w:rPr>
          <w:rFonts w:ascii="Arial Narrow" w:hAnsi="Arial Narrow"/>
        </w:rPr>
      </w:pPr>
      <w:r w:rsidRPr="00F457FC">
        <w:rPr>
          <w:rFonts w:ascii="Arial Narrow" w:hAnsi="Arial Narrow"/>
        </w:rPr>
        <w:lastRenderedPageBreak/>
        <w:t xml:space="preserve">Tento trend se výrazně změnil v roce 2022 v návaznosti na migrační vlnu ukrajinských státních příslušníků a </w:t>
      </w:r>
      <w:r w:rsidR="003D733D" w:rsidRPr="00F457FC">
        <w:rPr>
          <w:rFonts w:ascii="Arial Narrow" w:hAnsi="Arial Narrow"/>
        </w:rPr>
        <w:t xml:space="preserve">jejich </w:t>
      </w:r>
      <w:r w:rsidR="00BF7F8D" w:rsidRPr="00F457FC">
        <w:rPr>
          <w:rFonts w:ascii="Arial Narrow" w:hAnsi="Arial Narrow"/>
        </w:rPr>
        <w:t xml:space="preserve">demografické </w:t>
      </w:r>
      <w:r w:rsidRPr="00F457FC">
        <w:rPr>
          <w:rFonts w:ascii="Arial Narrow" w:hAnsi="Arial Narrow"/>
        </w:rPr>
        <w:t xml:space="preserve">charakteristiky, </w:t>
      </w:r>
      <w:r w:rsidR="003D733D" w:rsidRPr="00F457FC">
        <w:rPr>
          <w:rFonts w:ascii="Arial Narrow" w:hAnsi="Arial Narrow"/>
        </w:rPr>
        <w:t>kde převládaly</w:t>
      </w:r>
      <w:r w:rsidRPr="00F457FC">
        <w:rPr>
          <w:rFonts w:ascii="Arial Narrow" w:hAnsi="Arial Narrow"/>
        </w:rPr>
        <w:t xml:space="preserve"> především ženy a děti. Počet osob s jinou než českou státní příslušností </w:t>
      </w:r>
      <w:r w:rsidR="00F30E98" w:rsidRPr="00F457FC">
        <w:rPr>
          <w:rFonts w:ascii="Arial Narrow" w:hAnsi="Arial Narrow"/>
        </w:rPr>
        <w:t xml:space="preserve">v JMK </w:t>
      </w:r>
      <w:r w:rsidRPr="00F457FC">
        <w:rPr>
          <w:rFonts w:ascii="Arial Narrow" w:hAnsi="Arial Narrow"/>
        </w:rPr>
        <w:t>se od roku 202</w:t>
      </w:r>
      <w:r w:rsidR="00F347A5" w:rsidRPr="00F457FC">
        <w:rPr>
          <w:rFonts w:ascii="Arial Narrow" w:hAnsi="Arial Narrow"/>
        </w:rPr>
        <w:t>1</w:t>
      </w:r>
      <w:r w:rsidRPr="00F457FC">
        <w:rPr>
          <w:rFonts w:ascii="Arial Narrow" w:hAnsi="Arial Narrow"/>
        </w:rPr>
        <w:t xml:space="preserve"> zvýšil o 4,1 %. K 31. 12. 2022 žilo v Jihomoravském kraji již 9,4 % cizinců. V JMK byl stále evidován třetí nejvyšší počet </w:t>
      </w:r>
      <w:r w:rsidRPr="00F457FC">
        <w:rPr>
          <w:rFonts w:ascii="Arial Narrow" w:hAnsi="Arial Narrow" w:cs="Arial"/>
          <w:lang w:eastAsia="cs-CZ"/>
        </w:rPr>
        <w:t xml:space="preserve">osob s jinou než českou státní příslušností </w:t>
      </w:r>
      <w:r w:rsidRPr="00F457FC">
        <w:rPr>
          <w:rFonts w:ascii="Arial Narrow" w:hAnsi="Arial Narrow"/>
        </w:rPr>
        <w:t xml:space="preserve">v rámci ČR, hned po Praze a Středočeském kraji. </w:t>
      </w:r>
    </w:p>
    <w:p w14:paraId="3106010B" w14:textId="0AFD2355" w:rsidR="00DA02DE" w:rsidRPr="00F457FC" w:rsidRDefault="00DA02DE" w:rsidP="00F30E98">
      <w:pPr>
        <w:spacing w:after="120" w:line="276" w:lineRule="auto"/>
        <w:jc w:val="both"/>
        <w:rPr>
          <w:rFonts w:ascii="Arial Narrow" w:hAnsi="Arial Narrow"/>
          <w:bCs/>
          <w:noProof/>
        </w:rPr>
      </w:pPr>
      <w:r w:rsidRPr="00F457FC">
        <w:rPr>
          <w:rFonts w:ascii="Arial Narrow" w:hAnsi="Arial Narrow"/>
        </w:rPr>
        <w:t xml:space="preserve">V roce 2022 došlo poprvé v historii ČR k vyrovnání poměru pohlaví osob s jinou než českou státní příslušností. </w:t>
      </w:r>
      <w:r w:rsidRPr="00F457FC">
        <w:rPr>
          <w:rFonts w:ascii="Arial Narrow" w:hAnsi="Arial Narrow"/>
          <w:b/>
          <w:bCs/>
        </w:rPr>
        <w:t>Podíl žen ve většině krajů ČR převýšil podíl mužů.</w:t>
      </w:r>
      <w:r w:rsidRPr="00F457FC">
        <w:rPr>
          <w:rFonts w:ascii="Arial Narrow" w:hAnsi="Arial Narrow"/>
        </w:rPr>
        <w:t xml:space="preserve"> V jihomoravském kraji žilo k 31. 12. 2022 celkem 111 130 osob s jinou než českou státní příslušností, z toho 56 684 žen (51 %) a 54 444 mužů (49 %). </w:t>
      </w:r>
      <w:r w:rsidRPr="00F457FC">
        <w:rPr>
          <w:rFonts w:ascii="Arial Narrow" w:hAnsi="Arial Narrow"/>
          <w:bCs/>
          <w:noProof/>
        </w:rPr>
        <w:t xml:space="preserve">V roce 2022 tvořily téměř 4/5 (78,3 %) všech osob s jinou než českou státní příslušností v Jihomoravském kraji osoby ze třetích zemí. </w:t>
      </w:r>
      <w:r w:rsidRPr="00F457FC">
        <w:rPr>
          <w:rFonts w:ascii="Arial Narrow" w:hAnsi="Arial Narrow"/>
          <w:b/>
        </w:rPr>
        <w:t>Nadpoloviční většinu osob s jinou než českou státní příslušností v Jihomoravském kraji tvořili Ukrajinci (56,3 %), jejichž podíl se oproti roku 2021 více než zdvojnásobil.</w:t>
      </w:r>
      <w:r w:rsidRPr="00F457FC">
        <w:rPr>
          <w:rFonts w:ascii="Arial Narrow" w:hAnsi="Arial Narrow"/>
          <w:bCs/>
        </w:rPr>
        <w:t xml:space="preserve"> Dále jsou v JMK významněji přítomni občané Slovenska (14,1 %,) Vietnamu (4,5 %), a Ruska (3 %).</w:t>
      </w:r>
      <w:r w:rsidR="009D66FA" w:rsidRPr="00F457FC">
        <w:rPr>
          <w:rFonts w:ascii="Arial Narrow" w:hAnsi="Arial Narrow"/>
          <w:bCs/>
        </w:rPr>
        <w:t xml:space="preserve"> </w:t>
      </w:r>
      <w:bookmarkStart w:id="918" w:name="_Hlk137028422"/>
      <w:r w:rsidR="00765E47" w:rsidRPr="00F457FC">
        <w:rPr>
          <w:rFonts w:ascii="Arial Narrow" w:hAnsi="Arial Narrow"/>
          <w:bCs/>
        </w:rPr>
        <w:t>Důležitým zjištěním byl také nárůst podílu osob s přechodným pobytem, který vzrostl od roku 2020 do roku 2022 o 19,1 %. To může mít zásadní vliv na navýšení agend mezi některými aktéry integrace osob s jinou než českou státní příslušností.</w:t>
      </w:r>
      <w:bookmarkEnd w:id="918"/>
    </w:p>
    <w:p w14:paraId="4E62BDE4" w14:textId="77777777" w:rsidR="00DA02DE" w:rsidRPr="00F457FC" w:rsidRDefault="00DA02DE" w:rsidP="00F30E98">
      <w:pPr>
        <w:spacing w:after="120" w:line="276" w:lineRule="auto"/>
        <w:jc w:val="both"/>
        <w:rPr>
          <w:rFonts w:ascii="Arial Narrow" w:hAnsi="Arial Narrow"/>
        </w:rPr>
      </w:pPr>
      <w:r w:rsidRPr="00F457FC">
        <w:rPr>
          <w:rFonts w:ascii="Arial Narrow" w:hAnsi="Arial Narrow"/>
        </w:rPr>
        <w:t xml:space="preserve">Skokový nárůst podílu osob s jinou než českou státní příslušností během roku 2022 je patrný ve všech sledovaných ORP Jihomoravského kraje. Nejvyšší podíl osob s jinou než českou státní příslušností byl k datu 1. 1. 2023 evidován v OPR Brno a v ORP Kuřim. </w:t>
      </w:r>
      <w:r w:rsidRPr="00F457FC">
        <w:rPr>
          <w:rFonts w:ascii="Arial Narrow" w:hAnsi="Arial Narrow"/>
          <w:b/>
          <w:bCs/>
        </w:rPr>
        <w:t>Ve všech vybraných ORP Jihomoravského kraje se v průměru dvojnásobně zvýšil také podíl dětí do 15 let ve skupině osob s jinou než českou státní příslušností.</w:t>
      </w:r>
    </w:p>
    <w:p w14:paraId="7603E8F0" w14:textId="479D70B3" w:rsidR="00AA4FC3" w:rsidRPr="00F457FC" w:rsidRDefault="00DA02DE" w:rsidP="00AA4FC3">
      <w:pPr>
        <w:spacing w:after="120" w:line="276" w:lineRule="auto"/>
        <w:jc w:val="both"/>
        <w:rPr>
          <w:rFonts w:ascii="Arial Narrow" w:hAnsi="Arial Narrow"/>
        </w:rPr>
      </w:pPr>
      <w:r w:rsidRPr="00F457FC">
        <w:rPr>
          <w:rFonts w:ascii="Arial Narrow" w:hAnsi="Arial Narrow"/>
        </w:rPr>
        <w:t xml:space="preserve">V prosinci roku 2022 bylo v Jihomoravském kraji evidováno celkem 1 988 uchazečů o zaměstnání z třetích zemí, což bylo přibližně 10,8 % všech uchazečů z třetích zemí v České republice. </w:t>
      </w:r>
      <w:r w:rsidRPr="00F457FC">
        <w:rPr>
          <w:rFonts w:ascii="Arial Narrow" w:hAnsi="Arial Narrow"/>
          <w:b/>
          <w:bCs/>
        </w:rPr>
        <w:t>Více než 85 % všech uchazečů z třetích zemí v Jihomoravském kraji tvořili v prosinci 2022 občané Ukrajiny, jejich</w:t>
      </w:r>
      <w:r w:rsidR="00F30E98" w:rsidRPr="00F457FC">
        <w:rPr>
          <w:rFonts w:ascii="Arial Narrow" w:hAnsi="Arial Narrow"/>
          <w:b/>
          <w:bCs/>
        </w:rPr>
        <w:t>ž</w:t>
      </w:r>
      <w:r w:rsidRPr="00F457FC">
        <w:rPr>
          <w:rFonts w:ascii="Arial Narrow" w:hAnsi="Arial Narrow"/>
          <w:b/>
          <w:bCs/>
        </w:rPr>
        <w:t xml:space="preserve"> počet se rapidně zvýšil po začátku rusko-ukrajinského konfliktu</w:t>
      </w:r>
      <w:r w:rsidRPr="00F457FC">
        <w:rPr>
          <w:rFonts w:ascii="Arial Narrow" w:hAnsi="Arial Narrow"/>
        </w:rPr>
        <w:t xml:space="preserve">. Druhou nejčastější národností mezi uchazeči ze třetích zemí byli v prosinci 2022 uchazeči z Ruska, kteří tvořili 2,26 % všech uchazečů z třetích zemí a uchazeči z Arménie a Vietnamu, kteří tvořili shodně 1,3 % těchto uchazečů. Podobně jako mezi uchazeči z EU/EHP, </w:t>
      </w:r>
      <w:r w:rsidRPr="00F457FC">
        <w:rPr>
          <w:rFonts w:ascii="Arial Narrow" w:hAnsi="Arial Narrow"/>
          <w:b/>
          <w:bCs/>
        </w:rPr>
        <w:t>i mezi uchazeči z třetích zemí celkově převažují ženy nad muži</w:t>
      </w:r>
      <w:r w:rsidRPr="00F457FC">
        <w:rPr>
          <w:rFonts w:ascii="Arial Narrow" w:hAnsi="Arial Narrow"/>
        </w:rPr>
        <w:t xml:space="preserve">. V prosinci 2022 se jednalo o 76,9 % uchazeček žen a 23,1 % uchazečů mužů, což opět kopíruje demografické charakteristiky ukrajinských </w:t>
      </w:r>
      <w:r w:rsidR="007A5B21" w:rsidRPr="00F457FC">
        <w:rPr>
          <w:rFonts w:ascii="Arial Narrow" w:hAnsi="Arial Narrow"/>
        </w:rPr>
        <w:t>státních příslušníků</w:t>
      </w:r>
      <w:r w:rsidRPr="00F457FC">
        <w:rPr>
          <w:rFonts w:ascii="Arial Narrow" w:hAnsi="Arial Narrow"/>
        </w:rPr>
        <w:t xml:space="preserve"> v JMK i celé ČR.</w:t>
      </w:r>
      <w:r w:rsidR="005D7876" w:rsidRPr="00F457FC">
        <w:rPr>
          <w:rFonts w:ascii="Arial Narrow" w:hAnsi="Arial Narrow"/>
        </w:rPr>
        <w:t xml:space="preserve"> </w:t>
      </w:r>
    </w:p>
    <w:p w14:paraId="3D1BA4D3" w14:textId="3A871556" w:rsidR="00DA02DE" w:rsidRPr="00F457FC" w:rsidRDefault="00AA4FC3" w:rsidP="00F30E98">
      <w:pPr>
        <w:spacing w:after="120" w:line="276" w:lineRule="auto"/>
        <w:jc w:val="both"/>
        <w:rPr>
          <w:rFonts w:ascii="Arial Narrow" w:hAnsi="Arial Narrow"/>
        </w:rPr>
      </w:pPr>
      <w:r w:rsidRPr="00F457FC">
        <w:rPr>
          <w:rFonts w:ascii="Arial Narrow" w:hAnsi="Arial Narrow"/>
        </w:rPr>
        <w:t xml:space="preserve">Ze strany řady zaměstnavatelů z různých oborů hospodářství i služeb je zájem </w:t>
      </w:r>
      <w:r w:rsidRPr="00F457FC">
        <w:rPr>
          <w:rFonts w:ascii="Arial Narrow" w:hAnsi="Arial Narrow" w:cs="Arial"/>
          <w:lang w:eastAsia="cs-CZ"/>
        </w:rPr>
        <w:t xml:space="preserve">osoby s jinou než českou státní příslušností </w:t>
      </w:r>
      <w:r w:rsidRPr="00F457FC">
        <w:rPr>
          <w:rFonts w:ascii="Arial Narrow" w:hAnsi="Arial Narrow"/>
        </w:rPr>
        <w:t xml:space="preserve">zaměstnávat ve větším počtu jako doposud. U některých oborů je situace zcela jasná, jedná se např. o zpracovatelský průmysl, stavebnictví, služby, ale také zemědělství. Převis poptávky zaměstnavatelů před nabídkou volných míst na trhu práce je možné predikovat také v řadě dalších oborů a pracovních pozic. </w:t>
      </w:r>
      <w:r w:rsidR="005D7876" w:rsidRPr="00F457FC">
        <w:rPr>
          <w:rFonts w:ascii="Arial Narrow" w:hAnsi="Arial Narrow"/>
        </w:rPr>
        <w:t xml:space="preserve">Je </w:t>
      </w:r>
      <w:r w:rsidRPr="00F457FC">
        <w:rPr>
          <w:rFonts w:ascii="Arial Narrow" w:hAnsi="Arial Narrow"/>
        </w:rPr>
        <w:t xml:space="preserve">nicméně </w:t>
      </w:r>
      <w:r w:rsidR="005D7876" w:rsidRPr="00F457FC">
        <w:rPr>
          <w:rFonts w:ascii="Arial Narrow" w:hAnsi="Arial Narrow"/>
        </w:rPr>
        <w:t>pravděpodobné, že z důvodu výraznějších změn v</w:t>
      </w:r>
      <w:r w:rsidR="005D7876" w:rsidRPr="00F457FC">
        <w:rPr>
          <w:rFonts w:ascii="Arial Narrow" w:eastAsia="Calibri" w:hAnsi="Arial Narrow"/>
          <w:color w:val="000000"/>
          <w:u w:color="000000"/>
        </w:rPr>
        <w:t> populaci osob s jinou než českou státní příslušností v Jihomoravském kraji, především v návaznosti na rusko-ukrajinský konflikt</w:t>
      </w:r>
      <w:r w:rsidR="005D7876" w:rsidRPr="00F457FC">
        <w:rPr>
          <w:rFonts w:ascii="Arial Narrow" w:eastAsia="Calibri" w:hAnsi="Arial Narrow"/>
        </w:rPr>
        <w:t>,</w:t>
      </w:r>
      <w:r w:rsidR="005D7876" w:rsidRPr="00F457FC">
        <w:rPr>
          <w:rFonts w:ascii="Arial Narrow" w:eastAsia="Calibri" w:hAnsi="Arial Narrow"/>
          <w:color w:val="000000"/>
          <w:u w:color="000000"/>
        </w:rPr>
        <w:t xml:space="preserve"> se do budoucna změní také struktura zaměstnanosti v Jihomoravském kraji.</w:t>
      </w:r>
    </w:p>
    <w:p w14:paraId="513A1798" w14:textId="50D2308B" w:rsidR="005D7876" w:rsidRPr="005D7876" w:rsidRDefault="005D7876" w:rsidP="005D7876">
      <w:pPr>
        <w:spacing w:after="120" w:line="276" w:lineRule="auto"/>
        <w:jc w:val="both"/>
        <w:rPr>
          <w:rFonts w:ascii="Arial Narrow" w:hAnsi="Arial Narrow"/>
        </w:rPr>
      </w:pPr>
      <w:r w:rsidRPr="00F457FC">
        <w:rPr>
          <w:rFonts w:ascii="Arial Narrow" w:hAnsi="Arial Narrow"/>
        </w:rPr>
        <w:t xml:space="preserve">Přihlédneme-li k okolnostem vzniku zmíněné intenzivní migrace do ČR, můžeme předpokládat, že uvedený výrazný nárůst není novým trendem a v budoucnu se množství příchozích osob do Jihomoravského kraje bude pohybovat v řádově nižších číslech. Je také potřeba upozornit, že výše zmíněné statistiky se týkají pouze evidovaných osob s jinou než českou státní příslušností. </w:t>
      </w:r>
      <w:bookmarkStart w:id="919" w:name="_Hlk137028452"/>
      <w:r w:rsidRPr="00F457FC">
        <w:rPr>
          <w:rFonts w:ascii="Arial Narrow" w:hAnsi="Arial Narrow"/>
        </w:rPr>
        <w:t>V rámci České republiky i Jihomoravského kraje se nicméně vyskytují také neevidovaní cizí státní příslušníci, případně jsou v evidenci uvedeni také</w:t>
      </w:r>
      <w:r w:rsidR="003D733D" w:rsidRPr="00F457FC">
        <w:rPr>
          <w:rFonts w:ascii="Arial Narrow" w:hAnsi="Arial Narrow"/>
        </w:rPr>
        <w:t xml:space="preserve"> občané Ukrajiny</w:t>
      </w:r>
      <w:r w:rsidRPr="00F457FC">
        <w:rPr>
          <w:rFonts w:ascii="Arial Narrow" w:hAnsi="Arial Narrow"/>
        </w:rPr>
        <w:t xml:space="preserve">, kteří </w:t>
      </w:r>
      <w:r w:rsidR="003D733D" w:rsidRPr="00F457FC">
        <w:rPr>
          <w:rFonts w:ascii="Arial Narrow" w:hAnsi="Arial Narrow"/>
        </w:rPr>
        <w:t xml:space="preserve">přišli v důsledku války, ale </w:t>
      </w:r>
      <w:r w:rsidRPr="00F457FC">
        <w:rPr>
          <w:rFonts w:ascii="Arial Narrow" w:hAnsi="Arial Narrow"/>
        </w:rPr>
        <w:t>Jihomoravský kraj již opustili.</w:t>
      </w:r>
      <w:r w:rsidRPr="7CC7BF57">
        <w:rPr>
          <w:rFonts w:ascii="Arial Narrow" w:hAnsi="Arial Narrow"/>
        </w:rPr>
        <w:t xml:space="preserve"> </w:t>
      </w:r>
      <w:bookmarkEnd w:id="919"/>
    </w:p>
    <w:p w14:paraId="24346E7F" w14:textId="5909848A" w:rsidR="005D7876" w:rsidRPr="005D7876" w:rsidRDefault="005D7876" w:rsidP="005D7876">
      <w:pPr>
        <w:spacing w:after="120" w:line="276" w:lineRule="auto"/>
        <w:jc w:val="both"/>
        <w:rPr>
          <w:rFonts w:ascii="Arial Narrow" w:hAnsi="Arial Narrow"/>
        </w:rPr>
      </w:pPr>
      <w:r w:rsidRPr="005D7876">
        <w:rPr>
          <w:rFonts w:ascii="Arial Narrow" w:hAnsi="Arial Narrow"/>
        </w:rPr>
        <w:t xml:space="preserve">Je nicméně důležité vnímat trendy v oblasti migrace i demografického složení skupiny osob s jinou než českou státní příslušností a dle těchto trendů optimalizovat strategie veřejné politiky, především týkající se pracovních a sociálních otázek. </w:t>
      </w:r>
      <w:r w:rsidRPr="005D7876">
        <w:rPr>
          <w:rFonts w:ascii="Arial Narrow" w:hAnsi="Arial Narrow"/>
          <w:b/>
          <w:bCs/>
        </w:rPr>
        <w:t>V návaznosti na události posledního období se v rámci skupiny osob s jinou než českou státní příslušností v Jihomoravském kraji výrazně zvýšil podíl žen a dětí do 15 let.</w:t>
      </w:r>
      <w:r w:rsidRPr="005D7876">
        <w:rPr>
          <w:rFonts w:ascii="Arial Narrow" w:hAnsi="Arial Narrow"/>
        </w:rPr>
        <w:t xml:space="preserve"> V rámci problematiky </w:t>
      </w:r>
      <w:r w:rsidRPr="005D7876">
        <w:rPr>
          <w:rFonts w:ascii="Arial Narrow" w:hAnsi="Arial Narrow"/>
        </w:rPr>
        <w:lastRenderedPageBreak/>
        <w:t xml:space="preserve">zaměstnávání se dá předpokládat, že v této souvislosti vzroste zájem o práci na zkrácené úvazky, dohody o provedené práce nebo dohody o pracovní činnosti. Zvýšení podílu dětí do 15 let by mělo být vnímáno také v návaznosti na potřebu navýšení kapacit ve školských zařízeních. </w:t>
      </w:r>
    </w:p>
    <w:p w14:paraId="0EBF8C68" w14:textId="65972E09" w:rsidR="00986CE8" w:rsidRDefault="005D7876" w:rsidP="005D7876">
      <w:pPr>
        <w:spacing w:after="120" w:line="276" w:lineRule="auto"/>
        <w:jc w:val="both"/>
        <w:rPr>
          <w:rFonts w:ascii="Arial Narrow" w:hAnsi="Arial Narrow"/>
          <w:highlight w:val="yellow"/>
        </w:rPr>
      </w:pPr>
      <w:r w:rsidRPr="009931FE">
        <w:rPr>
          <w:rFonts w:ascii="Arial Narrow" w:eastAsia="Calibri" w:hAnsi="Arial Narrow"/>
          <w:color w:val="000000"/>
          <w:u w:color="000000"/>
        </w:rPr>
        <w:t xml:space="preserve">Změny </w:t>
      </w:r>
      <w:r>
        <w:rPr>
          <w:rFonts w:ascii="Arial Narrow" w:eastAsia="Calibri" w:hAnsi="Arial Narrow"/>
          <w:color w:val="000000"/>
          <w:u w:color="000000"/>
        </w:rPr>
        <w:t>v demografické struktuře i struktuře zaměstnanosti budou</w:t>
      </w:r>
      <w:r w:rsidRPr="009931FE">
        <w:rPr>
          <w:rFonts w:ascii="Arial Narrow" w:eastAsia="Calibri" w:hAnsi="Arial Narrow"/>
          <w:color w:val="000000"/>
          <w:u w:color="000000"/>
        </w:rPr>
        <w:t xml:space="preserve"> patrné také po ukončení </w:t>
      </w:r>
      <w:r>
        <w:rPr>
          <w:rFonts w:ascii="Arial Narrow" w:eastAsia="Calibri" w:hAnsi="Arial Narrow"/>
          <w:color w:val="000000"/>
          <w:u w:color="000000"/>
        </w:rPr>
        <w:t xml:space="preserve">rusko-ukrajinského </w:t>
      </w:r>
      <w:r w:rsidRPr="009931FE">
        <w:rPr>
          <w:rFonts w:ascii="Arial Narrow" w:eastAsia="Calibri" w:hAnsi="Arial Narrow"/>
          <w:color w:val="000000"/>
          <w:u w:color="000000"/>
        </w:rPr>
        <w:t>konfliktu, kdy je očekáván návrat části osob s ukrajinskou státní příslušností zpět do země původu.</w:t>
      </w:r>
      <w:r>
        <w:rPr>
          <w:rFonts w:ascii="Arial Narrow" w:eastAsia="Calibri" w:hAnsi="Arial Narrow"/>
          <w:color w:val="000000"/>
          <w:u w:color="000000"/>
        </w:rPr>
        <w:t xml:space="preserve"> V současné chvíli nelze predikovat specifika a časový horizont tohoto vývoje s ohledem na okolnosti vývoje konfliktu. Další případné výkyvy v trendu můžou nastat v případě jakékoli další výraznější migrační vlny do Jihomoravského kraje. V návaznosti na výše uvedené události a celkový průběh řešení ukrajinské </w:t>
      </w:r>
      <w:r w:rsidR="007A5B21">
        <w:rPr>
          <w:rFonts w:ascii="Arial Narrow" w:eastAsia="Calibri" w:hAnsi="Arial Narrow"/>
          <w:color w:val="000000"/>
          <w:u w:color="000000"/>
        </w:rPr>
        <w:t>migrační</w:t>
      </w:r>
      <w:r>
        <w:rPr>
          <w:rFonts w:ascii="Arial Narrow" w:eastAsia="Calibri" w:hAnsi="Arial Narrow"/>
          <w:color w:val="000000"/>
          <w:u w:color="000000"/>
        </w:rPr>
        <w:t xml:space="preserve"> krize se však ještě více prohloubila </w:t>
      </w:r>
      <w:r w:rsidRPr="00AA4FC3">
        <w:rPr>
          <w:rFonts w:ascii="Arial Narrow" w:eastAsia="Calibri" w:hAnsi="Arial Narrow"/>
          <w:b/>
          <w:bCs/>
          <w:color w:val="000000"/>
          <w:u w:color="000000"/>
        </w:rPr>
        <w:t>potřeba efektivní a rychlé analýzy dat, komunikace a výměny informací mezi jednotlivými subjekty státní správy, samosprávy i nevládních organizací</w:t>
      </w:r>
      <w:r>
        <w:rPr>
          <w:rFonts w:ascii="Arial Narrow" w:eastAsia="Calibri" w:hAnsi="Arial Narrow"/>
          <w:color w:val="000000"/>
          <w:u w:color="000000"/>
        </w:rPr>
        <w:t xml:space="preserve">.      </w:t>
      </w:r>
    </w:p>
    <w:p w14:paraId="570FA621" w14:textId="5FA36984" w:rsidR="00285A50" w:rsidRPr="00CE357F" w:rsidRDefault="00285A50" w:rsidP="00285A50">
      <w:pPr>
        <w:spacing w:after="120" w:line="276" w:lineRule="auto"/>
        <w:jc w:val="both"/>
        <w:rPr>
          <w:rFonts w:ascii="Arial Narrow" w:hAnsi="Arial Narrow"/>
        </w:rPr>
      </w:pPr>
      <w:r w:rsidRPr="00CE357F">
        <w:rPr>
          <w:rFonts w:ascii="Arial Narrow" w:hAnsi="Arial Narrow"/>
        </w:rPr>
        <w:t>V návaznosti na poznatky vyplývající z</w:t>
      </w:r>
      <w:r w:rsidR="00AA4FC3">
        <w:rPr>
          <w:rFonts w:ascii="Arial Narrow" w:hAnsi="Arial Narrow"/>
        </w:rPr>
        <w:t xml:space="preserve"> aktualizované</w:t>
      </w:r>
      <w:r w:rsidRPr="00CE357F">
        <w:rPr>
          <w:rFonts w:ascii="Arial Narrow" w:hAnsi="Arial Narrow"/>
        </w:rPr>
        <w:t> první etapy projektu doporučujeme dále prohlubovat již fungující spolupráci mezi Jihomoravským krajem, Statutárním městem Brnem a dalšími významnými stakeholder</w:t>
      </w:r>
      <w:r w:rsidR="00AA4FC3">
        <w:rPr>
          <w:rFonts w:ascii="Arial Narrow" w:hAnsi="Arial Narrow"/>
        </w:rPr>
        <w:t>y</w:t>
      </w:r>
      <w:r w:rsidRPr="00CE357F">
        <w:rPr>
          <w:rFonts w:ascii="Arial Narrow" w:hAnsi="Arial Narrow"/>
        </w:rPr>
        <w:t>, kteří se podílejí na inkluzi osob s jinou než českou státní příslušností do prostředí Jihomoravského kraje a na trh práce. Jedná se především o konkrétní instituce státní správy</w:t>
      </w:r>
      <w:r w:rsidR="00AA4FC3">
        <w:rPr>
          <w:rFonts w:ascii="Arial Narrow" w:hAnsi="Arial Narrow"/>
        </w:rPr>
        <w:t>,</w:t>
      </w:r>
      <w:r w:rsidRPr="00CE357F">
        <w:rPr>
          <w:rFonts w:ascii="Arial Narrow" w:hAnsi="Arial Narrow"/>
        </w:rPr>
        <w:t xml:space="preserve"> např. úřad práce, cizineck</w:t>
      </w:r>
      <w:r w:rsidR="00AA4FC3">
        <w:rPr>
          <w:rFonts w:ascii="Arial Narrow" w:hAnsi="Arial Narrow"/>
        </w:rPr>
        <w:t>ou</w:t>
      </w:r>
      <w:r w:rsidRPr="00CE357F">
        <w:rPr>
          <w:rFonts w:ascii="Arial Narrow" w:hAnsi="Arial Narrow"/>
        </w:rPr>
        <w:t xml:space="preserve"> polici</w:t>
      </w:r>
      <w:r w:rsidR="00AA4FC3">
        <w:rPr>
          <w:rFonts w:ascii="Arial Narrow" w:hAnsi="Arial Narrow"/>
        </w:rPr>
        <w:t>i</w:t>
      </w:r>
      <w:r w:rsidRPr="00CE357F">
        <w:rPr>
          <w:rFonts w:ascii="Arial Narrow" w:hAnsi="Arial Narrow"/>
        </w:rPr>
        <w:t>, ale také podniky, zaměstnavatel</w:t>
      </w:r>
      <w:r w:rsidR="00AA4FC3">
        <w:rPr>
          <w:rFonts w:ascii="Arial Narrow" w:hAnsi="Arial Narrow"/>
        </w:rPr>
        <w:t xml:space="preserve">e </w:t>
      </w:r>
      <w:r w:rsidRPr="00CE357F">
        <w:rPr>
          <w:rFonts w:ascii="Arial Narrow" w:hAnsi="Arial Narrow"/>
        </w:rPr>
        <w:t xml:space="preserve">a jejich profesní organizace např. </w:t>
      </w:r>
      <w:r w:rsidR="00AA4FC3">
        <w:rPr>
          <w:rFonts w:ascii="Arial Narrow" w:hAnsi="Arial Narrow"/>
        </w:rPr>
        <w:t>h</w:t>
      </w:r>
      <w:r w:rsidRPr="00CE357F">
        <w:rPr>
          <w:rFonts w:ascii="Arial Narrow" w:hAnsi="Arial Narrow"/>
        </w:rPr>
        <w:t>ospodářsk</w:t>
      </w:r>
      <w:r w:rsidR="00AA4FC3">
        <w:rPr>
          <w:rFonts w:ascii="Arial Narrow" w:hAnsi="Arial Narrow"/>
        </w:rPr>
        <w:t>ou</w:t>
      </w:r>
      <w:r w:rsidRPr="00CE357F">
        <w:rPr>
          <w:rFonts w:ascii="Arial Narrow" w:hAnsi="Arial Narrow"/>
        </w:rPr>
        <w:t xml:space="preserve"> komor</w:t>
      </w:r>
      <w:r w:rsidR="00AA4FC3">
        <w:rPr>
          <w:rFonts w:ascii="Arial Narrow" w:hAnsi="Arial Narrow"/>
        </w:rPr>
        <w:t>u</w:t>
      </w:r>
      <w:r w:rsidRPr="00CE357F">
        <w:rPr>
          <w:rFonts w:ascii="Arial Narrow" w:hAnsi="Arial Narrow"/>
        </w:rPr>
        <w:t xml:space="preserve">, </w:t>
      </w:r>
      <w:r w:rsidR="00AA4FC3">
        <w:rPr>
          <w:rFonts w:ascii="Arial Narrow" w:hAnsi="Arial Narrow"/>
        </w:rPr>
        <w:t xml:space="preserve">dále </w:t>
      </w:r>
      <w:r w:rsidRPr="00CE357F">
        <w:rPr>
          <w:rFonts w:ascii="Arial Narrow" w:hAnsi="Arial Narrow"/>
        </w:rPr>
        <w:t>obce, ale také</w:t>
      </w:r>
      <w:r w:rsidR="00FA0D52">
        <w:rPr>
          <w:rFonts w:ascii="Arial Narrow" w:hAnsi="Arial Narrow"/>
        </w:rPr>
        <w:t xml:space="preserve"> </w:t>
      </w:r>
      <w:r w:rsidRPr="00CE357F">
        <w:rPr>
          <w:rFonts w:ascii="Arial Narrow" w:hAnsi="Arial Narrow"/>
        </w:rPr>
        <w:t>organizace, které s osobami s jinou než českou státní příslušností pracují a nabízejí jim svou pomoc.</w:t>
      </w:r>
    </w:p>
    <w:p w14:paraId="0E652B5D" w14:textId="78204828" w:rsidR="00285A50" w:rsidRPr="00AA4FC3" w:rsidRDefault="00285A50" w:rsidP="00285A50">
      <w:pPr>
        <w:spacing w:after="120" w:line="276" w:lineRule="auto"/>
        <w:jc w:val="both"/>
        <w:rPr>
          <w:rFonts w:ascii="Arial Narrow" w:hAnsi="Arial Narrow"/>
          <w:b/>
          <w:bCs/>
        </w:rPr>
      </w:pPr>
      <w:r w:rsidRPr="00AA4FC3">
        <w:rPr>
          <w:rFonts w:ascii="Arial Narrow" w:hAnsi="Arial Narrow"/>
          <w:b/>
          <w:bCs/>
        </w:rPr>
        <w:t>V návaznosti na</w:t>
      </w:r>
      <w:r w:rsidR="00FA0D52" w:rsidRPr="00AA4FC3">
        <w:rPr>
          <w:rFonts w:ascii="Arial Narrow" w:hAnsi="Arial Narrow"/>
          <w:b/>
          <w:bCs/>
        </w:rPr>
        <w:t xml:space="preserve"> aktualizované</w:t>
      </w:r>
      <w:r w:rsidRPr="00AA4FC3">
        <w:rPr>
          <w:rFonts w:ascii="Arial Narrow" w:hAnsi="Arial Narrow"/>
          <w:b/>
          <w:bCs/>
        </w:rPr>
        <w:t xml:space="preserve"> poznatky z analýzy sekundárních dat, která tvoří okruh </w:t>
      </w:r>
      <w:r w:rsidR="007C20B3" w:rsidRPr="00AA4FC3">
        <w:rPr>
          <w:rFonts w:ascii="Arial Narrow" w:hAnsi="Arial Narrow"/>
          <w:b/>
          <w:bCs/>
        </w:rPr>
        <w:t>a</w:t>
      </w:r>
      <w:r w:rsidRPr="00AA4FC3">
        <w:rPr>
          <w:rFonts w:ascii="Arial Narrow" w:hAnsi="Arial Narrow"/>
          <w:b/>
          <w:bCs/>
        </w:rPr>
        <w:t xml:space="preserve">), tedy první etapu analýzy, je možné doporučit potřebu </w:t>
      </w:r>
      <w:r w:rsidR="00FA0D52" w:rsidRPr="00AA4FC3">
        <w:rPr>
          <w:rFonts w:ascii="Arial Narrow" w:hAnsi="Arial Narrow"/>
          <w:b/>
          <w:bCs/>
        </w:rPr>
        <w:t xml:space="preserve">dále </w:t>
      </w:r>
      <w:r w:rsidRPr="00AA4FC3">
        <w:rPr>
          <w:rFonts w:ascii="Arial Narrow" w:hAnsi="Arial Narrow"/>
          <w:b/>
          <w:bCs/>
        </w:rPr>
        <w:t xml:space="preserve">systematicky </w:t>
      </w:r>
      <w:r w:rsidR="00FA0D52" w:rsidRPr="00AA4FC3">
        <w:rPr>
          <w:rFonts w:ascii="Arial Narrow" w:hAnsi="Arial Narrow"/>
          <w:b/>
          <w:bCs/>
        </w:rPr>
        <w:t xml:space="preserve">a intenzivně </w:t>
      </w:r>
      <w:r w:rsidRPr="00AA4FC3">
        <w:rPr>
          <w:rFonts w:ascii="Arial Narrow" w:hAnsi="Arial Narrow"/>
          <w:b/>
          <w:bCs/>
        </w:rPr>
        <w:t>sledovat vývoj počtu cizinců v Jihomoravském kraji ve všech atributech</w:t>
      </w:r>
      <w:r w:rsidR="00FA0D52" w:rsidRPr="00AA4FC3">
        <w:rPr>
          <w:rFonts w:ascii="Arial Narrow" w:hAnsi="Arial Narrow"/>
          <w:b/>
          <w:bCs/>
        </w:rPr>
        <w:t>, včetně osob s mezinárodní a dočasnou ochranou</w:t>
      </w:r>
      <w:r w:rsidRPr="00AA4FC3">
        <w:rPr>
          <w:rFonts w:ascii="Arial Narrow" w:hAnsi="Arial Narrow"/>
          <w:b/>
          <w:bCs/>
        </w:rPr>
        <w:t>. I přes vstřícný přístup ze strany Úřadu práce ČR si dovolujeme dále apelovat na optimalizaci sledování dat o osobách s jinou než českou státní příslušností ze strany institucí státu, jejich validaci a vytěžování v návaznosti na agregace těchto dat.</w:t>
      </w:r>
    </w:p>
    <w:p w14:paraId="7E87EEF4" w14:textId="47208A11" w:rsidR="00285A50" w:rsidRPr="00CE357F" w:rsidRDefault="00285A50" w:rsidP="00285A50">
      <w:pPr>
        <w:suppressAutoHyphens/>
        <w:spacing w:after="120" w:line="276" w:lineRule="auto"/>
        <w:jc w:val="both"/>
        <w:rPr>
          <w:rFonts w:ascii="Arial Narrow" w:hAnsi="Arial Narrow" w:cstheme="minorHAnsi"/>
        </w:rPr>
      </w:pPr>
      <w:r w:rsidRPr="00CE357F">
        <w:rPr>
          <w:rFonts w:ascii="Arial Narrow" w:hAnsi="Arial Narrow"/>
        </w:rPr>
        <w:t>Je zřejmé, že celá řada opatření bude v budoucnu vyžadovat nejen finanční náklady a vstřícnost ze strany státu a polických reprezentací, ale i legislativní úpravy. Jihomoravský kraj ze svého statutu může vznášet návrhy na legislativní opatření.</w:t>
      </w:r>
      <w:r w:rsidRPr="00CE357F">
        <w:rPr>
          <w:rFonts w:ascii="Arial Narrow" w:hAnsi="Arial Narrow" w:cstheme="minorHAnsi"/>
        </w:rPr>
        <w:t xml:space="preserve"> </w:t>
      </w:r>
      <w:r w:rsidRPr="00CE357F">
        <w:rPr>
          <w:rFonts w:ascii="Arial Narrow" w:hAnsi="Arial Narrow"/>
        </w:rPr>
        <w:t>V oblasti sociálních inovací, zaměstnávání a inkluze osob s jinou než českou státní příslušností do společnosti a prostředí Jihomoravského kraje navrhujeme na základě poznatků z první etapy projektu následující inovace:</w:t>
      </w:r>
    </w:p>
    <w:p w14:paraId="3FE6F576" w14:textId="4D3023FD" w:rsidR="00285A50" w:rsidRPr="00CE357F" w:rsidRDefault="00285A50" w:rsidP="00285A50">
      <w:pPr>
        <w:spacing w:after="120" w:line="276" w:lineRule="auto"/>
        <w:jc w:val="both"/>
        <w:rPr>
          <w:rFonts w:ascii="Arial Narrow" w:hAnsi="Arial Narrow"/>
          <w:b/>
        </w:rPr>
      </w:pPr>
      <w:r w:rsidRPr="00CE357F">
        <w:rPr>
          <w:rFonts w:ascii="Arial Narrow" w:hAnsi="Arial Narrow"/>
          <w:b/>
        </w:rPr>
        <w:t>V oblasti legislativních návrhů a efektivního pořizování a vytěžování dat o cizincích:</w:t>
      </w:r>
    </w:p>
    <w:p w14:paraId="1A637C39" w14:textId="77777777" w:rsidR="00285A50" w:rsidRPr="00CE357F" w:rsidRDefault="00285A50" w:rsidP="008B3D36">
      <w:pPr>
        <w:pStyle w:val="Odstavecseseznamem"/>
        <w:numPr>
          <w:ilvl w:val="0"/>
          <w:numId w:val="24"/>
        </w:numPr>
        <w:spacing w:after="120" w:line="276" w:lineRule="auto"/>
        <w:contextualSpacing w:val="0"/>
        <w:jc w:val="both"/>
        <w:rPr>
          <w:rFonts w:ascii="Arial Narrow" w:hAnsi="Arial Narrow"/>
        </w:rPr>
      </w:pPr>
      <w:r w:rsidRPr="00CE357F">
        <w:rPr>
          <w:rFonts w:ascii="Arial Narrow" w:hAnsi="Arial Narrow"/>
        </w:rPr>
        <w:t>Námět Jihomoravského kraje na inovace v oblasti sběru a využitelnosti dat ze strany Ministerstva práce a sociálních věcí, a především Úřadu práce – data o zaměstnanosti. Východiskem by byla informační povinnost zaměstnavatelů – pravidelný reporting validních dat o zaměstnávání osob s jinou než českou státní příslušností, včetně zaměstnávání agenturních pracovníků.</w:t>
      </w:r>
    </w:p>
    <w:p w14:paraId="75A14DB4" w14:textId="77777777" w:rsidR="00285A50" w:rsidRPr="00CE357F" w:rsidRDefault="00285A50" w:rsidP="008B3D36">
      <w:pPr>
        <w:pStyle w:val="Odstavecseseznamem"/>
        <w:numPr>
          <w:ilvl w:val="0"/>
          <w:numId w:val="24"/>
        </w:numPr>
        <w:spacing w:after="120" w:line="276" w:lineRule="auto"/>
        <w:contextualSpacing w:val="0"/>
        <w:jc w:val="both"/>
        <w:rPr>
          <w:rFonts w:ascii="Arial Narrow" w:hAnsi="Arial Narrow"/>
        </w:rPr>
      </w:pPr>
      <w:r w:rsidRPr="00CE357F">
        <w:rPr>
          <w:rFonts w:ascii="Arial Narrow" w:hAnsi="Arial Narrow"/>
        </w:rPr>
        <w:t>Náměty na propojení dat (informačních systémů a zdrojů dat) o osobách s jinou než českou státní příslušností, které se pořizují z různých datových zdrojů, různými způsoby (Ministerstvo vnitra, cizinecká policie, Ministerstvo práce a sociálních věcí, Úřad práce, Ministerstvo školství, mládeže a tělovýchovy a další).</w:t>
      </w:r>
    </w:p>
    <w:p w14:paraId="7908BC4D" w14:textId="77777777" w:rsidR="00285A50" w:rsidRPr="00CE357F" w:rsidRDefault="00285A50" w:rsidP="00285A50">
      <w:pPr>
        <w:spacing w:after="120" w:line="276" w:lineRule="auto"/>
        <w:jc w:val="both"/>
        <w:rPr>
          <w:rFonts w:ascii="Arial Narrow" w:hAnsi="Arial Narrow"/>
          <w:b/>
        </w:rPr>
      </w:pPr>
      <w:r w:rsidRPr="00CE357F">
        <w:rPr>
          <w:rFonts w:ascii="Arial Narrow" w:hAnsi="Arial Narrow"/>
          <w:b/>
        </w:rPr>
        <w:t>V oblasti koordinace procesů a aktivit:</w:t>
      </w:r>
    </w:p>
    <w:p w14:paraId="5F2CBF52" w14:textId="631F9000" w:rsidR="00285A50" w:rsidRPr="00CE357F" w:rsidRDefault="00285A50" w:rsidP="008B3D36">
      <w:pPr>
        <w:pStyle w:val="Odstavecseseznamem"/>
        <w:numPr>
          <w:ilvl w:val="0"/>
          <w:numId w:val="24"/>
        </w:numPr>
        <w:spacing w:after="120" w:line="276" w:lineRule="auto"/>
        <w:contextualSpacing w:val="0"/>
        <w:jc w:val="both"/>
        <w:rPr>
          <w:rFonts w:ascii="Arial Narrow" w:hAnsi="Arial Narrow"/>
        </w:rPr>
      </w:pPr>
      <w:r w:rsidRPr="00CE357F">
        <w:rPr>
          <w:rFonts w:ascii="Arial Narrow" w:hAnsi="Arial Narrow"/>
        </w:rPr>
        <w:t>Doporučujeme inovace v oblasti systematizace přístupů k cizincům, síťování aktivit jednotlivých stakeholder</w:t>
      </w:r>
      <w:r w:rsidR="00AA4FC3">
        <w:rPr>
          <w:rFonts w:ascii="Arial Narrow" w:hAnsi="Arial Narrow"/>
        </w:rPr>
        <w:t>ů</w:t>
      </w:r>
      <w:r w:rsidRPr="00CE357F">
        <w:rPr>
          <w:rFonts w:ascii="Arial Narrow" w:hAnsi="Arial Narrow"/>
        </w:rPr>
        <w:t>, a postupné propojování aktivit a spolupráce aktérů, kteří v oblasti zaměstnávání cizinců a jejich inkluzi působí.</w:t>
      </w:r>
    </w:p>
    <w:p w14:paraId="52B4959D" w14:textId="77777777" w:rsidR="00285A50" w:rsidRPr="00CE357F" w:rsidRDefault="00285A50" w:rsidP="008B3D36">
      <w:pPr>
        <w:pStyle w:val="Odstavecseseznamem"/>
        <w:numPr>
          <w:ilvl w:val="0"/>
          <w:numId w:val="24"/>
        </w:numPr>
        <w:spacing w:after="120" w:line="276" w:lineRule="auto"/>
        <w:contextualSpacing w:val="0"/>
        <w:jc w:val="both"/>
        <w:rPr>
          <w:rFonts w:ascii="Arial Narrow" w:hAnsi="Arial Narrow"/>
        </w:rPr>
      </w:pPr>
      <w:r w:rsidRPr="00CE357F">
        <w:rPr>
          <w:rFonts w:ascii="Arial Narrow" w:hAnsi="Arial Narrow"/>
        </w:rPr>
        <w:lastRenderedPageBreak/>
        <w:t>Dále doporučujeme propojování komunikace a přenosu informací, mapování potřeb na všech úrovních veřejných politik v oblasti zaměstnávání osob s jinou než českou státní příslušností a jejich inkluzi do společnosti.</w:t>
      </w:r>
    </w:p>
    <w:p w14:paraId="74DC864B" w14:textId="77777777" w:rsidR="00285A50" w:rsidRPr="00CE357F" w:rsidRDefault="00285A50" w:rsidP="00285A50">
      <w:pPr>
        <w:spacing w:after="120" w:line="276" w:lineRule="auto"/>
        <w:jc w:val="both"/>
        <w:rPr>
          <w:rFonts w:ascii="Arial Narrow" w:hAnsi="Arial Narrow"/>
        </w:rPr>
      </w:pPr>
    </w:p>
    <w:p w14:paraId="4B18D86B" w14:textId="6FF9AB72" w:rsidR="00285A50" w:rsidRDefault="00285A50" w:rsidP="00285A50">
      <w:pPr>
        <w:suppressAutoHyphens/>
        <w:spacing w:after="120" w:line="276" w:lineRule="auto"/>
        <w:jc w:val="both"/>
        <w:rPr>
          <w:rFonts w:ascii="Arial Narrow" w:hAnsi="Arial Narrow"/>
        </w:rPr>
      </w:pPr>
      <w:r w:rsidRPr="00CE357F">
        <w:rPr>
          <w:rFonts w:ascii="Arial Narrow" w:hAnsi="Arial Narrow"/>
        </w:rPr>
        <w:t>Věříme, že ze strany Jihomoravského kraje bude</w:t>
      </w:r>
      <w:r w:rsidR="00AA4FC3">
        <w:rPr>
          <w:rFonts w:ascii="Arial Narrow" w:hAnsi="Arial Narrow"/>
        </w:rPr>
        <w:t xml:space="preserve"> aktualizovaná</w:t>
      </w:r>
      <w:r w:rsidRPr="00CE357F">
        <w:rPr>
          <w:rFonts w:ascii="Arial Narrow" w:hAnsi="Arial Narrow"/>
        </w:rPr>
        <w:t xml:space="preserve"> zpráva první etapy projektu vnímána jako přínosná a inspirativní pro další etapy projektu a využitelná při nastavení komplexního přístupu k tvorbě veřejné politiky v dané oblasti.</w:t>
      </w:r>
    </w:p>
    <w:p w14:paraId="58331AB1" w14:textId="3B93CFE4" w:rsidR="00AA4FC3" w:rsidRDefault="00AA4FC3" w:rsidP="00285A50">
      <w:pPr>
        <w:suppressAutoHyphens/>
        <w:spacing w:after="120" w:line="276" w:lineRule="auto"/>
        <w:jc w:val="both"/>
        <w:rPr>
          <w:rFonts w:ascii="Arial Narrow" w:hAnsi="Arial Narrow"/>
        </w:rPr>
      </w:pPr>
    </w:p>
    <w:p w14:paraId="309B44A2" w14:textId="4FA4B66B" w:rsidR="00AA4FC3" w:rsidRDefault="00AA4FC3" w:rsidP="00285A50">
      <w:pPr>
        <w:suppressAutoHyphens/>
        <w:spacing w:after="120" w:line="276" w:lineRule="auto"/>
        <w:jc w:val="both"/>
        <w:rPr>
          <w:rFonts w:ascii="Arial Narrow" w:hAnsi="Arial Narrow"/>
        </w:rPr>
      </w:pPr>
    </w:p>
    <w:p w14:paraId="7CF71038" w14:textId="2D361D05" w:rsidR="00AA4FC3" w:rsidRDefault="00AA4FC3" w:rsidP="00285A50">
      <w:pPr>
        <w:suppressAutoHyphens/>
        <w:spacing w:after="120" w:line="276" w:lineRule="auto"/>
        <w:jc w:val="both"/>
        <w:rPr>
          <w:rFonts w:ascii="Arial Narrow" w:hAnsi="Arial Narrow"/>
        </w:rPr>
      </w:pPr>
    </w:p>
    <w:p w14:paraId="10041938" w14:textId="08482900" w:rsidR="00AA4FC3" w:rsidRDefault="00AA4FC3" w:rsidP="00285A50">
      <w:pPr>
        <w:suppressAutoHyphens/>
        <w:spacing w:after="120" w:line="276" w:lineRule="auto"/>
        <w:jc w:val="both"/>
        <w:rPr>
          <w:rFonts w:ascii="Arial Narrow" w:hAnsi="Arial Narrow"/>
        </w:rPr>
      </w:pPr>
    </w:p>
    <w:p w14:paraId="5359AC8E" w14:textId="323DAF56" w:rsidR="00AA4FC3" w:rsidRDefault="00AA4FC3" w:rsidP="00285A50">
      <w:pPr>
        <w:suppressAutoHyphens/>
        <w:spacing w:after="120" w:line="276" w:lineRule="auto"/>
        <w:jc w:val="both"/>
        <w:rPr>
          <w:rFonts w:ascii="Arial Narrow" w:hAnsi="Arial Narrow"/>
        </w:rPr>
      </w:pPr>
    </w:p>
    <w:p w14:paraId="037C315D" w14:textId="4E7E7C53" w:rsidR="00AA4FC3" w:rsidRDefault="00AA4FC3" w:rsidP="00285A50">
      <w:pPr>
        <w:suppressAutoHyphens/>
        <w:spacing w:after="120" w:line="276" w:lineRule="auto"/>
        <w:jc w:val="both"/>
        <w:rPr>
          <w:rFonts w:ascii="Arial Narrow" w:hAnsi="Arial Narrow"/>
        </w:rPr>
      </w:pPr>
    </w:p>
    <w:p w14:paraId="65745730" w14:textId="3B41C0E0" w:rsidR="00AA4FC3" w:rsidRDefault="00AA4FC3" w:rsidP="00285A50">
      <w:pPr>
        <w:suppressAutoHyphens/>
        <w:spacing w:after="120" w:line="276" w:lineRule="auto"/>
        <w:jc w:val="both"/>
        <w:rPr>
          <w:rFonts w:ascii="Arial Narrow" w:hAnsi="Arial Narrow"/>
        </w:rPr>
      </w:pPr>
    </w:p>
    <w:p w14:paraId="6491358D" w14:textId="31C05CCE" w:rsidR="00AA4FC3" w:rsidRDefault="00AA4FC3" w:rsidP="00285A50">
      <w:pPr>
        <w:suppressAutoHyphens/>
        <w:spacing w:after="120" w:line="276" w:lineRule="auto"/>
        <w:jc w:val="both"/>
        <w:rPr>
          <w:rFonts w:ascii="Arial Narrow" w:hAnsi="Arial Narrow"/>
        </w:rPr>
      </w:pPr>
    </w:p>
    <w:p w14:paraId="3BB52AF8" w14:textId="303E47A8" w:rsidR="00AA4FC3" w:rsidRDefault="00AA4FC3" w:rsidP="00285A50">
      <w:pPr>
        <w:suppressAutoHyphens/>
        <w:spacing w:after="120" w:line="276" w:lineRule="auto"/>
        <w:jc w:val="both"/>
        <w:rPr>
          <w:rFonts w:ascii="Arial Narrow" w:hAnsi="Arial Narrow"/>
        </w:rPr>
      </w:pPr>
    </w:p>
    <w:p w14:paraId="604FD085" w14:textId="70FF6C02" w:rsidR="00AA4FC3" w:rsidRDefault="00AA4FC3" w:rsidP="00285A50">
      <w:pPr>
        <w:suppressAutoHyphens/>
        <w:spacing w:after="120" w:line="276" w:lineRule="auto"/>
        <w:jc w:val="both"/>
        <w:rPr>
          <w:rFonts w:ascii="Arial Narrow" w:hAnsi="Arial Narrow"/>
        </w:rPr>
      </w:pPr>
    </w:p>
    <w:p w14:paraId="11DF85EF" w14:textId="4721E961" w:rsidR="00AA4FC3" w:rsidRDefault="00AA4FC3" w:rsidP="00285A50">
      <w:pPr>
        <w:suppressAutoHyphens/>
        <w:spacing w:after="120" w:line="276" w:lineRule="auto"/>
        <w:jc w:val="both"/>
        <w:rPr>
          <w:rFonts w:ascii="Arial Narrow" w:hAnsi="Arial Narrow"/>
        </w:rPr>
      </w:pPr>
    </w:p>
    <w:p w14:paraId="7B0319FB" w14:textId="4108BA07" w:rsidR="00AA4FC3" w:rsidRDefault="00AA4FC3" w:rsidP="00285A50">
      <w:pPr>
        <w:suppressAutoHyphens/>
        <w:spacing w:after="120" w:line="276" w:lineRule="auto"/>
        <w:jc w:val="both"/>
        <w:rPr>
          <w:rFonts w:ascii="Arial Narrow" w:hAnsi="Arial Narrow"/>
        </w:rPr>
      </w:pPr>
    </w:p>
    <w:p w14:paraId="06D58486" w14:textId="4849C453" w:rsidR="00AA4FC3" w:rsidRDefault="00AA4FC3" w:rsidP="00285A50">
      <w:pPr>
        <w:suppressAutoHyphens/>
        <w:spacing w:after="120" w:line="276" w:lineRule="auto"/>
        <w:jc w:val="both"/>
        <w:rPr>
          <w:rFonts w:ascii="Arial Narrow" w:hAnsi="Arial Narrow"/>
        </w:rPr>
      </w:pPr>
    </w:p>
    <w:p w14:paraId="50FD6E1B" w14:textId="2575E65D" w:rsidR="00AA4FC3" w:rsidRDefault="00AA4FC3" w:rsidP="00285A50">
      <w:pPr>
        <w:suppressAutoHyphens/>
        <w:spacing w:after="120" w:line="276" w:lineRule="auto"/>
        <w:jc w:val="both"/>
        <w:rPr>
          <w:rFonts w:ascii="Arial Narrow" w:hAnsi="Arial Narrow"/>
        </w:rPr>
      </w:pPr>
    </w:p>
    <w:p w14:paraId="37134E7C" w14:textId="7AB6B692" w:rsidR="00AA4FC3" w:rsidRDefault="00AA4FC3" w:rsidP="00285A50">
      <w:pPr>
        <w:suppressAutoHyphens/>
        <w:spacing w:after="120" w:line="276" w:lineRule="auto"/>
        <w:jc w:val="both"/>
        <w:rPr>
          <w:rFonts w:ascii="Arial Narrow" w:hAnsi="Arial Narrow"/>
        </w:rPr>
      </w:pPr>
    </w:p>
    <w:p w14:paraId="4E8702D6" w14:textId="2C84B910" w:rsidR="00AA4FC3" w:rsidRDefault="00AA4FC3" w:rsidP="00285A50">
      <w:pPr>
        <w:suppressAutoHyphens/>
        <w:spacing w:after="120" w:line="276" w:lineRule="auto"/>
        <w:jc w:val="both"/>
        <w:rPr>
          <w:rFonts w:ascii="Arial Narrow" w:hAnsi="Arial Narrow"/>
        </w:rPr>
      </w:pPr>
    </w:p>
    <w:p w14:paraId="7ABC752C" w14:textId="2AE81B70" w:rsidR="00AA4FC3" w:rsidRDefault="00AA4FC3" w:rsidP="00285A50">
      <w:pPr>
        <w:suppressAutoHyphens/>
        <w:spacing w:after="120" w:line="276" w:lineRule="auto"/>
        <w:jc w:val="both"/>
        <w:rPr>
          <w:rFonts w:ascii="Arial Narrow" w:hAnsi="Arial Narrow"/>
        </w:rPr>
      </w:pPr>
    </w:p>
    <w:p w14:paraId="2571544E" w14:textId="07BC0C28" w:rsidR="00AA4FC3" w:rsidRDefault="00AA4FC3" w:rsidP="00285A50">
      <w:pPr>
        <w:suppressAutoHyphens/>
        <w:spacing w:after="120" w:line="276" w:lineRule="auto"/>
        <w:jc w:val="both"/>
        <w:rPr>
          <w:rFonts w:ascii="Arial Narrow" w:hAnsi="Arial Narrow"/>
        </w:rPr>
      </w:pPr>
    </w:p>
    <w:p w14:paraId="542B0983" w14:textId="1218BC29" w:rsidR="00AA4FC3" w:rsidRDefault="00AA4FC3" w:rsidP="00285A50">
      <w:pPr>
        <w:suppressAutoHyphens/>
        <w:spacing w:after="120" w:line="276" w:lineRule="auto"/>
        <w:jc w:val="both"/>
        <w:rPr>
          <w:rFonts w:ascii="Arial Narrow" w:hAnsi="Arial Narrow"/>
        </w:rPr>
      </w:pPr>
    </w:p>
    <w:p w14:paraId="59F73501" w14:textId="7BB94578" w:rsidR="00AA4FC3" w:rsidRDefault="00AA4FC3" w:rsidP="00285A50">
      <w:pPr>
        <w:suppressAutoHyphens/>
        <w:spacing w:after="120" w:line="276" w:lineRule="auto"/>
        <w:jc w:val="both"/>
        <w:rPr>
          <w:rFonts w:ascii="Arial Narrow" w:hAnsi="Arial Narrow"/>
        </w:rPr>
      </w:pPr>
    </w:p>
    <w:p w14:paraId="0DAB1232" w14:textId="76E5B68B" w:rsidR="00AA4FC3" w:rsidRDefault="00AA4FC3" w:rsidP="00285A50">
      <w:pPr>
        <w:suppressAutoHyphens/>
        <w:spacing w:after="120" w:line="276" w:lineRule="auto"/>
        <w:jc w:val="both"/>
        <w:rPr>
          <w:rFonts w:ascii="Arial Narrow" w:hAnsi="Arial Narrow"/>
        </w:rPr>
      </w:pPr>
    </w:p>
    <w:p w14:paraId="6598DD0B" w14:textId="3464D43A" w:rsidR="00AA4FC3" w:rsidRDefault="00AA4FC3" w:rsidP="00285A50">
      <w:pPr>
        <w:suppressAutoHyphens/>
        <w:spacing w:after="120" w:line="276" w:lineRule="auto"/>
        <w:jc w:val="both"/>
        <w:rPr>
          <w:rFonts w:ascii="Arial Narrow" w:hAnsi="Arial Narrow"/>
        </w:rPr>
      </w:pPr>
    </w:p>
    <w:p w14:paraId="1B2E77C2" w14:textId="60B51A47" w:rsidR="00AA4FC3" w:rsidRDefault="00AA4FC3" w:rsidP="00285A50">
      <w:pPr>
        <w:suppressAutoHyphens/>
        <w:spacing w:after="120" w:line="276" w:lineRule="auto"/>
        <w:jc w:val="both"/>
        <w:rPr>
          <w:rFonts w:ascii="Arial Narrow" w:hAnsi="Arial Narrow"/>
        </w:rPr>
      </w:pPr>
    </w:p>
    <w:p w14:paraId="1EBDF69A" w14:textId="77777777" w:rsidR="00AA4FC3" w:rsidRPr="00CE357F" w:rsidRDefault="00AA4FC3" w:rsidP="00285A50">
      <w:pPr>
        <w:suppressAutoHyphens/>
        <w:spacing w:after="120" w:line="276" w:lineRule="auto"/>
        <w:jc w:val="both"/>
        <w:rPr>
          <w:rFonts w:ascii="Arial Narrow" w:hAnsi="Arial Narrow"/>
        </w:rPr>
      </w:pPr>
    </w:p>
    <w:p w14:paraId="4520BE13" w14:textId="1428B0BA" w:rsidR="00EA2A41" w:rsidRPr="00CE357F" w:rsidRDefault="00EA2A41" w:rsidP="00F1264F">
      <w:pPr>
        <w:spacing w:line="276" w:lineRule="auto"/>
        <w:rPr>
          <w:rFonts w:ascii="Arial Narrow" w:hAnsi="Arial Narrow"/>
          <w:b/>
          <w:color w:val="2F5496" w:themeColor="accent1" w:themeShade="BF"/>
        </w:rPr>
      </w:pPr>
      <w:bookmarkStart w:id="920" w:name="_NÁVRH_KONKRÉTNÍCH_ŘEŠENÍ"/>
      <w:bookmarkEnd w:id="920"/>
    </w:p>
    <w:p w14:paraId="39B49551" w14:textId="2BA469D2" w:rsidR="00E808D5" w:rsidRPr="00B32B4F" w:rsidRDefault="00E808D5" w:rsidP="00B32B4F">
      <w:pPr>
        <w:pStyle w:val="Nadpis1"/>
        <w:ind w:left="360"/>
        <w:rPr>
          <w:color w:val="002060"/>
        </w:rPr>
      </w:pPr>
      <w:bookmarkStart w:id="921" w:name="_Toc77772184"/>
      <w:bookmarkStart w:id="922" w:name="_Toc79066976"/>
      <w:bookmarkStart w:id="923" w:name="_Toc79145098"/>
      <w:bookmarkStart w:id="924" w:name="_Toc79145412"/>
      <w:bookmarkStart w:id="925" w:name="_Toc79145509"/>
      <w:bookmarkStart w:id="926" w:name="_Toc79149028"/>
      <w:bookmarkStart w:id="927" w:name="_Toc79151420"/>
      <w:bookmarkStart w:id="928" w:name="_Toc79567310"/>
      <w:bookmarkStart w:id="929" w:name="_Toc80016693"/>
      <w:bookmarkStart w:id="930" w:name="_Toc88823834"/>
      <w:bookmarkStart w:id="931" w:name="_Toc91675735"/>
      <w:bookmarkStart w:id="932" w:name="_Toc91676305"/>
      <w:bookmarkStart w:id="933" w:name="_Toc91676339"/>
      <w:bookmarkStart w:id="934" w:name="_Toc91678872"/>
      <w:bookmarkStart w:id="935" w:name="_Toc91679413"/>
      <w:bookmarkStart w:id="936" w:name="_Toc91683983"/>
      <w:bookmarkStart w:id="937" w:name="_Toc91684630"/>
      <w:bookmarkStart w:id="938" w:name="_Toc93409550"/>
      <w:bookmarkStart w:id="939" w:name="_Toc93409691"/>
      <w:bookmarkStart w:id="940" w:name="_Toc93480002"/>
      <w:bookmarkStart w:id="941" w:name="_Toc93480159"/>
      <w:bookmarkStart w:id="942" w:name="_Toc93501942"/>
      <w:bookmarkStart w:id="943" w:name="_Toc93653054"/>
      <w:bookmarkStart w:id="944" w:name="_Toc93656346"/>
      <w:bookmarkStart w:id="945" w:name="_Toc93656456"/>
      <w:bookmarkStart w:id="946" w:name="_Toc93657837"/>
      <w:bookmarkStart w:id="947" w:name="_Toc93657964"/>
      <w:bookmarkStart w:id="948" w:name="_Toc93658350"/>
      <w:bookmarkStart w:id="949" w:name="_Toc93658412"/>
      <w:bookmarkStart w:id="950" w:name="_Toc93667981"/>
      <w:bookmarkStart w:id="951" w:name="_Toc93679327"/>
      <w:bookmarkStart w:id="952" w:name="_Toc93679516"/>
      <w:bookmarkStart w:id="953" w:name="_Toc93679634"/>
      <w:bookmarkStart w:id="954" w:name="_Toc93854552"/>
      <w:bookmarkStart w:id="955" w:name="_Toc93859533"/>
      <w:bookmarkStart w:id="956" w:name="_Toc93862182"/>
      <w:bookmarkStart w:id="957" w:name="_Toc93999927"/>
      <w:bookmarkStart w:id="958" w:name="_Toc94000018"/>
      <w:bookmarkStart w:id="959" w:name="_Toc94000156"/>
      <w:bookmarkStart w:id="960" w:name="_Toc94000353"/>
      <w:bookmarkStart w:id="961" w:name="_Toc94006763"/>
      <w:bookmarkStart w:id="962" w:name="_Toc94215438"/>
      <w:bookmarkStart w:id="963" w:name="_Toc94220515"/>
      <w:bookmarkStart w:id="964" w:name="_Toc94444145"/>
      <w:bookmarkStart w:id="965" w:name="_Toc13687617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sidRPr="00B32B4F">
        <w:rPr>
          <w:color w:val="002060"/>
        </w:rPr>
        <w:lastRenderedPageBreak/>
        <w:t>SEZNAM ZDROJŮ</w:t>
      </w:r>
      <w:bookmarkEnd w:id="965"/>
    </w:p>
    <w:p w14:paraId="2DCE07D5" w14:textId="540F43B4" w:rsidR="00E808D5" w:rsidRPr="00535D80" w:rsidRDefault="00E808D5" w:rsidP="00535D80">
      <w:pPr>
        <w:jc w:val="both"/>
        <w:rPr>
          <w:rFonts w:ascii="Arial Narrow" w:hAnsi="Arial Narrow"/>
          <w:sz w:val="20"/>
          <w:szCs w:val="20"/>
          <w:lang w:eastAsia="cs-CZ"/>
        </w:rPr>
      </w:pPr>
    </w:p>
    <w:p w14:paraId="68A53B9C" w14:textId="25ECCD1B" w:rsidR="00E808D5" w:rsidRPr="00535D80" w:rsidRDefault="00E808D5" w:rsidP="00535D80">
      <w:pPr>
        <w:jc w:val="both"/>
        <w:rPr>
          <w:rFonts w:ascii="Arial Narrow" w:hAnsi="Arial Narrow"/>
          <w:sz w:val="20"/>
          <w:szCs w:val="20"/>
          <w:lang w:eastAsia="cs-CZ"/>
        </w:rPr>
      </w:pPr>
    </w:p>
    <w:p w14:paraId="3DA115F1"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Český statistický úřad. 2021. </w:t>
      </w:r>
      <w:r w:rsidRPr="008C0ED6">
        <w:rPr>
          <w:rFonts w:ascii="Arial Narrow" w:hAnsi="Arial Narrow"/>
          <w:i/>
          <w:iCs/>
          <w:color w:val="000000" w:themeColor="text1"/>
          <w:sz w:val="20"/>
          <w:szCs w:val="20"/>
        </w:rPr>
        <w:t>Cizinci v ČR 2020</w:t>
      </w:r>
      <w:r w:rsidRPr="008C0ED6">
        <w:rPr>
          <w:rFonts w:ascii="Arial Narrow" w:hAnsi="Arial Narrow"/>
          <w:color w:val="000000" w:themeColor="text1"/>
          <w:sz w:val="20"/>
          <w:szCs w:val="20"/>
        </w:rPr>
        <w:t xml:space="preserve">. Dostupné z: </w:t>
      </w:r>
      <w:hyperlink r:id="rId203" w:history="1">
        <w:r w:rsidRPr="008C0ED6">
          <w:rPr>
            <w:rStyle w:val="Hypertextovodkaz"/>
            <w:rFonts w:ascii="Arial Narrow" w:hAnsi="Arial Narrow"/>
            <w:color w:val="000000" w:themeColor="text1"/>
            <w:sz w:val="20"/>
            <w:szCs w:val="20"/>
          </w:rPr>
          <w:t>https://www.czso.cz/csu/czso/cizinci-v-cr-2020</w:t>
        </w:r>
      </w:hyperlink>
      <w:r w:rsidRPr="008C0ED6">
        <w:rPr>
          <w:rFonts w:ascii="Arial Narrow" w:hAnsi="Arial Narrow"/>
          <w:color w:val="000000" w:themeColor="text1"/>
          <w:sz w:val="20"/>
          <w:szCs w:val="20"/>
        </w:rPr>
        <w:t xml:space="preserve"> </w:t>
      </w:r>
    </w:p>
    <w:p w14:paraId="67D389ED"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Český statistický úřad. 2021. </w:t>
      </w:r>
      <w:r w:rsidRPr="008C0ED6">
        <w:rPr>
          <w:rFonts w:ascii="Arial Narrow" w:hAnsi="Arial Narrow"/>
          <w:i/>
          <w:iCs/>
          <w:color w:val="000000" w:themeColor="text1"/>
          <w:sz w:val="20"/>
          <w:szCs w:val="20"/>
        </w:rPr>
        <w:t>Život cizinců v ČR – 2020</w:t>
      </w:r>
      <w:r w:rsidRPr="008C0ED6">
        <w:rPr>
          <w:rFonts w:ascii="Arial Narrow" w:hAnsi="Arial Narrow"/>
          <w:color w:val="000000" w:themeColor="text1"/>
          <w:sz w:val="20"/>
          <w:szCs w:val="20"/>
        </w:rPr>
        <w:t xml:space="preserve">. </w:t>
      </w:r>
      <w:hyperlink r:id="rId204" w:history="1">
        <w:r w:rsidRPr="008C0ED6">
          <w:rPr>
            <w:rStyle w:val="Hypertextovodkaz"/>
            <w:rFonts w:ascii="Arial Narrow" w:hAnsi="Arial Narrow"/>
            <w:color w:val="000000" w:themeColor="text1"/>
            <w:sz w:val="20"/>
            <w:szCs w:val="20"/>
          </w:rPr>
          <w:t>https://www.czso.cz/csu/czso/zivot-cizincu-v-cr-2020</w:t>
        </w:r>
      </w:hyperlink>
      <w:r w:rsidRPr="008C0ED6">
        <w:rPr>
          <w:rFonts w:ascii="Arial Narrow" w:hAnsi="Arial Narrow"/>
          <w:color w:val="000000" w:themeColor="text1"/>
          <w:sz w:val="20"/>
          <w:szCs w:val="20"/>
        </w:rPr>
        <w:t xml:space="preserve"> </w:t>
      </w:r>
    </w:p>
    <w:p w14:paraId="395F3EF6"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Český statistický úřad. 2021. </w:t>
      </w:r>
      <w:r w:rsidRPr="008C0ED6">
        <w:rPr>
          <w:rFonts w:ascii="Arial Narrow" w:hAnsi="Arial Narrow"/>
          <w:i/>
          <w:iCs/>
          <w:color w:val="000000" w:themeColor="text1"/>
          <w:sz w:val="20"/>
          <w:szCs w:val="20"/>
        </w:rPr>
        <w:t>Průřezové statistiky – Cizinci</w:t>
      </w:r>
      <w:r w:rsidRPr="008C0ED6">
        <w:rPr>
          <w:rFonts w:ascii="Arial Narrow" w:hAnsi="Arial Narrow"/>
          <w:color w:val="000000" w:themeColor="text1"/>
          <w:sz w:val="20"/>
          <w:szCs w:val="20"/>
        </w:rPr>
        <w:t xml:space="preserve">. </w:t>
      </w:r>
      <w:hyperlink r:id="rId205" w:history="1">
        <w:r w:rsidRPr="008C0ED6">
          <w:rPr>
            <w:rStyle w:val="Hypertextovodkaz"/>
            <w:rFonts w:ascii="Arial Narrow" w:hAnsi="Arial Narrow"/>
            <w:color w:val="000000" w:themeColor="text1"/>
            <w:sz w:val="20"/>
            <w:szCs w:val="20"/>
          </w:rPr>
          <w:t>https://www.czso.cz/csu/cizinci/cizinci-pocet-cizincu</w:t>
        </w:r>
      </w:hyperlink>
      <w:r w:rsidRPr="008C0ED6">
        <w:rPr>
          <w:rFonts w:ascii="Arial Narrow" w:hAnsi="Arial Narrow"/>
          <w:color w:val="000000" w:themeColor="text1"/>
          <w:sz w:val="20"/>
          <w:szCs w:val="20"/>
        </w:rPr>
        <w:t xml:space="preserve"> </w:t>
      </w:r>
    </w:p>
    <w:p w14:paraId="15FF327F"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Český statistický úřad. 2021. </w:t>
      </w:r>
      <w:r w:rsidRPr="008C0ED6">
        <w:rPr>
          <w:rFonts w:ascii="Arial Narrow" w:hAnsi="Arial Narrow"/>
          <w:i/>
          <w:iCs/>
          <w:color w:val="000000" w:themeColor="text1"/>
          <w:sz w:val="20"/>
          <w:szCs w:val="20"/>
        </w:rPr>
        <w:t>Statistická ročenka Jihomoravského kraje – 2021</w:t>
      </w:r>
      <w:r w:rsidRPr="008C0ED6">
        <w:rPr>
          <w:rFonts w:ascii="Arial Narrow" w:hAnsi="Arial Narrow"/>
          <w:color w:val="000000" w:themeColor="text1"/>
          <w:sz w:val="20"/>
          <w:szCs w:val="20"/>
        </w:rPr>
        <w:t xml:space="preserve">. Dostupné z: </w:t>
      </w:r>
      <w:hyperlink r:id="rId206" w:history="1">
        <w:r w:rsidRPr="008C0ED6">
          <w:rPr>
            <w:rStyle w:val="Hypertextovodkaz"/>
            <w:rFonts w:ascii="Arial Narrow" w:hAnsi="Arial Narrow"/>
            <w:color w:val="000000" w:themeColor="text1"/>
            <w:sz w:val="20"/>
            <w:szCs w:val="20"/>
          </w:rPr>
          <w:t>https://www.czso.cz/csu/czso/statisticka-rocenka-jihomoravskeho-kraje-2021</w:t>
        </w:r>
      </w:hyperlink>
      <w:r w:rsidRPr="008C0ED6">
        <w:rPr>
          <w:rFonts w:ascii="Arial Narrow" w:hAnsi="Arial Narrow"/>
          <w:color w:val="000000" w:themeColor="text1"/>
          <w:sz w:val="20"/>
          <w:szCs w:val="20"/>
        </w:rPr>
        <w:t xml:space="preserve"> </w:t>
      </w:r>
    </w:p>
    <w:p w14:paraId="7A40DE6B"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Český statistický úřad. 2021. </w:t>
      </w:r>
      <w:r w:rsidRPr="008C0ED6">
        <w:rPr>
          <w:rFonts w:ascii="Arial Narrow" w:hAnsi="Arial Narrow"/>
          <w:i/>
          <w:iCs/>
          <w:color w:val="000000" w:themeColor="text1"/>
          <w:sz w:val="20"/>
          <w:szCs w:val="20"/>
        </w:rPr>
        <w:t>Cizinci v Jihomoravském kraji v roce 2020</w:t>
      </w:r>
      <w:r w:rsidRPr="008C0ED6">
        <w:rPr>
          <w:rFonts w:ascii="Arial Narrow" w:hAnsi="Arial Narrow"/>
          <w:color w:val="000000" w:themeColor="text1"/>
          <w:sz w:val="20"/>
          <w:szCs w:val="20"/>
        </w:rPr>
        <w:t xml:space="preserve">. Dostupné z: </w:t>
      </w:r>
      <w:hyperlink r:id="rId207" w:history="1">
        <w:r w:rsidRPr="008C0ED6">
          <w:rPr>
            <w:rStyle w:val="Hypertextovodkaz"/>
            <w:rFonts w:ascii="Arial Narrow" w:hAnsi="Arial Narrow"/>
            <w:color w:val="000000" w:themeColor="text1"/>
            <w:sz w:val="20"/>
            <w:szCs w:val="20"/>
          </w:rPr>
          <w:t>https://www.czso.cz/csu/xb/cizinci-v-jihomoravskem-kraji-v-roce-2020</w:t>
        </w:r>
      </w:hyperlink>
      <w:r w:rsidRPr="008C0ED6">
        <w:rPr>
          <w:rFonts w:ascii="Arial Narrow" w:hAnsi="Arial Narrow"/>
          <w:color w:val="000000" w:themeColor="text1"/>
          <w:sz w:val="20"/>
          <w:szCs w:val="20"/>
        </w:rPr>
        <w:t xml:space="preserve"> </w:t>
      </w:r>
    </w:p>
    <w:p w14:paraId="25A19620"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Český statistický úřad. 2021. </w:t>
      </w:r>
      <w:r w:rsidRPr="008C0ED6">
        <w:rPr>
          <w:rFonts w:ascii="Arial Narrow" w:hAnsi="Arial Narrow"/>
          <w:i/>
          <w:iCs/>
          <w:color w:val="000000" w:themeColor="text1"/>
          <w:sz w:val="20"/>
          <w:szCs w:val="20"/>
        </w:rPr>
        <w:t>Počet pracujících cizinců loni vzrostl</w:t>
      </w:r>
      <w:r w:rsidRPr="008C0ED6">
        <w:rPr>
          <w:rFonts w:ascii="Arial Narrow" w:hAnsi="Arial Narrow"/>
          <w:color w:val="000000" w:themeColor="text1"/>
          <w:sz w:val="20"/>
          <w:szCs w:val="20"/>
        </w:rPr>
        <w:t xml:space="preserve">. Dostupné z: </w:t>
      </w:r>
      <w:hyperlink r:id="rId208" w:history="1">
        <w:r w:rsidRPr="008C0ED6">
          <w:rPr>
            <w:rStyle w:val="Hypertextovodkaz"/>
            <w:rFonts w:ascii="Arial Narrow" w:hAnsi="Arial Narrow"/>
            <w:color w:val="000000" w:themeColor="text1"/>
            <w:sz w:val="20"/>
            <w:szCs w:val="20"/>
          </w:rPr>
          <w:t>https://www.czso.cz/csu/czso/pocet-v-cesku-pracujicich-cizincu-loni-vzrostl</w:t>
        </w:r>
      </w:hyperlink>
      <w:r w:rsidRPr="008C0ED6">
        <w:rPr>
          <w:rFonts w:ascii="Arial Narrow" w:hAnsi="Arial Narrow"/>
          <w:color w:val="000000" w:themeColor="text1"/>
          <w:sz w:val="20"/>
          <w:szCs w:val="20"/>
        </w:rPr>
        <w:t xml:space="preserve"> </w:t>
      </w:r>
    </w:p>
    <w:p w14:paraId="430908CA"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sz w:val="20"/>
          <w:szCs w:val="20"/>
        </w:rPr>
      </w:pPr>
      <w:r w:rsidRPr="008C0ED6">
        <w:rPr>
          <w:rFonts w:ascii="Arial Narrow" w:hAnsi="Arial Narrow"/>
          <w:color w:val="000000" w:themeColor="text1"/>
          <w:sz w:val="20"/>
          <w:szCs w:val="20"/>
        </w:rPr>
        <w:t xml:space="preserve">Český statistický úřad. 2023. </w:t>
      </w:r>
      <w:r w:rsidRPr="008C0ED6">
        <w:rPr>
          <w:rFonts w:ascii="Arial Narrow" w:hAnsi="Arial Narrow"/>
          <w:i/>
          <w:iCs/>
          <w:color w:val="000000" w:themeColor="text1"/>
          <w:sz w:val="20"/>
          <w:szCs w:val="20"/>
        </w:rPr>
        <w:t>Předběžné údaje zveřejňované Ředitelstvím služby cizinecké policie</w:t>
      </w:r>
      <w:r w:rsidRPr="008C0ED6">
        <w:rPr>
          <w:rFonts w:ascii="Arial Narrow" w:hAnsi="Arial Narrow"/>
          <w:color w:val="000000" w:themeColor="text1"/>
          <w:sz w:val="20"/>
          <w:szCs w:val="20"/>
        </w:rPr>
        <w:t xml:space="preserve">. Dostupné z: </w:t>
      </w:r>
      <w:hyperlink r:id="rId209" w:history="1">
        <w:r w:rsidRPr="008C0ED6">
          <w:rPr>
            <w:rStyle w:val="Hypertextovodkaz"/>
            <w:rFonts w:ascii="Arial Narrow" w:hAnsi="Arial Narrow"/>
            <w:color w:val="000000" w:themeColor="text1"/>
            <w:sz w:val="20"/>
            <w:szCs w:val="20"/>
          </w:rPr>
          <w:t>https://www.czso.cz/csu/cizinci/predbezne-udaje-zverejnovane-rs-cp</w:t>
        </w:r>
      </w:hyperlink>
      <w:r w:rsidRPr="008C0ED6">
        <w:rPr>
          <w:rFonts w:ascii="Arial Narrow" w:hAnsi="Arial Narrow"/>
          <w:color w:val="000000" w:themeColor="text1"/>
          <w:sz w:val="20"/>
          <w:szCs w:val="20"/>
        </w:rPr>
        <w:t xml:space="preserve"> </w:t>
      </w:r>
    </w:p>
    <w:p w14:paraId="4CA30BF1"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Český statistický úřad. 2023. </w:t>
      </w:r>
      <w:r w:rsidRPr="008C0ED6">
        <w:rPr>
          <w:rFonts w:ascii="Arial Narrow" w:hAnsi="Arial Narrow"/>
          <w:i/>
          <w:iCs/>
          <w:color w:val="000000" w:themeColor="text1"/>
          <w:sz w:val="20"/>
          <w:szCs w:val="20"/>
        </w:rPr>
        <w:t>Data o počtu cizinců</w:t>
      </w:r>
      <w:r w:rsidRPr="008C0ED6">
        <w:rPr>
          <w:rFonts w:ascii="Arial Narrow" w:hAnsi="Arial Narrow"/>
          <w:color w:val="000000" w:themeColor="text1"/>
          <w:sz w:val="20"/>
          <w:szCs w:val="20"/>
        </w:rPr>
        <w:t xml:space="preserve">. Dostupné z: </w:t>
      </w:r>
      <w:hyperlink r:id="rId210" w:anchor="cr" w:history="1">
        <w:r w:rsidRPr="008C0ED6">
          <w:rPr>
            <w:rStyle w:val="Hypertextovodkaz"/>
            <w:rFonts w:ascii="Arial Narrow" w:hAnsi="Arial Narrow"/>
            <w:color w:val="000000" w:themeColor="text1"/>
            <w:sz w:val="20"/>
            <w:szCs w:val="20"/>
          </w:rPr>
          <w:t>https://www.czso.cz/csu/cizinci/4-ciz_pocet_cizincu#cr</w:t>
        </w:r>
      </w:hyperlink>
      <w:r w:rsidRPr="008C0ED6">
        <w:rPr>
          <w:rFonts w:ascii="Arial Narrow" w:hAnsi="Arial Narrow"/>
          <w:color w:val="000000" w:themeColor="text1"/>
          <w:sz w:val="20"/>
          <w:szCs w:val="20"/>
        </w:rPr>
        <w:t xml:space="preserve"> </w:t>
      </w:r>
    </w:p>
    <w:p w14:paraId="260DFF3C"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Český statistický úřad. 2022. </w:t>
      </w:r>
      <w:r w:rsidRPr="008C0ED6">
        <w:rPr>
          <w:rFonts w:ascii="Arial Narrow" w:hAnsi="Arial Narrow"/>
          <w:i/>
          <w:iCs/>
          <w:color w:val="000000" w:themeColor="text1"/>
          <w:sz w:val="20"/>
          <w:szCs w:val="20"/>
        </w:rPr>
        <w:t>Cizinci v ČR – včetně azylantů</w:t>
      </w:r>
      <w:r w:rsidRPr="008C0ED6">
        <w:rPr>
          <w:rFonts w:ascii="Arial Narrow" w:hAnsi="Arial Narrow"/>
          <w:color w:val="000000" w:themeColor="text1"/>
          <w:sz w:val="20"/>
          <w:szCs w:val="20"/>
        </w:rPr>
        <w:t>. Dostupné z:</w:t>
      </w:r>
      <w:r w:rsidRPr="008C0ED6">
        <w:rPr>
          <w:rFonts w:ascii="Arial Narrow" w:hAnsi="Arial Narrow"/>
          <w:color w:val="000000" w:themeColor="text1"/>
        </w:rPr>
        <w:t xml:space="preserve"> </w:t>
      </w:r>
      <w:hyperlink r:id="rId211" w:history="1">
        <w:r w:rsidRPr="008C0ED6">
          <w:rPr>
            <w:rStyle w:val="Hypertextovodkaz"/>
            <w:rFonts w:ascii="Arial Narrow" w:hAnsi="Arial Narrow"/>
            <w:color w:val="000000" w:themeColor="text1"/>
            <w:sz w:val="20"/>
            <w:szCs w:val="20"/>
          </w:rPr>
          <w:t>https://www.czso.cz/csu/cizinci/cizinci-v-cr-vcetne-azylantu</w:t>
        </w:r>
      </w:hyperlink>
      <w:r w:rsidRPr="008C0ED6">
        <w:rPr>
          <w:rFonts w:ascii="Arial Narrow" w:hAnsi="Arial Narrow"/>
          <w:color w:val="000000" w:themeColor="text1"/>
          <w:sz w:val="20"/>
          <w:szCs w:val="20"/>
        </w:rPr>
        <w:t xml:space="preserve"> </w:t>
      </w:r>
    </w:p>
    <w:p w14:paraId="02055CBE" w14:textId="7BD766A3"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Český statistický úřad. 2022. </w:t>
      </w:r>
      <w:r w:rsidRPr="008C0ED6">
        <w:rPr>
          <w:rFonts w:ascii="Arial Narrow" w:hAnsi="Arial Narrow"/>
          <w:i/>
          <w:iCs/>
          <w:color w:val="000000" w:themeColor="text1"/>
          <w:sz w:val="20"/>
          <w:szCs w:val="20"/>
        </w:rPr>
        <w:t>Cizinci v ČR – bez azylantů. Dostupné</w:t>
      </w:r>
      <w:r w:rsidRPr="008C0ED6">
        <w:rPr>
          <w:rFonts w:ascii="Arial Narrow" w:hAnsi="Arial Narrow"/>
          <w:color w:val="000000" w:themeColor="text1"/>
          <w:sz w:val="20"/>
          <w:szCs w:val="20"/>
        </w:rPr>
        <w:t xml:space="preserve"> z: </w:t>
      </w:r>
      <w:hyperlink r:id="rId212" w:history="1">
        <w:r w:rsidRPr="008C0ED6">
          <w:rPr>
            <w:rStyle w:val="Hypertextovodkaz"/>
            <w:rFonts w:ascii="Arial Narrow" w:hAnsi="Arial Narrow"/>
            <w:color w:val="000000" w:themeColor="text1"/>
            <w:sz w:val="20"/>
            <w:szCs w:val="20"/>
          </w:rPr>
          <w:t>https://www.czso.cz/csu/cizinci/cizinci-v-cr-bez-azylantu</w:t>
        </w:r>
      </w:hyperlink>
      <w:r w:rsidRPr="008C0ED6">
        <w:rPr>
          <w:rFonts w:ascii="Arial Narrow" w:hAnsi="Arial Narrow"/>
          <w:color w:val="000000" w:themeColor="text1"/>
          <w:sz w:val="20"/>
          <w:szCs w:val="20"/>
        </w:rPr>
        <w:t xml:space="preserve"> </w:t>
      </w:r>
    </w:p>
    <w:p w14:paraId="22C3A47D"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Český statistický úřad. 2023. Data z veřejné databáze ČSÚ. Dostupné z: </w:t>
      </w:r>
      <w:hyperlink r:id="rId213" w:history="1">
        <w:r w:rsidRPr="008C0ED6">
          <w:rPr>
            <w:rStyle w:val="Hypertextovodkaz"/>
            <w:rFonts w:ascii="Arial Narrow" w:hAnsi="Arial Narrow"/>
            <w:color w:val="000000" w:themeColor="text1"/>
            <w:sz w:val="20"/>
            <w:szCs w:val="20"/>
          </w:rPr>
          <w:t>https://vdb.czso.cz/vdbvo2/faces/cs/index.jsf?page=uziv-dotaz#</w:t>
        </w:r>
      </w:hyperlink>
      <w:r w:rsidRPr="008C0ED6">
        <w:rPr>
          <w:rFonts w:ascii="Arial Narrow" w:hAnsi="Arial Narrow"/>
          <w:color w:val="000000" w:themeColor="text1"/>
          <w:sz w:val="20"/>
          <w:szCs w:val="20"/>
        </w:rPr>
        <w:t xml:space="preserve"> </w:t>
      </w:r>
    </w:p>
    <w:p w14:paraId="468A237B"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Český statistický úřad. 2023. Zaměstnanost cizinců v Jihomoravském kraji v roce 2022. Dostupné z: </w:t>
      </w:r>
      <w:hyperlink r:id="rId214" w:history="1">
        <w:r w:rsidRPr="008C0ED6">
          <w:rPr>
            <w:rStyle w:val="Hypertextovodkaz"/>
            <w:rFonts w:ascii="Arial Narrow" w:hAnsi="Arial Narrow"/>
            <w:color w:val="000000" w:themeColor="text1"/>
            <w:sz w:val="20"/>
            <w:szCs w:val="20"/>
          </w:rPr>
          <w:t>https://www.czso.cz/csu/xb/zamestnanost-cizincu-v-jihomoravskem-kraji-v-roce-2022</w:t>
        </w:r>
      </w:hyperlink>
      <w:r w:rsidRPr="008C0ED6">
        <w:rPr>
          <w:rFonts w:ascii="Arial Narrow" w:hAnsi="Arial Narrow"/>
          <w:color w:val="000000" w:themeColor="text1"/>
          <w:sz w:val="20"/>
          <w:szCs w:val="20"/>
        </w:rPr>
        <w:t xml:space="preserve"> </w:t>
      </w:r>
    </w:p>
    <w:p w14:paraId="2CB718B0" w14:textId="76642CAD" w:rsidR="007A31EF" w:rsidRDefault="007A31EF"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proofErr w:type="spellStart"/>
      <w:r w:rsidRPr="007A31EF">
        <w:rPr>
          <w:rFonts w:ascii="Arial Narrow" w:hAnsi="Arial Narrow"/>
          <w:color w:val="000000" w:themeColor="text1"/>
          <w:sz w:val="20"/>
          <w:szCs w:val="20"/>
        </w:rPr>
        <w:t>European</w:t>
      </w:r>
      <w:proofErr w:type="spellEnd"/>
      <w:r w:rsidRPr="007A31EF">
        <w:rPr>
          <w:rFonts w:ascii="Arial Narrow" w:hAnsi="Arial Narrow"/>
          <w:color w:val="000000" w:themeColor="text1"/>
          <w:sz w:val="20"/>
          <w:szCs w:val="20"/>
        </w:rPr>
        <w:t xml:space="preserve"> </w:t>
      </w:r>
      <w:proofErr w:type="spellStart"/>
      <w:r w:rsidRPr="007A31EF">
        <w:rPr>
          <w:rFonts w:ascii="Arial Narrow" w:hAnsi="Arial Narrow"/>
          <w:color w:val="000000" w:themeColor="text1"/>
          <w:sz w:val="20"/>
          <w:szCs w:val="20"/>
        </w:rPr>
        <w:t>Migration</w:t>
      </w:r>
      <w:proofErr w:type="spellEnd"/>
      <w:r w:rsidRPr="007A31EF">
        <w:rPr>
          <w:rFonts w:ascii="Arial Narrow" w:hAnsi="Arial Narrow"/>
          <w:color w:val="000000" w:themeColor="text1"/>
          <w:sz w:val="20"/>
          <w:szCs w:val="20"/>
        </w:rPr>
        <w:t xml:space="preserve"> Network. 2021. </w:t>
      </w:r>
      <w:proofErr w:type="spellStart"/>
      <w:r w:rsidRPr="007A31EF">
        <w:rPr>
          <w:rFonts w:ascii="Arial Narrow" w:hAnsi="Arial Narrow"/>
          <w:color w:val="000000" w:themeColor="text1"/>
          <w:sz w:val="20"/>
          <w:szCs w:val="20"/>
        </w:rPr>
        <w:t>The</w:t>
      </w:r>
      <w:proofErr w:type="spellEnd"/>
      <w:r w:rsidRPr="007A31EF">
        <w:rPr>
          <w:rFonts w:ascii="Arial Narrow" w:hAnsi="Arial Narrow"/>
          <w:color w:val="000000" w:themeColor="text1"/>
          <w:sz w:val="20"/>
          <w:szCs w:val="20"/>
        </w:rPr>
        <w:t xml:space="preserve"> </w:t>
      </w:r>
      <w:proofErr w:type="spellStart"/>
      <w:r w:rsidRPr="007A31EF">
        <w:rPr>
          <w:rFonts w:ascii="Arial Narrow" w:hAnsi="Arial Narrow"/>
          <w:color w:val="000000" w:themeColor="text1"/>
          <w:sz w:val="20"/>
          <w:szCs w:val="20"/>
        </w:rPr>
        <w:t>impact</w:t>
      </w:r>
      <w:proofErr w:type="spellEnd"/>
      <w:r w:rsidRPr="007A31EF">
        <w:rPr>
          <w:rFonts w:ascii="Arial Narrow" w:hAnsi="Arial Narrow"/>
          <w:color w:val="000000" w:themeColor="text1"/>
          <w:sz w:val="20"/>
          <w:szCs w:val="20"/>
        </w:rPr>
        <w:t xml:space="preserve"> </w:t>
      </w:r>
      <w:proofErr w:type="spellStart"/>
      <w:r w:rsidRPr="007A31EF">
        <w:rPr>
          <w:rFonts w:ascii="Arial Narrow" w:hAnsi="Arial Narrow"/>
          <w:color w:val="000000" w:themeColor="text1"/>
          <w:sz w:val="20"/>
          <w:szCs w:val="20"/>
        </w:rPr>
        <w:t>of</w:t>
      </w:r>
      <w:proofErr w:type="spellEnd"/>
      <w:r w:rsidRPr="007A31EF">
        <w:rPr>
          <w:rFonts w:ascii="Arial Narrow" w:hAnsi="Arial Narrow"/>
          <w:color w:val="000000" w:themeColor="text1"/>
          <w:sz w:val="20"/>
          <w:szCs w:val="20"/>
        </w:rPr>
        <w:t xml:space="preserve"> COVID-19 in </w:t>
      </w:r>
      <w:proofErr w:type="spellStart"/>
      <w:r w:rsidRPr="007A31EF">
        <w:rPr>
          <w:rFonts w:ascii="Arial Narrow" w:hAnsi="Arial Narrow"/>
          <w:color w:val="000000" w:themeColor="text1"/>
          <w:sz w:val="20"/>
          <w:szCs w:val="20"/>
        </w:rPr>
        <w:t>the</w:t>
      </w:r>
      <w:proofErr w:type="spellEnd"/>
      <w:r w:rsidRPr="007A31EF">
        <w:rPr>
          <w:rFonts w:ascii="Arial Narrow" w:hAnsi="Arial Narrow"/>
          <w:color w:val="000000" w:themeColor="text1"/>
          <w:sz w:val="20"/>
          <w:szCs w:val="20"/>
        </w:rPr>
        <w:t xml:space="preserve"> </w:t>
      </w:r>
      <w:proofErr w:type="spellStart"/>
      <w:r w:rsidRPr="007A31EF">
        <w:rPr>
          <w:rFonts w:ascii="Arial Narrow" w:hAnsi="Arial Narrow"/>
          <w:color w:val="000000" w:themeColor="text1"/>
          <w:sz w:val="20"/>
          <w:szCs w:val="20"/>
        </w:rPr>
        <w:t>migration</w:t>
      </w:r>
      <w:proofErr w:type="spellEnd"/>
      <w:r w:rsidRPr="007A31EF">
        <w:rPr>
          <w:rFonts w:ascii="Arial Narrow" w:hAnsi="Arial Narrow"/>
          <w:color w:val="000000" w:themeColor="text1"/>
          <w:sz w:val="20"/>
          <w:szCs w:val="20"/>
        </w:rPr>
        <w:t xml:space="preserve"> area in EU and OECD </w:t>
      </w:r>
      <w:proofErr w:type="spellStart"/>
      <w:r w:rsidRPr="007A31EF">
        <w:rPr>
          <w:rFonts w:ascii="Arial Narrow" w:hAnsi="Arial Narrow"/>
          <w:color w:val="000000" w:themeColor="text1"/>
          <w:sz w:val="20"/>
          <w:szCs w:val="20"/>
        </w:rPr>
        <w:t>countries</w:t>
      </w:r>
      <w:proofErr w:type="spellEnd"/>
      <w:r w:rsidRPr="007A31EF">
        <w:rPr>
          <w:rFonts w:ascii="Arial Narrow" w:hAnsi="Arial Narrow"/>
          <w:color w:val="000000" w:themeColor="text1"/>
          <w:sz w:val="20"/>
          <w:szCs w:val="20"/>
        </w:rPr>
        <w:t xml:space="preserve">. EMN OECD </w:t>
      </w:r>
      <w:proofErr w:type="spellStart"/>
      <w:r w:rsidRPr="007A31EF">
        <w:rPr>
          <w:rFonts w:ascii="Arial Narrow" w:hAnsi="Arial Narrow"/>
          <w:color w:val="000000" w:themeColor="text1"/>
          <w:sz w:val="20"/>
          <w:szCs w:val="20"/>
        </w:rPr>
        <w:t>Umbrella</w:t>
      </w:r>
      <w:proofErr w:type="spellEnd"/>
      <w:r w:rsidRPr="007A31EF">
        <w:rPr>
          <w:rFonts w:ascii="Arial Narrow" w:hAnsi="Arial Narrow"/>
          <w:color w:val="000000" w:themeColor="text1"/>
          <w:sz w:val="20"/>
          <w:szCs w:val="20"/>
        </w:rPr>
        <w:t xml:space="preserve"> </w:t>
      </w:r>
      <w:proofErr w:type="spellStart"/>
      <w:r w:rsidRPr="007A31EF">
        <w:rPr>
          <w:rFonts w:ascii="Arial Narrow" w:hAnsi="Arial Narrow"/>
          <w:color w:val="000000" w:themeColor="text1"/>
          <w:sz w:val="20"/>
          <w:szCs w:val="20"/>
        </w:rPr>
        <w:t>Inform</w:t>
      </w:r>
      <w:proofErr w:type="spellEnd"/>
      <w:r w:rsidRPr="007A31EF">
        <w:rPr>
          <w:rFonts w:ascii="Arial Narrow" w:hAnsi="Arial Narrow"/>
          <w:color w:val="000000" w:themeColor="text1"/>
          <w:sz w:val="20"/>
          <w:szCs w:val="20"/>
        </w:rPr>
        <w:t>. Dostupné z: https://www.oecd.org/migration/mig/00-eu-emn-covid19-umbrella-inform-en.pdf.</w:t>
      </w:r>
    </w:p>
    <w:p w14:paraId="3C800EE2" w14:textId="42C2229F"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EUROSTAT. 2021. </w:t>
      </w:r>
      <w:r w:rsidRPr="008C0ED6">
        <w:rPr>
          <w:rFonts w:ascii="Arial Narrow" w:hAnsi="Arial Narrow"/>
          <w:i/>
          <w:iCs/>
          <w:color w:val="000000" w:themeColor="text1"/>
          <w:sz w:val="20"/>
          <w:szCs w:val="20"/>
        </w:rPr>
        <w:t xml:space="preserve">Migrant </w:t>
      </w:r>
      <w:proofErr w:type="spellStart"/>
      <w:r w:rsidRPr="008C0ED6">
        <w:rPr>
          <w:rFonts w:ascii="Arial Narrow" w:hAnsi="Arial Narrow"/>
          <w:i/>
          <w:iCs/>
          <w:color w:val="000000" w:themeColor="text1"/>
          <w:sz w:val="20"/>
          <w:szCs w:val="20"/>
        </w:rPr>
        <w:t>integration</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statistics</w:t>
      </w:r>
      <w:proofErr w:type="spellEnd"/>
      <w:r w:rsidRPr="008C0ED6">
        <w:rPr>
          <w:rFonts w:ascii="Arial Narrow" w:hAnsi="Arial Narrow"/>
          <w:i/>
          <w:iCs/>
          <w:color w:val="000000" w:themeColor="text1"/>
          <w:sz w:val="20"/>
          <w:szCs w:val="20"/>
        </w:rPr>
        <w:t xml:space="preserve"> – </w:t>
      </w:r>
      <w:proofErr w:type="spellStart"/>
      <w:r w:rsidRPr="008C0ED6">
        <w:rPr>
          <w:rFonts w:ascii="Arial Narrow" w:hAnsi="Arial Narrow"/>
          <w:i/>
          <w:iCs/>
          <w:color w:val="000000" w:themeColor="text1"/>
          <w:sz w:val="20"/>
          <w:szCs w:val="20"/>
        </w:rPr>
        <w:t>employment</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conditions</w:t>
      </w:r>
      <w:proofErr w:type="spellEnd"/>
      <w:r w:rsidRPr="008C0ED6">
        <w:rPr>
          <w:rFonts w:ascii="Arial Narrow" w:hAnsi="Arial Narrow"/>
          <w:color w:val="000000" w:themeColor="text1"/>
          <w:sz w:val="20"/>
          <w:szCs w:val="20"/>
        </w:rPr>
        <w:t xml:space="preserve">. Dostupné z: </w:t>
      </w:r>
      <w:hyperlink r:id="rId215" w:anchor="Youth_temporary_employment" w:history="1">
        <w:r w:rsidRPr="008C0ED6">
          <w:rPr>
            <w:rStyle w:val="Hypertextovodkaz"/>
            <w:rFonts w:ascii="Arial Narrow" w:hAnsi="Arial Narrow"/>
            <w:color w:val="000000" w:themeColor="text1"/>
            <w:sz w:val="20"/>
            <w:szCs w:val="20"/>
          </w:rPr>
          <w:t xml:space="preserve">Migrant </w:t>
        </w:r>
        <w:proofErr w:type="spellStart"/>
        <w:r w:rsidRPr="008C0ED6">
          <w:rPr>
            <w:rStyle w:val="Hypertextovodkaz"/>
            <w:rFonts w:ascii="Arial Narrow" w:hAnsi="Arial Narrow"/>
            <w:color w:val="000000" w:themeColor="text1"/>
            <w:sz w:val="20"/>
            <w:szCs w:val="20"/>
          </w:rPr>
          <w:t>integration</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employment</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conditions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Explained</w:t>
        </w:r>
        <w:proofErr w:type="spellEnd"/>
        <w:r w:rsidRPr="008C0ED6">
          <w:rPr>
            <w:rStyle w:val="Hypertextovodkaz"/>
            <w:rFonts w:ascii="Arial Narrow" w:hAnsi="Arial Narrow"/>
            <w:color w:val="000000" w:themeColor="text1"/>
            <w:sz w:val="20"/>
            <w:szCs w:val="20"/>
          </w:rPr>
          <w:t xml:space="preserve"> (europa.eu)</w:t>
        </w:r>
      </w:hyperlink>
    </w:p>
    <w:p w14:paraId="17C7CED8"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EUROSTAT. 2016. </w:t>
      </w:r>
      <w:proofErr w:type="spellStart"/>
      <w:r w:rsidRPr="008C0ED6">
        <w:rPr>
          <w:rFonts w:ascii="Arial Narrow" w:hAnsi="Arial Narrow"/>
          <w:i/>
          <w:iCs/>
          <w:color w:val="000000" w:themeColor="text1"/>
          <w:sz w:val="20"/>
          <w:szCs w:val="20"/>
        </w:rPr>
        <w:t>First</w:t>
      </w:r>
      <w:proofErr w:type="spellEnd"/>
      <w:r w:rsidRPr="008C0ED6">
        <w:rPr>
          <w:rFonts w:ascii="Arial Narrow" w:hAnsi="Arial Narrow"/>
          <w:i/>
          <w:iCs/>
          <w:color w:val="000000" w:themeColor="text1"/>
          <w:sz w:val="20"/>
          <w:szCs w:val="20"/>
        </w:rPr>
        <w:t xml:space="preserve"> and second-</w:t>
      </w:r>
      <w:proofErr w:type="spellStart"/>
      <w:r w:rsidRPr="008C0ED6">
        <w:rPr>
          <w:rFonts w:ascii="Arial Narrow" w:hAnsi="Arial Narrow"/>
          <w:i/>
          <w:iCs/>
          <w:color w:val="000000" w:themeColor="text1"/>
          <w:sz w:val="20"/>
          <w:szCs w:val="20"/>
        </w:rPr>
        <w:t>generation</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immigrants</w:t>
      </w:r>
      <w:proofErr w:type="spellEnd"/>
      <w:r w:rsidRPr="008C0ED6">
        <w:rPr>
          <w:rFonts w:ascii="Arial Narrow" w:hAnsi="Arial Narrow"/>
          <w:i/>
          <w:iCs/>
          <w:color w:val="000000" w:themeColor="text1"/>
          <w:sz w:val="20"/>
          <w:szCs w:val="20"/>
        </w:rPr>
        <w:t xml:space="preserve"> – </w:t>
      </w:r>
      <w:proofErr w:type="spellStart"/>
      <w:r w:rsidRPr="008C0ED6">
        <w:rPr>
          <w:rFonts w:ascii="Arial Narrow" w:hAnsi="Arial Narrow"/>
          <w:i/>
          <w:iCs/>
          <w:color w:val="000000" w:themeColor="text1"/>
          <w:sz w:val="20"/>
          <w:szCs w:val="20"/>
        </w:rPr>
        <w:t>statistics</w:t>
      </w:r>
      <w:proofErr w:type="spellEnd"/>
      <w:r w:rsidRPr="008C0ED6">
        <w:rPr>
          <w:rFonts w:ascii="Arial Narrow" w:hAnsi="Arial Narrow"/>
          <w:i/>
          <w:iCs/>
          <w:color w:val="000000" w:themeColor="text1"/>
          <w:sz w:val="20"/>
          <w:szCs w:val="20"/>
        </w:rPr>
        <w:t xml:space="preserve"> on </w:t>
      </w:r>
      <w:proofErr w:type="spellStart"/>
      <w:r w:rsidRPr="008C0ED6">
        <w:rPr>
          <w:rFonts w:ascii="Arial Narrow" w:hAnsi="Arial Narrow"/>
          <w:i/>
          <w:iCs/>
          <w:color w:val="000000" w:themeColor="text1"/>
          <w:sz w:val="20"/>
          <w:szCs w:val="20"/>
        </w:rPr>
        <w:t>employment</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conditions</w:t>
      </w:r>
      <w:proofErr w:type="spellEnd"/>
      <w:r w:rsidRPr="008C0ED6">
        <w:rPr>
          <w:rFonts w:ascii="Arial Narrow" w:hAnsi="Arial Narrow"/>
          <w:color w:val="000000" w:themeColor="text1"/>
          <w:sz w:val="20"/>
          <w:szCs w:val="20"/>
        </w:rPr>
        <w:t xml:space="preserve">. Dostupné z: </w:t>
      </w:r>
      <w:hyperlink r:id="rId216" w:anchor="General_overview" w:history="1">
        <w:proofErr w:type="spellStart"/>
        <w:r w:rsidRPr="008C0ED6">
          <w:rPr>
            <w:rStyle w:val="Hypertextovodkaz"/>
            <w:rFonts w:ascii="Arial Narrow" w:hAnsi="Arial Narrow"/>
            <w:color w:val="000000" w:themeColor="text1"/>
            <w:sz w:val="20"/>
            <w:szCs w:val="20"/>
          </w:rPr>
          <w:t>First</w:t>
        </w:r>
        <w:proofErr w:type="spellEnd"/>
        <w:r w:rsidRPr="008C0ED6">
          <w:rPr>
            <w:rStyle w:val="Hypertextovodkaz"/>
            <w:rFonts w:ascii="Arial Narrow" w:hAnsi="Arial Narrow"/>
            <w:color w:val="000000" w:themeColor="text1"/>
            <w:sz w:val="20"/>
            <w:szCs w:val="20"/>
          </w:rPr>
          <w:t xml:space="preserve"> and second-</w:t>
        </w:r>
        <w:proofErr w:type="spellStart"/>
        <w:r w:rsidRPr="008C0ED6">
          <w:rPr>
            <w:rStyle w:val="Hypertextovodkaz"/>
            <w:rFonts w:ascii="Arial Narrow" w:hAnsi="Arial Narrow"/>
            <w:color w:val="000000" w:themeColor="text1"/>
            <w:sz w:val="20"/>
            <w:szCs w:val="20"/>
          </w:rPr>
          <w:t>generation</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immigrants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on </w:t>
        </w:r>
        <w:proofErr w:type="spellStart"/>
        <w:r w:rsidRPr="008C0ED6">
          <w:rPr>
            <w:rStyle w:val="Hypertextovodkaz"/>
            <w:rFonts w:ascii="Arial Narrow" w:hAnsi="Arial Narrow"/>
            <w:color w:val="000000" w:themeColor="text1"/>
            <w:sz w:val="20"/>
            <w:szCs w:val="20"/>
          </w:rPr>
          <w:t>employment</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conditions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Explained</w:t>
        </w:r>
        <w:proofErr w:type="spellEnd"/>
        <w:r w:rsidRPr="008C0ED6">
          <w:rPr>
            <w:rStyle w:val="Hypertextovodkaz"/>
            <w:rFonts w:ascii="Arial Narrow" w:hAnsi="Arial Narrow"/>
            <w:color w:val="000000" w:themeColor="text1"/>
            <w:sz w:val="20"/>
            <w:szCs w:val="20"/>
          </w:rPr>
          <w:t xml:space="preserve"> (europa.eu)</w:t>
        </w:r>
      </w:hyperlink>
      <w:r w:rsidRPr="008C0ED6">
        <w:rPr>
          <w:rFonts w:ascii="Arial Narrow" w:hAnsi="Arial Narrow"/>
          <w:color w:val="000000" w:themeColor="text1"/>
          <w:sz w:val="20"/>
          <w:szCs w:val="20"/>
        </w:rPr>
        <w:t xml:space="preserve"> </w:t>
      </w:r>
    </w:p>
    <w:p w14:paraId="6756E6AB"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EUROSTAT. 2016. </w:t>
      </w:r>
      <w:proofErr w:type="spellStart"/>
      <w:r w:rsidRPr="008C0ED6">
        <w:rPr>
          <w:rFonts w:ascii="Arial Narrow" w:hAnsi="Arial Narrow"/>
          <w:i/>
          <w:iCs/>
          <w:color w:val="000000" w:themeColor="text1"/>
          <w:sz w:val="20"/>
          <w:szCs w:val="20"/>
        </w:rPr>
        <w:t>First</w:t>
      </w:r>
      <w:proofErr w:type="spellEnd"/>
      <w:r w:rsidRPr="008C0ED6">
        <w:rPr>
          <w:rFonts w:ascii="Arial Narrow" w:hAnsi="Arial Narrow"/>
          <w:i/>
          <w:iCs/>
          <w:color w:val="000000" w:themeColor="text1"/>
          <w:sz w:val="20"/>
          <w:szCs w:val="20"/>
        </w:rPr>
        <w:t xml:space="preserve"> and second-</w:t>
      </w:r>
      <w:proofErr w:type="spellStart"/>
      <w:r w:rsidRPr="008C0ED6">
        <w:rPr>
          <w:rFonts w:ascii="Arial Narrow" w:hAnsi="Arial Narrow"/>
          <w:i/>
          <w:iCs/>
          <w:color w:val="000000" w:themeColor="text1"/>
          <w:sz w:val="20"/>
          <w:szCs w:val="20"/>
        </w:rPr>
        <w:t>generation</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immigrants</w:t>
      </w:r>
      <w:proofErr w:type="spellEnd"/>
      <w:r w:rsidRPr="008C0ED6">
        <w:rPr>
          <w:rFonts w:ascii="Arial Narrow" w:hAnsi="Arial Narrow"/>
          <w:i/>
          <w:iCs/>
          <w:color w:val="000000" w:themeColor="text1"/>
          <w:sz w:val="20"/>
          <w:szCs w:val="20"/>
        </w:rPr>
        <w:t xml:space="preserve"> – </w:t>
      </w:r>
      <w:proofErr w:type="spellStart"/>
      <w:r w:rsidRPr="008C0ED6">
        <w:rPr>
          <w:rFonts w:ascii="Arial Narrow" w:hAnsi="Arial Narrow"/>
          <w:i/>
          <w:iCs/>
          <w:color w:val="000000" w:themeColor="text1"/>
          <w:sz w:val="20"/>
          <w:szCs w:val="20"/>
        </w:rPr>
        <w:t>statistics</w:t>
      </w:r>
      <w:proofErr w:type="spellEnd"/>
      <w:r w:rsidRPr="008C0ED6">
        <w:rPr>
          <w:rFonts w:ascii="Arial Narrow" w:hAnsi="Arial Narrow"/>
          <w:i/>
          <w:iCs/>
          <w:color w:val="000000" w:themeColor="text1"/>
          <w:sz w:val="20"/>
          <w:szCs w:val="20"/>
        </w:rPr>
        <w:t xml:space="preserve"> on </w:t>
      </w:r>
      <w:proofErr w:type="spellStart"/>
      <w:r w:rsidRPr="008C0ED6">
        <w:rPr>
          <w:rFonts w:ascii="Arial Narrow" w:hAnsi="Arial Narrow"/>
          <w:i/>
          <w:iCs/>
          <w:color w:val="000000" w:themeColor="text1"/>
          <w:sz w:val="20"/>
          <w:szCs w:val="20"/>
        </w:rPr>
        <w:t>education</w:t>
      </w:r>
      <w:proofErr w:type="spellEnd"/>
      <w:r w:rsidRPr="008C0ED6">
        <w:rPr>
          <w:rFonts w:ascii="Arial Narrow" w:hAnsi="Arial Narrow"/>
          <w:i/>
          <w:iCs/>
          <w:color w:val="000000" w:themeColor="text1"/>
          <w:sz w:val="20"/>
          <w:szCs w:val="20"/>
        </w:rPr>
        <w:t xml:space="preserve"> and </w:t>
      </w:r>
      <w:proofErr w:type="spellStart"/>
      <w:r w:rsidRPr="008C0ED6">
        <w:rPr>
          <w:rFonts w:ascii="Arial Narrow" w:hAnsi="Arial Narrow"/>
          <w:i/>
          <w:iCs/>
          <w:color w:val="000000" w:themeColor="text1"/>
          <w:sz w:val="20"/>
          <w:szCs w:val="20"/>
        </w:rPr>
        <w:t>skills</w:t>
      </w:r>
      <w:proofErr w:type="spellEnd"/>
      <w:r w:rsidRPr="008C0ED6">
        <w:rPr>
          <w:rFonts w:ascii="Arial Narrow" w:hAnsi="Arial Narrow"/>
          <w:color w:val="000000" w:themeColor="text1"/>
          <w:sz w:val="20"/>
          <w:szCs w:val="20"/>
        </w:rPr>
        <w:t xml:space="preserve">. Dostupné z: </w:t>
      </w:r>
      <w:hyperlink r:id="rId217" w:history="1">
        <w:proofErr w:type="spellStart"/>
        <w:r w:rsidRPr="008C0ED6">
          <w:rPr>
            <w:rStyle w:val="Hypertextovodkaz"/>
            <w:rFonts w:ascii="Arial Narrow" w:hAnsi="Arial Narrow"/>
            <w:color w:val="000000" w:themeColor="text1"/>
            <w:sz w:val="20"/>
            <w:szCs w:val="20"/>
          </w:rPr>
          <w:t>First</w:t>
        </w:r>
        <w:proofErr w:type="spellEnd"/>
        <w:r w:rsidRPr="008C0ED6">
          <w:rPr>
            <w:rStyle w:val="Hypertextovodkaz"/>
            <w:rFonts w:ascii="Arial Narrow" w:hAnsi="Arial Narrow"/>
            <w:color w:val="000000" w:themeColor="text1"/>
            <w:sz w:val="20"/>
            <w:szCs w:val="20"/>
          </w:rPr>
          <w:t xml:space="preserve"> and second-</w:t>
        </w:r>
        <w:proofErr w:type="spellStart"/>
        <w:r w:rsidRPr="008C0ED6">
          <w:rPr>
            <w:rStyle w:val="Hypertextovodkaz"/>
            <w:rFonts w:ascii="Arial Narrow" w:hAnsi="Arial Narrow"/>
            <w:color w:val="000000" w:themeColor="text1"/>
            <w:sz w:val="20"/>
            <w:szCs w:val="20"/>
          </w:rPr>
          <w:t>generation</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immigrants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on </w:t>
        </w:r>
        <w:proofErr w:type="spellStart"/>
        <w:r w:rsidRPr="008C0ED6">
          <w:rPr>
            <w:rStyle w:val="Hypertextovodkaz"/>
            <w:rFonts w:ascii="Arial Narrow" w:hAnsi="Arial Narrow"/>
            <w:color w:val="000000" w:themeColor="text1"/>
            <w:sz w:val="20"/>
            <w:szCs w:val="20"/>
          </w:rPr>
          <w:t>education</w:t>
        </w:r>
        <w:proofErr w:type="spellEnd"/>
        <w:r w:rsidRPr="008C0ED6">
          <w:rPr>
            <w:rStyle w:val="Hypertextovodkaz"/>
            <w:rFonts w:ascii="Arial Narrow" w:hAnsi="Arial Narrow"/>
            <w:color w:val="000000" w:themeColor="text1"/>
            <w:sz w:val="20"/>
            <w:szCs w:val="20"/>
          </w:rPr>
          <w:t xml:space="preserve"> and </w:t>
        </w:r>
        <w:proofErr w:type="spellStart"/>
        <w:r w:rsidRPr="008C0ED6">
          <w:rPr>
            <w:rStyle w:val="Hypertextovodkaz"/>
            <w:rFonts w:ascii="Arial Narrow" w:hAnsi="Arial Narrow"/>
            <w:color w:val="000000" w:themeColor="text1"/>
            <w:sz w:val="20"/>
            <w:szCs w:val="20"/>
          </w:rPr>
          <w:t>skills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Explained</w:t>
        </w:r>
        <w:proofErr w:type="spellEnd"/>
        <w:r w:rsidRPr="008C0ED6">
          <w:rPr>
            <w:rStyle w:val="Hypertextovodkaz"/>
            <w:rFonts w:ascii="Arial Narrow" w:hAnsi="Arial Narrow"/>
            <w:color w:val="000000" w:themeColor="text1"/>
            <w:sz w:val="20"/>
            <w:szCs w:val="20"/>
          </w:rPr>
          <w:t xml:space="preserve"> (europa.eu)</w:t>
        </w:r>
      </w:hyperlink>
      <w:r w:rsidRPr="008C0ED6">
        <w:rPr>
          <w:rFonts w:ascii="Arial Narrow" w:hAnsi="Arial Narrow"/>
          <w:color w:val="000000" w:themeColor="text1"/>
          <w:sz w:val="20"/>
          <w:szCs w:val="20"/>
        </w:rPr>
        <w:t xml:space="preserve"> </w:t>
      </w:r>
    </w:p>
    <w:p w14:paraId="0BDC22CA"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EUROSTAT. 2016. </w:t>
      </w:r>
      <w:proofErr w:type="spellStart"/>
      <w:r w:rsidRPr="008C0ED6">
        <w:rPr>
          <w:rFonts w:ascii="Arial Narrow" w:hAnsi="Arial Narrow"/>
          <w:i/>
          <w:iCs/>
          <w:color w:val="000000" w:themeColor="text1"/>
          <w:sz w:val="20"/>
          <w:szCs w:val="20"/>
        </w:rPr>
        <w:t>First</w:t>
      </w:r>
      <w:proofErr w:type="spellEnd"/>
      <w:r w:rsidRPr="008C0ED6">
        <w:rPr>
          <w:rFonts w:ascii="Arial Narrow" w:hAnsi="Arial Narrow"/>
          <w:i/>
          <w:iCs/>
          <w:color w:val="000000" w:themeColor="text1"/>
          <w:sz w:val="20"/>
          <w:szCs w:val="20"/>
        </w:rPr>
        <w:t xml:space="preserve"> and second-</w:t>
      </w:r>
      <w:proofErr w:type="spellStart"/>
      <w:r w:rsidRPr="008C0ED6">
        <w:rPr>
          <w:rFonts w:ascii="Arial Narrow" w:hAnsi="Arial Narrow"/>
          <w:i/>
          <w:iCs/>
          <w:color w:val="000000" w:themeColor="text1"/>
          <w:sz w:val="20"/>
          <w:szCs w:val="20"/>
        </w:rPr>
        <w:t>generation</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immigrants</w:t>
      </w:r>
      <w:proofErr w:type="spellEnd"/>
      <w:r w:rsidRPr="008C0ED6">
        <w:rPr>
          <w:rFonts w:ascii="Arial Narrow" w:hAnsi="Arial Narrow"/>
          <w:i/>
          <w:iCs/>
          <w:color w:val="000000" w:themeColor="text1"/>
          <w:sz w:val="20"/>
          <w:szCs w:val="20"/>
        </w:rPr>
        <w:t xml:space="preserve"> – </w:t>
      </w:r>
      <w:proofErr w:type="spellStart"/>
      <w:r w:rsidRPr="008C0ED6">
        <w:rPr>
          <w:rFonts w:ascii="Arial Narrow" w:hAnsi="Arial Narrow"/>
          <w:i/>
          <w:iCs/>
          <w:color w:val="000000" w:themeColor="text1"/>
          <w:sz w:val="20"/>
          <w:szCs w:val="20"/>
        </w:rPr>
        <w:t>statistics</w:t>
      </w:r>
      <w:proofErr w:type="spellEnd"/>
      <w:r w:rsidRPr="008C0ED6">
        <w:rPr>
          <w:rFonts w:ascii="Arial Narrow" w:hAnsi="Arial Narrow"/>
          <w:i/>
          <w:iCs/>
          <w:color w:val="000000" w:themeColor="text1"/>
          <w:sz w:val="20"/>
          <w:szCs w:val="20"/>
        </w:rPr>
        <w:t xml:space="preserve"> on </w:t>
      </w:r>
      <w:proofErr w:type="spellStart"/>
      <w:r w:rsidRPr="008C0ED6">
        <w:rPr>
          <w:rFonts w:ascii="Arial Narrow" w:hAnsi="Arial Narrow"/>
          <w:i/>
          <w:iCs/>
          <w:color w:val="000000" w:themeColor="text1"/>
          <w:sz w:val="20"/>
          <w:szCs w:val="20"/>
        </w:rPr>
        <w:t>labour</w:t>
      </w:r>
      <w:proofErr w:type="spellEnd"/>
      <w:r w:rsidRPr="008C0ED6">
        <w:rPr>
          <w:rFonts w:ascii="Arial Narrow" w:hAnsi="Arial Narrow"/>
          <w:i/>
          <w:iCs/>
          <w:color w:val="000000" w:themeColor="text1"/>
          <w:sz w:val="20"/>
          <w:szCs w:val="20"/>
        </w:rPr>
        <w:t xml:space="preserve"> market </w:t>
      </w:r>
      <w:proofErr w:type="spellStart"/>
      <w:r w:rsidRPr="008C0ED6">
        <w:rPr>
          <w:rFonts w:ascii="Arial Narrow" w:hAnsi="Arial Narrow"/>
          <w:i/>
          <w:iCs/>
          <w:color w:val="000000" w:themeColor="text1"/>
          <w:sz w:val="20"/>
          <w:szCs w:val="20"/>
        </w:rPr>
        <w:t>indicators</w:t>
      </w:r>
      <w:proofErr w:type="spellEnd"/>
      <w:r w:rsidRPr="008C0ED6">
        <w:rPr>
          <w:rFonts w:ascii="Arial Narrow" w:hAnsi="Arial Narrow"/>
          <w:color w:val="000000" w:themeColor="text1"/>
          <w:sz w:val="20"/>
          <w:szCs w:val="20"/>
        </w:rPr>
        <w:t xml:space="preserve">. Dostupné z: </w:t>
      </w:r>
      <w:hyperlink r:id="rId218" w:anchor="General_overview" w:history="1">
        <w:proofErr w:type="spellStart"/>
        <w:r w:rsidRPr="008C0ED6">
          <w:rPr>
            <w:rStyle w:val="Hypertextovodkaz"/>
            <w:rFonts w:ascii="Arial Narrow" w:hAnsi="Arial Narrow"/>
            <w:color w:val="000000" w:themeColor="text1"/>
            <w:sz w:val="20"/>
            <w:szCs w:val="20"/>
          </w:rPr>
          <w:t>First</w:t>
        </w:r>
        <w:proofErr w:type="spellEnd"/>
        <w:r w:rsidRPr="008C0ED6">
          <w:rPr>
            <w:rStyle w:val="Hypertextovodkaz"/>
            <w:rFonts w:ascii="Arial Narrow" w:hAnsi="Arial Narrow"/>
            <w:color w:val="000000" w:themeColor="text1"/>
            <w:sz w:val="20"/>
            <w:szCs w:val="20"/>
          </w:rPr>
          <w:t xml:space="preserve"> and second-</w:t>
        </w:r>
        <w:proofErr w:type="spellStart"/>
        <w:r w:rsidRPr="008C0ED6">
          <w:rPr>
            <w:rStyle w:val="Hypertextovodkaz"/>
            <w:rFonts w:ascii="Arial Narrow" w:hAnsi="Arial Narrow"/>
            <w:color w:val="000000" w:themeColor="text1"/>
            <w:sz w:val="20"/>
            <w:szCs w:val="20"/>
          </w:rPr>
          <w:t>generation</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immigrants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on </w:t>
        </w:r>
        <w:proofErr w:type="spellStart"/>
        <w:r w:rsidRPr="008C0ED6">
          <w:rPr>
            <w:rStyle w:val="Hypertextovodkaz"/>
            <w:rFonts w:ascii="Arial Narrow" w:hAnsi="Arial Narrow"/>
            <w:color w:val="000000" w:themeColor="text1"/>
            <w:sz w:val="20"/>
            <w:szCs w:val="20"/>
          </w:rPr>
          <w:t>labour</w:t>
        </w:r>
        <w:proofErr w:type="spellEnd"/>
        <w:r w:rsidRPr="008C0ED6">
          <w:rPr>
            <w:rStyle w:val="Hypertextovodkaz"/>
            <w:rFonts w:ascii="Arial Narrow" w:hAnsi="Arial Narrow"/>
            <w:color w:val="000000" w:themeColor="text1"/>
            <w:sz w:val="20"/>
            <w:szCs w:val="20"/>
          </w:rPr>
          <w:t xml:space="preserve"> market </w:t>
        </w:r>
        <w:proofErr w:type="spellStart"/>
        <w:r w:rsidRPr="008C0ED6">
          <w:rPr>
            <w:rStyle w:val="Hypertextovodkaz"/>
            <w:rFonts w:ascii="Arial Narrow" w:hAnsi="Arial Narrow"/>
            <w:color w:val="000000" w:themeColor="text1"/>
            <w:sz w:val="20"/>
            <w:szCs w:val="20"/>
          </w:rPr>
          <w:t>indicators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Explained</w:t>
        </w:r>
        <w:proofErr w:type="spellEnd"/>
        <w:r w:rsidRPr="008C0ED6">
          <w:rPr>
            <w:rStyle w:val="Hypertextovodkaz"/>
            <w:rFonts w:ascii="Arial Narrow" w:hAnsi="Arial Narrow"/>
            <w:color w:val="000000" w:themeColor="text1"/>
            <w:sz w:val="20"/>
            <w:szCs w:val="20"/>
          </w:rPr>
          <w:t xml:space="preserve"> (europa.eu)</w:t>
        </w:r>
      </w:hyperlink>
      <w:r w:rsidRPr="008C0ED6">
        <w:rPr>
          <w:rFonts w:ascii="Arial Narrow" w:hAnsi="Arial Narrow"/>
          <w:color w:val="000000" w:themeColor="text1"/>
          <w:sz w:val="20"/>
          <w:szCs w:val="20"/>
        </w:rPr>
        <w:t xml:space="preserve"> </w:t>
      </w:r>
    </w:p>
    <w:p w14:paraId="172F4BBE"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EUROSTAT. 2021. </w:t>
      </w:r>
      <w:r w:rsidRPr="008C0ED6">
        <w:rPr>
          <w:rFonts w:ascii="Arial Narrow" w:hAnsi="Arial Narrow"/>
          <w:i/>
          <w:iCs/>
          <w:color w:val="000000" w:themeColor="text1"/>
          <w:sz w:val="20"/>
          <w:szCs w:val="20"/>
        </w:rPr>
        <w:t xml:space="preserve">Migrant </w:t>
      </w:r>
      <w:proofErr w:type="spellStart"/>
      <w:r w:rsidRPr="008C0ED6">
        <w:rPr>
          <w:rFonts w:ascii="Arial Narrow" w:hAnsi="Arial Narrow"/>
          <w:i/>
          <w:iCs/>
          <w:color w:val="000000" w:themeColor="text1"/>
          <w:sz w:val="20"/>
          <w:szCs w:val="20"/>
        </w:rPr>
        <w:t>integration</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statistics</w:t>
      </w:r>
      <w:proofErr w:type="spellEnd"/>
      <w:r w:rsidRPr="008C0ED6">
        <w:rPr>
          <w:rFonts w:ascii="Arial Narrow" w:hAnsi="Arial Narrow"/>
          <w:i/>
          <w:iCs/>
          <w:color w:val="000000" w:themeColor="text1"/>
          <w:sz w:val="20"/>
          <w:szCs w:val="20"/>
        </w:rPr>
        <w:t xml:space="preserve"> – </w:t>
      </w:r>
      <w:proofErr w:type="spellStart"/>
      <w:r w:rsidRPr="008C0ED6">
        <w:rPr>
          <w:rFonts w:ascii="Arial Narrow" w:hAnsi="Arial Narrow"/>
          <w:i/>
          <w:iCs/>
          <w:color w:val="000000" w:themeColor="text1"/>
          <w:sz w:val="20"/>
          <w:szCs w:val="20"/>
        </w:rPr>
        <w:t>regional</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labour</w:t>
      </w:r>
      <w:proofErr w:type="spellEnd"/>
      <w:r w:rsidRPr="008C0ED6">
        <w:rPr>
          <w:rFonts w:ascii="Arial Narrow" w:hAnsi="Arial Narrow"/>
          <w:i/>
          <w:iCs/>
          <w:color w:val="000000" w:themeColor="text1"/>
          <w:sz w:val="20"/>
          <w:szCs w:val="20"/>
        </w:rPr>
        <w:t xml:space="preserve"> market </w:t>
      </w:r>
      <w:proofErr w:type="spellStart"/>
      <w:r w:rsidRPr="008C0ED6">
        <w:rPr>
          <w:rFonts w:ascii="Arial Narrow" w:hAnsi="Arial Narrow"/>
          <w:i/>
          <w:iCs/>
          <w:color w:val="000000" w:themeColor="text1"/>
          <w:sz w:val="20"/>
          <w:szCs w:val="20"/>
        </w:rPr>
        <w:t>indicators</w:t>
      </w:r>
      <w:proofErr w:type="spellEnd"/>
      <w:r w:rsidRPr="008C0ED6">
        <w:rPr>
          <w:rFonts w:ascii="Arial Narrow" w:hAnsi="Arial Narrow"/>
          <w:color w:val="000000" w:themeColor="text1"/>
          <w:sz w:val="20"/>
          <w:szCs w:val="20"/>
        </w:rPr>
        <w:t xml:space="preserve">. Dostupné z: </w:t>
      </w:r>
      <w:hyperlink r:id="rId219" w:anchor="Regional_activity_rates" w:history="1">
        <w:r w:rsidRPr="008C0ED6">
          <w:rPr>
            <w:rStyle w:val="Hypertextovodkaz"/>
            <w:rFonts w:ascii="Arial Narrow" w:hAnsi="Arial Narrow"/>
            <w:color w:val="000000" w:themeColor="text1"/>
            <w:sz w:val="20"/>
            <w:szCs w:val="20"/>
          </w:rPr>
          <w:t xml:space="preserve">Migrant </w:t>
        </w:r>
        <w:proofErr w:type="spellStart"/>
        <w:r w:rsidRPr="008C0ED6">
          <w:rPr>
            <w:rStyle w:val="Hypertextovodkaz"/>
            <w:rFonts w:ascii="Arial Narrow" w:hAnsi="Arial Narrow"/>
            <w:color w:val="000000" w:themeColor="text1"/>
            <w:sz w:val="20"/>
            <w:szCs w:val="20"/>
          </w:rPr>
          <w:t>integration</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regional</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labour</w:t>
        </w:r>
        <w:proofErr w:type="spellEnd"/>
        <w:r w:rsidRPr="008C0ED6">
          <w:rPr>
            <w:rStyle w:val="Hypertextovodkaz"/>
            <w:rFonts w:ascii="Arial Narrow" w:hAnsi="Arial Narrow"/>
            <w:color w:val="000000" w:themeColor="text1"/>
            <w:sz w:val="20"/>
            <w:szCs w:val="20"/>
          </w:rPr>
          <w:t xml:space="preserve"> market </w:t>
        </w:r>
        <w:proofErr w:type="spellStart"/>
        <w:r w:rsidRPr="008C0ED6">
          <w:rPr>
            <w:rStyle w:val="Hypertextovodkaz"/>
            <w:rFonts w:ascii="Arial Narrow" w:hAnsi="Arial Narrow"/>
            <w:color w:val="000000" w:themeColor="text1"/>
            <w:sz w:val="20"/>
            <w:szCs w:val="20"/>
          </w:rPr>
          <w:t>indicators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Explained</w:t>
        </w:r>
        <w:proofErr w:type="spellEnd"/>
        <w:r w:rsidRPr="008C0ED6">
          <w:rPr>
            <w:rStyle w:val="Hypertextovodkaz"/>
            <w:rFonts w:ascii="Arial Narrow" w:hAnsi="Arial Narrow"/>
            <w:color w:val="000000" w:themeColor="text1"/>
            <w:sz w:val="20"/>
            <w:szCs w:val="20"/>
          </w:rPr>
          <w:t xml:space="preserve"> (europa.eu)</w:t>
        </w:r>
      </w:hyperlink>
      <w:r w:rsidRPr="008C0ED6">
        <w:rPr>
          <w:rFonts w:ascii="Arial Narrow" w:hAnsi="Arial Narrow"/>
          <w:color w:val="000000" w:themeColor="text1"/>
          <w:sz w:val="20"/>
          <w:szCs w:val="20"/>
        </w:rPr>
        <w:t xml:space="preserve"> </w:t>
      </w:r>
    </w:p>
    <w:p w14:paraId="0C797FE2"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EUROSTAT. 2021. </w:t>
      </w:r>
      <w:r w:rsidRPr="008C0ED6">
        <w:rPr>
          <w:rFonts w:ascii="Arial Narrow" w:hAnsi="Arial Narrow"/>
          <w:i/>
          <w:iCs/>
          <w:color w:val="000000" w:themeColor="text1"/>
          <w:sz w:val="20"/>
          <w:szCs w:val="20"/>
        </w:rPr>
        <w:t xml:space="preserve">Migrant </w:t>
      </w:r>
      <w:proofErr w:type="spellStart"/>
      <w:r w:rsidRPr="008C0ED6">
        <w:rPr>
          <w:rFonts w:ascii="Arial Narrow" w:hAnsi="Arial Narrow"/>
          <w:i/>
          <w:iCs/>
          <w:color w:val="000000" w:themeColor="text1"/>
          <w:sz w:val="20"/>
          <w:szCs w:val="20"/>
        </w:rPr>
        <w:t>integration</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statistics</w:t>
      </w:r>
      <w:proofErr w:type="spellEnd"/>
      <w:r w:rsidRPr="008C0ED6">
        <w:rPr>
          <w:rFonts w:ascii="Arial Narrow" w:hAnsi="Arial Narrow"/>
          <w:i/>
          <w:iCs/>
          <w:color w:val="000000" w:themeColor="text1"/>
          <w:sz w:val="20"/>
          <w:szCs w:val="20"/>
        </w:rPr>
        <w:t xml:space="preserve"> – </w:t>
      </w:r>
      <w:proofErr w:type="spellStart"/>
      <w:r w:rsidRPr="008C0ED6">
        <w:rPr>
          <w:rFonts w:ascii="Arial Narrow" w:hAnsi="Arial Narrow"/>
          <w:i/>
          <w:iCs/>
          <w:color w:val="000000" w:themeColor="text1"/>
          <w:sz w:val="20"/>
          <w:szCs w:val="20"/>
        </w:rPr>
        <w:t>education</w:t>
      </w:r>
      <w:proofErr w:type="spellEnd"/>
      <w:r w:rsidRPr="008C0ED6">
        <w:rPr>
          <w:rFonts w:ascii="Arial Narrow" w:hAnsi="Arial Narrow"/>
          <w:color w:val="000000" w:themeColor="text1"/>
          <w:sz w:val="20"/>
          <w:szCs w:val="20"/>
        </w:rPr>
        <w:t xml:space="preserve">. Dostupné z: </w:t>
      </w:r>
      <w:hyperlink r:id="rId220" w:anchor="Educational_attainment" w:history="1">
        <w:r w:rsidRPr="008C0ED6">
          <w:rPr>
            <w:rStyle w:val="Hypertextovodkaz"/>
            <w:rFonts w:ascii="Arial Narrow" w:hAnsi="Arial Narrow"/>
            <w:color w:val="000000" w:themeColor="text1"/>
            <w:sz w:val="20"/>
            <w:szCs w:val="20"/>
          </w:rPr>
          <w:t xml:space="preserve">Migrant </w:t>
        </w:r>
        <w:proofErr w:type="spellStart"/>
        <w:r w:rsidRPr="008C0ED6">
          <w:rPr>
            <w:rStyle w:val="Hypertextovodkaz"/>
            <w:rFonts w:ascii="Arial Narrow" w:hAnsi="Arial Narrow"/>
            <w:color w:val="000000" w:themeColor="text1"/>
            <w:sz w:val="20"/>
            <w:szCs w:val="20"/>
          </w:rPr>
          <w:t>integration</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education</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Explained</w:t>
        </w:r>
        <w:proofErr w:type="spellEnd"/>
        <w:r w:rsidRPr="008C0ED6">
          <w:rPr>
            <w:rStyle w:val="Hypertextovodkaz"/>
            <w:rFonts w:ascii="Arial Narrow" w:hAnsi="Arial Narrow"/>
            <w:color w:val="000000" w:themeColor="text1"/>
            <w:sz w:val="20"/>
            <w:szCs w:val="20"/>
          </w:rPr>
          <w:t xml:space="preserve"> (europa.eu)</w:t>
        </w:r>
      </w:hyperlink>
      <w:r w:rsidRPr="008C0ED6">
        <w:rPr>
          <w:rFonts w:ascii="Arial Narrow" w:hAnsi="Arial Narrow"/>
          <w:color w:val="000000" w:themeColor="text1"/>
          <w:sz w:val="20"/>
          <w:szCs w:val="20"/>
        </w:rPr>
        <w:t xml:space="preserve"> </w:t>
      </w:r>
    </w:p>
    <w:p w14:paraId="2C2BBBFF"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EUROSTAT. 2021. </w:t>
      </w:r>
      <w:proofErr w:type="spellStart"/>
      <w:r w:rsidRPr="008C0ED6">
        <w:rPr>
          <w:rFonts w:ascii="Arial Narrow" w:hAnsi="Arial Narrow"/>
          <w:i/>
          <w:iCs/>
          <w:color w:val="000000" w:themeColor="text1"/>
          <w:sz w:val="20"/>
          <w:szCs w:val="20"/>
        </w:rPr>
        <w:t>One</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third</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of</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migrants</w:t>
      </w:r>
      <w:proofErr w:type="spellEnd"/>
      <w:r w:rsidRPr="008C0ED6">
        <w:rPr>
          <w:rFonts w:ascii="Arial Narrow" w:hAnsi="Arial Narrow"/>
          <w:i/>
          <w:iCs/>
          <w:color w:val="000000" w:themeColor="text1"/>
          <w:sz w:val="20"/>
          <w:szCs w:val="20"/>
        </w:rPr>
        <w:t xml:space="preserve"> in </w:t>
      </w:r>
      <w:proofErr w:type="spellStart"/>
      <w:r w:rsidRPr="008C0ED6">
        <w:rPr>
          <w:rFonts w:ascii="Arial Narrow" w:hAnsi="Arial Narrow"/>
          <w:i/>
          <w:iCs/>
          <w:color w:val="000000" w:themeColor="text1"/>
          <w:sz w:val="20"/>
          <w:szCs w:val="20"/>
        </w:rPr>
        <w:t>the</w:t>
      </w:r>
      <w:proofErr w:type="spellEnd"/>
      <w:r w:rsidRPr="008C0ED6">
        <w:rPr>
          <w:rFonts w:ascii="Arial Narrow" w:hAnsi="Arial Narrow"/>
          <w:i/>
          <w:iCs/>
          <w:color w:val="000000" w:themeColor="text1"/>
          <w:sz w:val="20"/>
          <w:szCs w:val="20"/>
        </w:rPr>
        <w:t xml:space="preserve"> EU </w:t>
      </w:r>
      <w:proofErr w:type="spellStart"/>
      <w:r w:rsidRPr="008C0ED6">
        <w:rPr>
          <w:rFonts w:ascii="Arial Narrow" w:hAnsi="Arial Narrow"/>
          <w:i/>
          <w:iCs/>
          <w:color w:val="000000" w:themeColor="text1"/>
          <w:sz w:val="20"/>
          <w:szCs w:val="20"/>
        </w:rPr>
        <w:t>have</w:t>
      </w:r>
      <w:proofErr w:type="spellEnd"/>
      <w:r w:rsidRPr="008C0ED6">
        <w:rPr>
          <w:rFonts w:ascii="Arial Narrow" w:hAnsi="Arial Narrow"/>
          <w:i/>
          <w:iCs/>
          <w:color w:val="000000" w:themeColor="text1"/>
          <w:sz w:val="20"/>
          <w:szCs w:val="20"/>
        </w:rPr>
        <w:t xml:space="preserve"> a </w:t>
      </w:r>
      <w:proofErr w:type="spellStart"/>
      <w:r w:rsidRPr="008C0ED6">
        <w:rPr>
          <w:rFonts w:ascii="Arial Narrow" w:hAnsi="Arial Narrow"/>
          <w:i/>
          <w:iCs/>
          <w:color w:val="000000" w:themeColor="text1"/>
          <w:sz w:val="20"/>
          <w:szCs w:val="20"/>
        </w:rPr>
        <w:t>degree</w:t>
      </w:r>
      <w:proofErr w:type="spellEnd"/>
      <w:r w:rsidRPr="008C0ED6">
        <w:rPr>
          <w:rFonts w:ascii="Arial Narrow" w:hAnsi="Arial Narrow"/>
          <w:color w:val="000000" w:themeColor="text1"/>
          <w:sz w:val="20"/>
          <w:szCs w:val="20"/>
        </w:rPr>
        <w:t xml:space="preserve">. Dostupné z: </w:t>
      </w:r>
      <w:hyperlink r:id="rId221" w:history="1">
        <w:proofErr w:type="spellStart"/>
        <w:r w:rsidRPr="008C0ED6">
          <w:rPr>
            <w:rStyle w:val="Hypertextovodkaz"/>
            <w:rFonts w:ascii="Arial Narrow" w:hAnsi="Arial Narrow"/>
            <w:color w:val="000000" w:themeColor="text1"/>
            <w:sz w:val="20"/>
            <w:szCs w:val="20"/>
          </w:rPr>
          <w:t>One</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third</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of</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migrants</w:t>
        </w:r>
        <w:proofErr w:type="spellEnd"/>
        <w:r w:rsidRPr="008C0ED6">
          <w:rPr>
            <w:rStyle w:val="Hypertextovodkaz"/>
            <w:rFonts w:ascii="Arial Narrow" w:hAnsi="Arial Narrow"/>
            <w:color w:val="000000" w:themeColor="text1"/>
            <w:sz w:val="20"/>
            <w:szCs w:val="20"/>
          </w:rPr>
          <w:t xml:space="preserve"> in </w:t>
        </w:r>
        <w:proofErr w:type="spellStart"/>
        <w:r w:rsidRPr="008C0ED6">
          <w:rPr>
            <w:rStyle w:val="Hypertextovodkaz"/>
            <w:rFonts w:ascii="Arial Narrow" w:hAnsi="Arial Narrow"/>
            <w:color w:val="000000" w:themeColor="text1"/>
            <w:sz w:val="20"/>
            <w:szCs w:val="20"/>
          </w:rPr>
          <w:t>the</w:t>
        </w:r>
        <w:proofErr w:type="spellEnd"/>
        <w:r w:rsidRPr="008C0ED6">
          <w:rPr>
            <w:rStyle w:val="Hypertextovodkaz"/>
            <w:rFonts w:ascii="Arial Narrow" w:hAnsi="Arial Narrow"/>
            <w:color w:val="000000" w:themeColor="text1"/>
            <w:sz w:val="20"/>
            <w:szCs w:val="20"/>
          </w:rPr>
          <w:t xml:space="preserve"> EU </w:t>
        </w:r>
        <w:proofErr w:type="spellStart"/>
        <w:r w:rsidRPr="008C0ED6">
          <w:rPr>
            <w:rStyle w:val="Hypertextovodkaz"/>
            <w:rFonts w:ascii="Arial Narrow" w:hAnsi="Arial Narrow"/>
            <w:color w:val="000000" w:themeColor="text1"/>
            <w:sz w:val="20"/>
            <w:szCs w:val="20"/>
          </w:rPr>
          <w:t>have</w:t>
        </w:r>
        <w:proofErr w:type="spellEnd"/>
        <w:r w:rsidRPr="008C0ED6">
          <w:rPr>
            <w:rStyle w:val="Hypertextovodkaz"/>
            <w:rFonts w:ascii="Arial Narrow" w:hAnsi="Arial Narrow"/>
            <w:color w:val="000000" w:themeColor="text1"/>
            <w:sz w:val="20"/>
            <w:szCs w:val="20"/>
          </w:rPr>
          <w:t xml:space="preserve"> a </w:t>
        </w:r>
        <w:proofErr w:type="spellStart"/>
        <w:r w:rsidRPr="008C0ED6">
          <w:rPr>
            <w:rStyle w:val="Hypertextovodkaz"/>
            <w:rFonts w:ascii="Arial Narrow" w:hAnsi="Arial Narrow"/>
            <w:color w:val="000000" w:themeColor="text1"/>
            <w:sz w:val="20"/>
            <w:szCs w:val="20"/>
          </w:rPr>
          <w:t>degree</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Products</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Eurostat</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News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Eurostat</w:t>
        </w:r>
        <w:proofErr w:type="spellEnd"/>
        <w:r w:rsidRPr="008C0ED6">
          <w:rPr>
            <w:rStyle w:val="Hypertextovodkaz"/>
            <w:rFonts w:ascii="Arial Narrow" w:hAnsi="Arial Narrow"/>
            <w:color w:val="000000" w:themeColor="text1"/>
            <w:sz w:val="20"/>
            <w:szCs w:val="20"/>
          </w:rPr>
          <w:t xml:space="preserve"> (europa.eu)</w:t>
        </w:r>
      </w:hyperlink>
      <w:r w:rsidRPr="008C0ED6">
        <w:rPr>
          <w:rFonts w:ascii="Arial Narrow" w:hAnsi="Arial Narrow"/>
          <w:color w:val="000000" w:themeColor="text1"/>
          <w:sz w:val="20"/>
          <w:szCs w:val="20"/>
        </w:rPr>
        <w:t xml:space="preserve"> </w:t>
      </w:r>
    </w:p>
    <w:p w14:paraId="24D7F6A3"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EUROSTAT. 2021. </w:t>
      </w:r>
      <w:proofErr w:type="spellStart"/>
      <w:r w:rsidRPr="008C0ED6">
        <w:rPr>
          <w:rFonts w:ascii="Arial Narrow" w:hAnsi="Arial Narrow"/>
          <w:i/>
          <w:iCs/>
          <w:color w:val="000000" w:themeColor="text1"/>
          <w:sz w:val="20"/>
          <w:szCs w:val="20"/>
        </w:rPr>
        <w:t>Migration</w:t>
      </w:r>
      <w:proofErr w:type="spellEnd"/>
      <w:r w:rsidRPr="008C0ED6">
        <w:rPr>
          <w:rFonts w:ascii="Arial Narrow" w:hAnsi="Arial Narrow"/>
          <w:i/>
          <w:iCs/>
          <w:color w:val="000000" w:themeColor="text1"/>
          <w:sz w:val="20"/>
          <w:szCs w:val="20"/>
        </w:rPr>
        <w:t xml:space="preserve"> and migrant </w:t>
      </w:r>
      <w:proofErr w:type="spellStart"/>
      <w:r w:rsidRPr="008C0ED6">
        <w:rPr>
          <w:rFonts w:ascii="Arial Narrow" w:hAnsi="Arial Narrow"/>
          <w:i/>
          <w:iCs/>
          <w:color w:val="000000" w:themeColor="text1"/>
          <w:sz w:val="20"/>
          <w:szCs w:val="20"/>
        </w:rPr>
        <w:t>population</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statistics</w:t>
      </w:r>
      <w:proofErr w:type="spellEnd"/>
      <w:r w:rsidRPr="008C0ED6">
        <w:rPr>
          <w:rFonts w:ascii="Arial Narrow" w:hAnsi="Arial Narrow"/>
          <w:i/>
          <w:iCs/>
          <w:color w:val="000000" w:themeColor="text1"/>
          <w:sz w:val="20"/>
          <w:szCs w:val="20"/>
        </w:rPr>
        <w:t>.</w:t>
      </w:r>
      <w:r w:rsidRPr="008C0ED6">
        <w:rPr>
          <w:rFonts w:ascii="Arial Narrow" w:hAnsi="Arial Narrow"/>
          <w:color w:val="000000" w:themeColor="text1"/>
          <w:sz w:val="20"/>
          <w:szCs w:val="20"/>
        </w:rPr>
        <w:t xml:space="preserve"> Dostupné z: </w:t>
      </w:r>
      <w:hyperlink r:id="rId222" w:history="1">
        <w:proofErr w:type="spellStart"/>
        <w:r w:rsidRPr="008C0ED6">
          <w:rPr>
            <w:rStyle w:val="Hypertextovodkaz"/>
            <w:rFonts w:ascii="Arial Narrow" w:hAnsi="Arial Narrow"/>
            <w:color w:val="000000" w:themeColor="text1"/>
            <w:sz w:val="20"/>
            <w:szCs w:val="20"/>
          </w:rPr>
          <w:t>Migration</w:t>
        </w:r>
        <w:proofErr w:type="spellEnd"/>
        <w:r w:rsidRPr="008C0ED6">
          <w:rPr>
            <w:rStyle w:val="Hypertextovodkaz"/>
            <w:rFonts w:ascii="Arial Narrow" w:hAnsi="Arial Narrow"/>
            <w:color w:val="000000" w:themeColor="text1"/>
            <w:sz w:val="20"/>
            <w:szCs w:val="20"/>
          </w:rPr>
          <w:t xml:space="preserve"> and migrant </w:t>
        </w:r>
        <w:proofErr w:type="spellStart"/>
        <w:r w:rsidRPr="008C0ED6">
          <w:rPr>
            <w:rStyle w:val="Hypertextovodkaz"/>
            <w:rFonts w:ascii="Arial Narrow" w:hAnsi="Arial Narrow"/>
            <w:color w:val="000000" w:themeColor="text1"/>
            <w:sz w:val="20"/>
            <w:szCs w:val="20"/>
          </w:rPr>
          <w:t>population</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 </w:t>
        </w:r>
        <w:proofErr w:type="spellStart"/>
        <w:r w:rsidRPr="008C0ED6">
          <w:rPr>
            <w:rStyle w:val="Hypertextovodkaz"/>
            <w:rFonts w:ascii="Arial Narrow" w:hAnsi="Arial Narrow"/>
            <w:color w:val="000000" w:themeColor="text1"/>
            <w:sz w:val="20"/>
            <w:szCs w:val="20"/>
          </w:rPr>
          <w:t>Statistics</w:t>
        </w:r>
        <w:proofErr w:type="spellEnd"/>
        <w:r w:rsidRPr="008C0ED6">
          <w:rPr>
            <w:rStyle w:val="Hypertextovodkaz"/>
            <w:rFonts w:ascii="Arial Narrow" w:hAnsi="Arial Narrow"/>
            <w:color w:val="000000" w:themeColor="text1"/>
            <w:sz w:val="20"/>
            <w:szCs w:val="20"/>
          </w:rPr>
          <w:t xml:space="preserve"> </w:t>
        </w:r>
        <w:proofErr w:type="spellStart"/>
        <w:r w:rsidRPr="008C0ED6">
          <w:rPr>
            <w:rStyle w:val="Hypertextovodkaz"/>
            <w:rFonts w:ascii="Arial Narrow" w:hAnsi="Arial Narrow"/>
            <w:color w:val="000000" w:themeColor="text1"/>
            <w:sz w:val="20"/>
            <w:szCs w:val="20"/>
          </w:rPr>
          <w:t>Explained</w:t>
        </w:r>
        <w:proofErr w:type="spellEnd"/>
        <w:r w:rsidRPr="008C0ED6">
          <w:rPr>
            <w:rStyle w:val="Hypertextovodkaz"/>
            <w:rFonts w:ascii="Arial Narrow" w:hAnsi="Arial Narrow"/>
            <w:color w:val="000000" w:themeColor="text1"/>
            <w:sz w:val="20"/>
            <w:szCs w:val="20"/>
          </w:rPr>
          <w:t xml:space="preserve"> (europa.eu)</w:t>
        </w:r>
      </w:hyperlink>
      <w:r w:rsidRPr="008C0ED6">
        <w:rPr>
          <w:rFonts w:ascii="Arial Narrow" w:hAnsi="Arial Narrow"/>
          <w:color w:val="000000" w:themeColor="text1"/>
          <w:sz w:val="20"/>
          <w:szCs w:val="20"/>
        </w:rPr>
        <w:t xml:space="preserve"> </w:t>
      </w:r>
    </w:p>
    <w:p w14:paraId="0C1D8C42"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EUROSTAT. 2023. </w:t>
      </w:r>
      <w:proofErr w:type="spellStart"/>
      <w:r w:rsidRPr="008C0ED6">
        <w:rPr>
          <w:rFonts w:ascii="Arial Narrow" w:hAnsi="Arial Narrow"/>
          <w:i/>
          <w:iCs/>
          <w:color w:val="000000" w:themeColor="text1"/>
          <w:sz w:val="20"/>
          <w:szCs w:val="20"/>
        </w:rPr>
        <w:t>Employment</w:t>
      </w:r>
      <w:proofErr w:type="spellEnd"/>
      <w:r w:rsidRPr="008C0ED6">
        <w:rPr>
          <w:rFonts w:ascii="Arial Narrow" w:hAnsi="Arial Narrow"/>
          <w:i/>
          <w:iCs/>
          <w:color w:val="000000" w:themeColor="text1"/>
          <w:sz w:val="20"/>
          <w:szCs w:val="20"/>
        </w:rPr>
        <w:t xml:space="preserve"> by sex, </w:t>
      </w:r>
      <w:proofErr w:type="spellStart"/>
      <w:r w:rsidRPr="008C0ED6">
        <w:rPr>
          <w:rFonts w:ascii="Arial Narrow" w:hAnsi="Arial Narrow"/>
          <w:i/>
          <w:iCs/>
          <w:color w:val="000000" w:themeColor="text1"/>
          <w:sz w:val="20"/>
          <w:szCs w:val="20"/>
        </w:rPr>
        <w:t>age</w:t>
      </w:r>
      <w:proofErr w:type="spellEnd"/>
      <w:r w:rsidRPr="008C0ED6">
        <w:rPr>
          <w:rFonts w:ascii="Arial Narrow" w:hAnsi="Arial Narrow"/>
          <w:i/>
          <w:iCs/>
          <w:color w:val="000000" w:themeColor="text1"/>
          <w:sz w:val="20"/>
          <w:szCs w:val="20"/>
        </w:rPr>
        <w:t xml:space="preserve"> and </w:t>
      </w:r>
      <w:proofErr w:type="spellStart"/>
      <w:r w:rsidRPr="008C0ED6">
        <w:rPr>
          <w:rFonts w:ascii="Arial Narrow" w:hAnsi="Arial Narrow"/>
          <w:i/>
          <w:iCs/>
          <w:color w:val="000000" w:themeColor="text1"/>
          <w:sz w:val="20"/>
          <w:szCs w:val="20"/>
        </w:rPr>
        <w:t>citizenship</w:t>
      </w:r>
      <w:proofErr w:type="spellEnd"/>
      <w:r w:rsidRPr="008C0ED6">
        <w:rPr>
          <w:rFonts w:ascii="Arial Narrow" w:hAnsi="Arial Narrow"/>
          <w:color w:val="000000" w:themeColor="text1"/>
          <w:sz w:val="20"/>
          <w:szCs w:val="20"/>
        </w:rPr>
        <w:t xml:space="preserve">. Dostupné z: </w:t>
      </w:r>
      <w:hyperlink r:id="rId223" w:history="1">
        <w:r w:rsidRPr="008C0ED6">
          <w:rPr>
            <w:rStyle w:val="Hypertextovodkaz"/>
            <w:rFonts w:ascii="Arial Narrow" w:hAnsi="Arial Narrow"/>
            <w:color w:val="000000" w:themeColor="text1"/>
            <w:sz w:val="20"/>
            <w:szCs w:val="20"/>
          </w:rPr>
          <w:t>https://ec.europa.eu/eurostat/databrowser/view/LFSQ_EGAN__custom_5750293/default/table?lang=en</w:t>
        </w:r>
      </w:hyperlink>
      <w:r w:rsidRPr="008C0ED6">
        <w:rPr>
          <w:rFonts w:ascii="Arial Narrow" w:hAnsi="Arial Narrow"/>
          <w:color w:val="000000" w:themeColor="text1"/>
          <w:sz w:val="20"/>
          <w:szCs w:val="20"/>
        </w:rPr>
        <w:t xml:space="preserve"> </w:t>
      </w:r>
    </w:p>
    <w:p w14:paraId="649A6690" w14:textId="4E4CAF82" w:rsidR="008C0ED6" w:rsidRDefault="008C0ED6" w:rsidP="008C0ED6">
      <w:pPr>
        <w:pStyle w:val="Odstavecseseznamem"/>
        <w:numPr>
          <w:ilvl w:val="0"/>
          <w:numId w:val="25"/>
        </w:numPr>
        <w:spacing w:line="276" w:lineRule="auto"/>
        <w:ind w:left="426" w:hanging="357"/>
        <w:rPr>
          <w:rFonts w:ascii="Arial Narrow" w:hAnsi="Arial Narrow"/>
          <w:color w:val="000000" w:themeColor="text1"/>
          <w:sz w:val="20"/>
          <w:szCs w:val="20"/>
        </w:rPr>
      </w:pPr>
      <w:r w:rsidRPr="008C0ED6">
        <w:rPr>
          <w:rFonts w:ascii="Arial Narrow" w:hAnsi="Arial Narrow"/>
          <w:color w:val="000000" w:themeColor="text1"/>
          <w:sz w:val="20"/>
          <w:szCs w:val="20"/>
        </w:rPr>
        <w:t>EUROSTAT. 2023.</w:t>
      </w:r>
      <w:r w:rsidRPr="008C0ED6">
        <w:rPr>
          <w:rFonts w:ascii="Arial Narrow" w:hAnsi="Arial Narrow"/>
          <w:color w:val="000000" w:themeColor="text1"/>
        </w:rPr>
        <w:t xml:space="preserve"> </w:t>
      </w:r>
      <w:proofErr w:type="spellStart"/>
      <w:r w:rsidRPr="008C0ED6">
        <w:rPr>
          <w:rFonts w:ascii="Arial Narrow" w:hAnsi="Arial Narrow"/>
          <w:i/>
          <w:iCs/>
          <w:color w:val="000000" w:themeColor="text1"/>
          <w:sz w:val="20"/>
          <w:szCs w:val="20"/>
        </w:rPr>
        <w:t>Population</w:t>
      </w:r>
      <w:proofErr w:type="spellEnd"/>
      <w:r w:rsidRPr="008C0ED6">
        <w:rPr>
          <w:rFonts w:ascii="Arial Narrow" w:hAnsi="Arial Narrow"/>
          <w:i/>
          <w:iCs/>
          <w:color w:val="000000" w:themeColor="text1"/>
          <w:sz w:val="20"/>
          <w:szCs w:val="20"/>
        </w:rPr>
        <w:t xml:space="preserve"> by </w:t>
      </w:r>
      <w:proofErr w:type="spellStart"/>
      <w:r w:rsidRPr="008C0ED6">
        <w:rPr>
          <w:rFonts w:ascii="Arial Narrow" w:hAnsi="Arial Narrow"/>
          <w:i/>
          <w:iCs/>
          <w:color w:val="000000" w:themeColor="text1"/>
          <w:sz w:val="20"/>
          <w:szCs w:val="20"/>
        </w:rPr>
        <w:t>educational</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attainment</w:t>
      </w:r>
      <w:proofErr w:type="spellEnd"/>
      <w:r w:rsidRPr="008C0ED6">
        <w:rPr>
          <w:rFonts w:ascii="Arial Narrow" w:hAnsi="Arial Narrow"/>
          <w:i/>
          <w:iCs/>
          <w:color w:val="000000" w:themeColor="text1"/>
          <w:sz w:val="20"/>
          <w:szCs w:val="20"/>
        </w:rPr>
        <w:t xml:space="preserve"> level, sex, </w:t>
      </w:r>
      <w:proofErr w:type="spellStart"/>
      <w:r w:rsidRPr="008C0ED6">
        <w:rPr>
          <w:rFonts w:ascii="Arial Narrow" w:hAnsi="Arial Narrow"/>
          <w:i/>
          <w:iCs/>
          <w:color w:val="000000" w:themeColor="text1"/>
          <w:sz w:val="20"/>
          <w:szCs w:val="20"/>
        </w:rPr>
        <w:t>age</w:t>
      </w:r>
      <w:proofErr w:type="spellEnd"/>
      <w:r w:rsidRPr="008C0ED6">
        <w:rPr>
          <w:rFonts w:ascii="Arial Narrow" w:hAnsi="Arial Narrow"/>
          <w:i/>
          <w:iCs/>
          <w:color w:val="000000" w:themeColor="text1"/>
          <w:sz w:val="20"/>
          <w:szCs w:val="20"/>
        </w:rPr>
        <w:t xml:space="preserve"> and </w:t>
      </w:r>
      <w:proofErr w:type="spellStart"/>
      <w:r w:rsidRPr="008C0ED6">
        <w:rPr>
          <w:rFonts w:ascii="Arial Narrow" w:hAnsi="Arial Narrow"/>
          <w:i/>
          <w:iCs/>
          <w:color w:val="000000" w:themeColor="text1"/>
          <w:sz w:val="20"/>
          <w:szCs w:val="20"/>
        </w:rPr>
        <w:t>citizenship</w:t>
      </w:r>
      <w:proofErr w:type="spellEnd"/>
      <w:r w:rsidRPr="008C0ED6">
        <w:rPr>
          <w:rFonts w:ascii="Arial Narrow" w:hAnsi="Arial Narrow"/>
          <w:i/>
          <w:iCs/>
          <w:color w:val="000000" w:themeColor="text1"/>
          <w:sz w:val="20"/>
          <w:szCs w:val="20"/>
        </w:rPr>
        <w:t xml:space="preserve"> (%).</w:t>
      </w:r>
      <w:r w:rsidRPr="008C0ED6">
        <w:rPr>
          <w:rFonts w:ascii="Arial Narrow" w:hAnsi="Arial Narrow"/>
          <w:color w:val="000000" w:themeColor="text1"/>
          <w:sz w:val="20"/>
          <w:szCs w:val="20"/>
        </w:rPr>
        <w:t xml:space="preserve"> Dostupné z: </w:t>
      </w:r>
      <w:hyperlink r:id="rId224" w:history="1">
        <w:r w:rsidR="007A31EF" w:rsidRPr="007A31EF">
          <w:rPr>
            <w:rStyle w:val="Hypertextovodkaz"/>
            <w:rFonts w:ascii="Arial Narrow" w:hAnsi="Arial Narrow"/>
            <w:color w:val="auto"/>
            <w:sz w:val="20"/>
            <w:szCs w:val="20"/>
          </w:rPr>
          <w:t>https://ec.europa.eu/eurostat/databrowser/view/EDAT_LFS_9911__custom_5782088/default/table?lang=en</w:t>
        </w:r>
      </w:hyperlink>
    </w:p>
    <w:p w14:paraId="6FD1792E" w14:textId="7505948E" w:rsidR="007A31EF" w:rsidRPr="008C0ED6" w:rsidRDefault="007A31EF" w:rsidP="008C0ED6">
      <w:pPr>
        <w:pStyle w:val="Odstavecseseznamem"/>
        <w:numPr>
          <w:ilvl w:val="0"/>
          <w:numId w:val="25"/>
        </w:numPr>
        <w:spacing w:line="276" w:lineRule="auto"/>
        <w:ind w:left="426" w:hanging="357"/>
        <w:rPr>
          <w:rFonts w:ascii="Arial Narrow" w:hAnsi="Arial Narrow"/>
          <w:color w:val="000000" w:themeColor="text1"/>
          <w:sz w:val="20"/>
          <w:szCs w:val="20"/>
        </w:rPr>
      </w:pPr>
      <w:r w:rsidRPr="007A31EF">
        <w:rPr>
          <w:rFonts w:ascii="Arial Narrow" w:hAnsi="Arial Narrow"/>
          <w:color w:val="000000" w:themeColor="text1"/>
          <w:sz w:val="20"/>
          <w:szCs w:val="20"/>
        </w:rPr>
        <w:t xml:space="preserve">EUROSTAT. 2023. </w:t>
      </w:r>
      <w:proofErr w:type="spellStart"/>
      <w:r w:rsidRPr="007A31EF">
        <w:rPr>
          <w:rFonts w:ascii="Arial Narrow" w:hAnsi="Arial Narrow"/>
          <w:color w:val="000000" w:themeColor="text1"/>
          <w:sz w:val="20"/>
          <w:szCs w:val="20"/>
        </w:rPr>
        <w:t>Population</w:t>
      </w:r>
      <w:proofErr w:type="spellEnd"/>
      <w:r w:rsidRPr="007A31EF">
        <w:rPr>
          <w:rFonts w:ascii="Arial Narrow" w:hAnsi="Arial Narrow"/>
          <w:color w:val="000000" w:themeColor="text1"/>
          <w:sz w:val="20"/>
          <w:szCs w:val="20"/>
        </w:rPr>
        <w:t xml:space="preserve"> on 1 </w:t>
      </w:r>
      <w:proofErr w:type="spellStart"/>
      <w:r w:rsidRPr="007A31EF">
        <w:rPr>
          <w:rFonts w:ascii="Arial Narrow" w:hAnsi="Arial Narrow"/>
          <w:color w:val="000000" w:themeColor="text1"/>
          <w:sz w:val="20"/>
          <w:szCs w:val="20"/>
        </w:rPr>
        <w:t>January</w:t>
      </w:r>
      <w:proofErr w:type="spellEnd"/>
      <w:r w:rsidRPr="007A31EF">
        <w:rPr>
          <w:rFonts w:ascii="Arial Narrow" w:hAnsi="Arial Narrow"/>
          <w:color w:val="000000" w:themeColor="text1"/>
          <w:sz w:val="20"/>
          <w:szCs w:val="20"/>
        </w:rPr>
        <w:t xml:space="preserve"> by </w:t>
      </w:r>
      <w:proofErr w:type="spellStart"/>
      <w:r w:rsidRPr="007A31EF">
        <w:rPr>
          <w:rFonts w:ascii="Arial Narrow" w:hAnsi="Arial Narrow"/>
          <w:color w:val="000000" w:themeColor="text1"/>
          <w:sz w:val="20"/>
          <w:szCs w:val="20"/>
        </w:rPr>
        <w:t>age</w:t>
      </w:r>
      <w:proofErr w:type="spellEnd"/>
      <w:r w:rsidRPr="007A31EF">
        <w:rPr>
          <w:rFonts w:ascii="Arial Narrow" w:hAnsi="Arial Narrow"/>
          <w:color w:val="000000" w:themeColor="text1"/>
          <w:sz w:val="20"/>
          <w:szCs w:val="20"/>
        </w:rPr>
        <w:t xml:space="preserve">, sex and </w:t>
      </w:r>
      <w:proofErr w:type="spellStart"/>
      <w:r w:rsidRPr="007A31EF">
        <w:rPr>
          <w:rFonts w:ascii="Arial Narrow" w:hAnsi="Arial Narrow"/>
          <w:color w:val="000000" w:themeColor="text1"/>
          <w:sz w:val="20"/>
          <w:szCs w:val="20"/>
        </w:rPr>
        <w:t>broad</w:t>
      </w:r>
      <w:proofErr w:type="spellEnd"/>
      <w:r w:rsidRPr="007A31EF">
        <w:rPr>
          <w:rFonts w:ascii="Arial Narrow" w:hAnsi="Arial Narrow"/>
          <w:color w:val="000000" w:themeColor="text1"/>
          <w:sz w:val="20"/>
          <w:szCs w:val="20"/>
        </w:rPr>
        <w:t xml:space="preserve"> </w:t>
      </w:r>
      <w:proofErr w:type="spellStart"/>
      <w:r w:rsidRPr="007A31EF">
        <w:rPr>
          <w:rFonts w:ascii="Arial Narrow" w:hAnsi="Arial Narrow"/>
          <w:color w:val="000000" w:themeColor="text1"/>
          <w:sz w:val="20"/>
          <w:szCs w:val="20"/>
        </w:rPr>
        <w:t>group</w:t>
      </w:r>
      <w:proofErr w:type="spellEnd"/>
      <w:r w:rsidRPr="007A31EF">
        <w:rPr>
          <w:rFonts w:ascii="Arial Narrow" w:hAnsi="Arial Narrow"/>
          <w:color w:val="000000" w:themeColor="text1"/>
          <w:sz w:val="20"/>
          <w:szCs w:val="20"/>
        </w:rPr>
        <w:t xml:space="preserve"> </w:t>
      </w:r>
      <w:proofErr w:type="spellStart"/>
      <w:r w:rsidRPr="007A31EF">
        <w:rPr>
          <w:rFonts w:ascii="Arial Narrow" w:hAnsi="Arial Narrow"/>
          <w:color w:val="000000" w:themeColor="text1"/>
          <w:sz w:val="20"/>
          <w:szCs w:val="20"/>
        </w:rPr>
        <w:t>of</w:t>
      </w:r>
      <w:proofErr w:type="spellEnd"/>
      <w:r w:rsidRPr="007A31EF">
        <w:rPr>
          <w:rFonts w:ascii="Arial Narrow" w:hAnsi="Arial Narrow"/>
          <w:color w:val="000000" w:themeColor="text1"/>
          <w:sz w:val="20"/>
          <w:szCs w:val="20"/>
        </w:rPr>
        <w:t xml:space="preserve"> </w:t>
      </w:r>
      <w:proofErr w:type="spellStart"/>
      <w:r w:rsidRPr="007A31EF">
        <w:rPr>
          <w:rFonts w:ascii="Arial Narrow" w:hAnsi="Arial Narrow"/>
          <w:color w:val="000000" w:themeColor="text1"/>
          <w:sz w:val="20"/>
          <w:szCs w:val="20"/>
        </w:rPr>
        <w:t>citizenship</w:t>
      </w:r>
      <w:proofErr w:type="spellEnd"/>
      <w:r w:rsidRPr="007A31EF">
        <w:rPr>
          <w:rFonts w:ascii="Arial Narrow" w:hAnsi="Arial Narrow"/>
          <w:color w:val="000000" w:themeColor="text1"/>
          <w:sz w:val="20"/>
          <w:szCs w:val="20"/>
        </w:rPr>
        <w:t>. Dostupné z: https://ec.europa.eu/eurostat/databrowser/view/MIGR_POP2CTZ/default/table?lang=en&amp;category=demo.demo_pop.</w:t>
      </w:r>
    </w:p>
    <w:p w14:paraId="125D910F"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lastRenderedPageBreak/>
        <w:t xml:space="preserve">EUROSTAT. 2023. </w:t>
      </w:r>
      <w:proofErr w:type="spellStart"/>
      <w:r w:rsidRPr="008C0ED6">
        <w:rPr>
          <w:rFonts w:ascii="Arial Narrow" w:hAnsi="Arial Narrow"/>
          <w:i/>
          <w:iCs/>
          <w:color w:val="000000" w:themeColor="text1"/>
          <w:sz w:val="20"/>
          <w:szCs w:val="20"/>
        </w:rPr>
        <w:t>Employment</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rates</w:t>
      </w:r>
      <w:proofErr w:type="spellEnd"/>
      <w:r w:rsidRPr="008C0ED6">
        <w:rPr>
          <w:rFonts w:ascii="Arial Narrow" w:hAnsi="Arial Narrow"/>
          <w:i/>
          <w:iCs/>
          <w:color w:val="000000" w:themeColor="text1"/>
          <w:sz w:val="20"/>
          <w:szCs w:val="20"/>
        </w:rPr>
        <w:t xml:space="preserve"> by sex, </w:t>
      </w:r>
      <w:proofErr w:type="spellStart"/>
      <w:r w:rsidRPr="008C0ED6">
        <w:rPr>
          <w:rFonts w:ascii="Arial Narrow" w:hAnsi="Arial Narrow"/>
          <w:i/>
          <w:iCs/>
          <w:color w:val="000000" w:themeColor="text1"/>
          <w:sz w:val="20"/>
          <w:szCs w:val="20"/>
        </w:rPr>
        <w:t>age</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migration</w:t>
      </w:r>
      <w:proofErr w:type="spellEnd"/>
      <w:r w:rsidRPr="008C0ED6">
        <w:rPr>
          <w:rFonts w:ascii="Arial Narrow" w:hAnsi="Arial Narrow"/>
          <w:i/>
          <w:iCs/>
          <w:color w:val="000000" w:themeColor="text1"/>
          <w:sz w:val="20"/>
          <w:szCs w:val="20"/>
        </w:rPr>
        <w:t xml:space="preserve"> status, </w:t>
      </w:r>
      <w:proofErr w:type="spellStart"/>
      <w:r w:rsidRPr="008C0ED6">
        <w:rPr>
          <w:rFonts w:ascii="Arial Narrow" w:hAnsi="Arial Narrow"/>
          <w:i/>
          <w:iCs/>
          <w:color w:val="000000" w:themeColor="text1"/>
          <w:sz w:val="20"/>
          <w:szCs w:val="20"/>
        </w:rPr>
        <w:t>citizenship</w:t>
      </w:r>
      <w:proofErr w:type="spellEnd"/>
      <w:r w:rsidRPr="008C0ED6">
        <w:rPr>
          <w:rFonts w:ascii="Arial Narrow" w:hAnsi="Arial Narrow"/>
          <w:i/>
          <w:iCs/>
          <w:color w:val="000000" w:themeColor="text1"/>
          <w:sz w:val="20"/>
          <w:szCs w:val="20"/>
        </w:rPr>
        <w:t xml:space="preserve"> and </w:t>
      </w:r>
      <w:proofErr w:type="spellStart"/>
      <w:r w:rsidRPr="008C0ED6">
        <w:rPr>
          <w:rFonts w:ascii="Arial Narrow" w:hAnsi="Arial Narrow"/>
          <w:i/>
          <w:iCs/>
          <w:color w:val="000000" w:themeColor="text1"/>
          <w:sz w:val="20"/>
          <w:szCs w:val="20"/>
        </w:rPr>
        <w:t>educational</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attainment</w:t>
      </w:r>
      <w:proofErr w:type="spellEnd"/>
      <w:r w:rsidRPr="008C0ED6">
        <w:rPr>
          <w:rFonts w:ascii="Arial Narrow" w:hAnsi="Arial Narrow"/>
          <w:i/>
          <w:iCs/>
          <w:color w:val="000000" w:themeColor="text1"/>
          <w:sz w:val="20"/>
          <w:szCs w:val="20"/>
        </w:rPr>
        <w:t xml:space="preserve"> level (%).</w:t>
      </w:r>
      <w:r w:rsidRPr="008C0ED6">
        <w:rPr>
          <w:rFonts w:ascii="Arial Narrow" w:hAnsi="Arial Narrow"/>
          <w:color w:val="000000" w:themeColor="text1"/>
          <w:sz w:val="20"/>
          <w:szCs w:val="20"/>
        </w:rPr>
        <w:t xml:space="preserve"> Dostupné z: </w:t>
      </w:r>
      <w:hyperlink r:id="rId225" w:history="1">
        <w:r w:rsidRPr="008C0ED6">
          <w:rPr>
            <w:rStyle w:val="Hypertextovodkaz"/>
            <w:rFonts w:ascii="Arial Narrow" w:hAnsi="Arial Narrow"/>
            <w:color w:val="000000" w:themeColor="text1"/>
            <w:sz w:val="20"/>
            <w:szCs w:val="20"/>
          </w:rPr>
          <w:t>https://ec.europa.eu/eurostat/databrowser/view/LFSQ_ERGANEDM__custom_5751801/default/table?lang=en</w:t>
        </w:r>
      </w:hyperlink>
      <w:r w:rsidRPr="008C0ED6">
        <w:rPr>
          <w:rFonts w:ascii="Arial Narrow" w:hAnsi="Arial Narrow"/>
          <w:color w:val="000000" w:themeColor="text1"/>
          <w:sz w:val="20"/>
          <w:szCs w:val="20"/>
        </w:rPr>
        <w:t xml:space="preserve"> </w:t>
      </w:r>
    </w:p>
    <w:p w14:paraId="2A92B1C2"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EUROSTAT. 2023. </w:t>
      </w:r>
      <w:proofErr w:type="spellStart"/>
      <w:r w:rsidRPr="008C0ED6">
        <w:rPr>
          <w:rFonts w:ascii="Arial Narrow" w:hAnsi="Arial Narrow"/>
          <w:i/>
          <w:iCs/>
          <w:color w:val="000000" w:themeColor="text1"/>
          <w:sz w:val="20"/>
          <w:szCs w:val="20"/>
        </w:rPr>
        <w:t>Employment</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rates</w:t>
      </w:r>
      <w:proofErr w:type="spellEnd"/>
      <w:r w:rsidRPr="008C0ED6">
        <w:rPr>
          <w:rFonts w:ascii="Arial Narrow" w:hAnsi="Arial Narrow"/>
          <w:i/>
          <w:iCs/>
          <w:color w:val="000000" w:themeColor="text1"/>
          <w:sz w:val="20"/>
          <w:szCs w:val="20"/>
        </w:rPr>
        <w:t xml:space="preserve"> by sex, </w:t>
      </w:r>
      <w:proofErr w:type="spellStart"/>
      <w:r w:rsidRPr="008C0ED6">
        <w:rPr>
          <w:rFonts w:ascii="Arial Narrow" w:hAnsi="Arial Narrow"/>
          <w:i/>
          <w:iCs/>
          <w:color w:val="000000" w:themeColor="text1"/>
          <w:sz w:val="20"/>
          <w:szCs w:val="20"/>
        </w:rPr>
        <w:t>age</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educational</w:t>
      </w:r>
      <w:proofErr w:type="spellEnd"/>
      <w:r w:rsidRPr="008C0ED6">
        <w:rPr>
          <w:rFonts w:ascii="Arial Narrow" w:hAnsi="Arial Narrow"/>
          <w:i/>
          <w:iCs/>
          <w:color w:val="000000" w:themeColor="text1"/>
          <w:sz w:val="20"/>
          <w:szCs w:val="20"/>
        </w:rPr>
        <w:t xml:space="preserve"> </w:t>
      </w:r>
      <w:proofErr w:type="spellStart"/>
      <w:r w:rsidRPr="008C0ED6">
        <w:rPr>
          <w:rFonts w:ascii="Arial Narrow" w:hAnsi="Arial Narrow"/>
          <w:i/>
          <w:iCs/>
          <w:color w:val="000000" w:themeColor="text1"/>
          <w:sz w:val="20"/>
          <w:szCs w:val="20"/>
        </w:rPr>
        <w:t>attainment</w:t>
      </w:r>
      <w:proofErr w:type="spellEnd"/>
      <w:r w:rsidRPr="008C0ED6">
        <w:rPr>
          <w:rFonts w:ascii="Arial Narrow" w:hAnsi="Arial Narrow"/>
          <w:i/>
          <w:iCs/>
          <w:color w:val="000000" w:themeColor="text1"/>
          <w:sz w:val="20"/>
          <w:szCs w:val="20"/>
        </w:rPr>
        <w:t xml:space="preserve"> level, </w:t>
      </w:r>
      <w:proofErr w:type="spellStart"/>
      <w:r w:rsidRPr="008C0ED6">
        <w:rPr>
          <w:rFonts w:ascii="Arial Narrow" w:hAnsi="Arial Narrow"/>
          <w:i/>
          <w:iCs/>
          <w:color w:val="000000" w:themeColor="text1"/>
          <w:sz w:val="20"/>
          <w:szCs w:val="20"/>
        </w:rPr>
        <w:t>citizenship</w:t>
      </w:r>
      <w:proofErr w:type="spellEnd"/>
      <w:r w:rsidRPr="008C0ED6">
        <w:rPr>
          <w:rFonts w:ascii="Arial Narrow" w:hAnsi="Arial Narrow"/>
          <w:i/>
          <w:iCs/>
          <w:color w:val="000000" w:themeColor="text1"/>
          <w:sz w:val="20"/>
          <w:szCs w:val="20"/>
        </w:rPr>
        <w:t xml:space="preserve"> and NUTS 2</w:t>
      </w:r>
      <w:r w:rsidRPr="008C0ED6">
        <w:rPr>
          <w:rFonts w:ascii="Arial Narrow" w:hAnsi="Arial Narrow"/>
          <w:color w:val="000000" w:themeColor="text1"/>
          <w:sz w:val="20"/>
          <w:szCs w:val="20"/>
        </w:rPr>
        <w:t xml:space="preserve"> </w:t>
      </w:r>
      <w:proofErr w:type="spellStart"/>
      <w:r w:rsidRPr="008C0ED6">
        <w:rPr>
          <w:rFonts w:ascii="Arial Narrow" w:hAnsi="Arial Narrow"/>
          <w:color w:val="000000" w:themeColor="text1"/>
          <w:sz w:val="20"/>
          <w:szCs w:val="20"/>
        </w:rPr>
        <w:t>regions</w:t>
      </w:r>
      <w:proofErr w:type="spellEnd"/>
      <w:r w:rsidRPr="008C0ED6">
        <w:rPr>
          <w:rFonts w:ascii="Arial Narrow" w:hAnsi="Arial Narrow"/>
          <w:color w:val="000000" w:themeColor="text1"/>
          <w:sz w:val="20"/>
          <w:szCs w:val="20"/>
        </w:rPr>
        <w:t xml:space="preserve">. Dostupné z: </w:t>
      </w:r>
      <w:hyperlink r:id="rId226" w:history="1">
        <w:r w:rsidRPr="008C0ED6">
          <w:rPr>
            <w:rStyle w:val="Hypertextovodkaz"/>
            <w:rFonts w:ascii="Arial Narrow" w:hAnsi="Arial Narrow"/>
            <w:color w:val="000000" w:themeColor="text1"/>
            <w:sz w:val="20"/>
            <w:szCs w:val="20"/>
          </w:rPr>
          <w:t>https://ec.europa.eu/eurostat/databrowser/view/LFST_R_LFE2EMPRTN__custom_5782067/default/table?lang=en</w:t>
        </w:r>
      </w:hyperlink>
      <w:r w:rsidRPr="008C0ED6">
        <w:rPr>
          <w:rFonts w:ascii="Arial Narrow" w:hAnsi="Arial Narrow"/>
          <w:color w:val="000000" w:themeColor="text1"/>
          <w:sz w:val="20"/>
          <w:szCs w:val="20"/>
        </w:rPr>
        <w:t xml:space="preserve"> </w:t>
      </w:r>
    </w:p>
    <w:p w14:paraId="58BA39FD" w14:textId="1A5FB6D8"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Jihomoravský kraj. 2020. </w:t>
      </w:r>
      <w:r w:rsidR="007A31EF" w:rsidRPr="007A31EF">
        <w:rPr>
          <w:rFonts w:ascii="Arial Narrow" w:hAnsi="Arial Narrow"/>
          <w:i/>
          <w:iCs/>
          <w:color w:val="000000" w:themeColor="text1"/>
          <w:sz w:val="20"/>
          <w:szCs w:val="20"/>
        </w:rPr>
        <w:t xml:space="preserve">Průzkumu zaměstnanosti v Jihomoravském kraji k 31. 12. 2020. Dostupné z: </w:t>
      </w:r>
      <w:hyperlink r:id="rId227" w:history="1">
        <w:r w:rsidR="007A31EF" w:rsidRPr="007A31EF">
          <w:rPr>
            <w:rStyle w:val="Hypertextovodkaz"/>
            <w:rFonts w:ascii="Arial Narrow" w:hAnsi="Arial Narrow"/>
            <w:i/>
            <w:iCs/>
            <w:color w:val="auto"/>
            <w:sz w:val="20"/>
            <w:szCs w:val="20"/>
          </w:rPr>
          <w:t>file:///C:/Users/Randulova/Downloads/JMK_zpr%C3%A1va_obecn%C3%A1_final.pdf</w:t>
        </w:r>
      </w:hyperlink>
      <w:r w:rsidR="007A31EF" w:rsidRPr="007A31EF">
        <w:rPr>
          <w:rFonts w:ascii="Arial Narrow" w:hAnsi="Arial Narrow"/>
          <w:i/>
          <w:iCs/>
          <w:sz w:val="20"/>
          <w:szCs w:val="20"/>
        </w:rPr>
        <w:t xml:space="preserve">. </w:t>
      </w:r>
    </w:p>
    <w:p w14:paraId="7B4F88EE" w14:textId="384AFD1F"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Ministerstvo Vnitra České republiky. 2020. </w:t>
      </w:r>
      <w:r w:rsidRPr="008C0ED6">
        <w:rPr>
          <w:rFonts w:ascii="Arial Narrow" w:hAnsi="Arial Narrow"/>
          <w:i/>
          <w:iCs/>
          <w:color w:val="000000" w:themeColor="text1"/>
          <w:sz w:val="20"/>
          <w:szCs w:val="20"/>
        </w:rPr>
        <w:t>Zpráva o situaci v oblasti migrace a integrace cizinců na území České republiky</w:t>
      </w:r>
      <w:r w:rsidRPr="008C0ED6">
        <w:rPr>
          <w:rFonts w:ascii="Arial Narrow" w:hAnsi="Arial Narrow"/>
          <w:color w:val="000000" w:themeColor="text1"/>
          <w:sz w:val="20"/>
          <w:szCs w:val="20"/>
        </w:rPr>
        <w:t xml:space="preserve">. Dostupné z: </w:t>
      </w:r>
      <w:hyperlink r:id="rId228" w:history="1">
        <w:r w:rsidRPr="008C0ED6">
          <w:rPr>
            <w:rStyle w:val="Hypertextovodkaz"/>
            <w:rFonts w:ascii="Arial Narrow" w:hAnsi="Arial Narrow"/>
            <w:color w:val="000000" w:themeColor="text1"/>
            <w:sz w:val="20"/>
            <w:szCs w:val="20"/>
          </w:rPr>
          <w:t xml:space="preserve">Výroční zprávy o situaci v oblasti migrace a integrace </w:t>
        </w:r>
        <w:r w:rsidR="00F457FC">
          <w:rPr>
            <w:rStyle w:val="Hypertextovodkaz"/>
            <w:rFonts w:ascii="Arial Narrow" w:hAnsi="Arial Narrow"/>
            <w:color w:val="000000" w:themeColor="text1"/>
            <w:sz w:val="20"/>
            <w:szCs w:val="20"/>
          </w:rPr>
          <w:t>–</w:t>
        </w:r>
        <w:r w:rsidRPr="008C0ED6">
          <w:rPr>
            <w:rStyle w:val="Hypertextovodkaz"/>
            <w:rFonts w:ascii="Arial Narrow" w:hAnsi="Arial Narrow"/>
            <w:color w:val="000000" w:themeColor="text1"/>
            <w:sz w:val="20"/>
            <w:szCs w:val="20"/>
          </w:rPr>
          <w:t xml:space="preserve"> Aktuální informace o migraci (mvcr.cz)</w:t>
        </w:r>
      </w:hyperlink>
      <w:r w:rsidRPr="008C0ED6">
        <w:rPr>
          <w:rFonts w:ascii="Arial Narrow" w:hAnsi="Arial Narrow"/>
          <w:color w:val="000000" w:themeColor="text1"/>
          <w:sz w:val="20"/>
          <w:szCs w:val="20"/>
        </w:rPr>
        <w:t xml:space="preserve"> </w:t>
      </w:r>
    </w:p>
    <w:p w14:paraId="3545137D" w14:textId="4971D198"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Ministerstvo Vnitra České republiky. 2022. </w:t>
      </w:r>
      <w:r w:rsidRPr="008C0ED6">
        <w:rPr>
          <w:rFonts w:ascii="Arial Narrow" w:hAnsi="Arial Narrow"/>
          <w:i/>
          <w:iCs/>
          <w:color w:val="000000" w:themeColor="text1"/>
          <w:sz w:val="20"/>
          <w:szCs w:val="20"/>
        </w:rPr>
        <w:t>Informativní počty obyvatel v obcích</w:t>
      </w:r>
      <w:r w:rsidRPr="008C0ED6">
        <w:rPr>
          <w:rFonts w:ascii="Arial Narrow" w:hAnsi="Arial Narrow"/>
          <w:color w:val="000000" w:themeColor="text1"/>
          <w:sz w:val="20"/>
          <w:szCs w:val="20"/>
        </w:rPr>
        <w:t xml:space="preserve">. Dostupné z: </w:t>
      </w:r>
      <w:hyperlink r:id="rId229" w:history="1">
        <w:r w:rsidRPr="008C0ED6">
          <w:rPr>
            <w:rStyle w:val="Hypertextovodkaz"/>
            <w:rFonts w:ascii="Arial Narrow" w:hAnsi="Arial Narrow"/>
            <w:color w:val="000000" w:themeColor="text1"/>
            <w:sz w:val="20"/>
            <w:szCs w:val="20"/>
          </w:rPr>
          <w:t xml:space="preserve">Informativní počty obyvatel v obcích </w:t>
        </w:r>
        <w:r w:rsidR="00F457FC">
          <w:rPr>
            <w:rStyle w:val="Hypertextovodkaz"/>
            <w:rFonts w:ascii="Arial Narrow" w:hAnsi="Arial Narrow"/>
            <w:color w:val="000000" w:themeColor="text1"/>
            <w:sz w:val="20"/>
            <w:szCs w:val="20"/>
          </w:rPr>
          <w:t>–</w:t>
        </w:r>
        <w:r w:rsidRPr="008C0ED6">
          <w:rPr>
            <w:rStyle w:val="Hypertextovodkaz"/>
            <w:rFonts w:ascii="Arial Narrow" w:hAnsi="Arial Narrow"/>
            <w:color w:val="000000" w:themeColor="text1"/>
            <w:sz w:val="20"/>
            <w:szCs w:val="20"/>
          </w:rPr>
          <w:t xml:space="preserve"> Ministerstvo vnitra České republiky (mvcr.cz)</w:t>
        </w:r>
      </w:hyperlink>
      <w:r w:rsidRPr="008C0ED6">
        <w:rPr>
          <w:rFonts w:ascii="Arial Narrow" w:hAnsi="Arial Narrow"/>
          <w:color w:val="000000" w:themeColor="text1"/>
          <w:sz w:val="20"/>
          <w:szCs w:val="20"/>
        </w:rPr>
        <w:t xml:space="preserve"> </w:t>
      </w:r>
    </w:p>
    <w:p w14:paraId="015DCFDF" w14:textId="570B1454" w:rsidR="004D56D1" w:rsidRDefault="004D56D1"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4D56D1">
        <w:rPr>
          <w:rFonts w:ascii="Arial Narrow" w:hAnsi="Arial Narrow"/>
          <w:color w:val="000000" w:themeColor="text1"/>
          <w:sz w:val="20"/>
          <w:szCs w:val="20"/>
        </w:rPr>
        <w:t xml:space="preserve">Ministerstvo vnitra ČR. 2022. </w:t>
      </w:r>
      <w:r w:rsidRPr="004D56D1">
        <w:rPr>
          <w:rFonts w:ascii="Arial Narrow" w:hAnsi="Arial Narrow"/>
          <w:i/>
          <w:iCs/>
          <w:color w:val="000000" w:themeColor="text1"/>
          <w:sz w:val="20"/>
          <w:szCs w:val="20"/>
        </w:rPr>
        <w:t>Statistická příloha ke čtvrtletní zprávě o migraci IV</w:t>
      </w:r>
      <w:r w:rsidRPr="004D56D1">
        <w:rPr>
          <w:rFonts w:ascii="Arial Narrow" w:hAnsi="Arial Narrow"/>
          <w:color w:val="000000" w:themeColor="text1"/>
          <w:sz w:val="20"/>
          <w:szCs w:val="20"/>
        </w:rPr>
        <w:t>. 2022. Praha: MV ČR.</w:t>
      </w:r>
    </w:p>
    <w:p w14:paraId="36097428" w14:textId="45B9BB93"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Ministerstvo Vnitra České republiky a Policie České republiky. 2021. </w:t>
      </w:r>
      <w:r w:rsidRPr="008C0ED6">
        <w:rPr>
          <w:rFonts w:ascii="Arial Narrow" w:hAnsi="Arial Narrow" w:cs="Arial"/>
          <w:color w:val="000000" w:themeColor="text1"/>
          <w:sz w:val="20"/>
          <w:szCs w:val="20"/>
          <w:shd w:val="clear" w:color="auto" w:fill="FFFFFF"/>
        </w:rPr>
        <w:t>Dostupné statistické informace zaevidované v cizineckém informačním systému.</w:t>
      </w:r>
      <w:r w:rsidRPr="008C0ED6">
        <w:rPr>
          <w:rFonts w:ascii="Arial Narrow" w:hAnsi="Arial Narrow" w:cs="Arial"/>
          <w:color w:val="000000" w:themeColor="text1"/>
          <w:sz w:val="17"/>
          <w:szCs w:val="17"/>
          <w:shd w:val="clear" w:color="auto" w:fill="FFFFFF"/>
        </w:rPr>
        <w:t xml:space="preserve">  </w:t>
      </w:r>
    </w:p>
    <w:p w14:paraId="23BA02E4"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Ministerstvo vnitra. 2023. Čtvrtletní zprávy o situaci v oblasti migrace. Dostupné z: </w:t>
      </w:r>
      <w:hyperlink r:id="rId230" w:history="1">
        <w:r w:rsidRPr="008C0ED6">
          <w:rPr>
            <w:rStyle w:val="Hypertextovodkaz"/>
            <w:rFonts w:ascii="Arial Narrow" w:hAnsi="Arial Narrow"/>
            <w:color w:val="000000" w:themeColor="text1"/>
            <w:sz w:val="20"/>
            <w:szCs w:val="20"/>
          </w:rPr>
          <w:t>https://www.mvcr.cz/migrace/clanek/ctvrtletni-zpravy-o-situaci-v-oblasti-migrace.aspx</w:t>
        </w:r>
      </w:hyperlink>
      <w:r w:rsidRPr="008C0ED6">
        <w:rPr>
          <w:rFonts w:ascii="Arial Narrow" w:hAnsi="Arial Narrow"/>
          <w:color w:val="000000" w:themeColor="text1"/>
          <w:sz w:val="20"/>
          <w:szCs w:val="20"/>
        </w:rPr>
        <w:t xml:space="preserve"> </w:t>
      </w:r>
    </w:p>
    <w:p w14:paraId="320DAEEF"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Ministerstvo vnitra. 2023. </w:t>
      </w:r>
      <w:r w:rsidRPr="008C0ED6">
        <w:rPr>
          <w:rFonts w:ascii="Arial Narrow" w:hAnsi="Arial Narrow"/>
          <w:i/>
          <w:iCs/>
          <w:color w:val="000000" w:themeColor="text1"/>
          <w:sz w:val="20"/>
          <w:szCs w:val="20"/>
        </w:rPr>
        <w:t xml:space="preserve">Archivní statistiky informativních počtů obyvatel (občanů ČR a cizinců s pobytem). </w:t>
      </w:r>
      <w:r w:rsidRPr="008C0ED6">
        <w:rPr>
          <w:rFonts w:ascii="Arial Narrow" w:hAnsi="Arial Narrow"/>
          <w:color w:val="000000" w:themeColor="text1"/>
          <w:sz w:val="20"/>
          <w:szCs w:val="20"/>
        </w:rPr>
        <w:t xml:space="preserve">Dostupné z: </w:t>
      </w:r>
      <w:hyperlink r:id="rId231" w:history="1">
        <w:r w:rsidRPr="008C0ED6">
          <w:rPr>
            <w:rStyle w:val="Hypertextovodkaz"/>
            <w:rFonts w:ascii="Arial Narrow" w:hAnsi="Arial Narrow"/>
            <w:color w:val="000000" w:themeColor="text1"/>
            <w:sz w:val="20"/>
            <w:szCs w:val="20"/>
          </w:rPr>
          <w:t>https://www.mvcr.cz/clanek/informativni-pocty-obyvatel-v-obcich.aspx?q=Y2hudW09Mg%3d%3d</w:t>
        </w:r>
      </w:hyperlink>
      <w:r w:rsidRPr="008C0ED6">
        <w:rPr>
          <w:rFonts w:ascii="Arial Narrow" w:hAnsi="Arial Narrow"/>
          <w:color w:val="000000" w:themeColor="text1"/>
          <w:sz w:val="20"/>
          <w:szCs w:val="20"/>
        </w:rPr>
        <w:t xml:space="preserve"> </w:t>
      </w:r>
    </w:p>
    <w:p w14:paraId="51FCD2F3"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lang w:eastAsia="cs-CZ"/>
        </w:rPr>
      </w:pPr>
      <w:r w:rsidRPr="008C0ED6">
        <w:rPr>
          <w:rFonts w:ascii="Arial Narrow" w:hAnsi="Arial Narrow"/>
          <w:color w:val="000000" w:themeColor="text1"/>
          <w:sz w:val="20"/>
          <w:szCs w:val="20"/>
        </w:rPr>
        <w:t xml:space="preserve">Ministerstvo vnitra. 2023. Informativní počty obyvatel v obcích. Dostupné z: </w:t>
      </w:r>
      <w:hyperlink r:id="rId232" w:history="1">
        <w:r w:rsidRPr="008C0ED6">
          <w:rPr>
            <w:rStyle w:val="Hypertextovodkaz"/>
            <w:rFonts w:ascii="Arial Narrow" w:hAnsi="Arial Narrow"/>
            <w:color w:val="000000" w:themeColor="text1"/>
            <w:sz w:val="20"/>
            <w:szCs w:val="20"/>
          </w:rPr>
          <w:t>https://www.mvcr.cz/clanek/informativni-pocty-obyvatel-v-obcich.aspx?q=Y2hudW09MQ%3d%3d</w:t>
        </w:r>
      </w:hyperlink>
      <w:r w:rsidRPr="008C0ED6">
        <w:rPr>
          <w:rFonts w:ascii="Arial Narrow" w:hAnsi="Arial Narrow"/>
          <w:color w:val="000000" w:themeColor="text1"/>
          <w:sz w:val="20"/>
          <w:szCs w:val="20"/>
        </w:rPr>
        <w:t xml:space="preserve"> </w:t>
      </w:r>
    </w:p>
    <w:p w14:paraId="03BEC25D" w14:textId="0E95B576" w:rsidR="008C0ED6" w:rsidRPr="00F24C57" w:rsidRDefault="008C0ED6" w:rsidP="00F24C57">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Ministerstvo školství, mládeže a tělovýchovy. 2023. </w:t>
      </w:r>
      <w:r w:rsidRPr="008C0ED6">
        <w:rPr>
          <w:rFonts w:ascii="Arial Narrow" w:hAnsi="Arial Narrow"/>
          <w:i/>
          <w:iCs/>
          <w:color w:val="000000" w:themeColor="text1"/>
          <w:sz w:val="20"/>
          <w:szCs w:val="20"/>
        </w:rPr>
        <w:t>Statistická ročenka školství – výkonové ukazatele školního roku 2022/2023</w:t>
      </w:r>
      <w:r w:rsidRPr="008C0ED6">
        <w:rPr>
          <w:rFonts w:ascii="Arial Narrow" w:hAnsi="Arial Narrow"/>
          <w:color w:val="000000" w:themeColor="text1"/>
          <w:sz w:val="20"/>
          <w:szCs w:val="20"/>
        </w:rPr>
        <w:t xml:space="preserve">. Odbor školské statistiky a analýz MŠMT. Dostupné z: </w:t>
      </w:r>
      <w:hyperlink r:id="rId233" w:history="1">
        <w:r w:rsidRPr="008C0ED6">
          <w:rPr>
            <w:rStyle w:val="Hypertextovodkaz"/>
            <w:rFonts w:ascii="Arial Narrow" w:hAnsi="Arial Narrow"/>
            <w:color w:val="000000" w:themeColor="text1"/>
            <w:sz w:val="20"/>
            <w:szCs w:val="20"/>
          </w:rPr>
          <w:t>https://statis.msmt.cz/rocenka/rocenka.asp</w:t>
        </w:r>
      </w:hyperlink>
      <w:r w:rsidRPr="008C0ED6">
        <w:rPr>
          <w:rFonts w:ascii="Arial Narrow" w:hAnsi="Arial Narrow"/>
          <w:color w:val="000000" w:themeColor="text1"/>
          <w:sz w:val="20"/>
          <w:szCs w:val="20"/>
        </w:rPr>
        <w:t xml:space="preserve"> </w:t>
      </w:r>
    </w:p>
    <w:p w14:paraId="483319F7" w14:textId="77777777" w:rsid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Ministerstvo práce a sociálních věcí. 2023. </w:t>
      </w:r>
      <w:r w:rsidRPr="008C0ED6">
        <w:rPr>
          <w:rFonts w:ascii="Arial Narrow" w:hAnsi="Arial Narrow"/>
          <w:i/>
          <w:iCs/>
          <w:color w:val="000000" w:themeColor="text1"/>
          <w:sz w:val="20"/>
          <w:szCs w:val="20"/>
        </w:rPr>
        <w:t>Statistiky o trhu práce</w:t>
      </w:r>
      <w:r w:rsidRPr="008C0ED6">
        <w:rPr>
          <w:rFonts w:ascii="Arial Narrow" w:hAnsi="Arial Narrow"/>
          <w:color w:val="000000" w:themeColor="text1"/>
          <w:sz w:val="20"/>
          <w:szCs w:val="20"/>
        </w:rPr>
        <w:t xml:space="preserve">. Dostupné z: </w:t>
      </w:r>
      <w:hyperlink r:id="rId234" w:history="1">
        <w:r w:rsidRPr="008C0ED6">
          <w:rPr>
            <w:rStyle w:val="Hypertextovodkaz"/>
            <w:rFonts w:ascii="Arial Narrow" w:hAnsi="Arial Narrow"/>
            <w:color w:val="000000" w:themeColor="text1"/>
            <w:sz w:val="20"/>
            <w:szCs w:val="20"/>
          </w:rPr>
          <w:t>https://www.mpsv.cz/statistiky</w:t>
        </w:r>
      </w:hyperlink>
      <w:r w:rsidRPr="008C0ED6">
        <w:rPr>
          <w:rFonts w:ascii="Arial Narrow" w:hAnsi="Arial Narrow"/>
          <w:color w:val="000000" w:themeColor="text1"/>
          <w:sz w:val="20"/>
          <w:szCs w:val="20"/>
        </w:rPr>
        <w:t xml:space="preserve"> </w:t>
      </w:r>
    </w:p>
    <w:p w14:paraId="41E891A7" w14:textId="3D995DEF" w:rsidR="007A31EF" w:rsidRDefault="007A31EF"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7A31EF">
        <w:rPr>
          <w:rFonts w:ascii="Arial Narrow" w:hAnsi="Arial Narrow"/>
          <w:color w:val="000000" w:themeColor="text1"/>
          <w:sz w:val="20"/>
          <w:szCs w:val="20"/>
        </w:rPr>
        <w:t>Ministerstvo práce a sociálních věcí. 2022. Nelegální zaměstnávání. Citováno dne 17. 1. 2022. Dostupné z:</w:t>
      </w:r>
      <w:r>
        <w:rPr>
          <w:rFonts w:ascii="Arial Narrow" w:hAnsi="Arial Narrow"/>
          <w:color w:val="000000" w:themeColor="text1"/>
          <w:sz w:val="20"/>
          <w:szCs w:val="20"/>
        </w:rPr>
        <w:t xml:space="preserve"> </w:t>
      </w:r>
      <w:r w:rsidRPr="007A31EF">
        <w:rPr>
          <w:rFonts w:ascii="Arial Narrow" w:hAnsi="Arial Narrow"/>
          <w:color w:val="000000" w:themeColor="text1"/>
          <w:sz w:val="20"/>
          <w:szCs w:val="20"/>
        </w:rPr>
        <w:t>https://www.mpsv.cz/nelegalni-zamestnavani</w:t>
      </w:r>
      <w:r>
        <w:rPr>
          <w:rFonts w:ascii="Arial Narrow" w:hAnsi="Arial Narrow"/>
          <w:color w:val="000000" w:themeColor="text1"/>
          <w:sz w:val="20"/>
          <w:szCs w:val="20"/>
        </w:rPr>
        <w:t xml:space="preserve">. </w:t>
      </w:r>
    </w:p>
    <w:p w14:paraId="16856505" w14:textId="3A1CB6A3" w:rsidR="007A31EF" w:rsidRPr="008C0ED6" w:rsidRDefault="007A31EF"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7A31EF">
        <w:rPr>
          <w:rFonts w:ascii="Arial Narrow" w:hAnsi="Arial Narrow"/>
          <w:color w:val="000000" w:themeColor="text1"/>
          <w:sz w:val="20"/>
          <w:szCs w:val="20"/>
        </w:rPr>
        <w:t xml:space="preserve">MPSV. 2023. Lex Ukrajina 5: Změny v pomoci uprchlíkům z Ukrajiny. Dostupné z: </w:t>
      </w:r>
      <w:hyperlink r:id="rId235" w:history="1">
        <w:r w:rsidRPr="007A31EF">
          <w:rPr>
            <w:rStyle w:val="Hypertextovodkaz"/>
            <w:rFonts w:ascii="Arial Narrow" w:hAnsi="Arial Narrow"/>
            <w:color w:val="auto"/>
            <w:sz w:val="20"/>
            <w:szCs w:val="20"/>
          </w:rPr>
          <w:t>https://www.cizinci.cz/-/lex-ukrajina-5-zmeny-v-pomoci-uprchlikum-z-ukrajiny</w:t>
        </w:r>
      </w:hyperlink>
      <w:r w:rsidRPr="007A31EF">
        <w:rPr>
          <w:rFonts w:ascii="Arial Narrow" w:hAnsi="Arial Narrow"/>
          <w:sz w:val="20"/>
          <w:szCs w:val="20"/>
        </w:rPr>
        <w:t xml:space="preserve">. </w:t>
      </w:r>
    </w:p>
    <w:p w14:paraId="6B77EAB3"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Ministerstvo průmyslu a obchodu. 2021. </w:t>
      </w:r>
      <w:r w:rsidRPr="008C0ED6">
        <w:rPr>
          <w:rFonts w:ascii="Arial Narrow" w:hAnsi="Arial Narrow"/>
          <w:i/>
          <w:iCs/>
          <w:color w:val="000000" w:themeColor="text1"/>
          <w:sz w:val="20"/>
          <w:szCs w:val="20"/>
        </w:rPr>
        <w:t>Statistické údaje o podnikatelích – Počty podnikatelů dle občanství podnikajících v České republice.</w:t>
      </w:r>
      <w:r w:rsidRPr="008C0ED6">
        <w:rPr>
          <w:rFonts w:ascii="Arial Narrow" w:hAnsi="Arial Narrow"/>
          <w:color w:val="000000" w:themeColor="text1"/>
          <w:sz w:val="20"/>
          <w:szCs w:val="20"/>
        </w:rPr>
        <w:t xml:space="preserve"> Dostupné z: </w:t>
      </w:r>
      <w:hyperlink r:id="rId236" w:history="1">
        <w:r w:rsidRPr="008C0ED6">
          <w:rPr>
            <w:rStyle w:val="Hypertextovodkaz"/>
            <w:rFonts w:ascii="Arial Narrow" w:hAnsi="Arial Narrow"/>
            <w:color w:val="000000" w:themeColor="text1"/>
            <w:sz w:val="20"/>
            <w:szCs w:val="20"/>
          </w:rPr>
          <w:t>https://www.mpo.cz/cz/podnikani/zivnostenske-podnikani/statisticke-udaje-o-podnikatelich/pocty-podnikatelu-dle-obcanstvi-podnikajicich-v-ceske-republice--151024/</w:t>
        </w:r>
      </w:hyperlink>
    </w:p>
    <w:p w14:paraId="59C55DB3" w14:textId="39993602" w:rsidR="004D56D1" w:rsidRDefault="004D56D1"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4D56D1">
        <w:rPr>
          <w:rFonts w:ascii="Arial Narrow" w:hAnsi="Arial Narrow"/>
          <w:color w:val="000000" w:themeColor="text1"/>
          <w:sz w:val="20"/>
          <w:szCs w:val="20"/>
        </w:rPr>
        <w:t xml:space="preserve">Odbor statistiky trhu práce a rovných příležitostí. 2022. </w:t>
      </w:r>
      <w:r w:rsidRPr="004D56D1">
        <w:rPr>
          <w:rFonts w:ascii="Arial Narrow" w:hAnsi="Arial Narrow"/>
          <w:i/>
          <w:iCs/>
          <w:color w:val="000000" w:themeColor="text1"/>
          <w:sz w:val="20"/>
          <w:szCs w:val="20"/>
        </w:rPr>
        <w:t>Život cizinců v ČR</w:t>
      </w:r>
      <w:r w:rsidRPr="004D56D1">
        <w:rPr>
          <w:rFonts w:ascii="Arial Narrow" w:hAnsi="Arial Narrow"/>
          <w:color w:val="000000" w:themeColor="text1"/>
          <w:sz w:val="20"/>
          <w:szCs w:val="20"/>
        </w:rPr>
        <w:t>. Praha: Český statistický úřad.</w:t>
      </w:r>
    </w:p>
    <w:p w14:paraId="71735BD1" w14:textId="78DD384A" w:rsidR="004D56D1" w:rsidRDefault="004D56D1"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4D56D1">
        <w:rPr>
          <w:rFonts w:ascii="Arial Narrow" w:hAnsi="Arial Narrow"/>
          <w:color w:val="000000" w:themeColor="text1"/>
          <w:sz w:val="20"/>
          <w:szCs w:val="20"/>
        </w:rPr>
        <w:t xml:space="preserve">Rada Evropské unie. 2023. </w:t>
      </w:r>
      <w:r w:rsidRPr="004D56D1">
        <w:rPr>
          <w:rFonts w:ascii="Arial Narrow" w:hAnsi="Arial Narrow"/>
          <w:i/>
          <w:iCs/>
          <w:color w:val="000000" w:themeColor="text1"/>
          <w:sz w:val="20"/>
          <w:szCs w:val="20"/>
        </w:rPr>
        <w:t>Dočasná ochrana vysídlených osob poskytovaná EU</w:t>
      </w:r>
      <w:r w:rsidRPr="004D56D1">
        <w:rPr>
          <w:rFonts w:ascii="Arial Narrow" w:hAnsi="Arial Narrow"/>
          <w:color w:val="000000" w:themeColor="text1"/>
          <w:sz w:val="20"/>
          <w:szCs w:val="20"/>
        </w:rPr>
        <w:t xml:space="preserve">. Dostupné z: </w:t>
      </w:r>
      <w:hyperlink r:id="rId237" w:history="1">
        <w:r w:rsidRPr="004D56D1">
          <w:rPr>
            <w:rStyle w:val="Hypertextovodkaz"/>
            <w:rFonts w:ascii="Arial Narrow" w:hAnsi="Arial Narrow"/>
            <w:color w:val="000000" w:themeColor="text1"/>
            <w:sz w:val="20"/>
            <w:szCs w:val="20"/>
          </w:rPr>
          <w:t>https://www.consilium.europa.eu/cs/infographics/temporary-protection-displaced-persons/</w:t>
        </w:r>
      </w:hyperlink>
      <w:r w:rsidRPr="004D56D1">
        <w:rPr>
          <w:rFonts w:ascii="Arial Narrow" w:hAnsi="Arial Narrow"/>
          <w:color w:val="000000" w:themeColor="text1"/>
          <w:sz w:val="20"/>
          <w:szCs w:val="20"/>
        </w:rPr>
        <w:t xml:space="preserve">. </w:t>
      </w:r>
    </w:p>
    <w:p w14:paraId="7273CA4A" w14:textId="7043BB3F"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Směrnice Evropského parlamentu a Rady Evropské unie č. 2008/104 ze dne 19. listopadu 2009 o agenturním zaměstnávání. Citováno dne 20. 2. 2022. Dostupné z: </w:t>
      </w:r>
      <w:hyperlink r:id="rId238" w:history="1">
        <w:r w:rsidRPr="008C0ED6">
          <w:rPr>
            <w:rStyle w:val="Hypertextovodkaz"/>
            <w:rFonts w:ascii="Arial Narrow" w:hAnsi="Arial Narrow"/>
            <w:color w:val="000000" w:themeColor="text1"/>
            <w:sz w:val="20"/>
            <w:szCs w:val="20"/>
          </w:rPr>
          <w:t>https://eur-lex.europa.eu/legal-content/CS/TXT/PDF/?uri=CELEX:32008L0104&amp;from=PL</w:t>
        </w:r>
      </w:hyperlink>
      <w:r w:rsidRPr="008C0ED6">
        <w:rPr>
          <w:rFonts w:ascii="Arial Narrow" w:hAnsi="Arial Narrow"/>
          <w:color w:val="000000" w:themeColor="text1"/>
          <w:sz w:val="20"/>
          <w:szCs w:val="20"/>
        </w:rPr>
        <w:t xml:space="preserve"> </w:t>
      </w:r>
    </w:p>
    <w:p w14:paraId="35B85755" w14:textId="77777777" w:rsidR="007A31EF" w:rsidRPr="008C0ED6" w:rsidRDefault="007A31EF" w:rsidP="007A31EF">
      <w:pPr>
        <w:pStyle w:val="Odstavecseseznamem"/>
        <w:numPr>
          <w:ilvl w:val="0"/>
          <w:numId w:val="25"/>
        </w:numPr>
        <w:spacing w:line="276" w:lineRule="auto"/>
        <w:ind w:left="426" w:hanging="357"/>
        <w:rPr>
          <w:rFonts w:ascii="Arial Narrow" w:hAnsi="Arial Narrow"/>
          <w:color w:val="000000" w:themeColor="text1"/>
          <w:sz w:val="20"/>
          <w:szCs w:val="20"/>
        </w:rPr>
      </w:pPr>
      <w:r w:rsidRPr="008C0ED6">
        <w:rPr>
          <w:rFonts w:ascii="Arial Narrow" w:hAnsi="Arial Narrow"/>
          <w:color w:val="000000" w:themeColor="text1"/>
          <w:sz w:val="20"/>
          <w:szCs w:val="20"/>
        </w:rPr>
        <w:t xml:space="preserve">Státní úřad inspekce práce. 2022. Roční souhrnná zpráva o výsledcích kontrolních akcí Státního úřadu inspekce práce za rok 2021. Dostupné z: </w:t>
      </w:r>
      <w:hyperlink r:id="rId239" w:history="1">
        <w:r w:rsidRPr="008C0ED6">
          <w:rPr>
            <w:rStyle w:val="Hypertextovodkaz"/>
            <w:rFonts w:ascii="Arial Narrow" w:hAnsi="Arial Narrow"/>
            <w:color w:val="000000" w:themeColor="text1"/>
            <w:sz w:val="20"/>
            <w:szCs w:val="20"/>
          </w:rPr>
          <w:t>https://www.suip.cz/o-vysledcich-kontrolnich-akci</w:t>
        </w:r>
      </w:hyperlink>
      <w:r w:rsidRPr="008C0ED6">
        <w:rPr>
          <w:rFonts w:ascii="Arial Narrow" w:hAnsi="Arial Narrow"/>
          <w:color w:val="000000" w:themeColor="text1"/>
          <w:sz w:val="20"/>
          <w:szCs w:val="20"/>
        </w:rPr>
        <w:t xml:space="preserve"> </w:t>
      </w:r>
    </w:p>
    <w:p w14:paraId="0493D0A7" w14:textId="7A0A6A2B" w:rsidR="007A31EF" w:rsidRDefault="007A31EF"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7A31EF">
        <w:rPr>
          <w:rFonts w:ascii="Arial Narrow" w:hAnsi="Arial Narrow"/>
          <w:color w:val="000000" w:themeColor="text1"/>
          <w:sz w:val="20"/>
          <w:szCs w:val="20"/>
        </w:rPr>
        <w:t xml:space="preserve">Státní úřad inspekce práce. 2021. Roční souhrnná zpráva o výsledcích kontrolních akcí za rok 2021. Citováno dne 4. 4. 2023. Dostupné z: </w:t>
      </w:r>
      <w:hyperlink r:id="rId240" w:history="1">
        <w:r w:rsidRPr="007A31EF">
          <w:rPr>
            <w:rStyle w:val="Hypertextovodkaz"/>
            <w:rFonts w:ascii="Arial Narrow" w:hAnsi="Arial Narrow"/>
            <w:color w:val="auto"/>
            <w:sz w:val="20"/>
            <w:szCs w:val="20"/>
          </w:rPr>
          <w:t>https://www.suip.cz/documents/20142/43684/S%C3%9AIP+souhrnn%C3%A1+zpr%C3%A1va+o+v%C3%BDsledc%C3%ADch+kontroln%C3%ADch+akc%C3%AD+za+rok+2021.pdf/2e675a7e-a0e3-cb55-7409-956628795378</w:t>
        </w:r>
      </w:hyperlink>
      <w:r w:rsidRPr="007A31EF">
        <w:rPr>
          <w:rFonts w:ascii="Arial Narrow" w:hAnsi="Arial Narrow"/>
          <w:sz w:val="20"/>
          <w:szCs w:val="20"/>
        </w:rPr>
        <w:t xml:space="preserve">. </w:t>
      </w:r>
    </w:p>
    <w:p w14:paraId="75282F45" w14:textId="10C683E2" w:rsidR="007A31EF" w:rsidRDefault="007A31EF"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7A31EF">
        <w:rPr>
          <w:rFonts w:ascii="Arial Narrow" w:hAnsi="Arial Narrow"/>
          <w:color w:val="000000" w:themeColor="text1"/>
          <w:sz w:val="20"/>
          <w:szCs w:val="20"/>
        </w:rPr>
        <w:t xml:space="preserve">Šanda, R., T. </w:t>
      </w:r>
      <w:proofErr w:type="spellStart"/>
      <w:r w:rsidRPr="007A31EF">
        <w:rPr>
          <w:rFonts w:ascii="Arial Narrow" w:hAnsi="Arial Narrow"/>
          <w:color w:val="000000" w:themeColor="text1"/>
          <w:sz w:val="20"/>
          <w:szCs w:val="20"/>
        </w:rPr>
        <w:t>Štyglerová</w:t>
      </w:r>
      <w:proofErr w:type="spellEnd"/>
      <w:r w:rsidRPr="007A31EF">
        <w:rPr>
          <w:rFonts w:ascii="Arial Narrow" w:hAnsi="Arial Narrow"/>
          <w:color w:val="000000" w:themeColor="text1"/>
          <w:sz w:val="20"/>
          <w:szCs w:val="20"/>
        </w:rPr>
        <w:t>. 2022. Proč je nás po sčítání méně. In Statistika a my: Magazín Českého statistického úřadu. Dostupné z: https://www.statistikaamy.cz/2022/08/18/proc-je-nas-po-scitani-mene.</w:t>
      </w:r>
      <w:r>
        <w:rPr>
          <w:rFonts w:ascii="Arial Narrow" w:hAnsi="Arial Narrow"/>
          <w:color w:val="000000" w:themeColor="text1"/>
          <w:sz w:val="20"/>
          <w:szCs w:val="20"/>
        </w:rPr>
        <w:t xml:space="preserve"> </w:t>
      </w:r>
    </w:p>
    <w:p w14:paraId="5F245D0F" w14:textId="0791885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ŠUBRT B. 2008. </w:t>
      </w:r>
      <w:r w:rsidRPr="008C0ED6">
        <w:rPr>
          <w:rFonts w:ascii="Arial Narrow" w:hAnsi="Arial Narrow"/>
          <w:i/>
          <w:iCs/>
          <w:color w:val="000000" w:themeColor="text1"/>
          <w:sz w:val="20"/>
          <w:szCs w:val="20"/>
        </w:rPr>
        <w:t>Agenturní zaměstnávání. Stav a problémy v širších souvislostech</w:t>
      </w:r>
      <w:r w:rsidRPr="008C0ED6">
        <w:rPr>
          <w:rFonts w:ascii="Arial Narrow" w:hAnsi="Arial Narrow"/>
          <w:color w:val="000000" w:themeColor="text1"/>
          <w:sz w:val="20"/>
          <w:szCs w:val="20"/>
        </w:rPr>
        <w:t>. Roč. 56, Číslo 4.</w:t>
      </w:r>
    </w:p>
    <w:p w14:paraId="1113031C"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Úmluva č. 181 o soukromých agenturách práce. Citováno dne 20. 2. 2022. Dostupné z:  </w:t>
      </w:r>
      <w:hyperlink r:id="rId241" w:history="1">
        <w:r w:rsidRPr="008C0ED6">
          <w:rPr>
            <w:rStyle w:val="Hypertextovodkaz"/>
            <w:rFonts w:ascii="Arial Narrow" w:hAnsi="Arial Narrow"/>
            <w:color w:val="000000" w:themeColor="text1"/>
            <w:sz w:val="20"/>
            <w:szCs w:val="20"/>
          </w:rPr>
          <w:t>https://www.mpsv.cz/documents/20142/372805/181.pdf/5e9a7849-7960-f6eb-e663-40697cd76c94</w:t>
        </w:r>
      </w:hyperlink>
    </w:p>
    <w:p w14:paraId="57B196D4" w14:textId="07D28121" w:rsidR="004D56D1" w:rsidRDefault="004D56D1"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4D56D1">
        <w:rPr>
          <w:rFonts w:ascii="Arial Narrow" w:hAnsi="Arial Narrow"/>
          <w:color w:val="000000" w:themeColor="text1"/>
          <w:sz w:val="20"/>
          <w:szCs w:val="20"/>
        </w:rPr>
        <w:lastRenderedPageBreak/>
        <w:t xml:space="preserve">UNHCR. 2023. </w:t>
      </w:r>
      <w:proofErr w:type="spellStart"/>
      <w:r w:rsidRPr="004D56D1">
        <w:rPr>
          <w:rFonts w:ascii="Arial Narrow" w:hAnsi="Arial Narrow"/>
          <w:i/>
          <w:iCs/>
          <w:color w:val="000000" w:themeColor="text1"/>
          <w:sz w:val="20"/>
          <w:szCs w:val="20"/>
        </w:rPr>
        <w:t>Ukraine</w:t>
      </w:r>
      <w:proofErr w:type="spellEnd"/>
      <w:r w:rsidRPr="004D56D1">
        <w:rPr>
          <w:rFonts w:ascii="Arial Narrow" w:hAnsi="Arial Narrow"/>
          <w:i/>
          <w:iCs/>
          <w:color w:val="000000" w:themeColor="text1"/>
          <w:sz w:val="20"/>
          <w:szCs w:val="20"/>
        </w:rPr>
        <w:t xml:space="preserve"> </w:t>
      </w:r>
      <w:proofErr w:type="spellStart"/>
      <w:r w:rsidRPr="004D56D1">
        <w:rPr>
          <w:rFonts w:ascii="Arial Narrow" w:hAnsi="Arial Narrow"/>
          <w:i/>
          <w:iCs/>
          <w:color w:val="000000" w:themeColor="text1"/>
          <w:sz w:val="20"/>
          <w:szCs w:val="20"/>
        </w:rPr>
        <w:t>Refugee</w:t>
      </w:r>
      <w:proofErr w:type="spellEnd"/>
      <w:r w:rsidRPr="004D56D1">
        <w:rPr>
          <w:rFonts w:ascii="Arial Narrow" w:hAnsi="Arial Narrow"/>
          <w:i/>
          <w:iCs/>
          <w:color w:val="000000" w:themeColor="text1"/>
          <w:sz w:val="20"/>
          <w:szCs w:val="20"/>
        </w:rPr>
        <w:t xml:space="preserve"> </w:t>
      </w:r>
      <w:proofErr w:type="spellStart"/>
      <w:r w:rsidRPr="004D56D1">
        <w:rPr>
          <w:rFonts w:ascii="Arial Narrow" w:hAnsi="Arial Narrow"/>
          <w:i/>
          <w:iCs/>
          <w:color w:val="000000" w:themeColor="text1"/>
          <w:sz w:val="20"/>
          <w:szCs w:val="20"/>
        </w:rPr>
        <w:t>Situation</w:t>
      </w:r>
      <w:proofErr w:type="spellEnd"/>
      <w:r w:rsidRPr="004D56D1">
        <w:rPr>
          <w:rFonts w:ascii="Arial Narrow" w:hAnsi="Arial Narrow"/>
          <w:color w:val="000000" w:themeColor="text1"/>
          <w:sz w:val="20"/>
          <w:szCs w:val="20"/>
        </w:rPr>
        <w:t xml:space="preserve">. Dostupné z: </w:t>
      </w:r>
      <w:hyperlink r:id="rId242" w:history="1">
        <w:r w:rsidRPr="004D56D1">
          <w:rPr>
            <w:rStyle w:val="Hypertextovodkaz"/>
            <w:rFonts w:ascii="Arial Narrow" w:hAnsi="Arial Narrow"/>
            <w:color w:val="000000" w:themeColor="text1"/>
            <w:sz w:val="20"/>
            <w:szCs w:val="20"/>
          </w:rPr>
          <w:t>https://data2.unhcr.org/en/situations/ukraine</w:t>
        </w:r>
      </w:hyperlink>
      <w:r w:rsidRPr="004D56D1">
        <w:rPr>
          <w:rFonts w:ascii="Arial Narrow" w:hAnsi="Arial Narrow"/>
          <w:color w:val="000000" w:themeColor="text1"/>
          <w:sz w:val="20"/>
          <w:szCs w:val="20"/>
        </w:rPr>
        <w:t xml:space="preserve">. </w:t>
      </w:r>
    </w:p>
    <w:p w14:paraId="216B09EA" w14:textId="7B64738B"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Úřad práce České republiky, Krajská pobočka v Brně. 2020</w:t>
      </w:r>
      <w:r w:rsidRPr="008C0ED6">
        <w:rPr>
          <w:rFonts w:ascii="Arial Narrow" w:hAnsi="Arial Narrow"/>
          <w:i/>
          <w:iCs/>
          <w:color w:val="000000" w:themeColor="text1"/>
          <w:sz w:val="20"/>
          <w:szCs w:val="20"/>
        </w:rPr>
        <w:t>. Zaslaná data týkající se zaměstnanosti osob s jinou než českou státní příslušností za vybrané obce, ORP a Jihomoravský kraj.</w:t>
      </w:r>
    </w:p>
    <w:p w14:paraId="22680717"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r w:rsidRPr="008C0ED6">
        <w:rPr>
          <w:rFonts w:ascii="Arial Narrow" w:hAnsi="Arial Narrow"/>
          <w:color w:val="000000" w:themeColor="text1"/>
          <w:sz w:val="20"/>
          <w:szCs w:val="20"/>
        </w:rPr>
        <w:t xml:space="preserve">Úřad práce České republiky, Krajská pobočka v Brně. 2020. </w:t>
      </w:r>
      <w:r w:rsidRPr="008C0ED6">
        <w:rPr>
          <w:rFonts w:ascii="Arial Narrow" w:hAnsi="Arial Narrow"/>
          <w:i/>
          <w:iCs/>
          <w:color w:val="000000" w:themeColor="text1"/>
          <w:sz w:val="20"/>
          <w:szCs w:val="20"/>
        </w:rPr>
        <w:t>Zpráva o situaci na krajském trhu práce, o realizaci APZ v roce 2020 a strategie APZ pro rok 2021</w:t>
      </w:r>
      <w:r w:rsidRPr="008C0ED6">
        <w:rPr>
          <w:rFonts w:ascii="Arial Narrow" w:hAnsi="Arial Narrow"/>
          <w:color w:val="000000" w:themeColor="text1"/>
          <w:sz w:val="20"/>
          <w:szCs w:val="20"/>
        </w:rPr>
        <w:t xml:space="preserve">. Dostupné z: </w:t>
      </w:r>
      <w:hyperlink r:id="rId243" w:history="1">
        <w:r w:rsidRPr="008C0ED6">
          <w:rPr>
            <w:rStyle w:val="Hypertextovodkaz"/>
            <w:rFonts w:ascii="Arial Narrow" w:hAnsi="Arial Narrow"/>
            <w:color w:val="000000" w:themeColor="text1"/>
            <w:sz w:val="20"/>
            <w:szCs w:val="20"/>
          </w:rPr>
          <w:t>https://www.uradprace.cz/documents/37855/925019/Rocni_JMK_2020.pdf/645426a3-0c23-5e53-ead8-76b63ebc9ffa</w:t>
        </w:r>
      </w:hyperlink>
      <w:r w:rsidRPr="008C0ED6">
        <w:rPr>
          <w:rFonts w:ascii="Arial Narrow" w:hAnsi="Arial Narrow"/>
          <w:color w:val="000000" w:themeColor="text1"/>
          <w:sz w:val="20"/>
          <w:szCs w:val="20"/>
        </w:rPr>
        <w:t xml:space="preserve"> </w:t>
      </w:r>
    </w:p>
    <w:p w14:paraId="0BE4AFDC" w14:textId="77777777" w:rsidR="008C0ED6" w:rsidRPr="008C0ED6" w:rsidRDefault="008C0ED6" w:rsidP="008C0ED6">
      <w:pPr>
        <w:pStyle w:val="Odstavecseseznamem"/>
        <w:numPr>
          <w:ilvl w:val="0"/>
          <w:numId w:val="25"/>
        </w:numPr>
        <w:spacing w:line="276" w:lineRule="auto"/>
        <w:ind w:left="426" w:hanging="357"/>
        <w:rPr>
          <w:rFonts w:ascii="Arial Narrow" w:hAnsi="Arial Narrow"/>
          <w:color w:val="000000" w:themeColor="text1"/>
          <w:sz w:val="20"/>
          <w:szCs w:val="20"/>
        </w:rPr>
      </w:pPr>
      <w:r w:rsidRPr="008C0ED6">
        <w:rPr>
          <w:rFonts w:ascii="Arial Narrow" w:hAnsi="Arial Narrow"/>
          <w:color w:val="000000" w:themeColor="text1"/>
          <w:sz w:val="20"/>
          <w:szCs w:val="20"/>
        </w:rPr>
        <w:t xml:space="preserve">Úřad práce České republiky, Krajská pobočka v Brně. 2022. Zpráva o situaci na krajském trhu práce, o realizaci APZ v roce 2021 a strategie APZ pro rok 2022. Dostupné z: </w:t>
      </w:r>
      <w:hyperlink r:id="rId244" w:history="1">
        <w:r w:rsidRPr="008C0ED6">
          <w:rPr>
            <w:rStyle w:val="Hypertextovodkaz"/>
            <w:rFonts w:ascii="Arial Narrow" w:hAnsi="Arial Narrow"/>
            <w:color w:val="000000" w:themeColor="text1"/>
            <w:sz w:val="20"/>
            <w:szCs w:val="20"/>
          </w:rPr>
          <w:t>https://www.uradprace.cz/documents/37855/914384/Rocni_ABK_2021.pdf/ed637bfc-a11d-e6d8-180d-5aa246207237</w:t>
        </w:r>
      </w:hyperlink>
      <w:r w:rsidRPr="008C0ED6">
        <w:rPr>
          <w:rFonts w:ascii="Arial Narrow" w:hAnsi="Arial Narrow"/>
          <w:color w:val="000000" w:themeColor="text1"/>
          <w:sz w:val="20"/>
          <w:szCs w:val="20"/>
        </w:rPr>
        <w:t xml:space="preserve"> </w:t>
      </w:r>
    </w:p>
    <w:p w14:paraId="5F3B4EBB" w14:textId="77777777" w:rsidR="008C0ED6" w:rsidRPr="008C0ED6" w:rsidRDefault="008C0ED6" w:rsidP="008C0ED6">
      <w:pPr>
        <w:pStyle w:val="Odstavecseseznamem"/>
        <w:numPr>
          <w:ilvl w:val="0"/>
          <w:numId w:val="25"/>
        </w:numPr>
        <w:spacing w:line="276" w:lineRule="auto"/>
        <w:ind w:left="426" w:hanging="357"/>
        <w:jc w:val="both"/>
        <w:rPr>
          <w:rFonts w:ascii="Arial Narrow" w:hAnsi="Arial Narrow"/>
          <w:color w:val="000000" w:themeColor="text1"/>
          <w:sz w:val="20"/>
          <w:szCs w:val="20"/>
        </w:rPr>
      </w:pPr>
      <w:bookmarkStart w:id="966" w:name="_Hlk134698458"/>
      <w:r w:rsidRPr="008C0ED6">
        <w:rPr>
          <w:rFonts w:ascii="Arial Narrow" w:hAnsi="Arial Narrow"/>
          <w:color w:val="000000" w:themeColor="text1"/>
          <w:sz w:val="20"/>
          <w:szCs w:val="20"/>
        </w:rPr>
        <w:t xml:space="preserve">Úřad práce České republiky, Krajská pobočka v Brně. 2023. Zpráva o situaci na krajském trhu práce, o realizaci APZ v roce 2022 a strategie APZ pro rok 2023. Dostupné z: </w:t>
      </w:r>
      <w:hyperlink r:id="rId245" w:history="1">
        <w:r w:rsidRPr="008C0ED6">
          <w:rPr>
            <w:rStyle w:val="Hypertextovodkaz"/>
            <w:rFonts w:ascii="Arial Narrow" w:hAnsi="Arial Narrow"/>
            <w:color w:val="000000" w:themeColor="text1"/>
            <w:sz w:val="20"/>
            <w:szCs w:val="20"/>
          </w:rPr>
          <w:t>https://www.uradprace.cz/documents/37855/919002/Rocni_ULK_2022.pdf/a2f35868-059d-3c09-fea3-2ac2766a62ca</w:t>
        </w:r>
      </w:hyperlink>
    </w:p>
    <w:bookmarkEnd w:id="966"/>
    <w:p w14:paraId="67DD02DB" w14:textId="24C3767C" w:rsidR="00E808D5" w:rsidRDefault="00E808D5" w:rsidP="00E808D5">
      <w:pPr>
        <w:rPr>
          <w:lang w:eastAsia="cs-CZ"/>
        </w:rPr>
      </w:pPr>
    </w:p>
    <w:p w14:paraId="7CDE4CF8" w14:textId="773BD3C8" w:rsidR="00E808D5" w:rsidRDefault="00BD70A9" w:rsidP="00BD70A9">
      <w:pPr>
        <w:spacing w:after="160" w:line="259" w:lineRule="auto"/>
        <w:rPr>
          <w:lang w:eastAsia="cs-CZ"/>
        </w:rPr>
      </w:pPr>
      <w:r>
        <w:rPr>
          <w:lang w:eastAsia="cs-CZ"/>
        </w:rPr>
        <w:br w:type="page"/>
      </w:r>
    </w:p>
    <w:p w14:paraId="792A28FC" w14:textId="246E620F" w:rsidR="002C0D55" w:rsidRPr="00CE357F" w:rsidRDefault="002C0D55" w:rsidP="00B32B4F">
      <w:pPr>
        <w:pStyle w:val="Nadpis1"/>
        <w:ind w:left="426"/>
        <w:rPr>
          <w:rFonts w:ascii="Arial Narrow" w:hAnsi="Arial Narrow"/>
          <w:color w:val="002060"/>
          <w:sz w:val="36"/>
          <w:szCs w:val="36"/>
        </w:rPr>
      </w:pPr>
      <w:bookmarkStart w:id="967" w:name="_Toc136876171"/>
      <w:r w:rsidRPr="00CE357F">
        <w:rPr>
          <w:rFonts w:ascii="Arial Narrow" w:hAnsi="Arial Narrow"/>
          <w:color w:val="002060"/>
          <w:sz w:val="36"/>
          <w:szCs w:val="36"/>
        </w:rPr>
        <w:lastRenderedPageBreak/>
        <w:t>SEZNAM GRAFŮ</w:t>
      </w:r>
      <w:bookmarkEnd w:id="967"/>
    </w:p>
    <w:p w14:paraId="3DE1CB01" w14:textId="3C2BD8D5" w:rsidR="00F1264F" w:rsidRPr="00CE357F" w:rsidRDefault="00F1264F" w:rsidP="00B21467">
      <w:pPr>
        <w:rPr>
          <w:rFonts w:ascii="Arial Narrow" w:hAnsi="Arial Narrow"/>
        </w:rPr>
      </w:pPr>
    </w:p>
    <w:p w14:paraId="6386F374" w14:textId="5BA4C47B" w:rsidR="005F4F07" w:rsidRPr="005F4F07" w:rsidRDefault="002C0D55"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r w:rsidRPr="005F4F07">
        <w:rPr>
          <w:sz w:val="18"/>
          <w:szCs w:val="18"/>
        </w:rPr>
        <w:fldChar w:fldCharType="begin"/>
      </w:r>
      <w:r w:rsidRPr="005F4F07">
        <w:rPr>
          <w:sz w:val="18"/>
          <w:szCs w:val="18"/>
        </w:rPr>
        <w:instrText xml:space="preserve"> TOC \h \z \c "Graf" </w:instrText>
      </w:r>
      <w:r w:rsidRPr="005F4F07">
        <w:rPr>
          <w:sz w:val="18"/>
          <w:szCs w:val="18"/>
        </w:rPr>
        <w:fldChar w:fldCharType="separate"/>
      </w:r>
      <w:hyperlink w:anchor="_Toc136428845" w:history="1">
        <w:r w:rsidR="005F4F07" w:rsidRPr="005F4F07">
          <w:rPr>
            <w:rStyle w:val="Hypertextovodkaz"/>
            <w:noProof/>
            <w:sz w:val="18"/>
            <w:szCs w:val="18"/>
          </w:rPr>
          <w:t>Graf 1: Podíl osob s jinou než českou státní příslušností s pobytem nad 12 měsíců na obyvatelstvu ČR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_Toc136428845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w:t>
        </w:r>
        <w:r w:rsidR="005F4F07" w:rsidRPr="005F4F07">
          <w:rPr>
            <w:noProof/>
            <w:webHidden/>
            <w:sz w:val="18"/>
            <w:szCs w:val="18"/>
          </w:rPr>
          <w:fldChar w:fldCharType="end"/>
        </w:r>
      </w:hyperlink>
    </w:p>
    <w:p w14:paraId="4B369842" w14:textId="5546AEA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46" w:history="1">
        <w:r w:rsidR="005F4F07" w:rsidRPr="005F4F07">
          <w:rPr>
            <w:rStyle w:val="Hypertextovodkaz"/>
            <w:noProof/>
            <w:sz w:val="18"/>
            <w:szCs w:val="18"/>
          </w:rPr>
          <w:t>Graf 2: Pobyt osob s jinou než českou státní příslušností na území ČR v jednotlivých čtvrtletích roku 2020, 2021 a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_Toc136428846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w:t>
        </w:r>
        <w:r w:rsidR="005F4F07" w:rsidRPr="005F4F07">
          <w:rPr>
            <w:noProof/>
            <w:webHidden/>
            <w:sz w:val="18"/>
            <w:szCs w:val="18"/>
          </w:rPr>
          <w:fldChar w:fldCharType="end"/>
        </w:r>
      </w:hyperlink>
    </w:p>
    <w:p w14:paraId="087C0421" w14:textId="3FFB95E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47" w:history="1">
        <w:r w:rsidR="005F4F07" w:rsidRPr="005F4F07">
          <w:rPr>
            <w:rStyle w:val="Hypertextovodkaz"/>
            <w:noProof/>
            <w:sz w:val="18"/>
            <w:szCs w:val="18"/>
          </w:rPr>
          <w:t>Graf 3: Podíl osob s jinou státní příslušností na obyvatelstvu ve vybraných evropských státech k 1. 1.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_Toc136428847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w:t>
        </w:r>
        <w:r w:rsidR="005F4F07" w:rsidRPr="005F4F07">
          <w:rPr>
            <w:noProof/>
            <w:webHidden/>
            <w:sz w:val="18"/>
            <w:szCs w:val="18"/>
          </w:rPr>
          <w:fldChar w:fldCharType="end"/>
        </w:r>
      </w:hyperlink>
    </w:p>
    <w:p w14:paraId="18B72BE6" w14:textId="67731D3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48" w:history="1">
        <w:r w:rsidR="005F4F07" w:rsidRPr="005F4F07">
          <w:rPr>
            <w:rStyle w:val="Hypertextovodkaz"/>
            <w:noProof/>
            <w:sz w:val="18"/>
            <w:szCs w:val="18"/>
          </w:rPr>
          <w:t>Graf 4: Územní srovnání rozložení osob s jinou než českou státní příslušností podle krajů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_Toc136428848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w:t>
        </w:r>
        <w:r w:rsidR="005F4F07" w:rsidRPr="005F4F07">
          <w:rPr>
            <w:noProof/>
            <w:webHidden/>
            <w:sz w:val="18"/>
            <w:szCs w:val="18"/>
          </w:rPr>
          <w:fldChar w:fldCharType="end"/>
        </w:r>
      </w:hyperlink>
    </w:p>
    <w:p w14:paraId="461BDC17" w14:textId="6DDEB1A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49" w:history="1">
        <w:r w:rsidR="005F4F07" w:rsidRPr="005F4F07">
          <w:rPr>
            <w:rStyle w:val="Hypertextovodkaz"/>
            <w:noProof/>
            <w:sz w:val="18"/>
            <w:szCs w:val="18"/>
          </w:rPr>
          <w:t>Graf 5: Srovnání počtu osob s jinou než českou státní příslušností v krajích mezi lety 2020 a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_Toc136428849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w:t>
        </w:r>
        <w:r w:rsidR="005F4F07" w:rsidRPr="005F4F07">
          <w:rPr>
            <w:noProof/>
            <w:webHidden/>
            <w:sz w:val="18"/>
            <w:szCs w:val="18"/>
          </w:rPr>
          <w:fldChar w:fldCharType="end"/>
        </w:r>
      </w:hyperlink>
    </w:p>
    <w:p w14:paraId="35D72769" w14:textId="027EAA55"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0" w:history="1">
        <w:r w:rsidR="005F4F07" w:rsidRPr="005F4F07">
          <w:rPr>
            <w:rStyle w:val="Hypertextovodkaz"/>
            <w:noProof/>
            <w:sz w:val="18"/>
            <w:szCs w:val="18"/>
          </w:rPr>
          <w:t>Graf 6: Podíl osob s jinou než českou státní příslušností v JMK na celkovém počtu obyvatel</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w:t>
        </w:r>
        <w:r w:rsidR="005F4F07" w:rsidRPr="005F4F07">
          <w:rPr>
            <w:noProof/>
            <w:webHidden/>
            <w:sz w:val="18"/>
            <w:szCs w:val="18"/>
          </w:rPr>
          <w:fldChar w:fldCharType="end"/>
        </w:r>
      </w:hyperlink>
    </w:p>
    <w:p w14:paraId="1A0FC4CF" w14:textId="4CB7570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1" w:history="1">
        <w:r w:rsidR="005F4F07" w:rsidRPr="005F4F07">
          <w:rPr>
            <w:rStyle w:val="Hypertextovodkaz"/>
            <w:noProof/>
            <w:sz w:val="18"/>
            <w:szCs w:val="18"/>
          </w:rPr>
          <w:t>Graf 7: Podíl osob s jinou než českou státní příslušností pocházejících ze třetích zemí v České republice na celkovém počtu těchto osob (vždy k 31. 12.)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w:t>
        </w:r>
        <w:r w:rsidR="005F4F07" w:rsidRPr="005F4F07">
          <w:rPr>
            <w:noProof/>
            <w:webHidden/>
            <w:sz w:val="18"/>
            <w:szCs w:val="18"/>
          </w:rPr>
          <w:fldChar w:fldCharType="end"/>
        </w:r>
      </w:hyperlink>
    </w:p>
    <w:p w14:paraId="69FDEE9F" w14:textId="5611DF8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2" w:history="1">
        <w:r w:rsidR="005F4F07" w:rsidRPr="005F4F07">
          <w:rPr>
            <w:rStyle w:val="Hypertextovodkaz"/>
            <w:noProof/>
            <w:sz w:val="18"/>
            <w:szCs w:val="18"/>
          </w:rPr>
          <w:t>Graf 8: Podíl osob s jinou než českou státní příslušností pocházejících ze třetích zemí v JMK na celkovém počtu obyvatel</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w:t>
        </w:r>
        <w:r w:rsidR="005F4F07" w:rsidRPr="005F4F07">
          <w:rPr>
            <w:noProof/>
            <w:webHidden/>
            <w:sz w:val="18"/>
            <w:szCs w:val="18"/>
          </w:rPr>
          <w:fldChar w:fldCharType="end"/>
        </w:r>
      </w:hyperlink>
    </w:p>
    <w:p w14:paraId="4DB83728" w14:textId="7AFE2B9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3" w:history="1">
        <w:r w:rsidR="005F4F07" w:rsidRPr="005F4F07">
          <w:rPr>
            <w:rStyle w:val="Hypertextovodkaz"/>
            <w:noProof/>
            <w:sz w:val="18"/>
            <w:szCs w:val="18"/>
          </w:rPr>
          <w:t>Graf 9: Podíl nejčastějších 10 státních příslušností na celkovém počtu osob s jinou než českou státní příslušností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20</w:t>
        </w:r>
        <w:r w:rsidR="005F4F07" w:rsidRPr="005F4F07">
          <w:rPr>
            <w:noProof/>
            <w:webHidden/>
            <w:sz w:val="18"/>
            <w:szCs w:val="18"/>
          </w:rPr>
          <w:fldChar w:fldCharType="end"/>
        </w:r>
      </w:hyperlink>
    </w:p>
    <w:p w14:paraId="2F28DADD" w14:textId="4A40105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4" w:history="1">
        <w:r w:rsidR="005F4F07" w:rsidRPr="005F4F07">
          <w:rPr>
            <w:rStyle w:val="Hypertextovodkaz"/>
            <w:noProof/>
            <w:sz w:val="18"/>
            <w:szCs w:val="18"/>
          </w:rPr>
          <w:t>Graf 10: Občané EU žijící v České republice dle národnosti a pohlaví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21</w:t>
        </w:r>
        <w:r w:rsidR="005F4F07" w:rsidRPr="005F4F07">
          <w:rPr>
            <w:noProof/>
            <w:webHidden/>
            <w:sz w:val="18"/>
            <w:szCs w:val="18"/>
          </w:rPr>
          <w:fldChar w:fldCharType="end"/>
        </w:r>
      </w:hyperlink>
    </w:p>
    <w:p w14:paraId="4D612840" w14:textId="50DFFCA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5" w:history="1">
        <w:r w:rsidR="005F4F07" w:rsidRPr="005F4F07">
          <w:rPr>
            <w:rStyle w:val="Hypertextovodkaz"/>
            <w:noProof/>
            <w:sz w:val="18"/>
            <w:szCs w:val="18"/>
          </w:rPr>
          <w:t>Graf 11: Občané třetích zemí žijící v České republice dle národnosti a pohlaví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21</w:t>
        </w:r>
        <w:r w:rsidR="005F4F07" w:rsidRPr="005F4F07">
          <w:rPr>
            <w:noProof/>
            <w:webHidden/>
            <w:sz w:val="18"/>
            <w:szCs w:val="18"/>
          </w:rPr>
          <w:fldChar w:fldCharType="end"/>
        </w:r>
      </w:hyperlink>
    </w:p>
    <w:p w14:paraId="23520288" w14:textId="66F370E3"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6" w:history="1">
        <w:r w:rsidR="005F4F07" w:rsidRPr="005F4F07">
          <w:rPr>
            <w:rStyle w:val="Hypertextovodkaz"/>
            <w:noProof/>
            <w:sz w:val="18"/>
            <w:szCs w:val="18"/>
          </w:rPr>
          <w:t>Graf 12: Osoby s jinou než českou státní příslušností v Jihomoravském kraji k 31. 12. 2022 – 30 nejčastějších zemí původu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22</w:t>
        </w:r>
        <w:r w:rsidR="005F4F07" w:rsidRPr="005F4F07">
          <w:rPr>
            <w:noProof/>
            <w:webHidden/>
            <w:sz w:val="18"/>
            <w:szCs w:val="18"/>
          </w:rPr>
          <w:fldChar w:fldCharType="end"/>
        </w:r>
      </w:hyperlink>
    </w:p>
    <w:p w14:paraId="1C37E8BC" w14:textId="787FE48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7" w:history="1">
        <w:r w:rsidR="005F4F07" w:rsidRPr="005F4F07">
          <w:rPr>
            <w:rStyle w:val="Hypertextovodkaz"/>
            <w:noProof/>
            <w:sz w:val="18"/>
            <w:szCs w:val="18"/>
          </w:rPr>
          <w:t>Graf 13: Podíl občanů Slovenska na celkovém počtu osob s jinou než českou státní příslušností v ČR a v JMK v letech 2010–2022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23</w:t>
        </w:r>
        <w:r w:rsidR="005F4F07" w:rsidRPr="005F4F07">
          <w:rPr>
            <w:noProof/>
            <w:webHidden/>
            <w:sz w:val="18"/>
            <w:szCs w:val="18"/>
          </w:rPr>
          <w:fldChar w:fldCharType="end"/>
        </w:r>
      </w:hyperlink>
    </w:p>
    <w:p w14:paraId="27E83928" w14:textId="6B866D1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8" w:history="1">
        <w:r w:rsidR="005F4F07" w:rsidRPr="005F4F07">
          <w:rPr>
            <w:rStyle w:val="Hypertextovodkaz"/>
            <w:noProof/>
            <w:sz w:val="18"/>
            <w:szCs w:val="18"/>
          </w:rPr>
          <w:t>Graf 14: Podíl občanů Ukrajiny na celkovém počtu osob s jinou než českou státní příslušností v ČR a v JMK v letech 2010–2022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25</w:t>
        </w:r>
        <w:r w:rsidR="005F4F07" w:rsidRPr="005F4F07">
          <w:rPr>
            <w:noProof/>
            <w:webHidden/>
            <w:sz w:val="18"/>
            <w:szCs w:val="18"/>
          </w:rPr>
          <w:fldChar w:fldCharType="end"/>
        </w:r>
      </w:hyperlink>
    </w:p>
    <w:p w14:paraId="12E58A9A" w14:textId="1D829A2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59" w:history="1">
        <w:r w:rsidR="005F4F07" w:rsidRPr="005F4F07">
          <w:rPr>
            <w:rStyle w:val="Hypertextovodkaz"/>
            <w:noProof/>
            <w:sz w:val="18"/>
            <w:szCs w:val="18"/>
          </w:rPr>
          <w:t>Graf 15: Podíl občanů Vietnamu na celkovém počtu osob s jinou než českou státní příslušností v ČR a v JMK v letech 2010–2022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_Toc136428859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27</w:t>
        </w:r>
        <w:r w:rsidR="005F4F07" w:rsidRPr="005F4F07">
          <w:rPr>
            <w:noProof/>
            <w:webHidden/>
            <w:sz w:val="18"/>
            <w:szCs w:val="18"/>
          </w:rPr>
          <w:fldChar w:fldCharType="end"/>
        </w:r>
      </w:hyperlink>
    </w:p>
    <w:p w14:paraId="0B02EBF9" w14:textId="2BF68D8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0" w:history="1">
        <w:r w:rsidR="005F4F07" w:rsidRPr="005F4F07">
          <w:rPr>
            <w:rStyle w:val="Hypertextovodkaz"/>
            <w:noProof/>
            <w:sz w:val="18"/>
            <w:szCs w:val="18"/>
          </w:rPr>
          <w:t>Graf 16: Podíl občanů Ruska na celkovém počtu osob s jinou než českou státní příslušností v ČR a v JMK v letech 2010–2022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29</w:t>
        </w:r>
        <w:r w:rsidR="005F4F07" w:rsidRPr="005F4F07">
          <w:rPr>
            <w:noProof/>
            <w:webHidden/>
            <w:sz w:val="18"/>
            <w:szCs w:val="18"/>
          </w:rPr>
          <w:fldChar w:fldCharType="end"/>
        </w:r>
      </w:hyperlink>
    </w:p>
    <w:p w14:paraId="0A236183" w14:textId="0A80B8D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1" w:history="1">
        <w:r w:rsidR="005F4F07" w:rsidRPr="005F4F07">
          <w:rPr>
            <w:rStyle w:val="Hypertextovodkaz"/>
            <w:noProof/>
            <w:sz w:val="18"/>
            <w:szCs w:val="18"/>
          </w:rPr>
          <w:t>Graf 17: Osoby s jinou než českou státní příslušností v České republice v letech podle pohlaví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31</w:t>
        </w:r>
        <w:r w:rsidR="005F4F07" w:rsidRPr="005F4F07">
          <w:rPr>
            <w:noProof/>
            <w:webHidden/>
            <w:sz w:val="18"/>
            <w:szCs w:val="18"/>
          </w:rPr>
          <w:fldChar w:fldCharType="end"/>
        </w:r>
      </w:hyperlink>
    </w:p>
    <w:p w14:paraId="0A609EF5" w14:textId="183C0FA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2" w:history="1">
        <w:r w:rsidR="005F4F07" w:rsidRPr="005F4F07">
          <w:rPr>
            <w:rStyle w:val="Hypertextovodkaz"/>
            <w:noProof/>
            <w:sz w:val="18"/>
            <w:szCs w:val="18"/>
          </w:rPr>
          <w:t>Graf 18: Osoby s jinou než českou státní příslušností v Jihomoravském kraji v letech podle pohlaví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32</w:t>
        </w:r>
        <w:r w:rsidR="005F4F07" w:rsidRPr="005F4F07">
          <w:rPr>
            <w:noProof/>
            <w:webHidden/>
            <w:sz w:val="18"/>
            <w:szCs w:val="18"/>
          </w:rPr>
          <w:fldChar w:fldCharType="end"/>
        </w:r>
      </w:hyperlink>
    </w:p>
    <w:p w14:paraId="37BED19B" w14:textId="167962F3"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3" w:history="1">
        <w:r w:rsidR="005F4F07" w:rsidRPr="005F4F07">
          <w:rPr>
            <w:rStyle w:val="Hypertextovodkaz"/>
            <w:noProof/>
            <w:sz w:val="18"/>
            <w:szCs w:val="18"/>
          </w:rPr>
          <w:t>Graf 19: Osoby s jinou než českou státní příslušností v ČR k 31. 12. 2021 podle věku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33</w:t>
        </w:r>
        <w:r w:rsidR="005F4F07" w:rsidRPr="005F4F07">
          <w:rPr>
            <w:noProof/>
            <w:webHidden/>
            <w:sz w:val="18"/>
            <w:szCs w:val="18"/>
          </w:rPr>
          <w:fldChar w:fldCharType="end"/>
        </w:r>
      </w:hyperlink>
    </w:p>
    <w:p w14:paraId="2E7BEE6B" w14:textId="547AEAA5"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4" w:history="1">
        <w:r w:rsidR="005F4F07" w:rsidRPr="005F4F07">
          <w:rPr>
            <w:rStyle w:val="Hypertextovodkaz"/>
            <w:noProof/>
            <w:sz w:val="18"/>
            <w:szCs w:val="18"/>
          </w:rPr>
          <w:t>Graf 20: Věková struktura osob s jinou než českou státní příslušností v jednotlivých letech</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34</w:t>
        </w:r>
        <w:r w:rsidR="005F4F07" w:rsidRPr="005F4F07">
          <w:rPr>
            <w:noProof/>
            <w:webHidden/>
            <w:sz w:val="18"/>
            <w:szCs w:val="18"/>
          </w:rPr>
          <w:fldChar w:fldCharType="end"/>
        </w:r>
      </w:hyperlink>
    </w:p>
    <w:p w14:paraId="637640CE" w14:textId="5686EC4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5" w:history="1">
        <w:r w:rsidR="005F4F07" w:rsidRPr="005F4F07">
          <w:rPr>
            <w:rStyle w:val="Hypertextovodkaz"/>
            <w:noProof/>
            <w:sz w:val="18"/>
            <w:szCs w:val="18"/>
          </w:rPr>
          <w:t>Graf 21: Vývoj podílu žen na celkovém počtu osob s jinou než českou státní příslušností podle věku v letech 2005-2021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35</w:t>
        </w:r>
        <w:r w:rsidR="005F4F07" w:rsidRPr="005F4F07">
          <w:rPr>
            <w:noProof/>
            <w:webHidden/>
            <w:sz w:val="18"/>
            <w:szCs w:val="18"/>
          </w:rPr>
          <w:fldChar w:fldCharType="end"/>
        </w:r>
      </w:hyperlink>
    </w:p>
    <w:p w14:paraId="4AA1190B" w14:textId="6EF7063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6" w:history="1">
        <w:r w:rsidR="005F4F07" w:rsidRPr="005F4F07">
          <w:rPr>
            <w:rStyle w:val="Hypertextovodkaz"/>
            <w:noProof/>
            <w:sz w:val="18"/>
            <w:szCs w:val="18"/>
          </w:rPr>
          <w:t>Graf 22: Vývoj podílu mužů na celkovém počtu osob s jinou než českou státní příslušností podle věku v letech 2005–2021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36</w:t>
        </w:r>
        <w:r w:rsidR="005F4F07" w:rsidRPr="005F4F07">
          <w:rPr>
            <w:noProof/>
            <w:webHidden/>
            <w:sz w:val="18"/>
            <w:szCs w:val="18"/>
          </w:rPr>
          <w:fldChar w:fldCharType="end"/>
        </w:r>
      </w:hyperlink>
    </w:p>
    <w:p w14:paraId="214A9EA7" w14:textId="6D2BEFA5"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7" w:history="1">
        <w:r w:rsidR="005F4F07" w:rsidRPr="005F4F07">
          <w:rPr>
            <w:rStyle w:val="Hypertextovodkaz"/>
            <w:noProof/>
            <w:sz w:val="18"/>
            <w:szCs w:val="18"/>
          </w:rPr>
          <w:t>Graf 23: Věková struktura osob s jinou než českou státní příslušností v Jihomoravském kraji v jednotlivých letech</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36</w:t>
        </w:r>
        <w:r w:rsidR="005F4F07" w:rsidRPr="005F4F07">
          <w:rPr>
            <w:noProof/>
            <w:webHidden/>
            <w:sz w:val="18"/>
            <w:szCs w:val="18"/>
          </w:rPr>
          <w:fldChar w:fldCharType="end"/>
        </w:r>
      </w:hyperlink>
    </w:p>
    <w:p w14:paraId="46B53679" w14:textId="563C185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8" w:history="1">
        <w:r w:rsidR="005F4F07" w:rsidRPr="005F4F07">
          <w:rPr>
            <w:rStyle w:val="Hypertextovodkaz"/>
            <w:noProof/>
            <w:sz w:val="18"/>
            <w:szCs w:val="18"/>
          </w:rPr>
          <w:t>Graf 24: Vývoj podílu osob s jinou než českou státní příslušností v Jihomoravském kraji na celkovém počtu těchto osob v letech 2005–2021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37</w:t>
        </w:r>
        <w:r w:rsidR="005F4F07" w:rsidRPr="005F4F07">
          <w:rPr>
            <w:noProof/>
            <w:webHidden/>
            <w:sz w:val="18"/>
            <w:szCs w:val="18"/>
          </w:rPr>
          <w:fldChar w:fldCharType="end"/>
        </w:r>
      </w:hyperlink>
    </w:p>
    <w:p w14:paraId="30F79693" w14:textId="1ECDE4A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69" w:history="1">
        <w:r w:rsidR="005F4F07" w:rsidRPr="005F4F07">
          <w:rPr>
            <w:rStyle w:val="Hypertextovodkaz"/>
            <w:noProof/>
            <w:sz w:val="18"/>
            <w:szCs w:val="18"/>
          </w:rPr>
          <w:t>Graf 25: Osoby ze zemí EU dle kategorie pobytu k 31. 12. 2022 - TOP 10 zemí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_Toc136428869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40</w:t>
        </w:r>
        <w:r w:rsidR="005F4F07" w:rsidRPr="005F4F07">
          <w:rPr>
            <w:noProof/>
            <w:webHidden/>
            <w:sz w:val="18"/>
            <w:szCs w:val="18"/>
          </w:rPr>
          <w:fldChar w:fldCharType="end"/>
        </w:r>
      </w:hyperlink>
    </w:p>
    <w:p w14:paraId="25585E58" w14:textId="2FC5294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0" w:history="1">
        <w:r w:rsidR="005F4F07" w:rsidRPr="005F4F07">
          <w:rPr>
            <w:rStyle w:val="Hypertextovodkaz"/>
            <w:noProof/>
            <w:sz w:val="18"/>
            <w:szCs w:val="18"/>
          </w:rPr>
          <w:t>Graf 26: Osoby z třetích zemí dle kategorie pobytu k 31. 12. 2022 - TOP 10 zemí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41</w:t>
        </w:r>
        <w:r w:rsidR="005F4F07" w:rsidRPr="005F4F07">
          <w:rPr>
            <w:noProof/>
            <w:webHidden/>
            <w:sz w:val="18"/>
            <w:szCs w:val="18"/>
          </w:rPr>
          <w:fldChar w:fldCharType="end"/>
        </w:r>
      </w:hyperlink>
    </w:p>
    <w:p w14:paraId="4A2820BF" w14:textId="1DDE78E0" w:rsidR="005F4F07" w:rsidRPr="005F4F07" w:rsidRDefault="00F71F72" w:rsidP="005F4F07">
      <w:pPr>
        <w:pStyle w:val="Seznamobrzk"/>
        <w:tabs>
          <w:tab w:val="right" w:leader="dot" w:pos="9062"/>
          <w:tab w:val="left" w:pos="9342"/>
        </w:tabs>
        <w:spacing w:line="240" w:lineRule="auto"/>
        <w:rPr>
          <w:rFonts w:eastAsiaTheme="minorEastAsia" w:cstheme="minorBidi"/>
          <w:noProof/>
          <w:kern w:val="2"/>
          <w:sz w:val="18"/>
          <w:szCs w:val="18"/>
          <w:lang w:eastAsia="cs-CZ"/>
          <w14:ligatures w14:val="standardContextual"/>
        </w:rPr>
      </w:pPr>
      <w:hyperlink w:anchor="_Toc136428871" w:history="1">
        <w:r w:rsidR="005F4F07" w:rsidRPr="005F4F07">
          <w:rPr>
            <w:rStyle w:val="Hypertextovodkaz"/>
            <w:noProof/>
            <w:sz w:val="18"/>
            <w:szCs w:val="18"/>
          </w:rPr>
          <w:t>Graf 27: Populační pyramida osob s uděleným pobytovým oprávněním v souvislosti s válkou na Ukrajině v Jihomoravském kraji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45</w:t>
        </w:r>
        <w:r w:rsidR="005F4F07" w:rsidRPr="005F4F07">
          <w:rPr>
            <w:noProof/>
            <w:webHidden/>
            <w:sz w:val="18"/>
            <w:szCs w:val="18"/>
          </w:rPr>
          <w:fldChar w:fldCharType="end"/>
        </w:r>
      </w:hyperlink>
    </w:p>
    <w:p w14:paraId="007D23DF" w14:textId="11F06EC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2" w:history="1">
        <w:r w:rsidR="005F4F07" w:rsidRPr="005F4F07">
          <w:rPr>
            <w:rStyle w:val="Hypertextovodkaz"/>
            <w:noProof/>
            <w:sz w:val="18"/>
            <w:szCs w:val="18"/>
          </w:rPr>
          <w:t>Graf 28: Státní příslušnost dětí v předškolních zařízeních s jinou než českou státní příslušností ve školním roce 2022/2023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46</w:t>
        </w:r>
        <w:r w:rsidR="005F4F07" w:rsidRPr="005F4F07">
          <w:rPr>
            <w:noProof/>
            <w:webHidden/>
            <w:sz w:val="18"/>
            <w:szCs w:val="18"/>
          </w:rPr>
          <w:fldChar w:fldCharType="end"/>
        </w:r>
      </w:hyperlink>
    </w:p>
    <w:p w14:paraId="5BD5C560" w14:textId="1775F61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3" w:history="1">
        <w:r w:rsidR="005F4F07" w:rsidRPr="005F4F07">
          <w:rPr>
            <w:rStyle w:val="Hypertextovodkaz"/>
            <w:noProof/>
            <w:sz w:val="18"/>
            <w:szCs w:val="18"/>
          </w:rPr>
          <w:t>Graf 29: Podíl dětí v předškolních zařízeních s jinou než českou státní příslušností na celkovém počtu dětí v předškolních zařízeních</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47</w:t>
        </w:r>
        <w:r w:rsidR="005F4F07" w:rsidRPr="005F4F07">
          <w:rPr>
            <w:noProof/>
            <w:webHidden/>
            <w:sz w:val="18"/>
            <w:szCs w:val="18"/>
          </w:rPr>
          <w:fldChar w:fldCharType="end"/>
        </w:r>
      </w:hyperlink>
    </w:p>
    <w:p w14:paraId="3301E9E4" w14:textId="3628747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4" w:history="1">
        <w:r w:rsidR="005F4F07" w:rsidRPr="005F4F07">
          <w:rPr>
            <w:rStyle w:val="Hypertextovodkaz"/>
            <w:noProof/>
            <w:sz w:val="18"/>
            <w:szCs w:val="18"/>
          </w:rPr>
          <w:t>Graf 30: Státní občanství dětí v předškolních zařízeních s jinou než českou státní příslušností ve školním roce 2022/2023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49</w:t>
        </w:r>
        <w:r w:rsidR="005F4F07" w:rsidRPr="005F4F07">
          <w:rPr>
            <w:noProof/>
            <w:webHidden/>
            <w:sz w:val="18"/>
            <w:szCs w:val="18"/>
          </w:rPr>
          <w:fldChar w:fldCharType="end"/>
        </w:r>
      </w:hyperlink>
    </w:p>
    <w:p w14:paraId="6B7691FD" w14:textId="08E96D7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5" w:history="1">
        <w:r w:rsidR="005F4F07" w:rsidRPr="005F4F07">
          <w:rPr>
            <w:rStyle w:val="Hypertextovodkaz"/>
            <w:noProof/>
            <w:sz w:val="18"/>
            <w:szCs w:val="18"/>
          </w:rPr>
          <w:t>Graf 31: Státní občanství žáků ZŠ s jinou než českou státní příslušností ve školním roce 2022/2023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49</w:t>
        </w:r>
        <w:r w:rsidR="005F4F07" w:rsidRPr="005F4F07">
          <w:rPr>
            <w:noProof/>
            <w:webHidden/>
            <w:sz w:val="18"/>
            <w:szCs w:val="18"/>
          </w:rPr>
          <w:fldChar w:fldCharType="end"/>
        </w:r>
      </w:hyperlink>
    </w:p>
    <w:p w14:paraId="3ECB7FA9" w14:textId="3C9CE4F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6" w:history="1">
        <w:r w:rsidR="005F4F07" w:rsidRPr="005F4F07">
          <w:rPr>
            <w:rStyle w:val="Hypertextovodkaz"/>
            <w:noProof/>
            <w:sz w:val="18"/>
            <w:szCs w:val="18"/>
          </w:rPr>
          <w:t>Graf 32: Podíl žáků ZŠ s jinou než českou státní příslušností na celkovém počtu žáků v letech 2005-2023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50</w:t>
        </w:r>
        <w:r w:rsidR="005F4F07" w:rsidRPr="005F4F07">
          <w:rPr>
            <w:noProof/>
            <w:webHidden/>
            <w:sz w:val="18"/>
            <w:szCs w:val="18"/>
          </w:rPr>
          <w:fldChar w:fldCharType="end"/>
        </w:r>
      </w:hyperlink>
    </w:p>
    <w:p w14:paraId="1FED4DD7" w14:textId="206230F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7" w:history="1">
        <w:r w:rsidR="005F4F07" w:rsidRPr="005F4F07">
          <w:rPr>
            <w:rStyle w:val="Hypertextovodkaz"/>
            <w:noProof/>
            <w:sz w:val="18"/>
            <w:szCs w:val="18"/>
          </w:rPr>
          <w:t>Graf 33: Státní příslušnost žáků ZŠ s jinou než českou státní příslušností ve školním roce 2022/2023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51</w:t>
        </w:r>
        <w:r w:rsidR="005F4F07" w:rsidRPr="005F4F07">
          <w:rPr>
            <w:noProof/>
            <w:webHidden/>
            <w:sz w:val="18"/>
            <w:szCs w:val="18"/>
          </w:rPr>
          <w:fldChar w:fldCharType="end"/>
        </w:r>
      </w:hyperlink>
    </w:p>
    <w:p w14:paraId="6DCFE39B" w14:textId="36F009A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8" w:history="1">
        <w:r w:rsidR="005F4F07" w:rsidRPr="005F4F07">
          <w:rPr>
            <w:rStyle w:val="Hypertextovodkaz"/>
            <w:noProof/>
            <w:sz w:val="18"/>
            <w:szCs w:val="18"/>
          </w:rPr>
          <w:t>Graf 34: Státní příslušnost žáků SŠ s jinou než českou státní příslušností ve školním roce 2022/2023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52</w:t>
        </w:r>
        <w:r w:rsidR="005F4F07" w:rsidRPr="005F4F07">
          <w:rPr>
            <w:noProof/>
            <w:webHidden/>
            <w:sz w:val="18"/>
            <w:szCs w:val="18"/>
          </w:rPr>
          <w:fldChar w:fldCharType="end"/>
        </w:r>
      </w:hyperlink>
    </w:p>
    <w:p w14:paraId="5B5B9B7B" w14:textId="0E1E3A6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79" w:history="1">
        <w:r w:rsidR="005F4F07" w:rsidRPr="005F4F07">
          <w:rPr>
            <w:rStyle w:val="Hypertextovodkaz"/>
            <w:noProof/>
            <w:sz w:val="18"/>
            <w:szCs w:val="18"/>
          </w:rPr>
          <w:t>Graf 35: Podíl žáků s jinou než českou státní příslušností na celkovém počtu studentů SŠ</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_Toc136428879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52</w:t>
        </w:r>
        <w:r w:rsidR="005F4F07" w:rsidRPr="005F4F07">
          <w:rPr>
            <w:noProof/>
            <w:webHidden/>
            <w:sz w:val="18"/>
            <w:szCs w:val="18"/>
          </w:rPr>
          <w:fldChar w:fldCharType="end"/>
        </w:r>
      </w:hyperlink>
    </w:p>
    <w:p w14:paraId="6468A65B" w14:textId="6C252C3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0" w:history="1">
        <w:r w:rsidR="005F4F07" w:rsidRPr="005F4F07">
          <w:rPr>
            <w:rStyle w:val="Hypertextovodkaz"/>
            <w:noProof/>
            <w:sz w:val="18"/>
            <w:szCs w:val="18"/>
          </w:rPr>
          <w:t>Graf 36: Státní občanství žáků SŠ s jinou než českou státní příslušností ve školním roce 2022/2023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54</w:t>
        </w:r>
        <w:r w:rsidR="005F4F07" w:rsidRPr="005F4F07">
          <w:rPr>
            <w:noProof/>
            <w:webHidden/>
            <w:sz w:val="18"/>
            <w:szCs w:val="18"/>
          </w:rPr>
          <w:fldChar w:fldCharType="end"/>
        </w:r>
      </w:hyperlink>
    </w:p>
    <w:p w14:paraId="1DC2E7BF" w14:textId="2A6F807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1" w:history="1">
        <w:r w:rsidR="005F4F07" w:rsidRPr="005F4F07">
          <w:rPr>
            <w:rStyle w:val="Hypertextovodkaz"/>
            <w:noProof/>
            <w:sz w:val="18"/>
            <w:szCs w:val="18"/>
          </w:rPr>
          <w:t>Graf 37: Státní příslušnost dětí v předškolních zařízeních s jinou než českou státní příslušností ve školním roce 2022/2023 v Jihomoravském kraji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55</w:t>
        </w:r>
        <w:r w:rsidR="005F4F07" w:rsidRPr="005F4F07">
          <w:rPr>
            <w:noProof/>
            <w:webHidden/>
            <w:sz w:val="18"/>
            <w:szCs w:val="18"/>
          </w:rPr>
          <w:fldChar w:fldCharType="end"/>
        </w:r>
      </w:hyperlink>
    </w:p>
    <w:p w14:paraId="5941596F" w14:textId="0E4DA81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2" w:history="1">
        <w:r w:rsidR="005F4F07" w:rsidRPr="005F4F07">
          <w:rPr>
            <w:rStyle w:val="Hypertextovodkaz"/>
            <w:noProof/>
            <w:sz w:val="18"/>
            <w:szCs w:val="18"/>
          </w:rPr>
          <w:t>Graf 38: Podíl dětí v předškolních zařízeních s jinou než českou státní příslušností na celkovém počtu dětí v předškolních zařízeních v Jihomoravském kraji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56</w:t>
        </w:r>
        <w:r w:rsidR="005F4F07" w:rsidRPr="005F4F07">
          <w:rPr>
            <w:noProof/>
            <w:webHidden/>
            <w:sz w:val="18"/>
            <w:szCs w:val="18"/>
          </w:rPr>
          <w:fldChar w:fldCharType="end"/>
        </w:r>
      </w:hyperlink>
    </w:p>
    <w:p w14:paraId="3B10E95E" w14:textId="02E8826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3" w:history="1">
        <w:r w:rsidR="005F4F07" w:rsidRPr="005F4F07">
          <w:rPr>
            <w:rStyle w:val="Hypertextovodkaz"/>
            <w:noProof/>
            <w:sz w:val="18"/>
            <w:szCs w:val="18"/>
          </w:rPr>
          <w:t>Graf 39: Státní příslušnost žáků s jinou než českou státní příslušností ve školním roce 2022/2023 v Jihomoravském kraji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57</w:t>
        </w:r>
        <w:r w:rsidR="005F4F07" w:rsidRPr="005F4F07">
          <w:rPr>
            <w:noProof/>
            <w:webHidden/>
            <w:sz w:val="18"/>
            <w:szCs w:val="18"/>
          </w:rPr>
          <w:fldChar w:fldCharType="end"/>
        </w:r>
      </w:hyperlink>
    </w:p>
    <w:p w14:paraId="12D58029" w14:textId="4CF9552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4" w:history="1">
        <w:r w:rsidR="005F4F07" w:rsidRPr="005F4F07">
          <w:rPr>
            <w:rStyle w:val="Hypertextovodkaz"/>
            <w:noProof/>
            <w:sz w:val="18"/>
            <w:szCs w:val="18"/>
          </w:rPr>
          <w:t>Graf 40: Podíl žáků v ZŠ s jinou než českou státní příslušností na celkovém počtu žáků v Jihomoravském kraji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58</w:t>
        </w:r>
        <w:r w:rsidR="005F4F07" w:rsidRPr="005F4F07">
          <w:rPr>
            <w:noProof/>
            <w:webHidden/>
            <w:sz w:val="18"/>
            <w:szCs w:val="18"/>
          </w:rPr>
          <w:fldChar w:fldCharType="end"/>
        </w:r>
      </w:hyperlink>
    </w:p>
    <w:p w14:paraId="23A26389" w14:textId="5884CA4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5" w:history="1">
        <w:r w:rsidR="005F4F07" w:rsidRPr="005F4F07">
          <w:rPr>
            <w:rStyle w:val="Hypertextovodkaz"/>
            <w:noProof/>
            <w:sz w:val="18"/>
            <w:szCs w:val="18"/>
          </w:rPr>
          <w:t>Graf 41: Státní příslušnost žáků SŠ v Jihomoravském kraji s jinou než českou státní příslušností ve školním roce 2022/2023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59</w:t>
        </w:r>
        <w:r w:rsidR="005F4F07" w:rsidRPr="005F4F07">
          <w:rPr>
            <w:noProof/>
            <w:webHidden/>
            <w:sz w:val="18"/>
            <w:szCs w:val="18"/>
          </w:rPr>
          <w:fldChar w:fldCharType="end"/>
        </w:r>
      </w:hyperlink>
    </w:p>
    <w:p w14:paraId="27D152EA" w14:textId="2A4D015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6" w:history="1">
        <w:r w:rsidR="005F4F07" w:rsidRPr="005F4F07">
          <w:rPr>
            <w:rStyle w:val="Hypertextovodkaz"/>
            <w:noProof/>
            <w:sz w:val="18"/>
            <w:szCs w:val="18"/>
          </w:rPr>
          <w:t>Graf 42: Podíl žáků s jinou než českou státní příslušností na celkovém počtu studentů SŠ v Jihomoravském kraji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60</w:t>
        </w:r>
        <w:r w:rsidR="005F4F07" w:rsidRPr="005F4F07">
          <w:rPr>
            <w:noProof/>
            <w:webHidden/>
            <w:sz w:val="18"/>
            <w:szCs w:val="18"/>
          </w:rPr>
          <w:fldChar w:fldCharType="end"/>
        </w:r>
      </w:hyperlink>
    </w:p>
    <w:p w14:paraId="2466B42D" w14:textId="68BFDE2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7" w:history="1">
        <w:r w:rsidR="005F4F07" w:rsidRPr="005F4F07">
          <w:rPr>
            <w:rStyle w:val="Hypertextovodkaz"/>
            <w:noProof/>
            <w:sz w:val="18"/>
            <w:szCs w:val="18"/>
          </w:rPr>
          <w:t>Graf 43: Struktura uchazečů o zaměstnání v Jihomoravském kraji v letech 2014-2022 podle věku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66</w:t>
        </w:r>
        <w:r w:rsidR="005F4F07" w:rsidRPr="005F4F07">
          <w:rPr>
            <w:noProof/>
            <w:webHidden/>
            <w:sz w:val="18"/>
            <w:szCs w:val="18"/>
          </w:rPr>
          <w:fldChar w:fldCharType="end"/>
        </w:r>
      </w:hyperlink>
    </w:p>
    <w:p w14:paraId="131ADBAC" w14:textId="6C0B212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8" w:history="1">
        <w:r w:rsidR="005F4F07" w:rsidRPr="005F4F07">
          <w:rPr>
            <w:rStyle w:val="Hypertextovodkaz"/>
            <w:noProof/>
            <w:sz w:val="18"/>
            <w:szCs w:val="18"/>
          </w:rPr>
          <w:t>Graf 44: Struktura uchazečů o zaměstnání v Jihomoravském kraji v letech 2014-2022 podle délky nezaměstnanosti  (0-12 měsíců)</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67</w:t>
        </w:r>
        <w:r w:rsidR="005F4F07" w:rsidRPr="005F4F07">
          <w:rPr>
            <w:noProof/>
            <w:webHidden/>
            <w:sz w:val="18"/>
            <w:szCs w:val="18"/>
          </w:rPr>
          <w:fldChar w:fldCharType="end"/>
        </w:r>
      </w:hyperlink>
    </w:p>
    <w:p w14:paraId="086A073E" w14:textId="348C521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89" w:history="1">
        <w:r w:rsidR="005F4F07" w:rsidRPr="005F4F07">
          <w:rPr>
            <w:rStyle w:val="Hypertextovodkaz"/>
            <w:noProof/>
            <w:sz w:val="18"/>
            <w:szCs w:val="18"/>
          </w:rPr>
          <w:t>Graf 45: Struktura uchazečů o zaměstnání v Jihomoravském kraji v letech 2014-2022 podle délky nezaměstnanosti (12–24 měsíců a více)</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_Toc136428889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67</w:t>
        </w:r>
        <w:r w:rsidR="005F4F07" w:rsidRPr="005F4F07">
          <w:rPr>
            <w:noProof/>
            <w:webHidden/>
            <w:sz w:val="18"/>
            <w:szCs w:val="18"/>
          </w:rPr>
          <w:fldChar w:fldCharType="end"/>
        </w:r>
      </w:hyperlink>
    </w:p>
    <w:p w14:paraId="66A47A03" w14:textId="5DCC5E49" w:rsidR="005F4F07" w:rsidRPr="005F4F07" w:rsidRDefault="00F71F72" w:rsidP="005F4F07">
      <w:pPr>
        <w:pStyle w:val="Seznamobrzk"/>
        <w:tabs>
          <w:tab w:val="right" w:leader="dot" w:pos="9062"/>
          <w:tab w:val="left" w:pos="9342"/>
        </w:tabs>
        <w:spacing w:line="240" w:lineRule="auto"/>
        <w:rPr>
          <w:rFonts w:eastAsiaTheme="minorEastAsia" w:cstheme="minorBidi"/>
          <w:noProof/>
          <w:kern w:val="2"/>
          <w:sz w:val="18"/>
          <w:szCs w:val="18"/>
          <w:lang w:eastAsia="cs-CZ"/>
          <w14:ligatures w14:val="standardContextual"/>
        </w:rPr>
      </w:pPr>
      <w:hyperlink w:anchor="_Toc136428890" w:history="1">
        <w:r w:rsidR="005F4F07" w:rsidRPr="005F4F07">
          <w:rPr>
            <w:rStyle w:val="Hypertextovodkaz"/>
            <w:noProof/>
            <w:sz w:val="18"/>
            <w:szCs w:val="18"/>
          </w:rPr>
          <w:t>Graf 46: Struktura uchazečů o zaměstnání v Jihomoravském kraji v letech 2015-2022 podle dosaženého vzdělání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68</w:t>
        </w:r>
        <w:r w:rsidR="005F4F07" w:rsidRPr="005F4F07">
          <w:rPr>
            <w:noProof/>
            <w:webHidden/>
            <w:sz w:val="18"/>
            <w:szCs w:val="18"/>
          </w:rPr>
          <w:fldChar w:fldCharType="end"/>
        </w:r>
      </w:hyperlink>
    </w:p>
    <w:p w14:paraId="4EE9B089" w14:textId="716FF1E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1" w:history="1">
        <w:r w:rsidR="005F4F07" w:rsidRPr="005F4F07">
          <w:rPr>
            <w:rStyle w:val="Hypertextovodkaz"/>
            <w:noProof/>
            <w:sz w:val="18"/>
            <w:szCs w:val="18"/>
          </w:rPr>
          <w:t>Graf 47: Struktura volných pracovních míst v Jihomoravském kraji v letech 2015-2022 podle zaměstnavatelem požadovaného vzdělání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69</w:t>
        </w:r>
        <w:r w:rsidR="005F4F07" w:rsidRPr="005F4F07">
          <w:rPr>
            <w:noProof/>
            <w:webHidden/>
            <w:sz w:val="18"/>
            <w:szCs w:val="18"/>
          </w:rPr>
          <w:fldChar w:fldCharType="end"/>
        </w:r>
      </w:hyperlink>
    </w:p>
    <w:p w14:paraId="762663BD" w14:textId="519ED60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2" w:history="1">
        <w:r w:rsidR="005F4F07" w:rsidRPr="005F4F07">
          <w:rPr>
            <w:rStyle w:val="Hypertextovodkaz"/>
            <w:noProof/>
            <w:sz w:val="18"/>
            <w:szCs w:val="18"/>
          </w:rPr>
          <w:t>Graf 48: Vývoj počtu uchazečů z EU/EHP dle jednotlivých měsíců v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71</w:t>
        </w:r>
        <w:r w:rsidR="005F4F07" w:rsidRPr="005F4F07">
          <w:rPr>
            <w:noProof/>
            <w:webHidden/>
            <w:sz w:val="18"/>
            <w:szCs w:val="18"/>
          </w:rPr>
          <w:fldChar w:fldCharType="end"/>
        </w:r>
      </w:hyperlink>
    </w:p>
    <w:p w14:paraId="39CD400C" w14:textId="46A859C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3" w:history="1">
        <w:r w:rsidR="005F4F07" w:rsidRPr="005F4F07">
          <w:rPr>
            <w:rStyle w:val="Hypertextovodkaz"/>
            <w:noProof/>
            <w:sz w:val="18"/>
            <w:szCs w:val="18"/>
          </w:rPr>
          <w:t>Graf 49: Vývoj počtu uchazečů ze třetích zemí v ČR a JMK dle jednotlivých měsíců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73</w:t>
        </w:r>
        <w:r w:rsidR="005F4F07" w:rsidRPr="005F4F07">
          <w:rPr>
            <w:noProof/>
            <w:webHidden/>
            <w:sz w:val="18"/>
            <w:szCs w:val="18"/>
          </w:rPr>
          <w:fldChar w:fldCharType="end"/>
        </w:r>
      </w:hyperlink>
    </w:p>
    <w:p w14:paraId="121EE5E7" w14:textId="55B3F75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4" w:history="1">
        <w:r w:rsidR="005F4F07" w:rsidRPr="005F4F07">
          <w:rPr>
            <w:rStyle w:val="Hypertextovodkaz"/>
            <w:noProof/>
            <w:sz w:val="18"/>
            <w:szCs w:val="18"/>
          </w:rPr>
          <w:t>Graf 50: Struktura uchazečů o zaměstnání ze zemí EU/EHP v Jihomoravském kraji v letech 2014-2022 podle věku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75</w:t>
        </w:r>
        <w:r w:rsidR="005F4F07" w:rsidRPr="005F4F07">
          <w:rPr>
            <w:noProof/>
            <w:webHidden/>
            <w:sz w:val="18"/>
            <w:szCs w:val="18"/>
          </w:rPr>
          <w:fldChar w:fldCharType="end"/>
        </w:r>
      </w:hyperlink>
    </w:p>
    <w:p w14:paraId="466684B7" w14:textId="7EF64BE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5" w:history="1">
        <w:r w:rsidR="005F4F07" w:rsidRPr="005F4F07">
          <w:rPr>
            <w:rStyle w:val="Hypertextovodkaz"/>
            <w:noProof/>
            <w:sz w:val="18"/>
            <w:szCs w:val="18"/>
          </w:rPr>
          <w:t>Graf 51: Struktura uchazečů o zaměstnání ze zemí EU/EHP v Jihomoravském kraji v letech 2014-2022 podle délky nezaměstnanosti (0-12 měsíců)</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76</w:t>
        </w:r>
        <w:r w:rsidR="005F4F07" w:rsidRPr="005F4F07">
          <w:rPr>
            <w:noProof/>
            <w:webHidden/>
            <w:sz w:val="18"/>
            <w:szCs w:val="18"/>
          </w:rPr>
          <w:fldChar w:fldCharType="end"/>
        </w:r>
      </w:hyperlink>
    </w:p>
    <w:p w14:paraId="65FE4A5A" w14:textId="06C852A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6" w:history="1">
        <w:r w:rsidR="005F4F07" w:rsidRPr="005F4F07">
          <w:rPr>
            <w:rStyle w:val="Hypertextovodkaz"/>
            <w:noProof/>
            <w:sz w:val="18"/>
            <w:szCs w:val="18"/>
          </w:rPr>
          <w:t>Graf 52: Struktura uchazečů o zaměstnání ze zemí EU/EHP v Jihomoravském kraji v letech 2014-2022 podle délky nezaměstnanosti (12–24 měsíců a více)</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76</w:t>
        </w:r>
        <w:r w:rsidR="005F4F07" w:rsidRPr="005F4F07">
          <w:rPr>
            <w:noProof/>
            <w:webHidden/>
            <w:sz w:val="18"/>
            <w:szCs w:val="18"/>
          </w:rPr>
          <w:fldChar w:fldCharType="end"/>
        </w:r>
      </w:hyperlink>
    </w:p>
    <w:p w14:paraId="677751C8" w14:textId="09BD243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7" w:history="1">
        <w:r w:rsidR="005F4F07" w:rsidRPr="005F4F07">
          <w:rPr>
            <w:rStyle w:val="Hypertextovodkaz"/>
            <w:noProof/>
            <w:sz w:val="18"/>
            <w:szCs w:val="18"/>
          </w:rPr>
          <w:t>Graf 53: Struktura uchazečů o zaměstnání ze zemí EU/EHP v Jihomoravském kraji v letech 2015-2022 podle dosaženého vzdělání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77</w:t>
        </w:r>
        <w:r w:rsidR="005F4F07" w:rsidRPr="005F4F07">
          <w:rPr>
            <w:noProof/>
            <w:webHidden/>
            <w:sz w:val="18"/>
            <w:szCs w:val="18"/>
          </w:rPr>
          <w:fldChar w:fldCharType="end"/>
        </w:r>
      </w:hyperlink>
    </w:p>
    <w:p w14:paraId="678965DB" w14:textId="49E0478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8" w:history="1">
        <w:r w:rsidR="005F4F07" w:rsidRPr="005F4F07">
          <w:rPr>
            <w:rStyle w:val="Hypertextovodkaz"/>
            <w:noProof/>
            <w:sz w:val="18"/>
            <w:szCs w:val="18"/>
          </w:rPr>
          <w:t>Graf 54: Míra zaměstnanosti ve státech střední Evropy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80</w:t>
        </w:r>
        <w:r w:rsidR="005F4F07" w:rsidRPr="005F4F07">
          <w:rPr>
            <w:noProof/>
            <w:webHidden/>
            <w:sz w:val="18"/>
            <w:szCs w:val="18"/>
          </w:rPr>
          <w:fldChar w:fldCharType="end"/>
        </w:r>
      </w:hyperlink>
    </w:p>
    <w:p w14:paraId="1D157A99" w14:textId="08E3E9D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899" w:history="1">
        <w:r w:rsidR="005F4F07" w:rsidRPr="005F4F07">
          <w:rPr>
            <w:rStyle w:val="Hypertextovodkaz"/>
            <w:noProof/>
            <w:sz w:val="18"/>
            <w:szCs w:val="18"/>
          </w:rPr>
          <w:t>Graf 55: Úroveň zaměstnanosti z hlediska regionálních oblasti NUTS 2 ČR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_Toc136428899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81</w:t>
        </w:r>
        <w:r w:rsidR="005F4F07" w:rsidRPr="005F4F07">
          <w:rPr>
            <w:noProof/>
            <w:webHidden/>
            <w:sz w:val="18"/>
            <w:szCs w:val="18"/>
          </w:rPr>
          <w:fldChar w:fldCharType="end"/>
        </w:r>
      </w:hyperlink>
    </w:p>
    <w:p w14:paraId="5C0CF29B" w14:textId="5C0F52B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0" w:history="1">
        <w:r w:rsidR="005F4F07" w:rsidRPr="005F4F07">
          <w:rPr>
            <w:rStyle w:val="Hypertextovodkaz"/>
            <w:noProof/>
            <w:sz w:val="18"/>
            <w:szCs w:val="18"/>
          </w:rPr>
          <w:t>Graf 56: Úroveň vzdělanosti osob s jinou státní příslušností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82</w:t>
        </w:r>
        <w:r w:rsidR="005F4F07" w:rsidRPr="005F4F07">
          <w:rPr>
            <w:noProof/>
            <w:webHidden/>
            <w:sz w:val="18"/>
            <w:szCs w:val="18"/>
          </w:rPr>
          <w:fldChar w:fldCharType="end"/>
        </w:r>
      </w:hyperlink>
    </w:p>
    <w:p w14:paraId="77C418E5" w14:textId="3B9FAE8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1" w:history="1">
        <w:r w:rsidR="005F4F07" w:rsidRPr="005F4F07">
          <w:rPr>
            <w:rStyle w:val="Hypertextovodkaz"/>
            <w:noProof/>
            <w:sz w:val="18"/>
            <w:szCs w:val="18"/>
          </w:rPr>
          <w:t>Graf 57: Subjektivní a objektivní míra překvalifikovanosti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83</w:t>
        </w:r>
        <w:r w:rsidR="005F4F07" w:rsidRPr="005F4F07">
          <w:rPr>
            <w:noProof/>
            <w:webHidden/>
            <w:sz w:val="18"/>
            <w:szCs w:val="18"/>
          </w:rPr>
          <w:fldChar w:fldCharType="end"/>
        </w:r>
      </w:hyperlink>
    </w:p>
    <w:p w14:paraId="38FBFB4F" w14:textId="477B577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2" w:history="1">
        <w:r w:rsidR="005F4F07" w:rsidRPr="005F4F07">
          <w:rPr>
            <w:rStyle w:val="Hypertextovodkaz"/>
            <w:noProof/>
            <w:sz w:val="18"/>
            <w:szCs w:val="18"/>
          </w:rPr>
          <w:t>Graf 58: Jazykové schopnosti osob s jinou státní příslušností ve vybraných evropských státech</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84</w:t>
        </w:r>
        <w:r w:rsidR="005F4F07" w:rsidRPr="005F4F07">
          <w:rPr>
            <w:noProof/>
            <w:webHidden/>
            <w:sz w:val="18"/>
            <w:szCs w:val="18"/>
          </w:rPr>
          <w:fldChar w:fldCharType="end"/>
        </w:r>
      </w:hyperlink>
    </w:p>
    <w:p w14:paraId="35E4D1C1" w14:textId="730D3C4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3" w:history="1">
        <w:r w:rsidR="005F4F07" w:rsidRPr="005F4F07">
          <w:rPr>
            <w:rStyle w:val="Hypertextovodkaz"/>
            <w:noProof/>
            <w:sz w:val="18"/>
            <w:szCs w:val="18"/>
          </w:rPr>
          <w:t>Graf 59: Počet zaměstnaných osob s jinou než českou státní příslušností v jednotlivých krajích ČR v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85</w:t>
        </w:r>
        <w:r w:rsidR="005F4F07" w:rsidRPr="005F4F07">
          <w:rPr>
            <w:noProof/>
            <w:webHidden/>
            <w:sz w:val="18"/>
            <w:szCs w:val="18"/>
          </w:rPr>
          <w:fldChar w:fldCharType="end"/>
        </w:r>
      </w:hyperlink>
    </w:p>
    <w:p w14:paraId="264F9A9A" w14:textId="3D67DF7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4" w:history="1">
        <w:r w:rsidR="005F4F07" w:rsidRPr="005F4F07">
          <w:rPr>
            <w:rStyle w:val="Hypertextovodkaz"/>
            <w:noProof/>
            <w:sz w:val="18"/>
            <w:szCs w:val="18"/>
          </w:rPr>
          <w:t>Graf 60: Počet zaměstnaných osob s jinou než českou státní příslušností v Jihomoravském kraji v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87</w:t>
        </w:r>
        <w:r w:rsidR="005F4F07" w:rsidRPr="005F4F07">
          <w:rPr>
            <w:noProof/>
            <w:webHidden/>
            <w:sz w:val="18"/>
            <w:szCs w:val="18"/>
          </w:rPr>
          <w:fldChar w:fldCharType="end"/>
        </w:r>
      </w:hyperlink>
    </w:p>
    <w:p w14:paraId="56EAD658" w14:textId="6F154E1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5" w:history="1">
        <w:r w:rsidR="005F4F07" w:rsidRPr="005F4F07">
          <w:rPr>
            <w:rStyle w:val="Hypertextovodkaz"/>
            <w:noProof/>
            <w:sz w:val="18"/>
            <w:szCs w:val="18"/>
          </w:rPr>
          <w:t>Graf 61: Zaměstnávání osob s jinou než českou státní příslušností v Jihomoravském kraji v jednotlivých měsících roku 2020, 2021 a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88</w:t>
        </w:r>
        <w:r w:rsidR="005F4F07" w:rsidRPr="005F4F07">
          <w:rPr>
            <w:noProof/>
            <w:webHidden/>
            <w:sz w:val="18"/>
            <w:szCs w:val="18"/>
          </w:rPr>
          <w:fldChar w:fldCharType="end"/>
        </w:r>
      </w:hyperlink>
    </w:p>
    <w:p w14:paraId="0A2DC3FD" w14:textId="17A152B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6" w:history="1">
        <w:r w:rsidR="005F4F07" w:rsidRPr="005F4F07">
          <w:rPr>
            <w:rStyle w:val="Hypertextovodkaz"/>
            <w:noProof/>
            <w:sz w:val="18"/>
            <w:szCs w:val="18"/>
          </w:rPr>
          <w:t>Graf 62: Osoby s jinou než českou státní příslušností v postavení zaměstnanců podle typu registrace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88</w:t>
        </w:r>
        <w:r w:rsidR="005F4F07" w:rsidRPr="005F4F07">
          <w:rPr>
            <w:noProof/>
            <w:webHidden/>
            <w:sz w:val="18"/>
            <w:szCs w:val="18"/>
          </w:rPr>
          <w:fldChar w:fldCharType="end"/>
        </w:r>
      </w:hyperlink>
    </w:p>
    <w:p w14:paraId="18C48878" w14:textId="7E186BC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7" w:history="1">
        <w:r w:rsidR="005F4F07" w:rsidRPr="005F4F07">
          <w:rPr>
            <w:rStyle w:val="Hypertextovodkaz"/>
            <w:noProof/>
            <w:sz w:val="18"/>
            <w:szCs w:val="18"/>
          </w:rPr>
          <w:t>Graf 63: Osoby s jinou než českou státní příslušností v postavení zaměstnanců podle krajů v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89</w:t>
        </w:r>
        <w:r w:rsidR="005F4F07" w:rsidRPr="005F4F07">
          <w:rPr>
            <w:noProof/>
            <w:webHidden/>
            <w:sz w:val="18"/>
            <w:szCs w:val="18"/>
          </w:rPr>
          <w:fldChar w:fldCharType="end"/>
        </w:r>
      </w:hyperlink>
    </w:p>
    <w:p w14:paraId="46B428FA" w14:textId="3B2817A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8" w:history="1">
        <w:r w:rsidR="005F4F07" w:rsidRPr="005F4F07">
          <w:rPr>
            <w:rStyle w:val="Hypertextovodkaz"/>
            <w:noProof/>
            <w:sz w:val="18"/>
            <w:szCs w:val="18"/>
          </w:rPr>
          <w:t>Graf 64: Zaměstnanost osob s jinou než českou státní příslušností v Jihomoravském kraji dle okresů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89</w:t>
        </w:r>
        <w:r w:rsidR="005F4F07" w:rsidRPr="005F4F07">
          <w:rPr>
            <w:noProof/>
            <w:webHidden/>
            <w:sz w:val="18"/>
            <w:szCs w:val="18"/>
          </w:rPr>
          <w:fldChar w:fldCharType="end"/>
        </w:r>
      </w:hyperlink>
    </w:p>
    <w:p w14:paraId="0894E04E" w14:textId="542E2BF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09" w:history="1">
        <w:r w:rsidR="005F4F07" w:rsidRPr="005F4F07">
          <w:rPr>
            <w:rStyle w:val="Hypertextovodkaz"/>
            <w:noProof/>
            <w:sz w:val="18"/>
            <w:szCs w:val="18"/>
          </w:rPr>
          <w:t>Graf 65: Vývoj počtu osob s jinou než českou státní příslušností v JMK evidovaných na úřadech práce podle typu povolení v letech 2014-2022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_Toc136428909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90</w:t>
        </w:r>
        <w:r w:rsidR="005F4F07" w:rsidRPr="005F4F07">
          <w:rPr>
            <w:noProof/>
            <w:webHidden/>
            <w:sz w:val="18"/>
            <w:szCs w:val="18"/>
          </w:rPr>
          <w:fldChar w:fldCharType="end"/>
        </w:r>
      </w:hyperlink>
    </w:p>
    <w:p w14:paraId="526DCFE0" w14:textId="5BF7017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0" w:history="1">
        <w:r w:rsidR="005F4F07" w:rsidRPr="005F4F07">
          <w:rPr>
            <w:rStyle w:val="Hypertextovodkaz"/>
            <w:noProof/>
            <w:sz w:val="18"/>
            <w:szCs w:val="18"/>
          </w:rPr>
          <w:t>Graf 66: Osoby s jinou než českou státní příslušností evidovaní na úřadech práce podle typu registrace v okrese Blansko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92</w:t>
        </w:r>
        <w:r w:rsidR="005F4F07" w:rsidRPr="005F4F07">
          <w:rPr>
            <w:noProof/>
            <w:webHidden/>
            <w:sz w:val="18"/>
            <w:szCs w:val="18"/>
          </w:rPr>
          <w:fldChar w:fldCharType="end"/>
        </w:r>
      </w:hyperlink>
    </w:p>
    <w:p w14:paraId="59CC9F69" w14:textId="4A962E1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1" w:history="1">
        <w:r w:rsidR="005F4F07" w:rsidRPr="005F4F07">
          <w:rPr>
            <w:rStyle w:val="Hypertextovodkaz"/>
            <w:noProof/>
            <w:sz w:val="18"/>
            <w:szCs w:val="18"/>
          </w:rPr>
          <w:t>Graf 67: Osoby s jinou než českou státní příslušností evidovaní na úřadech práce podle typu registrace v okrese Břeclav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92</w:t>
        </w:r>
        <w:r w:rsidR="005F4F07" w:rsidRPr="005F4F07">
          <w:rPr>
            <w:noProof/>
            <w:webHidden/>
            <w:sz w:val="18"/>
            <w:szCs w:val="18"/>
          </w:rPr>
          <w:fldChar w:fldCharType="end"/>
        </w:r>
      </w:hyperlink>
    </w:p>
    <w:p w14:paraId="1A0C7396" w14:textId="7D412B4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2" w:history="1">
        <w:r w:rsidR="005F4F07" w:rsidRPr="005F4F07">
          <w:rPr>
            <w:rStyle w:val="Hypertextovodkaz"/>
            <w:noProof/>
            <w:sz w:val="18"/>
            <w:szCs w:val="18"/>
          </w:rPr>
          <w:t>Graf 68: Osoby s jinou než českou státní příslušností evidovaní na úřadech práce podle typu registrace v okrese Brno-město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93</w:t>
        </w:r>
        <w:r w:rsidR="005F4F07" w:rsidRPr="005F4F07">
          <w:rPr>
            <w:noProof/>
            <w:webHidden/>
            <w:sz w:val="18"/>
            <w:szCs w:val="18"/>
          </w:rPr>
          <w:fldChar w:fldCharType="end"/>
        </w:r>
      </w:hyperlink>
    </w:p>
    <w:p w14:paraId="6ABAFF4E" w14:textId="2ADEBC1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3" w:history="1">
        <w:r w:rsidR="005F4F07" w:rsidRPr="005F4F07">
          <w:rPr>
            <w:rStyle w:val="Hypertextovodkaz"/>
            <w:noProof/>
            <w:sz w:val="18"/>
            <w:szCs w:val="18"/>
          </w:rPr>
          <w:t>Graf 69: Osoby s jinou než českou státní příslušností evidovaní na úřadech práce podle typu registrace v okrese Brno-venkov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93</w:t>
        </w:r>
        <w:r w:rsidR="005F4F07" w:rsidRPr="005F4F07">
          <w:rPr>
            <w:noProof/>
            <w:webHidden/>
            <w:sz w:val="18"/>
            <w:szCs w:val="18"/>
          </w:rPr>
          <w:fldChar w:fldCharType="end"/>
        </w:r>
      </w:hyperlink>
    </w:p>
    <w:p w14:paraId="22E14DEC" w14:textId="4BC2CFD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4" w:history="1">
        <w:r w:rsidR="005F4F07" w:rsidRPr="005F4F07">
          <w:rPr>
            <w:rStyle w:val="Hypertextovodkaz"/>
            <w:noProof/>
            <w:sz w:val="18"/>
            <w:szCs w:val="18"/>
          </w:rPr>
          <w:t>Graf 70: Osoby s jinou než českou státní příslušností evidovaní na úřadech práce podle typu registrace v okrese Brno-venkov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93</w:t>
        </w:r>
        <w:r w:rsidR="005F4F07" w:rsidRPr="005F4F07">
          <w:rPr>
            <w:noProof/>
            <w:webHidden/>
            <w:sz w:val="18"/>
            <w:szCs w:val="18"/>
          </w:rPr>
          <w:fldChar w:fldCharType="end"/>
        </w:r>
      </w:hyperlink>
    </w:p>
    <w:p w14:paraId="38771081" w14:textId="5ECF8F6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5" w:history="1">
        <w:r w:rsidR="005F4F07" w:rsidRPr="005F4F07">
          <w:rPr>
            <w:rStyle w:val="Hypertextovodkaz"/>
            <w:noProof/>
            <w:sz w:val="18"/>
            <w:szCs w:val="18"/>
          </w:rPr>
          <w:t>Graf 71: Osoby s jinou než českou státní příslušností evidovaní na úřadech práce podle typu registrace v okrese Brno-venkov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94</w:t>
        </w:r>
        <w:r w:rsidR="005F4F07" w:rsidRPr="005F4F07">
          <w:rPr>
            <w:noProof/>
            <w:webHidden/>
            <w:sz w:val="18"/>
            <w:szCs w:val="18"/>
          </w:rPr>
          <w:fldChar w:fldCharType="end"/>
        </w:r>
      </w:hyperlink>
    </w:p>
    <w:p w14:paraId="4AC1006D" w14:textId="35691CC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6" w:history="1">
        <w:r w:rsidR="005F4F07" w:rsidRPr="005F4F07">
          <w:rPr>
            <w:rStyle w:val="Hypertextovodkaz"/>
            <w:noProof/>
            <w:sz w:val="18"/>
            <w:szCs w:val="18"/>
          </w:rPr>
          <w:t>Graf 72: Osoby s jinou než českou státní příslušností evidovaní na úřadech práce podle typu registrace v okrese Brno-venkov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94</w:t>
        </w:r>
        <w:r w:rsidR="005F4F07" w:rsidRPr="005F4F07">
          <w:rPr>
            <w:noProof/>
            <w:webHidden/>
            <w:sz w:val="18"/>
            <w:szCs w:val="18"/>
          </w:rPr>
          <w:fldChar w:fldCharType="end"/>
        </w:r>
      </w:hyperlink>
    </w:p>
    <w:p w14:paraId="693A2E16" w14:textId="09E1BA64" w:rsidR="005F4F07" w:rsidRPr="005F4F07" w:rsidRDefault="00F71F72" w:rsidP="005F4F07">
      <w:pPr>
        <w:pStyle w:val="Seznamobrzk"/>
        <w:tabs>
          <w:tab w:val="right" w:leader="dot" w:pos="9062"/>
          <w:tab w:val="left" w:pos="9342"/>
        </w:tabs>
        <w:spacing w:line="240" w:lineRule="auto"/>
        <w:rPr>
          <w:rFonts w:eastAsiaTheme="minorEastAsia" w:cstheme="minorBidi"/>
          <w:noProof/>
          <w:kern w:val="2"/>
          <w:sz w:val="18"/>
          <w:szCs w:val="18"/>
          <w:lang w:eastAsia="cs-CZ"/>
          <w14:ligatures w14:val="standardContextual"/>
        </w:rPr>
      </w:pPr>
      <w:hyperlink w:anchor="_Toc136428917" w:history="1">
        <w:r w:rsidR="005F4F07" w:rsidRPr="005F4F07">
          <w:rPr>
            <w:rStyle w:val="Hypertextovodkaz"/>
            <w:noProof/>
            <w:sz w:val="18"/>
            <w:szCs w:val="18"/>
          </w:rPr>
          <w:t>Graf 73: Věková struktura zaměstnaných osob s jinou než českou státní příslušností evidovaných na úřadech práce v Jihomoravském kraji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95</w:t>
        </w:r>
        <w:r w:rsidR="005F4F07" w:rsidRPr="005F4F07">
          <w:rPr>
            <w:noProof/>
            <w:webHidden/>
            <w:sz w:val="18"/>
            <w:szCs w:val="18"/>
          </w:rPr>
          <w:fldChar w:fldCharType="end"/>
        </w:r>
      </w:hyperlink>
    </w:p>
    <w:p w14:paraId="7806EFAF" w14:textId="683F577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8" w:history="1">
        <w:r w:rsidR="005F4F07" w:rsidRPr="005F4F07">
          <w:rPr>
            <w:rStyle w:val="Hypertextovodkaz"/>
            <w:noProof/>
            <w:sz w:val="18"/>
            <w:szCs w:val="18"/>
          </w:rPr>
          <w:t>Graf 74: Věková struktura zaměstnaných osob s jinou než českou státní příslušností evidovaných na úřadech práce v Jihomoravském kraji v letech 2008–2022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96</w:t>
        </w:r>
        <w:r w:rsidR="005F4F07" w:rsidRPr="005F4F07">
          <w:rPr>
            <w:noProof/>
            <w:webHidden/>
            <w:sz w:val="18"/>
            <w:szCs w:val="18"/>
          </w:rPr>
          <w:fldChar w:fldCharType="end"/>
        </w:r>
      </w:hyperlink>
    </w:p>
    <w:p w14:paraId="3D2609C8" w14:textId="47E4541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19" w:history="1">
        <w:r w:rsidR="005F4F07" w:rsidRPr="005F4F07">
          <w:rPr>
            <w:rStyle w:val="Hypertextovodkaz"/>
            <w:noProof/>
            <w:sz w:val="18"/>
            <w:szCs w:val="18"/>
          </w:rPr>
          <w:t>Graf 75: Procentuální zastoupení věkové struktury osob s jinou než českou státní příslušností evidovaných na úřadech práce v Jihomoravském kraji v letech 2008–2022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_Toc136428919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97</w:t>
        </w:r>
        <w:r w:rsidR="005F4F07" w:rsidRPr="005F4F07">
          <w:rPr>
            <w:noProof/>
            <w:webHidden/>
            <w:sz w:val="18"/>
            <w:szCs w:val="18"/>
          </w:rPr>
          <w:fldChar w:fldCharType="end"/>
        </w:r>
      </w:hyperlink>
    </w:p>
    <w:p w14:paraId="77520536" w14:textId="5BFB62C5"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0" w:history="1">
        <w:r w:rsidR="005F4F07" w:rsidRPr="005F4F07">
          <w:rPr>
            <w:rStyle w:val="Hypertextovodkaz"/>
            <w:noProof/>
            <w:sz w:val="18"/>
            <w:szCs w:val="18"/>
          </w:rPr>
          <w:t>Graf 76: Délka trvání zaměstnání osob s jinou než českou státní příslušností evidovaných na úřadech práce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97</w:t>
        </w:r>
        <w:r w:rsidR="005F4F07" w:rsidRPr="005F4F07">
          <w:rPr>
            <w:noProof/>
            <w:webHidden/>
            <w:sz w:val="18"/>
            <w:szCs w:val="18"/>
          </w:rPr>
          <w:fldChar w:fldCharType="end"/>
        </w:r>
      </w:hyperlink>
    </w:p>
    <w:p w14:paraId="209ED45E" w14:textId="6A19E1E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1" w:history="1">
        <w:r w:rsidR="005F4F07" w:rsidRPr="005F4F07">
          <w:rPr>
            <w:rStyle w:val="Hypertextovodkaz"/>
            <w:noProof/>
            <w:sz w:val="18"/>
            <w:szCs w:val="18"/>
          </w:rPr>
          <w:t>Graf 77: Doba zaměstnání osob s jinou než českou státní příslušností evidovaných na úřadech práce v Jihomoravském kraji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98</w:t>
        </w:r>
        <w:r w:rsidR="005F4F07" w:rsidRPr="005F4F07">
          <w:rPr>
            <w:noProof/>
            <w:webHidden/>
            <w:sz w:val="18"/>
            <w:szCs w:val="18"/>
          </w:rPr>
          <w:fldChar w:fldCharType="end"/>
        </w:r>
      </w:hyperlink>
    </w:p>
    <w:p w14:paraId="0845D56C" w14:textId="6E048F1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2" w:history="1">
        <w:r w:rsidR="005F4F07" w:rsidRPr="005F4F07">
          <w:rPr>
            <w:rStyle w:val="Hypertextovodkaz"/>
            <w:noProof/>
            <w:sz w:val="18"/>
            <w:szCs w:val="18"/>
          </w:rPr>
          <w:t>Graf 78:</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Nejvyšší dosažené vzdělání osob s jinou než českou státní příslušností evidovaných na úřadech práce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99</w:t>
        </w:r>
        <w:r w:rsidR="005F4F07" w:rsidRPr="005F4F07">
          <w:rPr>
            <w:noProof/>
            <w:webHidden/>
            <w:sz w:val="18"/>
            <w:szCs w:val="18"/>
          </w:rPr>
          <w:fldChar w:fldCharType="end"/>
        </w:r>
      </w:hyperlink>
    </w:p>
    <w:p w14:paraId="7A193758" w14:textId="01785B8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3" w:history="1">
        <w:r w:rsidR="005F4F07" w:rsidRPr="005F4F07">
          <w:rPr>
            <w:rStyle w:val="Hypertextovodkaz"/>
            <w:noProof/>
            <w:sz w:val="18"/>
            <w:szCs w:val="18"/>
          </w:rPr>
          <w:t>Graf 79:</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Počty zaměstnaných osob s jinou než českou státní příslušností v Jihomoravském kraji dle nejvyššího dosaženého vzdělání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100</w:t>
        </w:r>
        <w:r w:rsidR="005F4F07" w:rsidRPr="005F4F07">
          <w:rPr>
            <w:noProof/>
            <w:webHidden/>
            <w:sz w:val="18"/>
            <w:szCs w:val="18"/>
          </w:rPr>
          <w:fldChar w:fldCharType="end"/>
        </w:r>
      </w:hyperlink>
    </w:p>
    <w:p w14:paraId="346D2421" w14:textId="786D475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4" w:history="1">
        <w:r w:rsidR="005F4F07" w:rsidRPr="005F4F07">
          <w:rPr>
            <w:rStyle w:val="Hypertextovodkaz"/>
            <w:noProof/>
            <w:sz w:val="18"/>
            <w:szCs w:val="18"/>
          </w:rPr>
          <w:t>Graf 80:</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Procentuální zastoupení osob s jinou než českou státní příslušností v JMK dle nejvyššího dosaženého vzdělání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101</w:t>
        </w:r>
        <w:r w:rsidR="005F4F07" w:rsidRPr="005F4F07">
          <w:rPr>
            <w:noProof/>
            <w:webHidden/>
            <w:sz w:val="18"/>
            <w:szCs w:val="18"/>
          </w:rPr>
          <w:fldChar w:fldCharType="end"/>
        </w:r>
      </w:hyperlink>
    </w:p>
    <w:p w14:paraId="5A0FD4E3" w14:textId="7F02712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5" w:history="1">
        <w:r w:rsidR="005F4F07" w:rsidRPr="005F4F07">
          <w:rPr>
            <w:rStyle w:val="Hypertextovodkaz"/>
            <w:noProof/>
            <w:sz w:val="18"/>
            <w:szCs w:val="18"/>
          </w:rPr>
          <w:t>Graf 81: Osoby s jinou než českou státní příslušností evidované na úřadech práce k 30. 6. 2021 – Počty osob s nejvyšším dosaženým vzděláním a počty obsazených pozic s požadavkem na vzdělání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102</w:t>
        </w:r>
        <w:r w:rsidR="005F4F07" w:rsidRPr="005F4F07">
          <w:rPr>
            <w:noProof/>
            <w:webHidden/>
            <w:sz w:val="18"/>
            <w:szCs w:val="18"/>
          </w:rPr>
          <w:fldChar w:fldCharType="end"/>
        </w:r>
      </w:hyperlink>
    </w:p>
    <w:p w14:paraId="2C66EC92" w14:textId="473DFE8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6" w:history="1">
        <w:r w:rsidR="005F4F07" w:rsidRPr="005F4F07">
          <w:rPr>
            <w:rStyle w:val="Hypertextovodkaz"/>
            <w:noProof/>
            <w:sz w:val="18"/>
            <w:szCs w:val="18"/>
          </w:rPr>
          <w:t>Graf 82:</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Počty pracovních pozic obsazených osobami s jinou než českou státní příslušností v Jihomoravském kraji dle požadavku na vzdělání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104</w:t>
        </w:r>
        <w:r w:rsidR="005F4F07" w:rsidRPr="005F4F07">
          <w:rPr>
            <w:noProof/>
            <w:webHidden/>
            <w:sz w:val="18"/>
            <w:szCs w:val="18"/>
          </w:rPr>
          <w:fldChar w:fldCharType="end"/>
        </w:r>
      </w:hyperlink>
    </w:p>
    <w:p w14:paraId="038E6A4B" w14:textId="039859B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7" w:history="1">
        <w:r w:rsidR="005F4F07" w:rsidRPr="005F4F07">
          <w:rPr>
            <w:rStyle w:val="Hypertextovodkaz"/>
            <w:noProof/>
            <w:sz w:val="18"/>
            <w:szCs w:val="18"/>
          </w:rPr>
          <w:t>Graf 83:</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Procentuální zastoupení pracovních pozic obsazených osobami s jinou než českou státní příslušností v JMK dle požadavku na vzdělání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105</w:t>
        </w:r>
        <w:r w:rsidR="005F4F07" w:rsidRPr="005F4F07">
          <w:rPr>
            <w:noProof/>
            <w:webHidden/>
            <w:sz w:val="18"/>
            <w:szCs w:val="18"/>
          </w:rPr>
          <w:fldChar w:fldCharType="end"/>
        </w:r>
      </w:hyperlink>
    </w:p>
    <w:p w14:paraId="09907D24" w14:textId="16C6F3B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8" w:history="1">
        <w:r w:rsidR="005F4F07" w:rsidRPr="005F4F07">
          <w:rPr>
            <w:rStyle w:val="Hypertextovodkaz"/>
            <w:noProof/>
            <w:sz w:val="18"/>
            <w:szCs w:val="18"/>
          </w:rPr>
          <w:t>Graf 84: Pozice obsazené osobami s jinou než českou státní příslušností ze zemí EU/EHP a Švýcarska evidovanými na úřadech práce podle CZ-NACE k 30. 6.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106</w:t>
        </w:r>
        <w:r w:rsidR="005F4F07" w:rsidRPr="005F4F07">
          <w:rPr>
            <w:noProof/>
            <w:webHidden/>
            <w:sz w:val="18"/>
            <w:szCs w:val="18"/>
          </w:rPr>
          <w:fldChar w:fldCharType="end"/>
        </w:r>
      </w:hyperlink>
    </w:p>
    <w:p w14:paraId="071D82E8" w14:textId="7F4CF6B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29" w:history="1">
        <w:r w:rsidR="005F4F07" w:rsidRPr="005F4F07">
          <w:rPr>
            <w:rStyle w:val="Hypertextovodkaz"/>
            <w:noProof/>
            <w:sz w:val="18"/>
            <w:szCs w:val="18"/>
          </w:rPr>
          <w:t>Graf 85: Pozice obsazené osobami s jinou než českou státní příslušností v Jihomoravském kraji evidované na úřadech práce podle CZ-NACE - 3 nejčastější oblasti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_Toc136428929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107</w:t>
        </w:r>
        <w:r w:rsidR="005F4F07" w:rsidRPr="005F4F07">
          <w:rPr>
            <w:noProof/>
            <w:webHidden/>
            <w:sz w:val="18"/>
            <w:szCs w:val="18"/>
          </w:rPr>
          <w:fldChar w:fldCharType="end"/>
        </w:r>
      </w:hyperlink>
    </w:p>
    <w:p w14:paraId="1233B3EF" w14:textId="060450C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0" w:history="1">
        <w:r w:rsidR="005F4F07" w:rsidRPr="005F4F07">
          <w:rPr>
            <w:rStyle w:val="Hypertextovodkaz"/>
            <w:noProof/>
            <w:sz w:val="18"/>
            <w:szCs w:val="18"/>
          </w:rPr>
          <w:t>Graf 86: Pozice obsazené osobami s jinou než českou státní příslušností v Jihomoravském kraji evidovanými na úřadech práce podle CZ-NACE - 4. a 5. nejčastější činnost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108</w:t>
        </w:r>
        <w:r w:rsidR="005F4F07" w:rsidRPr="005F4F07">
          <w:rPr>
            <w:noProof/>
            <w:webHidden/>
            <w:sz w:val="18"/>
            <w:szCs w:val="18"/>
          </w:rPr>
          <w:fldChar w:fldCharType="end"/>
        </w:r>
      </w:hyperlink>
    </w:p>
    <w:p w14:paraId="648A8D65" w14:textId="482B2ED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1" w:history="1">
        <w:r w:rsidR="005F4F07" w:rsidRPr="005F4F07">
          <w:rPr>
            <w:rStyle w:val="Hypertextovodkaz"/>
            <w:noProof/>
            <w:sz w:val="18"/>
            <w:szCs w:val="18"/>
          </w:rPr>
          <w:t>Graf 87: Pozice obsazené osobami s jinou než českou státní příslušností ze zemí EU/EHP a Švýcarska evidovanými na úřadech práce podle CZ-ISCO k 30. 6.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108</w:t>
        </w:r>
        <w:r w:rsidR="005F4F07" w:rsidRPr="005F4F07">
          <w:rPr>
            <w:noProof/>
            <w:webHidden/>
            <w:sz w:val="18"/>
            <w:szCs w:val="18"/>
          </w:rPr>
          <w:fldChar w:fldCharType="end"/>
        </w:r>
      </w:hyperlink>
    </w:p>
    <w:p w14:paraId="325F5706" w14:textId="47DD616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2" w:history="1">
        <w:r w:rsidR="005F4F07" w:rsidRPr="005F4F07">
          <w:rPr>
            <w:rStyle w:val="Hypertextovodkaz"/>
            <w:noProof/>
            <w:sz w:val="18"/>
            <w:szCs w:val="18"/>
          </w:rPr>
          <w:t xml:space="preserve">Graf 88: </w:t>
        </w:r>
        <w:r w:rsidR="005F4F07" w:rsidRPr="005F4F07">
          <w:rPr>
            <w:rStyle w:val="Hypertextovodkaz"/>
            <w:rFonts w:cs="Arial"/>
            <w:noProof/>
            <w:sz w:val="18"/>
            <w:szCs w:val="18"/>
          </w:rPr>
          <w:t>Pozice obsazené osobami s jinou než českou státní příslušností evidovanými na úřadech práce podle CZ-ISCO – 2 nejčastější pozice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109</w:t>
        </w:r>
        <w:r w:rsidR="005F4F07" w:rsidRPr="005F4F07">
          <w:rPr>
            <w:noProof/>
            <w:webHidden/>
            <w:sz w:val="18"/>
            <w:szCs w:val="18"/>
          </w:rPr>
          <w:fldChar w:fldCharType="end"/>
        </w:r>
      </w:hyperlink>
    </w:p>
    <w:p w14:paraId="0E9A5A46" w14:textId="1800A26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3" w:history="1">
        <w:r w:rsidR="005F4F07" w:rsidRPr="005F4F07">
          <w:rPr>
            <w:rStyle w:val="Hypertextovodkaz"/>
            <w:noProof/>
            <w:sz w:val="18"/>
            <w:szCs w:val="18"/>
          </w:rPr>
          <w:t xml:space="preserve">Graf 89: </w:t>
        </w:r>
        <w:r w:rsidR="005F4F07" w:rsidRPr="005F4F07">
          <w:rPr>
            <w:rStyle w:val="Hypertextovodkaz"/>
            <w:rFonts w:cs="Arial"/>
            <w:noProof/>
            <w:sz w:val="18"/>
            <w:szCs w:val="18"/>
          </w:rPr>
          <w:t>Pozice obsazené osobami s jinou než českou státní příslušností evidovanými na úřadech práce podle CZ-ISCO – 3. a 4. nejčastější pozice v letech 2008-2021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110</w:t>
        </w:r>
        <w:r w:rsidR="005F4F07" w:rsidRPr="005F4F07">
          <w:rPr>
            <w:noProof/>
            <w:webHidden/>
            <w:sz w:val="18"/>
            <w:szCs w:val="18"/>
          </w:rPr>
          <w:fldChar w:fldCharType="end"/>
        </w:r>
      </w:hyperlink>
    </w:p>
    <w:p w14:paraId="5285E1C8" w14:textId="1AA0CFF3"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4" w:history="1">
        <w:r w:rsidR="005F4F07" w:rsidRPr="005F4F07">
          <w:rPr>
            <w:rStyle w:val="Hypertextovodkaz"/>
            <w:noProof/>
            <w:sz w:val="18"/>
            <w:szCs w:val="18"/>
          </w:rPr>
          <w:t>Graf 90: Podíl podnikatelů s jinou než českou státní příslušností na celkovém počtu podnikatelů v krajích ČR</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114</w:t>
        </w:r>
        <w:r w:rsidR="005F4F07" w:rsidRPr="005F4F07">
          <w:rPr>
            <w:noProof/>
            <w:webHidden/>
            <w:sz w:val="18"/>
            <w:szCs w:val="18"/>
          </w:rPr>
          <w:fldChar w:fldCharType="end"/>
        </w:r>
      </w:hyperlink>
    </w:p>
    <w:p w14:paraId="753391E4" w14:textId="3F9610E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5" w:history="1">
        <w:r w:rsidR="005F4F07" w:rsidRPr="005F4F07">
          <w:rPr>
            <w:rStyle w:val="Hypertextovodkaz"/>
            <w:noProof/>
            <w:sz w:val="18"/>
            <w:szCs w:val="18"/>
          </w:rPr>
          <w:t>Graf 91: Počet samostatně výdělečných osob s jinou než českou státní příslušnosti dle pohlaví a krajů k 31. 12. 2020</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115</w:t>
        </w:r>
        <w:r w:rsidR="005F4F07" w:rsidRPr="005F4F07">
          <w:rPr>
            <w:noProof/>
            <w:webHidden/>
            <w:sz w:val="18"/>
            <w:szCs w:val="18"/>
          </w:rPr>
          <w:fldChar w:fldCharType="end"/>
        </w:r>
      </w:hyperlink>
    </w:p>
    <w:p w14:paraId="5670C8AB" w14:textId="63C5D8B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6" w:history="1">
        <w:r w:rsidR="005F4F07" w:rsidRPr="005F4F07">
          <w:rPr>
            <w:rStyle w:val="Hypertextovodkaz"/>
            <w:noProof/>
            <w:sz w:val="18"/>
            <w:szCs w:val="18"/>
          </w:rPr>
          <w:t>Graf 92: Samostatně výdělečné osoby s jinou než českou státní příslušností dle okresů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117</w:t>
        </w:r>
        <w:r w:rsidR="005F4F07" w:rsidRPr="005F4F07">
          <w:rPr>
            <w:noProof/>
            <w:webHidden/>
            <w:sz w:val="18"/>
            <w:szCs w:val="18"/>
          </w:rPr>
          <w:fldChar w:fldCharType="end"/>
        </w:r>
      </w:hyperlink>
    </w:p>
    <w:p w14:paraId="3FCF373D" w14:textId="751227E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7" w:history="1">
        <w:r w:rsidR="005F4F07" w:rsidRPr="005F4F07">
          <w:rPr>
            <w:rStyle w:val="Hypertextovodkaz"/>
            <w:noProof/>
            <w:sz w:val="18"/>
            <w:szCs w:val="18"/>
          </w:rPr>
          <w:t>Graf 93: Struktura osob s jinou než českou státní příslušností v postavení samostatně výdělečných osob v Jihomoravském kraji dle občanství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117</w:t>
        </w:r>
        <w:r w:rsidR="005F4F07" w:rsidRPr="005F4F07">
          <w:rPr>
            <w:noProof/>
            <w:webHidden/>
            <w:sz w:val="18"/>
            <w:szCs w:val="18"/>
          </w:rPr>
          <w:fldChar w:fldCharType="end"/>
        </w:r>
      </w:hyperlink>
    </w:p>
    <w:p w14:paraId="0B870750" w14:textId="65B0746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8" w:history="1">
        <w:r w:rsidR="005F4F07" w:rsidRPr="005F4F07">
          <w:rPr>
            <w:rStyle w:val="Hypertextovodkaz"/>
            <w:noProof/>
            <w:sz w:val="18"/>
            <w:szCs w:val="18"/>
          </w:rPr>
          <w:t>Graf 94:</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ORP Blansko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125</w:t>
        </w:r>
        <w:r w:rsidR="005F4F07" w:rsidRPr="005F4F07">
          <w:rPr>
            <w:noProof/>
            <w:webHidden/>
            <w:sz w:val="18"/>
            <w:szCs w:val="18"/>
          </w:rPr>
          <w:fldChar w:fldCharType="end"/>
        </w:r>
      </w:hyperlink>
    </w:p>
    <w:p w14:paraId="56304DF8" w14:textId="40C2CB8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39" w:history="1">
        <w:r w:rsidR="005F4F07" w:rsidRPr="005F4F07">
          <w:rPr>
            <w:rStyle w:val="Hypertextovodkaz"/>
            <w:noProof/>
            <w:sz w:val="18"/>
            <w:szCs w:val="18"/>
          </w:rPr>
          <w:t>Graf 95:</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Osoby s jinou než českou státní příslušností v ORP Blansko podle pohlaví (k 1. 1. daného roku)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_Toc136428939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126</w:t>
        </w:r>
        <w:r w:rsidR="005F4F07" w:rsidRPr="005F4F07">
          <w:rPr>
            <w:noProof/>
            <w:webHidden/>
            <w:sz w:val="18"/>
            <w:szCs w:val="18"/>
          </w:rPr>
          <w:fldChar w:fldCharType="end"/>
        </w:r>
      </w:hyperlink>
    </w:p>
    <w:p w14:paraId="162C0EFE" w14:textId="7976D9D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0" w:history="1">
        <w:r w:rsidR="005F4F07" w:rsidRPr="005F4F07">
          <w:rPr>
            <w:rStyle w:val="Hypertextovodkaz"/>
            <w:noProof/>
            <w:sz w:val="18"/>
            <w:szCs w:val="18"/>
          </w:rPr>
          <w:t>Graf 96:</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k 1. 1.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128</w:t>
        </w:r>
        <w:r w:rsidR="005F4F07" w:rsidRPr="005F4F07">
          <w:rPr>
            <w:noProof/>
            <w:webHidden/>
            <w:sz w:val="18"/>
            <w:szCs w:val="18"/>
          </w:rPr>
          <w:fldChar w:fldCharType="end"/>
        </w:r>
      </w:hyperlink>
    </w:p>
    <w:p w14:paraId="3347EF54" w14:textId="7A270EF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1" w:history="1">
        <w:r w:rsidR="005F4F07" w:rsidRPr="005F4F07">
          <w:rPr>
            <w:rStyle w:val="Hypertextovodkaz"/>
            <w:noProof/>
            <w:sz w:val="18"/>
            <w:szCs w:val="18"/>
          </w:rPr>
          <w:t>Graf 97:</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k 1. 1.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129</w:t>
        </w:r>
        <w:r w:rsidR="005F4F07" w:rsidRPr="005F4F07">
          <w:rPr>
            <w:noProof/>
            <w:webHidden/>
            <w:sz w:val="18"/>
            <w:szCs w:val="18"/>
          </w:rPr>
          <w:fldChar w:fldCharType="end"/>
        </w:r>
      </w:hyperlink>
    </w:p>
    <w:p w14:paraId="69B5472C" w14:textId="7020E5B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2" w:history="1">
        <w:r w:rsidR="005F4F07" w:rsidRPr="005F4F07">
          <w:rPr>
            <w:rStyle w:val="Hypertextovodkaz"/>
            <w:noProof/>
            <w:sz w:val="18"/>
            <w:szCs w:val="18"/>
          </w:rPr>
          <w:t>Graf 98:</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131</w:t>
        </w:r>
        <w:r w:rsidR="005F4F07" w:rsidRPr="005F4F07">
          <w:rPr>
            <w:noProof/>
            <w:webHidden/>
            <w:sz w:val="18"/>
            <w:szCs w:val="18"/>
          </w:rPr>
          <w:fldChar w:fldCharType="end"/>
        </w:r>
      </w:hyperlink>
    </w:p>
    <w:p w14:paraId="6A786522" w14:textId="25F074A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3" w:history="1">
        <w:r w:rsidR="005F4F07" w:rsidRPr="005F4F07">
          <w:rPr>
            <w:rStyle w:val="Hypertextovodkaz"/>
            <w:noProof/>
            <w:sz w:val="18"/>
            <w:szCs w:val="18"/>
          </w:rPr>
          <w:t>Graf 99:</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Šebrov-Kateřina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132</w:t>
        </w:r>
        <w:r w:rsidR="005F4F07" w:rsidRPr="005F4F07">
          <w:rPr>
            <w:noProof/>
            <w:webHidden/>
            <w:sz w:val="18"/>
            <w:szCs w:val="18"/>
          </w:rPr>
          <w:fldChar w:fldCharType="end"/>
        </w:r>
      </w:hyperlink>
    </w:p>
    <w:p w14:paraId="27CCB6C0" w14:textId="082451F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4" w:history="1">
        <w:r w:rsidR="005F4F07" w:rsidRPr="005F4F07">
          <w:rPr>
            <w:rStyle w:val="Hypertextovodkaz"/>
            <w:noProof/>
            <w:sz w:val="18"/>
            <w:szCs w:val="18"/>
          </w:rPr>
          <w:t>Graf 100:</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Žernovník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132</w:t>
        </w:r>
        <w:r w:rsidR="005F4F07" w:rsidRPr="005F4F07">
          <w:rPr>
            <w:noProof/>
            <w:webHidden/>
            <w:sz w:val="18"/>
            <w:szCs w:val="18"/>
          </w:rPr>
          <w:fldChar w:fldCharType="end"/>
        </w:r>
      </w:hyperlink>
    </w:p>
    <w:p w14:paraId="738B9EB7" w14:textId="22F9220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5" w:history="1">
        <w:r w:rsidR="005F4F07" w:rsidRPr="005F4F07">
          <w:rPr>
            <w:rStyle w:val="Hypertextovodkaz"/>
            <w:noProof/>
            <w:sz w:val="18"/>
            <w:szCs w:val="18"/>
          </w:rPr>
          <w:t>Graf 101:</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Blansko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132</w:t>
        </w:r>
        <w:r w:rsidR="005F4F07" w:rsidRPr="005F4F07">
          <w:rPr>
            <w:noProof/>
            <w:webHidden/>
            <w:sz w:val="18"/>
            <w:szCs w:val="18"/>
          </w:rPr>
          <w:fldChar w:fldCharType="end"/>
        </w:r>
      </w:hyperlink>
    </w:p>
    <w:p w14:paraId="4E54D0CF" w14:textId="7D108F4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6" w:history="1">
        <w:r w:rsidR="005F4F07" w:rsidRPr="005F4F07">
          <w:rPr>
            <w:rStyle w:val="Hypertextovodkaz"/>
            <w:noProof/>
            <w:sz w:val="18"/>
            <w:szCs w:val="18"/>
          </w:rPr>
          <w:t>Graf 102:</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ORP Brno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139</w:t>
        </w:r>
        <w:r w:rsidR="005F4F07" w:rsidRPr="005F4F07">
          <w:rPr>
            <w:noProof/>
            <w:webHidden/>
            <w:sz w:val="18"/>
            <w:szCs w:val="18"/>
          </w:rPr>
          <w:fldChar w:fldCharType="end"/>
        </w:r>
      </w:hyperlink>
    </w:p>
    <w:p w14:paraId="26DB78A2" w14:textId="5A044BF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7" w:history="1">
        <w:r w:rsidR="005F4F07" w:rsidRPr="005F4F07">
          <w:rPr>
            <w:rStyle w:val="Hypertextovodkaz"/>
            <w:noProof/>
            <w:sz w:val="18"/>
            <w:szCs w:val="18"/>
          </w:rPr>
          <w:t>Graf 103:</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Osoby s jinou než českou státní příslušností v ORP Brno podle pohlaví (k 1. 1. daného roku)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140</w:t>
        </w:r>
        <w:r w:rsidR="005F4F07" w:rsidRPr="005F4F07">
          <w:rPr>
            <w:noProof/>
            <w:webHidden/>
            <w:sz w:val="18"/>
            <w:szCs w:val="18"/>
          </w:rPr>
          <w:fldChar w:fldCharType="end"/>
        </w:r>
      </w:hyperlink>
    </w:p>
    <w:p w14:paraId="4CAF93C0" w14:textId="573695A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8" w:history="1">
        <w:r w:rsidR="005F4F07" w:rsidRPr="005F4F07">
          <w:rPr>
            <w:rStyle w:val="Hypertextovodkaz"/>
            <w:noProof/>
            <w:sz w:val="18"/>
            <w:szCs w:val="18"/>
          </w:rPr>
          <w:t>Graf 104:</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144</w:t>
        </w:r>
        <w:r w:rsidR="005F4F07" w:rsidRPr="005F4F07">
          <w:rPr>
            <w:noProof/>
            <w:webHidden/>
            <w:sz w:val="18"/>
            <w:szCs w:val="18"/>
          </w:rPr>
          <w:fldChar w:fldCharType="end"/>
        </w:r>
      </w:hyperlink>
    </w:p>
    <w:p w14:paraId="06C40FBC" w14:textId="47C8FC8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49" w:history="1">
        <w:r w:rsidR="005F4F07" w:rsidRPr="005F4F07">
          <w:rPr>
            <w:rStyle w:val="Hypertextovodkaz"/>
            <w:noProof/>
            <w:sz w:val="18"/>
            <w:szCs w:val="18"/>
          </w:rPr>
          <w:t>Graf 105:</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Meziroční nárůst podílu osob s jinou než českou státní příslušností na celkovém počtu obyvatel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_Toc136428949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146</w:t>
        </w:r>
        <w:r w:rsidR="005F4F07" w:rsidRPr="005F4F07">
          <w:rPr>
            <w:noProof/>
            <w:webHidden/>
            <w:sz w:val="18"/>
            <w:szCs w:val="18"/>
          </w:rPr>
          <w:fldChar w:fldCharType="end"/>
        </w:r>
      </w:hyperlink>
    </w:p>
    <w:p w14:paraId="2A9C50C0" w14:textId="5743F27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0" w:history="1">
        <w:r w:rsidR="005F4F07" w:rsidRPr="005F4F07">
          <w:rPr>
            <w:rStyle w:val="Hypertextovodkaz"/>
            <w:noProof/>
            <w:sz w:val="18"/>
            <w:szCs w:val="18"/>
          </w:rPr>
          <w:t>Graf 106:</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městské části  Brno-jih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147</w:t>
        </w:r>
        <w:r w:rsidR="005F4F07" w:rsidRPr="005F4F07">
          <w:rPr>
            <w:noProof/>
            <w:webHidden/>
            <w:sz w:val="18"/>
            <w:szCs w:val="18"/>
          </w:rPr>
          <w:fldChar w:fldCharType="end"/>
        </w:r>
      </w:hyperlink>
    </w:p>
    <w:p w14:paraId="49D2AB18" w14:textId="218957A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1" w:history="1">
        <w:r w:rsidR="005F4F07" w:rsidRPr="005F4F07">
          <w:rPr>
            <w:rStyle w:val="Hypertextovodkaz"/>
            <w:noProof/>
            <w:sz w:val="18"/>
            <w:szCs w:val="18"/>
          </w:rPr>
          <w:t>Graf 107:</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městské části  Brno-Slatina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147</w:t>
        </w:r>
        <w:r w:rsidR="005F4F07" w:rsidRPr="005F4F07">
          <w:rPr>
            <w:noProof/>
            <w:webHidden/>
            <w:sz w:val="18"/>
            <w:szCs w:val="18"/>
          </w:rPr>
          <w:fldChar w:fldCharType="end"/>
        </w:r>
      </w:hyperlink>
    </w:p>
    <w:p w14:paraId="31FA8D4A" w14:textId="0B1231D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2" w:history="1">
        <w:r w:rsidR="005F4F07" w:rsidRPr="005F4F07">
          <w:rPr>
            <w:rStyle w:val="Hypertextovodkaz"/>
            <w:noProof/>
            <w:sz w:val="18"/>
            <w:szCs w:val="18"/>
          </w:rPr>
          <w:t>Graf 108:</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městské části Brno-Černovice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147</w:t>
        </w:r>
        <w:r w:rsidR="005F4F07" w:rsidRPr="005F4F07">
          <w:rPr>
            <w:noProof/>
            <w:webHidden/>
            <w:sz w:val="18"/>
            <w:szCs w:val="18"/>
          </w:rPr>
          <w:fldChar w:fldCharType="end"/>
        </w:r>
      </w:hyperlink>
    </w:p>
    <w:p w14:paraId="740B13FD" w14:textId="118A12B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3" w:history="1">
        <w:r w:rsidR="005F4F07" w:rsidRPr="005F4F07">
          <w:rPr>
            <w:rStyle w:val="Hypertextovodkaz"/>
            <w:noProof/>
            <w:sz w:val="18"/>
            <w:szCs w:val="18"/>
          </w:rPr>
          <w:t>Graf 109:</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městské části  Brno-Královo Pole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148</w:t>
        </w:r>
        <w:r w:rsidR="005F4F07" w:rsidRPr="005F4F07">
          <w:rPr>
            <w:noProof/>
            <w:webHidden/>
            <w:sz w:val="18"/>
            <w:szCs w:val="18"/>
          </w:rPr>
          <w:fldChar w:fldCharType="end"/>
        </w:r>
      </w:hyperlink>
    </w:p>
    <w:p w14:paraId="680AD562" w14:textId="6DF4A33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4" w:history="1">
        <w:r w:rsidR="005F4F07" w:rsidRPr="005F4F07">
          <w:rPr>
            <w:rStyle w:val="Hypertextovodkaz"/>
            <w:noProof/>
            <w:sz w:val="18"/>
            <w:szCs w:val="18"/>
          </w:rPr>
          <w:t>Graf 110:</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ORP Břeclav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155</w:t>
        </w:r>
        <w:r w:rsidR="005F4F07" w:rsidRPr="005F4F07">
          <w:rPr>
            <w:noProof/>
            <w:webHidden/>
            <w:sz w:val="18"/>
            <w:szCs w:val="18"/>
          </w:rPr>
          <w:fldChar w:fldCharType="end"/>
        </w:r>
      </w:hyperlink>
    </w:p>
    <w:p w14:paraId="02A8EFD7" w14:textId="329DDBC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5" w:history="1">
        <w:r w:rsidR="005F4F07" w:rsidRPr="005F4F07">
          <w:rPr>
            <w:rStyle w:val="Hypertextovodkaz"/>
            <w:noProof/>
            <w:sz w:val="18"/>
            <w:szCs w:val="18"/>
          </w:rPr>
          <w:t>Graf 111:</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Osoby s jinou než českou státní příslušností v ORP Břeclav podle pohlaví (k 1. 1. daného roku)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156</w:t>
        </w:r>
        <w:r w:rsidR="005F4F07" w:rsidRPr="005F4F07">
          <w:rPr>
            <w:noProof/>
            <w:webHidden/>
            <w:sz w:val="18"/>
            <w:szCs w:val="18"/>
          </w:rPr>
          <w:fldChar w:fldCharType="end"/>
        </w:r>
      </w:hyperlink>
    </w:p>
    <w:p w14:paraId="2605B96A" w14:textId="3732F9A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6" w:history="1">
        <w:r w:rsidR="005F4F07" w:rsidRPr="005F4F07">
          <w:rPr>
            <w:rStyle w:val="Hypertextovodkaz"/>
            <w:noProof/>
            <w:sz w:val="18"/>
            <w:szCs w:val="18"/>
          </w:rPr>
          <w:t>Graf 112:</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k 1. 1.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158</w:t>
        </w:r>
        <w:r w:rsidR="005F4F07" w:rsidRPr="005F4F07">
          <w:rPr>
            <w:noProof/>
            <w:webHidden/>
            <w:sz w:val="18"/>
            <w:szCs w:val="18"/>
          </w:rPr>
          <w:fldChar w:fldCharType="end"/>
        </w:r>
      </w:hyperlink>
    </w:p>
    <w:p w14:paraId="44A6D4BA" w14:textId="15C91EE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7" w:history="1">
        <w:r w:rsidR="005F4F07" w:rsidRPr="005F4F07">
          <w:rPr>
            <w:rStyle w:val="Hypertextovodkaz"/>
            <w:noProof/>
            <w:sz w:val="18"/>
            <w:szCs w:val="18"/>
          </w:rPr>
          <w:t>Graf 113:</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k 1. 1.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159</w:t>
        </w:r>
        <w:r w:rsidR="005F4F07" w:rsidRPr="005F4F07">
          <w:rPr>
            <w:noProof/>
            <w:webHidden/>
            <w:sz w:val="18"/>
            <w:szCs w:val="18"/>
          </w:rPr>
          <w:fldChar w:fldCharType="end"/>
        </w:r>
      </w:hyperlink>
    </w:p>
    <w:p w14:paraId="4F3BBD69" w14:textId="6644E11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8" w:history="1">
        <w:r w:rsidR="005F4F07" w:rsidRPr="005F4F07">
          <w:rPr>
            <w:rStyle w:val="Hypertextovodkaz"/>
            <w:noProof/>
            <w:sz w:val="18"/>
            <w:szCs w:val="18"/>
          </w:rPr>
          <w:t>Graf 114:</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161</w:t>
        </w:r>
        <w:r w:rsidR="005F4F07" w:rsidRPr="005F4F07">
          <w:rPr>
            <w:noProof/>
            <w:webHidden/>
            <w:sz w:val="18"/>
            <w:szCs w:val="18"/>
          </w:rPr>
          <w:fldChar w:fldCharType="end"/>
        </w:r>
      </w:hyperlink>
    </w:p>
    <w:p w14:paraId="41DE36D1" w14:textId="6040C44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59" w:history="1">
        <w:r w:rsidR="005F4F07" w:rsidRPr="005F4F07">
          <w:rPr>
            <w:rStyle w:val="Hypertextovodkaz"/>
            <w:noProof/>
            <w:sz w:val="18"/>
            <w:szCs w:val="18"/>
          </w:rPr>
          <w:t>Graf 115:</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Lednice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_Toc136428959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161</w:t>
        </w:r>
        <w:r w:rsidR="005F4F07" w:rsidRPr="005F4F07">
          <w:rPr>
            <w:noProof/>
            <w:webHidden/>
            <w:sz w:val="18"/>
            <w:szCs w:val="18"/>
          </w:rPr>
          <w:fldChar w:fldCharType="end"/>
        </w:r>
      </w:hyperlink>
    </w:p>
    <w:p w14:paraId="04E9C952" w14:textId="4EE9020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0" w:history="1">
        <w:r w:rsidR="005F4F07" w:rsidRPr="005F4F07">
          <w:rPr>
            <w:rStyle w:val="Hypertextovodkaz"/>
            <w:noProof/>
            <w:sz w:val="18"/>
            <w:szCs w:val="18"/>
          </w:rPr>
          <w:t>Graf 116:</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Rakvice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162</w:t>
        </w:r>
        <w:r w:rsidR="005F4F07" w:rsidRPr="005F4F07">
          <w:rPr>
            <w:noProof/>
            <w:webHidden/>
            <w:sz w:val="18"/>
            <w:szCs w:val="18"/>
          </w:rPr>
          <w:fldChar w:fldCharType="end"/>
        </w:r>
      </w:hyperlink>
    </w:p>
    <w:p w14:paraId="17DCF6A7" w14:textId="3E1085A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1" w:history="1">
        <w:r w:rsidR="005F4F07" w:rsidRPr="005F4F07">
          <w:rPr>
            <w:rStyle w:val="Hypertextovodkaz"/>
            <w:noProof/>
            <w:sz w:val="18"/>
            <w:szCs w:val="18"/>
          </w:rPr>
          <w:t>Graf 117:</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Ladná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162</w:t>
        </w:r>
        <w:r w:rsidR="005F4F07" w:rsidRPr="005F4F07">
          <w:rPr>
            <w:noProof/>
            <w:webHidden/>
            <w:sz w:val="18"/>
            <w:szCs w:val="18"/>
          </w:rPr>
          <w:fldChar w:fldCharType="end"/>
        </w:r>
      </w:hyperlink>
    </w:p>
    <w:p w14:paraId="12EF306C" w14:textId="66CFA30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2" w:history="1">
        <w:r w:rsidR="005F4F07" w:rsidRPr="005F4F07">
          <w:rPr>
            <w:rStyle w:val="Hypertextovodkaz"/>
            <w:noProof/>
            <w:sz w:val="18"/>
            <w:szCs w:val="18"/>
          </w:rPr>
          <w:t>Graf 118:</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ORP Kuřim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167</w:t>
        </w:r>
        <w:r w:rsidR="005F4F07" w:rsidRPr="005F4F07">
          <w:rPr>
            <w:noProof/>
            <w:webHidden/>
            <w:sz w:val="18"/>
            <w:szCs w:val="18"/>
          </w:rPr>
          <w:fldChar w:fldCharType="end"/>
        </w:r>
      </w:hyperlink>
    </w:p>
    <w:p w14:paraId="7D216B35" w14:textId="0134394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3" w:history="1">
        <w:r w:rsidR="005F4F07" w:rsidRPr="005F4F07">
          <w:rPr>
            <w:rStyle w:val="Hypertextovodkaz"/>
            <w:noProof/>
            <w:sz w:val="18"/>
            <w:szCs w:val="18"/>
          </w:rPr>
          <w:t>Graf 119:</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Osoby s jinou než českou státní příslušností v ORP Kuřim podle pohlaví (k 1. 1. daného roku)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168</w:t>
        </w:r>
        <w:r w:rsidR="005F4F07" w:rsidRPr="005F4F07">
          <w:rPr>
            <w:noProof/>
            <w:webHidden/>
            <w:sz w:val="18"/>
            <w:szCs w:val="18"/>
          </w:rPr>
          <w:fldChar w:fldCharType="end"/>
        </w:r>
      </w:hyperlink>
    </w:p>
    <w:p w14:paraId="061AD781" w14:textId="28866C73"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4" w:history="1">
        <w:r w:rsidR="005F4F07" w:rsidRPr="005F4F07">
          <w:rPr>
            <w:rStyle w:val="Hypertextovodkaz"/>
            <w:noProof/>
            <w:sz w:val="18"/>
            <w:szCs w:val="18"/>
          </w:rPr>
          <w:t>Graf 120:</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170</w:t>
        </w:r>
        <w:r w:rsidR="005F4F07" w:rsidRPr="005F4F07">
          <w:rPr>
            <w:noProof/>
            <w:webHidden/>
            <w:sz w:val="18"/>
            <w:szCs w:val="18"/>
          </w:rPr>
          <w:fldChar w:fldCharType="end"/>
        </w:r>
      </w:hyperlink>
    </w:p>
    <w:p w14:paraId="4ECA1E18" w14:textId="07E0D8B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5" w:history="1">
        <w:r w:rsidR="005F4F07" w:rsidRPr="005F4F07">
          <w:rPr>
            <w:rStyle w:val="Hypertextovodkaz"/>
            <w:noProof/>
            <w:sz w:val="18"/>
            <w:szCs w:val="18"/>
          </w:rPr>
          <w:t>Graf 121:</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171</w:t>
        </w:r>
        <w:r w:rsidR="005F4F07" w:rsidRPr="005F4F07">
          <w:rPr>
            <w:noProof/>
            <w:webHidden/>
            <w:sz w:val="18"/>
            <w:szCs w:val="18"/>
          </w:rPr>
          <w:fldChar w:fldCharType="end"/>
        </w:r>
      </w:hyperlink>
    </w:p>
    <w:p w14:paraId="3AF15B55" w14:textId="43C26DA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6" w:history="1">
        <w:r w:rsidR="005F4F07" w:rsidRPr="005F4F07">
          <w:rPr>
            <w:rStyle w:val="Hypertextovodkaz"/>
            <w:noProof/>
            <w:sz w:val="18"/>
            <w:szCs w:val="18"/>
          </w:rPr>
          <w:t>Graf 122:</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172</w:t>
        </w:r>
        <w:r w:rsidR="005F4F07" w:rsidRPr="005F4F07">
          <w:rPr>
            <w:noProof/>
            <w:webHidden/>
            <w:sz w:val="18"/>
            <w:szCs w:val="18"/>
          </w:rPr>
          <w:fldChar w:fldCharType="end"/>
        </w:r>
      </w:hyperlink>
    </w:p>
    <w:p w14:paraId="584992D6" w14:textId="252221E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7" w:history="1">
        <w:r w:rsidR="005F4F07" w:rsidRPr="005F4F07">
          <w:rPr>
            <w:rStyle w:val="Hypertextovodkaz"/>
            <w:noProof/>
            <w:sz w:val="18"/>
            <w:szCs w:val="18"/>
          </w:rPr>
          <w:t>Graf 123:</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Kuřim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174</w:t>
        </w:r>
        <w:r w:rsidR="005F4F07" w:rsidRPr="005F4F07">
          <w:rPr>
            <w:noProof/>
            <w:webHidden/>
            <w:sz w:val="18"/>
            <w:szCs w:val="18"/>
          </w:rPr>
          <w:fldChar w:fldCharType="end"/>
        </w:r>
      </w:hyperlink>
    </w:p>
    <w:p w14:paraId="1992F61C" w14:textId="661400A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8" w:history="1">
        <w:r w:rsidR="005F4F07" w:rsidRPr="005F4F07">
          <w:rPr>
            <w:rStyle w:val="Hypertextovodkaz"/>
            <w:noProof/>
            <w:sz w:val="18"/>
            <w:szCs w:val="18"/>
          </w:rPr>
          <w:t>Graf 124:</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Veverská Bítýška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174</w:t>
        </w:r>
        <w:r w:rsidR="005F4F07" w:rsidRPr="005F4F07">
          <w:rPr>
            <w:noProof/>
            <w:webHidden/>
            <w:sz w:val="18"/>
            <w:szCs w:val="18"/>
          </w:rPr>
          <w:fldChar w:fldCharType="end"/>
        </w:r>
      </w:hyperlink>
    </w:p>
    <w:p w14:paraId="35F845E5" w14:textId="30B64BB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69" w:history="1">
        <w:r w:rsidR="005F4F07" w:rsidRPr="005F4F07">
          <w:rPr>
            <w:rStyle w:val="Hypertextovodkaz"/>
            <w:noProof/>
            <w:sz w:val="18"/>
            <w:szCs w:val="18"/>
          </w:rPr>
          <w:t>Graf 125:</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ORP Tišnov v letech 2007-2023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_Toc136428969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180</w:t>
        </w:r>
        <w:r w:rsidR="005F4F07" w:rsidRPr="005F4F07">
          <w:rPr>
            <w:noProof/>
            <w:webHidden/>
            <w:sz w:val="18"/>
            <w:szCs w:val="18"/>
          </w:rPr>
          <w:fldChar w:fldCharType="end"/>
        </w:r>
      </w:hyperlink>
    </w:p>
    <w:p w14:paraId="109E451A" w14:textId="67783D7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0" w:history="1">
        <w:r w:rsidR="005F4F07" w:rsidRPr="005F4F07">
          <w:rPr>
            <w:rStyle w:val="Hypertextovodkaz"/>
            <w:noProof/>
            <w:sz w:val="18"/>
            <w:szCs w:val="18"/>
          </w:rPr>
          <w:t>Graf 126:</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Osoby s jinou než českou státní příslušností v ORP Tišnov podle pohlaví (k 1. 1. daného roku)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181</w:t>
        </w:r>
        <w:r w:rsidR="005F4F07" w:rsidRPr="005F4F07">
          <w:rPr>
            <w:noProof/>
            <w:webHidden/>
            <w:sz w:val="18"/>
            <w:szCs w:val="18"/>
          </w:rPr>
          <w:fldChar w:fldCharType="end"/>
        </w:r>
      </w:hyperlink>
    </w:p>
    <w:p w14:paraId="22CDA0EF" w14:textId="5EEC6B1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1" w:history="1">
        <w:r w:rsidR="005F4F07" w:rsidRPr="005F4F07">
          <w:rPr>
            <w:rStyle w:val="Hypertextovodkaz"/>
            <w:noProof/>
            <w:sz w:val="18"/>
            <w:szCs w:val="18"/>
          </w:rPr>
          <w:t>Graf 127:</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183</w:t>
        </w:r>
        <w:r w:rsidR="005F4F07" w:rsidRPr="005F4F07">
          <w:rPr>
            <w:noProof/>
            <w:webHidden/>
            <w:sz w:val="18"/>
            <w:szCs w:val="18"/>
          </w:rPr>
          <w:fldChar w:fldCharType="end"/>
        </w:r>
      </w:hyperlink>
    </w:p>
    <w:p w14:paraId="45A3A3ED" w14:textId="77F8C63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2" w:history="1">
        <w:r w:rsidR="005F4F07" w:rsidRPr="005F4F07">
          <w:rPr>
            <w:rStyle w:val="Hypertextovodkaz"/>
            <w:noProof/>
            <w:sz w:val="18"/>
            <w:szCs w:val="18"/>
          </w:rPr>
          <w:t>Graf 128:</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184</w:t>
        </w:r>
        <w:r w:rsidR="005F4F07" w:rsidRPr="005F4F07">
          <w:rPr>
            <w:noProof/>
            <w:webHidden/>
            <w:sz w:val="18"/>
            <w:szCs w:val="18"/>
          </w:rPr>
          <w:fldChar w:fldCharType="end"/>
        </w:r>
      </w:hyperlink>
    </w:p>
    <w:p w14:paraId="31D4904B" w14:textId="001CA91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3" w:history="1">
        <w:r w:rsidR="005F4F07" w:rsidRPr="005F4F07">
          <w:rPr>
            <w:rStyle w:val="Hypertextovodkaz"/>
            <w:noProof/>
            <w:sz w:val="18"/>
            <w:szCs w:val="18"/>
          </w:rPr>
          <w:t>Graf 129:</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185</w:t>
        </w:r>
        <w:r w:rsidR="005F4F07" w:rsidRPr="005F4F07">
          <w:rPr>
            <w:noProof/>
            <w:webHidden/>
            <w:sz w:val="18"/>
            <w:szCs w:val="18"/>
          </w:rPr>
          <w:fldChar w:fldCharType="end"/>
        </w:r>
      </w:hyperlink>
    </w:p>
    <w:p w14:paraId="42B054E1" w14:textId="367AFE7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4" w:history="1">
        <w:r w:rsidR="005F4F07" w:rsidRPr="005F4F07">
          <w:rPr>
            <w:rStyle w:val="Hypertextovodkaz"/>
            <w:noProof/>
            <w:sz w:val="18"/>
            <w:szCs w:val="18"/>
          </w:rPr>
          <w:t>Graf 130:</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Lažánky v letech 2008-2023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186</w:t>
        </w:r>
        <w:r w:rsidR="005F4F07" w:rsidRPr="005F4F07">
          <w:rPr>
            <w:noProof/>
            <w:webHidden/>
            <w:sz w:val="18"/>
            <w:szCs w:val="18"/>
          </w:rPr>
          <w:fldChar w:fldCharType="end"/>
        </w:r>
      </w:hyperlink>
    </w:p>
    <w:p w14:paraId="01B50818" w14:textId="0B57A4F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5" w:history="1">
        <w:r w:rsidR="005F4F07" w:rsidRPr="005F4F07">
          <w:rPr>
            <w:rStyle w:val="Hypertextovodkaz"/>
            <w:noProof/>
            <w:sz w:val="18"/>
            <w:szCs w:val="18"/>
          </w:rPr>
          <w:t>Graf 131:</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ORP Vyškov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192</w:t>
        </w:r>
        <w:r w:rsidR="005F4F07" w:rsidRPr="005F4F07">
          <w:rPr>
            <w:noProof/>
            <w:webHidden/>
            <w:sz w:val="18"/>
            <w:szCs w:val="18"/>
          </w:rPr>
          <w:fldChar w:fldCharType="end"/>
        </w:r>
      </w:hyperlink>
    </w:p>
    <w:p w14:paraId="190437B8" w14:textId="20AB3E8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6" w:history="1">
        <w:r w:rsidR="005F4F07" w:rsidRPr="005F4F07">
          <w:rPr>
            <w:rStyle w:val="Hypertextovodkaz"/>
            <w:noProof/>
            <w:sz w:val="18"/>
            <w:szCs w:val="18"/>
          </w:rPr>
          <w:t>Graf 132:</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Osoby s jinou než českou státní příslušností v ORP Vyškov podle pohlaví (k 1. 1. daného roku)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193</w:t>
        </w:r>
        <w:r w:rsidR="005F4F07" w:rsidRPr="005F4F07">
          <w:rPr>
            <w:noProof/>
            <w:webHidden/>
            <w:sz w:val="18"/>
            <w:szCs w:val="18"/>
          </w:rPr>
          <w:fldChar w:fldCharType="end"/>
        </w:r>
      </w:hyperlink>
    </w:p>
    <w:p w14:paraId="51DA4DC2" w14:textId="42A1451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7" w:history="1">
        <w:r w:rsidR="005F4F07" w:rsidRPr="005F4F07">
          <w:rPr>
            <w:rStyle w:val="Hypertextovodkaz"/>
            <w:noProof/>
            <w:sz w:val="18"/>
            <w:szCs w:val="18"/>
          </w:rPr>
          <w:t>Graf 133:</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2021 v ORP Vyškov</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195</w:t>
        </w:r>
        <w:r w:rsidR="005F4F07" w:rsidRPr="005F4F07">
          <w:rPr>
            <w:noProof/>
            <w:webHidden/>
            <w:sz w:val="18"/>
            <w:szCs w:val="18"/>
          </w:rPr>
          <w:fldChar w:fldCharType="end"/>
        </w:r>
      </w:hyperlink>
    </w:p>
    <w:p w14:paraId="3EE5F9FF" w14:textId="6C9F06C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8" w:history="1">
        <w:r w:rsidR="005F4F07" w:rsidRPr="005F4F07">
          <w:rPr>
            <w:rStyle w:val="Hypertextovodkaz"/>
            <w:noProof/>
            <w:sz w:val="18"/>
            <w:szCs w:val="18"/>
          </w:rPr>
          <w:t>Graf 134:</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196</w:t>
        </w:r>
        <w:r w:rsidR="005F4F07" w:rsidRPr="005F4F07">
          <w:rPr>
            <w:noProof/>
            <w:webHidden/>
            <w:sz w:val="18"/>
            <w:szCs w:val="18"/>
          </w:rPr>
          <w:fldChar w:fldCharType="end"/>
        </w:r>
      </w:hyperlink>
    </w:p>
    <w:p w14:paraId="17B48268" w14:textId="2F03111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79" w:history="1">
        <w:r w:rsidR="005F4F07" w:rsidRPr="005F4F07">
          <w:rPr>
            <w:rStyle w:val="Hypertextovodkaz"/>
            <w:noProof/>
            <w:sz w:val="18"/>
            <w:szCs w:val="18"/>
          </w:rPr>
          <w:t>Graf 135:</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Podíl osob s jinou než českou státní příslušností na celkovém počtu obyvatel vybraných obcí k 1. 1. 2023 v ORP Vyškov</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_Toc136428979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198</w:t>
        </w:r>
        <w:r w:rsidR="005F4F07" w:rsidRPr="005F4F07">
          <w:rPr>
            <w:noProof/>
            <w:webHidden/>
            <w:sz w:val="18"/>
            <w:szCs w:val="18"/>
          </w:rPr>
          <w:fldChar w:fldCharType="end"/>
        </w:r>
      </w:hyperlink>
    </w:p>
    <w:p w14:paraId="02FB904C" w14:textId="006F689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80" w:history="1">
        <w:r w:rsidR="005F4F07" w:rsidRPr="005F4F07">
          <w:rPr>
            <w:rStyle w:val="Hypertextovodkaz"/>
            <w:noProof/>
            <w:sz w:val="18"/>
            <w:szCs w:val="18"/>
          </w:rPr>
          <w:t>Graf 136:</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Rostěnice-Zvonovice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_Toc136428980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199</w:t>
        </w:r>
        <w:r w:rsidR="005F4F07" w:rsidRPr="005F4F07">
          <w:rPr>
            <w:noProof/>
            <w:webHidden/>
            <w:sz w:val="18"/>
            <w:szCs w:val="18"/>
          </w:rPr>
          <w:fldChar w:fldCharType="end"/>
        </w:r>
      </w:hyperlink>
    </w:p>
    <w:p w14:paraId="07DB7626" w14:textId="2698A5C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8981" w:history="1">
        <w:r w:rsidR="005F4F07" w:rsidRPr="005F4F07">
          <w:rPr>
            <w:rStyle w:val="Hypertextovodkaz"/>
            <w:noProof/>
            <w:sz w:val="18"/>
            <w:szCs w:val="18"/>
          </w:rPr>
          <w:t>Graf 137:</w:t>
        </w:r>
        <w:r w:rsidR="005F4F07" w:rsidRPr="005F4F07">
          <w:rPr>
            <w:rStyle w:val="Hypertextovodkaz"/>
            <w:noProof/>
            <w:kern w:val="24"/>
            <w:sz w:val="18"/>
            <w:szCs w:val="18"/>
            <w:lang w:eastAsia="cs-CZ"/>
          </w:rPr>
          <w:t xml:space="preserve"> </w:t>
        </w:r>
        <w:r w:rsidR="005F4F07" w:rsidRPr="005F4F07">
          <w:rPr>
            <w:rStyle w:val="Hypertextovodkaz"/>
            <w:noProof/>
            <w:sz w:val="18"/>
            <w:szCs w:val="18"/>
          </w:rPr>
          <w:t>Vývoj podílu osob s jinou než českou státní příslušností na celkovém počtu obyvatel obce Rousínov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_Toc136428981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199</w:t>
        </w:r>
        <w:r w:rsidR="005F4F07" w:rsidRPr="005F4F07">
          <w:rPr>
            <w:noProof/>
            <w:webHidden/>
            <w:sz w:val="18"/>
            <w:szCs w:val="18"/>
          </w:rPr>
          <w:fldChar w:fldCharType="end"/>
        </w:r>
      </w:hyperlink>
    </w:p>
    <w:p w14:paraId="535C091E" w14:textId="720CF93C" w:rsidR="00366165" w:rsidRPr="005F4F07" w:rsidRDefault="002C0D55" w:rsidP="005F4F07">
      <w:pPr>
        <w:rPr>
          <w:rFonts w:ascii="Arial Narrow" w:hAnsi="Arial Narrow"/>
          <w:sz w:val="20"/>
          <w:szCs w:val="20"/>
        </w:rPr>
      </w:pPr>
      <w:r w:rsidRPr="005F4F07">
        <w:rPr>
          <w:rFonts w:ascii="Arial Narrow" w:hAnsi="Arial Narrow"/>
          <w:sz w:val="18"/>
          <w:szCs w:val="18"/>
        </w:rPr>
        <w:fldChar w:fldCharType="end"/>
      </w:r>
    </w:p>
    <w:p w14:paraId="5B407E33" w14:textId="71B80392" w:rsidR="00EA2A41" w:rsidRPr="007A2ADC" w:rsidRDefault="00EA2A41" w:rsidP="007A2ADC">
      <w:pPr>
        <w:pStyle w:val="Nadpis1"/>
        <w:ind w:left="426"/>
        <w:rPr>
          <w:rFonts w:ascii="Arial Narrow" w:hAnsi="Arial Narrow"/>
          <w:b w:val="0"/>
          <w:bCs w:val="0"/>
          <w:color w:val="002060"/>
          <w:sz w:val="20"/>
          <w:szCs w:val="20"/>
        </w:rPr>
      </w:pPr>
      <w:bookmarkStart w:id="968" w:name="_Toc136876172"/>
      <w:r w:rsidRPr="00CE357F">
        <w:rPr>
          <w:rFonts w:ascii="Arial Narrow" w:hAnsi="Arial Narrow"/>
          <w:color w:val="002060"/>
          <w:sz w:val="36"/>
          <w:szCs w:val="36"/>
        </w:rPr>
        <w:t>SEZNAM TABULEK</w:t>
      </w:r>
      <w:bookmarkEnd w:id="968"/>
      <w:r w:rsidR="00CE357F">
        <w:rPr>
          <w:rFonts w:ascii="Arial Narrow" w:hAnsi="Arial Narrow"/>
          <w:color w:val="002060"/>
          <w:sz w:val="36"/>
          <w:szCs w:val="36"/>
        </w:rPr>
        <w:br/>
      </w:r>
    </w:p>
    <w:p w14:paraId="07A2F07F" w14:textId="5D87C157" w:rsidR="005F4F07" w:rsidRPr="005F4F07" w:rsidRDefault="00035051"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r w:rsidRPr="009E6DB4">
        <w:rPr>
          <w:rFonts w:cs="Arial"/>
          <w:sz w:val="20"/>
          <w:szCs w:val="20"/>
          <w:lang w:eastAsia="cs-CZ"/>
        </w:rPr>
        <w:fldChar w:fldCharType="begin"/>
      </w:r>
      <w:r w:rsidRPr="009E6DB4">
        <w:rPr>
          <w:rFonts w:cs="Arial"/>
          <w:sz w:val="20"/>
          <w:szCs w:val="20"/>
          <w:lang w:eastAsia="cs-CZ"/>
        </w:rPr>
        <w:instrText xml:space="preserve"> TOC \h \z \c "Tabulka" </w:instrText>
      </w:r>
      <w:r w:rsidRPr="009E6DB4">
        <w:rPr>
          <w:rFonts w:cs="Arial"/>
          <w:sz w:val="20"/>
          <w:szCs w:val="20"/>
          <w:lang w:eastAsia="cs-CZ"/>
        </w:rPr>
        <w:fldChar w:fldCharType="separate"/>
      </w:r>
      <w:hyperlink w:anchor="_Toc136429212" w:history="1">
        <w:r w:rsidR="005F4F07" w:rsidRPr="005F4F07">
          <w:rPr>
            <w:rStyle w:val="Hypertextovodkaz"/>
            <w:noProof/>
            <w:sz w:val="18"/>
            <w:szCs w:val="18"/>
          </w:rPr>
          <w:t>Tabulka 1: Vývoj počtu osob s jinou než českou státní příslušností v České republice</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_Toc136429212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w:t>
        </w:r>
        <w:r w:rsidR="005F4F07" w:rsidRPr="005F4F07">
          <w:rPr>
            <w:noProof/>
            <w:webHidden/>
            <w:sz w:val="18"/>
            <w:szCs w:val="18"/>
          </w:rPr>
          <w:fldChar w:fldCharType="end"/>
        </w:r>
      </w:hyperlink>
    </w:p>
    <w:p w14:paraId="10F0F2BC" w14:textId="3A23111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13" w:history="1">
        <w:r w:rsidR="005F4F07" w:rsidRPr="005F4F07">
          <w:rPr>
            <w:rStyle w:val="Hypertextovodkaz"/>
            <w:noProof/>
            <w:sz w:val="18"/>
            <w:szCs w:val="18"/>
          </w:rPr>
          <w:t>Tabulka 2: Pobyt osob s jinou než českou státní příslušností na území ČR v jednotlivých čtvrtletích roku 2020, 2021 a 2022 – jednotlivé státní příslušnosti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_Toc136429213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10</w:t>
        </w:r>
        <w:r w:rsidR="005F4F07" w:rsidRPr="005F4F07">
          <w:rPr>
            <w:noProof/>
            <w:webHidden/>
            <w:sz w:val="18"/>
            <w:szCs w:val="18"/>
          </w:rPr>
          <w:fldChar w:fldCharType="end"/>
        </w:r>
      </w:hyperlink>
    </w:p>
    <w:p w14:paraId="069CCB6D" w14:textId="5C4C705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14" w:history="1">
        <w:r w:rsidR="005F4F07" w:rsidRPr="005F4F07">
          <w:rPr>
            <w:rStyle w:val="Hypertextovodkaz"/>
            <w:noProof/>
            <w:sz w:val="18"/>
            <w:szCs w:val="18"/>
          </w:rPr>
          <w:t>Tabulka 3: Osoby s jinou než českou státní příslušností podle státní příslušnosti k 31. 12. 2022 – územní srovnání krajů</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_Toc136429214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w:t>
        </w:r>
        <w:r w:rsidR="005F4F07" w:rsidRPr="005F4F07">
          <w:rPr>
            <w:noProof/>
            <w:webHidden/>
            <w:sz w:val="18"/>
            <w:szCs w:val="18"/>
          </w:rPr>
          <w:fldChar w:fldCharType="end"/>
        </w:r>
      </w:hyperlink>
    </w:p>
    <w:p w14:paraId="4834BFC2" w14:textId="5ADA299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15" w:history="1">
        <w:r w:rsidR="005F4F07" w:rsidRPr="005F4F07">
          <w:rPr>
            <w:rStyle w:val="Hypertextovodkaz"/>
            <w:noProof/>
            <w:sz w:val="18"/>
            <w:szCs w:val="18"/>
          </w:rPr>
          <w:t>Tabulka 4: Vývoj počtu osob s jinou než českou státní příslušností v letech 2005-2020 podle země původu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_Toc136429215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w:t>
        </w:r>
        <w:r w:rsidR="005F4F07" w:rsidRPr="005F4F07">
          <w:rPr>
            <w:noProof/>
            <w:webHidden/>
            <w:sz w:val="18"/>
            <w:szCs w:val="18"/>
          </w:rPr>
          <w:fldChar w:fldCharType="end"/>
        </w:r>
      </w:hyperlink>
    </w:p>
    <w:p w14:paraId="2AAD40EE" w14:textId="050F14B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16" w:history="1">
        <w:r w:rsidR="005F4F07" w:rsidRPr="005F4F07">
          <w:rPr>
            <w:rStyle w:val="Hypertextovodkaz"/>
            <w:noProof/>
            <w:sz w:val="18"/>
            <w:szCs w:val="18"/>
          </w:rPr>
          <w:t>Tabulka 5: Osoby s jinou než českou státní příslušností v ČR podle státního občanství v letech 2004–2022 (k 31. 12.) – nejčastější země původu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_Toc136429216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w:t>
        </w:r>
        <w:r w:rsidR="005F4F07" w:rsidRPr="005F4F07">
          <w:rPr>
            <w:noProof/>
            <w:webHidden/>
            <w:sz w:val="18"/>
            <w:szCs w:val="18"/>
          </w:rPr>
          <w:fldChar w:fldCharType="end"/>
        </w:r>
      </w:hyperlink>
    </w:p>
    <w:p w14:paraId="53A0C0ED" w14:textId="6F897FD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17" w:history="1">
        <w:r w:rsidR="005F4F07" w:rsidRPr="005F4F07">
          <w:rPr>
            <w:rStyle w:val="Hypertextovodkaz"/>
            <w:noProof/>
            <w:sz w:val="18"/>
            <w:szCs w:val="18"/>
          </w:rPr>
          <w:t>Tabulka 6: Mateřské, základní a střední školy – osoby s jinou než českou státní příslušností v České republice</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_Toc136429217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46</w:t>
        </w:r>
        <w:r w:rsidR="005F4F07" w:rsidRPr="005F4F07">
          <w:rPr>
            <w:noProof/>
            <w:webHidden/>
            <w:sz w:val="18"/>
            <w:szCs w:val="18"/>
          </w:rPr>
          <w:fldChar w:fldCharType="end"/>
        </w:r>
      </w:hyperlink>
    </w:p>
    <w:p w14:paraId="59163577" w14:textId="250B957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18" w:history="1">
        <w:r w:rsidR="005F4F07" w:rsidRPr="005F4F07">
          <w:rPr>
            <w:rStyle w:val="Hypertextovodkaz"/>
            <w:noProof/>
            <w:sz w:val="18"/>
            <w:szCs w:val="18"/>
          </w:rPr>
          <w:t>Tabulka 7:  Vývoj počtu dětí v předškolních zařízeních s jinou než českou státní příslušností v České republice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_Toc136429218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47</w:t>
        </w:r>
        <w:r w:rsidR="005F4F07" w:rsidRPr="005F4F07">
          <w:rPr>
            <w:noProof/>
            <w:webHidden/>
            <w:sz w:val="18"/>
            <w:szCs w:val="18"/>
          </w:rPr>
          <w:fldChar w:fldCharType="end"/>
        </w:r>
      </w:hyperlink>
    </w:p>
    <w:p w14:paraId="440DE940" w14:textId="3C43398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19" w:history="1">
        <w:r w:rsidR="005F4F07" w:rsidRPr="005F4F07">
          <w:rPr>
            <w:rStyle w:val="Hypertextovodkaz"/>
            <w:noProof/>
            <w:sz w:val="18"/>
            <w:szCs w:val="18"/>
          </w:rPr>
          <w:t>Tabulka 8:  Vývoj počtu žáků s jinou než českou státní příslušností v České republice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_Toc136429219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50</w:t>
        </w:r>
        <w:r w:rsidR="005F4F07" w:rsidRPr="005F4F07">
          <w:rPr>
            <w:noProof/>
            <w:webHidden/>
            <w:sz w:val="18"/>
            <w:szCs w:val="18"/>
          </w:rPr>
          <w:fldChar w:fldCharType="end"/>
        </w:r>
      </w:hyperlink>
    </w:p>
    <w:p w14:paraId="64BA1FFA" w14:textId="0034C13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0" w:history="1">
        <w:r w:rsidR="005F4F07" w:rsidRPr="005F4F07">
          <w:rPr>
            <w:rStyle w:val="Hypertextovodkaz"/>
            <w:noProof/>
            <w:sz w:val="18"/>
            <w:szCs w:val="18"/>
          </w:rPr>
          <w:t>Tabulka 9:  Vývoj počtu žáků na ŠŠ s jinou než českou státní příslušností v České republice v letech 2005-2023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53</w:t>
        </w:r>
        <w:r w:rsidR="005F4F07" w:rsidRPr="005F4F07">
          <w:rPr>
            <w:noProof/>
            <w:webHidden/>
            <w:sz w:val="18"/>
            <w:szCs w:val="18"/>
          </w:rPr>
          <w:fldChar w:fldCharType="end"/>
        </w:r>
      </w:hyperlink>
    </w:p>
    <w:p w14:paraId="5369B0F5" w14:textId="16FCDA7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1" w:history="1">
        <w:r w:rsidR="005F4F07" w:rsidRPr="005F4F07">
          <w:rPr>
            <w:rStyle w:val="Hypertextovodkaz"/>
            <w:noProof/>
            <w:sz w:val="18"/>
            <w:szCs w:val="18"/>
          </w:rPr>
          <w:t>Tabulka 10:  Vývoj počtu dětí v předškolních zařízeních s jinou než českou státní příslušností v letech 2005-2023 v Jihomoravském kraji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56</w:t>
        </w:r>
        <w:r w:rsidR="005F4F07" w:rsidRPr="005F4F07">
          <w:rPr>
            <w:noProof/>
            <w:webHidden/>
            <w:sz w:val="18"/>
            <w:szCs w:val="18"/>
          </w:rPr>
          <w:fldChar w:fldCharType="end"/>
        </w:r>
      </w:hyperlink>
    </w:p>
    <w:p w14:paraId="18B67981" w14:textId="79353D2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2" w:history="1">
        <w:r w:rsidR="005F4F07" w:rsidRPr="005F4F07">
          <w:rPr>
            <w:rStyle w:val="Hypertextovodkaz"/>
            <w:noProof/>
            <w:sz w:val="18"/>
            <w:szCs w:val="18"/>
          </w:rPr>
          <w:t>Tabulka 11:  Vývoj počtu žáků na ZŠ s jinou než českou státní příslušností v Jihomoravském kraji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58</w:t>
        </w:r>
        <w:r w:rsidR="005F4F07" w:rsidRPr="005F4F07">
          <w:rPr>
            <w:noProof/>
            <w:webHidden/>
            <w:sz w:val="18"/>
            <w:szCs w:val="18"/>
          </w:rPr>
          <w:fldChar w:fldCharType="end"/>
        </w:r>
      </w:hyperlink>
    </w:p>
    <w:p w14:paraId="2B5FFCD1" w14:textId="4B6994E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3" w:history="1">
        <w:r w:rsidR="005F4F07" w:rsidRPr="005F4F07">
          <w:rPr>
            <w:rStyle w:val="Hypertextovodkaz"/>
            <w:noProof/>
            <w:sz w:val="18"/>
            <w:szCs w:val="18"/>
          </w:rPr>
          <w:t>Tabulka 12:  Vývoj počtu žáků na SŠ s jinou než českou státní příslušností v Jihomoravském kraji v letech 2005-2023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60</w:t>
        </w:r>
        <w:r w:rsidR="005F4F07" w:rsidRPr="005F4F07">
          <w:rPr>
            <w:noProof/>
            <w:webHidden/>
            <w:sz w:val="18"/>
            <w:szCs w:val="18"/>
          </w:rPr>
          <w:fldChar w:fldCharType="end"/>
        </w:r>
      </w:hyperlink>
    </w:p>
    <w:p w14:paraId="1C72A52F" w14:textId="03754B5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4" w:history="1">
        <w:r w:rsidR="005F4F07" w:rsidRPr="005F4F07">
          <w:rPr>
            <w:rStyle w:val="Hypertextovodkaz"/>
            <w:noProof/>
            <w:sz w:val="18"/>
            <w:szCs w:val="18"/>
          </w:rPr>
          <w:t>Tabulka 13:  Struktura uchazečů o zaměstnání z EU/EHP podle občanství a pohlaví za měsíc prosinec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70</w:t>
        </w:r>
        <w:r w:rsidR="005F4F07" w:rsidRPr="005F4F07">
          <w:rPr>
            <w:noProof/>
            <w:webHidden/>
            <w:sz w:val="18"/>
            <w:szCs w:val="18"/>
          </w:rPr>
          <w:fldChar w:fldCharType="end"/>
        </w:r>
      </w:hyperlink>
    </w:p>
    <w:p w14:paraId="7537CBF2" w14:textId="7D91A7D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5" w:history="1">
        <w:r w:rsidR="005F4F07" w:rsidRPr="005F4F07">
          <w:rPr>
            <w:rStyle w:val="Hypertextovodkaz"/>
            <w:noProof/>
            <w:sz w:val="18"/>
            <w:szCs w:val="18"/>
          </w:rPr>
          <w:t>Tabulka 14:  Struktura uchazečů o zaměstnání z EU/EHP v ČR a JMK v letech 2014-2022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71</w:t>
        </w:r>
        <w:r w:rsidR="005F4F07" w:rsidRPr="005F4F07">
          <w:rPr>
            <w:noProof/>
            <w:webHidden/>
            <w:sz w:val="18"/>
            <w:szCs w:val="18"/>
          </w:rPr>
          <w:fldChar w:fldCharType="end"/>
        </w:r>
      </w:hyperlink>
    </w:p>
    <w:p w14:paraId="7897F4E0" w14:textId="49D5B0D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6" w:history="1">
        <w:r w:rsidR="005F4F07" w:rsidRPr="005F4F07">
          <w:rPr>
            <w:rStyle w:val="Hypertextovodkaz"/>
            <w:noProof/>
            <w:sz w:val="18"/>
            <w:szCs w:val="18"/>
          </w:rPr>
          <w:t>Tabulka 15:  Struktura uchazečů o zaměstnání ze třetích zemí podle občanství a pohlaví za prosinec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72</w:t>
        </w:r>
        <w:r w:rsidR="005F4F07" w:rsidRPr="005F4F07">
          <w:rPr>
            <w:noProof/>
            <w:webHidden/>
            <w:sz w:val="18"/>
            <w:szCs w:val="18"/>
          </w:rPr>
          <w:fldChar w:fldCharType="end"/>
        </w:r>
      </w:hyperlink>
    </w:p>
    <w:p w14:paraId="789A4037" w14:textId="0A6EE255"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7" w:history="1">
        <w:r w:rsidR="005F4F07" w:rsidRPr="005F4F07">
          <w:rPr>
            <w:rStyle w:val="Hypertextovodkaz"/>
            <w:noProof/>
            <w:sz w:val="18"/>
            <w:szCs w:val="18"/>
          </w:rPr>
          <w:t>Tabulka 16:  Struktura uchazečů o zaměstnání ze třetích zemí v ČR a JMK v letech 2014-2022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73</w:t>
        </w:r>
        <w:r w:rsidR="005F4F07" w:rsidRPr="005F4F07">
          <w:rPr>
            <w:noProof/>
            <w:webHidden/>
            <w:sz w:val="18"/>
            <w:szCs w:val="18"/>
          </w:rPr>
          <w:fldChar w:fldCharType="end"/>
        </w:r>
      </w:hyperlink>
    </w:p>
    <w:p w14:paraId="509E6E26" w14:textId="166AE14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8" w:history="1">
        <w:r w:rsidR="005F4F07" w:rsidRPr="005F4F07">
          <w:rPr>
            <w:rStyle w:val="Hypertextovodkaz"/>
            <w:noProof/>
            <w:sz w:val="18"/>
            <w:szCs w:val="18"/>
          </w:rPr>
          <w:t>Tabulka 17:  Vývoj počtu uchazečů o zaměstnání–občanů ČR, EU/EHP a třetích zemí v ČR a JMK v letech 2014-2022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74</w:t>
        </w:r>
        <w:r w:rsidR="005F4F07" w:rsidRPr="005F4F07">
          <w:rPr>
            <w:noProof/>
            <w:webHidden/>
            <w:sz w:val="18"/>
            <w:szCs w:val="18"/>
          </w:rPr>
          <w:fldChar w:fldCharType="end"/>
        </w:r>
      </w:hyperlink>
    </w:p>
    <w:p w14:paraId="68F47E7F" w14:textId="67F1FB4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29" w:history="1">
        <w:r w:rsidR="005F4F07" w:rsidRPr="005F4F07">
          <w:rPr>
            <w:rStyle w:val="Hypertextovodkaz"/>
            <w:noProof/>
            <w:sz w:val="18"/>
            <w:szCs w:val="18"/>
          </w:rPr>
          <w:t>Tabulka 18:  Osoby s jinou než českou státní příslušností evidované na úřadech práce v České republice – prosinec 2015-2022 – územní srovnání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_Toc136429229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86</w:t>
        </w:r>
        <w:r w:rsidR="005F4F07" w:rsidRPr="005F4F07">
          <w:rPr>
            <w:noProof/>
            <w:webHidden/>
            <w:sz w:val="18"/>
            <w:szCs w:val="18"/>
          </w:rPr>
          <w:fldChar w:fldCharType="end"/>
        </w:r>
      </w:hyperlink>
    </w:p>
    <w:p w14:paraId="06A5AE0C" w14:textId="575E03E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0" w:history="1">
        <w:r w:rsidR="005F4F07" w:rsidRPr="005F4F07">
          <w:rPr>
            <w:rStyle w:val="Hypertextovodkaz"/>
            <w:noProof/>
            <w:sz w:val="18"/>
            <w:szCs w:val="18"/>
          </w:rPr>
          <w:t>Tabulka 19:  Zaměstnávání osob s jinou než českou státní příslušností – 5 nejčastějších zemí původu (údaje vždy za prosinec daného roku)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86</w:t>
        </w:r>
        <w:r w:rsidR="005F4F07" w:rsidRPr="005F4F07">
          <w:rPr>
            <w:noProof/>
            <w:webHidden/>
            <w:sz w:val="18"/>
            <w:szCs w:val="18"/>
          </w:rPr>
          <w:fldChar w:fldCharType="end"/>
        </w:r>
      </w:hyperlink>
    </w:p>
    <w:p w14:paraId="1D12C905" w14:textId="646E2F1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1" w:history="1">
        <w:r w:rsidR="005F4F07" w:rsidRPr="005F4F07">
          <w:rPr>
            <w:rStyle w:val="Hypertextovodkaz"/>
            <w:noProof/>
            <w:sz w:val="18"/>
            <w:szCs w:val="18"/>
          </w:rPr>
          <w:t>Tabulka 20: Tři významní zaměstnavatelé občanů s jinou než českou státní příslušností v roce 2020 v ORP Jihomoravského kraje</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110</w:t>
        </w:r>
        <w:r w:rsidR="005F4F07" w:rsidRPr="005F4F07">
          <w:rPr>
            <w:noProof/>
            <w:webHidden/>
            <w:sz w:val="18"/>
            <w:szCs w:val="18"/>
          </w:rPr>
          <w:fldChar w:fldCharType="end"/>
        </w:r>
      </w:hyperlink>
    </w:p>
    <w:p w14:paraId="74B6834E" w14:textId="1654EA7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2" w:history="1">
        <w:r w:rsidR="005F4F07" w:rsidRPr="005F4F07">
          <w:rPr>
            <w:rStyle w:val="Hypertextovodkaz"/>
            <w:noProof/>
            <w:sz w:val="18"/>
            <w:szCs w:val="18"/>
          </w:rPr>
          <w:t>Tabulka 21:  Dočasně přidělení zaměstnanci agentur práce z hlediska počtu a země původu v letech 2012-2020</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112</w:t>
        </w:r>
        <w:r w:rsidR="005F4F07" w:rsidRPr="005F4F07">
          <w:rPr>
            <w:noProof/>
            <w:webHidden/>
            <w:sz w:val="18"/>
            <w:szCs w:val="18"/>
          </w:rPr>
          <w:fldChar w:fldCharType="end"/>
        </w:r>
      </w:hyperlink>
    </w:p>
    <w:p w14:paraId="18D833E9" w14:textId="4F6C5A0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3" w:history="1">
        <w:r w:rsidR="005F4F07" w:rsidRPr="005F4F07">
          <w:rPr>
            <w:rStyle w:val="Hypertextovodkaz"/>
            <w:noProof/>
            <w:sz w:val="18"/>
            <w:szCs w:val="18"/>
          </w:rPr>
          <w:t xml:space="preserve">Tabulka 22:  Samostatně výdělečné </w:t>
        </w:r>
        <w:r w:rsidR="005F4F07" w:rsidRPr="005F4F07">
          <w:rPr>
            <w:rStyle w:val="Hypertextovodkaz"/>
            <w:rFonts w:eastAsia="Times New Roman" w:cs="Arial"/>
            <w:noProof/>
            <w:sz w:val="18"/>
            <w:szCs w:val="18"/>
            <w:lang w:eastAsia="cs-CZ"/>
          </w:rPr>
          <w:t>osoby s jinou než českou státní příslušností v České republice – 10 nejčastějších občanství – srovnání let 2019 a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116</w:t>
        </w:r>
        <w:r w:rsidR="005F4F07" w:rsidRPr="005F4F07">
          <w:rPr>
            <w:noProof/>
            <w:webHidden/>
            <w:sz w:val="18"/>
            <w:szCs w:val="18"/>
          </w:rPr>
          <w:fldChar w:fldCharType="end"/>
        </w:r>
      </w:hyperlink>
    </w:p>
    <w:p w14:paraId="394C2CC4" w14:textId="1971397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4" w:history="1">
        <w:r w:rsidR="005F4F07" w:rsidRPr="005F4F07">
          <w:rPr>
            <w:rStyle w:val="Hypertextovodkaz"/>
            <w:noProof/>
            <w:sz w:val="18"/>
            <w:szCs w:val="18"/>
          </w:rPr>
          <w:t xml:space="preserve">Tabulka 23:  </w:t>
        </w:r>
        <w:r w:rsidR="005F4F07" w:rsidRPr="005F4F07">
          <w:rPr>
            <w:rStyle w:val="Hypertextovodkaz"/>
            <w:rFonts w:eastAsia="Times New Roman" w:cs="Arial"/>
            <w:noProof/>
            <w:sz w:val="18"/>
            <w:szCs w:val="18"/>
            <w:lang w:eastAsia="cs-CZ"/>
          </w:rPr>
          <w:t>Počet osob v Jihomoravském kraji s jinou než českou státní příslušností s platným živnostenským oprávněním k 31. 12. daného roku</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116</w:t>
        </w:r>
        <w:r w:rsidR="005F4F07" w:rsidRPr="005F4F07">
          <w:rPr>
            <w:noProof/>
            <w:webHidden/>
            <w:sz w:val="18"/>
            <w:szCs w:val="18"/>
          </w:rPr>
          <w:fldChar w:fldCharType="end"/>
        </w:r>
      </w:hyperlink>
    </w:p>
    <w:p w14:paraId="3A5E1ABE" w14:textId="33FFB5D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5" w:history="1">
        <w:r w:rsidR="005F4F07" w:rsidRPr="005F4F07">
          <w:rPr>
            <w:rStyle w:val="Hypertextovodkaz"/>
            <w:noProof/>
            <w:sz w:val="18"/>
            <w:szCs w:val="18"/>
          </w:rPr>
          <w:t>Tabulka 24: Vývoj počtu obyvatel v ORP Blansko v letech 2005-2021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124</w:t>
        </w:r>
        <w:r w:rsidR="005F4F07" w:rsidRPr="005F4F07">
          <w:rPr>
            <w:noProof/>
            <w:webHidden/>
            <w:sz w:val="18"/>
            <w:szCs w:val="18"/>
          </w:rPr>
          <w:fldChar w:fldCharType="end"/>
        </w:r>
      </w:hyperlink>
    </w:p>
    <w:p w14:paraId="4734C610" w14:textId="268AC3E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6" w:history="1">
        <w:r w:rsidR="005F4F07" w:rsidRPr="005F4F07">
          <w:rPr>
            <w:rStyle w:val="Hypertextovodkaz"/>
            <w:noProof/>
            <w:sz w:val="18"/>
            <w:szCs w:val="18"/>
          </w:rPr>
          <w:t xml:space="preserve">Tabulka 25:  </w:t>
        </w:r>
        <w:r w:rsidR="005F4F07" w:rsidRPr="005F4F07">
          <w:rPr>
            <w:rStyle w:val="Hypertextovodkaz"/>
            <w:rFonts w:eastAsia="Times New Roman" w:cs="Arial"/>
            <w:noProof/>
            <w:sz w:val="18"/>
            <w:szCs w:val="18"/>
            <w:lang w:eastAsia="cs-CZ"/>
          </w:rPr>
          <w:t>Podíl dětí ve věku do 15 let na celkovém počtu osob s jinou než českou státní příslušností v ORP Blansko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126</w:t>
        </w:r>
        <w:r w:rsidR="005F4F07" w:rsidRPr="005F4F07">
          <w:rPr>
            <w:noProof/>
            <w:webHidden/>
            <w:sz w:val="18"/>
            <w:szCs w:val="18"/>
          </w:rPr>
          <w:fldChar w:fldCharType="end"/>
        </w:r>
      </w:hyperlink>
    </w:p>
    <w:p w14:paraId="4E9F21E3" w14:textId="378A6F1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7" w:history="1">
        <w:r w:rsidR="005F4F07" w:rsidRPr="005F4F07">
          <w:rPr>
            <w:rStyle w:val="Hypertextovodkaz"/>
            <w:noProof/>
            <w:sz w:val="18"/>
            <w:szCs w:val="18"/>
          </w:rPr>
          <w:t xml:space="preserve">Tabulka 26: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Blansko v roce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127</w:t>
        </w:r>
        <w:r w:rsidR="005F4F07" w:rsidRPr="005F4F07">
          <w:rPr>
            <w:noProof/>
            <w:webHidden/>
            <w:sz w:val="18"/>
            <w:szCs w:val="18"/>
          </w:rPr>
          <w:fldChar w:fldCharType="end"/>
        </w:r>
      </w:hyperlink>
    </w:p>
    <w:p w14:paraId="49E3E5A5" w14:textId="1275A38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8" w:history="1">
        <w:r w:rsidR="005F4F07" w:rsidRPr="005F4F07">
          <w:rPr>
            <w:rStyle w:val="Hypertextovodkaz"/>
            <w:noProof/>
            <w:sz w:val="18"/>
            <w:szCs w:val="18"/>
          </w:rPr>
          <w:t xml:space="preserve">Tabulka 27: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Blansko k 1. 1.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128</w:t>
        </w:r>
        <w:r w:rsidR="005F4F07" w:rsidRPr="005F4F07">
          <w:rPr>
            <w:noProof/>
            <w:webHidden/>
            <w:sz w:val="18"/>
            <w:szCs w:val="18"/>
          </w:rPr>
          <w:fldChar w:fldCharType="end"/>
        </w:r>
      </w:hyperlink>
    </w:p>
    <w:p w14:paraId="46EDBF29" w14:textId="18AD07C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39" w:history="1">
        <w:r w:rsidR="005F4F07" w:rsidRPr="005F4F07">
          <w:rPr>
            <w:rStyle w:val="Hypertextovodkaz"/>
            <w:noProof/>
            <w:sz w:val="18"/>
            <w:szCs w:val="18"/>
          </w:rPr>
          <w:t xml:space="preserve">Tabulka 28: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Blansko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_Toc136429239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130</w:t>
        </w:r>
        <w:r w:rsidR="005F4F07" w:rsidRPr="005F4F07">
          <w:rPr>
            <w:noProof/>
            <w:webHidden/>
            <w:sz w:val="18"/>
            <w:szCs w:val="18"/>
          </w:rPr>
          <w:fldChar w:fldCharType="end"/>
        </w:r>
      </w:hyperlink>
    </w:p>
    <w:p w14:paraId="29CB6807" w14:textId="726B36B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0" w:history="1">
        <w:r w:rsidR="005F4F07" w:rsidRPr="005F4F07">
          <w:rPr>
            <w:rStyle w:val="Hypertextovodkaz"/>
            <w:noProof/>
            <w:sz w:val="18"/>
            <w:szCs w:val="18"/>
          </w:rPr>
          <w:t xml:space="preserve">Tabulka 29:  </w:t>
        </w:r>
        <w:r w:rsidR="005F4F07" w:rsidRPr="005F4F07">
          <w:rPr>
            <w:rStyle w:val="Hypertextovodkaz"/>
            <w:rFonts w:eastAsia="Times New Roman" w:cs="Arial"/>
            <w:noProof/>
            <w:sz w:val="18"/>
            <w:szCs w:val="18"/>
            <w:lang w:eastAsia="cs-CZ"/>
          </w:rPr>
          <w:t>Vývoj počtu uchazečů o zaměstnání a volných pracovních míst v ORP Blansko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133</w:t>
        </w:r>
        <w:r w:rsidR="005F4F07" w:rsidRPr="005F4F07">
          <w:rPr>
            <w:noProof/>
            <w:webHidden/>
            <w:sz w:val="18"/>
            <w:szCs w:val="18"/>
          </w:rPr>
          <w:fldChar w:fldCharType="end"/>
        </w:r>
      </w:hyperlink>
    </w:p>
    <w:p w14:paraId="7B62B01A" w14:textId="6ACC00A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1" w:history="1">
        <w:r w:rsidR="005F4F07" w:rsidRPr="005F4F07">
          <w:rPr>
            <w:rStyle w:val="Hypertextovodkaz"/>
            <w:noProof/>
            <w:sz w:val="18"/>
            <w:szCs w:val="18"/>
          </w:rPr>
          <w:t xml:space="preserve">Tabulka 30:  </w:t>
        </w:r>
        <w:r w:rsidR="005F4F07" w:rsidRPr="005F4F07">
          <w:rPr>
            <w:rStyle w:val="Hypertextovodkaz"/>
            <w:rFonts w:eastAsia="Times New Roman" w:cs="Arial"/>
            <w:noProof/>
            <w:sz w:val="18"/>
            <w:szCs w:val="18"/>
            <w:lang w:eastAsia="cs-CZ"/>
          </w:rPr>
          <w:t>Soupis významných zaměstnavatelů osob s jinou než českou státní příslušností v ORP Blansko v roce 2020</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134</w:t>
        </w:r>
        <w:r w:rsidR="005F4F07" w:rsidRPr="005F4F07">
          <w:rPr>
            <w:noProof/>
            <w:webHidden/>
            <w:sz w:val="18"/>
            <w:szCs w:val="18"/>
          </w:rPr>
          <w:fldChar w:fldCharType="end"/>
        </w:r>
      </w:hyperlink>
    </w:p>
    <w:p w14:paraId="140AD44D" w14:textId="40A5AF4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2" w:history="1">
        <w:r w:rsidR="005F4F07" w:rsidRPr="005F4F07">
          <w:rPr>
            <w:rStyle w:val="Hypertextovodkaz"/>
            <w:noProof/>
            <w:sz w:val="18"/>
            <w:szCs w:val="18"/>
          </w:rPr>
          <w:t xml:space="preserve">Tabulka 31:  Zaměstnané </w:t>
        </w:r>
        <w:r w:rsidR="005F4F07" w:rsidRPr="005F4F07">
          <w:rPr>
            <w:rStyle w:val="Hypertextovodkaz"/>
            <w:rFonts w:eastAsia="Times New Roman" w:cs="Arial"/>
            <w:noProof/>
            <w:sz w:val="18"/>
            <w:szCs w:val="18"/>
            <w:lang w:eastAsia="cs-CZ"/>
          </w:rPr>
          <w:t>osoby s jinou než českou státní příslušností v ORP Blansko podle klasifikace ekonomické činnosti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135</w:t>
        </w:r>
        <w:r w:rsidR="005F4F07" w:rsidRPr="005F4F07">
          <w:rPr>
            <w:noProof/>
            <w:webHidden/>
            <w:sz w:val="18"/>
            <w:szCs w:val="18"/>
          </w:rPr>
          <w:fldChar w:fldCharType="end"/>
        </w:r>
      </w:hyperlink>
    </w:p>
    <w:p w14:paraId="7E7F5560" w14:textId="68C74F5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3" w:history="1">
        <w:r w:rsidR="005F4F07" w:rsidRPr="005F4F07">
          <w:rPr>
            <w:rStyle w:val="Hypertextovodkaz"/>
            <w:noProof/>
            <w:sz w:val="18"/>
            <w:szCs w:val="18"/>
          </w:rPr>
          <w:t>Tabulka 32: Vývoj počtu obyvatel v ORP Brno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138</w:t>
        </w:r>
        <w:r w:rsidR="005F4F07" w:rsidRPr="005F4F07">
          <w:rPr>
            <w:noProof/>
            <w:webHidden/>
            <w:sz w:val="18"/>
            <w:szCs w:val="18"/>
          </w:rPr>
          <w:fldChar w:fldCharType="end"/>
        </w:r>
      </w:hyperlink>
    </w:p>
    <w:p w14:paraId="75FB480C" w14:textId="72991AA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4" w:history="1">
        <w:r w:rsidR="005F4F07" w:rsidRPr="005F4F07">
          <w:rPr>
            <w:rStyle w:val="Hypertextovodkaz"/>
            <w:noProof/>
            <w:sz w:val="18"/>
            <w:szCs w:val="18"/>
          </w:rPr>
          <w:t xml:space="preserve">Tabulka 33: </w:t>
        </w:r>
        <w:r w:rsidR="005F4F07" w:rsidRPr="005F4F07">
          <w:rPr>
            <w:rStyle w:val="Hypertextovodkaz"/>
            <w:rFonts w:eastAsia="Times New Roman" w:cs="Arial"/>
            <w:noProof/>
            <w:sz w:val="18"/>
            <w:szCs w:val="18"/>
            <w:lang w:eastAsia="cs-CZ"/>
          </w:rPr>
          <w:t>Podíl dětí ve věku do 15 let na celkovém počtu osob s jinou než českou státní příslušností v ORP Brno v letech 2008-2023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140</w:t>
        </w:r>
        <w:r w:rsidR="005F4F07" w:rsidRPr="005F4F07">
          <w:rPr>
            <w:noProof/>
            <w:webHidden/>
            <w:sz w:val="18"/>
            <w:szCs w:val="18"/>
          </w:rPr>
          <w:fldChar w:fldCharType="end"/>
        </w:r>
      </w:hyperlink>
    </w:p>
    <w:p w14:paraId="4407DE15" w14:textId="6B4E9C1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5" w:history="1">
        <w:r w:rsidR="005F4F07" w:rsidRPr="005F4F07">
          <w:rPr>
            <w:rStyle w:val="Hypertextovodkaz"/>
            <w:noProof/>
            <w:sz w:val="18"/>
            <w:szCs w:val="18"/>
          </w:rPr>
          <w:t xml:space="preserve">Tabulka 34:  </w:t>
        </w:r>
        <w:r w:rsidR="005F4F07" w:rsidRPr="005F4F07">
          <w:rPr>
            <w:rStyle w:val="Hypertextovodkaz"/>
            <w:rFonts w:eastAsia="Times New Roman" w:cs="Arial"/>
            <w:noProof/>
            <w:sz w:val="18"/>
            <w:szCs w:val="18"/>
            <w:lang w:eastAsia="cs-CZ"/>
          </w:rPr>
          <w:t>Podíl osob s jinou než českou státní příslušností na celkovém počtu obyvatel městských částí ORP Brno k datu 1. 1.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141</w:t>
        </w:r>
        <w:r w:rsidR="005F4F07" w:rsidRPr="005F4F07">
          <w:rPr>
            <w:noProof/>
            <w:webHidden/>
            <w:sz w:val="18"/>
            <w:szCs w:val="18"/>
          </w:rPr>
          <w:fldChar w:fldCharType="end"/>
        </w:r>
      </w:hyperlink>
    </w:p>
    <w:p w14:paraId="7CDFB0DB" w14:textId="1F1E71D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6" w:history="1">
        <w:r w:rsidR="005F4F07" w:rsidRPr="005F4F07">
          <w:rPr>
            <w:rStyle w:val="Hypertextovodkaz"/>
            <w:noProof/>
            <w:sz w:val="18"/>
            <w:szCs w:val="18"/>
          </w:rPr>
          <w:t xml:space="preserve">Tabulka 35:  </w:t>
        </w:r>
        <w:r w:rsidR="005F4F07" w:rsidRPr="005F4F07">
          <w:rPr>
            <w:rStyle w:val="Hypertextovodkaz"/>
            <w:rFonts w:eastAsia="Times New Roman" w:cs="Arial"/>
            <w:noProof/>
            <w:sz w:val="18"/>
            <w:szCs w:val="18"/>
            <w:lang w:eastAsia="cs-CZ"/>
          </w:rPr>
          <w:t>Podíl osob s jinou než českou státní příslušností na celkovém počtu obyvatel městských částí ORP Brno k datu 1. 1.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142</w:t>
        </w:r>
        <w:r w:rsidR="005F4F07" w:rsidRPr="005F4F07">
          <w:rPr>
            <w:noProof/>
            <w:webHidden/>
            <w:sz w:val="18"/>
            <w:szCs w:val="18"/>
          </w:rPr>
          <w:fldChar w:fldCharType="end"/>
        </w:r>
      </w:hyperlink>
    </w:p>
    <w:p w14:paraId="2C90AA9C" w14:textId="4135608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7" w:history="1">
        <w:r w:rsidR="005F4F07" w:rsidRPr="005F4F07">
          <w:rPr>
            <w:rStyle w:val="Hypertextovodkaz"/>
            <w:noProof/>
            <w:sz w:val="18"/>
            <w:szCs w:val="18"/>
          </w:rPr>
          <w:t xml:space="preserve">Tabulka 36:  </w:t>
        </w:r>
        <w:r w:rsidR="005F4F07" w:rsidRPr="005F4F07">
          <w:rPr>
            <w:rStyle w:val="Hypertextovodkaz"/>
            <w:rFonts w:eastAsia="Times New Roman" w:cs="Arial"/>
            <w:noProof/>
            <w:sz w:val="18"/>
            <w:szCs w:val="18"/>
            <w:lang w:eastAsia="cs-CZ"/>
          </w:rPr>
          <w:t>Podíl osob s jinou než českou státní příslušností na celkovém počtu obyvatel městských částí ORP Brno k datu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143</w:t>
        </w:r>
        <w:r w:rsidR="005F4F07" w:rsidRPr="005F4F07">
          <w:rPr>
            <w:noProof/>
            <w:webHidden/>
            <w:sz w:val="18"/>
            <w:szCs w:val="18"/>
          </w:rPr>
          <w:fldChar w:fldCharType="end"/>
        </w:r>
      </w:hyperlink>
    </w:p>
    <w:p w14:paraId="44EDEFA0" w14:textId="1D1E334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8" w:history="1">
        <w:r w:rsidR="005F4F07" w:rsidRPr="005F4F07">
          <w:rPr>
            <w:rStyle w:val="Hypertextovodkaz"/>
            <w:noProof/>
            <w:sz w:val="18"/>
            <w:szCs w:val="18"/>
          </w:rPr>
          <w:t xml:space="preserve">Tabulka 37:  </w:t>
        </w:r>
        <w:r w:rsidR="005F4F07" w:rsidRPr="005F4F07">
          <w:rPr>
            <w:rStyle w:val="Hypertextovodkaz"/>
            <w:rFonts w:eastAsia="Times New Roman" w:cs="Arial"/>
            <w:noProof/>
            <w:sz w:val="18"/>
            <w:szCs w:val="18"/>
            <w:lang w:eastAsia="cs-CZ"/>
          </w:rPr>
          <w:t>Vývoj počtu uchazečů o zaměstnání a volných pracovních míst v ORP Brno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148</w:t>
        </w:r>
        <w:r w:rsidR="005F4F07" w:rsidRPr="005F4F07">
          <w:rPr>
            <w:noProof/>
            <w:webHidden/>
            <w:sz w:val="18"/>
            <w:szCs w:val="18"/>
          </w:rPr>
          <w:fldChar w:fldCharType="end"/>
        </w:r>
      </w:hyperlink>
    </w:p>
    <w:p w14:paraId="770E9581" w14:textId="5511647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49" w:history="1">
        <w:r w:rsidR="005F4F07" w:rsidRPr="005F4F07">
          <w:rPr>
            <w:rStyle w:val="Hypertextovodkaz"/>
            <w:noProof/>
            <w:sz w:val="18"/>
            <w:szCs w:val="18"/>
          </w:rPr>
          <w:t xml:space="preserve">Tabulka 38:  </w:t>
        </w:r>
        <w:r w:rsidR="005F4F07" w:rsidRPr="005F4F07">
          <w:rPr>
            <w:rStyle w:val="Hypertextovodkaz"/>
            <w:rFonts w:eastAsia="Times New Roman" w:cs="Arial"/>
            <w:noProof/>
            <w:sz w:val="18"/>
            <w:szCs w:val="18"/>
            <w:lang w:eastAsia="cs-CZ"/>
          </w:rPr>
          <w:t>Soupis významných zaměstnavatelů osob s jinou než českou státní příslušností v ORP Brno v roce 2020</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_Toc136429249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149</w:t>
        </w:r>
        <w:r w:rsidR="005F4F07" w:rsidRPr="005F4F07">
          <w:rPr>
            <w:noProof/>
            <w:webHidden/>
            <w:sz w:val="18"/>
            <w:szCs w:val="18"/>
          </w:rPr>
          <w:fldChar w:fldCharType="end"/>
        </w:r>
      </w:hyperlink>
    </w:p>
    <w:p w14:paraId="058A618A" w14:textId="1B7F67C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0" w:history="1">
        <w:r w:rsidR="005F4F07" w:rsidRPr="005F4F07">
          <w:rPr>
            <w:rStyle w:val="Hypertextovodkaz"/>
            <w:noProof/>
            <w:sz w:val="18"/>
            <w:szCs w:val="18"/>
          </w:rPr>
          <w:t xml:space="preserve">Tabulka 39:  Zaměstnané </w:t>
        </w:r>
        <w:r w:rsidR="005F4F07" w:rsidRPr="005F4F07">
          <w:rPr>
            <w:rStyle w:val="Hypertextovodkaz"/>
            <w:rFonts w:eastAsia="Times New Roman" w:cs="Arial"/>
            <w:noProof/>
            <w:sz w:val="18"/>
            <w:szCs w:val="18"/>
            <w:lang w:eastAsia="cs-CZ"/>
          </w:rPr>
          <w:t>osoby s jinou než českou státní příslušností v ORP Brno podle klasifikace ekonomické činnosti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151</w:t>
        </w:r>
        <w:r w:rsidR="005F4F07" w:rsidRPr="005F4F07">
          <w:rPr>
            <w:noProof/>
            <w:webHidden/>
            <w:sz w:val="18"/>
            <w:szCs w:val="18"/>
          </w:rPr>
          <w:fldChar w:fldCharType="end"/>
        </w:r>
      </w:hyperlink>
    </w:p>
    <w:p w14:paraId="28CC9F5C" w14:textId="5C03669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1" w:history="1">
        <w:r w:rsidR="005F4F07" w:rsidRPr="005F4F07">
          <w:rPr>
            <w:rStyle w:val="Hypertextovodkaz"/>
            <w:noProof/>
            <w:sz w:val="18"/>
            <w:szCs w:val="18"/>
          </w:rPr>
          <w:t>Tabulka 40: Vývoj počtu obyvatel v ORP Břeclav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154</w:t>
        </w:r>
        <w:r w:rsidR="005F4F07" w:rsidRPr="005F4F07">
          <w:rPr>
            <w:noProof/>
            <w:webHidden/>
            <w:sz w:val="18"/>
            <w:szCs w:val="18"/>
          </w:rPr>
          <w:fldChar w:fldCharType="end"/>
        </w:r>
      </w:hyperlink>
    </w:p>
    <w:p w14:paraId="4D0A570D" w14:textId="6AB8550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2" w:history="1">
        <w:r w:rsidR="005F4F07" w:rsidRPr="005F4F07">
          <w:rPr>
            <w:rStyle w:val="Hypertextovodkaz"/>
            <w:noProof/>
            <w:sz w:val="18"/>
            <w:szCs w:val="18"/>
          </w:rPr>
          <w:t xml:space="preserve">Tabulka 41:  </w:t>
        </w:r>
        <w:r w:rsidR="005F4F07" w:rsidRPr="005F4F07">
          <w:rPr>
            <w:rStyle w:val="Hypertextovodkaz"/>
            <w:rFonts w:eastAsia="Times New Roman" w:cs="Arial"/>
            <w:noProof/>
            <w:sz w:val="18"/>
            <w:szCs w:val="18"/>
            <w:lang w:eastAsia="cs-CZ"/>
          </w:rPr>
          <w:t>Podíl dětí ve věku do 15 let na celkovém počtu osob s jinou než českou státní příslušností v ORP Břeclav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156</w:t>
        </w:r>
        <w:r w:rsidR="005F4F07" w:rsidRPr="005F4F07">
          <w:rPr>
            <w:noProof/>
            <w:webHidden/>
            <w:sz w:val="18"/>
            <w:szCs w:val="18"/>
          </w:rPr>
          <w:fldChar w:fldCharType="end"/>
        </w:r>
      </w:hyperlink>
    </w:p>
    <w:p w14:paraId="20BA6444" w14:textId="7A293F09"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3" w:history="1">
        <w:r w:rsidR="005F4F07" w:rsidRPr="005F4F07">
          <w:rPr>
            <w:rStyle w:val="Hypertextovodkaz"/>
            <w:noProof/>
            <w:sz w:val="18"/>
            <w:szCs w:val="18"/>
          </w:rPr>
          <w:t xml:space="preserve">Tabulka 42: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Břeclav v roce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157</w:t>
        </w:r>
        <w:r w:rsidR="005F4F07" w:rsidRPr="005F4F07">
          <w:rPr>
            <w:noProof/>
            <w:webHidden/>
            <w:sz w:val="18"/>
            <w:szCs w:val="18"/>
          </w:rPr>
          <w:fldChar w:fldCharType="end"/>
        </w:r>
      </w:hyperlink>
    </w:p>
    <w:p w14:paraId="29A556AD" w14:textId="55275F3F"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4" w:history="1">
        <w:r w:rsidR="005F4F07" w:rsidRPr="005F4F07">
          <w:rPr>
            <w:rStyle w:val="Hypertextovodkaz"/>
            <w:noProof/>
            <w:sz w:val="18"/>
            <w:szCs w:val="18"/>
          </w:rPr>
          <w:t xml:space="preserve">Tabulka 43: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Břeclav v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158</w:t>
        </w:r>
        <w:r w:rsidR="005F4F07" w:rsidRPr="005F4F07">
          <w:rPr>
            <w:noProof/>
            <w:webHidden/>
            <w:sz w:val="18"/>
            <w:szCs w:val="18"/>
          </w:rPr>
          <w:fldChar w:fldCharType="end"/>
        </w:r>
      </w:hyperlink>
    </w:p>
    <w:p w14:paraId="46FAF9BF" w14:textId="5EA3B7F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5" w:history="1">
        <w:r w:rsidR="005F4F07" w:rsidRPr="005F4F07">
          <w:rPr>
            <w:rStyle w:val="Hypertextovodkaz"/>
            <w:noProof/>
            <w:sz w:val="18"/>
            <w:szCs w:val="18"/>
          </w:rPr>
          <w:t xml:space="preserve">Tabulka 44: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Břeclav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160</w:t>
        </w:r>
        <w:r w:rsidR="005F4F07" w:rsidRPr="005F4F07">
          <w:rPr>
            <w:noProof/>
            <w:webHidden/>
            <w:sz w:val="18"/>
            <w:szCs w:val="18"/>
          </w:rPr>
          <w:fldChar w:fldCharType="end"/>
        </w:r>
      </w:hyperlink>
    </w:p>
    <w:p w14:paraId="254BF87E" w14:textId="09953585"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6" w:history="1">
        <w:r w:rsidR="005F4F07" w:rsidRPr="005F4F07">
          <w:rPr>
            <w:rStyle w:val="Hypertextovodkaz"/>
            <w:noProof/>
            <w:sz w:val="18"/>
            <w:szCs w:val="18"/>
          </w:rPr>
          <w:t xml:space="preserve">Tabulka 45:  </w:t>
        </w:r>
        <w:r w:rsidR="005F4F07" w:rsidRPr="005F4F07">
          <w:rPr>
            <w:rStyle w:val="Hypertextovodkaz"/>
            <w:rFonts w:eastAsia="Times New Roman" w:cs="Arial"/>
            <w:noProof/>
            <w:sz w:val="18"/>
            <w:szCs w:val="18"/>
            <w:lang w:eastAsia="cs-CZ"/>
          </w:rPr>
          <w:t>Vývoj počtu uchazečů o zaměstnání a volných pracovních míst v ORP Břeclav v letech 2014-2022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163</w:t>
        </w:r>
        <w:r w:rsidR="005F4F07" w:rsidRPr="005F4F07">
          <w:rPr>
            <w:noProof/>
            <w:webHidden/>
            <w:sz w:val="18"/>
            <w:szCs w:val="18"/>
          </w:rPr>
          <w:fldChar w:fldCharType="end"/>
        </w:r>
      </w:hyperlink>
    </w:p>
    <w:p w14:paraId="6E88C706" w14:textId="1E69D77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7" w:history="1">
        <w:r w:rsidR="005F4F07" w:rsidRPr="005F4F07">
          <w:rPr>
            <w:rStyle w:val="Hypertextovodkaz"/>
            <w:noProof/>
            <w:sz w:val="18"/>
            <w:szCs w:val="18"/>
          </w:rPr>
          <w:t xml:space="preserve">Tabulka 46:  </w:t>
        </w:r>
        <w:r w:rsidR="005F4F07" w:rsidRPr="005F4F07">
          <w:rPr>
            <w:rStyle w:val="Hypertextovodkaz"/>
            <w:rFonts w:eastAsia="Times New Roman" w:cs="Arial"/>
            <w:noProof/>
            <w:sz w:val="18"/>
            <w:szCs w:val="18"/>
            <w:lang w:eastAsia="cs-CZ"/>
          </w:rPr>
          <w:t>Soupis významných zaměstnavatelů osob s jinou než českou státní příslušností v ORP Břeclav v roce 2020</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163</w:t>
        </w:r>
        <w:r w:rsidR="005F4F07" w:rsidRPr="005F4F07">
          <w:rPr>
            <w:noProof/>
            <w:webHidden/>
            <w:sz w:val="18"/>
            <w:szCs w:val="18"/>
          </w:rPr>
          <w:fldChar w:fldCharType="end"/>
        </w:r>
      </w:hyperlink>
    </w:p>
    <w:p w14:paraId="10481570" w14:textId="3B0CBDAE"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8" w:history="1">
        <w:r w:rsidR="005F4F07" w:rsidRPr="005F4F07">
          <w:rPr>
            <w:rStyle w:val="Hypertextovodkaz"/>
            <w:noProof/>
            <w:sz w:val="18"/>
            <w:szCs w:val="18"/>
          </w:rPr>
          <w:t xml:space="preserve">Tabulka 47:  Zaměstnané </w:t>
        </w:r>
        <w:r w:rsidR="005F4F07" w:rsidRPr="005F4F07">
          <w:rPr>
            <w:rStyle w:val="Hypertextovodkaz"/>
            <w:rFonts w:eastAsia="Times New Roman" w:cs="Arial"/>
            <w:noProof/>
            <w:sz w:val="18"/>
            <w:szCs w:val="18"/>
            <w:lang w:eastAsia="cs-CZ"/>
          </w:rPr>
          <w:t>osoby s jinou než českou státní příslušností v ORP Břeclav podle klasifikace ekonomické činnosti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164</w:t>
        </w:r>
        <w:r w:rsidR="005F4F07" w:rsidRPr="005F4F07">
          <w:rPr>
            <w:noProof/>
            <w:webHidden/>
            <w:sz w:val="18"/>
            <w:szCs w:val="18"/>
          </w:rPr>
          <w:fldChar w:fldCharType="end"/>
        </w:r>
      </w:hyperlink>
    </w:p>
    <w:p w14:paraId="386B1EAA" w14:textId="348001E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59" w:history="1">
        <w:r w:rsidR="005F4F07" w:rsidRPr="005F4F07">
          <w:rPr>
            <w:rStyle w:val="Hypertextovodkaz"/>
            <w:noProof/>
            <w:sz w:val="18"/>
            <w:szCs w:val="18"/>
          </w:rPr>
          <w:t>Tabulka 48: Vývoj počtu obyvatel v ORP Kuřim v letech 2005-2021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_Toc136429259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167</w:t>
        </w:r>
        <w:r w:rsidR="005F4F07" w:rsidRPr="005F4F07">
          <w:rPr>
            <w:noProof/>
            <w:webHidden/>
            <w:sz w:val="18"/>
            <w:szCs w:val="18"/>
          </w:rPr>
          <w:fldChar w:fldCharType="end"/>
        </w:r>
      </w:hyperlink>
    </w:p>
    <w:p w14:paraId="00842359" w14:textId="0A0CB588"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0" w:history="1">
        <w:r w:rsidR="005F4F07" w:rsidRPr="005F4F07">
          <w:rPr>
            <w:rStyle w:val="Hypertextovodkaz"/>
            <w:noProof/>
            <w:sz w:val="18"/>
            <w:szCs w:val="18"/>
          </w:rPr>
          <w:t xml:space="preserve">Tabulka 49:  </w:t>
        </w:r>
        <w:r w:rsidR="005F4F07" w:rsidRPr="005F4F07">
          <w:rPr>
            <w:rStyle w:val="Hypertextovodkaz"/>
            <w:rFonts w:eastAsia="Times New Roman" w:cs="Arial"/>
            <w:noProof/>
            <w:sz w:val="18"/>
            <w:szCs w:val="18"/>
            <w:lang w:eastAsia="cs-CZ"/>
          </w:rPr>
          <w:t>Podíl dětí ve věku do 15 let na celkovém počtu osob s jinou než českou státní příslušností v ORP Kuřim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169</w:t>
        </w:r>
        <w:r w:rsidR="005F4F07" w:rsidRPr="005F4F07">
          <w:rPr>
            <w:noProof/>
            <w:webHidden/>
            <w:sz w:val="18"/>
            <w:szCs w:val="18"/>
          </w:rPr>
          <w:fldChar w:fldCharType="end"/>
        </w:r>
      </w:hyperlink>
    </w:p>
    <w:p w14:paraId="684CBAA9" w14:textId="52C02F43"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1" w:history="1">
        <w:r w:rsidR="005F4F07" w:rsidRPr="005F4F07">
          <w:rPr>
            <w:rStyle w:val="Hypertextovodkaz"/>
            <w:noProof/>
            <w:sz w:val="18"/>
            <w:szCs w:val="18"/>
          </w:rPr>
          <w:t xml:space="preserve">Tabulka 50: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Kuřim v roce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170</w:t>
        </w:r>
        <w:r w:rsidR="005F4F07" w:rsidRPr="005F4F07">
          <w:rPr>
            <w:noProof/>
            <w:webHidden/>
            <w:sz w:val="18"/>
            <w:szCs w:val="18"/>
          </w:rPr>
          <w:fldChar w:fldCharType="end"/>
        </w:r>
      </w:hyperlink>
    </w:p>
    <w:p w14:paraId="62A1E17A" w14:textId="2707ADB6"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2" w:history="1">
        <w:r w:rsidR="005F4F07" w:rsidRPr="005F4F07">
          <w:rPr>
            <w:rStyle w:val="Hypertextovodkaz"/>
            <w:noProof/>
            <w:sz w:val="18"/>
            <w:szCs w:val="18"/>
          </w:rPr>
          <w:t xml:space="preserve">Tabulka 51: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Kuřim v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171</w:t>
        </w:r>
        <w:r w:rsidR="005F4F07" w:rsidRPr="005F4F07">
          <w:rPr>
            <w:noProof/>
            <w:webHidden/>
            <w:sz w:val="18"/>
            <w:szCs w:val="18"/>
          </w:rPr>
          <w:fldChar w:fldCharType="end"/>
        </w:r>
      </w:hyperlink>
    </w:p>
    <w:p w14:paraId="7753E2D4" w14:textId="51E32B9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3" w:history="1">
        <w:r w:rsidR="005F4F07" w:rsidRPr="005F4F07">
          <w:rPr>
            <w:rStyle w:val="Hypertextovodkaz"/>
            <w:noProof/>
            <w:sz w:val="18"/>
            <w:szCs w:val="18"/>
          </w:rPr>
          <w:t xml:space="preserve">Tabulka 52: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Kuřim v roce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172</w:t>
        </w:r>
        <w:r w:rsidR="005F4F07" w:rsidRPr="005F4F07">
          <w:rPr>
            <w:noProof/>
            <w:webHidden/>
            <w:sz w:val="18"/>
            <w:szCs w:val="18"/>
          </w:rPr>
          <w:fldChar w:fldCharType="end"/>
        </w:r>
      </w:hyperlink>
    </w:p>
    <w:p w14:paraId="6831D33A" w14:textId="6260EE2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4" w:history="1">
        <w:r w:rsidR="005F4F07" w:rsidRPr="005F4F07">
          <w:rPr>
            <w:rStyle w:val="Hypertextovodkaz"/>
            <w:noProof/>
            <w:sz w:val="18"/>
            <w:szCs w:val="18"/>
          </w:rPr>
          <w:t xml:space="preserve">Tabulka 53:  </w:t>
        </w:r>
        <w:r w:rsidR="005F4F07" w:rsidRPr="005F4F07">
          <w:rPr>
            <w:rStyle w:val="Hypertextovodkaz"/>
            <w:rFonts w:eastAsia="Times New Roman" w:cs="Arial"/>
            <w:noProof/>
            <w:sz w:val="18"/>
            <w:szCs w:val="18"/>
            <w:lang w:eastAsia="cs-CZ"/>
          </w:rPr>
          <w:t>Vývoj počtu uchazečů o zaměstnání a volných pracovních míst v ORP Kuřim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175</w:t>
        </w:r>
        <w:r w:rsidR="005F4F07" w:rsidRPr="005F4F07">
          <w:rPr>
            <w:noProof/>
            <w:webHidden/>
            <w:sz w:val="18"/>
            <w:szCs w:val="18"/>
          </w:rPr>
          <w:fldChar w:fldCharType="end"/>
        </w:r>
      </w:hyperlink>
    </w:p>
    <w:p w14:paraId="5A814DC8" w14:textId="16D26BF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5" w:history="1">
        <w:r w:rsidR="005F4F07" w:rsidRPr="005F4F07">
          <w:rPr>
            <w:rStyle w:val="Hypertextovodkaz"/>
            <w:noProof/>
            <w:sz w:val="18"/>
            <w:szCs w:val="18"/>
          </w:rPr>
          <w:t xml:space="preserve">Tabulka 54:  </w:t>
        </w:r>
        <w:r w:rsidR="005F4F07" w:rsidRPr="005F4F07">
          <w:rPr>
            <w:rStyle w:val="Hypertextovodkaz"/>
            <w:rFonts w:eastAsia="Times New Roman" w:cs="Arial"/>
            <w:noProof/>
            <w:sz w:val="18"/>
            <w:szCs w:val="18"/>
            <w:lang w:eastAsia="cs-CZ"/>
          </w:rPr>
          <w:t>Soupis významných zaměstnavatelů osob s jinou než českou státní příslušností v ORP Kuřim v roce 2020</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176</w:t>
        </w:r>
        <w:r w:rsidR="005F4F07" w:rsidRPr="005F4F07">
          <w:rPr>
            <w:noProof/>
            <w:webHidden/>
            <w:sz w:val="18"/>
            <w:szCs w:val="18"/>
          </w:rPr>
          <w:fldChar w:fldCharType="end"/>
        </w:r>
      </w:hyperlink>
    </w:p>
    <w:p w14:paraId="2D91D935" w14:textId="7072AD8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6" w:history="1">
        <w:r w:rsidR="005F4F07" w:rsidRPr="005F4F07">
          <w:rPr>
            <w:rStyle w:val="Hypertextovodkaz"/>
            <w:noProof/>
            <w:sz w:val="18"/>
            <w:szCs w:val="18"/>
          </w:rPr>
          <w:t xml:space="preserve">Tabulka 55:  Zaměstnané </w:t>
        </w:r>
        <w:r w:rsidR="005F4F07" w:rsidRPr="005F4F07">
          <w:rPr>
            <w:rStyle w:val="Hypertextovodkaz"/>
            <w:rFonts w:eastAsia="Times New Roman" w:cs="Arial"/>
            <w:noProof/>
            <w:sz w:val="18"/>
            <w:szCs w:val="18"/>
            <w:lang w:eastAsia="cs-CZ"/>
          </w:rPr>
          <w:t>osoby s jinou než českou státní příslušností v ORP Kuřim podle klasifikace ekonomické činnosti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176</w:t>
        </w:r>
        <w:r w:rsidR="005F4F07" w:rsidRPr="005F4F07">
          <w:rPr>
            <w:noProof/>
            <w:webHidden/>
            <w:sz w:val="18"/>
            <w:szCs w:val="18"/>
          </w:rPr>
          <w:fldChar w:fldCharType="end"/>
        </w:r>
      </w:hyperlink>
    </w:p>
    <w:p w14:paraId="4F46A124" w14:textId="347636E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7" w:history="1">
        <w:r w:rsidR="005F4F07" w:rsidRPr="005F4F07">
          <w:rPr>
            <w:rStyle w:val="Hypertextovodkaz"/>
            <w:noProof/>
            <w:sz w:val="18"/>
            <w:szCs w:val="18"/>
          </w:rPr>
          <w:t>Tabulka 56: Vývoj počtu obyvatel v ORP Tišnov v letech 2005-2021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179</w:t>
        </w:r>
        <w:r w:rsidR="005F4F07" w:rsidRPr="005F4F07">
          <w:rPr>
            <w:noProof/>
            <w:webHidden/>
            <w:sz w:val="18"/>
            <w:szCs w:val="18"/>
          </w:rPr>
          <w:fldChar w:fldCharType="end"/>
        </w:r>
      </w:hyperlink>
    </w:p>
    <w:p w14:paraId="63A0C894" w14:textId="4DA84837"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8" w:history="1">
        <w:r w:rsidR="005F4F07" w:rsidRPr="005F4F07">
          <w:rPr>
            <w:rStyle w:val="Hypertextovodkaz"/>
            <w:noProof/>
            <w:sz w:val="18"/>
            <w:szCs w:val="18"/>
          </w:rPr>
          <w:t xml:space="preserve">Tabulka 57:  </w:t>
        </w:r>
        <w:r w:rsidR="005F4F07" w:rsidRPr="005F4F07">
          <w:rPr>
            <w:rStyle w:val="Hypertextovodkaz"/>
            <w:rFonts w:eastAsia="Times New Roman" w:cs="Arial"/>
            <w:noProof/>
            <w:sz w:val="18"/>
            <w:szCs w:val="18"/>
            <w:lang w:eastAsia="cs-CZ"/>
          </w:rPr>
          <w:t>Podíl dětí ve věku do 15 let na celkovém počtu osob s jinou než českou státní příslušností v ORP Tišnov v letech 2007–2023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181</w:t>
        </w:r>
        <w:r w:rsidR="005F4F07" w:rsidRPr="005F4F07">
          <w:rPr>
            <w:noProof/>
            <w:webHidden/>
            <w:sz w:val="18"/>
            <w:szCs w:val="18"/>
          </w:rPr>
          <w:fldChar w:fldCharType="end"/>
        </w:r>
      </w:hyperlink>
    </w:p>
    <w:p w14:paraId="2A3BC230" w14:textId="4B67F8D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69" w:history="1">
        <w:r w:rsidR="005F4F07" w:rsidRPr="005F4F07">
          <w:rPr>
            <w:rStyle w:val="Hypertextovodkaz"/>
            <w:noProof/>
            <w:sz w:val="18"/>
            <w:szCs w:val="18"/>
          </w:rPr>
          <w:t xml:space="preserve">Tabulka 58: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Tišnov v roce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_Toc136429269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182</w:t>
        </w:r>
        <w:r w:rsidR="005F4F07" w:rsidRPr="005F4F07">
          <w:rPr>
            <w:noProof/>
            <w:webHidden/>
            <w:sz w:val="18"/>
            <w:szCs w:val="18"/>
          </w:rPr>
          <w:fldChar w:fldCharType="end"/>
        </w:r>
      </w:hyperlink>
    </w:p>
    <w:p w14:paraId="51957EE8" w14:textId="2A1F05A1"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0" w:history="1">
        <w:r w:rsidR="005F4F07" w:rsidRPr="005F4F07">
          <w:rPr>
            <w:rStyle w:val="Hypertextovodkaz"/>
            <w:noProof/>
            <w:sz w:val="18"/>
            <w:szCs w:val="18"/>
          </w:rPr>
          <w:t xml:space="preserve">Tabulka 59: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Tišnov v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183</w:t>
        </w:r>
        <w:r w:rsidR="005F4F07" w:rsidRPr="005F4F07">
          <w:rPr>
            <w:noProof/>
            <w:webHidden/>
            <w:sz w:val="18"/>
            <w:szCs w:val="18"/>
          </w:rPr>
          <w:fldChar w:fldCharType="end"/>
        </w:r>
      </w:hyperlink>
    </w:p>
    <w:p w14:paraId="6F327174" w14:textId="14272A2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1" w:history="1">
        <w:r w:rsidR="005F4F07" w:rsidRPr="005F4F07">
          <w:rPr>
            <w:rStyle w:val="Hypertextovodkaz"/>
            <w:noProof/>
            <w:sz w:val="18"/>
            <w:szCs w:val="18"/>
          </w:rPr>
          <w:t xml:space="preserve">Tabulka 60: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Tišnov v roce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184</w:t>
        </w:r>
        <w:r w:rsidR="005F4F07" w:rsidRPr="005F4F07">
          <w:rPr>
            <w:noProof/>
            <w:webHidden/>
            <w:sz w:val="18"/>
            <w:szCs w:val="18"/>
          </w:rPr>
          <w:fldChar w:fldCharType="end"/>
        </w:r>
      </w:hyperlink>
    </w:p>
    <w:p w14:paraId="7D3773E9" w14:textId="73003B5C"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2" w:history="1">
        <w:r w:rsidR="005F4F07" w:rsidRPr="005F4F07">
          <w:rPr>
            <w:rStyle w:val="Hypertextovodkaz"/>
            <w:noProof/>
            <w:sz w:val="18"/>
            <w:szCs w:val="18"/>
          </w:rPr>
          <w:t xml:space="preserve">Tabulka 61:  </w:t>
        </w:r>
        <w:r w:rsidR="005F4F07" w:rsidRPr="005F4F07">
          <w:rPr>
            <w:rStyle w:val="Hypertextovodkaz"/>
            <w:rFonts w:eastAsia="Times New Roman" w:cs="Arial"/>
            <w:noProof/>
            <w:sz w:val="18"/>
            <w:szCs w:val="18"/>
            <w:lang w:eastAsia="cs-CZ"/>
          </w:rPr>
          <w:t>Vývoj počtu uchazečů o zaměstnání a volných pracovních míst v ORP Tišnov v letech 2005-2021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187</w:t>
        </w:r>
        <w:r w:rsidR="005F4F07" w:rsidRPr="005F4F07">
          <w:rPr>
            <w:noProof/>
            <w:webHidden/>
            <w:sz w:val="18"/>
            <w:szCs w:val="18"/>
          </w:rPr>
          <w:fldChar w:fldCharType="end"/>
        </w:r>
      </w:hyperlink>
    </w:p>
    <w:p w14:paraId="5366ACC0" w14:textId="2223DB1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3" w:history="1">
        <w:r w:rsidR="005F4F07" w:rsidRPr="005F4F07">
          <w:rPr>
            <w:rStyle w:val="Hypertextovodkaz"/>
            <w:noProof/>
            <w:sz w:val="18"/>
            <w:szCs w:val="18"/>
          </w:rPr>
          <w:t xml:space="preserve">Tabulka 62:  </w:t>
        </w:r>
        <w:r w:rsidR="005F4F07" w:rsidRPr="005F4F07">
          <w:rPr>
            <w:rStyle w:val="Hypertextovodkaz"/>
            <w:rFonts w:eastAsia="Times New Roman" w:cs="Arial"/>
            <w:noProof/>
            <w:sz w:val="18"/>
            <w:szCs w:val="18"/>
            <w:lang w:eastAsia="cs-CZ"/>
          </w:rPr>
          <w:t>Soupis významných zaměstnavatelů osob s jinou než českou státní příslušností v ORP Tišnov v roce 2020</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187</w:t>
        </w:r>
        <w:r w:rsidR="005F4F07" w:rsidRPr="005F4F07">
          <w:rPr>
            <w:noProof/>
            <w:webHidden/>
            <w:sz w:val="18"/>
            <w:szCs w:val="18"/>
          </w:rPr>
          <w:fldChar w:fldCharType="end"/>
        </w:r>
      </w:hyperlink>
    </w:p>
    <w:p w14:paraId="24FE2C60" w14:textId="734EAB4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4" w:history="1">
        <w:r w:rsidR="005F4F07" w:rsidRPr="005F4F07">
          <w:rPr>
            <w:rStyle w:val="Hypertextovodkaz"/>
            <w:noProof/>
            <w:sz w:val="18"/>
            <w:szCs w:val="18"/>
          </w:rPr>
          <w:t>Tabulka 63:  Zaměstnané osoby s jinou než českou státní příslušností v ORP Tišnov podle klasifikace ekonomické činnosti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188</w:t>
        </w:r>
        <w:r w:rsidR="005F4F07" w:rsidRPr="005F4F07">
          <w:rPr>
            <w:noProof/>
            <w:webHidden/>
            <w:sz w:val="18"/>
            <w:szCs w:val="18"/>
          </w:rPr>
          <w:fldChar w:fldCharType="end"/>
        </w:r>
      </w:hyperlink>
    </w:p>
    <w:p w14:paraId="45F9248F" w14:textId="4A63DC65"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5" w:history="1">
        <w:r w:rsidR="005F4F07" w:rsidRPr="005F4F07">
          <w:rPr>
            <w:rStyle w:val="Hypertextovodkaz"/>
            <w:noProof/>
            <w:sz w:val="18"/>
            <w:szCs w:val="18"/>
          </w:rPr>
          <w:t>Tabulka 64: Vývoj počtu obyvatel v ORP Vyškov v letech 2005-2021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191</w:t>
        </w:r>
        <w:r w:rsidR="005F4F07" w:rsidRPr="005F4F07">
          <w:rPr>
            <w:noProof/>
            <w:webHidden/>
            <w:sz w:val="18"/>
            <w:szCs w:val="18"/>
          </w:rPr>
          <w:fldChar w:fldCharType="end"/>
        </w:r>
      </w:hyperlink>
    </w:p>
    <w:p w14:paraId="01FC58F2" w14:textId="1EE70D4D"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6" w:history="1">
        <w:r w:rsidR="005F4F07" w:rsidRPr="005F4F07">
          <w:rPr>
            <w:rStyle w:val="Hypertextovodkaz"/>
            <w:noProof/>
            <w:sz w:val="18"/>
            <w:szCs w:val="18"/>
          </w:rPr>
          <w:t xml:space="preserve">Tabulka 65:  </w:t>
        </w:r>
        <w:r w:rsidR="005F4F07" w:rsidRPr="005F4F07">
          <w:rPr>
            <w:rStyle w:val="Hypertextovodkaz"/>
            <w:rFonts w:eastAsia="Times New Roman" w:cs="Arial"/>
            <w:noProof/>
            <w:sz w:val="18"/>
            <w:szCs w:val="18"/>
            <w:lang w:eastAsia="cs-CZ"/>
          </w:rPr>
          <w:t>Podíl dětí ve věku do 15 let na celkovém počtu osob s jinou než českou státní příslušností v ORP Vyškov v letech 2006-2023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193</w:t>
        </w:r>
        <w:r w:rsidR="005F4F07" w:rsidRPr="005F4F07">
          <w:rPr>
            <w:noProof/>
            <w:webHidden/>
            <w:sz w:val="18"/>
            <w:szCs w:val="18"/>
          </w:rPr>
          <w:fldChar w:fldCharType="end"/>
        </w:r>
      </w:hyperlink>
    </w:p>
    <w:p w14:paraId="48ECEAF8" w14:textId="67980F9B"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7" w:history="1">
        <w:r w:rsidR="005F4F07" w:rsidRPr="005F4F07">
          <w:rPr>
            <w:rStyle w:val="Hypertextovodkaz"/>
            <w:noProof/>
            <w:sz w:val="18"/>
            <w:szCs w:val="18"/>
          </w:rPr>
          <w:t xml:space="preserve">Tabulka 66: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Vyškov v roce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194</w:t>
        </w:r>
        <w:r w:rsidR="005F4F07" w:rsidRPr="005F4F07">
          <w:rPr>
            <w:noProof/>
            <w:webHidden/>
            <w:sz w:val="18"/>
            <w:szCs w:val="18"/>
          </w:rPr>
          <w:fldChar w:fldCharType="end"/>
        </w:r>
      </w:hyperlink>
    </w:p>
    <w:p w14:paraId="43FF08A2" w14:textId="1B380F6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8" w:history="1">
        <w:r w:rsidR="005F4F07" w:rsidRPr="005F4F07">
          <w:rPr>
            <w:rStyle w:val="Hypertextovodkaz"/>
            <w:noProof/>
            <w:sz w:val="18"/>
            <w:szCs w:val="18"/>
          </w:rPr>
          <w:t xml:space="preserve">Tabulka 67: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Vyškov v roce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195</w:t>
        </w:r>
        <w:r w:rsidR="005F4F07" w:rsidRPr="005F4F07">
          <w:rPr>
            <w:noProof/>
            <w:webHidden/>
            <w:sz w:val="18"/>
            <w:szCs w:val="18"/>
          </w:rPr>
          <w:fldChar w:fldCharType="end"/>
        </w:r>
      </w:hyperlink>
    </w:p>
    <w:p w14:paraId="29FB05D8" w14:textId="5D13B772"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79" w:history="1">
        <w:r w:rsidR="005F4F07" w:rsidRPr="005F4F07">
          <w:rPr>
            <w:rStyle w:val="Hypertextovodkaz"/>
            <w:noProof/>
            <w:sz w:val="18"/>
            <w:szCs w:val="18"/>
          </w:rPr>
          <w:t xml:space="preserve">Tabulka 68:  </w:t>
        </w:r>
        <w:r w:rsidR="005F4F07" w:rsidRPr="005F4F07">
          <w:rPr>
            <w:rStyle w:val="Hypertextovodkaz"/>
            <w:rFonts w:eastAsia="Times New Roman" w:cs="Arial"/>
            <w:noProof/>
            <w:sz w:val="18"/>
            <w:szCs w:val="18"/>
            <w:lang w:eastAsia="cs-CZ"/>
          </w:rPr>
          <w:t>Podíl osob s jinou než českou státní příslušností na celkovém počtu obyvatel vybraných obcí v ORP Vyškov v roce 2022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_Toc136429279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197</w:t>
        </w:r>
        <w:r w:rsidR="005F4F07" w:rsidRPr="005F4F07">
          <w:rPr>
            <w:noProof/>
            <w:webHidden/>
            <w:sz w:val="18"/>
            <w:szCs w:val="18"/>
          </w:rPr>
          <w:fldChar w:fldCharType="end"/>
        </w:r>
      </w:hyperlink>
    </w:p>
    <w:p w14:paraId="1E1C04E4" w14:textId="47575557" w:rsidR="005F4F07" w:rsidRPr="005F4F07" w:rsidRDefault="00F71F72" w:rsidP="005F4F07">
      <w:pPr>
        <w:pStyle w:val="Seznamobrzk"/>
        <w:tabs>
          <w:tab w:val="right" w:leader="dot" w:pos="9062"/>
          <w:tab w:val="left" w:pos="9342"/>
        </w:tabs>
        <w:spacing w:line="240" w:lineRule="auto"/>
        <w:rPr>
          <w:rFonts w:eastAsiaTheme="minorEastAsia" w:cstheme="minorBidi"/>
          <w:noProof/>
          <w:kern w:val="2"/>
          <w:sz w:val="18"/>
          <w:szCs w:val="18"/>
          <w:lang w:eastAsia="cs-CZ"/>
          <w14:ligatures w14:val="standardContextual"/>
        </w:rPr>
      </w:pPr>
      <w:hyperlink w:anchor="_Toc136429280" w:history="1">
        <w:r w:rsidR="005F4F07" w:rsidRPr="005F4F07">
          <w:rPr>
            <w:rStyle w:val="Hypertextovodkaz"/>
            <w:noProof/>
            <w:sz w:val="18"/>
            <w:szCs w:val="18"/>
          </w:rPr>
          <w:t xml:space="preserve">Vývoj počtu uchazečů o zaměstnání a volných pracovních míst v ORP Vyškov v letech 2005–2022 podrobně dokumentuje následující tabulka. </w:t>
        </w:r>
        <w:r w:rsidR="005F4F07" w:rsidRPr="005F4F07">
          <w:rPr>
            <w:rFonts w:eastAsiaTheme="minorEastAsia" w:cstheme="minorBidi"/>
            <w:noProof/>
            <w:kern w:val="2"/>
            <w:sz w:val="18"/>
            <w:szCs w:val="18"/>
            <w:lang w:eastAsia="cs-CZ"/>
            <w14:ligatures w14:val="standardContextual"/>
          </w:rPr>
          <w:tab/>
        </w:r>
        <w:r w:rsidR="005F4F07" w:rsidRPr="005F4F07">
          <w:rPr>
            <w:rStyle w:val="Hypertextovodkaz"/>
            <w:noProof/>
            <w:sz w:val="18"/>
            <w:szCs w:val="18"/>
          </w:rPr>
          <w:t xml:space="preserve">  Tabulka 69:  </w:t>
        </w:r>
        <w:r w:rsidR="005F4F07" w:rsidRPr="005F4F07">
          <w:rPr>
            <w:rStyle w:val="Hypertextovodkaz"/>
            <w:rFonts w:eastAsia="Times New Roman" w:cs="Arial"/>
            <w:noProof/>
            <w:sz w:val="18"/>
            <w:szCs w:val="18"/>
            <w:lang w:eastAsia="cs-CZ"/>
          </w:rPr>
          <w:t>Vývoj počtu uchazečů o zaměstnání a volných pracovních míst v ORP Vyškov v letech 2005-2022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200</w:t>
        </w:r>
        <w:r w:rsidR="005F4F07" w:rsidRPr="005F4F07">
          <w:rPr>
            <w:noProof/>
            <w:webHidden/>
            <w:sz w:val="18"/>
            <w:szCs w:val="18"/>
          </w:rPr>
          <w:fldChar w:fldCharType="end"/>
        </w:r>
      </w:hyperlink>
    </w:p>
    <w:p w14:paraId="33F45501" w14:textId="1D3D3CDA"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81" w:history="1">
        <w:r w:rsidR="005F4F07" w:rsidRPr="005F4F07">
          <w:rPr>
            <w:rStyle w:val="Hypertextovodkaz"/>
            <w:noProof/>
            <w:sz w:val="18"/>
            <w:szCs w:val="18"/>
          </w:rPr>
          <w:t xml:space="preserve">Tabulka 70:  </w:t>
        </w:r>
        <w:r w:rsidR="005F4F07" w:rsidRPr="005F4F07">
          <w:rPr>
            <w:rStyle w:val="Hypertextovodkaz"/>
            <w:rFonts w:eastAsia="Times New Roman" w:cs="Arial"/>
            <w:noProof/>
            <w:sz w:val="18"/>
            <w:szCs w:val="18"/>
            <w:lang w:eastAsia="cs-CZ"/>
          </w:rPr>
          <w:t>Soupis významných zaměstnavatelů osob s jinou než českou státní příslušností v ORP Vyškov v roce 2020</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201</w:t>
        </w:r>
        <w:r w:rsidR="005F4F07" w:rsidRPr="005F4F07">
          <w:rPr>
            <w:noProof/>
            <w:webHidden/>
            <w:sz w:val="18"/>
            <w:szCs w:val="18"/>
          </w:rPr>
          <w:fldChar w:fldCharType="end"/>
        </w:r>
      </w:hyperlink>
    </w:p>
    <w:p w14:paraId="3F6DC75A" w14:textId="0EA8E270"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82" w:history="1">
        <w:r w:rsidR="005F4F07" w:rsidRPr="005F4F07">
          <w:rPr>
            <w:rStyle w:val="Hypertextovodkaz"/>
            <w:noProof/>
            <w:sz w:val="18"/>
            <w:szCs w:val="18"/>
          </w:rPr>
          <w:t xml:space="preserve">Tabulka 71:  Zaměstnané </w:t>
        </w:r>
        <w:r w:rsidR="005F4F07" w:rsidRPr="005F4F07">
          <w:rPr>
            <w:rStyle w:val="Hypertextovodkaz"/>
            <w:rFonts w:eastAsia="Times New Roman" w:cs="Arial"/>
            <w:noProof/>
            <w:sz w:val="18"/>
            <w:szCs w:val="18"/>
            <w:lang w:eastAsia="cs-CZ"/>
          </w:rPr>
          <w:t>osoby s jinou než českou státní příslušností v ORP Vyškov podle klasifikace ekonomické činnosti</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201</w:t>
        </w:r>
        <w:r w:rsidR="005F4F07" w:rsidRPr="005F4F07">
          <w:rPr>
            <w:noProof/>
            <w:webHidden/>
            <w:sz w:val="18"/>
            <w:szCs w:val="18"/>
          </w:rPr>
          <w:fldChar w:fldCharType="end"/>
        </w:r>
      </w:hyperlink>
    </w:p>
    <w:p w14:paraId="7185A62D" w14:textId="6BF3A093"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83" w:history="1">
        <w:r w:rsidR="005F4F07" w:rsidRPr="005F4F07">
          <w:rPr>
            <w:rStyle w:val="Hypertextovodkaz"/>
            <w:noProof/>
            <w:sz w:val="18"/>
            <w:szCs w:val="18"/>
          </w:rPr>
          <w:t xml:space="preserve">Tabulka 72:  Vývoj </w:t>
        </w:r>
        <w:r w:rsidR="005F4F07" w:rsidRPr="005F4F07">
          <w:rPr>
            <w:rStyle w:val="Hypertextovodkaz"/>
            <w:rFonts w:eastAsia="Times New Roman" w:cs="Arial"/>
            <w:noProof/>
            <w:sz w:val="18"/>
            <w:szCs w:val="18"/>
            <w:lang w:eastAsia="cs-CZ"/>
          </w:rPr>
          <w:t>podílu osob s jinou než českou státní příslušností na celkovém počtu obyvatel vybraných ORP v letech 2015-2023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204</w:t>
        </w:r>
        <w:r w:rsidR="005F4F07" w:rsidRPr="005F4F07">
          <w:rPr>
            <w:noProof/>
            <w:webHidden/>
            <w:sz w:val="18"/>
            <w:szCs w:val="18"/>
          </w:rPr>
          <w:fldChar w:fldCharType="end"/>
        </w:r>
      </w:hyperlink>
    </w:p>
    <w:p w14:paraId="2F450E6D" w14:textId="71FCD004" w:rsidR="005F4F07" w:rsidRPr="005F4F07" w:rsidRDefault="00F71F72" w:rsidP="005F4F07">
      <w:pPr>
        <w:pStyle w:val="Seznamobrzk"/>
        <w:tabs>
          <w:tab w:val="right" w:leader="dot" w:pos="9062"/>
        </w:tabs>
        <w:spacing w:line="240" w:lineRule="auto"/>
        <w:rPr>
          <w:rFonts w:eastAsiaTheme="minorEastAsia" w:cstheme="minorBidi"/>
          <w:noProof/>
          <w:kern w:val="2"/>
          <w:sz w:val="18"/>
          <w:szCs w:val="18"/>
          <w:lang w:eastAsia="cs-CZ"/>
          <w14:ligatures w14:val="standardContextual"/>
        </w:rPr>
      </w:pPr>
      <w:hyperlink w:anchor="_Toc136429284" w:history="1">
        <w:r w:rsidR="005F4F07" w:rsidRPr="005F4F07">
          <w:rPr>
            <w:rStyle w:val="Hypertextovodkaz"/>
            <w:noProof/>
            <w:sz w:val="18"/>
            <w:szCs w:val="18"/>
          </w:rPr>
          <w:t xml:space="preserve">Tabulka 73: </w:t>
        </w:r>
        <w:r w:rsidR="005F4F07" w:rsidRPr="005F4F07">
          <w:rPr>
            <w:rStyle w:val="Hypertextovodkaz"/>
            <w:rFonts w:eastAsia="Times New Roman" w:cs="Arial"/>
            <w:noProof/>
            <w:sz w:val="18"/>
            <w:szCs w:val="18"/>
            <w:lang w:eastAsia="cs-CZ"/>
          </w:rPr>
          <w:t>Vývoj podílu demografických skupin v rámci osob s jinou než českou státní příslušností ve vybraných ORP  v letech 2022–2023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205</w:t>
        </w:r>
        <w:r w:rsidR="005F4F07" w:rsidRPr="005F4F07">
          <w:rPr>
            <w:noProof/>
            <w:webHidden/>
            <w:sz w:val="18"/>
            <w:szCs w:val="18"/>
          </w:rPr>
          <w:fldChar w:fldCharType="end"/>
        </w:r>
      </w:hyperlink>
    </w:p>
    <w:p w14:paraId="10981556" w14:textId="07472BAA" w:rsidR="00F1264F" w:rsidRPr="007A2ADC" w:rsidRDefault="00035051" w:rsidP="009E6DB4">
      <w:pPr>
        <w:jc w:val="both"/>
        <w:rPr>
          <w:rFonts w:ascii="Arial Narrow" w:hAnsi="Arial Narrow" w:cs="Arial"/>
          <w:sz w:val="20"/>
          <w:szCs w:val="20"/>
          <w:lang w:eastAsia="cs-CZ"/>
        </w:rPr>
      </w:pPr>
      <w:r w:rsidRPr="009E6DB4">
        <w:rPr>
          <w:rFonts w:ascii="Arial Narrow" w:hAnsi="Arial Narrow" w:cs="Arial"/>
          <w:sz w:val="20"/>
          <w:szCs w:val="20"/>
          <w:lang w:eastAsia="cs-CZ"/>
        </w:rPr>
        <w:fldChar w:fldCharType="end"/>
      </w:r>
    </w:p>
    <w:p w14:paraId="61C0ACA5" w14:textId="2B671483" w:rsidR="00791A26" w:rsidRPr="005F4F07" w:rsidRDefault="005F4F07" w:rsidP="005F4F07">
      <w:pPr>
        <w:pStyle w:val="Nadpis1"/>
        <w:ind w:left="428"/>
        <w:rPr>
          <w:rFonts w:cs="Arial"/>
          <w:color w:val="002060"/>
          <w:sz w:val="20"/>
          <w:szCs w:val="20"/>
        </w:rPr>
      </w:pPr>
      <w:bookmarkStart w:id="969" w:name="_Toc136876173"/>
      <w:r w:rsidRPr="005F4F07">
        <w:rPr>
          <w:color w:val="002060"/>
        </w:rPr>
        <w:t xml:space="preserve">SEZNAM </w:t>
      </w:r>
      <w:r>
        <w:rPr>
          <w:color w:val="002060"/>
        </w:rPr>
        <w:t>OBRÁZKŮ</w:t>
      </w:r>
      <w:bookmarkEnd w:id="969"/>
    </w:p>
    <w:p w14:paraId="400F4501" w14:textId="77777777" w:rsidR="005F4F07" w:rsidRDefault="005F4F07">
      <w:pPr>
        <w:pStyle w:val="Seznamobrzk"/>
        <w:tabs>
          <w:tab w:val="right" w:leader="dot" w:pos="9062"/>
        </w:tabs>
        <w:rPr>
          <w:rFonts w:cs="Arial"/>
          <w:lang w:eastAsia="cs-CZ"/>
        </w:rPr>
      </w:pPr>
    </w:p>
    <w:p w14:paraId="2FE63CBC" w14:textId="3AFCCE11" w:rsidR="005F4F07" w:rsidRPr="005F4F07" w:rsidRDefault="005F4F07"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r>
        <w:rPr>
          <w:rFonts w:cs="Arial"/>
          <w:lang w:eastAsia="cs-CZ"/>
        </w:rPr>
        <w:fldChar w:fldCharType="begin"/>
      </w:r>
      <w:r>
        <w:rPr>
          <w:rFonts w:cs="Arial"/>
          <w:lang w:eastAsia="cs-CZ"/>
        </w:rPr>
        <w:instrText xml:space="preserve"> TOC \h \z \c "Obrázek" </w:instrText>
      </w:r>
      <w:r>
        <w:rPr>
          <w:rFonts w:cs="Arial"/>
          <w:lang w:eastAsia="cs-CZ"/>
        </w:rPr>
        <w:fldChar w:fldCharType="separate"/>
      </w:r>
      <w:hyperlink r:id="rId246" w:anchor="_Toc136429285" w:history="1">
        <w:r w:rsidRPr="005F4F07">
          <w:rPr>
            <w:rStyle w:val="Hypertextovodkaz"/>
            <w:noProof/>
            <w:sz w:val="18"/>
            <w:szCs w:val="18"/>
          </w:rPr>
          <w:t>Obrázek 1: Osoby s jinou než českou státní příslušností v České republice k 31. 12. 2022</w:t>
        </w:r>
        <w:r w:rsidRPr="005F4F07">
          <w:rPr>
            <w:noProof/>
            <w:webHidden/>
            <w:sz w:val="18"/>
            <w:szCs w:val="18"/>
          </w:rPr>
          <w:tab/>
        </w:r>
        <w:r w:rsidRPr="005F4F07">
          <w:rPr>
            <w:noProof/>
            <w:webHidden/>
            <w:sz w:val="18"/>
            <w:szCs w:val="18"/>
          </w:rPr>
          <w:fldChar w:fldCharType="begin"/>
        </w:r>
        <w:r w:rsidRPr="005F4F07">
          <w:rPr>
            <w:noProof/>
            <w:webHidden/>
            <w:sz w:val="18"/>
            <w:szCs w:val="18"/>
          </w:rPr>
          <w:instrText xml:space="preserve"> PAGEREF _Toc136429285 \h </w:instrText>
        </w:r>
        <w:r w:rsidRPr="005F4F07">
          <w:rPr>
            <w:noProof/>
            <w:webHidden/>
            <w:sz w:val="18"/>
            <w:szCs w:val="18"/>
          </w:rPr>
        </w:r>
        <w:r w:rsidRPr="005F4F07">
          <w:rPr>
            <w:noProof/>
            <w:webHidden/>
            <w:sz w:val="18"/>
            <w:szCs w:val="18"/>
          </w:rPr>
          <w:fldChar w:fldCharType="separate"/>
        </w:r>
        <w:r w:rsidR="00B32B4F">
          <w:rPr>
            <w:noProof/>
            <w:webHidden/>
            <w:sz w:val="18"/>
            <w:szCs w:val="18"/>
          </w:rPr>
          <w:t>16</w:t>
        </w:r>
        <w:r w:rsidRPr="005F4F07">
          <w:rPr>
            <w:noProof/>
            <w:webHidden/>
            <w:sz w:val="18"/>
            <w:szCs w:val="18"/>
          </w:rPr>
          <w:fldChar w:fldCharType="end"/>
        </w:r>
      </w:hyperlink>
    </w:p>
    <w:p w14:paraId="2EB4CB52" w14:textId="26B88544"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86" w:history="1">
        <w:r w:rsidR="005F4F07" w:rsidRPr="005F4F07">
          <w:rPr>
            <w:rStyle w:val="Hypertextovodkaz"/>
            <w:noProof/>
            <w:sz w:val="18"/>
            <w:szCs w:val="18"/>
          </w:rPr>
          <w:t>Obrázek 2: Rozmístění občanů Slovenska na území České republiky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24</w:t>
        </w:r>
        <w:r w:rsidR="005F4F07" w:rsidRPr="005F4F07">
          <w:rPr>
            <w:noProof/>
            <w:webHidden/>
            <w:sz w:val="18"/>
            <w:szCs w:val="18"/>
          </w:rPr>
          <w:fldChar w:fldCharType="end"/>
        </w:r>
      </w:hyperlink>
    </w:p>
    <w:p w14:paraId="68E8C627" w14:textId="25E2E7C9"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87" w:history="1">
        <w:r w:rsidR="005F4F07" w:rsidRPr="005F4F07">
          <w:rPr>
            <w:rStyle w:val="Hypertextovodkaz"/>
            <w:noProof/>
            <w:sz w:val="18"/>
            <w:szCs w:val="18"/>
          </w:rPr>
          <w:t>Obrázek 3: Rozmístění občanů Ukrajiny na území České republiky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26</w:t>
        </w:r>
        <w:r w:rsidR="005F4F07" w:rsidRPr="005F4F07">
          <w:rPr>
            <w:noProof/>
            <w:webHidden/>
            <w:sz w:val="18"/>
            <w:szCs w:val="18"/>
          </w:rPr>
          <w:fldChar w:fldCharType="end"/>
        </w:r>
      </w:hyperlink>
    </w:p>
    <w:p w14:paraId="4506BD4E" w14:textId="551F3D8B"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88" w:history="1">
        <w:r w:rsidR="005F4F07" w:rsidRPr="005F4F07">
          <w:rPr>
            <w:rStyle w:val="Hypertextovodkaz"/>
            <w:noProof/>
            <w:sz w:val="18"/>
            <w:szCs w:val="18"/>
          </w:rPr>
          <w:t>Obrázek 4: Rozmístění občanů Vietnamu na území České republiky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28</w:t>
        </w:r>
        <w:r w:rsidR="005F4F07" w:rsidRPr="005F4F07">
          <w:rPr>
            <w:noProof/>
            <w:webHidden/>
            <w:sz w:val="18"/>
            <w:szCs w:val="18"/>
          </w:rPr>
          <w:fldChar w:fldCharType="end"/>
        </w:r>
      </w:hyperlink>
    </w:p>
    <w:p w14:paraId="2E992BD5" w14:textId="43E2934E"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89" w:history="1">
        <w:r w:rsidR="005F4F07" w:rsidRPr="005F4F07">
          <w:rPr>
            <w:rStyle w:val="Hypertextovodkaz"/>
            <w:noProof/>
            <w:sz w:val="18"/>
            <w:szCs w:val="18"/>
          </w:rPr>
          <w:t>Obrázek 5: Rozmístění občanů Ruska na území České republiky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_Toc136429289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30</w:t>
        </w:r>
        <w:r w:rsidR="005F4F07" w:rsidRPr="005F4F07">
          <w:rPr>
            <w:noProof/>
            <w:webHidden/>
            <w:sz w:val="18"/>
            <w:szCs w:val="18"/>
          </w:rPr>
          <w:fldChar w:fldCharType="end"/>
        </w:r>
      </w:hyperlink>
    </w:p>
    <w:p w14:paraId="453363B2" w14:textId="3EB22662"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0" w:history="1">
        <w:r w:rsidR="005F4F07" w:rsidRPr="005F4F07">
          <w:rPr>
            <w:rStyle w:val="Hypertextovodkaz"/>
            <w:noProof/>
            <w:sz w:val="18"/>
            <w:szCs w:val="18"/>
          </w:rPr>
          <w:t>Obrázek 6: Věková struktura obyvatelstva v České republice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_Toc136429290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33</w:t>
        </w:r>
        <w:r w:rsidR="005F4F07" w:rsidRPr="005F4F07">
          <w:rPr>
            <w:noProof/>
            <w:webHidden/>
            <w:sz w:val="18"/>
            <w:szCs w:val="18"/>
          </w:rPr>
          <w:fldChar w:fldCharType="end"/>
        </w:r>
      </w:hyperlink>
    </w:p>
    <w:p w14:paraId="5F846AEB" w14:textId="062FA07B"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1" w:history="1">
        <w:r w:rsidR="005F4F07" w:rsidRPr="005F4F07">
          <w:rPr>
            <w:rStyle w:val="Hypertextovodkaz"/>
            <w:noProof/>
            <w:sz w:val="18"/>
            <w:szCs w:val="18"/>
          </w:rPr>
          <w:t>Obrázek 7: Věková struktura osob s jinou než českou státní příslušností v České republice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_Toc136429291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33</w:t>
        </w:r>
        <w:r w:rsidR="005F4F07" w:rsidRPr="005F4F07">
          <w:rPr>
            <w:noProof/>
            <w:webHidden/>
            <w:sz w:val="18"/>
            <w:szCs w:val="18"/>
          </w:rPr>
          <w:fldChar w:fldCharType="end"/>
        </w:r>
      </w:hyperlink>
    </w:p>
    <w:p w14:paraId="7606AF9B" w14:textId="28E2E9B9"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2" w:history="1">
        <w:r w:rsidR="005F4F07" w:rsidRPr="005F4F07">
          <w:rPr>
            <w:rStyle w:val="Hypertextovodkaz"/>
            <w:noProof/>
            <w:sz w:val="18"/>
            <w:szCs w:val="18"/>
          </w:rPr>
          <w:t>Obrázek 8: Průměrný věk osob s jinou než českou státní příslušností dle okresů ČR k 31. 12. 2021</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_Toc136429292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38</w:t>
        </w:r>
        <w:r w:rsidR="005F4F07" w:rsidRPr="005F4F07">
          <w:rPr>
            <w:noProof/>
            <w:webHidden/>
            <w:sz w:val="18"/>
            <w:szCs w:val="18"/>
          </w:rPr>
          <w:fldChar w:fldCharType="end"/>
        </w:r>
      </w:hyperlink>
    </w:p>
    <w:p w14:paraId="798BBF45" w14:textId="57E408CB"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3" w:history="1">
        <w:r w:rsidR="005F4F07" w:rsidRPr="005F4F07">
          <w:rPr>
            <w:rStyle w:val="Hypertextovodkaz"/>
            <w:noProof/>
            <w:sz w:val="18"/>
            <w:szCs w:val="18"/>
          </w:rPr>
          <w:t>Obrázek 9: Počty žádostí o mezinárodní ochranu mezi lety 2017 a 2022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_Toc136429293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42</w:t>
        </w:r>
        <w:r w:rsidR="005F4F07" w:rsidRPr="005F4F07">
          <w:rPr>
            <w:noProof/>
            <w:webHidden/>
            <w:sz w:val="18"/>
            <w:szCs w:val="18"/>
          </w:rPr>
          <w:fldChar w:fldCharType="end"/>
        </w:r>
      </w:hyperlink>
    </w:p>
    <w:p w14:paraId="0135C4EA" w14:textId="11732FEC"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4" w:history="1">
        <w:r w:rsidR="005F4F07" w:rsidRPr="005F4F07">
          <w:rPr>
            <w:rStyle w:val="Hypertextovodkaz"/>
            <w:noProof/>
            <w:sz w:val="18"/>
            <w:szCs w:val="18"/>
          </w:rPr>
          <w:t>Obrázek 10: Počty rozhodnutí o mezinárodní ochraně mezi lety 2017 a 2022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_Toc136429294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43</w:t>
        </w:r>
        <w:r w:rsidR="005F4F07" w:rsidRPr="005F4F07">
          <w:rPr>
            <w:noProof/>
            <w:webHidden/>
            <w:sz w:val="18"/>
            <w:szCs w:val="18"/>
          </w:rPr>
          <w:fldChar w:fldCharType="end"/>
        </w:r>
      </w:hyperlink>
    </w:p>
    <w:p w14:paraId="06CFE874" w14:textId="216831A2"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5" w:history="1">
        <w:r w:rsidR="005F4F07" w:rsidRPr="005F4F07">
          <w:rPr>
            <w:rStyle w:val="Hypertextovodkaz"/>
            <w:noProof/>
            <w:sz w:val="18"/>
            <w:szCs w:val="18"/>
          </w:rPr>
          <w:t>Obrázek 11: Počty žádostí o dočasnou ochranu v EU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_Toc136429295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43</w:t>
        </w:r>
        <w:r w:rsidR="005F4F07" w:rsidRPr="005F4F07">
          <w:rPr>
            <w:noProof/>
            <w:webHidden/>
            <w:sz w:val="18"/>
            <w:szCs w:val="18"/>
          </w:rPr>
          <w:fldChar w:fldCharType="end"/>
        </w:r>
      </w:hyperlink>
    </w:p>
    <w:p w14:paraId="71155A65" w14:textId="4EEB769A"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6" w:history="1">
        <w:r w:rsidR="005F4F07" w:rsidRPr="005F4F07">
          <w:rPr>
            <w:rStyle w:val="Hypertextovodkaz"/>
            <w:noProof/>
            <w:sz w:val="18"/>
            <w:szCs w:val="18"/>
          </w:rPr>
          <w:t>Obrázek 12: Příchody z Ukrajiny na Slovensko, do Polska, Maďarska a Rumunska (k 31. 12. 2022)</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_Toc136429296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44</w:t>
        </w:r>
        <w:r w:rsidR="005F4F07" w:rsidRPr="005F4F07">
          <w:rPr>
            <w:noProof/>
            <w:webHidden/>
            <w:sz w:val="18"/>
            <w:szCs w:val="18"/>
          </w:rPr>
          <w:fldChar w:fldCharType="end"/>
        </w:r>
      </w:hyperlink>
    </w:p>
    <w:p w14:paraId="5B39B922" w14:textId="4E56D79D"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7" w:history="1">
        <w:r w:rsidR="005F4F07" w:rsidRPr="005F4F07">
          <w:rPr>
            <w:rStyle w:val="Hypertextovodkaz"/>
            <w:noProof/>
            <w:sz w:val="18"/>
            <w:szCs w:val="18"/>
          </w:rPr>
          <w:t>Obrázek 13: Geografické rozložení českých regionálních oblastí NUTS 2 v rámci srovnání regionálních oblastí evropských zemí</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_Toc136429297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81</w:t>
        </w:r>
        <w:r w:rsidR="005F4F07" w:rsidRPr="005F4F07">
          <w:rPr>
            <w:noProof/>
            <w:webHidden/>
            <w:sz w:val="18"/>
            <w:szCs w:val="18"/>
          </w:rPr>
          <w:fldChar w:fldCharType="end"/>
        </w:r>
      </w:hyperlink>
    </w:p>
    <w:p w14:paraId="508026E4" w14:textId="71807774" w:rsidR="005F4F07" w:rsidRPr="005F4F07" w:rsidRDefault="00F71F72" w:rsidP="005F4F07">
      <w:pPr>
        <w:pStyle w:val="Seznamobrzk"/>
        <w:tabs>
          <w:tab w:val="right" w:leader="dot" w:pos="9062"/>
        </w:tabs>
        <w:spacing w:line="240" w:lineRule="auto"/>
        <w:rPr>
          <w:rFonts w:asciiTheme="minorHAnsi" w:eastAsiaTheme="minorEastAsia" w:hAnsiTheme="minorHAnsi" w:cstheme="minorBidi"/>
          <w:noProof/>
          <w:kern w:val="2"/>
          <w:sz w:val="18"/>
          <w:szCs w:val="18"/>
          <w:lang w:eastAsia="cs-CZ"/>
          <w14:ligatures w14:val="standardContextual"/>
        </w:rPr>
      </w:pPr>
      <w:hyperlink w:anchor="_Toc136429298" w:history="1">
        <w:r w:rsidR="005F4F07" w:rsidRPr="005F4F07">
          <w:rPr>
            <w:rStyle w:val="Hypertextovodkaz"/>
            <w:noProof/>
            <w:sz w:val="18"/>
            <w:szCs w:val="18"/>
          </w:rPr>
          <w:t>Obrázek 14: Podíl osob s jinou než českou státní příslušností na celkovém počtu obyvatel jednotlivých městských částí ORP Brno-město k 1. 1. 2023</w:t>
        </w:r>
        <w:r w:rsidR="005F4F07" w:rsidRPr="005F4F07">
          <w:rPr>
            <w:noProof/>
            <w:webHidden/>
            <w:sz w:val="18"/>
            <w:szCs w:val="18"/>
          </w:rPr>
          <w:tab/>
        </w:r>
        <w:r w:rsidR="005F4F07" w:rsidRPr="005F4F07">
          <w:rPr>
            <w:noProof/>
            <w:webHidden/>
            <w:sz w:val="18"/>
            <w:szCs w:val="18"/>
          </w:rPr>
          <w:fldChar w:fldCharType="begin"/>
        </w:r>
        <w:r w:rsidR="005F4F07" w:rsidRPr="005F4F07">
          <w:rPr>
            <w:noProof/>
            <w:webHidden/>
            <w:sz w:val="18"/>
            <w:szCs w:val="18"/>
          </w:rPr>
          <w:instrText xml:space="preserve"> PAGEREF _Toc136429298 \h </w:instrText>
        </w:r>
        <w:r w:rsidR="005F4F07" w:rsidRPr="005F4F07">
          <w:rPr>
            <w:noProof/>
            <w:webHidden/>
            <w:sz w:val="18"/>
            <w:szCs w:val="18"/>
          </w:rPr>
        </w:r>
        <w:r w:rsidR="005F4F07" w:rsidRPr="005F4F07">
          <w:rPr>
            <w:noProof/>
            <w:webHidden/>
            <w:sz w:val="18"/>
            <w:szCs w:val="18"/>
          </w:rPr>
          <w:fldChar w:fldCharType="separate"/>
        </w:r>
        <w:r w:rsidR="00B32B4F">
          <w:rPr>
            <w:noProof/>
            <w:webHidden/>
            <w:sz w:val="18"/>
            <w:szCs w:val="18"/>
          </w:rPr>
          <w:t>145</w:t>
        </w:r>
        <w:r w:rsidR="005F4F07" w:rsidRPr="005F4F07">
          <w:rPr>
            <w:noProof/>
            <w:webHidden/>
            <w:sz w:val="18"/>
            <w:szCs w:val="18"/>
          </w:rPr>
          <w:fldChar w:fldCharType="end"/>
        </w:r>
      </w:hyperlink>
    </w:p>
    <w:p w14:paraId="61BA9CBC" w14:textId="5F60D4FD" w:rsidR="00791A26" w:rsidRPr="00D06C67" w:rsidRDefault="005F4F07" w:rsidP="00F1264F">
      <w:pPr>
        <w:spacing w:after="120" w:line="276" w:lineRule="auto"/>
        <w:jc w:val="both"/>
        <w:rPr>
          <w:rFonts w:ascii="Arial Narrow" w:hAnsi="Arial Narrow" w:cs="Arial"/>
          <w:lang w:eastAsia="cs-CZ"/>
        </w:rPr>
      </w:pPr>
      <w:r>
        <w:rPr>
          <w:rFonts w:ascii="Arial Narrow" w:hAnsi="Arial Narrow" w:cs="Arial"/>
          <w:lang w:eastAsia="cs-CZ"/>
        </w:rPr>
        <w:fldChar w:fldCharType="end"/>
      </w:r>
    </w:p>
    <w:p w14:paraId="79D4BD9A" w14:textId="6EF53344" w:rsidR="00791A26" w:rsidRPr="00D06C67" w:rsidRDefault="00791A26" w:rsidP="00F1264F">
      <w:pPr>
        <w:spacing w:after="120" w:line="276" w:lineRule="auto"/>
        <w:jc w:val="both"/>
        <w:rPr>
          <w:rFonts w:ascii="Arial Narrow" w:hAnsi="Arial Narrow" w:cs="Arial"/>
          <w:color w:val="C00000"/>
          <w:sz w:val="28"/>
          <w:szCs w:val="28"/>
          <w:lang w:eastAsia="cs-CZ"/>
        </w:rPr>
      </w:pPr>
    </w:p>
    <w:sectPr w:rsidR="00791A26" w:rsidRPr="00D06C67" w:rsidSect="00DC5ED7">
      <w:headerReference w:type="default" r:id="rId247"/>
      <w:footerReference w:type="default" r:id="rId248"/>
      <w:headerReference w:type="first" r:id="rId2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C14B9" w14:textId="77777777" w:rsidR="00BC1C0D" w:rsidRDefault="00BC1C0D" w:rsidP="00F1264F">
      <w:r>
        <w:separator/>
      </w:r>
    </w:p>
  </w:endnote>
  <w:endnote w:type="continuationSeparator" w:id="0">
    <w:p w14:paraId="04941A36" w14:textId="77777777" w:rsidR="00BC1C0D" w:rsidRDefault="00BC1C0D" w:rsidP="00F1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ArialMT">
    <w:altName w:val="Arial"/>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862779"/>
      <w:docPartObj>
        <w:docPartGallery w:val="Page Numbers (Bottom of Page)"/>
        <w:docPartUnique/>
      </w:docPartObj>
    </w:sdtPr>
    <w:sdtEndPr>
      <w:rPr>
        <w:rFonts w:ascii="Arial Narrow" w:hAnsi="Arial Narrow"/>
      </w:rPr>
    </w:sdtEndPr>
    <w:sdtContent>
      <w:p w14:paraId="0DE8FE99" w14:textId="32227EB5" w:rsidR="00BC1C0D" w:rsidRPr="007133C6" w:rsidRDefault="00BC1C0D">
        <w:pPr>
          <w:pStyle w:val="Zpat"/>
          <w:jc w:val="right"/>
          <w:rPr>
            <w:rFonts w:ascii="Arial Narrow" w:hAnsi="Arial Narrow"/>
          </w:rPr>
        </w:pPr>
        <w:r w:rsidRPr="007133C6">
          <w:rPr>
            <w:rFonts w:ascii="Arial Narrow" w:hAnsi="Arial Narrow"/>
          </w:rPr>
          <w:fldChar w:fldCharType="begin"/>
        </w:r>
        <w:r w:rsidRPr="007133C6">
          <w:rPr>
            <w:rFonts w:ascii="Arial Narrow" w:hAnsi="Arial Narrow"/>
          </w:rPr>
          <w:instrText>PAGE   \* MERGEFORMAT</w:instrText>
        </w:r>
        <w:r w:rsidRPr="007133C6">
          <w:rPr>
            <w:rFonts w:ascii="Arial Narrow" w:hAnsi="Arial Narrow"/>
          </w:rPr>
          <w:fldChar w:fldCharType="separate"/>
        </w:r>
        <w:r w:rsidR="00E209CD">
          <w:rPr>
            <w:rFonts w:ascii="Arial Narrow" w:hAnsi="Arial Narrow"/>
            <w:noProof/>
          </w:rPr>
          <w:t>97</w:t>
        </w:r>
        <w:r w:rsidRPr="007133C6">
          <w:rPr>
            <w:rFonts w:ascii="Arial Narrow" w:hAnsi="Arial Narrow"/>
          </w:rPr>
          <w:fldChar w:fldCharType="end"/>
        </w:r>
      </w:p>
    </w:sdtContent>
  </w:sdt>
  <w:p w14:paraId="537B1116" w14:textId="77777777" w:rsidR="00BC1C0D" w:rsidRDefault="00BC1C0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444A4" w14:textId="77777777" w:rsidR="00BC1C0D" w:rsidRDefault="00BC1C0D" w:rsidP="00F1264F">
      <w:r>
        <w:separator/>
      </w:r>
    </w:p>
  </w:footnote>
  <w:footnote w:type="continuationSeparator" w:id="0">
    <w:p w14:paraId="6E08BC41" w14:textId="77777777" w:rsidR="00BC1C0D" w:rsidRDefault="00BC1C0D" w:rsidP="00F1264F">
      <w:r>
        <w:continuationSeparator/>
      </w:r>
    </w:p>
  </w:footnote>
  <w:footnote w:id="1">
    <w:p w14:paraId="113693DA" w14:textId="193A3AE1"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Včetně mezinárodní ochrany.</w:t>
      </w:r>
    </w:p>
  </w:footnote>
  <w:footnote w:id="2">
    <w:p w14:paraId="26E490FE" w14:textId="4E1D0BC5"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Ministerstvo vnitra ČR. 2022. </w:t>
      </w:r>
      <w:r w:rsidRPr="00D0190F">
        <w:rPr>
          <w:rFonts w:ascii="Arial Narrow" w:hAnsi="Arial Narrow"/>
          <w:i/>
          <w:iCs/>
        </w:rPr>
        <w:t>Statistická příloha ke čtvrtletní zprávě o migraci IV. 2022</w:t>
      </w:r>
      <w:r w:rsidRPr="00D0190F">
        <w:rPr>
          <w:rFonts w:ascii="Arial Narrow" w:hAnsi="Arial Narrow"/>
        </w:rPr>
        <w:t>. Praha: MV ČR.</w:t>
      </w:r>
    </w:p>
  </w:footnote>
  <w:footnote w:id="3">
    <w:p w14:paraId="1371C072" w14:textId="3316C4F7" w:rsidR="00BC1C0D" w:rsidRDefault="00BC1C0D" w:rsidP="008F50EF">
      <w:pPr>
        <w:pStyle w:val="Textpoznpodarou"/>
        <w:jc w:val="both"/>
      </w:pPr>
      <w:r>
        <w:rPr>
          <w:rStyle w:val="Znakapoznpodarou"/>
        </w:rPr>
        <w:footnoteRef/>
      </w:r>
      <w:r>
        <w:t xml:space="preserve"> </w:t>
      </w:r>
      <w:r w:rsidRPr="008F50EF">
        <w:rPr>
          <w:rFonts w:ascii="Arial Narrow" w:hAnsi="Arial Narrow"/>
        </w:rPr>
        <w:t xml:space="preserve">Šanda, R., T. </w:t>
      </w:r>
      <w:proofErr w:type="spellStart"/>
      <w:r w:rsidRPr="008F50EF">
        <w:rPr>
          <w:rFonts w:ascii="Arial Narrow" w:hAnsi="Arial Narrow"/>
        </w:rPr>
        <w:t>Štyglerová</w:t>
      </w:r>
      <w:proofErr w:type="spellEnd"/>
      <w:r w:rsidRPr="008F50EF">
        <w:rPr>
          <w:rFonts w:ascii="Arial Narrow" w:hAnsi="Arial Narrow"/>
        </w:rPr>
        <w:t xml:space="preserve">. 2022. Proč je nás po sčítání méně. In </w:t>
      </w:r>
      <w:r w:rsidRPr="008F50EF">
        <w:rPr>
          <w:rFonts w:ascii="Arial Narrow" w:hAnsi="Arial Narrow"/>
          <w:i/>
          <w:iCs/>
        </w:rPr>
        <w:t>Statistika a my: Magazín Českého statistického úřadu</w:t>
      </w:r>
      <w:r w:rsidRPr="008F50EF">
        <w:rPr>
          <w:rFonts w:ascii="Arial Narrow" w:hAnsi="Arial Narrow"/>
        </w:rPr>
        <w:t xml:space="preserve">. Dostupné z: </w:t>
      </w:r>
      <w:hyperlink r:id="rId1" w:history="1">
        <w:r w:rsidRPr="008F50EF">
          <w:rPr>
            <w:rStyle w:val="Hypertextovodkaz"/>
            <w:rFonts w:ascii="Arial Narrow" w:hAnsi="Arial Narrow"/>
          </w:rPr>
          <w:t>https://www.statistikaamy.cz/2022/08/18/proc-je-nas-po-scitani-mene</w:t>
        </w:r>
      </w:hyperlink>
      <w:r w:rsidRPr="008F50EF">
        <w:rPr>
          <w:rFonts w:ascii="Arial Narrow" w:hAnsi="Arial Narrow"/>
        </w:rPr>
        <w:t>.</w:t>
      </w:r>
      <w:r>
        <w:t xml:space="preserve"> </w:t>
      </w:r>
    </w:p>
  </w:footnote>
  <w:footnote w:id="4">
    <w:p w14:paraId="160F7617" w14:textId="330A5E0C" w:rsidR="00BC1C0D" w:rsidRDefault="00BC1C0D" w:rsidP="008F50EF">
      <w:pPr>
        <w:pStyle w:val="Textpoznpodarou"/>
        <w:jc w:val="both"/>
      </w:pPr>
      <w:r>
        <w:rPr>
          <w:rStyle w:val="Znakapoznpodarou"/>
        </w:rPr>
        <w:footnoteRef/>
      </w:r>
      <w:r>
        <w:t xml:space="preserve"> </w:t>
      </w:r>
      <w:proofErr w:type="spellStart"/>
      <w:r w:rsidRPr="007A31EF">
        <w:rPr>
          <w:rFonts w:ascii="Arial Narrow" w:hAnsi="Arial Narrow"/>
        </w:rPr>
        <w:t>Eurostat</w:t>
      </w:r>
      <w:proofErr w:type="spellEnd"/>
      <w:r w:rsidRPr="007A31EF">
        <w:rPr>
          <w:rFonts w:ascii="Arial Narrow" w:hAnsi="Arial Narrow"/>
        </w:rPr>
        <w:t xml:space="preserve">. 2023. </w:t>
      </w:r>
      <w:proofErr w:type="spellStart"/>
      <w:r w:rsidRPr="007A31EF">
        <w:rPr>
          <w:rFonts w:ascii="Arial Narrow" w:hAnsi="Arial Narrow"/>
          <w:i/>
          <w:iCs/>
        </w:rPr>
        <w:t>Population</w:t>
      </w:r>
      <w:proofErr w:type="spellEnd"/>
      <w:r w:rsidRPr="008F50EF">
        <w:rPr>
          <w:rFonts w:ascii="Arial Narrow" w:hAnsi="Arial Narrow"/>
          <w:i/>
          <w:iCs/>
        </w:rPr>
        <w:t xml:space="preserve"> on 1 </w:t>
      </w:r>
      <w:proofErr w:type="spellStart"/>
      <w:r w:rsidRPr="008F50EF">
        <w:rPr>
          <w:rFonts w:ascii="Arial Narrow" w:hAnsi="Arial Narrow"/>
          <w:i/>
          <w:iCs/>
        </w:rPr>
        <w:t>January</w:t>
      </w:r>
      <w:proofErr w:type="spellEnd"/>
      <w:r w:rsidRPr="008F50EF">
        <w:rPr>
          <w:rFonts w:ascii="Arial Narrow" w:hAnsi="Arial Narrow"/>
          <w:i/>
          <w:iCs/>
        </w:rPr>
        <w:t xml:space="preserve"> by </w:t>
      </w:r>
      <w:proofErr w:type="spellStart"/>
      <w:r w:rsidRPr="008F50EF">
        <w:rPr>
          <w:rFonts w:ascii="Arial Narrow" w:hAnsi="Arial Narrow"/>
          <w:i/>
          <w:iCs/>
        </w:rPr>
        <w:t>age</w:t>
      </w:r>
      <w:proofErr w:type="spellEnd"/>
      <w:r w:rsidRPr="008F50EF">
        <w:rPr>
          <w:rFonts w:ascii="Arial Narrow" w:hAnsi="Arial Narrow"/>
          <w:i/>
          <w:iCs/>
        </w:rPr>
        <w:t xml:space="preserve">, sex and </w:t>
      </w:r>
      <w:proofErr w:type="spellStart"/>
      <w:r w:rsidRPr="008F50EF">
        <w:rPr>
          <w:rFonts w:ascii="Arial Narrow" w:hAnsi="Arial Narrow"/>
          <w:i/>
          <w:iCs/>
        </w:rPr>
        <w:t>broad</w:t>
      </w:r>
      <w:proofErr w:type="spellEnd"/>
      <w:r w:rsidRPr="008F50EF">
        <w:rPr>
          <w:rFonts w:ascii="Arial Narrow" w:hAnsi="Arial Narrow"/>
          <w:i/>
          <w:iCs/>
        </w:rPr>
        <w:t xml:space="preserve"> </w:t>
      </w:r>
      <w:proofErr w:type="spellStart"/>
      <w:r w:rsidRPr="008F50EF">
        <w:rPr>
          <w:rFonts w:ascii="Arial Narrow" w:hAnsi="Arial Narrow"/>
          <w:i/>
          <w:iCs/>
        </w:rPr>
        <w:t>group</w:t>
      </w:r>
      <w:proofErr w:type="spellEnd"/>
      <w:r w:rsidRPr="008F50EF">
        <w:rPr>
          <w:rFonts w:ascii="Arial Narrow" w:hAnsi="Arial Narrow"/>
          <w:i/>
          <w:iCs/>
        </w:rPr>
        <w:t xml:space="preserve"> </w:t>
      </w:r>
      <w:proofErr w:type="spellStart"/>
      <w:r w:rsidRPr="008F50EF">
        <w:rPr>
          <w:rFonts w:ascii="Arial Narrow" w:hAnsi="Arial Narrow"/>
          <w:i/>
          <w:iCs/>
        </w:rPr>
        <w:t>of</w:t>
      </w:r>
      <w:proofErr w:type="spellEnd"/>
      <w:r w:rsidRPr="008F50EF">
        <w:rPr>
          <w:rFonts w:ascii="Arial Narrow" w:hAnsi="Arial Narrow"/>
          <w:i/>
          <w:iCs/>
        </w:rPr>
        <w:t xml:space="preserve"> </w:t>
      </w:r>
      <w:proofErr w:type="spellStart"/>
      <w:r w:rsidRPr="008F50EF">
        <w:rPr>
          <w:rFonts w:ascii="Arial Narrow" w:hAnsi="Arial Narrow"/>
          <w:i/>
          <w:iCs/>
        </w:rPr>
        <w:t>citizenship</w:t>
      </w:r>
      <w:proofErr w:type="spellEnd"/>
      <w:r w:rsidRPr="009E6EC7">
        <w:rPr>
          <w:rFonts w:ascii="Arial Narrow" w:hAnsi="Arial Narrow"/>
        </w:rPr>
        <w:t xml:space="preserve">. Dostupné z: </w:t>
      </w:r>
      <w:hyperlink r:id="rId2" w:history="1">
        <w:r w:rsidRPr="009E6EC7">
          <w:rPr>
            <w:rStyle w:val="Hypertextovodkaz"/>
            <w:rFonts w:ascii="Arial Narrow" w:hAnsi="Arial Narrow"/>
          </w:rPr>
          <w:t>https://ec.europa.eu/eurostat/databrowser/view/MIGR_POP2CTZ/default/table?lang=en&amp;category=demo.demo_pop</w:t>
        </w:r>
      </w:hyperlink>
      <w:r>
        <w:t xml:space="preserve">. </w:t>
      </w:r>
    </w:p>
    <w:p w14:paraId="3D605445" w14:textId="4B8F501B" w:rsidR="00BC1C0D" w:rsidRPr="0051590D" w:rsidRDefault="00BC1C0D" w:rsidP="008F50EF">
      <w:pPr>
        <w:pStyle w:val="Textpoznpodarou"/>
        <w:jc w:val="both"/>
        <w:rPr>
          <w:rFonts w:ascii="Arial Narrow" w:hAnsi="Arial Narrow"/>
        </w:rPr>
      </w:pPr>
      <w:r w:rsidRPr="0051590D">
        <w:rPr>
          <w:rFonts w:ascii="Arial Narrow" w:hAnsi="Arial Narrow"/>
        </w:rPr>
        <w:t>Nejaktuálnější údaje jsou pouze za 1. 1. 2022.</w:t>
      </w:r>
    </w:p>
  </w:footnote>
  <w:footnote w:id="5">
    <w:p w14:paraId="38CC8A37" w14:textId="4CE0ECB4" w:rsidR="00BC1C0D" w:rsidRDefault="00BC1C0D">
      <w:pPr>
        <w:pStyle w:val="Textpoznpodarou"/>
      </w:pPr>
      <w:r>
        <w:rPr>
          <w:rStyle w:val="Znakapoznpodarou"/>
        </w:rPr>
        <w:footnoteRef/>
      </w:r>
      <w:r>
        <w:t xml:space="preserve"> </w:t>
      </w:r>
      <w:bookmarkStart w:id="63" w:name="_Hlk136876335"/>
      <w:proofErr w:type="spellStart"/>
      <w:r w:rsidRPr="007A31EF">
        <w:rPr>
          <w:rFonts w:ascii="Arial Narrow" w:hAnsi="Arial Narrow"/>
        </w:rPr>
        <w:t>European</w:t>
      </w:r>
      <w:proofErr w:type="spellEnd"/>
      <w:r w:rsidRPr="007A31EF">
        <w:rPr>
          <w:rFonts w:ascii="Arial Narrow" w:hAnsi="Arial Narrow"/>
        </w:rPr>
        <w:t xml:space="preserve"> </w:t>
      </w:r>
      <w:proofErr w:type="spellStart"/>
      <w:r w:rsidRPr="007A31EF">
        <w:rPr>
          <w:rFonts w:ascii="Arial Narrow" w:hAnsi="Arial Narrow"/>
        </w:rPr>
        <w:t>Migration</w:t>
      </w:r>
      <w:proofErr w:type="spellEnd"/>
      <w:r w:rsidRPr="007A31EF">
        <w:rPr>
          <w:rFonts w:ascii="Arial Narrow" w:hAnsi="Arial Narrow"/>
        </w:rPr>
        <w:t xml:space="preserve"> Network. 2021. </w:t>
      </w:r>
      <w:proofErr w:type="spellStart"/>
      <w:r w:rsidRPr="007A31EF">
        <w:rPr>
          <w:rFonts w:ascii="Arial Narrow" w:hAnsi="Arial Narrow"/>
          <w:i/>
          <w:iCs/>
        </w:rPr>
        <w:t>The</w:t>
      </w:r>
      <w:proofErr w:type="spellEnd"/>
      <w:r w:rsidRPr="007A31EF">
        <w:rPr>
          <w:rFonts w:ascii="Arial Narrow" w:hAnsi="Arial Narrow"/>
          <w:i/>
          <w:iCs/>
        </w:rPr>
        <w:t xml:space="preserve"> </w:t>
      </w:r>
      <w:proofErr w:type="spellStart"/>
      <w:r w:rsidRPr="007A31EF">
        <w:rPr>
          <w:rFonts w:ascii="Arial Narrow" w:hAnsi="Arial Narrow"/>
          <w:i/>
          <w:iCs/>
        </w:rPr>
        <w:t>impact</w:t>
      </w:r>
      <w:proofErr w:type="spellEnd"/>
      <w:r w:rsidRPr="007A31EF">
        <w:rPr>
          <w:rFonts w:ascii="Arial Narrow" w:hAnsi="Arial Narrow"/>
          <w:i/>
          <w:iCs/>
        </w:rPr>
        <w:t xml:space="preserve"> </w:t>
      </w:r>
      <w:proofErr w:type="spellStart"/>
      <w:r w:rsidRPr="007A31EF">
        <w:rPr>
          <w:rFonts w:ascii="Arial Narrow" w:hAnsi="Arial Narrow"/>
          <w:i/>
          <w:iCs/>
        </w:rPr>
        <w:t>of</w:t>
      </w:r>
      <w:proofErr w:type="spellEnd"/>
      <w:r w:rsidRPr="007A31EF">
        <w:rPr>
          <w:rFonts w:ascii="Arial Narrow" w:hAnsi="Arial Narrow"/>
          <w:i/>
          <w:iCs/>
        </w:rPr>
        <w:t xml:space="preserve"> COVID-19 in </w:t>
      </w:r>
      <w:proofErr w:type="spellStart"/>
      <w:r w:rsidRPr="007A31EF">
        <w:rPr>
          <w:rFonts w:ascii="Arial Narrow" w:hAnsi="Arial Narrow"/>
          <w:i/>
          <w:iCs/>
        </w:rPr>
        <w:t>the</w:t>
      </w:r>
      <w:proofErr w:type="spellEnd"/>
      <w:r w:rsidRPr="007A31EF">
        <w:rPr>
          <w:rFonts w:ascii="Arial Narrow" w:hAnsi="Arial Narrow"/>
          <w:i/>
          <w:iCs/>
        </w:rPr>
        <w:t xml:space="preserve"> </w:t>
      </w:r>
      <w:proofErr w:type="spellStart"/>
      <w:r w:rsidRPr="007A31EF">
        <w:rPr>
          <w:rFonts w:ascii="Arial Narrow" w:hAnsi="Arial Narrow"/>
          <w:i/>
          <w:iCs/>
        </w:rPr>
        <w:t>migration</w:t>
      </w:r>
      <w:proofErr w:type="spellEnd"/>
      <w:r w:rsidRPr="007A31EF">
        <w:rPr>
          <w:rFonts w:ascii="Arial Narrow" w:hAnsi="Arial Narrow"/>
          <w:i/>
          <w:iCs/>
        </w:rPr>
        <w:t xml:space="preserve"> area in EU and OECD </w:t>
      </w:r>
      <w:proofErr w:type="spellStart"/>
      <w:r w:rsidRPr="007A31EF">
        <w:rPr>
          <w:rFonts w:ascii="Arial Narrow" w:hAnsi="Arial Narrow"/>
          <w:i/>
          <w:iCs/>
        </w:rPr>
        <w:t>countries</w:t>
      </w:r>
      <w:proofErr w:type="spellEnd"/>
      <w:r w:rsidRPr="007A31EF">
        <w:rPr>
          <w:rFonts w:ascii="Arial Narrow" w:hAnsi="Arial Narrow"/>
          <w:i/>
          <w:iCs/>
        </w:rPr>
        <w:t xml:space="preserve">. EMN OECD </w:t>
      </w:r>
      <w:proofErr w:type="spellStart"/>
      <w:r w:rsidRPr="007A31EF">
        <w:rPr>
          <w:rFonts w:ascii="Arial Narrow" w:hAnsi="Arial Narrow"/>
          <w:i/>
          <w:iCs/>
        </w:rPr>
        <w:t>Umbrella</w:t>
      </w:r>
      <w:proofErr w:type="spellEnd"/>
      <w:r w:rsidRPr="007A31EF">
        <w:rPr>
          <w:rFonts w:ascii="Arial Narrow" w:hAnsi="Arial Narrow"/>
          <w:i/>
          <w:iCs/>
        </w:rPr>
        <w:t xml:space="preserve"> </w:t>
      </w:r>
      <w:proofErr w:type="spellStart"/>
      <w:r w:rsidRPr="007A31EF">
        <w:rPr>
          <w:rFonts w:ascii="Arial Narrow" w:hAnsi="Arial Narrow"/>
          <w:i/>
          <w:iCs/>
        </w:rPr>
        <w:t>Inform</w:t>
      </w:r>
      <w:proofErr w:type="spellEnd"/>
      <w:r w:rsidRPr="007A31EF">
        <w:rPr>
          <w:rFonts w:ascii="Arial Narrow" w:hAnsi="Arial Narrow"/>
        </w:rPr>
        <w:t xml:space="preserve">. Dostupné z: </w:t>
      </w:r>
      <w:hyperlink r:id="rId3" w:history="1">
        <w:r w:rsidRPr="007A31EF">
          <w:rPr>
            <w:rStyle w:val="Hypertextovodkaz"/>
            <w:rFonts w:ascii="Arial Narrow" w:hAnsi="Arial Narrow"/>
            <w:color w:val="auto"/>
          </w:rPr>
          <w:t>https://www.oecd.org/migration/mig/00-eu-emn-covid19-umbrella-inform-en.pdf</w:t>
        </w:r>
      </w:hyperlink>
      <w:r w:rsidRPr="007A31EF">
        <w:rPr>
          <w:rFonts w:ascii="Arial Narrow" w:hAnsi="Arial Narrow"/>
        </w:rPr>
        <w:t>.</w:t>
      </w:r>
      <w:r w:rsidRPr="00200BFB">
        <w:t xml:space="preserve"> </w:t>
      </w:r>
      <w:bookmarkEnd w:id="63"/>
    </w:p>
  </w:footnote>
  <w:footnote w:id="6">
    <w:p w14:paraId="265FF8B9" w14:textId="7C5754BD" w:rsidR="00BC1C0D" w:rsidRDefault="00BC1C0D" w:rsidP="00200BFB">
      <w:pPr>
        <w:pStyle w:val="Textpoznpodarou"/>
        <w:jc w:val="both"/>
      </w:pPr>
      <w:r w:rsidRPr="00173E7B">
        <w:rPr>
          <w:rStyle w:val="Znakapoznpodarou"/>
        </w:rPr>
        <w:footnoteRef/>
      </w:r>
      <w:r w:rsidRPr="00173E7B">
        <w:t xml:space="preserve"> </w:t>
      </w:r>
      <w:r w:rsidRPr="00173E7B">
        <w:rPr>
          <w:rFonts w:ascii="Arial Narrow" w:hAnsi="Arial Narrow"/>
        </w:rPr>
        <w:t>Rozdělení a porovnávání počtů občanů s jinou než českou státní příslušností na občany z EU a občany ze třetích zemí je podstatné především z pohledu různých přístupů k těmto dvěma skupinám ze strany legislativních náležitostí. Obě skupiny mají odlišný přístup na trh práce v České republice, což může mít vliv i na typ pobytu v ČR.</w:t>
      </w:r>
    </w:p>
  </w:footnote>
  <w:footnote w:id="7">
    <w:p w14:paraId="09E8B007" w14:textId="515E1FC7"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Mezi země EU byla zařazena také Velká Británie, přestože se od 31. 1. 2020 nejedná o člena Evropské Unie.</w:t>
      </w:r>
    </w:p>
  </w:footnote>
  <w:footnote w:id="8">
    <w:p w14:paraId="3C99CF7E" w14:textId="640B3680" w:rsidR="00BC1C0D" w:rsidRPr="00D0190F" w:rsidRDefault="00BC1C0D" w:rsidP="00F00328">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Data související s </w:t>
      </w:r>
      <w:r w:rsidRPr="00D0190F">
        <w:rPr>
          <w:rFonts w:ascii="Arial Narrow" w:hAnsi="Arial Narrow"/>
          <w:bCs/>
        </w:rPr>
        <w:t>rozmístěním občanů Slovenska na území České republiky, potažmo Jihomoravského kraje nebylo možné aktualizovat k roku 2022.</w:t>
      </w:r>
    </w:p>
  </w:footnote>
  <w:footnote w:id="9">
    <w:p w14:paraId="36846E2C" w14:textId="6FB58C31"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Data související s </w:t>
      </w:r>
      <w:r w:rsidRPr="00D0190F">
        <w:rPr>
          <w:rFonts w:ascii="Arial Narrow" w:hAnsi="Arial Narrow"/>
          <w:bCs/>
        </w:rPr>
        <w:t>rozmístěním občanů Vietnamu na území České republiky, potažmo Jihomoravského kraje nebylo možné aktualizovat k roku 2022.</w:t>
      </w:r>
    </w:p>
  </w:footnote>
  <w:footnote w:id="10">
    <w:p w14:paraId="32BD594D" w14:textId="197E5CC9"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Data související s </w:t>
      </w:r>
      <w:r w:rsidRPr="00D0190F">
        <w:rPr>
          <w:rFonts w:ascii="Arial Narrow" w:hAnsi="Arial Narrow"/>
          <w:bCs/>
        </w:rPr>
        <w:t>rozmístěním občanů Ruska na území České republiky, potažmo Jihomoravského kraje nebylo možné aktualizovat k roku 2022.</w:t>
      </w:r>
    </w:p>
  </w:footnote>
  <w:footnote w:id="11">
    <w:p w14:paraId="3A6D164F" w14:textId="77777777" w:rsidR="00BC1C0D" w:rsidRPr="00173E7B" w:rsidRDefault="00BC1C0D" w:rsidP="00C42737">
      <w:pPr>
        <w:pStyle w:val="Textpoznpodarou"/>
        <w:jc w:val="both"/>
        <w:rPr>
          <w:rFonts w:ascii="Arial Narrow" w:hAnsi="Arial Narrow"/>
        </w:rPr>
      </w:pPr>
      <w:r>
        <w:rPr>
          <w:rStyle w:val="Znakapoznpodarou"/>
        </w:rPr>
        <w:footnoteRef/>
      </w:r>
      <w:r>
        <w:t xml:space="preserve"> </w:t>
      </w:r>
      <w:r w:rsidRPr="00173E7B">
        <w:rPr>
          <w:rFonts w:ascii="Arial Narrow" w:hAnsi="Arial Narrow"/>
        </w:rPr>
        <w:t xml:space="preserve">Dočasná ochrana je krizovým mechanismem EU, který je aplikován ve výjimečných okolnostech hromadného přílivu osob do EU za cílem poskytnutí kolektivní ochrany a zmírnění tlaku na vnitrostátní azylové systémy zemí EU – aktivována byla 4. března 2022 v souvislosti s vojenskou agresí na Ukrajině. </w:t>
      </w:r>
    </w:p>
    <w:p w14:paraId="2AA2CF10" w14:textId="51EEDB76" w:rsidR="00BC1C0D" w:rsidRPr="00173E7B" w:rsidRDefault="00BC1C0D" w:rsidP="00C42737">
      <w:pPr>
        <w:pStyle w:val="Textpoznpodarou"/>
        <w:jc w:val="both"/>
        <w:rPr>
          <w:rFonts w:ascii="Arial Narrow" w:hAnsi="Arial Narrow"/>
        </w:rPr>
      </w:pPr>
      <w:r w:rsidRPr="00173E7B">
        <w:rPr>
          <w:rFonts w:ascii="Arial Narrow" w:hAnsi="Arial Narrow"/>
        </w:rPr>
        <w:t xml:space="preserve">Zdroj: </w:t>
      </w:r>
      <w:bookmarkStart w:id="191" w:name="_Hlk136429600"/>
      <w:r w:rsidRPr="00173E7B">
        <w:rPr>
          <w:rFonts w:ascii="Arial Narrow" w:hAnsi="Arial Narrow"/>
        </w:rPr>
        <w:t xml:space="preserve">Rada Evropské unie. 2023. </w:t>
      </w:r>
      <w:r w:rsidRPr="00173E7B">
        <w:rPr>
          <w:rFonts w:ascii="Arial Narrow" w:hAnsi="Arial Narrow"/>
          <w:i/>
          <w:iCs/>
        </w:rPr>
        <w:t>Dočasná ochrana vysídlených osob poskytovaná EU</w:t>
      </w:r>
      <w:r w:rsidRPr="00173E7B">
        <w:rPr>
          <w:rFonts w:ascii="Arial Narrow" w:hAnsi="Arial Narrow"/>
        </w:rPr>
        <w:t xml:space="preserve">. Dostupné z: </w:t>
      </w:r>
      <w:hyperlink r:id="rId4" w:history="1">
        <w:r w:rsidRPr="00173E7B">
          <w:rPr>
            <w:rStyle w:val="Hypertextovodkaz"/>
            <w:rFonts w:ascii="Arial Narrow" w:hAnsi="Arial Narrow"/>
            <w:color w:val="auto"/>
          </w:rPr>
          <w:t>https://www.consilium.europa.eu/cs/infographics/temporary-protection-displaced-persons/</w:t>
        </w:r>
      </w:hyperlink>
      <w:r w:rsidRPr="00173E7B">
        <w:rPr>
          <w:rFonts w:ascii="Arial Narrow" w:hAnsi="Arial Narrow"/>
        </w:rPr>
        <w:t xml:space="preserve">. </w:t>
      </w:r>
      <w:bookmarkEnd w:id="191"/>
    </w:p>
  </w:footnote>
  <w:footnote w:id="12">
    <w:p w14:paraId="183EAE9E" w14:textId="5A391B8A" w:rsidR="00BC1C0D" w:rsidRPr="00173E7B" w:rsidRDefault="00BC1C0D" w:rsidP="003B0497">
      <w:pPr>
        <w:pStyle w:val="Textpoznpodarou"/>
        <w:rPr>
          <w:rFonts w:ascii="Arial Narrow" w:hAnsi="Arial Narrow"/>
        </w:rPr>
      </w:pPr>
      <w:r w:rsidRPr="00173E7B">
        <w:rPr>
          <w:rStyle w:val="Znakapoznpodarou"/>
          <w:rFonts w:ascii="Arial Narrow" w:hAnsi="Arial Narrow"/>
        </w:rPr>
        <w:footnoteRef/>
      </w:r>
      <w:r w:rsidRPr="00173E7B">
        <w:rPr>
          <w:rFonts w:ascii="Arial Narrow" w:hAnsi="Arial Narrow"/>
        </w:rPr>
        <w:t xml:space="preserve"> </w:t>
      </w:r>
      <w:bookmarkStart w:id="192" w:name="_Hlk136429592"/>
      <w:r w:rsidRPr="00173E7B">
        <w:rPr>
          <w:rFonts w:ascii="Arial Narrow" w:hAnsi="Arial Narrow"/>
        </w:rPr>
        <w:t xml:space="preserve">Ministerstvo vnitra ČR. 2022. </w:t>
      </w:r>
      <w:r w:rsidRPr="00173E7B">
        <w:rPr>
          <w:rFonts w:ascii="Arial Narrow" w:hAnsi="Arial Narrow"/>
          <w:i/>
          <w:iCs/>
        </w:rPr>
        <w:t>Statistická příloha ke čtvrtletní zprávě o migraci IV. 2022</w:t>
      </w:r>
      <w:r w:rsidRPr="00173E7B">
        <w:rPr>
          <w:rFonts w:ascii="Arial Narrow" w:hAnsi="Arial Narrow"/>
        </w:rPr>
        <w:t xml:space="preserve">. Praha: MV ČR. </w:t>
      </w:r>
      <w:bookmarkEnd w:id="192"/>
    </w:p>
  </w:footnote>
  <w:footnote w:id="13">
    <w:p w14:paraId="7891CC79" w14:textId="5B280339" w:rsidR="00BC1C0D" w:rsidRPr="00173E7B" w:rsidRDefault="00BC1C0D">
      <w:pPr>
        <w:pStyle w:val="Textpoznpodarou"/>
      </w:pPr>
      <w:r w:rsidRPr="00173E7B">
        <w:rPr>
          <w:rStyle w:val="Znakapoznpodarou"/>
        </w:rPr>
        <w:footnoteRef/>
      </w:r>
      <w:r w:rsidRPr="00173E7B">
        <w:t xml:space="preserve"> </w:t>
      </w:r>
      <w:bookmarkStart w:id="193" w:name="_Hlk136429583"/>
      <w:r w:rsidRPr="00173E7B">
        <w:rPr>
          <w:rFonts w:ascii="Arial Narrow" w:hAnsi="Arial Narrow"/>
        </w:rPr>
        <w:t xml:space="preserve">UNHCR. 2023. </w:t>
      </w:r>
      <w:proofErr w:type="spellStart"/>
      <w:r w:rsidRPr="00173E7B">
        <w:rPr>
          <w:rFonts w:ascii="Arial Narrow" w:hAnsi="Arial Narrow"/>
          <w:i/>
          <w:iCs/>
        </w:rPr>
        <w:t>Ukraine</w:t>
      </w:r>
      <w:proofErr w:type="spellEnd"/>
      <w:r w:rsidRPr="00173E7B">
        <w:rPr>
          <w:rFonts w:ascii="Arial Narrow" w:hAnsi="Arial Narrow"/>
          <w:i/>
          <w:iCs/>
        </w:rPr>
        <w:t xml:space="preserve"> </w:t>
      </w:r>
      <w:proofErr w:type="spellStart"/>
      <w:r w:rsidRPr="00173E7B">
        <w:rPr>
          <w:rFonts w:ascii="Arial Narrow" w:hAnsi="Arial Narrow"/>
          <w:i/>
          <w:iCs/>
        </w:rPr>
        <w:t>Refugee</w:t>
      </w:r>
      <w:proofErr w:type="spellEnd"/>
      <w:r w:rsidRPr="00173E7B">
        <w:rPr>
          <w:rFonts w:ascii="Arial Narrow" w:hAnsi="Arial Narrow"/>
          <w:i/>
          <w:iCs/>
        </w:rPr>
        <w:t xml:space="preserve"> </w:t>
      </w:r>
      <w:proofErr w:type="spellStart"/>
      <w:r w:rsidRPr="00173E7B">
        <w:rPr>
          <w:rFonts w:ascii="Arial Narrow" w:hAnsi="Arial Narrow"/>
          <w:i/>
          <w:iCs/>
        </w:rPr>
        <w:t>Situation</w:t>
      </w:r>
      <w:proofErr w:type="spellEnd"/>
      <w:r w:rsidRPr="00173E7B">
        <w:rPr>
          <w:rFonts w:ascii="Arial Narrow" w:hAnsi="Arial Narrow"/>
        </w:rPr>
        <w:t xml:space="preserve">. Dostupné z: </w:t>
      </w:r>
      <w:hyperlink r:id="rId5" w:history="1">
        <w:r w:rsidRPr="00173E7B">
          <w:rPr>
            <w:rStyle w:val="Hypertextovodkaz"/>
            <w:rFonts w:ascii="Arial Narrow" w:hAnsi="Arial Narrow"/>
            <w:color w:val="auto"/>
          </w:rPr>
          <w:t>https://data2.unhcr.org/en/situations/ukraine</w:t>
        </w:r>
      </w:hyperlink>
      <w:r w:rsidRPr="00173E7B">
        <w:rPr>
          <w:rFonts w:ascii="Arial Narrow" w:hAnsi="Arial Narrow"/>
        </w:rPr>
        <w:t xml:space="preserve">. </w:t>
      </w:r>
      <w:bookmarkEnd w:id="193"/>
    </w:p>
  </w:footnote>
  <w:footnote w:id="14">
    <w:p w14:paraId="38CD29B5" w14:textId="12948C0E" w:rsidR="00BC1C0D" w:rsidRPr="00D0190F" w:rsidRDefault="00BC1C0D" w:rsidP="00405543">
      <w:pPr>
        <w:pStyle w:val="Textpoznpodarou"/>
        <w:jc w:val="both"/>
        <w:rPr>
          <w:rFonts w:ascii="Arial Narrow" w:hAnsi="Arial Narrow"/>
        </w:rPr>
      </w:pPr>
      <w:r w:rsidRPr="00173E7B">
        <w:rPr>
          <w:rStyle w:val="Znakapoznpodarou"/>
          <w:rFonts w:ascii="Arial Narrow" w:hAnsi="Arial Narrow"/>
        </w:rPr>
        <w:footnoteRef/>
      </w:r>
      <w:r w:rsidRPr="00173E7B">
        <w:rPr>
          <w:rFonts w:ascii="Arial Narrow" w:hAnsi="Arial Narrow"/>
        </w:rPr>
        <w:t xml:space="preserve"> </w:t>
      </w:r>
      <w:r w:rsidRPr="00173E7B">
        <w:rPr>
          <w:rFonts w:ascii="Arial Narrow" w:hAnsi="Arial Narrow"/>
          <w:bCs/>
        </w:rPr>
        <w:t>Toto není vyžadováno v případě, že se již přihlásili u ubytovatele.</w:t>
      </w:r>
    </w:p>
  </w:footnote>
  <w:footnote w:id="15">
    <w:p w14:paraId="7E1B66F4" w14:textId="77777777" w:rsidR="00BC1C0D" w:rsidRPr="00D0190F" w:rsidRDefault="00BC1C0D" w:rsidP="00405543">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Ministerstvo vnitra ČR. 2022. </w:t>
      </w:r>
      <w:r w:rsidRPr="00D0190F">
        <w:rPr>
          <w:rFonts w:ascii="Arial Narrow" w:hAnsi="Arial Narrow"/>
          <w:i/>
          <w:iCs/>
        </w:rPr>
        <w:t>Statistická příloha ke čtvrtletní zprávě o migraci II. 2022</w:t>
      </w:r>
      <w:r w:rsidRPr="00D0190F">
        <w:rPr>
          <w:rFonts w:ascii="Arial Narrow" w:hAnsi="Arial Narrow"/>
        </w:rPr>
        <w:t xml:space="preserve">. Praha: MV ČR. </w:t>
      </w:r>
    </w:p>
  </w:footnote>
  <w:footnote w:id="16">
    <w:p w14:paraId="1F365795" w14:textId="6D16F7DD" w:rsidR="00BC1C0D" w:rsidRDefault="00BC1C0D" w:rsidP="00041CD0">
      <w:pPr>
        <w:pStyle w:val="Textpoznpodarou"/>
        <w:jc w:val="both"/>
      </w:pPr>
      <w:r w:rsidRPr="00173E7B">
        <w:rPr>
          <w:rStyle w:val="Znakapoznpodarou"/>
        </w:rPr>
        <w:footnoteRef/>
      </w:r>
      <w:r w:rsidRPr="00173E7B">
        <w:rPr>
          <w:color w:val="002060"/>
        </w:rPr>
        <w:t xml:space="preserve"> </w:t>
      </w:r>
      <w:r w:rsidRPr="00173E7B">
        <w:rPr>
          <w:rFonts w:ascii="Arial Narrow" w:hAnsi="Arial Narrow"/>
          <w:color w:val="000000" w:themeColor="text1"/>
        </w:rPr>
        <w:t>Nejaktuálnější data o cizincích přímo od MV ČR uvádějí počty pouze v tomto znění. Není specifikováno, zda se jedná pouze o osoby s dočasnou ochranou nebo i jiné typy pobytů.</w:t>
      </w:r>
    </w:p>
  </w:footnote>
  <w:footnote w:id="17">
    <w:p w14:paraId="204ED3E6" w14:textId="19B1AEEA" w:rsidR="00BC1C0D" w:rsidRPr="00D0190F" w:rsidRDefault="00BC1C0D">
      <w:pPr>
        <w:pStyle w:val="Textpoznpodarou"/>
        <w:rPr>
          <w:rFonts w:ascii="Arial Narrow" w:hAnsi="Arial Narrow"/>
          <w:i/>
          <w:iCs/>
        </w:rPr>
      </w:pPr>
      <w:r w:rsidRPr="00D0190F">
        <w:rPr>
          <w:rStyle w:val="Znakapoznpodarou"/>
          <w:rFonts w:ascii="Arial Narrow" w:hAnsi="Arial Narrow"/>
          <w:i/>
          <w:iCs/>
        </w:rPr>
        <w:footnoteRef/>
      </w:r>
      <w:r w:rsidRPr="00D0190F">
        <w:rPr>
          <w:rFonts w:ascii="Arial Narrow" w:hAnsi="Arial Narrow"/>
          <w:i/>
          <w:iCs/>
        </w:rPr>
        <w:t xml:space="preserve"> </w:t>
      </w:r>
      <w:bookmarkStart w:id="206" w:name="_Hlk136429646"/>
      <w:r w:rsidRPr="007A31EF">
        <w:rPr>
          <w:rFonts w:ascii="Arial Narrow" w:hAnsi="Arial Narrow"/>
        </w:rPr>
        <w:t xml:space="preserve">Odbor statistiky trhu práce a rovných příležitostí. 2022. </w:t>
      </w:r>
      <w:r w:rsidRPr="007A31EF">
        <w:rPr>
          <w:rFonts w:ascii="Arial Narrow" w:hAnsi="Arial Narrow"/>
          <w:i/>
          <w:iCs/>
        </w:rPr>
        <w:t>Život cizinců v ČR</w:t>
      </w:r>
      <w:r w:rsidRPr="007A31EF">
        <w:rPr>
          <w:rFonts w:ascii="Arial Narrow" w:hAnsi="Arial Narrow"/>
        </w:rPr>
        <w:t>. Praha: Český statistický úřad.</w:t>
      </w:r>
      <w:bookmarkEnd w:id="206"/>
    </w:p>
  </w:footnote>
  <w:footnote w:id="18">
    <w:p w14:paraId="7A26A7CF" w14:textId="019FAD5A" w:rsidR="00BC1C0D" w:rsidRPr="00D0190F" w:rsidRDefault="00BC1C0D" w:rsidP="004310EA">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r w:rsidRPr="00D0190F">
        <w:rPr>
          <w:rFonts w:ascii="Arial Narrow" w:hAnsi="Arial Narrow"/>
          <w:bCs/>
        </w:rPr>
        <w:t>Podíl mužů na celkové populaci osob s jinou než českou státní příslušností se od roku 2005 do roku 2020 pohyboval průměrně na 57,8 %, podíl žen na 42,2 %.</w:t>
      </w:r>
    </w:p>
  </w:footnote>
  <w:footnote w:id="19">
    <w:p w14:paraId="3800B712" w14:textId="5AABAEAB" w:rsidR="00BC1C0D" w:rsidRPr="00D0190F" w:rsidRDefault="00BC1C0D" w:rsidP="004310EA">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Velká Británie byla pro přehlednost přiřazena k zemím Evropské unie, přestože od roku 2020 není součástí EU. </w:t>
      </w:r>
    </w:p>
  </w:footnote>
  <w:footnote w:id="20">
    <w:p w14:paraId="0E7C0595" w14:textId="77777777" w:rsidR="00BC1C0D" w:rsidRPr="00D0190F" w:rsidRDefault="00BC1C0D" w:rsidP="004310EA">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Občané EU mají právo volného pohybu a pobytu, které je stanoveno Smlouvou o založení Evropských společenství a směrnicí Evropského parlamentu a Rady 2004/38/ES ze dne 29. dubna 2004, o právu občanů Unie a jejich rodinných příslušníků svobodně se pohybovat a pobývat na území členských států. Občané EU mohou na území ČR vstupovat a na něm pobývat po dobu neomezenou, jen na základě cestovního dokladu, kterým je v tomto případě i doklad totožnosti, aniž by byli povinni žádat o jakoukoliv formu oprávnění k pobytu</w:t>
      </w:r>
    </w:p>
  </w:footnote>
  <w:footnote w:id="21">
    <w:p w14:paraId="46EEE904" w14:textId="77777777" w:rsidR="00BC1C0D" w:rsidRPr="00D0190F" w:rsidRDefault="00BC1C0D" w:rsidP="004310EA">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Brno-město, Brno-venkov, Blansko, Vyškov a Břeclav.</w:t>
      </w:r>
    </w:p>
  </w:footnote>
  <w:footnote w:id="22">
    <w:p w14:paraId="7654F5D3" w14:textId="77777777" w:rsidR="00BC1C0D" w:rsidRPr="00D0190F" w:rsidRDefault="00BC1C0D" w:rsidP="00D70A26">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Data týkající se struktury uchazečů o zaměstnání podle nejvyššího dosaženého vzdělání jsou kompletně zaznamenávány od roku 2015.</w:t>
      </w:r>
    </w:p>
  </w:footnote>
  <w:footnote w:id="23">
    <w:p w14:paraId="37DF7079" w14:textId="3A697B47" w:rsidR="00BC1C0D" w:rsidRPr="00173E7B" w:rsidRDefault="00BC1C0D">
      <w:pPr>
        <w:pStyle w:val="Textpoznpodarou"/>
      </w:pPr>
      <w:r>
        <w:rPr>
          <w:rStyle w:val="Znakapoznpodarou"/>
        </w:rPr>
        <w:footnoteRef/>
      </w:r>
      <w:r>
        <w:t xml:space="preserve"> </w:t>
      </w:r>
      <w:r w:rsidRPr="00173E7B">
        <w:rPr>
          <w:rFonts w:ascii="Arial Narrow" w:hAnsi="Arial Narrow"/>
        </w:rPr>
        <w:t>Kategorie uchazečů o zaměstnání s vysokoškolským vzděláním a vyšším odborným vzděláním byly spojeny z důvodu nízkého počtu uchazečů s VOŠ (v roce 2022 jich bylo 367).</w:t>
      </w:r>
      <w:r w:rsidRPr="00173E7B">
        <w:t xml:space="preserve"> </w:t>
      </w:r>
    </w:p>
  </w:footnote>
  <w:footnote w:id="24">
    <w:p w14:paraId="3467A361" w14:textId="4D839B11" w:rsidR="00BC1C0D" w:rsidRPr="00173E7B" w:rsidRDefault="00BC1C0D" w:rsidP="00D70A26">
      <w:pPr>
        <w:pStyle w:val="Textpoznpodarou"/>
        <w:jc w:val="both"/>
        <w:rPr>
          <w:rFonts w:ascii="Arial Narrow" w:hAnsi="Arial Narrow"/>
        </w:rPr>
      </w:pPr>
      <w:r w:rsidRPr="00173E7B">
        <w:rPr>
          <w:rStyle w:val="Znakapoznpodarou"/>
          <w:rFonts w:ascii="Arial Narrow" w:hAnsi="Arial Narrow"/>
        </w:rPr>
        <w:footnoteRef/>
      </w:r>
      <w:r w:rsidRPr="00173E7B">
        <w:rPr>
          <w:rFonts w:ascii="Arial Narrow" w:hAnsi="Arial Narrow"/>
        </w:rPr>
        <w:t xml:space="preserve"> Data týkající se struktury volných pracovních míst podle zaměstnavatelem požadovaného vzdělání jsou kompletně zaznamenávány od roku 2015. Data jsou zpracována na základě údajů poskytnutých z databází Úřadu práce, mohou tedy existovat rozdíly mezi uvedenými daty a skutečně neobsazenými pozicemi. Zaměstnavatelé někdy uvádějí nižší požadované vzdělání než je skutečně potřebné, aby se vyhnuli složitému byrokratickému procesu ověřování přes ÚP. Firmy nemají vždy povinnost nahlašovat všechny volné pracovní pozice specialistů a obecná povinnost nahlašovat volná pracovní místa pro podnikatele byla znovu zavedena až v roce 2021.  </w:t>
      </w:r>
    </w:p>
  </w:footnote>
  <w:footnote w:id="25">
    <w:p w14:paraId="695680F4" w14:textId="57220F24" w:rsidR="00BC1C0D" w:rsidRDefault="00BC1C0D">
      <w:pPr>
        <w:pStyle w:val="Textpoznpodarou"/>
      </w:pPr>
      <w:r w:rsidRPr="00173E7B">
        <w:rPr>
          <w:rStyle w:val="Znakapoznpodarou"/>
        </w:rPr>
        <w:footnoteRef/>
      </w:r>
      <w:r w:rsidRPr="00173E7B">
        <w:t xml:space="preserve"> </w:t>
      </w:r>
      <w:r w:rsidRPr="00173E7B">
        <w:rPr>
          <w:rFonts w:ascii="Arial Narrow" w:hAnsi="Arial Narrow"/>
        </w:rPr>
        <w:t>Kategorie volných pozic s požadavkem na vysokoškolské nebo vyšší odborné vzdělání byly spojeny z důvodu nízkého počtu pozic s požadavkem VOŠ (v roce 2022 jich bylo 68).</w:t>
      </w:r>
    </w:p>
  </w:footnote>
  <w:footnote w:id="26">
    <w:p w14:paraId="31339268" w14:textId="124E2162" w:rsidR="00BC1C0D" w:rsidRPr="007B59C4" w:rsidRDefault="00BC1C0D">
      <w:pPr>
        <w:pStyle w:val="Textpoznpodarou"/>
      </w:pPr>
      <w:r>
        <w:rPr>
          <w:rStyle w:val="Znakapoznpodarou"/>
        </w:rPr>
        <w:footnoteRef/>
      </w:r>
      <w:r>
        <w:t xml:space="preserve"> </w:t>
      </w:r>
      <w:bookmarkStart w:id="328" w:name="_Hlk136876437"/>
      <w:r w:rsidRPr="007B59C4">
        <w:rPr>
          <w:rFonts w:ascii="Arial Narrow" w:hAnsi="Arial Narrow"/>
        </w:rPr>
        <w:t xml:space="preserve">MPSV. (2023). Lex Ukrajina 5: Změny v pomoci uprchlíkům z Ukrajiny. Dostupné z: </w:t>
      </w:r>
      <w:hyperlink r:id="rId6" w:history="1">
        <w:r w:rsidRPr="007B59C4">
          <w:rPr>
            <w:rStyle w:val="Hypertextovodkaz"/>
            <w:rFonts w:ascii="Arial Narrow" w:hAnsi="Arial Narrow"/>
            <w:color w:val="auto"/>
          </w:rPr>
          <w:t>https://www.cizinci.cz/-/lex-ukrajina-5-zmeny-v-pomoci-uprchlikum-z-ukrajiny</w:t>
        </w:r>
      </w:hyperlink>
      <w:r w:rsidRPr="007B59C4">
        <w:rPr>
          <w:rFonts w:ascii="Arial Narrow" w:hAnsi="Arial Narrow"/>
        </w:rPr>
        <w:t xml:space="preserve"> </w:t>
      </w:r>
      <w:bookmarkEnd w:id="328"/>
    </w:p>
  </w:footnote>
  <w:footnote w:id="27">
    <w:p w14:paraId="7F73B8D3" w14:textId="3D45B4E4" w:rsidR="00BC1C0D" w:rsidRDefault="00BC1C0D">
      <w:pPr>
        <w:pStyle w:val="Textpoznpodarou"/>
      </w:pPr>
      <w:r w:rsidRPr="007B59C4">
        <w:rPr>
          <w:rStyle w:val="Znakapoznpodarou"/>
        </w:rPr>
        <w:footnoteRef/>
      </w:r>
      <w:r w:rsidRPr="007B59C4">
        <w:t xml:space="preserve"> </w:t>
      </w:r>
      <w:r w:rsidRPr="007B59C4">
        <w:rPr>
          <w:rFonts w:ascii="Arial Narrow" w:hAnsi="Arial Narrow"/>
        </w:rPr>
        <w:t>Zdravotní pojištění, v případě, že je jedinec zaměstnán, proplácí zaměstnavatel. Pokud není, ale je přihlášen na ÚP jako uchazeč o zaměstnání, proplácí zdravotní pojištění (stejně jako všem ostatním uchazečům) ÚP.</w:t>
      </w:r>
    </w:p>
  </w:footnote>
  <w:footnote w:id="28">
    <w:p w14:paraId="362B6B18" w14:textId="77777777" w:rsidR="00BC1C0D" w:rsidRPr="00D0190F" w:rsidRDefault="00BC1C0D" w:rsidP="00F127A2">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Data týkající se struktury uchazečů o zaměstnání podle nejvyššího dosaženého vzdělání jsou kompletně zaznamenávány od roku 2015.</w:t>
      </w:r>
    </w:p>
  </w:footnote>
  <w:footnote w:id="29">
    <w:p w14:paraId="1B19E20B" w14:textId="08F5A663" w:rsidR="00BC1C0D" w:rsidRDefault="00BC1C0D">
      <w:pPr>
        <w:pStyle w:val="Textpoznpodarou"/>
      </w:pPr>
      <w:r w:rsidRPr="007B59C4">
        <w:rPr>
          <w:rStyle w:val="Znakapoznpodarou"/>
        </w:rPr>
        <w:footnoteRef/>
      </w:r>
      <w:r w:rsidRPr="007B59C4">
        <w:t xml:space="preserve"> </w:t>
      </w:r>
      <w:r w:rsidRPr="007B59C4">
        <w:rPr>
          <w:rFonts w:ascii="Arial Narrow" w:hAnsi="Arial Narrow"/>
        </w:rPr>
        <w:t>Úroveň vzdělání osob s jinou než českou státní příslušností může být zkreslena. Data ÚP vychází z nostrifikovaného vzdělání, tedy ne vždy je v ČR cizím státním příslušníkům uznána úroveň vzdělání, které dosáhli v zemi původu.</w:t>
      </w:r>
      <w:r>
        <w:t xml:space="preserve">    </w:t>
      </w:r>
    </w:p>
  </w:footnote>
  <w:footnote w:id="30">
    <w:p w14:paraId="15750263" w14:textId="77777777" w:rsidR="00BC1C0D" w:rsidRPr="00D0190F" w:rsidRDefault="00BC1C0D" w:rsidP="00A17AFA">
      <w:pPr>
        <w:jc w:val="both"/>
        <w:rPr>
          <w:rFonts w:ascii="Arial Narrow" w:hAnsi="Arial Narrow"/>
          <w:sz w:val="20"/>
          <w:szCs w:val="20"/>
        </w:rPr>
      </w:pPr>
      <w:r w:rsidRPr="00D0190F">
        <w:rPr>
          <w:rStyle w:val="Znakapoznpodarou"/>
          <w:rFonts w:ascii="Arial Narrow" w:hAnsi="Arial Narrow"/>
          <w:sz w:val="20"/>
          <w:szCs w:val="20"/>
        </w:rPr>
        <w:footnoteRef/>
      </w:r>
      <w:r w:rsidRPr="00D0190F">
        <w:rPr>
          <w:rFonts w:ascii="Arial Narrow" w:hAnsi="Arial Narrow"/>
          <w:sz w:val="20"/>
          <w:szCs w:val="20"/>
        </w:rPr>
        <w:t xml:space="preserve"> </w:t>
      </w:r>
      <w:r w:rsidRPr="00D0190F">
        <w:rPr>
          <w:rFonts w:ascii="Arial Narrow" w:hAnsi="Arial Narrow" w:cs="Arial"/>
          <w:sz w:val="20"/>
          <w:szCs w:val="20"/>
        </w:rPr>
        <w:t xml:space="preserve">Klasifikace zaměstnání CZ-ISCO představuje jinou metodu národní statistické klasifikace, která byla vypracovaná na základě mezinárodního standardu International Standard </w:t>
      </w:r>
      <w:proofErr w:type="spellStart"/>
      <w:r w:rsidRPr="00D0190F">
        <w:rPr>
          <w:rFonts w:ascii="Arial Narrow" w:hAnsi="Arial Narrow" w:cs="Arial"/>
          <w:sz w:val="20"/>
          <w:szCs w:val="20"/>
        </w:rPr>
        <w:t>Classification</w:t>
      </w:r>
      <w:proofErr w:type="spellEnd"/>
      <w:r w:rsidRPr="00D0190F">
        <w:rPr>
          <w:rFonts w:ascii="Arial Narrow" w:hAnsi="Arial Narrow" w:cs="Arial"/>
          <w:sz w:val="20"/>
          <w:szCs w:val="20"/>
        </w:rPr>
        <w:t xml:space="preserve"> </w:t>
      </w:r>
      <w:proofErr w:type="spellStart"/>
      <w:r w:rsidRPr="00D0190F">
        <w:rPr>
          <w:rFonts w:ascii="Arial Narrow" w:hAnsi="Arial Narrow" w:cs="Arial"/>
          <w:sz w:val="20"/>
          <w:szCs w:val="20"/>
        </w:rPr>
        <w:t>of</w:t>
      </w:r>
      <w:proofErr w:type="spellEnd"/>
      <w:r w:rsidRPr="00D0190F">
        <w:rPr>
          <w:rFonts w:ascii="Arial Narrow" w:hAnsi="Arial Narrow" w:cs="Arial"/>
          <w:sz w:val="20"/>
          <w:szCs w:val="20"/>
        </w:rPr>
        <w:t xml:space="preserve"> </w:t>
      </w:r>
      <w:proofErr w:type="spellStart"/>
      <w:r w:rsidRPr="00D0190F">
        <w:rPr>
          <w:rFonts w:ascii="Arial Narrow" w:hAnsi="Arial Narrow" w:cs="Arial"/>
          <w:sz w:val="20"/>
          <w:szCs w:val="20"/>
        </w:rPr>
        <w:t>Occupations</w:t>
      </w:r>
      <w:proofErr w:type="spellEnd"/>
      <w:r w:rsidRPr="00D0190F">
        <w:rPr>
          <w:rFonts w:ascii="Arial Narrow" w:hAnsi="Arial Narrow" w:cs="Arial"/>
          <w:sz w:val="20"/>
          <w:szCs w:val="20"/>
        </w:rPr>
        <w:t xml:space="preserve"> (ISCO-08).</w:t>
      </w:r>
    </w:p>
  </w:footnote>
  <w:footnote w:id="31">
    <w:p w14:paraId="7F6D5D03" w14:textId="35639C94" w:rsidR="00BC1C0D" w:rsidRPr="007B59C4" w:rsidRDefault="00BC1C0D">
      <w:pPr>
        <w:pStyle w:val="Textpoznpodarou"/>
      </w:pPr>
      <w:r>
        <w:rPr>
          <w:rStyle w:val="Znakapoznpodarou"/>
        </w:rPr>
        <w:footnoteRef/>
      </w:r>
      <w:r>
        <w:t xml:space="preserve"> </w:t>
      </w:r>
      <w:r w:rsidRPr="007B59C4">
        <w:rPr>
          <w:rFonts w:ascii="Arial Narrow" w:hAnsi="Arial Narrow"/>
        </w:rPr>
        <w:t xml:space="preserve">Podíl zaměstnaných osob s jinou státní příslušností vychází z celkového počtu osob s jinou státní příslušností v dané zemi (v Německu příliv během migrační vlny v letech 2015-2017). Podíly osob s jinou státní příslušností na občany daných zemí nejsou v databázi </w:t>
      </w:r>
      <w:proofErr w:type="spellStart"/>
      <w:r w:rsidRPr="007B59C4">
        <w:rPr>
          <w:rFonts w:ascii="Arial Narrow" w:hAnsi="Arial Narrow"/>
        </w:rPr>
        <w:t>Eurostatu</w:t>
      </w:r>
      <w:proofErr w:type="spellEnd"/>
      <w:r w:rsidRPr="007B59C4">
        <w:rPr>
          <w:rFonts w:ascii="Arial Narrow" w:hAnsi="Arial Narrow"/>
        </w:rPr>
        <w:t xml:space="preserve"> za rok 2021 dohledatelné.</w:t>
      </w:r>
    </w:p>
  </w:footnote>
  <w:footnote w:id="32">
    <w:p w14:paraId="79B19A97" w14:textId="4FFF854E" w:rsidR="00BC1C0D" w:rsidRPr="00D0190F" w:rsidRDefault="00BC1C0D">
      <w:pPr>
        <w:pStyle w:val="Textpoznpodarou"/>
        <w:rPr>
          <w:rFonts w:ascii="Arial Narrow" w:hAnsi="Arial Narrow"/>
        </w:rPr>
      </w:pPr>
      <w:r w:rsidRPr="007B59C4">
        <w:rPr>
          <w:rStyle w:val="Znakapoznpodarou"/>
          <w:rFonts w:ascii="Arial Narrow" w:hAnsi="Arial Narrow"/>
        </w:rPr>
        <w:footnoteRef/>
      </w:r>
      <w:r w:rsidRPr="007B59C4">
        <w:rPr>
          <w:rFonts w:ascii="Arial Narrow" w:hAnsi="Arial Narrow"/>
        </w:rPr>
        <w:t xml:space="preserve"> Slovensko data o zaměstnanosti pracovníků z Evropské unie a třetích zemí neposkytlo</w:t>
      </w:r>
      <w:r w:rsidRPr="00D0190F">
        <w:rPr>
          <w:rFonts w:ascii="Arial Narrow" w:hAnsi="Arial Narrow"/>
        </w:rPr>
        <w:t>.</w:t>
      </w:r>
    </w:p>
  </w:footnote>
  <w:footnote w:id="33">
    <w:p w14:paraId="40E324E3" w14:textId="1510EB9F" w:rsidR="00E209CD" w:rsidRDefault="00E209CD">
      <w:pPr>
        <w:pStyle w:val="Textpoznpodarou"/>
      </w:pPr>
      <w:r>
        <w:rPr>
          <w:rStyle w:val="Znakapoznpodarou"/>
        </w:rPr>
        <w:footnoteRef/>
      </w:r>
      <w:r>
        <w:t xml:space="preserve"> </w:t>
      </w:r>
      <w:r w:rsidRPr="00E209CD">
        <w:rPr>
          <w:rFonts w:ascii="Arial Narrow" w:hAnsi="Arial Narrow"/>
          <w:highlight w:val="cyan"/>
        </w:rPr>
        <w:t xml:space="preserve">NUTS 2 jsou sdružené kraje, tzv. regiony soudržnosti (neadministrativní jednotky). Mapa </w:t>
      </w:r>
      <w:r w:rsidR="005D3EE8">
        <w:rPr>
          <w:rFonts w:ascii="Arial Narrow" w:hAnsi="Arial Narrow"/>
          <w:highlight w:val="cyan"/>
        </w:rPr>
        <w:t>zobrazuje jejich geografické vymezení</w:t>
      </w:r>
      <w:r w:rsidRPr="00E209CD">
        <w:rPr>
          <w:rFonts w:ascii="Arial Narrow" w:hAnsi="Arial Narrow"/>
          <w:highlight w:val="cyan"/>
        </w:rPr>
        <w:t>.</w:t>
      </w:r>
    </w:p>
  </w:footnote>
  <w:footnote w:id="34">
    <w:p w14:paraId="0C61EC82" w14:textId="13D12C8F"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Slovensko a Polsko data neposkytlo. </w:t>
      </w:r>
    </w:p>
  </w:footnote>
  <w:footnote w:id="35">
    <w:p w14:paraId="553C54EA" w14:textId="0837AC9E"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bookmarkStart w:id="363" w:name="_Hlk136876462"/>
      <w:r w:rsidRPr="00D0190F">
        <w:rPr>
          <w:rFonts w:ascii="Arial Narrow" w:hAnsi="Arial Narrow"/>
        </w:rPr>
        <w:t>EUROSTAT</w:t>
      </w:r>
      <w:r w:rsidRPr="00D0190F">
        <w:rPr>
          <w:rFonts w:ascii="Arial Narrow" w:hAnsi="Arial Narrow"/>
          <w:i/>
          <w:iCs/>
        </w:rPr>
        <w:t xml:space="preserve">. </w:t>
      </w:r>
      <w:proofErr w:type="spellStart"/>
      <w:r w:rsidRPr="00D0190F">
        <w:rPr>
          <w:rFonts w:ascii="Arial Narrow" w:hAnsi="Arial Narrow"/>
          <w:i/>
          <w:iCs/>
        </w:rPr>
        <w:t>First</w:t>
      </w:r>
      <w:proofErr w:type="spellEnd"/>
      <w:r w:rsidRPr="00D0190F">
        <w:rPr>
          <w:rFonts w:ascii="Arial Narrow" w:hAnsi="Arial Narrow"/>
          <w:i/>
          <w:iCs/>
        </w:rPr>
        <w:t xml:space="preserve"> and second-</w:t>
      </w:r>
      <w:proofErr w:type="spellStart"/>
      <w:r w:rsidRPr="00D0190F">
        <w:rPr>
          <w:rFonts w:ascii="Arial Narrow" w:hAnsi="Arial Narrow"/>
          <w:i/>
          <w:iCs/>
        </w:rPr>
        <w:t>generation</w:t>
      </w:r>
      <w:proofErr w:type="spellEnd"/>
      <w:r w:rsidRPr="00D0190F">
        <w:rPr>
          <w:rFonts w:ascii="Arial Narrow" w:hAnsi="Arial Narrow"/>
          <w:i/>
          <w:iCs/>
        </w:rPr>
        <w:t xml:space="preserve"> </w:t>
      </w:r>
      <w:proofErr w:type="spellStart"/>
      <w:r w:rsidRPr="00D0190F">
        <w:rPr>
          <w:rFonts w:ascii="Arial Narrow" w:hAnsi="Arial Narrow"/>
          <w:i/>
          <w:iCs/>
        </w:rPr>
        <w:t>immigrants</w:t>
      </w:r>
      <w:proofErr w:type="spellEnd"/>
      <w:r w:rsidRPr="00D0190F">
        <w:rPr>
          <w:rFonts w:ascii="Arial Narrow" w:hAnsi="Arial Narrow"/>
          <w:i/>
          <w:iCs/>
        </w:rPr>
        <w:t xml:space="preserve"> - </w:t>
      </w:r>
      <w:proofErr w:type="spellStart"/>
      <w:r w:rsidRPr="00D0190F">
        <w:rPr>
          <w:rFonts w:ascii="Arial Narrow" w:hAnsi="Arial Narrow"/>
          <w:i/>
          <w:iCs/>
        </w:rPr>
        <w:t>statistics</w:t>
      </w:r>
      <w:proofErr w:type="spellEnd"/>
      <w:r w:rsidRPr="00D0190F">
        <w:rPr>
          <w:rFonts w:ascii="Arial Narrow" w:hAnsi="Arial Narrow"/>
          <w:i/>
          <w:iCs/>
        </w:rPr>
        <w:t xml:space="preserve"> on </w:t>
      </w:r>
      <w:proofErr w:type="spellStart"/>
      <w:r w:rsidRPr="00D0190F">
        <w:rPr>
          <w:rFonts w:ascii="Arial Narrow" w:hAnsi="Arial Narrow"/>
          <w:i/>
          <w:iCs/>
        </w:rPr>
        <w:t>education</w:t>
      </w:r>
      <w:proofErr w:type="spellEnd"/>
      <w:r w:rsidRPr="00D0190F">
        <w:rPr>
          <w:rFonts w:ascii="Arial Narrow" w:hAnsi="Arial Narrow"/>
          <w:i/>
          <w:iCs/>
        </w:rPr>
        <w:t xml:space="preserve"> and </w:t>
      </w:r>
      <w:proofErr w:type="spellStart"/>
      <w:r w:rsidRPr="00D0190F">
        <w:rPr>
          <w:rFonts w:ascii="Arial Narrow" w:hAnsi="Arial Narrow"/>
          <w:i/>
          <w:iCs/>
        </w:rPr>
        <w:t>skills</w:t>
      </w:r>
      <w:proofErr w:type="spellEnd"/>
      <w:r w:rsidRPr="00D0190F">
        <w:rPr>
          <w:rFonts w:ascii="Arial Narrow" w:hAnsi="Arial Narrow"/>
        </w:rPr>
        <w:t xml:space="preserve">. 2016. citováno dne 7. 1. 2022. Dostupné z: </w:t>
      </w:r>
      <w:hyperlink r:id="rId7" w:anchor="Over-qualification" w:history="1">
        <w:proofErr w:type="spellStart"/>
        <w:r w:rsidRPr="00D0190F">
          <w:rPr>
            <w:rStyle w:val="Hypertextovodkaz"/>
            <w:rFonts w:ascii="Arial Narrow" w:hAnsi="Arial Narrow"/>
            <w:color w:val="auto"/>
          </w:rPr>
          <w:t>First</w:t>
        </w:r>
        <w:proofErr w:type="spellEnd"/>
        <w:r w:rsidRPr="00D0190F">
          <w:rPr>
            <w:rStyle w:val="Hypertextovodkaz"/>
            <w:rFonts w:ascii="Arial Narrow" w:hAnsi="Arial Narrow"/>
            <w:color w:val="auto"/>
          </w:rPr>
          <w:t xml:space="preserve"> and second-</w:t>
        </w:r>
        <w:proofErr w:type="spellStart"/>
        <w:r w:rsidRPr="00D0190F">
          <w:rPr>
            <w:rStyle w:val="Hypertextovodkaz"/>
            <w:rFonts w:ascii="Arial Narrow" w:hAnsi="Arial Narrow"/>
            <w:color w:val="auto"/>
          </w:rPr>
          <w:t>generation</w:t>
        </w:r>
        <w:proofErr w:type="spellEnd"/>
        <w:r w:rsidRPr="00D0190F">
          <w:rPr>
            <w:rStyle w:val="Hypertextovodkaz"/>
            <w:rFonts w:ascii="Arial Narrow" w:hAnsi="Arial Narrow"/>
            <w:color w:val="auto"/>
          </w:rPr>
          <w:t xml:space="preserve"> </w:t>
        </w:r>
        <w:proofErr w:type="spellStart"/>
        <w:r w:rsidRPr="00D0190F">
          <w:rPr>
            <w:rStyle w:val="Hypertextovodkaz"/>
            <w:rFonts w:ascii="Arial Narrow" w:hAnsi="Arial Narrow"/>
            <w:color w:val="auto"/>
          </w:rPr>
          <w:t>immigrants</w:t>
        </w:r>
        <w:proofErr w:type="spellEnd"/>
        <w:r w:rsidRPr="00D0190F">
          <w:rPr>
            <w:rStyle w:val="Hypertextovodkaz"/>
            <w:rFonts w:ascii="Arial Narrow" w:hAnsi="Arial Narrow"/>
            <w:color w:val="auto"/>
          </w:rPr>
          <w:t xml:space="preserve"> - </w:t>
        </w:r>
        <w:proofErr w:type="spellStart"/>
        <w:r w:rsidRPr="00D0190F">
          <w:rPr>
            <w:rStyle w:val="Hypertextovodkaz"/>
            <w:rFonts w:ascii="Arial Narrow" w:hAnsi="Arial Narrow"/>
            <w:color w:val="auto"/>
          </w:rPr>
          <w:t>statistics</w:t>
        </w:r>
        <w:proofErr w:type="spellEnd"/>
        <w:r w:rsidRPr="00D0190F">
          <w:rPr>
            <w:rStyle w:val="Hypertextovodkaz"/>
            <w:rFonts w:ascii="Arial Narrow" w:hAnsi="Arial Narrow"/>
            <w:color w:val="auto"/>
          </w:rPr>
          <w:t xml:space="preserve"> on </w:t>
        </w:r>
        <w:proofErr w:type="spellStart"/>
        <w:r w:rsidRPr="00D0190F">
          <w:rPr>
            <w:rStyle w:val="Hypertextovodkaz"/>
            <w:rFonts w:ascii="Arial Narrow" w:hAnsi="Arial Narrow"/>
            <w:color w:val="auto"/>
          </w:rPr>
          <w:t>education</w:t>
        </w:r>
        <w:proofErr w:type="spellEnd"/>
        <w:r w:rsidRPr="00D0190F">
          <w:rPr>
            <w:rStyle w:val="Hypertextovodkaz"/>
            <w:rFonts w:ascii="Arial Narrow" w:hAnsi="Arial Narrow"/>
            <w:color w:val="auto"/>
          </w:rPr>
          <w:t xml:space="preserve"> and </w:t>
        </w:r>
        <w:proofErr w:type="spellStart"/>
        <w:r w:rsidRPr="00D0190F">
          <w:rPr>
            <w:rStyle w:val="Hypertextovodkaz"/>
            <w:rFonts w:ascii="Arial Narrow" w:hAnsi="Arial Narrow"/>
            <w:color w:val="auto"/>
          </w:rPr>
          <w:t>skills</w:t>
        </w:r>
        <w:proofErr w:type="spellEnd"/>
        <w:r w:rsidRPr="00D0190F">
          <w:rPr>
            <w:rStyle w:val="Hypertextovodkaz"/>
            <w:rFonts w:ascii="Arial Narrow" w:hAnsi="Arial Narrow"/>
            <w:color w:val="auto"/>
          </w:rPr>
          <w:t xml:space="preserve"> - </w:t>
        </w:r>
        <w:proofErr w:type="spellStart"/>
        <w:r w:rsidRPr="00D0190F">
          <w:rPr>
            <w:rStyle w:val="Hypertextovodkaz"/>
            <w:rFonts w:ascii="Arial Narrow" w:hAnsi="Arial Narrow"/>
            <w:color w:val="auto"/>
          </w:rPr>
          <w:t>Statistics</w:t>
        </w:r>
        <w:proofErr w:type="spellEnd"/>
        <w:r w:rsidRPr="00D0190F">
          <w:rPr>
            <w:rStyle w:val="Hypertextovodkaz"/>
            <w:rFonts w:ascii="Arial Narrow" w:hAnsi="Arial Narrow"/>
            <w:color w:val="auto"/>
          </w:rPr>
          <w:t xml:space="preserve"> </w:t>
        </w:r>
        <w:proofErr w:type="spellStart"/>
        <w:r w:rsidRPr="00D0190F">
          <w:rPr>
            <w:rStyle w:val="Hypertextovodkaz"/>
            <w:rFonts w:ascii="Arial Narrow" w:hAnsi="Arial Narrow"/>
            <w:color w:val="auto"/>
          </w:rPr>
          <w:t>Explained</w:t>
        </w:r>
        <w:proofErr w:type="spellEnd"/>
        <w:r w:rsidRPr="00D0190F">
          <w:rPr>
            <w:rStyle w:val="Hypertextovodkaz"/>
            <w:rFonts w:ascii="Arial Narrow" w:hAnsi="Arial Narrow"/>
            <w:color w:val="auto"/>
          </w:rPr>
          <w:t xml:space="preserve"> (europa.eu)</w:t>
        </w:r>
      </w:hyperlink>
      <w:r w:rsidRPr="00D0190F">
        <w:rPr>
          <w:rFonts w:ascii="Arial Narrow" w:hAnsi="Arial Narrow"/>
        </w:rPr>
        <w:t xml:space="preserve"> </w:t>
      </w:r>
      <w:bookmarkEnd w:id="363"/>
    </w:p>
  </w:footnote>
  <w:footnote w:id="36">
    <w:p w14:paraId="60F10D5D" w14:textId="60F85A63"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Výzkum z roku 2014 nebyl do odevzdání aktualizované závěrečné zprávy opětovně proveden.</w:t>
      </w:r>
    </w:p>
  </w:footnote>
  <w:footnote w:id="37">
    <w:p w14:paraId="32EA69A6" w14:textId="4071B036" w:rsidR="00BC1C0D" w:rsidRPr="00D0190F" w:rsidRDefault="00BC1C0D" w:rsidP="005F0140">
      <w:pPr>
        <w:pStyle w:val="Textkomente"/>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Výzkum byl realizován v úředním jazyce každého státu (EU-27) a jazykové schopnosti byly hodnoceny na základě porozumění daným otázkám, dalším souvislostem a schopnosti na ně odpovídat. Bližší informace o tom, jaké jazykové schopnosti musel respondent mít, aby dosáhl určité úrovně, nejsou uvedené. </w:t>
      </w:r>
    </w:p>
  </w:footnote>
  <w:footnote w:id="38">
    <w:p w14:paraId="1DE4EDE3" w14:textId="4DDDE527" w:rsidR="00BC1C0D" w:rsidRPr="00D0190F" w:rsidRDefault="00BC1C0D" w:rsidP="00E30EC7">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Úřad práce České republiky, Krajská pobočka v Brně. 2022. </w:t>
      </w:r>
      <w:r w:rsidRPr="00D0190F">
        <w:rPr>
          <w:rFonts w:ascii="Arial Narrow" w:hAnsi="Arial Narrow"/>
          <w:i/>
          <w:iCs/>
        </w:rPr>
        <w:t>Zpráva o situaci na krajském trhu práce, o realizaci APZ v roce 2021 a strategie APZ pro rok 2022</w:t>
      </w:r>
      <w:r w:rsidRPr="00D0190F">
        <w:rPr>
          <w:rFonts w:ascii="Arial Narrow" w:hAnsi="Arial Narrow"/>
        </w:rPr>
        <w:t xml:space="preserve">. citováno dne 11. 2. 2023. Dostupné z: https://www.uradprace.cz/documents/37855/925019/Rocni_JMK_2021.pdf/. </w:t>
      </w:r>
    </w:p>
  </w:footnote>
  <w:footnote w:id="39">
    <w:p w14:paraId="7286E205" w14:textId="05E4288B" w:rsidR="00BC1C0D" w:rsidRPr="00D0190F" w:rsidRDefault="00BC1C0D" w:rsidP="00E30EC7">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Úřad práce České republiky, Krajská pobočka v Brně. 2023. </w:t>
      </w:r>
      <w:r w:rsidRPr="00D0190F">
        <w:rPr>
          <w:rFonts w:ascii="Arial Narrow" w:hAnsi="Arial Narrow"/>
          <w:i/>
          <w:iCs/>
        </w:rPr>
        <w:t>Zpráva o situaci na krajském trhu práce, o realizaci APZ v roce 2022 a strategie APZ pro rok 2023</w:t>
      </w:r>
      <w:r w:rsidRPr="00D0190F">
        <w:rPr>
          <w:rFonts w:ascii="Arial Narrow" w:hAnsi="Arial Narrow"/>
        </w:rPr>
        <w:t>. citováno dne 21. 3. 2023. Dostupné z: https://www.uradprace.cz/documents/37855/925019/Rocni_JMK_2022.pdf/.</w:t>
      </w:r>
    </w:p>
  </w:footnote>
  <w:footnote w:id="40">
    <w:p w14:paraId="3B99E1BD" w14:textId="77777777" w:rsidR="00BC1C0D" w:rsidRPr="00D0190F" w:rsidRDefault="00BC1C0D" w:rsidP="00E30EC7">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Zahrnuje povolení k zaměstnání, modré karty a zaměstnanecké karty.</w:t>
      </w:r>
    </w:p>
  </w:footnote>
  <w:footnote w:id="41">
    <w:p w14:paraId="1975D652" w14:textId="5CF2781D" w:rsidR="00BC1C0D" w:rsidRPr="00D0190F" w:rsidRDefault="00BC1C0D" w:rsidP="00E30EC7">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Úřad práce České republiky, Krajská pobočka v Brně. 2022. </w:t>
      </w:r>
      <w:r w:rsidRPr="00D0190F">
        <w:rPr>
          <w:rFonts w:ascii="Arial Narrow" w:hAnsi="Arial Narrow"/>
          <w:i/>
          <w:iCs/>
        </w:rPr>
        <w:t>Zpráva o situaci na krajském trhu práce, o realizaci APZ v roce 2021 a strategie APZ pro rok 2022</w:t>
      </w:r>
      <w:r w:rsidRPr="00D0190F">
        <w:rPr>
          <w:rFonts w:ascii="Arial Narrow" w:hAnsi="Arial Narrow"/>
        </w:rPr>
        <w:t xml:space="preserve">. citováno dne 17. 2. 2023. Dostupné z: </w:t>
      </w:r>
      <w:hyperlink r:id="rId8" w:history="1">
        <w:r w:rsidRPr="00D0190F">
          <w:rPr>
            <w:rStyle w:val="Hypertextovodkaz"/>
            <w:rFonts w:ascii="Arial Narrow" w:hAnsi="Arial Narrow"/>
            <w:color w:val="auto"/>
          </w:rPr>
          <w:t>https://www.uradprace.cz/documents/37855/925019/Rocni_JMK_2020.pdf/645426a3-0c23-5e53-ead8-76b63ebc9ffa</w:t>
        </w:r>
      </w:hyperlink>
      <w:r w:rsidRPr="00D0190F">
        <w:rPr>
          <w:rStyle w:val="Hypertextovodkaz"/>
          <w:rFonts w:ascii="Arial Narrow" w:hAnsi="Arial Narrow"/>
          <w:color w:val="auto"/>
        </w:rPr>
        <w:t>.</w:t>
      </w:r>
    </w:p>
  </w:footnote>
  <w:footnote w:id="42">
    <w:p w14:paraId="58ABC647" w14:textId="3B48A47E" w:rsidR="00BC1C0D" w:rsidRPr="00D0190F" w:rsidRDefault="00BC1C0D" w:rsidP="00E30EC7">
      <w:pPr>
        <w:pStyle w:val="Textpoznpodarou"/>
        <w:jc w:val="both"/>
        <w:rPr>
          <w:rFonts w:ascii="Arial Narrow" w:hAnsi="Arial Narrow"/>
          <w:highlight w:val="yellow"/>
        </w:rPr>
      </w:pPr>
      <w:r w:rsidRPr="00D0190F">
        <w:rPr>
          <w:rStyle w:val="Znakapoznpodarou"/>
          <w:rFonts w:ascii="Arial Narrow" w:hAnsi="Arial Narrow"/>
        </w:rPr>
        <w:footnoteRef/>
      </w:r>
      <w:r w:rsidRPr="00D0190F">
        <w:rPr>
          <w:rFonts w:ascii="Arial Narrow" w:hAnsi="Arial Narrow"/>
        </w:rPr>
        <w:t xml:space="preserve"> Úřad práce České republiky, Krajská pobočka v Brně. 2023. </w:t>
      </w:r>
      <w:r w:rsidRPr="00D0190F">
        <w:rPr>
          <w:rFonts w:ascii="Arial Narrow" w:hAnsi="Arial Narrow"/>
          <w:i/>
          <w:iCs/>
        </w:rPr>
        <w:t>Zpráva o situaci na krajském trhu práce, o realizaci APZ v roce 2022 a strategie APZ pro rok 2023</w:t>
      </w:r>
      <w:r w:rsidRPr="00D0190F">
        <w:rPr>
          <w:rFonts w:ascii="Arial Narrow" w:hAnsi="Arial Narrow"/>
        </w:rPr>
        <w:t>, citováno dne 21. 3. 2023. Dostupné z: https://www.uradprace.cz/documents/37855/925019/Rocni_JMK_2022.pdf/</w:t>
      </w:r>
      <w:r w:rsidRPr="00D0190F">
        <w:rPr>
          <w:rStyle w:val="Hypertextovodkaz"/>
          <w:rFonts w:ascii="Arial Narrow" w:hAnsi="Arial Narrow"/>
        </w:rPr>
        <w:t>.</w:t>
      </w:r>
    </w:p>
  </w:footnote>
  <w:footnote w:id="43">
    <w:p w14:paraId="50E27E5D" w14:textId="77777777" w:rsidR="00BC1C0D" w:rsidRPr="00D0190F" w:rsidRDefault="00BC1C0D" w:rsidP="00E30EC7">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Tamtéž. </w:t>
      </w:r>
    </w:p>
  </w:footnote>
  <w:footnote w:id="44">
    <w:p w14:paraId="1C169732" w14:textId="77777777" w:rsidR="00BC1C0D" w:rsidRPr="00D0190F" w:rsidRDefault="00BC1C0D" w:rsidP="00E30EC7">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Tamtéž.</w:t>
      </w:r>
    </w:p>
  </w:footnote>
  <w:footnote w:id="45">
    <w:p w14:paraId="29B311BD" w14:textId="77777777" w:rsidR="00BC1C0D" w:rsidRPr="00D0190F" w:rsidRDefault="00BC1C0D" w:rsidP="00E30EC7">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Modrá karta vydaná Českou republikou je povolení k dlouhodobému pobytu na území České republiky za účelem výkonu zaměstnání vyžadujícího vysokou kvalifikaci.</w:t>
      </w:r>
    </w:p>
  </w:footnote>
  <w:footnote w:id="46">
    <w:p w14:paraId="2D6CC36F" w14:textId="77777777" w:rsidR="00BC1C0D" w:rsidRDefault="00BC1C0D" w:rsidP="00BC1C0D">
      <w:pPr>
        <w:pStyle w:val="Textpoznpodarou"/>
      </w:pPr>
      <w:r w:rsidRPr="007B59C4">
        <w:rPr>
          <w:rStyle w:val="Znakapoznpodarou"/>
        </w:rPr>
        <w:footnoteRef/>
      </w:r>
      <w:r w:rsidRPr="007B59C4">
        <w:t xml:space="preserve"> </w:t>
      </w:r>
      <w:r w:rsidRPr="005D3EE8">
        <w:rPr>
          <w:rFonts w:ascii="Arial Narrow" w:hAnsi="Arial Narrow"/>
          <w:highlight w:val="cyan"/>
        </w:rPr>
        <w:t>Povolení k zaměstnání je jeden z typů pracovního oprávnění, které může osoba s jinou než českou státní příslušností získat pro vstup na český pracovní trh.</w:t>
      </w:r>
      <w:r w:rsidRPr="00A356A6">
        <w:rPr>
          <w:rFonts w:ascii="Arial Narrow" w:hAnsi="Arial Narrow"/>
        </w:rPr>
        <w:t xml:space="preserve"> </w:t>
      </w:r>
    </w:p>
  </w:footnote>
  <w:footnote w:id="47">
    <w:p w14:paraId="55BC3874" w14:textId="65EAA6FA" w:rsidR="00BC1C0D" w:rsidRPr="00D0190F" w:rsidRDefault="00BC1C0D" w:rsidP="00E30EC7">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bookmarkStart w:id="413" w:name="_Hlk136876503"/>
      <w:r w:rsidRPr="006B0149">
        <w:rPr>
          <w:rFonts w:ascii="Arial Narrow" w:hAnsi="Arial Narrow"/>
        </w:rPr>
        <w:t>Úřad práce České republiky, Krajská pobočka v Brně. 2023. Zpráva o situaci na krajském trhu práce, o realizaci APZ v roce 2022 a strategie APZ pro rok 2023, citováno dne 21. 3. 2023. Dostupné z: https://www.uradprace.cz/documents/37855/925019/Rocni_JMK_2022.pdf/</w:t>
      </w:r>
      <w:r w:rsidRPr="00D0190F">
        <w:rPr>
          <w:rFonts w:ascii="Arial Narrow" w:hAnsi="Arial Narrow"/>
        </w:rPr>
        <w:t>.</w:t>
      </w:r>
      <w:bookmarkEnd w:id="413"/>
    </w:p>
  </w:footnote>
  <w:footnote w:id="48">
    <w:p w14:paraId="30CEAE35" w14:textId="77777777" w:rsidR="00BC1C0D" w:rsidRPr="00D0190F" w:rsidRDefault="00BC1C0D" w:rsidP="00E30EC7">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Tamtéž, s. 77.</w:t>
      </w:r>
    </w:p>
  </w:footnote>
  <w:footnote w:id="49">
    <w:p w14:paraId="03FDE898" w14:textId="77777777" w:rsidR="00BC1C0D" w:rsidRPr="00D0190F" w:rsidRDefault="00BC1C0D" w:rsidP="00E30EC7">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Z důvodu rozsahu a přehlednosti není součástí grafu typ registrace „modré karty“ na základě kterých k datu 31. 12. 2022 v Jihomoravském kraji pracovalo celkem 78 osob, z toho 66 v okrese Brno-město. </w:t>
      </w:r>
    </w:p>
  </w:footnote>
  <w:footnote w:id="50">
    <w:p w14:paraId="23867C8F" w14:textId="313977F1" w:rsidR="00BC1C0D" w:rsidRPr="00D0190F" w:rsidRDefault="00BC1C0D" w:rsidP="00B457EF">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V důsledku změny informačního systému na Ministerstvu práce a sociálních věcí a rozdílnosti v některých zdrojích jsou statistiky týkající se struktury uchazečů o zaměstnání občanů České republiky i uchazečů s jinou než českou státní příslušností za období do roku 2013 a 2021 omezené, případně je z důvodu rozdílnosti kategorií nelze přepočítat. V roce 2021 proto pracujeme s údaji k datu 30. 6. 2021. </w:t>
      </w:r>
    </w:p>
  </w:footnote>
  <w:footnote w:id="51">
    <w:p w14:paraId="277E3F2C" w14:textId="0B0B6134"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Údaje z roku 2022 nebyly k datu odevzdání aktualizované závěrečné zprávy k dispozici.  </w:t>
      </w:r>
    </w:p>
  </w:footnote>
  <w:footnote w:id="52">
    <w:p w14:paraId="6983CA31" w14:textId="77777777" w:rsidR="00BC1C0D" w:rsidRPr="00B8720E" w:rsidRDefault="00BC1C0D" w:rsidP="009D7EF6">
      <w:pPr>
        <w:pStyle w:val="Textpoznpodarou"/>
        <w:jc w:val="both"/>
        <w:rPr>
          <w:rFonts w:ascii="Arial Narrow" w:hAnsi="Arial Narrow"/>
        </w:rPr>
      </w:pPr>
      <w:r w:rsidRPr="00B8720E">
        <w:rPr>
          <w:rStyle w:val="Znakapoznpodarou"/>
          <w:rFonts w:ascii="Arial Narrow" w:hAnsi="Arial Narrow"/>
        </w:rPr>
        <w:footnoteRef/>
      </w:r>
      <w:r w:rsidRPr="00B8720E">
        <w:rPr>
          <w:rFonts w:ascii="Arial Narrow" w:hAnsi="Arial Narrow"/>
        </w:rPr>
        <w:t xml:space="preserve"> V důsledku změny informačního systému na Ministerstvu práce a sociálních věcí jsou statistiky týkající se struktury uchazečů o zaměstnání občanů České republiky i uchazečů s jinou než českou státní příslušností za období do roku 2013 velmi omezené. K analýze tohoto roku proto nebylo přistoupeno. </w:t>
      </w:r>
    </w:p>
  </w:footnote>
  <w:footnote w:id="53">
    <w:p w14:paraId="7FF0AE03" w14:textId="77777777" w:rsidR="00BC1C0D" w:rsidRDefault="00BC1C0D" w:rsidP="009D7EF6">
      <w:pPr>
        <w:pStyle w:val="Textpoznpodarou"/>
      </w:pPr>
      <w:r>
        <w:rPr>
          <w:rStyle w:val="Znakapoznpodarou"/>
        </w:rPr>
        <w:footnoteRef/>
      </w:r>
      <w:r>
        <w:t xml:space="preserve"> </w:t>
      </w:r>
      <w:r w:rsidRPr="00507DA3">
        <w:rPr>
          <w:rFonts w:ascii="Arial Narrow" w:hAnsi="Arial Narrow"/>
        </w:rPr>
        <w:t>Není započítán rok 2013, kdy nebyla dostupná data za některé okresy.</w:t>
      </w:r>
    </w:p>
  </w:footnote>
  <w:footnote w:id="54">
    <w:p w14:paraId="4F509EBA" w14:textId="77777777" w:rsidR="00BC1C0D" w:rsidRPr="00B8720E" w:rsidRDefault="00BC1C0D" w:rsidP="009D7EF6">
      <w:pPr>
        <w:pStyle w:val="Textpoznpodarou"/>
        <w:jc w:val="both"/>
        <w:rPr>
          <w:rFonts w:ascii="Arial Narrow" w:hAnsi="Arial Narrow"/>
        </w:rPr>
      </w:pPr>
      <w:r w:rsidRPr="00B8720E">
        <w:rPr>
          <w:rStyle w:val="Znakapoznpodarou"/>
          <w:rFonts w:ascii="Arial Narrow" w:hAnsi="Arial Narrow"/>
        </w:rPr>
        <w:footnoteRef/>
      </w:r>
      <w:r w:rsidRPr="00B8720E">
        <w:rPr>
          <w:rFonts w:ascii="Arial Narrow" w:hAnsi="Arial Narrow"/>
        </w:rPr>
        <w:t xml:space="preserve"> Jednotlivé vzdělanostní kategorie v databázi úřadu práce byly pro lepší orientaci v grafu kategorizovány do šesti základních kategorií. Do kategorie Vysokoškolské a vyšší odborné vzdělání bylo zahrnuto vzdělání: doktorské, vysokoškolské, bakalářské, vyšší odborné. Do kategorie Střední odborné vzdělání s maturitou bylo zahrnuto vzdělání: ÚSO s maturitou (bez vyučení), ÚSO s vyučením a maturitou</w:t>
      </w:r>
      <w:r>
        <w:rPr>
          <w:rFonts w:ascii="Arial Narrow" w:hAnsi="Arial Narrow"/>
        </w:rPr>
        <w:t xml:space="preserve"> a ÚSV</w:t>
      </w:r>
      <w:r w:rsidRPr="00B8720E">
        <w:rPr>
          <w:rFonts w:ascii="Arial Narrow" w:hAnsi="Arial Narrow"/>
        </w:rPr>
        <w:t>. Do kategorie Střední vzděl</w:t>
      </w:r>
      <w:r>
        <w:rPr>
          <w:rFonts w:ascii="Arial Narrow" w:hAnsi="Arial Narrow"/>
        </w:rPr>
        <w:t xml:space="preserve">ání bez maturity bylo zahrnuto: </w:t>
      </w:r>
      <w:r w:rsidRPr="00B8720E">
        <w:rPr>
          <w:rFonts w:ascii="Arial Narrow" w:hAnsi="Arial Narrow"/>
        </w:rPr>
        <w:t xml:space="preserve">střední nebo střední odborné bez maturity i výučního listu, střední odborné s výučním listem, nižší střední odborné, nižší střední. Do kategorie Základní vzdělání bylo zahrnuto základní vzdělání a praktická škola. Do kategorie Bez vzdělání bylo zahrnuto neúplné základní vzdělání a bez vzdělání. Ponechána byla kategorie Nezjištěno.  </w:t>
      </w:r>
    </w:p>
  </w:footnote>
  <w:footnote w:id="55">
    <w:p w14:paraId="62E6264D" w14:textId="77777777" w:rsidR="00BC1C0D" w:rsidRPr="00B8720E" w:rsidRDefault="00BC1C0D" w:rsidP="009D7EF6">
      <w:pPr>
        <w:pStyle w:val="Textpoznpodarou"/>
        <w:jc w:val="both"/>
        <w:rPr>
          <w:rFonts w:ascii="Arial Narrow" w:hAnsi="Arial Narrow"/>
        </w:rPr>
      </w:pPr>
      <w:r w:rsidRPr="00B8720E">
        <w:rPr>
          <w:rStyle w:val="Znakapoznpodarou"/>
          <w:rFonts w:ascii="Arial Narrow" w:hAnsi="Arial Narrow"/>
        </w:rPr>
        <w:footnoteRef/>
      </w:r>
      <w:r w:rsidRPr="00B8720E">
        <w:rPr>
          <w:rFonts w:ascii="Arial Narrow" w:hAnsi="Arial Narrow"/>
        </w:rPr>
        <w:t xml:space="preserve"> Jednotlivé vzdělanostní kategorie v databázi úřadu práce byly pro lepší orientaci v grafu kategorizovány do šesti základních kategorií. Do kategorie Vysokoškolské a vyšší odborné vzdělání bylo zahrnuto vzdělání: doktorské, vysokoškolské, bakalářské, vyšší odborné. Do kategorie Střední odborné vzdělání s maturitou bylo zahrnuto vzdělání: ÚSO s maturitou (bez vyučení), ÚSO s vyučením a maturitou</w:t>
      </w:r>
      <w:r>
        <w:rPr>
          <w:rFonts w:ascii="Arial Narrow" w:hAnsi="Arial Narrow"/>
        </w:rPr>
        <w:t xml:space="preserve"> a ÚSV</w:t>
      </w:r>
      <w:r w:rsidRPr="00B8720E">
        <w:rPr>
          <w:rFonts w:ascii="Arial Narrow" w:hAnsi="Arial Narrow"/>
        </w:rPr>
        <w:t>. Do kategorie Střední vzděl</w:t>
      </w:r>
      <w:r>
        <w:rPr>
          <w:rFonts w:ascii="Arial Narrow" w:hAnsi="Arial Narrow"/>
        </w:rPr>
        <w:t>ání bez maturity bylo zahrnuto:</w:t>
      </w:r>
      <w:r w:rsidRPr="00B8720E">
        <w:rPr>
          <w:rFonts w:ascii="Arial Narrow" w:hAnsi="Arial Narrow"/>
        </w:rPr>
        <w:t xml:space="preserve"> střední nebo střední odborné bez maturity i výučního listu, střední odborné s výučním listem, nižší střední odborné, nižší střední. Do kategorie Základní vzdělání bylo zahrnuto základní vzdělání a praktická škola. Do kategorie Bez vzdělání bylo zahrnuto neúplné základní vzdělání a bez vzdělání. Ponechána byla kategorie Nezjištěno.  </w:t>
      </w:r>
    </w:p>
  </w:footnote>
  <w:footnote w:id="56">
    <w:p w14:paraId="325844EB" w14:textId="77777777" w:rsidR="00BC1C0D" w:rsidRPr="00B8720E" w:rsidRDefault="00BC1C0D" w:rsidP="009D7EF6">
      <w:pPr>
        <w:spacing w:line="276" w:lineRule="auto"/>
        <w:jc w:val="both"/>
        <w:rPr>
          <w:rFonts w:ascii="Arial Narrow" w:hAnsi="Arial Narrow"/>
          <w:sz w:val="20"/>
          <w:szCs w:val="20"/>
        </w:rPr>
      </w:pPr>
      <w:r w:rsidRPr="00B8720E">
        <w:rPr>
          <w:rStyle w:val="Znakapoznpodarou"/>
          <w:rFonts w:ascii="Arial Narrow" w:hAnsi="Arial Narrow"/>
          <w:sz w:val="20"/>
          <w:szCs w:val="20"/>
        </w:rPr>
        <w:footnoteRef/>
      </w:r>
      <w:r w:rsidRPr="00B8720E">
        <w:rPr>
          <w:rFonts w:ascii="Arial Narrow" w:hAnsi="Arial Narrow"/>
          <w:sz w:val="20"/>
          <w:szCs w:val="20"/>
        </w:rPr>
        <w:t xml:space="preserve"> </w:t>
      </w:r>
      <w:r w:rsidRPr="00B8720E">
        <w:rPr>
          <w:rFonts w:ascii="Arial Narrow" w:hAnsi="Arial Narrow"/>
          <w:bCs/>
          <w:sz w:val="20"/>
          <w:szCs w:val="20"/>
        </w:rPr>
        <w:t>Jednotlivé vzdělanostní kategorie v databázi úřadu práce byly pro lepší orientaci v grafu kategorizovány do šesti základních kategorií. Do kategorie Vysokoškolské a vyšší odborné vzdělání bylo zahrnuto vzdělání: doktorské, vysokoškolské, bakalářské, vyšší odborné. Do kategorie Střední odborné vzdělání s maturitou bylo zahrnuto vzdělání: ÚSO s maturitou (bez vyučení), ÚSO s vyučením a maturitou</w:t>
      </w:r>
      <w:r>
        <w:rPr>
          <w:rFonts w:ascii="Arial Narrow" w:hAnsi="Arial Narrow"/>
          <w:bCs/>
          <w:sz w:val="20"/>
          <w:szCs w:val="20"/>
        </w:rPr>
        <w:t xml:space="preserve"> a ÚSV</w:t>
      </w:r>
      <w:r w:rsidRPr="00B8720E">
        <w:rPr>
          <w:rFonts w:ascii="Arial Narrow" w:hAnsi="Arial Narrow"/>
          <w:bCs/>
          <w:sz w:val="20"/>
          <w:szCs w:val="20"/>
        </w:rPr>
        <w:t>. Do kategorie Střední vzděl</w:t>
      </w:r>
      <w:r>
        <w:rPr>
          <w:rFonts w:ascii="Arial Narrow" w:hAnsi="Arial Narrow"/>
          <w:bCs/>
          <w:sz w:val="20"/>
          <w:szCs w:val="20"/>
        </w:rPr>
        <w:t>ání bez maturity bylo zahrnuto:</w:t>
      </w:r>
      <w:r w:rsidRPr="00B8720E">
        <w:rPr>
          <w:rFonts w:ascii="Arial Narrow" w:hAnsi="Arial Narrow"/>
          <w:bCs/>
          <w:sz w:val="20"/>
          <w:szCs w:val="20"/>
        </w:rPr>
        <w:t xml:space="preserve"> střední nebo střední odborné bez maturity i výučního listu, střední odborné s výučním listem, nižší střední odborné, nižší střední. Do kategorie Základní vzdělání bylo zahrnuto základní vzdělání a praktická škola. Do kategorie Bez vzdělání bylo zahrnuto neúplné základní vzdělání a bez vzdělání. Ponechána byla kategorie Nezjištěno.  </w:t>
      </w:r>
    </w:p>
  </w:footnote>
  <w:footnote w:id="57">
    <w:p w14:paraId="7F58C941" w14:textId="77777777" w:rsidR="00BC1C0D" w:rsidRPr="00B8720E" w:rsidRDefault="00BC1C0D" w:rsidP="009D7EF6">
      <w:pPr>
        <w:spacing w:line="276" w:lineRule="auto"/>
        <w:jc w:val="both"/>
        <w:rPr>
          <w:rFonts w:ascii="Arial Narrow" w:hAnsi="Arial Narrow"/>
          <w:sz w:val="20"/>
          <w:szCs w:val="20"/>
        </w:rPr>
      </w:pPr>
      <w:r w:rsidRPr="00B8720E">
        <w:rPr>
          <w:rStyle w:val="Znakapoznpodarou"/>
          <w:rFonts w:ascii="Arial Narrow" w:hAnsi="Arial Narrow"/>
          <w:sz w:val="20"/>
          <w:szCs w:val="20"/>
        </w:rPr>
        <w:footnoteRef/>
      </w:r>
      <w:r w:rsidRPr="00B8720E">
        <w:rPr>
          <w:rFonts w:ascii="Arial Narrow" w:hAnsi="Arial Narrow"/>
          <w:sz w:val="20"/>
          <w:szCs w:val="20"/>
        </w:rPr>
        <w:t xml:space="preserve"> </w:t>
      </w:r>
      <w:r w:rsidRPr="00B8720E">
        <w:rPr>
          <w:rFonts w:ascii="Arial Narrow" w:hAnsi="Arial Narrow"/>
          <w:bCs/>
          <w:sz w:val="20"/>
          <w:szCs w:val="20"/>
        </w:rPr>
        <w:t>Jednotlivé vzdělanostní kategorie v databázi úřadu práce byly pro lepší orientaci v grafu kategorizovány do šesti základních kategorií. Do kategorie Vysokoškolské a vyšší odborné vzdělání bylo zahrnuto vzdělání: doktorské, vysokoškolské, bakalářské, vyšší odborné. Do kategorie Střední odborné vzdělání s maturitou bylo zahrnuto vzdělání: ÚSO s maturitou (bez vyučení), ÚSO s vyučením a maturitou</w:t>
      </w:r>
      <w:r>
        <w:rPr>
          <w:rFonts w:ascii="Arial Narrow" w:hAnsi="Arial Narrow"/>
          <w:bCs/>
          <w:sz w:val="20"/>
          <w:szCs w:val="20"/>
        </w:rPr>
        <w:t xml:space="preserve"> a ÚSV</w:t>
      </w:r>
      <w:r w:rsidRPr="00B8720E">
        <w:rPr>
          <w:rFonts w:ascii="Arial Narrow" w:hAnsi="Arial Narrow"/>
          <w:bCs/>
          <w:sz w:val="20"/>
          <w:szCs w:val="20"/>
        </w:rPr>
        <w:t>. Do kategorie Střední vzdělání b</w:t>
      </w:r>
      <w:r>
        <w:rPr>
          <w:rFonts w:ascii="Arial Narrow" w:hAnsi="Arial Narrow"/>
          <w:bCs/>
          <w:sz w:val="20"/>
          <w:szCs w:val="20"/>
        </w:rPr>
        <w:t xml:space="preserve">ez maturity bylo zahrnuto: </w:t>
      </w:r>
      <w:r w:rsidRPr="00B8720E">
        <w:rPr>
          <w:rFonts w:ascii="Arial Narrow" w:hAnsi="Arial Narrow"/>
          <w:bCs/>
          <w:sz w:val="20"/>
          <w:szCs w:val="20"/>
        </w:rPr>
        <w:t xml:space="preserve">střední nebo střední odborné bez maturity i výučního listu, střední odborné s výučním listem, nižší střední odborné, nižší střední. Do kategorie Základní vzdělání bylo zahrnuto základní vzdělání a praktická škola. Do kategorie Bez vzdělání bylo zahrnuto neúplné základní vzdělání a bez vzdělání. Ponechána byla kategorie Nezjištěno.  </w:t>
      </w:r>
    </w:p>
  </w:footnote>
  <w:footnote w:id="58">
    <w:p w14:paraId="2078DC23" w14:textId="77777777" w:rsidR="00BC1C0D" w:rsidRPr="00D0190F" w:rsidRDefault="00BC1C0D" w:rsidP="00772E8E">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NACE je standardní klasifikací ekonomických činností Evropské unie. NACE tedy dělí ekonomické činnosti (oblast ekonomických činností) tak, že každé statistické jednotce, která vykonává nějakou ekonomickou činnost, lze přiřadit kód NACE. CZ-NACE je národní verze NACE.</w:t>
      </w:r>
    </w:p>
  </w:footnote>
  <w:footnote w:id="59">
    <w:p w14:paraId="7170D61D" w14:textId="74C106F5" w:rsidR="00BC1C0D" w:rsidRDefault="00BC1C0D">
      <w:pPr>
        <w:pStyle w:val="Textpoznpodarou"/>
      </w:pPr>
      <w:r>
        <w:rPr>
          <w:rStyle w:val="Znakapoznpodarou"/>
        </w:rPr>
        <w:footnoteRef/>
      </w:r>
      <w:r>
        <w:t xml:space="preserve"> </w:t>
      </w:r>
      <w:r w:rsidRPr="00284AC4">
        <w:rPr>
          <w:rFonts w:ascii="Arial Narrow" w:hAnsi="Arial Narrow"/>
        </w:rPr>
        <w:t>Osoby s jinou než českou státní příslušností evidované na úřadech práce zahrnují osoby s platným pracovním povolením, z EU/EHP a Švýcarska i osoby, které nepotřebují povolení k zaměstnání nebo jsou vlastníky modrých, zelených či zaměstnaneckých karet. Data z evidence ÚP.</w:t>
      </w:r>
    </w:p>
  </w:footnote>
  <w:footnote w:id="60">
    <w:p w14:paraId="01B1A262" w14:textId="6C3D0018" w:rsidR="00BC1C0D" w:rsidRPr="00D0190F" w:rsidRDefault="00BC1C0D" w:rsidP="00046178">
      <w:pPr>
        <w:pStyle w:val="Textpoznpodarou"/>
        <w:jc w:val="both"/>
        <w:rPr>
          <w:rFonts w:ascii="Arial Narrow" w:hAnsi="Arial Narrow"/>
          <w:i/>
        </w:rPr>
      </w:pPr>
      <w:r w:rsidRPr="00D0190F">
        <w:rPr>
          <w:rStyle w:val="Znakapoznpodarou"/>
          <w:rFonts w:ascii="Arial Narrow" w:hAnsi="Arial Narrow"/>
        </w:rPr>
        <w:footnoteRef/>
      </w:r>
      <w:r w:rsidRPr="00D0190F">
        <w:rPr>
          <w:rFonts w:ascii="Arial Narrow" w:hAnsi="Arial Narrow"/>
        </w:rPr>
        <w:t xml:space="preserve"> Úmluva č. 181 o soukromých agenturách práce. Citováno dne 20. 2. 2022. Dostupné z:  </w:t>
      </w:r>
      <w:hyperlink r:id="rId9" w:history="1">
        <w:r w:rsidRPr="00D0190F">
          <w:rPr>
            <w:rStyle w:val="Hypertextovodkaz"/>
            <w:rFonts w:ascii="Arial Narrow" w:hAnsi="Arial Narrow"/>
          </w:rPr>
          <w:t>https://www.mpsv.cz/documents/20142/372805/181.pdf/5e9a7849-7960-f6eb-e663-40697cd76c94</w:t>
        </w:r>
      </w:hyperlink>
      <w:r w:rsidRPr="00D0190F">
        <w:rPr>
          <w:rFonts w:ascii="Arial Narrow" w:hAnsi="Arial Narrow"/>
        </w:rPr>
        <w:t xml:space="preserve"> </w:t>
      </w:r>
    </w:p>
  </w:footnote>
  <w:footnote w:id="61">
    <w:p w14:paraId="216DC73C" w14:textId="1785B360" w:rsidR="00BC1C0D" w:rsidRPr="00D0190F" w:rsidRDefault="00BC1C0D" w:rsidP="00BD70A9">
      <w:pPr>
        <w:pStyle w:val="Textpoznpodarou"/>
        <w:jc w:val="both"/>
        <w:rPr>
          <w:rFonts w:ascii="Arial Narrow" w:hAnsi="Arial Narrow"/>
          <w:i/>
        </w:rPr>
      </w:pPr>
      <w:r w:rsidRPr="00D0190F">
        <w:rPr>
          <w:rStyle w:val="Znakapoznpodarou"/>
          <w:rFonts w:ascii="Arial Narrow" w:hAnsi="Arial Narrow"/>
        </w:rPr>
        <w:footnoteRef/>
      </w:r>
      <w:r w:rsidRPr="00D0190F">
        <w:rPr>
          <w:rFonts w:ascii="Arial Narrow" w:hAnsi="Arial Narrow"/>
        </w:rPr>
        <w:t xml:space="preserve"> Směrnice Evropského parlamentu a Rady Evropské unie č. 2008/104 ze dne 19. listopadu 2009 o agenturním zaměstnávání. Citováno dne 20. 2. 2022. Dostupné z: </w:t>
      </w:r>
      <w:hyperlink r:id="rId10" w:history="1">
        <w:r w:rsidRPr="00D0190F">
          <w:rPr>
            <w:rStyle w:val="Hypertextovodkaz"/>
            <w:rFonts w:ascii="Arial Narrow" w:hAnsi="Arial Narrow"/>
          </w:rPr>
          <w:t>https://eur-lex.europa.eu/legal-content/CS/TXT/PDF/?uri=CELEX:32008L0104&amp;from=PL</w:t>
        </w:r>
      </w:hyperlink>
      <w:r w:rsidRPr="00D0190F">
        <w:rPr>
          <w:rFonts w:ascii="Arial Narrow" w:hAnsi="Arial Narrow"/>
        </w:rPr>
        <w:t xml:space="preserve"> </w:t>
      </w:r>
    </w:p>
  </w:footnote>
  <w:footnote w:id="62">
    <w:p w14:paraId="3E1E0E2B" w14:textId="5D7C17E1"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ŠUBRT B. 2008. Agenturní zaměstnávání. Stav a problémy v širších souvislostech. Roč. 56, Číslo 4. </w:t>
      </w:r>
    </w:p>
  </w:footnote>
  <w:footnote w:id="63">
    <w:p w14:paraId="787C7788" w14:textId="77777777" w:rsidR="00BC1C0D" w:rsidRPr="00D0190F" w:rsidRDefault="00BC1C0D" w:rsidP="003716D4">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Ministerstvo práce a sociálních věcí. 2022. </w:t>
      </w:r>
      <w:r w:rsidRPr="00D0190F">
        <w:rPr>
          <w:rFonts w:ascii="Arial Narrow" w:hAnsi="Arial Narrow"/>
          <w:i/>
        </w:rPr>
        <w:t>Nelegální zaměstnávání</w:t>
      </w:r>
      <w:r w:rsidRPr="00D0190F">
        <w:rPr>
          <w:rFonts w:ascii="Arial Narrow" w:hAnsi="Arial Narrow"/>
        </w:rPr>
        <w:t>. Citováno dne 17. 1. 2022. Dostupné z:</w:t>
      </w:r>
      <w:hyperlink r:id="rId11" w:history="1">
        <w:r w:rsidRPr="00D0190F">
          <w:rPr>
            <w:rStyle w:val="Hypertextovodkaz"/>
            <w:rFonts w:ascii="Arial Narrow" w:hAnsi="Arial Narrow"/>
            <w:color w:val="auto"/>
          </w:rPr>
          <w:t>https://www.mpsv.cz/nelegalni-zamestnavani</w:t>
        </w:r>
      </w:hyperlink>
      <w:r w:rsidRPr="00D0190F">
        <w:rPr>
          <w:rFonts w:ascii="Arial Narrow" w:hAnsi="Arial Narrow"/>
        </w:rPr>
        <w:t xml:space="preserve"> </w:t>
      </w:r>
    </w:p>
  </w:footnote>
  <w:footnote w:id="64">
    <w:p w14:paraId="5A02920B" w14:textId="77777777" w:rsidR="00BC1C0D" w:rsidRPr="00D0190F" w:rsidRDefault="00BC1C0D" w:rsidP="003716D4">
      <w:pPr>
        <w:pStyle w:val="Textpoznpodarou"/>
        <w:rPr>
          <w:rFonts w:ascii="Arial Narrow" w:hAnsi="Arial Narrow"/>
          <w:i/>
        </w:rPr>
      </w:pPr>
      <w:r w:rsidRPr="00D0190F">
        <w:rPr>
          <w:rStyle w:val="Znakapoznpodarou"/>
          <w:rFonts w:ascii="Arial Narrow" w:hAnsi="Arial Narrow"/>
        </w:rPr>
        <w:footnoteRef/>
      </w:r>
      <w:r w:rsidRPr="00D0190F">
        <w:rPr>
          <w:rFonts w:ascii="Arial Narrow" w:hAnsi="Arial Narrow"/>
        </w:rPr>
        <w:t xml:space="preserve"> Státní úřad inspekce práce. 2021. </w:t>
      </w:r>
      <w:r w:rsidRPr="00D0190F">
        <w:rPr>
          <w:rFonts w:ascii="Arial Narrow" w:hAnsi="Arial Narrow"/>
          <w:i/>
        </w:rPr>
        <w:t>Roční souhrnná zpráva o výsledcích kontrolních akcí za rok 2021.</w:t>
      </w:r>
      <w:r w:rsidRPr="00D0190F">
        <w:rPr>
          <w:rFonts w:ascii="Arial Narrow" w:hAnsi="Arial Narrow"/>
        </w:rPr>
        <w:t xml:space="preserve"> Citováno dne 4. 4. 2023. Dostupné z: </w:t>
      </w:r>
      <w:r w:rsidRPr="00D0190F">
        <w:rPr>
          <w:rStyle w:val="Hypertextovodkaz"/>
          <w:rFonts w:ascii="Arial Narrow" w:hAnsi="Arial Narrow"/>
          <w:color w:val="auto"/>
        </w:rPr>
        <w:t>https://www.suip.cz/documents/20142/43684/S%C3%9AIP+souhrnn%C3%A1+zpr%C3%A1va+o+v%C3%BDsledc%C3%ADch+kontroln%C3%ADch+akc%C3%AD+za+rok+2021.pdf/2e675a7e-a0e3-cb55-7409-956628795378</w:t>
      </w:r>
    </w:p>
  </w:footnote>
  <w:footnote w:id="65">
    <w:p w14:paraId="3BB9CE65" w14:textId="78AFADE7" w:rsidR="00BC1C0D" w:rsidRPr="005B30C6" w:rsidRDefault="00BC1C0D">
      <w:pPr>
        <w:pStyle w:val="Textpoznpodarou"/>
        <w:rPr>
          <w:rFonts w:ascii="Arial Narrow" w:hAnsi="Arial Narrow"/>
        </w:rPr>
      </w:pPr>
      <w:r w:rsidRPr="005B30C6">
        <w:rPr>
          <w:rStyle w:val="Znakapoznpodarou"/>
          <w:rFonts w:ascii="Arial Narrow" w:hAnsi="Arial Narrow"/>
        </w:rPr>
        <w:footnoteRef/>
      </w:r>
      <w:r w:rsidRPr="005B30C6">
        <w:rPr>
          <w:rFonts w:ascii="Arial Narrow" w:hAnsi="Arial Narrow"/>
        </w:rPr>
        <w:t xml:space="preserve"> Tamtéž</w:t>
      </w:r>
      <w:r>
        <w:rPr>
          <w:rFonts w:ascii="Arial Narrow" w:hAnsi="Arial Narrow"/>
        </w:rPr>
        <w:t>.</w:t>
      </w:r>
    </w:p>
  </w:footnote>
  <w:footnote w:id="66">
    <w:p w14:paraId="6A715B5A" w14:textId="5D049BCE" w:rsidR="00BC1C0D" w:rsidRDefault="00BC1C0D" w:rsidP="00F84177">
      <w:pPr>
        <w:pStyle w:val="Textpoznpodarou"/>
        <w:jc w:val="both"/>
      </w:pPr>
      <w:r>
        <w:rPr>
          <w:rStyle w:val="Znakapoznpodarou"/>
        </w:rPr>
        <w:footnoteRef/>
      </w:r>
      <w:r>
        <w:t xml:space="preserve"> </w:t>
      </w:r>
      <w:r w:rsidRPr="007B59C4">
        <w:rPr>
          <w:rFonts w:ascii="Arial Narrow" w:hAnsi="Arial Narrow"/>
        </w:rPr>
        <w:t>Podíl z celku značí procento samostatně výdělečně činných osob s jinou než českou státní příslušností z konkrétní země k celku, tedy všem samostatně výdělečně činným osobám s jinou než českou státní příslušností. Rozdíl v podílech potom zaznamenává změnu v těchto procentech mezi roky 2019 a 2022.</w:t>
      </w:r>
    </w:p>
  </w:footnote>
  <w:footnote w:id="67">
    <w:p w14:paraId="5C56B9F0" w14:textId="77777777" w:rsidR="00BC1C0D" w:rsidRPr="00D0190F" w:rsidRDefault="00BC1C0D" w:rsidP="003716D4">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bookmarkStart w:id="553" w:name="_Hlk136876558"/>
      <w:r w:rsidRPr="00D0190F">
        <w:rPr>
          <w:rFonts w:ascii="Arial Narrow" w:hAnsi="Arial Narrow"/>
        </w:rPr>
        <w:t xml:space="preserve">Úřad práce České republiky, Krajská pobočka v Brně. 2020. </w:t>
      </w:r>
      <w:r w:rsidRPr="00D0190F">
        <w:rPr>
          <w:rFonts w:ascii="Arial Narrow" w:hAnsi="Arial Narrow"/>
          <w:i/>
          <w:iCs/>
        </w:rPr>
        <w:t>Zpráva o situaci na krajském trhu práce, o realizaci APZ v roce 2020 a strategie APZ pro rok 2021</w:t>
      </w:r>
      <w:r w:rsidRPr="00D0190F">
        <w:rPr>
          <w:rFonts w:ascii="Arial Narrow" w:hAnsi="Arial Narrow"/>
        </w:rPr>
        <w:t xml:space="preserve">. Str. 67. Citováno dne 11. 1. 2022. Dostupné z: </w:t>
      </w:r>
      <w:hyperlink r:id="rId12" w:history="1">
        <w:r w:rsidRPr="00D0190F">
          <w:rPr>
            <w:rStyle w:val="Hypertextovodkaz"/>
            <w:rFonts w:ascii="Arial Narrow" w:hAnsi="Arial Narrow"/>
            <w:color w:val="auto"/>
          </w:rPr>
          <w:t>https://www.uradprace.cz/documents/37855/925019/Rocni_JMK_2020.pdf/645426a3-0c23-5e53-ead8-76b63ebc9ffa</w:t>
        </w:r>
      </w:hyperlink>
      <w:r w:rsidRPr="00D0190F">
        <w:rPr>
          <w:rFonts w:ascii="Arial Narrow" w:hAnsi="Arial Narrow"/>
        </w:rPr>
        <w:t xml:space="preserve"> </w:t>
      </w:r>
      <w:bookmarkEnd w:id="553"/>
    </w:p>
  </w:footnote>
  <w:footnote w:id="68">
    <w:p w14:paraId="4312CAD1" w14:textId="77777777" w:rsidR="00BC1C0D" w:rsidRPr="00D0190F" w:rsidRDefault="00BC1C0D" w:rsidP="00A26F11">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Občané Ruska 2,12 %, občané Rumunska 2,01 %, občané Polska 1,52 %, a občané Maďarska 1,5 %, občané Velké Británie i Bulharska 1,43 %, a občané Rakouska 1,28 %. </w:t>
      </w:r>
    </w:p>
  </w:footnote>
  <w:footnote w:id="69">
    <w:p w14:paraId="1162CF7B" w14:textId="77777777" w:rsidR="00BC1C0D" w:rsidRPr="00B8720E" w:rsidRDefault="00BC1C0D" w:rsidP="009D7EF6">
      <w:pPr>
        <w:autoSpaceDE w:val="0"/>
        <w:autoSpaceDN w:val="0"/>
        <w:adjustRightInd w:val="0"/>
        <w:jc w:val="both"/>
        <w:rPr>
          <w:rFonts w:ascii="Arial Narrow" w:hAnsi="Arial Narrow"/>
        </w:rPr>
      </w:pPr>
      <w:r w:rsidRPr="00B8720E">
        <w:rPr>
          <w:rStyle w:val="Znakapoznpodarou"/>
          <w:rFonts w:ascii="Arial Narrow" w:hAnsi="Arial Narrow"/>
        </w:rPr>
        <w:footnoteRef/>
      </w:r>
      <w:r w:rsidRPr="00B8720E">
        <w:rPr>
          <w:rFonts w:ascii="Arial Narrow" w:hAnsi="Arial Narrow"/>
        </w:rPr>
        <w:t xml:space="preserve"> </w:t>
      </w:r>
      <w:r w:rsidRPr="00B8720E">
        <w:rPr>
          <w:rFonts w:ascii="Arial Narrow" w:hAnsi="Arial Narrow"/>
          <w:sz w:val="20"/>
          <w:szCs w:val="20"/>
        </w:rPr>
        <w:t>Mezi lety 2019 a 2020 se počet zaměstnaných osob s jinou než českou státní příslušností evidovaných na úřadech práce zvýšil o 5 504 osob (tj. o 8,6 %) a počet osob s jinou než českou státní příslušností s platným živnostenským oprávněním o 237 osob (tj. o 3,1 %).</w:t>
      </w:r>
    </w:p>
  </w:footnote>
  <w:footnote w:id="70">
    <w:p w14:paraId="7AA4C1A2" w14:textId="77777777" w:rsidR="00BC1C0D" w:rsidRPr="00B8720E" w:rsidRDefault="00BC1C0D" w:rsidP="009D7EF6">
      <w:pPr>
        <w:pStyle w:val="Textpoznpodarou"/>
        <w:jc w:val="both"/>
        <w:rPr>
          <w:rFonts w:ascii="Arial Narrow" w:hAnsi="Arial Narrow"/>
        </w:rPr>
      </w:pPr>
      <w:r w:rsidRPr="00B8720E">
        <w:rPr>
          <w:rStyle w:val="Znakapoznpodarou"/>
          <w:rFonts w:ascii="Arial Narrow" w:hAnsi="Arial Narrow"/>
        </w:rPr>
        <w:footnoteRef/>
      </w:r>
      <w:r w:rsidRPr="00B8720E">
        <w:rPr>
          <w:rFonts w:ascii="Arial Narrow" w:hAnsi="Arial Narrow"/>
        </w:rPr>
        <w:t xml:space="preserve"> Úřad práce České republiky, Krajská pobočka v Brně. 2020. </w:t>
      </w:r>
      <w:r w:rsidRPr="00B8720E">
        <w:rPr>
          <w:rFonts w:ascii="Arial Narrow" w:hAnsi="Arial Narrow"/>
          <w:i/>
          <w:iCs/>
        </w:rPr>
        <w:t>Zpráva o situaci na krajském trhu práce, o realizaci APZ v roce 2020 a strategie APZ pro rok 2021</w:t>
      </w:r>
      <w:r w:rsidRPr="00B8720E">
        <w:rPr>
          <w:rFonts w:ascii="Arial Narrow" w:hAnsi="Arial Narrow"/>
        </w:rPr>
        <w:t xml:space="preserve">, citováno dne 11. 1. 2022. Dostupné z: </w:t>
      </w:r>
      <w:hyperlink r:id="rId13" w:history="1">
        <w:r w:rsidRPr="00B8720E">
          <w:rPr>
            <w:rStyle w:val="Hypertextovodkaz"/>
            <w:rFonts w:ascii="Arial Narrow" w:hAnsi="Arial Narrow"/>
            <w:color w:val="auto"/>
          </w:rPr>
          <w:t>https://www.uradprace.cz/documents/37855/925019/Rocni_JMK_2020.pdf/645426a3-0c23-5e53-ead8-76b63ebc9ffa</w:t>
        </w:r>
      </w:hyperlink>
    </w:p>
  </w:footnote>
  <w:footnote w:id="71">
    <w:p w14:paraId="1DA55525" w14:textId="77777777" w:rsidR="00BC1C0D" w:rsidRPr="00B8720E" w:rsidRDefault="00BC1C0D" w:rsidP="009D7EF6">
      <w:pPr>
        <w:pStyle w:val="Textpoznpodarou"/>
        <w:jc w:val="both"/>
        <w:rPr>
          <w:rFonts w:ascii="Arial Narrow" w:hAnsi="Arial Narrow"/>
        </w:rPr>
      </w:pPr>
      <w:r w:rsidRPr="00B8720E">
        <w:rPr>
          <w:rStyle w:val="Znakapoznpodarou"/>
          <w:rFonts w:ascii="Arial Narrow" w:hAnsi="Arial Narrow"/>
        </w:rPr>
        <w:footnoteRef/>
      </w:r>
      <w:r w:rsidRPr="00B8720E">
        <w:rPr>
          <w:rFonts w:ascii="Arial Narrow" w:hAnsi="Arial Narrow"/>
        </w:rPr>
        <w:t xml:space="preserve"> Tamtéž.</w:t>
      </w:r>
    </w:p>
  </w:footnote>
  <w:footnote w:id="72">
    <w:p w14:paraId="2BD765B7" w14:textId="77777777" w:rsidR="00BC1C0D" w:rsidRDefault="00BC1C0D" w:rsidP="009D7EF6">
      <w:pPr>
        <w:pStyle w:val="Textpoznpodarou"/>
      </w:pPr>
      <w:r>
        <w:rPr>
          <w:rStyle w:val="Znakapoznpodarou"/>
        </w:rPr>
        <w:footnoteRef/>
      </w:r>
      <w:r>
        <w:t xml:space="preserve"> </w:t>
      </w:r>
      <w:r w:rsidRPr="001D4627">
        <w:rPr>
          <w:rFonts w:ascii="Arial Narrow" w:hAnsi="Arial Narrow"/>
        </w:rPr>
        <w:t>Data o délce zaměstnanosti osob s jinou než českou státní příslušností jsou pouze do 30. 6. 2021.</w:t>
      </w:r>
    </w:p>
  </w:footnote>
  <w:footnote w:id="73">
    <w:p w14:paraId="0165E02C" w14:textId="77777777" w:rsidR="00BC1C0D" w:rsidRPr="00B8720E" w:rsidRDefault="00BC1C0D" w:rsidP="009D7EF6">
      <w:pPr>
        <w:pStyle w:val="Textpoznpodarou"/>
        <w:jc w:val="both"/>
        <w:rPr>
          <w:rFonts w:ascii="Arial Narrow" w:hAnsi="Arial Narrow"/>
        </w:rPr>
      </w:pPr>
      <w:r w:rsidRPr="00B8720E">
        <w:rPr>
          <w:rStyle w:val="Znakapoznpodarou"/>
          <w:rFonts w:ascii="Arial Narrow" w:hAnsi="Arial Narrow"/>
        </w:rPr>
        <w:footnoteRef/>
      </w:r>
      <w:r w:rsidRPr="00B8720E">
        <w:rPr>
          <w:rFonts w:ascii="Arial Narrow" w:hAnsi="Arial Narrow"/>
        </w:rPr>
        <w:t xml:space="preserve"> NACE je standardní klasifikací ekonomických činností Evropské unie. NACE tedy dělí ekonomické činnosti (oblast ekonomických činností) tak, že každé statistické jednotce, která vykonává nějakou ekonomickou činnost, lze přiřadit kód NACE. CZ-NACE je národní verze NACE.</w:t>
      </w:r>
    </w:p>
  </w:footnote>
  <w:footnote w:id="74">
    <w:p w14:paraId="1DAD9CF0" w14:textId="77777777" w:rsidR="00BC1C0D" w:rsidRPr="00D0190F" w:rsidRDefault="00BC1C0D" w:rsidP="00774537">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r w:rsidRPr="00D0190F">
        <w:rPr>
          <w:rFonts w:ascii="Arial Narrow" w:hAnsi="Arial Narrow" w:cs="Tahoma"/>
        </w:rPr>
        <w:t>Od roku 2021 vychází počty obyvatel z výsledků SLDB 2021, kdežto údaje za předchozí roky (v desetileté časové řadě) navazují na výsledky předchozích sčítání lidu (tj. 2011–2020 vychází ze SLBD z roku 2011 atd.).</w:t>
      </w:r>
    </w:p>
  </w:footnote>
  <w:footnote w:id="75">
    <w:p w14:paraId="219C6CC2" w14:textId="77777777" w:rsidR="00BC1C0D" w:rsidRPr="00D0190F" w:rsidRDefault="00BC1C0D" w:rsidP="00774537">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76">
    <w:p w14:paraId="4FA81D2B" w14:textId="77777777" w:rsidR="00BC1C0D" w:rsidRPr="00D0190F" w:rsidRDefault="00BC1C0D" w:rsidP="007060E7">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NACE je standardní klasifikací ekonomických činností Evropské unie. NACE tedy dělí ekonomické činnosti (oblast ekonomických činností) tak, že každé statistické jednotce, která vykonává nějakou ekonomickou činnost, lze přiřadit kód NACE. CZ-NACE je národní verze NACE.</w:t>
      </w:r>
    </w:p>
  </w:footnote>
  <w:footnote w:id="77">
    <w:p w14:paraId="4EABC110" w14:textId="77777777" w:rsidR="00BC1C0D" w:rsidRPr="00D0190F" w:rsidRDefault="00BC1C0D" w:rsidP="00450C7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78">
    <w:p w14:paraId="384A6A9D" w14:textId="77777777" w:rsidR="00BC1C0D" w:rsidRPr="00D0190F" w:rsidRDefault="00BC1C0D" w:rsidP="00FF2DD4">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r w:rsidRPr="00D0190F">
        <w:rPr>
          <w:rFonts w:ascii="Arial Narrow" w:hAnsi="Arial Narrow" w:cs="Tahoma"/>
        </w:rPr>
        <w:t>Od roku 2021 vychází počty obyvatel z výsledků SLDB 2021, kdežto údaje za předchozí roky (v desetileté časové řadě) navazují na výsledky předchozích sčítání lidu (tj. 2011–2020 vychází ze SLBD z roku 2011 atd.).</w:t>
      </w:r>
    </w:p>
  </w:footnote>
  <w:footnote w:id="79">
    <w:p w14:paraId="05AC93D2" w14:textId="77777777" w:rsidR="00BC1C0D" w:rsidRPr="00D0190F" w:rsidRDefault="00BC1C0D" w:rsidP="00FF2DD4">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80">
    <w:p w14:paraId="0A26D883" w14:textId="77777777" w:rsidR="00BC1C0D" w:rsidRPr="00D0190F" w:rsidRDefault="00BC1C0D" w:rsidP="00EA186A">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NACE je standardní klasifikací ekonomických činností Evropské unie. NACE tedy dělí ekonomické činnosti (oblast ekonomických činností) tak, že každé statistické jednotce, která vykonává nějakou ekonomickou činnost, lze přiřadit kód NACE. CZ-NACE je národní verze NACE.</w:t>
      </w:r>
    </w:p>
  </w:footnote>
  <w:footnote w:id="81">
    <w:p w14:paraId="0A868A64" w14:textId="77777777" w:rsidR="00BC1C0D" w:rsidRPr="00D0190F" w:rsidRDefault="00BC1C0D" w:rsidP="009730AB">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82">
    <w:p w14:paraId="16365ACB" w14:textId="0F86E2FF" w:rsidR="00BC1C0D" w:rsidRPr="00D0190F" w:rsidRDefault="00BC1C0D" w:rsidP="00122AEA">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Jihomoravský kraj. 2020. </w:t>
      </w:r>
      <w:r w:rsidRPr="00D0190F">
        <w:rPr>
          <w:rFonts w:ascii="Arial Narrow" w:hAnsi="Arial Narrow"/>
          <w:i/>
          <w:iCs/>
        </w:rPr>
        <w:t>Průzkumu zaměstnanosti v Jihomoravském kraji k 31. 12. 2020</w:t>
      </w:r>
      <w:r w:rsidRPr="00D0190F">
        <w:rPr>
          <w:rFonts w:ascii="Arial Narrow" w:hAnsi="Arial Narrow"/>
        </w:rPr>
        <w:t xml:space="preserve">. Dostupné z: </w:t>
      </w:r>
      <w:hyperlink r:id="rId14" w:history="1">
        <w:r w:rsidRPr="00D0190F">
          <w:rPr>
            <w:rStyle w:val="Hypertextovodkaz"/>
            <w:rFonts w:ascii="Arial Narrow" w:hAnsi="Arial Narrow"/>
            <w:color w:val="auto"/>
          </w:rPr>
          <w:t>file:///C:/Users/Randulova/Downloads/JMK_zpr%C3%A1va_obecn%C3%A1_final.pdf</w:t>
        </w:r>
      </w:hyperlink>
    </w:p>
  </w:footnote>
  <w:footnote w:id="83">
    <w:p w14:paraId="665D91EF" w14:textId="77777777" w:rsidR="00BC1C0D" w:rsidRPr="00D0190F" w:rsidRDefault="00BC1C0D" w:rsidP="00C52011">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r w:rsidRPr="00D0190F">
        <w:rPr>
          <w:rFonts w:ascii="Arial Narrow" w:hAnsi="Arial Narrow" w:cs="Tahoma"/>
        </w:rPr>
        <w:t>Od roku 2021 vychází počty obyvatel z výsledků SLDB 2021, kdežto údaje za předchozí roky (v desetileté časové řadě) navazují na výsledky předchozích sčítání lidu (tj. 2011–2020 vychází ze SLBD z roku 2011 atd.).</w:t>
      </w:r>
    </w:p>
  </w:footnote>
  <w:footnote w:id="84">
    <w:p w14:paraId="413CDAE2" w14:textId="77777777" w:rsidR="00BC1C0D" w:rsidRPr="00D0190F" w:rsidRDefault="00BC1C0D" w:rsidP="0056780C">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85">
    <w:p w14:paraId="69D6F8BC" w14:textId="77777777" w:rsidR="00BC1C0D" w:rsidRPr="00D0190F" w:rsidRDefault="00BC1C0D" w:rsidP="00C52011">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86">
    <w:p w14:paraId="623EB67E" w14:textId="77777777" w:rsidR="00BC1C0D" w:rsidRPr="00D0190F" w:rsidRDefault="00BC1C0D" w:rsidP="00B835F6">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NACE je standardní klasifikací ekonomických činností Evropské unie. NACE tedy dělí ekonomické činnosti (oblast ekonomických činností) tak, že každé statistické jednotce, která vykonává nějakou ekonomickou činnost, lze přiřadit kód NACE. CZ-NACE je národní verze NACE.</w:t>
      </w:r>
    </w:p>
  </w:footnote>
  <w:footnote w:id="87">
    <w:p w14:paraId="533EB01C" w14:textId="77777777" w:rsidR="00BC1C0D" w:rsidRPr="00D0190F" w:rsidRDefault="00BC1C0D" w:rsidP="0056780C">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88">
    <w:p w14:paraId="41FE118F" w14:textId="4F86EB2D" w:rsidR="00BC1C0D" w:rsidRPr="00D0190F" w:rsidRDefault="00BC1C0D" w:rsidP="00D80F97">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color w:val="FF0000"/>
        </w:rPr>
        <w:t xml:space="preserve"> </w:t>
      </w:r>
      <w:r w:rsidRPr="00D0190F">
        <w:rPr>
          <w:rFonts w:ascii="Arial Narrow" w:hAnsi="Arial Narrow"/>
        </w:rPr>
        <w:t xml:space="preserve">Jihomoravský kraj. 2020. </w:t>
      </w:r>
      <w:r w:rsidRPr="00D0190F">
        <w:rPr>
          <w:rFonts w:ascii="Arial Narrow" w:hAnsi="Arial Narrow"/>
          <w:i/>
          <w:iCs/>
        </w:rPr>
        <w:t>Průzkumu zaměstnanosti v Jihomoravském kraji k 31. 12. 2020</w:t>
      </w:r>
      <w:r w:rsidRPr="00D0190F">
        <w:rPr>
          <w:rFonts w:ascii="Arial Narrow" w:hAnsi="Arial Narrow"/>
        </w:rPr>
        <w:t xml:space="preserve">.  </w:t>
      </w:r>
    </w:p>
  </w:footnote>
  <w:footnote w:id="89">
    <w:p w14:paraId="14D53BCF" w14:textId="58BA20FC"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r w:rsidRPr="00D0190F">
        <w:rPr>
          <w:rFonts w:ascii="Arial Narrow" w:hAnsi="Arial Narrow" w:cs="Tahoma"/>
        </w:rPr>
        <w:t>Od roku 2021 vychází počty obyvatel z výsledků SLDB 2021, kdežto údaje za předchozí roky (v desetileté časové řadě) navazují na výsledky předchozích sčítání lidu (tj. 2011–2020 vychází ze SLBD z roku 2011 atd.).</w:t>
      </w:r>
    </w:p>
  </w:footnote>
  <w:footnote w:id="90">
    <w:p w14:paraId="7FA07278" w14:textId="3AF852FC"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91">
    <w:p w14:paraId="1CD96CB9" w14:textId="77777777" w:rsidR="00BC1C0D" w:rsidRPr="00D0190F" w:rsidRDefault="00BC1C0D" w:rsidP="007B2880">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r w:rsidRPr="00D0190F">
        <w:rPr>
          <w:rFonts w:ascii="Arial Narrow" w:hAnsi="Arial Narrow"/>
        </w:rPr>
        <w:footnoteRef/>
      </w:r>
      <w:r w:rsidRPr="00D0190F">
        <w:rPr>
          <w:rFonts w:ascii="Arial Narrow" w:hAnsi="Arial Narrow"/>
        </w:rPr>
        <w:t xml:space="preserve"> Úřad práce České republiky, Krajská pobočka v Brně. 2020. </w:t>
      </w:r>
      <w:r w:rsidRPr="00D0190F">
        <w:rPr>
          <w:rFonts w:ascii="Arial Narrow" w:hAnsi="Arial Narrow"/>
          <w:i/>
          <w:iCs/>
        </w:rPr>
        <w:t>Zpráva o situaci na krajském trhu práce, o realizaci APZ v roce 2020 a strategie APZ pro rok 2021</w:t>
      </w:r>
      <w:r w:rsidRPr="00D0190F">
        <w:rPr>
          <w:rFonts w:ascii="Arial Narrow" w:hAnsi="Arial Narrow"/>
        </w:rPr>
        <w:t xml:space="preserve">, citováno dne 11. 1. 2022. Dostupné z: </w:t>
      </w:r>
      <w:hyperlink r:id="rId15" w:history="1">
        <w:r w:rsidRPr="00D0190F">
          <w:rPr>
            <w:rStyle w:val="Hypertextovodkaz"/>
            <w:rFonts w:ascii="Arial Narrow" w:hAnsi="Arial Narrow"/>
            <w:color w:val="auto"/>
          </w:rPr>
          <w:t>https://www.uradprace.cz/documents/37855/925019/Rocni_JMK_2020.pdf/645426a3-0c23-5e53-ead8-76b63ebc9ffa</w:t>
        </w:r>
      </w:hyperlink>
    </w:p>
  </w:footnote>
  <w:footnote w:id="92">
    <w:p w14:paraId="62DF15AB" w14:textId="275D3B3F" w:rsidR="00BC1C0D" w:rsidRPr="00F457FC" w:rsidRDefault="00BC1C0D" w:rsidP="009A78D7">
      <w:pPr>
        <w:pStyle w:val="Textpoznpodarou"/>
        <w:jc w:val="both"/>
        <w:rPr>
          <w:rFonts w:ascii="Arial Narrow" w:hAnsi="Arial Narrow"/>
        </w:rPr>
      </w:pPr>
      <w:r>
        <w:rPr>
          <w:rStyle w:val="Znakapoznpodarou"/>
        </w:rPr>
        <w:footnoteRef/>
      </w:r>
      <w:r>
        <w:t xml:space="preserve"> </w:t>
      </w:r>
      <w:r w:rsidRPr="00F457FC">
        <w:rPr>
          <w:rFonts w:ascii="Arial Narrow" w:hAnsi="Arial Narrow"/>
        </w:rPr>
        <w:t>V datech za rok 2020 nebyly uvedeny informace o společnosti Hartmann Group, která sídlí ve Veverské Bítýšce. V roce 2021 však společnost zaměstnávala celkem 269 osob s jinou než českou státní příslušností (občané SK – 12, z EU/EHP a Švýcarska – 5, z ostatních zemí – 252) a jednalo se tedy o největšího zaměstnavatele těchto osob v ORP Kuřim. Nejčastější jinou než českou státní příslušností zaměstnanců byla ukrajinská příslušnost.</w:t>
      </w:r>
    </w:p>
  </w:footnote>
  <w:footnote w:id="93">
    <w:p w14:paraId="5CA5F7E2" w14:textId="77777777" w:rsidR="00BC1C0D" w:rsidRPr="00D0190F" w:rsidRDefault="00BC1C0D" w:rsidP="0055565E">
      <w:pPr>
        <w:pStyle w:val="Textpoznpodarou"/>
        <w:jc w:val="both"/>
        <w:rPr>
          <w:rFonts w:ascii="Arial Narrow" w:hAnsi="Arial Narrow"/>
        </w:rPr>
      </w:pPr>
      <w:r w:rsidRPr="00F457FC">
        <w:rPr>
          <w:rStyle w:val="Znakapoznpodarou"/>
          <w:rFonts w:ascii="Arial Narrow" w:hAnsi="Arial Narrow"/>
        </w:rPr>
        <w:footnoteRef/>
      </w:r>
      <w:r w:rsidRPr="00F457FC">
        <w:rPr>
          <w:rFonts w:ascii="Arial Narrow" w:hAnsi="Arial Narrow"/>
        </w:rPr>
        <w:t xml:space="preserve"> NACE je standardní klasifikací ekonomických činností Evropské unie. NACE tedy dělí ekonomické činnosti (oblast ekonomických činností) tak, že každé statistické jednotce, která vykonává nějakou ekonomickou činnost, lze přiřadit kód NACE. CZ-NACE je národní verze NACE.</w:t>
      </w:r>
    </w:p>
  </w:footnote>
  <w:footnote w:id="94">
    <w:p w14:paraId="7C7726BF" w14:textId="77777777" w:rsidR="00BC1C0D" w:rsidRPr="00D0190F" w:rsidRDefault="00BC1C0D" w:rsidP="005D5389">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95">
    <w:p w14:paraId="13637BF7" w14:textId="0D652DCC" w:rsidR="00BC1C0D" w:rsidRPr="00D0190F" w:rsidRDefault="00BC1C0D" w:rsidP="005D5389">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Jihomoravský kraj. 2020. </w:t>
      </w:r>
      <w:r w:rsidRPr="00D0190F">
        <w:rPr>
          <w:rFonts w:ascii="Arial Narrow" w:hAnsi="Arial Narrow"/>
          <w:i/>
          <w:iCs/>
        </w:rPr>
        <w:t>Průzkumu zaměstnanosti v Jihomoravském kraji k 31. 12. 2020</w:t>
      </w:r>
      <w:r w:rsidRPr="00D0190F">
        <w:rPr>
          <w:rFonts w:ascii="Arial Narrow" w:hAnsi="Arial Narrow"/>
        </w:rPr>
        <w:t xml:space="preserve">. </w:t>
      </w:r>
    </w:p>
  </w:footnote>
  <w:footnote w:id="96">
    <w:p w14:paraId="6A9776EA" w14:textId="77777777" w:rsidR="00BC1C0D" w:rsidRPr="00D0190F" w:rsidRDefault="00BC1C0D" w:rsidP="005D5389">
      <w:pPr>
        <w:pStyle w:val="Vchoz"/>
        <w:jc w:val="both"/>
        <w:rPr>
          <w:rFonts w:ascii="Arial Narrow" w:hAnsi="Arial Narrow"/>
          <w:sz w:val="20"/>
          <w:szCs w:val="20"/>
        </w:rPr>
      </w:pPr>
      <w:r w:rsidRPr="00D0190F">
        <w:rPr>
          <w:rFonts w:ascii="Arial Narrow" w:eastAsia="Calibri" w:hAnsi="Arial Narrow" w:cs="Calibri"/>
          <w:color w:val="auto"/>
          <w:sz w:val="20"/>
          <w:szCs w:val="20"/>
          <w:u w:color="000000"/>
        </w:rPr>
        <w:t xml:space="preserve"> </w:t>
      </w:r>
      <w:r w:rsidRPr="00D0190F">
        <w:rPr>
          <w:rFonts w:ascii="Arial Narrow" w:eastAsia="Arial Narrow" w:hAnsi="Arial Narrow" w:cs="Arial Narrow"/>
          <w:color w:val="auto"/>
          <w:sz w:val="20"/>
          <w:szCs w:val="20"/>
          <w:u w:color="000000"/>
          <w:vertAlign w:val="superscript"/>
        </w:rPr>
        <w:footnoteRef/>
      </w:r>
      <w:r w:rsidRPr="00D0190F">
        <w:rPr>
          <w:rFonts w:ascii="Arial Narrow" w:eastAsia="Calibri" w:hAnsi="Arial Narrow" w:cs="Calibri"/>
          <w:color w:val="auto"/>
          <w:sz w:val="20"/>
          <w:szCs w:val="20"/>
          <w:u w:color="000000"/>
        </w:rPr>
        <w:t xml:space="preserve"> Úřad práce </w:t>
      </w:r>
      <w:proofErr w:type="spellStart"/>
      <w:r w:rsidRPr="00D0190F">
        <w:rPr>
          <w:rFonts w:ascii="Arial Narrow" w:eastAsia="Calibri" w:hAnsi="Arial Narrow" w:cs="Calibri"/>
          <w:color w:val="auto"/>
          <w:sz w:val="20"/>
          <w:szCs w:val="20"/>
          <w:u w:color="000000"/>
        </w:rPr>
        <w:t>Česk</w:t>
      </w:r>
      <w:proofErr w:type="spellEnd"/>
      <w:r w:rsidRPr="00D0190F">
        <w:rPr>
          <w:rFonts w:ascii="Arial Narrow" w:eastAsia="Calibri" w:hAnsi="Arial Narrow" w:cs="Calibri"/>
          <w:color w:val="auto"/>
          <w:sz w:val="20"/>
          <w:szCs w:val="20"/>
          <w:u w:color="000000"/>
          <w:lang w:val="fr-FR"/>
        </w:rPr>
        <w:t xml:space="preserve">é </w:t>
      </w:r>
      <w:r w:rsidRPr="00D0190F">
        <w:rPr>
          <w:rFonts w:ascii="Arial Narrow" w:eastAsia="Calibri" w:hAnsi="Arial Narrow" w:cs="Calibri"/>
          <w:color w:val="auto"/>
          <w:sz w:val="20"/>
          <w:szCs w:val="20"/>
          <w:u w:color="000000"/>
        </w:rPr>
        <w:t xml:space="preserve">republiky, Krajská pobočka v Brně. 2020. </w:t>
      </w:r>
      <w:r w:rsidRPr="00D0190F">
        <w:rPr>
          <w:rFonts w:ascii="Arial Narrow" w:eastAsia="Calibri" w:hAnsi="Arial Narrow" w:cs="Calibri"/>
          <w:i/>
          <w:iCs/>
          <w:color w:val="auto"/>
          <w:sz w:val="20"/>
          <w:szCs w:val="20"/>
          <w:u w:color="000000"/>
        </w:rPr>
        <w:t xml:space="preserve">Zpráva o situaci na </w:t>
      </w:r>
      <w:proofErr w:type="spellStart"/>
      <w:r w:rsidRPr="00D0190F">
        <w:rPr>
          <w:rFonts w:ascii="Arial Narrow" w:eastAsia="Calibri" w:hAnsi="Arial Narrow" w:cs="Calibri"/>
          <w:i/>
          <w:iCs/>
          <w:color w:val="auto"/>
          <w:sz w:val="20"/>
          <w:szCs w:val="20"/>
          <w:u w:color="000000"/>
        </w:rPr>
        <w:t>krajsk</w:t>
      </w:r>
      <w:proofErr w:type="spellEnd"/>
      <w:r w:rsidRPr="00D0190F">
        <w:rPr>
          <w:rFonts w:ascii="Arial Narrow" w:eastAsia="Calibri" w:hAnsi="Arial Narrow" w:cs="Calibri"/>
          <w:i/>
          <w:iCs/>
          <w:color w:val="auto"/>
          <w:sz w:val="20"/>
          <w:szCs w:val="20"/>
          <w:u w:color="000000"/>
          <w:lang w:val="fr-FR"/>
        </w:rPr>
        <w:t>é</w:t>
      </w:r>
      <w:r w:rsidRPr="00D0190F">
        <w:rPr>
          <w:rFonts w:ascii="Arial Narrow" w:eastAsia="Calibri" w:hAnsi="Arial Narrow" w:cs="Calibri"/>
          <w:i/>
          <w:iCs/>
          <w:color w:val="auto"/>
          <w:sz w:val="20"/>
          <w:szCs w:val="20"/>
          <w:u w:color="000000"/>
        </w:rPr>
        <w:t>m trhu práce, o realizaci APZ v roce 2020 a strategie APZ pro rok 2021</w:t>
      </w:r>
      <w:r w:rsidRPr="00D0190F">
        <w:rPr>
          <w:rFonts w:ascii="Arial Narrow" w:eastAsia="Calibri" w:hAnsi="Arial Narrow" w:cs="Calibri"/>
          <w:color w:val="auto"/>
          <w:sz w:val="20"/>
          <w:szCs w:val="20"/>
          <w:u w:color="000000"/>
        </w:rPr>
        <w:t xml:space="preserve">, citováno dne 11. 1. 2022. </w:t>
      </w:r>
      <w:proofErr w:type="spellStart"/>
      <w:r w:rsidRPr="00D0190F">
        <w:rPr>
          <w:rFonts w:ascii="Arial Narrow" w:eastAsia="Calibri" w:hAnsi="Arial Narrow" w:cs="Calibri"/>
          <w:color w:val="auto"/>
          <w:sz w:val="20"/>
          <w:szCs w:val="20"/>
          <w:u w:color="000000"/>
        </w:rPr>
        <w:t>Dostupn</w:t>
      </w:r>
      <w:proofErr w:type="spellEnd"/>
      <w:r w:rsidRPr="00D0190F">
        <w:rPr>
          <w:rFonts w:ascii="Arial Narrow" w:eastAsia="Calibri" w:hAnsi="Arial Narrow" w:cs="Calibri"/>
          <w:color w:val="auto"/>
          <w:sz w:val="20"/>
          <w:szCs w:val="20"/>
          <w:u w:color="000000"/>
          <w:lang w:val="fr-FR"/>
        </w:rPr>
        <w:t xml:space="preserve">é </w:t>
      </w:r>
      <w:r w:rsidRPr="00D0190F">
        <w:rPr>
          <w:rFonts w:ascii="Arial Narrow" w:eastAsia="Calibri" w:hAnsi="Arial Narrow" w:cs="Calibri"/>
          <w:color w:val="auto"/>
          <w:sz w:val="20"/>
          <w:szCs w:val="20"/>
          <w:u w:color="000000"/>
        </w:rPr>
        <w:t xml:space="preserve">z: </w:t>
      </w:r>
      <w:hyperlink r:id="rId16" w:history="1">
        <w:r w:rsidRPr="00D0190F">
          <w:rPr>
            <w:rStyle w:val="Hyperlink0"/>
            <w:rFonts w:eastAsia="Calibri" w:cs="Calibri"/>
            <w:color w:val="auto"/>
            <w:sz w:val="20"/>
            <w:szCs w:val="20"/>
            <w:lang w:val="en-US"/>
          </w:rPr>
          <w:t>https://www.uradprace.cz/documents/37855/925019/Rocni_JMK_2020.pdf/645426a3-0c23-5e53-ead8-76b63ebc9ffa</w:t>
        </w:r>
      </w:hyperlink>
    </w:p>
  </w:footnote>
  <w:footnote w:id="97">
    <w:p w14:paraId="797782EB" w14:textId="5132616C"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r w:rsidRPr="00D0190F">
        <w:rPr>
          <w:rFonts w:ascii="Arial Narrow" w:hAnsi="Arial Narrow" w:cs="Tahoma"/>
        </w:rPr>
        <w:t>Od roku 2021 vychází počty obyvatel z výsledků SLDB 2021, kdežto údaje za předchozí roky (v desetileté časové řadě) navazují na výsledky předchozích sčítání lidu (tj. 2011–2020 vychází ze SLBD z roku 2011 atd.).</w:t>
      </w:r>
    </w:p>
  </w:footnote>
  <w:footnote w:id="98">
    <w:p w14:paraId="7D6617B1" w14:textId="77777777" w:rsidR="00BC1C0D" w:rsidRPr="00D0190F" w:rsidRDefault="00BC1C0D" w:rsidP="00F951BF">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99">
    <w:p w14:paraId="51EFD62E" w14:textId="5AF306F0"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Data týkající se osob s jinou než českou státní příslušností v ORP Tišnov jsou v základní podobě dostupná od roku 2007, data týkající se jednotlivých obcí od roku 2008.</w:t>
      </w:r>
    </w:p>
  </w:footnote>
  <w:footnote w:id="100">
    <w:p w14:paraId="3AAA6EA3" w14:textId="77777777" w:rsidR="00BC1C0D" w:rsidRPr="00D0190F" w:rsidRDefault="00BC1C0D" w:rsidP="00C475C3">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NACE je standardní klasifikací ekonomických činností Evropské unie. NACE tedy dělí ekonomické činnosti (oblast ekonomických činností) tak, že každé statistické jednotce, která vykonává nějakou ekonomickou činnost, lze přiřadit kód NACE. CZ-NACE je národní verze NACE.</w:t>
      </w:r>
    </w:p>
  </w:footnote>
  <w:footnote w:id="101">
    <w:p w14:paraId="21749B41" w14:textId="77777777" w:rsidR="00BC1C0D" w:rsidRPr="00D0190F" w:rsidRDefault="00BC1C0D" w:rsidP="009E2E6B">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102">
    <w:p w14:paraId="29B50B73" w14:textId="133F47EC" w:rsidR="00BC1C0D" w:rsidRPr="00D0190F" w:rsidRDefault="00BC1C0D" w:rsidP="00D3440D">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bookmarkStart w:id="829" w:name="_Hlk136876658"/>
      <w:r w:rsidRPr="00D0190F">
        <w:rPr>
          <w:rFonts w:ascii="Arial Narrow" w:hAnsi="Arial Narrow"/>
        </w:rPr>
        <w:t xml:space="preserve">Jihomoravský kraj. 2020. </w:t>
      </w:r>
      <w:r w:rsidRPr="00D0190F">
        <w:rPr>
          <w:rFonts w:ascii="Arial Narrow" w:hAnsi="Arial Narrow"/>
          <w:i/>
          <w:iCs/>
        </w:rPr>
        <w:t>Průzkumu zaměstnanosti v Jihomoravském kraji k 31. 12. 2020</w:t>
      </w:r>
      <w:r w:rsidRPr="00D0190F">
        <w:rPr>
          <w:rFonts w:ascii="Arial Narrow" w:hAnsi="Arial Narrow"/>
        </w:rPr>
        <w:t xml:space="preserve">. Dostupné z: </w:t>
      </w:r>
      <w:hyperlink r:id="rId17" w:history="1">
        <w:r w:rsidRPr="00D0190F">
          <w:rPr>
            <w:rStyle w:val="Hypertextovodkaz"/>
            <w:rFonts w:ascii="Arial Narrow" w:hAnsi="Arial Narrow"/>
            <w:color w:val="auto"/>
          </w:rPr>
          <w:t>file:///C:/Users/Randulova/Downloads/JMK_zpr%C3%A1va_obecn%C3%A1_final.pdf</w:t>
        </w:r>
      </w:hyperlink>
    </w:p>
    <w:bookmarkEnd w:id="829"/>
  </w:footnote>
  <w:footnote w:id="103">
    <w:p w14:paraId="3CC4893C" w14:textId="4D8F80E6" w:rsidR="00BC1C0D" w:rsidRPr="00D0190F" w:rsidRDefault="00BC1C0D" w:rsidP="00F32F86">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w:t>
      </w:r>
      <w:r w:rsidRPr="00D0190F">
        <w:rPr>
          <w:rFonts w:ascii="Arial Narrow" w:hAnsi="Arial Narrow" w:cs="Tahoma"/>
        </w:rPr>
        <w:t>Od roku 2021 vychází počty obyvatel z výsledků SLDB 2021, kdežto údaje za předchozí roky (v desetileté časové řadě) navazují na výsledky předchozích sčítání lidu (tj. 2011–2020 vychází ze SLBD z roku 2011 atd.).</w:t>
      </w:r>
    </w:p>
  </w:footnote>
  <w:footnote w:id="104">
    <w:p w14:paraId="01B17B3C" w14:textId="77777777" w:rsidR="00BC1C0D" w:rsidRPr="00D0190F" w:rsidRDefault="00BC1C0D" w:rsidP="00F32F86">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105">
    <w:p w14:paraId="78B9F27F" w14:textId="77777777" w:rsidR="00BC1C0D" w:rsidRPr="00D0190F" w:rsidRDefault="00BC1C0D" w:rsidP="00C475C3">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NACE je standardní klasifikací ekonomických činností Evropské unie. NACE tedy dělí ekonomické činnosti (oblast ekonomických činností) tak, že každé statistické jednotce, která vykonává nějakou ekonomickou činnost, lze přiřadit kód NACE. CZ-NACE je národní verze NACE.</w:t>
      </w:r>
    </w:p>
  </w:footnote>
  <w:footnote w:id="106">
    <w:p w14:paraId="4C053370" w14:textId="77777777" w:rsidR="00BC1C0D" w:rsidRPr="00D0190F" w:rsidRDefault="00BC1C0D" w:rsidP="00E56229">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K datu odevzdání aktualizované závěrečné zprávy nebyly k dispozici údaje za rok 2022.</w:t>
      </w:r>
    </w:p>
  </w:footnote>
  <w:footnote w:id="107">
    <w:p w14:paraId="0D8C5FEE" w14:textId="5CD81A6A" w:rsidR="00BC1C0D" w:rsidRPr="00D0190F" w:rsidRDefault="00BC1C0D" w:rsidP="00D3440D">
      <w:pPr>
        <w:pStyle w:val="Textpoznpodarou"/>
        <w:jc w:val="both"/>
        <w:rPr>
          <w:rFonts w:ascii="Arial Narrow" w:hAnsi="Arial Narrow"/>
        </w:rPr>
      </w:pPr>
      <w:r w:rsidRPr="00D0190F">
        <w:rPr>
          <w:rStyle w:val="Znakapoznpodarou"/>
          <w:rFonts w:ascii="Arial Narrow" w:hAnsi="Arial Narrow"/>
        </w:rPr>
        <w:footnoteRef/>
      </w:r>
      <w:r w:rsidRPr="00D0190F">
        <w:rPr>
          <w:rFonts w:ascii="Arial Narrow" w:hAnsi="Arial Narrow"/>
        </w:rPr>
        <w:t xml:space="preserve"> Jihomoravský kraj. 2020. </w:t>
      </w:r>
      <w:r w:rsidRPr="00D0190F">
        <w:rPr>
          <w:rFonts w:ascii="Arial Narrow" w:hAnsi="Arial Narrow"/>
          <w:i/>
          <w:iCs/>
        </w:rPr>
        <w:t>Průzkumu zaměstnanosti v Jihomoravském kraji k 31. 12. 2020</w:t>
      </w:r>
      <w:r w:rsidRPr="00D0190F">
        <w:rPr>
          <w:rFonts w:ascii="Arial Narrow" w:hAnsi="Arial Narrow"/>
        </w:rPr>
        <w:t xml:space="preserve">. Dostupné z: </w:t>
      </w:r>
      <w:hyperlink r:id="rId18" w:history="1">
        <w:r w:rsidRPr="00D0190F">
          <w:rPr>
            <w:rStyle w:val="Hypertextovodkaz"/>
            <w:rFonts w:ascii="Arial Narrow" w:hAnsi="Arial Narrow"/>
            <w:color w:val="auto"/>
          </w:rPr>
          <w:t>file:///C:/Users/Randulova/Downloads/JMK_zpr%C3%A1va_obecn%C3%A1_final.pdf</w:t>
        </w:r>
      </w:hyperlink>
    </w:p>
  </w:footnote>
  <w:footnote w:id="108">
    <w:p w14:paraId="0793FCD3" w14:textId="3437C0E0" w:rsidR="00BC1C0D" w:rsidRPr="00D0190F" w:rsidRDefault="00BC1C0D">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Data jsou vždy k 1. 1. daného roku.</w:t>
      </w:r>
    </w:p>
  </w:footnote>
  <w:footnote w:id="109">
    <w:p w14:paraId="4EA210CB" w14:textId="77777777" w:rsidR="00BC1C0D" w:rsidRPr="00D0190F" w:rsidRDefault="00BC1C0D" w:rsidP="00923B27">
      <w:pPr>
        <w:pStyle w:val="Textpoznpodarou"/>
        <w:rPr>
          <w:rFonts w:ascii="Arial Narrow" w:hAnsi="Arial Narrow"/>
        </w:rPr>
      </w:pPr>
      <w:r w:rsidRPr="00D0190F">
        <w:rPr>
          <w:rStyle w:val="Znakapoznpodarou"/>
          <w:rFonts w:ascii="Arial Narrow" w:hAnsi="Arial Narrow"/>
        </w:rPr>
        <w:footnoteRef/>
      </w:r>
      <w:r w:rsidRPr="00D0190F">
        <w:rPr>
          <w:rFonts w:ascii="Arial Narrow" w:hAnsi="Arial Narrow"/>
        </w:rPr>
        <w:t xml:space="preserve"> Data jsou vždy k 1. 1. daného roku.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5131" w14:textId="76A81838" w:rsidR="00BC1C0D" w:rsidRDefault="00BC1C0D" w:rsidP="00D67E2F">
    <w:pPr>
      <w:jc w:val="center"/>
      <w:rPr>
        <w:rFonts w:ascii="Arial Narrow" w:hAnsi="Arial Narrow" w:cs="Arial"/>
        <w:b/>
        <w:noProof/>
        <w:sz w:val="20"/>
        <w:szCs w:val="16"/>
        <w:lang w:val="sk-SK"/>
      </w:rPr>
    </w:pPr>
    <w:r>
      <w:rPr>
        <w:noProof/>
        <w:lang w:eastAsia="cs-CZ"/>
      </w:rPr>
      <w:drawing>
        <wp:anchor distT="0" distB="0" distL="114300" distR="114300" simplePos="0" relativeHeight="251661312" behindDoc="1" locked="0" layoutInCell="1" allowOverlap="1" wp14:anchorId="7F1FDAD9" wp14:editId="053A22B2">
          <wp:simplePos x="0" y="0"/>
          <wp:positionH relativeFrom="column">
            <wp:posOffset>2353734</wp:posOffset>
          </wp:positionH>
          <wp:positionV relativeFrom="paragraph">
            <wp:posOffset>-110490</wp:posOffset>
          </wp:positionV>
          <wp:extent cx="3924300" cy="369570"/>
          <wp:effectExtent l="0" t="0" r="0" b="0"/>
          <wp:wrapTight wrapText="bothSides">
            <wp:wrapPolygon edited="0">
              <wp:start x="0" y="0"/>
              <wp:lineTo x="0" y="20041"/>
              <wp:lineTo x="21495" y="20041"/>
              <wp:lineTo x="2149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43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264" behindDoc="0" locked="0" layoutInCell="1" allowOverlap="1" wp14:anchorId="25C535DC" wp14:editId="0281323A">
          <wp:simplePos x="0" y="0"/>
          <wp:positionH relativeFrom="column">
            <wp:posOffset>-575733</wp:posOffset>
          </wp:positionH>
          <wp:positionV relativeFrom="paragraph">
            <wp:posOffset>-271568</wp:posOffset>
          </wp:positionV>
          <wp:extent cx="2340737" cy="685763"/>
          <wp:effectExtent l="0" t="0" r="2540" b="635"/>
          <wp:wrapNone/>
          <wp:docPr id="3" name="obrázek 3" descr="VÃ½sledek obrÃ¡zku pro operaÄnÃ­ program zamÄstn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operaÄnÃ­ program zamÄstnanos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40737" cy="685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7A30F" w14:textId="77777777" w:rsidR="00BC1C0D" w:rsidRDefault="00BC1C0D" w:rsidP="00D67E2F">
    <w:pPr>
      <w:jc w:val="center"/>
      <w:rPr>
        <w:rFonts w:ascii="Arial Narrow" w:hAnsi="Arial Narrow" w:cs="Arial"/>
        <w:b/>
        <w:noProof/>
        <w:sz w:val="20"/>
        <w:szCs w:val="16"/>
        <w:lang w:val="sk-SK"/>
      </w:rPr>
    </w:pPr>
  </w:p>
  <w:p w14:paraId="3BF7639F" w14:textId="77777777" w:rsidR="00BC1C0D" w:rsidRPr="00D1749C" w:rsidRDefault="00BC1C0D" w:rsidP="00D67E2F">
    <w:pPr>
      <w:jc w:val="center"/>
      <w:rPr>
        <w:rFonts w:ascii="Arial Narrow" w:hAnsi="Arial Narrow" w:cs="Arial"/>
        <w:b/>
        <w:noProof/>
        <w:sz w:val="20"/>
        <w:szCs w:val="16"/>
        <w:lang w:val="sk-SK"/>
      </w:rPr>
    </w:pPr>
  </w:p>
  <w:p w14:paraId="1CB59731" w14:textId="77777777" w:rsidR="00BC1C0D" w:rsidRDefault="00BC1C0D" w:rsidP="00D67E2F">
    <w:pPr>
      <w:pBdr>
        <w:bottom w:val="single" w:sz="4" w:space="1" w:color="auto"/>
      </w:pBdr>
      <w:jc w:val="center"/>
      <w:rPr>
        <w:rFonts w:ascii="Arial Narrow" w:hAnsi="Arial Narrow" w:cs="Arial"/>
        <w:b/>
        <w:noProof/>
        <w:sz w:val="20"/>
        <w:szCs w:val="16"/>
        <w:lang w:val="sk-SK"/>
      </w:rPr>
    </w:pPr>
    <w:r w:rsidRPr="00D1749C">
      <w:rPr>
        <w:rFonts w:ascii="Arial Narrow" w:hAnsi="Arial Narrow" w:cs="Arial"/>
        <w:b/>
        <w:noProof/>
        <w:sz w:val="20"/>
        <w:szCs w:val="16"/>
        <w:lang w:val="sk-SK"/>
      </w:rPr>
      <w:t>„Analýza potřeb klíčových aktérů v oblasti zaměstnávání cizinců v Jihomoravském kraji“</w:t>
    </w:r>
  </w:p>
  <w:p w14:paraId="7D75F0C3" w14:textId="343C396A" w:rsidR="00BC1C0D" w:rsidRPr="00D1749C" w:rsidRDefault="00BC1C0D" w:rsidP="00D67E2F">
    <w:pPr>
      <w:jc w:val="center"/>
      <w:rPr>
        <w:rFonts w:ascii="Arial Narrow" w:hAnsi="Arial Narrow" w:cs="Arial"/>
        <w:b/>
        <w:noProof/>
        <w:sz w:val="20"/>
        <w:szCs w:val="16"/>
        <w:lang w:val="sk-SK"/>
      </w:rPr>
    </w:pPr>
    <w:r>
      <w:rPr>
        <w:rFonts w:ascii="Arial Narrow" w:hAnsi="Arial Narrow" w:cs="Arial"/>
        <w:b/>
        <w:noProof/>
        <w:sz w:val="20"/>
        <w:szCs w:val="16"/>
        <w:lang w:val="sk-SK"/>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F690" w14:textId="4960E414" w:rsidR="00BC1C0D" w:rsidRDefault="00BC1C0D">
    <w:pPr>
      <w:pStyle w:val="Zhlav"/>
    </w:pPr>
    <w:r>
      <w:rPr>
        <w:noProof/>
        <w:lang w:eastAsia="cs-CZ"/>
      </w:rPr>
      <w:drawing>
        <wp:anchor distT="0" distB="0" distL="114300" distR="114300" simplePos="0" relativeHeight="251659776" behindDoc="0" locked="0" layoutInCell="1" allowOverlap="1" wp14:anchorId="251AA4B7" wp14:editId="155C1109">
          <wp:simplePos x="0" y="0"/>
          <wp:positionH relativeFrom="column">
            <wp:posOffset>-448733</wp:posOffset>
          </wp:positionH>
          <wp:positionV relativeFrom="paragraph">
            <wp:posOffset>-246168</wp:posOffset>
          </wp:positionV>
          <wp:extent cx="2340737" cy="685763"/>
          <wp:effectExtent l="0" t="0" r="2540" b="635"/>
          <wp:wrapNone/>
          <wp:docPr id="16" name="obrázek 3" descr="VÃ½sledek obrÃ¡zku pro operaÄnÃ­ program zamÄstn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operaÄnÃ­ program zamÄstnano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340737" cy="6857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5680" behindDoc="1" locked="0" layoutInCell="1" allowOverlap="1" wp14:anchorId="60E841F3" wp14:editId="0D7653A3">
          <wp:simplePos x="0" y="0"/>
          <wp:positionH relativeFrom="column">
            <wp:posOffset>2294467</wp:posOffset>
          </wp:positionH>
          <wp:positionV relativeFrom="paragraph">
            <wp:posOffset>-85090</wp:posOffset>
          </wp:positionV>
          <wp:extent cx="3924300" cy="369570"/>
          <wp:effectExtent l="0" t="0" r="0" b="0"/>
          <wp:wrapTight wrapText="bothSides">
            <wp:wrapPolygon edited="0">
              <wp:start x="0" y="0"/>
              <wp:lineTo x="0" y="20041"/>
              <wp:lineTo x="21495" y="20041"/>
              <wp:lineTo x="2149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24300" cy="36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6AC8"/>
    <w:multiLevelType w:val="hybridMultilevel"/>
    <w:tmpl w:val="E952974C"/>
    <w:lvl w:ilvl="0" w:tplc="04050001">
      <w:start w:val="1"/>
      <w:numFmt w:val="bullet"/>
      <w:lvlText w:val=""/>
      <w:lvlJc w:val="left"/>
      <w:rPr>
        <w:rFonts w:ascii="Symbol" w:hAnsi="Symbol" w:hint="default"/>
      </w:rPr>
    </w:lvl>
    <w:lvl w:ilvl="1" w:tplc="FFFFFFFF" w:tentative="1">
      <w:start w:val="1"/>
      <w:numFmt w:val="bullet"/>
      <w:lvlText w:val="o"/>
      <w:lvlJc w:val="left"/>
      <w:pPr>
        <w:ind w:left="2820" w:hanging="360"/>
      </w:pPr>
      <w:rPr>
        <w:rFonts w:ascii="Courier New" w:hAnsi="Courier New" w:cs="Courier New" w:hint="default"/>
      </w:rPr>
    </w:lvl>
    <w:lvl w:ilvl="2" w:tplc="FFFFFFFF" w:tentative="1">
      <w:start w:val="1"/>
      <w:numFmt w:val="bullet"/>
      <w:lvlText w:val=""/>
      <w:lvlJc w:val="left"/>
      <w:pPr>
        <w:ind w:left="3540" w:hanging="360"/>
      </w:pPr>
      <w:rPr>
        <w:rFonts w:ascii="Wingdings" w:hAnsi="Wingdings" w:hint="default"/>
      </w:rPr>
    </w:lvl>
    <w:lvl w:ilvl="3" w:tplc="FFFFFFFF" w:tentative="1">
      <w:start w:val="1"/>
      <w:numFmt w:val="bullet"/>
      <w:lvlText w:val=""/>
      <w:lvlJc w:val="left"/>
      <w:pPr>
        <w:ind w:left="4260" w:hanging="360"/>
      </w:pPr>
      <w:rPr>
        <w:rFonts w:ascii="Symbol" w:hAnsi="Symbol" w:hint="default"/>
      </w:rPr>
    </w:lvl>
    <w:lvl w:ilvl="4" w:tplc="FFFFFFFF" w:tentative="1">
      <w:start w:val="1"/>
      <w:numFmt w:val="bullet"/>
      <w:lvlText w:val="o"/>
      <w:lvlJc w:val="left"/>
      <w:pPr>
        <w:ind w:left="4980" w:hanging="360"/>
      </w:pPr>
      <w:rPr>
        <w:rFonts w:ascii="Courier New" w:hAnsi="Courier New" w:cs="Courier New" w:hint="default"/>
      </w:rPr>
    </w:lvl>
    <w:lvl w:ilvl="5" w:tplc="FFFFFFFF" w:tentative="1">
      <w:start w:val="1"/>
      <w:numFmt w:val="bullet"/>
      <w:lvlText w:val=""/>
      <w:lvlJc w:val="left"/>
      <w:pPr>
        <w:ind w:left="5700" w:hanging="360"/>
      </w:pPr>
      <w:rPr>
        <w:rFonts w:ascii="Wingdings" w:hAnsi="Wingdings" w:hint="default"/>
      </w:rPr>
    </w:lvl>
    <w:lvl w:ilvl="6" w:tplc="FFFFFFFF" w:tentative="1">
      <w:start w:val="1"/>
      <w:numFmt w:val="bullet"/>
      <w:lvlText w:val=""/>
      <w:lvlJc w:val="left"/>
      <w:pPr>
        <w:ind w:left="6420" w:hanging="360"/>
      </w:pPr>
      <w:rPr>
        <w:rFonts w:ascii="Symbol" w:hAnsi="Symbol" w:hint="default"/>
      </w:rPr>
    </w:lvl>
    <w:lvl w:ilvl="7" w:tplc="FFFFFFFF" w:tentative="1">
      <w:start w:val="1"/>
      <w:numFmt w:val="bullet"/>
      <w:lvlText w:val="o"/>
      <w:lvlJc w:val="left"/>
      <w:pPr>
        <w:ind w:left="7140" w:hanging="360"/>
      </w:pPr>
      <w:rPr>
        <w:rFonts w:ascii="Courier New" w:hAnsi="Courier New" w:cs="Courier New" w:hint="default"/>
      </w:rPr>
    </w:lvl>
    <w:lvl w:ilvl="8" w:tplc="FFFFFFFF" w:tentative="1">
      <w:start w:val="1"/>
      <w:numFmt w:val="bullet"/>
      <w:lvlText w:val=""/>
      <w:lvlJc w:val="left"/>
      <w:pPr>
        <w:ind w:left="7860" w:hanging="360"/>
      </w:pPr>
      <w:rPr>
        <w:rFonts w:ascii="Wingdings" w:hAnsi="Wingdings" w:hint="default"/>
      </w:rPr>
    </w:lvl>
  </w:abstractNum>
  <w:abstractNum w:abstractNumId="1" w15:restartNumberingAfterBreak="0">
    <w:nsid w:val="09F53A89"/>
    <w:multiLevelType w:val="hybridMultilevel"/>
    <w:tmpl w:val="A9DAB6B2"/>
    <w:lvl w:ilvl="0" w:tplc="04050001">
      <w:start w:val="1"/>
      <w:numFmt w:val="bullet"/>
      <w:lvlText w:val=""/>
      <w:lvlJc w:val="left"/>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F072933"/>
    <w:multiLevelType w:val="hybridMultilevel"/>
    <w:tmpl w:val="7BC6F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214103"/>
    <w:multiLevelType w:val="hybridMultilevel"/>
    <w:tmpl w:val="9402A000"/>
    <w:lvl w:ilvl="0" w:tplc="083437EA">
      <w:start w:val="1"/>
      <w:numFmt w:val="bullet"/>
      <w:lvlText w:val=""/>
      <w:lvlJc w:val="left"/>
      <w:pPr>
        <w:tabs>
          <w:tab w:val="num" w:pos="1080"/>
        </w:tabs>
        <w:ind w:left="108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B854B9"/>
    <w:multiLevelType w:val="hybridMultilevel"/>
    <w:tmpl w:val="1ECCF422"/>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35436F1"/>
    <w:multiLevelType w:val="hybridMultilevel"/>
    <w:tmpl w:val="02AE1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FF5D2A"/>
    <w:multiLevelType w:val="hybridMultilevel"/>
    <w:tmpl w:val="E0E420B4"/>
    <w:lvl w:ilvl="0" w:tplc="0405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483EAD"/>
    <w:multiLevelType w:val="hybridMultilevel"/>
    <w:tmpl w:val="7DA4A4BA"/>
    <w:lvl w:ilvl="0" w:tplc="0405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090402"/>
    <w:multiLevelType w:val="hybridMultilevel"/>
    <w:tmpl w:val="ECD8E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8854252"/>
    <w:multiLevelType w:val="hybridMultilevel"/>
    <w:tmpl w:val="1AE639EE"/>
    <w:lvl w:ilvl="0" w:tplc="0405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4A7D14"/>
    <w:multiLevelType w:val="hybridMultilevel"/>
    <w:tmpl w:val="53E00F76"/>
    <w:lvl w:ilvl="0" w:tplc="04050001">
      <w:start w:val="1"/>
      <w:numFmt w:val="bullet"/>
      <w:lvlText w:val=""/>
      <w:lvlJc w:val="left"/>
      <w:pPr>
        <w:ind w:left="-804" w:hanging="360"/>
      </w:pPr>
      <w:rPr>
        <w:rFonts w:ascii="Symbol" w:hAnsi="Symbol" w:hint="default"/>
      </w:rPr>
    </w:lvl>
    <w:lvl w:ilvl="1" w:tplc="04050003">
      <w:start w:val="1"/>
      <w:numFmt w:val="bullet"/>
      <w:lvlText w:val="o"/>
      <w:lvlJc w:val="left"/>
      <w:pPr>
        <w:ind w:left="-84" w:hanging="360"/>
      </w:pPr>
      <w:rPr>
        <w:rFonts w:ascii="Courier New" w:hAnsi="Courier New" w:cs="Courier New" w:hint="default"/>
      </w:rPr>
    </w:lvl>
    <w:lvl w:ilvl="2" w:tplc="04050005">
      <w:start w:val="1"/>
      <w:numFmt w:val="bullet"/>
      <w:lvlText w:val=""/>
      <w:lvlJc w:val="left"/>
      <w:pPr>
        <w:ind w:left="636" w:hanging="360"/>
      </w:pPr>
      <w:rPr>
        <w:rFonts w:ascii="Wingdings" w:hAnsi="Wingdings" w:hint="default"/>
      </w:rPr>
    </w:lvl>
    <w:lvl w:ilvl="3" w:tplc="04050001">
      <w:start w:val="1"/>
      <w:numFmt w:val="bullet"/>
      <w:lvlText w:val=""/>
      <w:lvlJc w:val="left"/>
      <w:pPr>
        <w:ind w:left="1356" w:hanging="360"/>
      </w:pPr>
      <w:rPr>
        <w:rFonts w:ascii="Symbol" w:hAnsi="Symbol" w:hint="default"/>
      </w:rPr>
    </w:lvl>
    <w:lvl w:ilvl="4" w:tplc="04050003">
      <w:start w:val="1"/>
      <w:numFmt w:val="bullet"/>
      <w:lvlText w:val="o"/>
      <w:lvlJc w:val="left"/>
      <w:pPr>
        <w:ind w:left="2076" w:hanging="360"/>
      </w:pPr>
      <w:rPr>
        <w:rFonts w:ascii="Courier New" w:hAnsi="Courier New" w:cs="Courier New" w:hint="default"/>
      </w:rPr>
    </w:lvl>
    <w:lvl w:ilvl="5" w:tplc="04050005">
      <w:start w:val="1"/>
      <w:numFmt w:val="bullet"/>
      <w:lvlText w:val=""/>
      <w:lvlJc w:val="left"/>
      <w:pPr>
        <w:ind w:left="2796" w:hanging="360"/>
      </w:pPr>
      <w:rPr>
        <w:rFonts w:ascii="Wingdings" w:hAnsi="Wingdings" w:hint="default"/>
      </w:rPr>
    </w:lvl>
    <w:lvl w:ilvl="6" w:tplc="04050001">
      <w:start w:val="1"/>
      <w:numFmt w:val="bullet"/>
      <w:lvlText w:val=""/>
      <w:lvlJc w:val="left"/>
      <w:pPr>
        <w:ind w:left="3516" w:hanging="360"/>
      </w:pPr>
      <w:rPr>
        <w:rFonts w:ascii="Symbol" w:hAnsi="Symbol" w:hint="default"/>
      </w:rPr>
    </w:lvl>
    <w:lvl w:ilvl="7" w:tplc="04050003">
      <w:start w:val="1"/>
      <w:numFmt w:val="bullet"/>
      <w:lvlText w:val="o"/>
      <w:lvlJc w:val="left"/>
      <w:pPr>
        <w:ind w:left="4236" w:hanging="360"/>
      </w:pPr>
      <w:rPr>
        <w:rFonts w:ascii="Courier New" w:hAnsi="Courier New" w:cs="Courier New" w:hint="default"/>
      </w:rPr>
    </w:lvl>
    <w:lvl w:ilvl="8" w:tplc="04050005">
      <w:start w:val="1"/>
      <w:numFmt w:val="bullet"/>
      <w:lvlText w:val=""/>
      <w:lvlJc w:val="left"/>
      <w:pPr>
        <w:ind w:left="4956" w:hanging="360"/>
      </w:pPr>
      <w:rPr>
        <w:rFonts w:ascii="Wingdings" w:hAnsi="Wingdings" w:hint="default"/>
      </w:rPr>
    </w:lvl>
  </w:abstractNum>
  <w:abstractNum w:abstractNumId="11" w15:restartNumberingAfterBreak="0">
    <w:nsid w:val="377F36BC"/>
    <w:multiLevelType w:val="hybridMultilevel"/>
    <w:tmpl w:val="B76EA4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DEE63D6"/>
    <w:multiLevelType w:val="hybridMultilevel"/>
    <w:tmpl w:val="C8389598"/>
    <w:lvl w:ilvl="0" w:tplc="083437EA">
      <w:start w:val="1"/>
      <w:numFmt w:val="bullet"/>
      <w:lvlText w:val=""/>
      <w:lvlJc w:val="left"/>
      <w:pPr>
        <w:tabs>
          <w:tab w:val="num" w:pos="1140"/>
        </w:tabs>
        <w:ind w:left="1140" w:hanging="360"/>
      </w:pPr>
      <w:rPr>
        <w:rFonts w:ascii="Symbol" w:hAnsi="Symbol" w:hint="default"/>
        <w:color w:val="auto"/>
      </w:rPr>
    </w:lvl>
    <w:lvl w:ilvl="1" w:tplc="04050003">
      <w:start w:val="1"/>
      <w:numFmt w:val="bullet"/>
      <w:lvlText w:val="o"/>
      <w:lvlJc w:val="left"/>
      <w:pPr>
        <w:tabs>
          <w:tab w:val="num" w:pos="1500"/>
        </w:tabs>
        <w:ind w:left="1500" w:hanging="360"/>
      </w:pPr>
      <w:rPr>
        <w:rFonts w:ascii="Courier New" w:hAnsi="Courier New" w:cs="Courier New" w:hint="default"/>
      </w:rPr>
    </w:lvl>
    <w:lvl w:ilvl="2" w:tplc="04050005">
      <w:start w:val="1"/>
      <w:numFmt w:val="bullet"/>
      <w:lvlText w:val=""/>
      <w:lvlJc w:val="left"/>
      <w:pPr>
        <w:tabs>
          <w:tab w:val="num" w:pos="2220"/>
        </w:tabs>
        <w:ind w:left="2220" w:hanging="360"/>
      </w:pPr>
      <w:rPr>
        <w:rFonts w:ascii="Wingdings" w:hAnsi="Wingdings" w:hint="default"/>
      </w:rPr>
    </w:lvl>
    <w:lvl w:ilvl="3" w:tplc="04050001">
      <w:start w:val="1"/>
      <w:numFmt w:val="bullet"/>
      <w:lvlText w:val=""/>
      <w:lvlJc w:val="left"/>
      <w:pPr>
        <w:tabs>
          <w:tab w:val="num" w:pos="2940"/>
        </w:tabs>
        <w:ind w:left="2940" w:hanging="360"/>
      </w:pPr>
      <w:rPr>
        <w:rFonts w:ascii="Symbol" w:hAnsi="Symbol" w:hint="default"/>
      </w:rPr>
    </w:lvl>
    <w:lvl w:ilvl="4" w:tplc="04050003">
      <w:start w:val="1"/>
      <w:numFmt w:val="bullet"/>
      <w:lvlText w:val="o"/>
      <w:lvlJc w:val="left"/>
      <w:pPr>
        <w:tabs>
          <w:tab w:val="num" w:pos="3660"/>
        </w:tabs>
        <w:ind w:left="3660" w:hanging="360"/>
      </w:pPr>
      <w:rPr>
        <w:rFonts w:ascii="Courier New" w:hAnsi="Courier New" w:cs="Courier New" w:hint="default"/>
      </w:rPr>
    </w:lvl>
    <w:lvl w:ilvl="5" w:tplc="04050005">
      <w:start w:val="1"/>
      <w:numFmt w:val="bullet"/>
      <w:lvlText w:val=""/>
      <w:lvlJc w:val="left"/>
      <w:pPr>
        <w:tabs>
          <w:tab w:val="num" w:pos="4380"/>
        </w:tabs>
        <w:ind w:left="4380" w:hanging="360"/>
      </w:pPr>
      <w:rPr>
        <w:rFonts w:ascii="Wingdings" w:hAnsi="Wingdings" w:hint="default"/>
      </w:rPr>
    </w:lvl>
    <w:lvl w:ilvl="6" w:tplc="04050001">
      <w:start w:val="1"/>
      <w:numFmt w:val="bullet"/>
      <w:lvlText w:val=""/>
      <w:lvlJc w:val="left"/>
      <w:pPr>
        <w:tabs>
          <w:tab w:val="num" w:pos="5100"/>
        </w:tabs>
        <w:ind w:left="5100" w:hanging="360"/>
      </w:pPr>
      <w:rPr>
        <w:rFonts w:ascii="Symbol" w:hAnsi="Symbol" w:hint="default"/>
      </w:rPr>
    </w:lvl>
    <w:lvl w:ilvl="7" w:tplc="04050003">
      <w:start w:val="1"/>
      <w:numFmt w:val="bullet"/>
      <w:lvlText w:val="o"/>
      <w:lvlJc w:val="left"/>
      <w:pPr>
        <w:tabs>
          <w:tab w:val="num" w:pos="5820"/>
        </w:tabs>
        <w:ind w:left="5820" w:hanging="360"/>
      </w:pPr>
      <w:rPr>
        <w:rFonts w:ascii="Courier New" w:hAnsi="Courier New" w:cs="Courier New" w:hint="default"/>
      </w:rPr>
    </w:lvl>
    <w:lvl w:ilvl="8" w:tplc="04050005">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527631B8"/>
    <w:multiLevelType w:val="hybridMultilevel"/>
    <w:tmpl w:val="1B6A0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275B55"/>
    <w:multiLevelType w:val="hybridMultilevel"/>
    <w:tmpl w:val="0FF205D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6A2724C2"/>
    <w:multiLevelType w:val="hybridMultilevel"/>
    <w:tmpl w:val="A1384CDC"/>
    <w:lvl w:ilvl="0" w:tplc="95824AC6">
      <w:start w:val="3"/>
      <w:numFmt w:val="bullet"/>
      <w:lvlText w:val="•"/>
      <w:lvlJc w:val="left"/>
      <w:pPr>
        <w:ind w:left="825" w:hanging="360"/>
      </w:pPr>
      <w:rPr>
        <w:rFonts w:ascii="Times New Roman" w:eastAsiaTheme="minorHAnsi" w:hAnsi="Times New Roman" w:cs="Times New Roman"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6" w15:restartNumberingAfterBreak="0">
    <w:nsid w:val="78E718C9"/>
    <w:multiLevelType w:val="hybridMultilevel"/>
    <w:tmpl w:val="1DAA896C"/>
    <w:lvl w:ilvl="0" w:tplc="027A3C2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B1B0FC2"/>
    <w:multiLevelType w:val="multilevel"/>
    <w:tmpl w:val="06D2EB20"/>
    <w:lvl w:ilvl="0">
      <w:start w:val="1"/>
      <w:numFmt w:val="upperRoman"/>
      <w:pStyle w:val="Nadpis1"/>
      <w:lvlText w:val="%1."/>
      <w:lvlJc w:val="right"/>
      <w:pPr>
        <w:ind w:left="3338" w:hanging="360"/>
      </w:pPr>
      <w:rPr>
        <w:rFonts w:hint="default"/>
        <w:b/>
        <w:bCs/>
        <w:color w:val="002060"/>
        <w:sz w:val="36"/>
        <w:szCs w:val="36"/>
      </w:rPr>
    </w:lvl>
    <w:lvl w:ilvl="1">
      <w:start w:val="1"/>
      <w:numFmt w:val="decimal"/>
      <w:pStyle w:val="Nadpis2"/>
      <w:lvlText w:val="%1.%2."/>
      <w:lvlJc w:val="left"/>
      <w:rPr>
        <w:rFonts w:hint="default"/>
        <w:b/>
        <w:bCs/>
        <w:i w:val="0"/>
        <w:iCs w:val="0"/>
        <w:caps w:val="0"/>
        <w:smallCaps w:val="0"/>
        <w:strike w:val="0"/>
        <w:dstrike w:val="0"/>
        <w:noProof w:val="0"/>
        <w:vanish w:val="0"/>
        <w:color w:val="C00000"/>
        <w:spacing w:val="0"/>
        <w:kern w:val="0"/>
        <w:position w:val="0"/>
        <w:sz w:val="30"/>
        <w:szCs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right"/>
      <w:pPr>
        <w:ind w:left="1030" w:hanging="180"/>
      </w:pPr>
      <w:rPr>
        <w:rFonts w:hint="default"/>
        <w:color w:val="002060"/>
        <w:sz w:val="26"/>
        <w:szCs w:val="26"/>
        <w:u w:val="none"/>
      </w:rPr>
    </w:lvl>
    <w:lvl w:ilvl="3">
      <w:start w:val="1"/>
      <w:numFmt w:val="decimal"/>
      <w:lvlText w:val="%4. 1. 3. 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38277831">
    <w:abstractNumId w:val="17"/>
  </w:num>
  <w:num w:numId="2" w16cid:durableId="301891064">
    <w:abstractNumId w:val="15"/>
  </w:num>
  <w:num w:numId="3" w16cid:durableId="1379477589">
    <w:abstractNumId w:val="14"/>
  </w:num>
  <w:num w:numId="4" w16cid:durableId="1731927879">
    <w:abstractNumId w:val="2"/>
  </w:num>
  <w:num w:numId="5" w16cid:durableId="1699239213">
    <w:abstractNumId w:val="17"/>
  </w:num>
  <w:num w:numId="6" w16cid:durableId="892278192">
    <w:abstractNumId w:val="11"/>
  </w:num>
  <w:num w:numId="7" w16cid:durableId="7094965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31818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32245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3481843">
    <w:abstractNumId w:val="0"/>
  </w:num>
  <w:num w:numId="11" w16cid:durableId="1483080606">
    <w:abstractNumId w:val="7"/>
  </w:num>
  <w:num w:numId="12" w16cid:durableId="662666730">
    <w:abstractNumId w:val="9"/>
  </w:num>
  <w:num w:numId="13" w16cid:durableId="1293748435">
    <w:abstractNumId w:val="6"/>
  </w:num>
  <w:num w:numId="14" w16cid:durableId="9307471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88534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37767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69922">
    <w:abstractNumId w:val="4"/>
  </w:num>
  <w:num w:numId="18" w16cid:durableId="507211771">
    <w:abstractNumId w:val="8"/>
  </w:num>
  <w:num w:numId="19" w16cid:durableId="1114324697">
    <w:abstractNumId w:val="1"/>
  </w:num>
  <w:num w:numId="20" w16cid:durableId="105656134">
    <w:abstractNumId w:val="16"/>
  </w:num>
  <w:num w:numId="21" w16cid:durableId="788624662">
    <w:abstractNumId w:val="13"/>
  </w:num>
  <w:num w:numId="22" w16cid:durableId="5023574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1789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098345">
    <w:abstractNumId w:val="5"/>
  </w:num>
  <w:num w:numId="25" w16cid:durableId="1639144189">
    <w:abstractNumId w:val="10"/>
  </w:num>
  <w:num w:numId="26" w16cid:durableId="7735512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382516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77142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38346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468819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8783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452031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48340780">
    <w:abstractNumId w:val="12"/>
  </w:num>
  <w:num w:numId="34" w16cid:durableId="1310135451">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64F"/>
    <w:rsid w:val="00002FE3"/>
    <w:rsid w:val="00006D6E"/>
    <w:rsid w:val="00011695"/>
    <w:rsid w:val="000144CE"/>
    <w:rsid w:val="00022980"/>
    <w:rsid w:val="00027D9A"/>
    <w:rsid w:val="00033C62"/>
    <w:rsid w:val="000343A7"/>
    <w:rsid w:val="00035051"/>
    <w:rsid w:val="0003621C"/>
    <w:rsid w:val="000378BA"/>
    <w:rsid w:val="00041CD0"/>
    <w:rsid w:val="000437E0"/>
    <w:rsid w:val="00044DBA"/>
    <w:rsid w:val="00046178"/>
    <w:rsid w:val="000477F1"/>
    <w:rsid w:val="00047E0F"/>
    <w:rsid w:val="0005247A"/>
    <w:rsid w:val="0005257E"/>
    <w:rsid w:val="00052880"/>
    <w:rsid w:val="00053E14"/>
    <w:rsid w:val="00054D81"/>
    <w:rsid w:val="000600CC"/>
    <w:rsid w:val="000601DC"/>
    <w:rsid w:val="00062447"/>
    <w:rsid w:val="000637D7"/>
    <w:rsid w:val="00064756"/>
    <w:rsid w:val="000658E3"/>
    <w:rsid w:val="00065AA9"/>
    <w:rsid w:val="000664CE"/>
    <w:rsid w:val="000708BD"/>
    <w:rsid w:val="00071A17"/>
    <w:rsid w:val="00072975"/>
    <w:rsid w:val="00074716"/>
    <w:rsid w:val="00076F0C"/>
    <w:rsid w:val="000804B4"/>
    <w:rsid w:val="00081398"/>
    <w:rsid w:val="00082549"/>
    <w:rsid w:val="00082BE3"/>
    <w:rsid w:val="0008389A"/>
    <w:rsid w:val="000849B1"/>
    <w:rsid w:val="000864FF"/>
    <w:rsid w:val="000909E0"/>
    <w:rsid w:val="00093BC7"/>
    <w:rsid w:val="000978AB"/>
    <w:rsid w:val="000978D0"/>
    <w:rsid w:val="000A03F1"/>
    <w:rsid w:val="000A552A"/>
    <w:rsid w:val="000A5D0C"/>
    <w:rsid w:val="000A6CD5"/>
    <w:rsid w:val="000A79D6"/>
    <w:rsid w:val="000B1AF4"/>
    <w:rsid w:val="000B2CEE"/>
    <w:rsid w:val="000B5B17"/>
    <w:rsid w:val="000C2425"/>
    <w:rsid w:val="000C30FD"/>
    <w:rsid w:val="000D04BB"/>
    <w:rsid w:val="000D5146"/>
    <w:rsid w:val="000D77AC"/>
    <w:rsid w:val="000E7C06"/>
    <w:rsid w:val="000F0F65"/>
    <w:rsid w:val="000F5645"/>
    <w:rsid w:val="000F6EA8"/>
    <w:rsid w:val="000F70D1"/>
    <w:rsid w:val="00100662"/>
    <w:rsid w:val="001017CA"/>
    <w:rsid w:val="00105EEF"/>
    <w:rsid w:val="001065D9"/>
    <w:rsid w:val="00111B6C"/>
    <w:rsid w:val="00111DD9"/>
    <w:rsid w:val="00112D68"/>
    <w:rsid w:val="001138E8"/>
    <w:rsid w:val="00122AEA"/>
    <w:rsid w:val="00127FC6"/>
    <w:rsid w:val="001329D1"/>
    <w:rsid w:val="001333A8"/>
    <w:rsid w:val="001366B6"/>
    <w:rsid w:val="0014086F"/>
    <w:rsid w:val="00143A60"/>
    <w:rsid w:val="00144B16"/>
    <w:rsid w:val="001505F2"/>
    <w:rsid w:val="00151454"/>
    <w:rsid w:val="00151636"/>
    <w:rsid w:val="001529D5"/>
    <w:rsid w:val="00153293"/>
    <w:rsid w:val="001545BF"/>
    <w:rsid w:val="00156960"/>
    <w:rsid w:val="00165C57"/>
    <w:rsid w:val="00166F19"/>
    <w:rsid w:val="00167BA0"/>
    <w:rsid w:val="00167EE1"/>
    <w:rsid w:val="00168C67"/>
    <w:rsid w:val="00171B4D"/>
    <w:rsid w:val="00173E7B"/>
    <w:rsid w:val="0017560A"/>
    <w:rsid w:val="0017624B"/>
    <w:rsid w:val="00177655"/>
    <w:rsid w:val="00181C7A"/>
    <w:rsid w:val="001828B7"/>
    <w:rsid w:val="0018320D"/>
    <w:rsid w:val="001852CC"/>
    <w:rsid w:val="0019034E"/>
    <w:rsid w:val="0019100E"/>
    <w:rsid w:val="00194BB7"/>
    <w:rsid w:val="0019565A"/>
    <w:rsid w:val="00195D4E"/>
    <w:rsid w:val="00196336"/>
    <w:rsid w:val="001A18D9"/>
    <w:rsid w:val="001B1962"/>
    <w:rsid w:val="001B1B8B"/>
    <w:rsid w:val="001B3967"/>
    <w:rsid w:val="001B4039"/>
    <w:rsid w:val="001B5FC8"/>
    <w:rsid w:val="001B603B"/>
    <w:rsid w:val="001C1AA0"/>
    <w:rsid w:val="001C34E6"/>
    <w:rsid w:val="001C3FEF"/>
    <w:rsid w:val="001C4976"/>
    <w:rsid w:val="001C4CC4"/>
    <w:rsid w:val="001C5C26"/>
    <w:rsid w:val="001D66A0"/>
    <w:rsid w:val="001D7978"/>
    <w:rsid w:val="001E137F"/>
    <w:rsid w:val="001E1B48"/>
    <w:rsid w:val="001E4D94"/>
    <w:rsid w:val="001E5365"/>
    <w:rsid w:val="001E5CBA"/>
    <w:rsid w:val="001E64E1"/>
    <w:rsid w:val="001E695A"/>
    <w:rsid w:val="001E6BF3"/>
    <w:rsid w:val="001E6C18"/>
    <w:rsid w:val="001F6023"/>
    <w:rsid w:val="001F6DE6"/>
    <w:rsid w:val="002003CB"/>
    <w:rsid w:val="00200A38"/>
    <w:rsid w:val="00200BFB"/>
    <w:rsid w:val="00201E38"/>
    <w:rsid w:val="00203FEA"/>
    <w:rsid w:val="0020443C"/>
    <w:rsid w:val="00204E22"/>
    <w:rsid w:val="002062DA"/>
    <w:rsid w:val="00207EC8"/>
    <w:rsid w:val="002100E9"/>
    <w:rsid w:val="00215C83"/>
    <w:rsid w:val="00217B45"/>
    <w:rsid w:val="002274AB"/>
    <w:rsid w:val="00234594"/>
    <w:rsid w:val="00234F91"/>
    <w:rsid w:val="00235489"/>
    <w:rsid w:val="002374F1"/>
    <w:rsid w:val="00241926"/>
    <w:rsid w:val="00243F16"/>
    <w:rsid w:val="002464D3"/>
    <w:rsid w:val="00247DE3"/>
    <w:rsid w:val="00250D6C"/>
    <w:rsid w:val="00250FAB"/>
    <w:rsid w:val="00252123"/>
    <w:rsid w:val="002521D2"/>
    <w:rsid w:val="002534F1"/>
    <w:rsid w:val="002546B0"/>
    <w:rsid w:val="002549C1"/>
    <w:rsid w:val="002554E4"/>
    <w:rsid w:val="002569D0"/>
    <w:rsid w:val="00256C97"/>
    <w:rsid w:val="00262EAC"/>
    <w:rsid w:val="002669E9"/>
    <w:rsid w:val="00270A4C"/>
    <w:rsid w:val="00275D99"/>
    <w:rsid w:val="00276BDF"/>
    <w:rsid w:val="00281263"/>
    <w:rsid w:val="002839CF"/>
    <w:rsid w:val="00284360"/>
    <w:rsid w:val="002843E8"/>
    <w:rsid w:val="00284AC4"/>
    <w:rsid w:val="00285A50"/>
    <w:rsid w:val="00286735"/>
    <w:rsid w:val="00287A2A"/>
    <w:rsid w:val="00290283"/>
    <w:rsid w:val="00292167"/>
    <w:rsid w:val="00292C77"/>
    <w:rsid w:val="002930C6"/>
    <w:rsid w:val="002959A0"/>
    <w:rsid w:val="002A1320"/>
    <w:rsid w:val="002A1959"/>
    <w:rsid w:val="002A322C"/>
    <w:rsid w:val="002A7F57"/>
    <w:rsid w:val="002B38DB"/>
    <w:rsid w:val="002C0A2F"/>
    <w:rsid w:val="002C0D55"/>
    <w:rsid w:val="002C4CD0"/>
    <w:rsid w:val="002C668F"/>
    <w:rsid w:val="002D00E2"/>
    <w:rsid w:val="002D0326"/>
    <w:rsid w:val="002D0973"/>
    <w:rsid w:val="002D1A09"/>
    <w:rsid w:val="002D35EA"/>
    <w:rsid w:val="002D41C8"/>
    <w:rsid w:val="002D45A0"/>
    <w:rsid w:val="002D4D09"/>
    <w:rsid w:val="002D53D7"/>
    <w:rsid w:val="002D58F4"/>
    <w:rsid w:val="002D5D4C"/>
    <w:rsid w:val="002D5DF0"/>
    <w:rsid w:val="002D646B"/>
    <w:rsid w:val="002D7266"/>
    <w:rsid w:val="002E468D"/>
    <w:rsid w:val="002E4DC0"/>
    <w:rsid w:val="002E5645"/>
    <w:rsid w:val="002E6047"/>
    <w:rsid w:val="002E6049"/>
    <w:rsid w:val="002E7645"/>
    <w:rsid w:val="002F056D"/>
    <w:rsid w:val="002F08C7"/>
    <w:rsid w:val="002F2357"/>
    <w:rsid w:val="002F7B6D"/>
    <w:rsid w:val="002F7D4B"/>
    <w:rsid w:val="0030060A"/>
    <w:rsid w:val="00301218"/>
    <w:rsid w:val="00302CA0"/>
    <w:rsid w:val="0031093F"/>
    <w:rsid w:val="00316441"/>
    <w:rsid w:val="003252FD"/>
    <w:rsid w:val="0032612B"/>
    <w:rsid w:val="00327895"/>
    <w:rsid w:val="0033462B"/>
    <w:rsid w:val="00340CBA"/>
    <w:rsid w:val="00340D4C"/>
    <w:rsid w:val="00341C89"/>
    <w:rsid w:val="00343D72"/>
    <w:rsid w:val="00344DAF"/>
    <w:rsid w:val="00345860"/>
    <w:rsid w:val="00346908"/>
    <w:rsid w:val="00353CDD"/>
    <w:rsid w:val="0035591F"/>
    <w:rsid w:val="0035755D"/>
    <w:rsid w:val="00357915"/>
    <w:rsid w:val="00360689"/>
    <w:rsid w:val="00361ABE"/>
    <w:rsid w:val="0036214A"/>
    <w:rsid w:val="00362240"/>
    <w:rsid w:val="00366165"/>
    <w:rsid w:val="00370EF1"/>
    <w:rsid w:val="003716D4"/>
    <w:rsid w:val="00374560"/>
    <w:rsid w:val="003756F1"/>
    <w:rsid w:val="00375766"/>
    <w:rsid w:val="00377E54"/>
    <w:rsid w:val="003807A5"/>
    <w:rsid w:val="00380EB3"/>
    <w:rsid w:val="003827FE"/>
    <w:rsid w:val="00383655"/>
    <w:rsid w:val="00384A4F"/>
    <w:rsid w:val="00387AD5"/>
    <w:rsid w:val="00390861"/>
    <w:rsid w:val="003937B0"/>
    <w:rsid w:val="003A02A3"/>
    <w:rsid w:val="003A351B"/>
    <w:rsid w:val="003A4784"/>
    <w:rsid w:val="003A7642"/>
    <w:rsid w:val="003B0497"/>
    <w:rsid w:val="003B0C1F"/>
    <w:rsid w:val="003B1120"/>
    <w:rsid w:val="003B461F"/>
    <w:rsid w:val="003C1334"/>
    <w:rsid w:val="003C1C4A"/>
    <w:rsid w:val="003C1DE9"/>
    <w:rsid w:val="003C3BDE"/>
    <w:rsid w:val="003C5787"/>
    <w:rsid w:val="003C5FC2"/>
    <w:rsid w:val="003C6A8C"/>
    <w:rsid w:val="003C78BC"/>
    <w:rsid w:val="003D1699"/>
    <w:rsid w:val="003D5578"/>
    <w:rsid w:val="003D733D"/>
    <w:rsid w:val="003D7EF9"/>
    <w:rsid w:val="003E03CD"/>
    <w:rsid w:val="003E4D1F"/>
    <w:rsid w:val="003E5DBD"/>
    <w:rsid w:val="003E78A5"/>
    <w:rsid w:val="003F2EDF"/>
    <w:rsid w:val="003F34C5"/>
    <w:rsid w:val="003F38E4"/>
    <w:rsid w:val="003F3DCB"/>
    <w:rsid w:val="003F5CD7"/>
    <w:rsid w:val="003F6E2F"/>
    <w:rsid w:val="003F74F0"/>
    <w:rsid w:val="0040269D"/>
    <w:rsid w:val="004040E9"/>
    <w:rsid w:val="00405543"/>
    <w:rsid w:val="00407CBB"/>
    <w:rsid w:val="00411BD6"/>
    <w:rsid w:val="00413FFF"/>
    <w:rsid w:val="00415A91"/>
    <w:rsid w:val="00415BD6"/>
    <w:rsid w:val="00416739"/>
    <w:rsid w:val="00416BD1"/>
    <w:rsid w:val="00421CC4"/>
    <w:rsid w:val="00423212"/>
    <w:rsid w:val="004260D6"/>
    <w:rsid w:val="00426D4E"/>
    <w:rsid w:val="00427192"/>
    <w:rsid w:val="004310EA"/>
    <w:rsid w:val="00434AF2"/>
    <w:rsid w:val="00434D87"/>
    <w:rsid w:val="00436C54"/>
    <w:rsid w:val="0044026F"/>
    <w:rsid w:val="00442D74"/>
    <w:rsid w:val="00443B0E"/>
    <w:rsid w:val="00445065"/>
    <w:rsid w:val="004463C6"/>
    <w:rsid w:val="004463F2"/>
    <w:rsid w:val="00447074"/>
    <w:rsid w:val="00447244"/>
    <w:rsid w:val="00450BCF"/>
    <w:rsid w:val="00450C7D"/>
    <w:rsid w:val="00451631"/>
    <w:rsid w:val="00456F46"/>
    <w:rsid w:val="004576E2"/>
    <w:rsid w:val="004635C5"/>
    <w:rsid w:val="00464903"/>
    <w:rsid w:val="00475804"/>
    <w:rsid w:val="00476197"/>
    <w:rsid w:val="004803DA"/>
    <w:rsid w:val="00481579"/>
    <w:rsid w:val="004824E9"/>
    <w:rsid w:val="00486569"/>
    <w:rsid w:val="00486D0D"/>
    <w:rsid w:val="00487E4A"/>
    <w:rsid w:val="004918F1"/>
    <w:rsid w:val="00491CAB"/>
    <w:rsid w:val="0049265B"/>
    <w:rsid w:val="004929A3"/>
    <w:rsid w:val="00493306"/>
    <w:rsid w:val="00493A7B"/>
    <w:rsid w:val="0049646D"/>
    <w:rsid w:val="00497265"/>
    <w:rsid w:val="004A0C47"/>
    <w:rsid w:val="004A0EAA"/>
    <w:rsid w:val="004A1C32"/>
    <w:rsid w:val="004A1EBD"/>
    <w:rsid w:val="004B19A8"/>
    <w:rsid w:val="004B2B2B"/>
    <w:rsid w:val="004B3A4B"/>
    <w:rsid w:val="004B4EA9"/>
    <w:rsid w:val="004B5CA8"/>
    <w:rsid w:val="004B6E2B"/>
    <w:rsid w:val="004C0BD4"/>
    <w:rsid w:val="004C30CB"/>
    <w:rsid w:val="004C3183"/>
    <w:rsid w:val="004C4D3E"/>
    <w:rsid w:val="004C5965"/>
    <w:rsid w:val="004C68A8"/>
    <w:rsid w:val="004C7566"/>
    <w:rsid w:val="004D0287"/>
    <w:rsid w:val="004D0905"/>
    <w:rsid w:val="004D2124"/>
    <w:rsid w:val="004D3B83"/>
    <w:rsid w:val="004D5432"/>
    <w:rsid w:val="004D56D1"/>
    <w:rsid w:val="004D62A2"/>
    <w:rsid w:val="004D6F78"/>
    <w:rsid w:val="004D7A62"/>
    <w:rsid w:val="004E4899"/>
    <w:rsid w:val="004E64FA"/>
    <w:rsid w:val="004E7540"/>
    <w:rsid w:val="004F04A7"/>
    <w:rsid w:val="004F0BB4"/>
    <w:rsid w:val="004F304D"/>
    <w:rsid w:val="004F7A0B"/>
    <w:rsid w:val="00502B34"/>
    <w:rsid w:val="00503FA4"/>
    <w:rsid w:val="00507429"/>
    <w:rsid w:val="00510C3D"/>
    <w:rsid w:val="00513F64"/>
    <w:rsid w:val="00514577"/>
    <w:rsid w:val="0051590D"/>
    <w:rsid w:val="0051614B"/>
    <w:rsid w:val="005171BC"/>
    <w:rsid w:val="005208D0"/>
    <w:rsid w:val="00520D62"/>
    <w:rsid w:val="005263EF"/>
    <w:rsid w:val="00535D80"/>
    <w:rsid w:val="00536405"/>
    <w:rsid w:val="005369EA"/>
    <w:rsid w:val="00537311"/>
    <w:rsid w:val="00540788"/>
    <w:rsid w:val="00541086"/>
    <w:rsid w:val="005423B0"/>
    <w:rsid w:val="005424C8"/>
    <w:rsid w:val="005427CE"/>
    <w:rsid w:val="00543085"/>
    <w:rsid w:val="0054369B"/>
    <w:rsid w:val="00552AC6"/>
    <w:rsid w:val="005543DF"/>
    <w:rsid w:val="0055482A"/>
    <w:rsid w:val="0055565E"/>
    <w:rsid w:val="0056150B"/>
    <w:rsid w:val="0056277C"/>
    <w:rsid w:val="00564906"/>
    <w:rsid w:val="0056626A"/>
    <w:rsid w:val="005662E2"/>
    <w:rsid w:val="00566BC3"/>
    <w:rsid w:val="0056780C"/>
    <w:rsid w:val="00570141"/>
    <w:rsid w:val="005706D1"/>
    <w:rsid w:val="005713A7"/>
    <w:rsid w:val="00572269"/>
    <w:rsid w:val="00574025"/>
    <w:rsid w:val="00574827"/>
    <w:rsid w:val="00577352"/>
    <w:rsid w:val="00577D12"/>
    <w:rsid w:val="00582BC1"/>
    <w:rsid w:val="00583AD1"/>
    <w:rsid w:val="00583F6F"/>
    <w:rsid w:val="00587629"/>
    <w:rsid w:val="00587809"/>
    <w:rsid w:val="00593AB7"/>
    <w:rsid w:val="0059493A"/>
    <w:rsid w:val="005A032F"/>
    <w:rsid w:val="005A1332"/>
    <w:rsid w:val="005A2A31"/>
    <w:rsid w:val="005A2E99"/>
    <w:rsid w:val="005A3B20"/>
    <w:rsid w:val="005A5B0A"/>
    <w:rsid w:val="005A61CE"/>
    <w:rsid w:val="005A6451"/>
    <w:rsid w:val="005B0185"/>
    <w:rsid w:val="005B2F6C"/>
    <w:rsid w:val="005B30C6"/>
    <w:rsid w:val="005B3675"/>
    <w:rsid w:val="005B650C"/>
    <w:rsid w:val="005B6C7F"/>
    <w:rsid w:val="005C052C"/>
    <w:rsid w:val="005C361B"/>
    <w:rsid w:val="005C4480"/>
    <w:rsid w:val="005C4492"/>
    <w:rsid w:val="005C5EA0"/>
    <w:rsid w:val="005C6013"/>
    <w:rsid w:val="005C718E"/>
    <w:rsid w:val="005D0C5B"/>
    <w:rsid w:val="005D0E7A"/>
    <w:rsid w:val="005D2564"/>
    <w:rsid w:val="005D28FD"/>
    <w:rsid w:val="005D3EE8"/>
    <w:rsid w:val="005D5389"/>
    <w:rsid w:val="005D7476"/>
    <w:rsid w:val="005D7876"/>
    <w:rsid w:val="005E0A3F"/>
    <w:rsid w:val="005E3FAC"/>
    <w:rsid w:val="005F0140"/>
    <w:rsid w:val="005F4F07"/>
    <w:rsid w:val="005F7A4F"/>
    <w:rsid w:val="00600689"/>
    <w:rsid w:val="0060182E"/>
    <w:rsid w:val="00601CDD"/>
    <w:rsid w:val="00604969"/>
    <w:rsid w:val="00604F27"/>
    <w:rsid w:val="00606026"/>
    <w:rsid w:val="00611FCD"/>
    <w:rsid w:val="0061246C"/>
    <w:rsid w:val="00612B22"/>
    <w:rsid w:val="00616121"/>
    <w:rsid w:val="0062043E"/>
    <w:rsid w:val="006238DB"/>
    <w:rsid w:val="0062443C"/>
    <w:rsid w:val="00624B80"/>
    <w:rsid w:val="00627775"/>
    <w:rsid w:val="006316EC"/>
    <w:rsid w:val="00632FB8"/>
    <w:rsid w:val="0063513D"/>
    <w:rsid w:val="006355B6"/>
    <w:rsid w:val="0063578A"/>
    <w:rsid w:val="00635DD9"/>
    <w:rsid w:val="0064499B"/>
    <w:rsid w:val="00645311"/>
    <w:rsid w:val="0065058F"/>
    <w:rsid w:val="0065686D"/>
    <w:rsid w:val="00656FB2"/>
    <w:rsid w:val="0066028D"/>
    <w:rsid w:val="00664139"/>
    <w:rsid w:val="00664890"/>
    <w:rsid w:val="00664A7E"/>
    <w:rsid w:val="00665D4D"/>
    <w:rsid w:val="00666877"/>
    <w:rsid w:val="00667DF2"/>
    <w:rsid w:val="006747FE"/>
    <w:rsid w:val="00674AED"/>
    <w:rsid w:val="0067719E"/>
    <w:rsid w:val="00682025"/>
    <w:rsid w:val="0068326F"/>
    <w:rsid w:val="006855B5"/>
    <w:rsid w:val="00687372"/>
    <w:rsid w:val="006907A1"/>
    <w:rsid w:val="00693098"/>
    <w:rsid w:val="006955D2"/>
    <w:rsid w:val="006969E6"/>
    <w:rsid w:val="006A017D"/>
    <w:rsid w:val="006A1A38"/>
    <w:rsid w:val="006A2453"/>
    <w:rsid w:val="006A4649"/>
    <w:rsid w:val="006B0149"/>
    <w:rsid w:val="006B06D6"/>
    <w:rsid w:val="006B2844"/>
    <w:rsid w:val="006B3438"/>
    <w:rsid w:val="006B5E59"/>
    <w:rsid w:val="006C0CD9"/>
    <w:rsid w:val="006C313F"/>
    <w:rsid w:val="006C3879"/>
    <w:rsid w:val="006C5629"/>
    <w:rsid w:val="006C5C26"/>
    <w:rsid w:val="006C5C42"/>
    <w:rsid w:val="006C61F5"/>
    <w:rsid w:val="006C64BD"/>
    <w:rsid w:val="006C7D55"/>
    <w:rsid w:val="006D074A"/>
    <w:rsid w:val="006D2146"/>
    <w:rsid w:val="006D22ED"/>
    <w:rsid w:val="006D2B1B"/>
    <w:rsid w:val="006D5F75"/>
    <w:rsid w:val="006D74BD"/>
    <w:rsid w:val="006E080E"/>
    <w:rsid w:val="006E323C"/>
    <w:rsid w:val="006E7CBE"/>
    <w:rsid w:val="006F0628"/>
    <w:rsid w:val="006F60B1"/>
    <w:rsid w:val="006F6401"/>
    <w:rsid w:val="006F76B6"/>
    <w:rsid w:val="007018A8"/>
    <w:rsid w:val="00701DFF"/>
    <w:rsid w:val="007040B2"/>
    <w:rsid w:val="00704E88"/>
    <w:rsid w:val="00705242"/>
    <w:rsid w:val="0070551B"/>
    <w:rsid w:val="007060E7"/>
    <w:rsid w:val="00706ADA"/>
    <w:rsid w:val="0071035B"/>
    <w:rsid w:val="00711B81"/>
    <w:rsid w:val="007133C6"/>
    <w:rsid w:val="00720510"/>
    <w:rsid w:val="0072122E"/>
    <w:rsid w:val="00721326"/>
    <w:rsid w:val="007226E2"/>
    <w:rsid w:val="00725375"/>
    <w:rsid w:val="00726A57"/>
    <w:rsid w:val="00730BE8"/>
    <w:rsid w:val="00732A00"/>
    <w:rsid w:val="00735D64"/>
    <w:rsid w:val="00740CC9"/>
    <w:rsid w:val="00744662"/>
    <w:rsid w:val="0074628D"/>
    <w:rsid w:val="00747333"/>
    <w:rsid w:val="007504A4"/>
    <w:rsid w:val="0075261C"/>
    <w:rsid w:val="00755FA0"/>
    <w:rsid w:val="00757602"/>
    <w:rsid w:val="00757BC1"/>
    <w:rsid w:val="007606D2"/>
    <w:rsid w:val="00760A1A"/>
    <w:rsid w:val="00760E26"/>
    <w:rsid w:val="0076276F"/>
    <w:rsid w:val="00762FCD"/>
    <w:rsid w:val="00763B8D"/>
    <w:rsid w:val="00765AAA"/>
    <w:rsid w:val="00765E47"/>
    <w:rsid w:val="00765E5D"/>
    <w:rsid w:val="007672D7"/>
    <w:rsid w:val="00767CC0"/>
    <w:rsid w:val="00771D89"/>
    <w:rsid w:val="00772E8E"/>
    <w:rsid w:val="00773100"/>
    <w:rsid w:val="00774537"/>
    <w:rsid w:val="00790094"/>
    <w:rsid w:val="00791A26"/>
    <w:rsid w:val="00794665"/>
    <w:rsid w:val="00795B48"/>
    <w:rsid w:val="007964B1"/>
    <w:rsid w:val="00797C63"/>
    <w:rsid w:val="007A2ADC"/>
    <w:rsid w:val="007A31EF"/>
    <w:rsid w:val="007A5B21"/>
    <w:rsid w:val="007B1311"/>
    <w:rsid w:val="007B2880"/>
    <w:rsid w:val="007B2C0D"/>
    <w:rsid w:val="007B59C4"/>
    <w:rsid w:val="007B5A70"/>
    <w:rsid w:val="007B7A2A"/>
    <w:rsid w:val="007C11C9"/>
    <w:rsid w:val="007C20B3"/>
    <w:rsid w:val="007C2F9E"/>
    <w:rsid w:val="007C6B21"/>
    <w:rsid w:val="007D0C42"/>
    <w:rsid w:val="007D120B"/>
    <w:rsid w:val="007D1B52"/>
    <w:rsid w:val="007D2AF1"/>
    <w:rsid w:val="007E0333"/>
    <w:rsid w:val="007E0549"/>
    <w:rsid w:val="007E127F"/>
    <w:rsid w:val="007E1CF2"/>
    <w:rsid w:val="007E4728"/>
    <w:rsid w:val="007E6F9E"/>
    <w:rsid w:val="007F06F2"/>
    <w:rsid w:val="007F2B8A"/>
    <w:rsid w:val="007F4931"/>
    <w:rsid w:val="007F5B6C"/>
    <w:rsid w:val="007F656E"/>
    <w:rsid w:val="007F6B56"/>
    <w:rsid w:val="00801015"/>
    <w:rsid w:val="008032DE"/>
    <w:rsid w:val="00804551"/>
    <w:rsid w:val="008059DD"/>
    <w:rsid w:val="00806D16"/>
    <w:rsid w:val="008100A1"/>
    <w:rsid w:val="008148EC"/>
    <w:rsid w:val="00816A3F"/>
    <w:rsid w:val="008212B7"/>
    <w:rsid w:val="008213D6"/>
    <w:rsid w:val="00825C97"/>
    <w:rsid w:val="0083048E"/>
    <w:rsid w:val="008314C2"/>
    <w:rsid w:val="00832906"/>
    <w:rsid w:val="00833896"/>
    <w:rsid w:val="0083573A"/>
    <w:rsid w:val="0083595C"/>
    <w:rsid w:val="008371C9"/>
    <w:rsid w:val="008474EB"/>
    <w:rsid w:val="00847F4B"/>
    <w:rsid w:val="00853D66"/>
    <w:rsid w:val="008544D0"/>
    <w:rsid w:val="00855D95"/>
    <w:rsid w:val="00856205"/>
    <w:rsid w:val="00864AC3"/>
    <w:rsid w:val="00866008"/>
    <w:rsid w:val="0087100F"/>
    <w:rsid w:val="00872E66"/>
    <w:rsid w:val="008764AD"/>
    <w:rsid w:val="0087730D"/>
    <w:rsid w:val="0088134C"/>
    <w:rsid w:val="00885DD3"/>
    <w:rsid w:val="00891A93"/>
    <w:rsid w:val="00891B22"/>
    <w:rsid w:val="008931F5"/>
    <w:rsid w:val="008938F9"/>
    <w:rsid w:val="00893AB3"/>
    <w:rsid w:val="00894F6C"/>
    <w:rsid w:val="008959CB"/>
    <w:rsid w:val="00896E16"/>
    <w:rsid w:val="008A1147"/>
    <w:rsid w:val="008A1B0D"/>
    <w:rsid w:val="008A1C95"/>
    <w:rsid w:val="008A1F9F"/>
    <w:rsid w:val="008A4868"/>
    <w:rsid w:val="008A62CF"/>
    <w:rsid w:val="008A6B51"/>
    <w:rsid w:val="008A7CE0"/>
    <w:rsid w:val="008A7D87"/>
    <w:rsid w:val="008B0103"/>
    <w:rsid w:val="008B0630"/>
    <w:rsid w:val="008B0776"/>
    <w:rsid w:val="008B0BC4"/>
    <w:rsid w:val="008B3BC4"/>
    <w:rsid w:val="008B3D36"/>
    <w:rsid w:val="008B6CC7"/>
    <w:rsid w:val="008B757B"/>
    <w:rsid w:val="008C03A1"/>
    <w:rsid w:val="008C0ED6"/>
    <w:rsid w:val="008C5A98"/>
    <w:rsid w:val="008C615B"/>
    <w:rsid w:val="008C6738"/>
    <w:rsid w:val="008C78FF"/>
    <w:rsid w:val="008D0E3E"/>
    <w:rsid w:val="008D22CA"/>
    <w:rsid w:val="008D468B"/>
    <w:rsid w:val="008D58E0"/>
    <w:rsid w:val="008D6F5D"/>
    <w:rsid w:val="008E3F72"/>
    <w:rsid w:val="008E418F"/>
    <w:rsid w:val="008E63D5"/>
    <w:rsid w:val="008E64A4"/>
    <w:rsid w:val="008F4C54"/>
    <w:rsid w:val="008F4C72"/>
    <w:rsid w:val="008F50EF"/>
    <w:rsid w:val="008F52CA"/>
    <w:rsid w:val="008F759B"/>
    <w:rsid w:val="008F7DB0"/>
    <w:rsid w:val="009014D2"/>
    <w:rsid w:val="009029A2"/>
    <w:rsid w:val="009032E5"/>
    <w:rsid w:val="009053DD"/>
    <w:rsid w:val="00905E76"/>
    <w:rsid w:val="0090637A"/>
    <w:rsid w:val="00907927"/>
    <w:rsid w:val="00910CAD"/>
    <w:rsid w:val="0091497B"/>
    <w:rsid w:val="00915F26"/>
    <w:rsid w:val="0091654E"/>
    <w:rsid w:val="00917910"/>
    <w:rsid w:val="00923B27"/>
    <w:rsid w:val="00924423"/>
    <w:rsid w:val="0092468A"/>
    <w:rsid w:val="00925A65"/>
    <w:rsid w:val="0092628D"/>
    <w:rsid w:val="00932652"/>
    <w:rsid w:val="00932E72"/>
    <w:rsid w:val="00934C1B"/>
    <w:rsid w:val="00934E74"/>
    <w:rsid w:val="00935351"/>
    <w:rsid w:val="00937A2F"/>
    <w:rsid w:val="009400DB"/>
    <w:rsid w:val="00940C24"/>
    <w:rsid w:val="00945114"/>
    <w:rsid w:val="00945407"/>
    <w:rsid w:val="009466B9"/>
    <w:rsid w:val="00947A46"/>
    <w:rsid w:val="00947ADC"/>
    <w:rsid w:val="00953EA9"/>
    <w:rsid w:val="009564DF"/>
    <w:rsid w:val="0095768C"/>
    <w:rsid w:val="00957F4E"/>
    <w:rsid w:val="009627A8"/>
    <w:rsid w:val="0097104B"/>
    <w:rsid w:val="009730AB"/>
    <w:rsid w:val="009730DD"/>
    <w:rsid w:val="009745F0"/>
    <w:rsid w:val="009772D1"/>
    <w:rsid w:val="009817FE"/>
    <w:rsid w:val="009820AB"/>
    <w:rsid w:val="00986CE8"/>
    <w:rsid w:val="00992445"/>
    <w:rsid w:val="009931FE"/>
    <w:rsid w:val="0099474E"/>
    <w:rsid w:val="009965DC"/>
    <w:rsid w:val="009978E8"/>
    <w:rsid w:val="009A30B6"/>
    <w:rsid w:val="009A33BE"/>
    <w:rsid w:val="009A56CC"/>
    <w:rsid w:val="009A5A87"/>
    <w:rsid w:val="009A6D29"/>
    <w:rsid w:val="009A78D7"/>
    <w:rsid w:val="009A7ACB"/>
    <w:rsid w:val="009B42F5"/>
    <w:rsid w:val="009B44C8"/>
    <w:rsid w:val="009B50F7"/>
    <w:rsid w:val="009C0AD3"/>
    <w:rsid w:val="009C5307"/>
    <w:rsid w:val="009C6457"/>
    <w:rsid w:val="009C7661"/>
    <w:rsid w:val="009D2EF2"/>
    <w:rsid w:val="009D572A"/>
    <w:rsid w:val="009D64A1"/>
    <w:rsid w:val="009D66FA"/>
    <w:rsid w:val="009D7A82"/>
    <w:rsid w:val="009D7EF6"/>
    <w:rsid w:val="009E049A"/>
    <w:rsid w:val="009E089C"/>
    <w:rsid w:val="009E2979"/>
    <w:rsid w:val="009E29D5"/>
    <w:rsid w:val="009E2E6B"/>
    <w:rsid w:val="009E5C5D"/>
    <w:rsid w:val="009E6DB4"/>
    <w:rsid w:val="009E6EC7"/>
    <w:rsid w:val="009E7D55"/>
    <w:rsid w:val="009F03BB"/>
    <w:rsid w:val="009F1200"/>
    <w:rsid w:val="009F336B"/>
    <w:rsid w:val="009F375B"/>
    <w:rsid w:val="009F49C8"/>
    <w:rsid w:val="009F5024"/>
    <w:rsid w:val="00A0114E"/>
    <w:rsid w:val="00A013FD"/>
    <w:rsid w:val="00A03E4A"/>
    <w:rsid w:val="00A074B2"/>
    <w:rsid w:val="00A075BF"/>
    <w:rsid w:val="00A11C42"/>
    <w:rsid w:val="00A12884"/>
    <w:rsid w:val="00A156BD"/>
    <w:rsid w:val="00A17AFA"/>
    <w:rsid w:val="00A21363"/>
    <w:rsid w:val="00A232B9"/>
    <w:rsid w:val="00A23327"/>
    <w:rsid w:val="00A23435"/>
    <w:rsid w:val="00A24AF7"/>
    <w:rsid w:val="00A26F11"/>
    <w:rsid w:val="00A300D2"/>
    <w:rsid w:val="00A303E1"/>
    <w:rsid w:val="00A336CB"/>
    <w:rsid w:val="00A34272"/>
    <w:rsid w:val="00A37235"/>
    <w:rsid w:val="00A408E3"/>
    <w:rsid w:val="00A424A4"/>
    <w:rsid w:val="00A42C83"/>
    <w:rsid w:val="00A45EA2"/>
    <w:rsid w:val="00A533A2"/>
    <w:rsid w:val="00A5550E"/>
    <w:rsid w:val="00A55B4C"/>
    <w:rsid w:val="00A6302B"/>
    <w:rsid w:val="00A63ECD"/>
    <w:rsid w:val="00A66828"/>
    <w:rsid w:val="00A67E93"/>
    <w:rsid w:val="00A70BC0"/>
    <w:rsid w:val="00A7376B"/>
    <w:rsid w:val="00A748E0"/>
    <w:rsid w:val="00A75CDE"/>
    <w:rsid w:val="00A76A9A"/>
    <w:rsid w:val="00A91E35"/>
    <w:rsid w:val="00A949BB"/>
    <w:rsid w:val="00AA058D"/>
    <w:rsid w:val="00AA09FA"/>
    <w:rsid w:val="00AA4FC3"/>
    <w:rsid w:val="00AA5747"/>
    <w:rsid w:val="00AA7229"/>
    <w:rsid w:val="00AA7504"/>
    <w:rsid w:val="00AB243A"/>
    <w:rsid w:val="00AB74C3"/>
    <w:rsid w:val="00AC0E8E"/>
    <w:rsid w:val="00AC296A"/>
    <w:rsid w:val="00AC593D"/>
    <w:rsid w:val="00AC736A"/>
    <w:rsid w:val="00AC78FE"/>
    <w:rsid w:val="00AD081A"/>
    <w:rsid w:val="00AD3798"/>
    <w:rsid w:val="00AD4D7E"/>
    <w:rsid w:val="00AD6FEE"/>
    <w:rsid w:val="00AE0840"/>
    <w:rsid w:val="00AE234F"/>
    <w:rsid w:val="00AE4C9E"/>
    <w:rsid w:val="00AE4EE1"/>
    <w:rsid w:val="00AE66E1"/>
    <w:rsid w:val="00AE7E36"/>
    <w:rsid w:val="00AF1C96"/>
    <w:rsid w:val="00B017D3"/>
    <w:rsid w:val="00B02F01"/>
    <w:rsid w:val="00B11D84"/>
    <w:rsid w:val="00B136DD"/>
    <w:rsid w:val="00B15B85"/>
    <w:rsid w:val="00B1616B"/>
    <w:rsid w:val="00B1622F"/>
    <w:rsid w:val="00B1789D"/>
    <w:rsid w:val="00B21467"/>
    <w:rsid w:val="00B24202"/>
    <w:rsid w:val="00B244D0"/>
    <w:rsid w:val="00B25C07"/>
    <w:rsid w:val="00B31262"/>
    <w:rsid w:val="00B312ED"/>
    <w:rsid w:val="00B32B4F"/>
    <w:rsid w:val="00B35A2B"/>
    <w:rsid w:val="00B361AC"/>
    <w:rsid w:val="00B3705E"/>
    <w:rsid w:val="00B40356"/>
    <w:rsid w:val="00B43344"/>
    <w:rsid w:val="00B445E5"/>
    <w:rsid w:val="00B4465C"/>
    <w:rsid w:val="00B44E30"/>
    <w:rsid w:val="00B457EF"/>
    <w:rsid w:val="00B56614"/>
    <w:rsid w:val="00B56697"/>
    <w:rsid w:val="00B569EB"/>
    <w:rsid w:val="00B56C31"/>
    <w:rsid w:val="00B56C89"/>
    <w:rsid w:val="00B60449"/>
    <w:rsid w:val="00B604D8"/>
    <w:rsid w:val="00B61A08"/>
    <w:rsid w:val="00B63C25"/>
    <w:rsid w:val="00B712E8"/>
    <w:rsid w:val="00B72096"/>
    <w:rsid w:val="00B72C51"/>
    <w:rsid w:val="00B7422C"/>
    <w:rsid w:val="00B806EA"/>
    <w:rsid w:val="00B80715"/>
    <w:rsid w:val="00B81E55"/>
    <w:rsid w:val="00B82989"/>
    <w:rsid w:val="00B835F6"/>
    <w:rsid w:val="00B85D74"/>
    <w:rsid w:val="00B866A0"/>
    <w:rsid w:val="00B8720E"/>
    <w:rsid w:val="00B930D1"/>
    <w:rsid w:val="00B9326D"/>
    <w:rsid w:val="00BA1BB0"/>
    <w:rsid w:val="00BA2A84"/>
    <w:rsid w:val="00BA2EEC"/>
    <w:rsid w:val="00BA44AA"/>
    <w:rsid w:val="00BA6D6B"/>
    <w:rsid w:val="00BB040F"/>
    <w:rsid w:val="00BB2862"/>
    <w:rsid w:val="00BB2FBA"/>
    <w:rsid w:val="00BB3D9D"/>
    <w:rsid w:val="00BB4DF0"/>
    <w:rsid w:val="00BC1C0D"/>
    <w:rsid w:val="00BC2D0F"/>
    <w:rsid w:val="00BC6891"/>
    <w:rsid w:val="00BC70EE"/>
    <w:rsid w:val="00BD04BF"/>
    <w:rsid w:val="00BD1A86"/>
    <w:rsid w:val="00BD219A"/>
    <w:rsid w:val="00BD70A9"/>
    <w:rsid w:val="00BE1B8D"/>
    <w:rsid w:val="00BE2166"/>
    <w:rsid w:val="00BE259C"/>
    <w:rsid w:val="00BE437D"/>
    <w:rsid w:val="00BF087A"/>
    <w:rsid w:val="00BF0DF0"/>
    <w:rsid w:val="00BF2AB3"/>
    <w:rsid w:val="00BF4246"/>
    <w:rsid w:val="00BF5082"/>
    <w:rsid w:val="00BF59C4"/>
    <w:rsid w:val="00BF7F8D"/>
    <w:rsid w:val="00C02232"/>
    <w:rsid w:val="00C026C0"/>
    <w:rsid w:val="00C06FA4"/>
    <w:rsid w:val="00C10779"/>
    <w:rsid w:val="00C11590"/>
    <w:rsid w:val="00C12AF4"/>
    <w:rsid w:val="00C16D76"/>
    <w:rsid w:val="00C170AF"/>
    <w:rsid w:val="00C17EB6"/>
    <w:rsid w:val="00C20137"/>
    <w:rsid w:val="00C217CC"/>
    <w:rsid w:val="00C23368"/>
    <w:rsid w:val="00C23878"/>
    <w:rsid w:val="00C247D9"/>
    <w:rsid w:val="00C255DE"/>
    <w:rsid w:val="00C2607F"/>
    <w:rsid w:val="00C262FE"/>
    <w:rsid w:val="00C31DC7"/>
    <w:rsid w:val="00C34A3A"/>
    <w:rsid w:val="00C3677B"/>
    <w:rsid w:val="00C36D37"/>
    <w:rsid w:val="00C3758C"/>
    <w:rsid w:val="00C376C6"/>
    <w:rsid w:val="00C40EFE"/>
    <w:rsid w:val="00C41C33"/>
    <w:rsid w:val="00C42737"/>
    <w:rsid w:val="00C4584E"/>
    <w:rsid w:val="00C45C20"/>
    <w:rsid w:val="00C47387"/>
    <w:rsid w:val="00C475C3"/>
    <w:rsid w:val="00C50D20"/>
    <w:rsid w:val="00C52011"/>
    <w:rsid w:val="00C54507"/>
    <w:rsid w:val="00C55752"/>
    <w:rsid w:val="00C60988"/>
    <w:rsid w:val="00C62241"/>
    <w:rsid w:val="00C66C53"/>
    <w:rsid w:val="00C6727C"/>
    <w:rsid w:val="00C6771D"/>
    <w:rsid w:val="00C71129"/>
    <w:rsid w:val="00C7246C"/>
    <w:rsid w:val="00C763F5"/>
    <w:rsid w:val="00C85D3F"/>
    <w:rsid w:val="00C91607"/>
    <w:rsid w:val="00C91928"/>
    <w:rsid w:val="00C93D94"/>
    <w:rsid w:val="00C97514"/>
    <w:rsid w:val="00CA284C"/>
    <w:rsid w:val="00CA4FB3"/>
    <w:rsid w:val="00CB0681"/>
    <w:rsid w:val="00CB14E9"/>
    <w:rsid w:val="00CB3A1F"/>
    <w:rsid w:val="00CB3ADE"/>
    <w:rsid w:val="00CB4D16"/>
    <w:rsid w:val="00CC0AE0"/>
    <w:rsid w:val="00CC44CE"/>
    <w:rsid w:val="00CC76A0"/>
    <w:rsid w:val="00CD4299"/>
    <w:rsid w:val="00CD4CCC"/>
    <w:rsid w:val="00CD500D"/>
    <w:rsid w:val="00CD50BF"/>
    <w:rsid w:val="00CD7229"/>
    <w:rsid w:val="00CE2A2D"/>
    <w:rsid w:val="00CE357F"/>
    <w:rsid w:val="00CE3E40"/>
    <w:rsid w:val="00CE71BA"/>
    <w:rsid w:val="00CE78DF"/>
    <w:rsid w:val="00CF163A"/>
    <w:rsid w:val="00CF312D"/>
    <w:rsid w:val="00CF3795"/>
    <w:rsid w:val="00CF3D68"/>
    <w:rsid w:val="00CF47B5"/>
    <w:rsid w:val="00CF4C53"/>
    <w:rsid w:val="00CF5826"/>
    <w:rsid w:val="00CF7F16"/>
    <w:rsid w:val="00D0190F"/>
    <w:rsid w:val="00D049E1"/>
    <w:rsid w:val="00D0534E"/>
    <w:rsid w:val="00D05948"/>
    <w:rsid w:val="00D065EF"/>
    <w:rsid w:val="00D06C67"/>
    <w:rsid w:val="00D07E6E"/>
    <w:rsid w:val="00D109D4"/>
    <w:rsid w:val="00D1200B"/>
    <w:rsid w:val="00D12B75"/>
    <w:rsid w:val="00D15CC3"/>
    <w:rsid w:val="00D15D03"/>
    <w:rsid w:val="00D2079F"/>
    <w:rsid w:val="00D215BF"/>
    <w:rsid w:val="00D30F58"/>
    <w:rsid w:val="00D310A6"/>
    <w:rsid w:val="00D31A34"/>
    <w:rsid w:val="00D3440D"/>
    <w:rsid w:val="00D37215"/>
    <w:rsid w:val="00D4656B"/>
    <w:rsid w:val="00D46663"/>
    <w:rsid w:val="00D517FE"/>
    <w:rsid w:val="00D520F3"/>
    <w:rsid w:val="00D53BC3"/>
    <w:rsid w:val="00D53EE1"/>
    <w:rsid w:val="00D555F9"/>
    <w:rsid w:val="00D55FBE"/>
    <w:rsid w:val="00D562C4"/>
    <w:rsid w:val="00D56D85"/>
    <w:rsid w:val="00D60753"/>
    <w:rsid w:val="00D6096E"/>
    <w:rsid w:val="00D61BB6"/>
    <w:rsid w:val="00D62C17"/>
    <w:rsid w:val="00D63157"/>
    <w:rsid w:val="00D63247"/>
    <w:rsid w:val="00D6632A"/>
    <w:rsid w:val="00D66B03"/>
    <w:rsid w:val="00D66EBD"/>
    <w:rsid w:val="00D67835"/>
    <w:rsid w:val="00D6793F"/>
    <w:rsid w:val="00D67A3B"/>
    <w:rsid w:val="00D67E2F"/>
    <w:rsid w:val="00D70A26"/>
    <w:rsid w:val="00D73A64"/>
    <w:rsid w:val="00D757FD"/>
    <w:rsid w:val="00D767BD"/>
    <w:rsid w:val="00D80F97"/>
    <w:rsid w:val="00D85C99"/>
    <w:rsid w:val="00D91303"/>
    <w:rsid w:val="00D9393E"/>
    <w:rsid w:val="00D94D96"/>
    <w:rsid w:val="00D9617E"/>
    <w:rsid w:val="00D96BA1"/>
    <w:rsid w:val="00DA02DE"/>
    <w:rsid w:val="00DA2E14"/>
    <w:rsid w:val="00DA44EB"/>
    <w:rsid w:val="00DA5F46"/>
    <w:rsid w:val="00DB125C"/>
    <w:rsid w:val="00DB170D"/>
    <w:rsid w:val="00DB3612"/>
    <w:rsid w:val="00DC0CF3"/>
    <w:rsid w:val="00DC2316"/>
    <w:rsid w:val="00DC24F5"/>
    <w:rsid w:val="00DC28BC"/>
    <w:rsid w:val="00DC3CDC"/>
    <w:rsid w:val="00DC45B9"/>
    <w:rsid w:val="00DC5203"/>
    <w:rsid w:val="00DC5ED7"/>
    <w:rsid w:val="00DC6A58"/>
    <w:rsid w:val="00DC75A7"/>
    <w:rsid w:val="00DD0759"/>
    <w:rsid w:val="00DD0E3F"/>
    <w:rsid w:val="00DD10B0"/>
    <w:rsid w:val="00DD36A6"/>
    <w:rsid w:val="00DD4753"/>
    <w:rsid w:val="00DD4C92"/>
    <w:rsid w:val="00DD715D"/>
    <w:rsid w:val="00DE107A"/>
    <w:rsid w:val="00DE56F4"/>
    <w:rsid w:val="00DE719C"/>
    <w:rsid w:val="00DE7597"/>
    <w:rsid w:val="00DF0089"/>
    <w:rsid w:val="00DF1BAB"/>
    <w:rsid w:val="00DF2419"/>
    <w:rsid w:val="00DF3041"/>
    <w:rsid w:val="00DF7430"/>
    <w:rsid w:val="00E006ED"/>
    <w:rsid w:val="00E118F1"/>
    <w:rsid w:val="00E1313E"/>
    <w:rsid w:val="00E13C2C"/>
    <w:rsid w:val="00E13F6A"/>
    <w:rsid w:val="00E1441C"/>
    <w:rsid w:val="00E154DD"/>
    <w:rsid w:val="00E15F9A"/>
    <w:rsid w:val="00E1651D"/>
    <w:rsid w:val="00E17404"/>
    <w:rsid w:val="00E209CD"/>
    <w:rsid w:val="00E20FE9"/>
    <w:rsid w:val="00E228D9"/>
    <w:rsid w:val="00E23E3A"/>
    <w:rsid w:val="00E2516C"/>
    <w:rsid w:val="00E25937"/>
    <w:rsid w:val="00E264F3"/>
    <w:rsid w:val="00E30EC7"/>
    <w:rsid w:val="00E32FA2"/>
    <w:rsid w:val="00E33570"/>
    <w:rsid w:val="00E34BE7"/>
    <w:rsid w:val="00E366C2"/>
    <w:rsid w:val="00E41360"/>
    <w:rsid w:val="00E4306E"/>
    <w:rsid w:val="00E4379D"/>
    <w:rsid w:val="00E45FAE"/>
    <w:rsid w:val="00E46A4F"/>
    <w:rsid w:val="00E476AA"/>
    <w:rsid w:val="00E51088"/>
    <w:rsid w:val="00E5297A"/>
    <w:rsid w:val="00E541C8"/>
    <w:rsid w:val="00E54B88"/>
    <w:rsid w:val="00E55F93"/>
    <w:rsid w:val="00E56229"/>
    <w:rsid w:val="00E568AB"/>
    <w:rsid w:val="00E632C8"/>
    <w:rsid w:val="00E66FB2"/>
    <w:rsid w:val="00E67CE3"/>
    <w:rsid w:val="00E7005B"/>
    <w:rsid w:val="00E719EE"/>
    <w:rsid w:val="00E7798D"/>
    <w:rsid w:val="00E77A6B"/>
    <w:rsid w:val="00E77E77"/>
    <w:rsid w:val="00E808D5"/>
    <w:rsid w:val="00E81FC9"/>
    <w:rsid w:val="00E84EE2"/>
    <w:rsid w:val="00E87BFC"/>
    <w:rsid w:val="00E9022C"/>
    <w:rsid w:val="00E903BA"/>
    <w:rsid w:val="00E94BD2"/>
    <w:rsid w:val="00E95339"/>
    <w:rsid w:val="00E95550"/>
    <w:rsid w:val="00E9750E"/>
    <w:rsid w:val="00EA186A"/>
    <w:rsid w:val="00EA2A41"/>
    <w:rsid w:val="00EA3504"/>
    <w:rsid w:val="00EA3CBA"/>
    <w:rsid w:val="00EA4A74"/>
    <w:rsid w:val="00EA6957"/>
    <w:rsid w:val="00EA7129"/>
    <w:rsid w:val="00EB245F"/>
    <w:rsid w:val="00EB29DA"/>
    <w:rsid w:val="00EB5D92"/>
    <w:rsid w:val="00EC0299"/>
    <w:rsid w:val="00EC02B1"/>
    <w:rsid w:val="00EC14EC"/>
    <w:rsid w:val="00EC1FAB"/>
    <w:rsid w:val="00EC32C3"/>
    <w:rsid w:val="00EC34D4"/>
    <w:rsid w:val="00EC3CF5"/>
    <w:rsid w:val="00EC6552"/>
    <w:rsid w:val="00ED1498"/>
    <w:rsid w:val="00ED2101"/>
    <w:rsid w:val="00ED2293"/>
    <w:rsid w:val="00ED2EEE"/>
    <w:rsid w:val="00ED41C4"/>
    <w:rsid w:val="00ED5E27"/>
    <w:rsid w:val="00EE084C"/>
    <w:rsid w:val="00EE1617"/>
    <w:rsid w:val="00EE2E58"/>
    <w:rsid w:val="00EE3390"/>
    <w:rsid w:val="00EE3CBC"/>
    <w:rsid w:val="00EE43AF"/>
    <w:rsid w:val="00EE4AD8"/>
    <w:rsid w:val="00EE62B2"/>
    <w:rsid w:val="00EF3D36"/>
    <w:rsid w:val="00EF5C07"/>
    <w:rsid w:val="00EF5D43"/>
    <w:rsid w:val="00EF6A55"/>
    <w:rsid w:val="00EF73B7"/>
    <w:rsid w:val="00EF74F4"/>
    <w:rsid w:val="00F00328"/>
    <w:rsid w:val="00F009E6"/>
    <w:rsid w:val="00F033F5"/>
    <w:rsid w:val="00F052B7"/>
    <w:rsid w:val="00F075B0"/>
    <w:rsid w:val="00F07DDB"/>
    <w:rsid w:val="00F10A75"/>
    <w:rsid w:val="00F112B7"/>
    <w:rsid w:val="00F1264F"/>
    <w:rsid w:val="00F127A2"/>
    <w:rsid w:val="00F13ADF"/>
    <w:rsid w:val="00F165F6"/>
    <w:rsid w:val="00F16D8B"/>
    <w:rsid w:val="00F174D8"/>
    <w:rsid w:val="00F2412E"/>
    <w:rsid w:val="00F24241"/>
    <w:rsid w:val="00F24C57"/>
    <w:rsid w:val="00F2571A"/>
    <w:rsid w:val="00F26E6D"/>
    <w:rsid w:val="00F30E98"/>
    <w:rsid w:val="00F32F86"/>
    <w:rsid w:val="00F347A5"/>
    <w:rsid w:val="00F34FE0"/>
    <w:rsid w:val="00F3523E"/>
    <w:rsid w:val="00F35C77"/>
    <w:rsid w:val="00F366F2"/>
    <w:rsid w:val="00F3725E"/>
    <w:rsid w:val="00F4189D"/>
    <w:rsid w:val="00F433ED"/>
    <w:rsid w:val="00F44689"/>
    <w:rsid w:val="00F44E6E"/>
    <w:rsid w:val="00F45357"/>
    <w:rsid w:val="00F457FC"/>
    <w:rsid w:val="00F53948"/>
    <w:rsid w:val="00F56823"/>
    <w:rsid w:val="00F57977"/>
    <w:rsid w:val="00F600F1"/>
    <w:rsid w:val="00F61F28"/>
    <w:rsid w:val="00F63D71"/>
    <w:rsid w:val="00F64165"/>
    <w:rsid w:val="00F66BC0"/>
    <w:rsid w:val="00F67E03"/>
    <w:rsid w:val="00F70015"/>
    <w:rsid w:val="00F71F72"/>
    <w:rsid w:val="00F74619"/>
    <w:rsid w:val="00F76027"/>
    <w:rsid w:val="00F76E9D"/>
    <w:rsid w:val="00F77DF4"/>
    <w:rsid w:val="00F83922"/>
    <w:rsid w:val="00F84177"/>
    <w:rsid w:val="00F8685B"/>
    <w:rsid w:val="00F86F01"/>
    <w:rsid w:val="00F91942"/>
    <w:rsid w:val="00F93E90"/>
    <w:rsid w:val="00F951BF"/>
    <w:rsid w:val="00F95782"/>
    <w:rsid w:val="00FA0D52"/>
    <w:rsid w:val="00FA1848"/>
    <w:rsid w:val="00FA1902"/>
    <w:rsid w:val="00FA22D7"/>
    <w:rsid w:val="00FA2445"/>
    <w:rsid w:val="00FA4B42"/>
    <w:rsid w:val="00FA6454"/>
    <w:rsid w:val="00FA6AB1"/>
    <w:rsid w:val="00FA7BD3"/>
    <w:rsid w:val="00FB064F"/>
    <w:rsid w:val="00FB1A8E"/>
    <w:rsid w:val="00FB4894"/>
    <w:rsid w:val="00FB48D7"/>
    <w:rsid w:val="00FC26BE"/>
    <w:rsid w:val="00FC3D16"/>
    <w:rsid w:val="00FC4A91"/>
    <w:rsid w:val="00FC520E"/>
    <w:rsid w:val="00FC6D1D"/>
    <w:rsid w:val="00FC7B65"/>
    <w:rsid w:val="00FC7EA0"/>
    <w:rsid w:val="00FD1BBA"/>
    <w:rsid w:val="00FD3F4E"/>
    <w:rsid w:val="00FD5BC1"/>
    <w:rsid w:val="00FD61B5"/>
    <w:rsid w:val="00FD6BAB"/>
    <w:rsid w:val="00FD7458"/>
    <w:rsid w:val="00FE0538"/>
    <w:rsid w:val="00FE053E"/>
    <w:rsid w:val="00FE28A1"/>
    <w:rsid w:val="00FE3449"/>
    <w:rsid w:val="00FE3F1C"/>
    <w:rsid w:val="00FF063C"/>
    <w:rsid w:val="00FF2DD4"/>
    <w:rsid w:val="00FF46AF"/>
    <w:rsid w:val="00FF5F33"/>
    <w:rsid w:val="01024582"/>
    <w:rsid w:val="015735EE"/>
    <w:rsid w:val="017486DD"/>
    <w:rsid w:val="01AC9E42"/>
    <w:rsid w:val="01EA2D4E"/>
    <w:rsid w:val="01EFA161"/>
    <w:rsid w:val="02FFBB23"/>
    <w:rsid w:val="031A8761"/>
    <w:rsid w:val="032FB79A"/>
    <w:rsid w:val="03795AF3"/>
    <w:rsid w:val="038420B3"/>
    <w:rsid w:val="03C7E078"/>
    <w:rsid w:val="0430FF6D"/>
    <w:rsid w:val="048B6632"/>
    <w:rsid w:val="04A2F556"/>
    <w:rsid w:val="04E64743"/>
    <w:rsid w:val="04F11D9A"/>
    <w:rsid w:val="057F22ED"/>
    <w:rsid w:val="07250910"/>
    <w:rsid w:val="07379572"/>
    <w:rsid w:val="073BB7FA"/>
    <w:rsid w:val="078CCF92"/>
    <w:rsid w:val="07BA6EB1"/>
    <w:rsid w:val="0867A402"/>
    <w:rsid w:val="08B9EADD"/>
    <w:rsid w:val="08EAAE30"/>
    <w:rsid w:val="090D2411"/>
    <w:rsid w:val="0923462C"/>
    <w:rsid w:val="093AB1BF"/>
    <w:rsid w:val="09BD3FF1"/>
    <w:rsid w:val="0A26FAA5"/>
    <w:rsid w:val="0A56BE88"/>
    <w:rsid w:val="0AB3BCE9"/>
    <w:rsid w:val="0B1C3958"/>
    <w:rsid w:val="0BE19E74"/>
    <w:rsid w:val="0C441AC9"/>
    <w:rsid w:val="0E27E167"/>
    <w:rsid w:val="0E5229B4"/>
    <w:rsid w:val="0EB41628"/>
    <w:rsid w:val="0EBC2DAA"/>
    <w:rsid w:val="0F1C38AE"/>
    <w:rsid w:val="0F3F6F74"/>
    <w:rsid w:val="0F4C9E2E"/>
    <w:rsid w:val="1016D4E9"/>
    <w:rsid w:val="1044857A"/>
    <w:rsid w:val="1098FB5F"/>
    <w:rsid w:val="10C30117"/>
    <w:rsid w:val="10E7996B"/>
    <w:rsid w:val="10F5D811"/>
    <w:rsid w:val="11A52E96"/>
    <w:rsid w:val="11D5FE1E"/>
    <w:rsid w:val="121B8984"/>
    <w:rsid w:val="1242DF69"/>
    <w:rsid w:val="125B5EAD"/>
    <w:rsid w:val="126433D5"/>
    <w:rsid w:val="12690B27"/>
    <w:rsid w:val="1283262B"/>
    <w:rsid w:val="14838F8F"/>
    <w:rsid w:val="14B1D70E"/>
    <w:rsid w:val="14DE1773"/>
    <w:rsid w:val="1535E8A1"/>
    <w:rsid w:val="1555B0BA"/>
    <w:rsid w:val="15B050A1"/>
    <w:rsid w:val="15CE9D0D"/>
    <w:rsid w:val="15FE8871"/>
    <w:rsid w:val="1652BEFC"/>
    <w:rsid w:val="167B09D7"/>
    <w:rsid w:val="16C9743D"/>
    <w:rsid w:val="17C995D2"/>
    <w:rsid w:val="18086FC2"/>
    <w:rsid w:val="180DE0DA"/>
    <w:rsid w:val="18D49EDA"/>
    <w:rsid w:val="190E41BE"/>
    <w:rsid w:val="1973636B"/>
    <w:rsid w:val="19771FF6"/>
    <w:rsid w:val="1A5A21E9"/>
    <w:rsid w:val="1ADAA0B8"/>
    <w:rsid w:val="1ADB3144"/>
    <w:rsid w:val="1AE5D62F"/>
    <w:rsid w:val="1AFC7753"/>
    <w:rsid w:val="1C2DB281"/>
    <w:rsid w:val="1C6DB5FE"/>
    <w:rsid w:val="1C8079C3"/>
    <w:rsid w:val="1CD3E8FA"/>
    <w:rsid w:val="1D735836"/>
    <w:rsid w:val="1DA9DFCC"/>
    <w:rsid w:val="1DF6563D"/>
    <w:rsid w:val="1F092B9B"/>
    <w:rsid w:val="1F7BB3C2"/>
    <w:rsid w:val="1F96261C"/>
    <w:rsid w:val="2034246D"/>
    <w:rsid w:val="206851F8"/>
    <w:rsid w:val="20BDC42F"/>
    <w:rsid w:val="20FE23F1"/>
    <w:rsid w:val="2117AEE0"/>
    <w:rsid w:val="2131F67D"/>
    <w:rsid w:val="218FC437"/>
    <w:rsid w:val="21CFF4CE"/>
    <w:rsid w:val="21D693AD"/>
    <w:rsid w:val="220022F6"/>
    <w:rsid w:val="2208A55B"/>
    <w:rsid w:val="227F5EEA"/>
    <w:rsid w:val="2292234B"/>
    <w:rsid w:val="233F427F"/>
    <w:rsid w:val="23D07CF3"/>
    <w:rsid w:val="243B2611"/>
    <w:rsid w:val="24448C80"/>
    <w:rsid w:val="2460258F"/>
    <w:rsid w:val="247B238F"/>
    <w:rsid w:val="24FA9120"/>
    <w:rsid w:val="25139A0C"/>
    <w:rsid w:val="254B431D"/>
    <w:rsid w:val="2574D7D2"/>
    <w:rsid w:val="2575A651"/>
    <w:rsid w:val="25D46119"/>
    <w:rsid w:val="26115457"/>
    <w:rsid w:val="262F795B"/>
    <w:rsid w:val="2645E051"/>
    <w:rsid w:val="2646C20C"/>
    <w:rsid w:val="26710354"/>
    <w:rsid w:val="276D6C88"/>
    <w:rsid w:val="2790CBBD"/>
    <w:rsid w:val="27C9B827"/>
    <w:rsid w:val="28846955"/>
    <w:rsid w:val="28C4862E"/>
    <w:rsid w:val="29799575"/>
    <w:rsid w:val="29D65484"/>
    <w:rsid w:val="29EBDEFE"/>
    <w:rsid w:val="2A28C5DF"/>
    <w:rsid w:val="2A4EA701"/>
    <w:rsid w:val="2AC9A92B"/>
    <w:rsid w:val="2AE1BC1C"/>
    <w:rsid w:val="2AE833DF"/>
    <w:rsid w:val="2B153326"/>
    <w:rsid w:val="2BD62295"/>
    <w:rsid w:val="2C3091C7"/>
    <w:rsid w:val="2C418269"/>
    <w:rsid w:val="2CA1ACEF"/>
    <w:rsid w:val="2D30089B"/>
    <w:rsid w:val="2D85BF5C"/>
    <w:rsid w:val="2DADE2C4"/>
    <w:rsid w:val="2E13D2E5"/>
    <w:rsid w:val="2EA13091"/>
    <w:rsid w:val="2F288733"/>
    <w:rsid w:val="2F40E13A"/>
    <w:rsid w:val="2F93CE4A"/>
    <w:rsid w:val="2F94834A"/>
    <w:rsid w:val="2FB1C162"/>
    <w:rsid w:val="2FE41756"/>
    <w:rsid w:val="30021274"/>
    <w:rsid w:val="3021FCFD"/>
    <w:rsid w:val="303ED806"/>
    <w:rsid w:val="30962F92"/>
    <w:rsid w:val="30C4D6D6"/>
    <w:rsid w:val="314F10BE"/>
    <w:rsid w:val="31562E84"/>
    <w:rsid w:val="316C99FE"/>
    <w:rsid w:val="3178C47A"/>
    <w:rsid w:val="317BF2EC"/>
    <w:rsid w:val="318A7D8D"/>
    <w:rsid w:val="31FA9C72"/>
    <w:rsid w:val="3214D366"/>
    <w:rsid w:val="323E2110"/>
    <w:rsid w:val="329110C6"/>
    <w:rsid w:val="329E003A"/>
    <w:rsid w:val="32AEF6F9"/>
    <w:rsid w:val="330C3990"/>
    <w:rsid w:val="33117F23"/>
    <w:rsid w:val="3342598E"/>
    <w:rsid w:val="33466FE7"/>
    <w:rsid w:val="335B8B4C"/>
    <w:rsid w:val="33FB5AB6"/>
    <w:rsid w:val="3403FE5C"/>
    <w:rsid w:val="34586BD5"/>
    <w:rsid w:val="3461527D"/>
    <w:rsid w:val="347AF391"/>
    <w:rsid w:val="34D292D0"/>
    <w:rsid w:val="34E90A9B"/>
    <w:rsid w:val="350D1BF0"/>
    <w:rsid w:val="35342D4B"/>
    <w:rsid w:val="354DA0A1"/>
    <w:rsid w:val="35940996"/>
    <w:rsid w:val="35F100BD"/>
    <w:rsid w:val="36746A80"/>
    <w:rsid w:val="36DFC327"/>
    <w:rsid w:val="3721A1E0"/>
    <w:rsid w:val="372D11C3"/>
    <w:rsid w:val="3744178E"/>
    <w:rsid w:val="379EC5E7"/>
    <w:rsid w:val="385102DE"/>
    <w:rsid w:val="38E94522"/>
    <w:rsid w:val="391293D8"/>
    <w:rsid w:val="3933B573"/>
    <w:rsid w:val="395AAA7C"/>
    <w:rsid w:val="396341EA"/>
    <w:rsid w:val="39959875"/>
    <w:rsid w:val="39CE57AF"/>
    <w:rsid w:val="39E6EAAD"/>
    <w:rsid w:val="3A517B10"/>
    <w:rsid w:val="3B703397"/>
    <w:rsid w:val="3C2108FC"/>
    <w:rsid w:val="3CD0CEB1"/>
    <w:rsid w:val="3CF72071"/>
    <w:rsid w:val="3D1F41D4"/>
    <w:rsid w:val="3D4F06C6"/>
    <w:rsid w:val="3D5B8AE4"/>
    <w:rsid w:val="3D5D8D93"/>
    <w:rsid w:val="3D75F8EE"/>
    <w:rsid w:val="3D86B661"/>
    <w:rsid w:val="3D90BB30"/>
    <w:rsid w:val="3DE896CC"/>
    <w:rsid w:val="3EB7F235"/>
    <w:rsid w:val="3F946CCC"/>
    <w:rsid w:val="3FA6CB22"/>
    <w:rsid w:val="40E7796F"/>
    <w:rsid w:val="413B26F9"/>
    <w:rsid w:val="4187710D"/>
    <w:rsid w:val="42147BCE"/>
    <w:rsid w:val="421FBBDD"/>
    <w:rsid w:val="42DA6E60"/>
    <w:rsid w:val="42EAAB09"/>
    <w:rsid w:val="43087097"/>
    <w:rsid w:val="436BBE1D"/>
    <w:rsid w:val="4466E818"/>
    <w:rsid w:val="44A440F8"/>
    <w:rsid w:val="44C6DDC9"/>
    <w:rsid w:val="44D3E163"/>
    <w:rsid w:val="44ECFFC2"/>
    <w:rsid w:val="451C98B2"/>
    <w:rsid w:val="45584C0B"/>
    <w:rsid w:val="457ED4BA"/>
    <w:rsid w:val="45C688F0"/>
    <w:rsid w:val="45E87064"/>
    <w:rsid w:val="45F92E0F"/>
    <w:rsid w:val="461DD00E"/>
    <w:rsid w:val="4693B25A"/>
    <w:rsid w:val="46BD4546"/>
    <w:rsid w:val="46E24FE5"/>
    <w:rsid w:val="46FE22F3"/>
    <w:rsid w:val="47D15AC8"/>
    <w:rsid w:val="482062EF"/>
    <w:rsid w:val="4820A478"/>
    <w:rsid w:val="4885E47E"/>
    <w:rsid w:val="48937C61"/>
    <w:rsid w:val="48B17555"/>
    <w:rsid w:val="48C5E9FD"/>
    <w:rsid w:val="48D6596D"/>
    <w:rsid w:val="495E27D3"/>
    <w:rsid w:val="4982642A"/>
    <w:rsid w:val="49C884AE"/>
    <w:rsid w:val="4A28B6D5"/>
    <w:rsid w:val="4A91637C"/>
    <w:rsid w:val="4ABF3BFE"/>
    <w:rsid w:val="4BA5DBDC"/>
    <w:rsid w:val="4BAD373D"/>
    <w:rsid w:val="4BB374C4"/>
    <w:rsid w:val="4CA690C9"/>
    <w:rsid w:val="4CEA66BD"/>
    <w:rsid w:val="4D15A3BD"/>
    <w:rsid w:val="4D1B0A9D"/>
    <w:rsid w:val="4D68DF53"/>
    <w:rsid w:val="4DD8760F"/>
    <w:rsid w:val="4E0C29F5"/>
    <w:rsid w:val="4E29BCC3"/>
    <w:rsid w:val="4E4A4B36"/>
    <w:rsid w:val="4E6353B2"/>
    <w:rsid w:val="4EFEB33C"/>
    <w:rsid w:val="4F4B437B"/>
    <w:rsid w:val="4F565C36"/>
    <w:rsid w:val="4FA382CB"/>
    <w:rsid w:val="4FB0B149"/>
    <w:rsid w:val="4FB474BE"/>
    <w:rsid w:val="4FFD39D7"/>
    <w:rsid w:val="50106254"/>
    <w:rsid w:val="5060353C"/>
    <w:rsid w:val="50C94054"/>
    <w:rsid w:val="517F7F0C"/>
    <w:rsid w:val="518B3CFB"/>
    <w:rsid w:val="51AC39E3"/>
    <w:rsid w:val="51E5D767"/>
    <w:rsid w:val="52A768F6"/>
    <w:rsid w:val="5381E729"/>
    <w:rsid w:val="53931590"/>
    <w:rsid w:val="53A1C8C1"/>
    <w:rsid w:val="53B9C219"/>
    <w:rsid w:val="53C6485F"/>
    <w:rsid w:val="5423AE61"/>
    <w:rsid w:val="55A8F8AB"/>
    <w:rsid w:val="5613463B"/>
    <w:rsid w:val="578AB51D"/>
    <w:rsid w:val="57BC998B"/>
    <w:rsid w:val="584DFDF7"/>
    <w:rsid w:val="5861490C"/>
    <w:rsid w:val="58A6A637"/>
    <w:rsid w:val="58ACB06C"/>
    <w:rsid w:val="58BB3675"/>
    <w:rsid w:val="5930C7C3"/>
    <w:rsid w:val="5936B740"/>
    <w:rsid w:val="5994D878"/>
    <w:rsid w:val="59F08022"/>
    <w:rsid w:val="5A58A728"/>
    <w:rsid w:val="5AE902E7"/>
    <w:rsid w:val="5AEF6E32"/>
    <w:rsid w:val="5B4813EA"/>
    <w:rsid w:val="5B4C7593"/>
    <w:rsid w:val="5BE14554"/>
    <w:rsid w:val="5C0D6E9F"/>
    <w:rsid w:val="5C2E94FF"/>
    <w:rsid w:val="5C4453AD"/>
    <w:rsid w:val="5CC703C3"/>
    <w:rsid w:val="5D6C4B2D"/>
    <w:rsid w:val="5DCD7543"/>
    <w:rsid w:val="5E0B1AFA"/>
    <w:rsid w:val="5F6804BF"/>
    <w:rsid w:val="5FD29497"/>
    <w:rsid w:val="6039B48D"/>
    <w:rsid w:val="605642BD"/>
    <w:rsid w:val="6095069B"/>
    <w:rsid w:val="6096AE1B"/>
    <w:rsid w:val="60BBA134"/>
    <w:rsid w:val="60DEB776"/>
    <w:rsid w:val="610AF642"/>
    <w:rsid w:val="6177E207"/>
    <w:rsid w:val="618DB60E"/>
    <w:rsid w:val="62596315"/>
    <w:rsid w:val="627A915A"/>
    <w:rsid w:val="6297AD63"/>
    <w:rsid w:val="62CC3C9E"/>
    <w:rsid w:val="6306EC1E"/>
    <w:rsid w:val="637DA87D"/>
    <w:rsid w:val="63D3D8FC"/>
    <w:rsid w:val="64B4CE43"/>
    <w:rsid w:val="64CF7016"/>
    <w:rsid w:val="65BC3059"/>
    <w:rsid w:val="672E845C"/>
    <w:rsid w:val="67CF5F68"/>
    <w:rsid w:val="68A89381"/>
    <w:rsid w:val="6991794D"/>
    <w:rsid w:val="69DBED24"/>
    <w:rsid w:val="69DDBE24"/>
    <w:rsid w:val="69FA4D33"/>
    <w:rsid w:val="6A35E5BF"/>
    <w:rsid w:val="6A37F231"/>
    <w:rsid w:val="6A926EC6"/>
    <w:rsid w:val="6AA8C8DE"/>
    <w:rsid w:val="6AAD2659"/>
    <w:rsid w:val="6ADBF774"/>
    <w:rsid w:val="6B4A1F48"/>
    <w:rsid w:val="6B630E34"/>
    <w:rsid w:val="6B782A52"/>
    <w:rsid w:val="6B850A53"/>
    <w:rsid w:val="6C8E455A"/>
    <w:rsid w:val="6CD5C580"/>
    <w:rsid w:val="6CD9CA53"/>
    <w:rsid w:val="6D109989"/>
    <w:rsid w:val="6D26AC7B"/>
    <w:rsid w:val="6D774346"/>
    <w:rsid w:val="6D931376"/>
    <w:rsid w:val="6DC232AC"/>
    <w:rsid w:val="6E2C07C1"/>
    <w:rsid w:val="6E472578"/>
    <w:rsid w:val="6E65FE25"/>
    <w:rsid w:val="6EBADCF8"/>
    <w:rsid w:val="6EEEEC48"/>
    <w:rsid w:val="6F7244FF"/>
    <w:rsid w:val="6FB61D37"/>
    <w:rsid w:val="7024C511"/>
    <w:rsid w:val="7047F0C7"/>
    <w:rsid w:val="70AAC178"/>
    <w:rsid w:val="711C7357"/>
    <w:rsid w:val="71294B87"/>
    <w:rsid w:val="714DD6B8"/>
    <w:rsid w:val="73029135"/>
    <w:rsid w:val="739C2011"/>
    <w:rsid w:val="74610E1B"/>
    <w:rsid w:val="7491C828"/>
    <w:rsid w:val="74D1B0FE"/>
    <w:rsid w:val="74EA2D23"/>
    <w:rsid w:val="75C7821A"/>
    <w:rsid w:val="75CE9229"/>
    <w:rsid w:val="7615191E"/>
    <w:rsid w:val="765946B6"/>
    <w:rsid w:val="7697BF30"/>
    <w:rsid w:val="77482748"/>
    <w:rsid w:val="77C97C04"/>
    <w:rsid w:val="77F0A3F3"/>
    <w:rsid w:val="781EFE68"/>
    <w:rsid w:val="78272E27"/>
    <w:rsid w:val="78FC9541"/>
    <w:rsid w:val="7902B6D7"/>
    <w:rsid w:val="79085C09"/>
    <w:rsid w:val="79E3DA24"/>
    <w:rsid w:val="7A04E5AD"/>
    <w:rsid w:val="7A0C0E2C"/>
    <w:rsid w:val="7A35B1F1"/>
    <w:rsid w:val="7A8A1D0D"/>
    <w:rsid w:val="7AD05C78"/>
    <w:rsid w:val="7AE0E866"/>
    <w:rsid w:val="7B07472B"/>
    <w:rsid w:val="7B090B42"/>
    <w:rsid w:val="7B0FE289"/>
    <w:rsid w:val="7B58C445"/>
    <w:rsid w:val="7B597429"/>
    <w:rsid w:val="7BD073E3"/>
    <w:rsid w:val="7C15D8B6"/>
    <w:rsid w:val="7C3C0FB0"/>
    <w:rsid w:val="7C804E14"/>
    <w:rsid w:val="7CC7BF57"/>
    <w:rsid w:val="7CE4CED1"/>
    <w:rsid w:val="7D768312"/>
    <w:rsid w:val="7D97905F"/>
    <w:rsid w:val="7DE39459"/>
    <w:rsid w:val="7DF85BCA"/>
    <w:rsid w:val="7E4B125D"/>
    <w:rsid w:val="7EB3D6BD"/>
    <w:rsid w:val="7F96DC09"/>
    <w:rsid w:val="7FB22C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09D3B"/>
  <w15:docId w15:val="{6B538574-BD5B-4B6B-86F0-7504C7DE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09E0"/>
    <w:pPr>
      <w:spacing w:after="0" w:line="240" w:lineRule="auto"/>
    </w:pPr>
    <w:rPr>
      <w:rFonts w:ascii="Calibri" w:hAnsi="Calibri" w:cs="Calibri"/>
    </w:rPr>
  </w:style>
  <w:style w:type="paragraph" w:styleId="Nadpis1">
    <w:name w:val="heading 1"/>
    <w:basedOn w:val="Normln"/>
    <w:next w:val="Normln"/>
    <w:link w:val="Nadpis1Char"/>
    <w:qFormat/>
    <w:rsid w:val="00F1264F"/>
    <w:pPr>
      <w:keepNext/>
      <w:numPr>
        <w:numId w:val="5"/>
      </w:numPr>
      <w:spacing w:before="240" w:after="60"/>
      <w:jc w:val="center"/>
      <w:outlineLvl w:val="0"/>
    </w:pPr>
    <w:rPr>
      <w:rFonts w:ascii="Arial" w:eastAsiaTheme="majorEastAsia" w:hAnsi="Arial" w:cstheme="majorBidi"/>
      <w:b/>
      <w:bCs/>
      <w:smallCaps/>
      <w:color w:val="2F5496" w:themeColor="accent1" w:themeShade="BF"/>
      <w:kern w:val="32"/>
      <w:sz w:val="32"/>
      <w:szCs w:val="32"/>
      <w:lang w:eastAsia="cs-CZ"/>
    </w:rPr>
  </w:style>
  <w:style w:type="paragraph" w:styleId="Nadpis2">
    <w:name w:val="heading 2"/>
    <w:basedOn w:val="Normln"/>
    <w:next w:val="Normln"/>
    <w:link w:val="Nadpis2Char"/>
    <w:unhideWhenUsed/>
    <w:qFormat/>
    <w:rsid w:val="00F1264F"/>
    <w:pPr>
      <w:keepNext/>
      <w:keepLines/>
      <w:numPr>
        <w:ilvl w:val="1"/>
        <w:numId w:val="5"/>
      </w:numPr>
      <w:spacing w:before="200"/>
      <w:outlineLvl w:val="1"/>
    </w:pPr>
    <w:rPr>
      <w:rFonts w:ascii="Arial" w:eastAsiaTheme="majorEastAsia" w:hAnsi="Arial" w:cs="Arial"/>
      <w:b/>
      <w:bCs/>
      <w:smallCaps/>
      <w:color w:val="C00000"/>
      <w:sz w:val="26"/>
      <w:szCs w:val="26"/>
    </w:rPr>
  </w:style>
  <w:style w:type="paragraph" w:styleId="Nadpis3">
    <w:name w:val="heading 3"/>
    <w:basedOn w:val="Normln"/>
    <w:next w:val="Normln"/>
    <w:link w:val="Nadpis3Char"/>
    <w:unhideWhenUsed/>
    <w:qFormat/>
    <w:rsid w:val="00F1264F"/>
    <w:pPr>
      <w:keepNext/>
      <w:keepLines/>
      <w:numPr>
        <w:ilvl w:val="2"/>
        <w:numId w:val="5"/>
      </w:numPr>
      <w:spacing w:before="200"/>
      <w:jc w:val="both"/>
      <w:outlineLvl w:val="2"/>
    </w:pPr>
    <w:rPr>
      <w:rFonts w:ascii="Arial Narrow" w:eastAsiaTheme="majorEastAsia" w:hAnsi="Arial Narrow" w:cs="Arial"/>
      <w:b/>
      <w:bCs/>
      <w:color w:val="002060"/>
      <w:sz w:val="26"/>
      <w:szCs w:val="26"/>
      <w:u w:val="single"/>
    </w:rPr>
  </w:style>
  <w:style w:type="paragraph" w:styleId="Nadpis4">
    <w:name w:val="heading 4"/>
    <w:basedOn w:val="Nadpis3"/>
    <w:next w:val="Nadpis5"/>
    <w:link w:val="Nadpis4Char"/>
    <w:unhideWhenUsed/>
    <w:qFormat/>
    <w:rsid w:val="00F1264F"/>
    <w:pPr>
      <w:spacing w:before="40"/>
      <w:outlineLvl w:val="3"/>
    </w:pPr>
    <w:rPr>
      <w:rFonts w:asciiTheme="majorHAnsi" w:hAnsiTheme="majorHAnsi" w:cstheme="majorBidi"/>
      <w:iCs/>
      <w:color w:val="2F5496" w:themeColor="accent1" w:themeShade="BF"/>
    </w:rPr>
  </w:style>
  <w:style w:type="paragraph" w:styleId="Nadpis5">
    <w:name w:val="heading 5"/>
    <w:basedOn w:val="Nadpis"/>
    <w:next w:val="Zkladntext"/>
    <w:link w:val="Nadpis5Char"/>
    <w:qFormat/>
    <w:rsid w:val="00F1264F"/>
    <w:pPr>
      <w:spacing w:before="120" w:after="60"/>
      <w:outlineLvl w:val="4"/>
    </w:pPr>
    <w:rPr>
      <w:b/>
      <w:bCs/>
      <w:sz w:val="24"/>
      <w:szCs w:val="24"/>
    </w:rPr>
  </w:style>
  <w:style w:type="paragraph" w:styleId="Nadpis6">
    <w:name w:val="heading 6"/>
    <w:basedOn w:val="Nadpis"/>
    <w:next w:val="Zkladntext"/>
    <w:link w:val="Nadpis6Char"/>
    <w:qFormat/>
    <w:rsid w:val="00F1264F"/>
    <w:pPr>
      <w:spacing w:before="60" w:after="60"/>
      <w:outlineLvl w:val="5"/>
    </w:pPr>
    <w:rPr>
      <w:b/>
      <w:bCs/>
      <w:i/>
      <w:iCs/>
      <w:sz w:val="24"/>
      <w:szCs w:val="24"/>
    </w:rPr>
  </w:style>
  <w:style w:type="paragraph" w:styleId="Nadpis7">
    <w:name w:val="heading 7"/>
    <w:basedOn w:val="Nadpis"/>
    <w:next w:val="Zkladntext"/>
    <w:link w:val="Nadpis7Char"/>
    <w:qFormat/>
    <w:rsid w:val="00F1264F"/>
    <w:pPr>
      <w:spacing w:before="60" w:after="60"/>
      <w:outlineLvl w:val="6"/>
    </w:pPr>
    <w:rPr>
      <w:b/>
      <w:bCs/>
      <w:sz w:val="22"/>
      <w:szCs w:val="22"/>
    </w:rPr>
  </w:style>
  <w:style w:type="paragraph" w:styleId="Nadpis8">
    <w:name w:val="heading 8"/>
    <w:basedOn w:val="Nadpis"/>
    <w:next w:val="Zkladntext"/>
    <w:link w:val="Nadpis8Char"/>
    <w:qFormat/>
    <w:rsid w:val="00F1264F"/>
    <w:pPr>
      <w:spacing w:before="60" w:after="60"/>
      <w:outlineLvl w:val="7"/>
    </w:pPr>
    <w:rPr>
      <w:b/>
      <w:bCs/>
      <w:i/>
      <w:iCs/>
      <w:sz w:val="22"/>
      <w:szCs w:val="22"/>
    </w:rPr>
  </w:style>
  <w:style w:type="paragraph" w:styleId="Nadpis9">
    <w:name w:val="heading 9"/>
    <w:basedOn w:val="Nadpis"/>
    <w:next w:val="Zkladntext"/>
    <w:link w:val="Nadpis9Char"/>
    <w:qFormat/>
    <w:rsid w:val="00F1264F"/>
    <w:pPr>
      <w:spacing w:before="60" w:after="60"/>
      <w:outlineLvl w:val="8"/>
    </w:pPr>
    <w:rPr>
      <w:b/>
      <w:b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1264F"/>
    <w:rPr>
      <w:rFonts w:ascii="Arial" w:eastAsiaTheme="majorEastAsia" w:hAnsi="Arial" w:cstheme="majorBidi"/>
      <w:b/>
      <w:bCs/>
      <w:smallCaps/>
      <w:color w:val="2F5496" w:themeColor="accent1" w:themeShade="BF"/>
      <w:kern w:val="32"/>
      <w:sz w:val="32"/>
      <w:szCs w:val="32"/>
      <w:lang w:eastAsia="cs-CZ"/>
    </w:rPr>
  </w:style>
  <w:style w:type="character" w:customStyle="1" w:styleId="Nadpis2Char">
    <w:name w:val="Nadpis 2 Char"/>
    <w:basedOn w:val="Standardnpsmoodstavce"/>
    <w:link w:val="Nadpis2"/>
    <w:rsid w:val="00F1264F"/>
    <w:rPr>
      <w:rFonts w:ascii="Arial" w:eastAsiaTheme="majorEastAsia" w:hAnsi="Arial" w:cs="Arial"/>
      <w:b/>
      <w:bCs/>
      <w:smallCaps/>
      <w:color w:val="C00000"/>
      <w:sz w:val="26"/>
      <w:szCs w:val="26"/>
    </w:rPr>
  </w:style>
  <w:style w:type="character" w:customStyle="1" w:styleId="Nadpis3Char">
    <w:name w:val="Nadpis 3 Char"/>
    <w:basedOn w:val="Standardnpsmoodstavce"/>
    <w:link w:val="Nadpis3"/>
    <w:rsid w:val="00F1264F"/>
    <w:rPr>
      <w:rFonts w:ascii="Arial Narrow" w:eastAsiaTheme="majorEastAsia" w:hAnsi="Arial Narrow" w:cs="Arial"/>
      <w:b/>
      <w:bCs/>
      <w:color w:val="002060"/>
      <w:sz w:val="26"/>
      <w:szCs w:val="26"/>
      <w:u w:val="single"/>
    </w:rPr>
  </w:style>
  <w:style w:type="paragraph" w:customStyle="1" w:styleId="Nadpis">
    <w:name w:val="Nadpis"/>
    <w:basedOn w:val="Normln"/>
    <w:next w:val="Zkladntext"/>
    <w:qFormat/>
    <w:rsid w:val="00F1264F"/>
    <w:pPr>
      <w:keepNext/>
      <w:spacing w:before="240" w:after="120" w:line="259" w:lineRule="auto"/>
    </w:pPr>
    <w:rPr>
      <w:rFonts w:ascii="Liberation Sans" w:eastAsia="Microsoft YaHei" w:hAnsi="Liberation Sans" w:cs="Arial"/>
      <w:sz w:val="28"/>
      <w:szCs w:val="28"/>
    </w:rPr>
  </w:style>
  <w:style w:type="paragraph" w:styleId="Zkladntext">
    <w:name w:val="Body Text"/>
    <w:basedOn w:val="Normln"/>
    <w:link w:val="ZkladntextChar"/>
    <w:rsid w:val="00F1264F"/>
    <w:pPr>
      <w:spacing w:after="140" w:line="276" w:lineRule="auto"/>
    </w:pPr>
    <w:rPr>
      <w:rFonts w:asciiTheme="minorHAnsi" w:hAnsiTheme="minorHAnsi" w:cstheme="minorBidi"/>
    </w:rPr>
  </w:style>
  <w:style w:type="character" w:customStyle="1" w:styleId="ZkladntextChar">
    <w:name w:val="Základní text Char"/>
    <w:basedOn w:val="Standardnpsmoodstavce"/>
    <w:link w:val="Zkladntext"/>
    <w:rsid w:val="00F1264F"/>
  </w:style>
  <w:style w:type="character" w:customStyle="1" w:styleId="Nadpis5Char">
    <w:name w:val="Nadpis 5 Char"/>
    <w:basedOn w:val="Standardnpsmoodstavce"/>
    <w:link w:val="Nadpis5"/>
    <w:rsid w:val="00F1264F"/>
    <w:rPr>
      <w:rFonts w:ascii="Liberation Sans" w:eastAsia="Microsoft YaHei" w:hAnsi="Liberation Sans" w:cs="Arial"/>
      <w:b/>
      <w:bCs/>
      <w:sz w:val="24"/>
      <w:szCs w:val="24"/>
    </w:rPr>
  </w:style>
  <w:style w:type="character" w:customStyle="1" w:styleId="Nadpis4Char">
    <w:name w:val="Nadpis 4 Char"/>
    <w:basedOn w:val="Standardnpsmoodstavce"/>
    <w:link w:val="Nadpis4"/>
    <w:rsid w:val="00F1264F"/>
    <w:rPr>
      <w:rFonts w:asciiTheme="majorHAnsi" w:eastAsiaTheme="majorEastAsia" w:hAnsiTheme="majorHAnsi" w:cstheme="majorBidi"/>
      <w:b/>
      <w:bCs/>
      <w:iCs/>
      <w:color w:val="2F5496" w:themeColor="accent1" w:themeShade="BF"/>
      <w:sz w:val="26"/>
      <w:szCs w:val="26"/>
      <w:u w:val="single"/>
    </w:rPr>
  </w:style>
  <w:style w:type="character" w:customStyle="1" w:styleId="Nadpis6Char">
    <w:name w:val="Nadpis 6 Char"/>
    <w:basedOn w:val="Standardnpsmoodstavce"/>
    <w:link w:val="Nadpis6"/>
    <w:rsid w:val="00F1264F"/>
    <w:rPr>
      <w:rFonts w:ascii="Liberation Sans" w:eastAsia="Microsoft YaHei" w:hAnsi="Liberation Sans" w:cs="Arial"/>
      <w:b/>
      <w:bCs/>
      <w:i/>
      <w:iCs/>
      <w:sz w:val="24"/>
      <w:szCs w:val="24"/>
    </w:rPr>
  </w:style>
  <w:style w:type="character" w:customStyle="1" w:styleId="Nadpis7Char">
    <w:name w:val="Nadpis 7 Char"/>
    <w:basedOn w:val="Standardnpsmoodstavce"/>
    <w:link w:val="Nadpis7"/>
    <w:rsid w:val="00F1264F"/>
    <w:rPr>
      <w:rFonts w:ascii="Liberation Sans" w:eastAsia="Microsoft YaHei" w:hAnsi="Liberation Sans" w:cs="Arial"/>
      <w:b/>
      <w:bCs/>
    </w:rPr>
  </w:style>
  <w:style w:type="character" w:customStyle="1" w:styleId="Nadpis8Char">
    <w:name w:val="Nadpis 8 Char"/>
    <w:basedOn w:val="Standardnpsmoodstavce"/>
    <w:link w:val="Nadpis8"/>
    <w:rsid w:val="00F1264F"/>
    <w:rPr>
      <w:rFonts w:ascii="Liberation Sans" w:eastAsia="Microsoft YaHei" w:hAnsi="Liberation Sans" w:cs="Arial"/>
      <w:b/>
      <w:bCs/>
      <w:i/>
      <w:iCs/>
    </w:rPr>
  </w:style>
  <w:style w:type="character" w:customStyle="1" w:styleId="Nadpis9Char">
    <w:name w:val="Nadpis 9 Char"/>
    <w:basedOn w:val="Standardnpsmoodstavce"/>
    <w:link w:val="Nadpis9"/>
    <w:rsid w:val="00F1264F"/>
    <w:rPr>
      <w:rFonts w:ascii="Liberation Sans" w:eastAsia="Microsoft YaHei" w:hAnsi="Liberation Sans" w:cs="Arial"/>
      <w:b/>
      <w:bCs/>
      <w:sz w:val="21"/>
      <w:szCs w:val="21"/>
    </w:rPr>
  </w:style>
  <w:style w:type="paragraph" w:styleId="Zhlav">
    <w:name w:val="header"/>
    <w:basedOn w:val="Normln"/>
    <w:link w:val="ZhlavChar"/>
    <w:uiPriority w:val="99"/>
    <w:unhideWhenUsed/>
    <w:rsid w:val="00F1264F"/>
    <w:pPr>
      <w:tabs>
        <w:tab w:val="center" w:pos="4536"/>
        <w:tab w:val="right" w:pos="9072"/>
      </w:tabs>
    </w:pPr>
  </w:style>
  <w:style w:type="character" w:customStyle="1" w:styleId="ZhlavChar">
    <w:name w:val="Záhlaví Char"/>
    <w:basedOn w:val="Standardnpsmoodstavce"/>
    <w:link w:val="Zhlav"/>
    <w:uiPriority w:val="99"/>
    <w:rsid w:val="00F1264F"/>
    <w:rPr>
      <w:rFonts w:ascii="Calibri" w:hAnsi="Calibri" w:cs="Calibri"/>
    </w:rPr>
  </w:style>
  <w:style w:type="paragraph" w:styleId="Zpat">
    <w:name w:val="footer"/>
    <w:basedOn w:val="Normln"/>
    <w:link w:val="ZpatChar"/>
    <w:uiPriority w:val="99"/>
    <w:unhideWhenUsed/>
    <w:rsid w:val="00F1264F"/>
    <w:pPr>
      <w:tabs>
        <w:tab w:val="center" w:pos="4536"/>
        <w:tab w:val="right" w:pos="9072"/>
      </w:tabs>
    </w:pPr>
  </w:style>
  <w:style w:type="character" w:customStyle="1" w:styleId="ZpatChar">
    <w:name w:val="Zápatí Char"/>
    <w:basedOn w:val="Standardnpsmoodstavce"/>
    <w:link w:val="Zpat"/>
    <w:uiPriority w:val="99"/>
    <w:rsid w:val="00F1264F"/>
    <w:rPr>
      <w:rFonts w:ascii="Calibri" w:hAnsi="Calibri" w:cs="Calibri"/>
    </w:rPr>
  </w:style>
  <w:style w:type="character" w:styleId="Hypertextovodkaz">
    <w:name w:val="Hyperlink"/>
    <w:uiPriority w:val="99"/>
    <w:unhideWhenUsed/>
    <w:rsid w:val="00F1264F"/>
    <w:rPr>
      <w:color w:val="0000FF"/>
      <w:u w:val="single"/>
    </w:rPr>
  </w:style>
  <w:style w:type="paragraph" w:styleId="Textbubliny">
    <w:name w:val="Balloon Text"/>
    <w:basedOn w:val="Normln"/>
    <w:link w:val="TextbublinyChar"/>
    <w:uiPriority w:val="99"/>
    <w:semiHidden/>
    <w:unhideWhenUsed/>
    <w:rsid w:val="00F1264F"/>
    <w:rPr>
      <w:rFonts w:ascii="Tahoma" w:hAnsi="Tahoma" w:cs="Tahoma"/>
      <w:sz w:val="16"/>
      <w:szCs w:val="16"/>
    </w:rPr>
  </w:style>
  <w:style w:type="character" w:customStyle="1" w:styleId="TextbublinyChar">
    <w:name w:val="Text bubliny Char"/>
    <w:basedOn w:val="Standardnpsmoodstavce"/>
    <w:link w:val="Textbubliny"/>
    <w:uiPriority w:val="99"/>
    <w:semiHidden/>
    <w:rsid w:val="00F1264F"/>
    <w:rPr>
      <w:rFonts w:ascii="Tahoma" w:hAnsi="Tahoma" w:cs="Tahoma"/>
      <w:sz w:val="16"/>
      <w:szCs w:val="16"/>
    </w:rPr>
  </w:style>
  <w:style w:type="paragraph" w:styleId="Nadpisobsahu">
    <w:name w:val="TOC Heading"/>
    <w:basedOn w:val="Nadpis1"/>
    <w:next w:val="Normln"/>
    <w:uiPriority w:val="39"/>
    <w:unhideWhenUsed/>
    <w:qFormat/>
    <w:rsid w:val="00F1264F"/>
    <w:pPr>
      <w:keepLines/>
      <w:numPr>
        <w:numId w:val="0"/>
      </w:numPr>
      <w:spacing w:before="480" w:after="0" w:line="276" w:lineRule="auto"/>
      <w:jc w:val="left"/>
      <w:outlineLvl w:val="9"/>
    </w:pPr>
    <w:rPr>
      <w:rFonts w:asciiTheme="majorHAnsi" w:hAnsiTheme="majorHAnsi"/>
      <w:kern w:val="0"/>
      <w:szCs w:val="28"/>
    </w:rPr>
  </w:style>
  <w:style w:type="paragraph" w:styleId="Obsah2">
    <w:name w:val="toc 2"/>
    <w:basedOn w:val="Normln"/>
    <w:next w:val="Normln"/>
    <w:autoRedefine/>
    <w:uiPriority w:val="39"/>
    <w:unhideWhenUsed/>
    <w:qFormat/>
    <w:rsid w:val="00856205"/>
    <w:pPr>
      <w:tabs>
        <w:tab w:val="left" w:pos="880"/>
        <w:tab w:val="right" w:pos="9062"/>
      </w:tabs>
      <w:spacing w:after="100" w:line="276" w:lineRule="auto"/>
      <w:ind w:left="220"/>
      <w:jc w:val="both"/>
    </w:pPr>
    <w:rPr>
      <w:rFonts w:asciiTheme="minorHAnsi" w:eastAsiaTheme="minorEastAsia" w:hAnsiTheme="minorHAnsi" w:cstheme="minorBidi"/>
      <w:lang w:eastAsia="cs-CZ"/>
    </w:rPr>
  </w:style>
  <w:style w:type="paragraph" w:styleId="Obsah1">
    <w:name w:val="toc 1"/>
    <w:basedOn w:val="Normln"/>
    <w:next w:val="Normln"/>
    <w:autoRedefine/>
    <w:uiPriority w:val="39"/>
    <w:unhideWhenUsed/>
    <w:qFormat/>
    <w:rsid w:val="00B32B4F"/>
    <w:pPr>
      <w:tabs>
        <w:tab w:val="left" w:pos="440"/>
        <w:tab w:val="right" w:pos="9062"/>
      </w:tabs>
      <w:spacing w:after="100"/>
      <w:jc w:val="both"/>
    </w:pPr>
    <w:rPr>
      <w:rFonts w:ascii="Arial Narrow" w:eastAsiaTheme="minorEastAsia" w:hAnsi="Arial Narrow" w:cstheme="minorBidi"/>
      <w:b/>
      <w:bCs/>
      <w:noProof/>
      <w:sz w:val="18"/>
      <w:szCs w:val="18"/>
      <w:lang w:eastAsia="cs-CZ"/>
    </w:rPr>
  </w:style>
  <w:style w:type="paragraph" w:styleId="Obsah3">
    <w:name w:val="toc 3"/>
    <w:basedOn w:val="Normln"/>
    <w:next w:val="Normln"/>
    <w:autoRedefine/>
    <w:uiPriority w:val="39"/>
    <w:unhideWhenUsed/>
    <w:qFormat/>
    <w:rsid w:val="00F1264F"/>
    <w:pPr>
      <w:spacing w:after="100" w:line="276" w:lineRule="auto"/>
      <w:ind w:left="440"/>
    </w:pPr>
    <w:rPr>
      <w:rFonts w:asciiTheme="minorHAnsi" w:eastAsiaTheme="minorEastAsia" w:hAnsiTheme="minorHAnsi" w:cstheme="minorBidi"/>
      <w:lang w:eastAsia="cs-CZ"/>
    </w:rPr>
  </w:style>
  <w:style w:type="paragraph" w:styleId="Odstavecseseznamem">
    <w:name w:val="List Paragraph"/>
    <w:aliases w:val="Odstavec cíl se seznamem,Odstavec,Odstavec_muj,Základní styl odstavce,Nad,Odstavec_muj1,Odstavec_muj2,Odstavec_muj3,Nad1,List Paragraph1,Odstavec_muj4,Nad2,List Paragraph2,Odstavec_muj5,Odstavec_muj6,Odstavec_muj7,Odstavec_muj8"/>
    <w:basedOn w:val="Normln"/>
    <w:link w:val="OdstavecseseznamemChar"/>
    <w:uiPriority w:val="34"/>
    <w:qFormat/>
    <w:rsid w:val="00F1264F"/>
    <w:pPr>
      <w:ind w:left="720"/>
      <w:contextualSpacing/>
    </w:pPr>
  </w:style>
  <w:style w:type="character" w:customStyle="1" w:styleId="OdstavecseseznamemChar">
    <w:name w:val="Odstavec se seznamem Char"/>
    <w:aliases w:val="Odstavec cíl se seznamem Char,Odstavec Char,Odstavec_muj Char,Základní styl odstavce Char,Nad Char,Odstavec_muj1 Char,Odstavec_muj2 Char,Odstavec_muj3 Char,Nad1 Char,List Paragraph1 Char,Odstavec_muj4 Char,Nad2 Char"/>
    <w:link w:val="Odstavecseseznamem"/>
    <w:uiPriority w:val="34"/>
    <w:locked/>
    <w:rsid w:val="00F1264F"/>
    <w:rPr>
      <w:rFonts w:ascii="Calibri" w:hAnsi="Calibri" w:cs="Calibri"/>
    </w:rPr>
  </w:style>
  <w:style w:type="table" w:styleId="Mkatabulky">
    <w:name w:val="Table Grid"/>
    <w:basedOn w:val="Normlntabulka"/>
    <w:uiPriority w:val="39"/>
    <w:rsid w:val="00F1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aliases w:val="Text pozn. pod čarou_martin_ang,Schriftart: 9 pt,Schriftart: 10 pt,Schriftart: 8 pt,Char"/>
    <w:basedOn w:val="Normln"/>
    <w:link w:val="TextpoznpodarouChar"/>
    <w:uiPriority w:val="99"/>
    <w:unhideWhenUsed/>
    <w:rsid w:val="00F1264F"/>
    <w:rPr>
      <w:sz w:val="20"/>
      <w:szCs w:val="20"/>
    </w:rPr>
  </w:style>
  <w:style w:type="character" w:customStyle="1" w:styleId="TextpoznpodarouChar">
    <w:name w:val="Text pozn. pod čarou Char"/>
    <w:aliases w:val="Text pozn. pod čarou_martin_ang Char,Schriftart: 9 pt Char,Schriftart: 10 pt Char,Schriftart: 8 pt Char,Char Char"/>
    <w:basedOn w:val="Standardnpsmoodstavce"/>
    <w:link w:val="Textpoznpodarou"/>
    <w:uiPriority w:val="99"/>
    <w:rsid w:val="00F1264F"/>
    <w:rPr>
      <w:rFonts w:ascii="Calibri" w:hAnsi="Calibri" w:cs="Calibri"/>
      <w:sz w:val="20"/>
      <w:szCs w:val="20"/>
    </w:rPr>
  </w:style>
  <w:style w:type="character" w:styleId="Znakapoznpodarou">
    <w:name w:val="footnote reference"/>
    <w:basedOn w:val="Standardnpsmoodstavce"/>
    <w:unhideWhenUsed/>
    <w:qFormat/>
    <w:rsid w:val="00F1264F"/>
    <w:rPr>
      <w:vertAlign w:val="superscript"/>
    </w:rPr>
  </w:style>
  <w:style w:type="paragraph" w:styleId="Titulek">
    <w:name w:val="caption"/>
    <w:basedOn w:val="Normln"/>
    <w:next w:val="Normln"/>
    <w:unhideWhenUsed/>
    <w:qFormat/>
    <w:rsid w:val="00F1264F"/>
    <w:pPr>
      <w:spacing w:after="200"/>
    </w:pPr>
    <w:rPr>
      <w:b/>
      <w:bCs/>
      <w:color w:val="4472C4" w:themeColor="accent1"/>
      <w:sz w:val="18"/>
      <w:szCs w:val="18"/>
    </w:rPr>
  </w:style>
  <w:style w:type="paragraph" w:styleId="Seznamobrzk">
    <w:name w:val="table of figures"/>
    <w:aliases w:val="Seznam tabulek"/>
    <w:basedOn w:val="Normln"/>
    <w:next w:val="Normln"/>
    <w:uiPriority w:val="99"/>
    <w:unhideWhenUsed/>
    <w:rsid w:val="00F1264F"/>
    <w:pPr>
      <w:spacing w:after="120" w:line="276" w:lineRule="auto"/>
      <w:jc w:val="both"/>
    </w:pPr>
    <w:rPr>
      <w:rFonts w:ascii="Arial Narrow" w:eastAsia="Calibri" w:hAnsi="Arial Narrow" w:cs="Times New Roman"/>
    </w:rPr>
  </w:style>
  <w:style w:type="character" w:customStyle="1" w:styleId="cernytext-bold">
    <w:name w:val="cernytext-bold"/>
    <w:basedOn w:val="Standardnpsmoodstavce"/>
    <w:rsid w:val="00F1264F"/>
  </w:style>
  <w:style w:type="paragraph" w:customStyle="1" w:styleId="CommentSubject">
    <w:name w:val="Comment Subject"/>
    <w:basedOn w:val="Normln"/>
    <w:next w:val="Normln"/>
    <w:rsid w:val="00F1264F"/>
    <w:pPr>
      <w:suppressAutoHyphens/>
      <w:jc w:val="both"/>
    </w:pPr>
    <w:rPr>
      <w:rFonts w:ascii="Arial" w:eastAsia="Times New Roman" w:hAnsi="Arial" w:cs="Times New Roman"/>
      <w:b/>
      <w:bCs/>
      <w:sz w:val="20"/>
      <w:szCs w:val="20"/>
      <w:lang w:eastAsia="ar-SA"/>
    </w:rPr>
  </w:style>
  <w:style w:type="paragraph" w:customStyle="1" w:styleId="Normln1">
    <w:name w:val="Normální1"/>
    <w:rsid w:val="00F1264F"/>
    <w:pPr>
      <w:suppressAutoHyphens/>
      <w:autoSpaceDN w:val="0"/>
      <w:spacing w:line="256" w:lineRule="auto"/>
      <w:textAlignment w:val="baseline"/>
    </w:pPr>
    <w:rPr>
      <w:rFonts w:ascii="Calibri" w:eastAsia="Calibri" w:hAnsi="Calibri" w:cs="Times New Roman"/>
    </w:rPr>
  </w:style>
  <w:style w:type="paragraph" w:styleId="Textkomente">
    <w:name w:val="annotation text"/>
    <w:basedOn w:val="Normln"/>
    <w:link w:val="TextkomenteChar"/>
    <w:uiPriority w:val="99"/>
    <w:unhideWhenUsed/>
    <w:rsid w:val="00F1264F"/>
    <w:rPr>
      <w:sz w:val="20"/>
      <w:szCs w:val="20"/>
    </w:rPr>
  </w:style>
  <w:style w:type="character" w:customStyle="1" w:styleId="TextkomenteChar">
    <w:name w:val="Text komentáře Char"/>
    <w:basedOn w:val="Standardnpsmoodstavce"/>
    <w:link w:val="Textkomente"/>
    <w:uiPriority w:val="99"/>
    <w:rsid w:val="00F1264F"/>
    <w:rPr>
      <w:rFonts w:ascii="Calibri" w:hAnsi="Calibri" w:cs="Calibri"/>
      <w:sz w:val="20"/>
      <w:szCs w:val="20"/>
    </w:rPr>
  </w:style>
  <w:style w:type="paragraph" w:styleId="Pedmtkomente">
    <w:name w:val="annotation subject"/>
    <w:basedOn w:val="Textkomente"/>
    <w:next w:val="Textkomente"/>
    <w:link w:val="PedmtkomenteChar"/>
    <w:uiPriority w:val="99"/>
    <w:semiHidden/>
    <w:unhideWhenUsed/>
    <w:rsid w:val="00F1264F"/>
    <w:rPr>
      <w:b/>
      <w:bCs/>
    </w:rPr>
  </w:style>
  <w:style w:type="character" w:customStyle="1" w:styleId="PedmtkomenteChar">
    <w:name w:val="Předmět komentáře Char"/>
    <w:basedOn w:val="TextkomenteChar"/>
    <w:link w:val="Pedmtkomente"/>
    <w:uiPriority w:val="99"/>
    <w:semiHidden/>
    <w:rsid w:val="00F1264F"/>
    <w:rPr>
      <w:rFonts w:ascii="Calibri" w:hAnsi="Calibri" w:cs="Calibri"/>
      <w:b/>
      <w:bCs/>
      <w:sz w:val="20"/>
      <w:szCs w:val="20"/>
    </w:rPr>
  </w:style>
  <w:style w:type="paragraph" w:styleId="Normlnweb">
    <w:name w:val="Normal (Web)"/>
    <w:basedOn w:val="Normln"/>
    <w:uiPriority w:val="99"/>
    <w:unhideWhenUsed/>
    <w:rsid w:val="00F1264F"/>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1264F"/>
    <w:rPr>
      <w:b/>
      <w:bCs/>
    </w:rPr>
  </w:style>
  <w:style w:type="paragraph" w:styleId="Obsah4">
    <w:name w:val="toc 4"/>
    <w:basedOn w:val="Normln"/>
    <w:next w:val="Normln"/>
    <w:autoRedefine/>
    <w:uiPriority w:val="39"/>
    <w:unhideWhenUsed/>
    <w:rsid w:val="00F1264F"/>
    <w:pPr>
      <w:spacing w:after="100" w:line="259" w:lineRule="auto"/>
      <w:ind w:left="660"/>
    </w:pPr>
    <w:rPr>
      <w:rFonts w:asciiTheme="minorHAnsi" w:eastAsiaTheme="minorEastAsia" w:hAnsiTheme="minorHAnsi" w:cstheme="minorBidi"/>
      <w:lang w:eastAsia="cs-CZ"/>
    </w:rPr>
  </w:style>
  <w:style w:type="paragraph" w:styleId="Obsah5">
    <w:name w:val="toc 5"/>
    <w:basedOn w:val="Normln"/>
    <w:next w:val="Normln"/>
    <w:autoRedefine/>
    <w:uiPriority w:val="39"/>
    <w:unhideWhenUsed/>
    <w:rsid w:val="00F1264F"/>
    <w:pPr>
      <w:spacing w:after="100" w:line="259" w:lineRule="auto"/>
      <w:ind w:left="880"/>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rsid w:val="00F1264F"/>
    <w:pPr>
      <w:spacing w:after="100" w:line="259" w:lineRule="auto"/>
      <w:ind w:left="1100"/>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rsid w:val="00F1264F"/>
    <w:pPr>
      <w:spacing w:after="100" w:line="259" w:lineRule="auto"/>
      <w:ind w:left="1320"/>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rsid w:val="00F1264F"/>
    <w:pPr>
      <w:spacing w:after="100" w:line="259" w:lineRule="auto"/>
      <w:ind w:left="1540"/>
    </w:pPr>
    <w:rPr>
      <w:rFonts w:asciiTheme="minorHAnsi" w:eastAsiaTheme="minorEastAsia" w:hAnsiTheme="minorHAnsi" w:cstheme="minorBidi"/>
      <w:lang w:eastAsia="cs-CZ"/>
    </w:rPr>
  </w:style>
  <w:style w:type="paragraph" w:styleId="Obsah9">
    <w:name w:val="toc 9"/>
    <w:basedOn w:val="Normln"/>
    <w:next w:val="Normln"/>
    <w:autoRedefine/>
    <w:uiPriority w:val="39"/>
    <w:unhideWhenUsed/>
    <w:rsid w:val="00F1264F"/>
    <w:pPr>
      <w:spacing w:after="100" w:line="259" w:lineRule="auto"/>
      <w:ind w:left="1760"/>
    </w:pPr>
    <w:rPr>
      <w:rFonts w:asciiTheme="minorHAnsi" w:eastAsiaTheme="minorEastAsia" w:hAnsiTheme="minorHAnsi" w:cstheme="minorBidi"/>
      <w:lang w:eastAsia="cs-CZ"/>
    </w:rPr>
  </w:style>
  <w:style w:type="paragraph" w:styleId="Bezmezer">
    <w:name w:val="No Spacing"/>
    <w:uiPriority w:val="1"/>
    <w:qFormat/>
    <w:rsid w:val="00F1264F"/>
    <w:pPr>
      <w:spacing w:after="0" w:line="240" w:lineRule="auto"/>
    </w:pPr>
    <w:rPr>
      <w:rFonts w:ascii="Calibri" w:hAnsi="Calibri" w:cs="Calibri"/>
    </w:rPr>
  </w:style>
  <w:style w:type="character" w:customStyle="1" w:styleId="Internetovodkaz">
    <w:name w:val="Internetový odkaz"/>
    <w:rsid w:val="00F1264F"/>
    <w:rPr>
      <w:color w:val="000080"/>
      <w:u w:val="single"/>
    </w:rPr>
  </w:style>
  <w:style w:type="character" w:customStyle="1" w:styleId="ListLabel41">
    <w:name w:val="ListLabel 41"/>
    <w:qFormat/>
    <w:rsid w:val="00F1264F"/>
  </w:style>
  <w:style w:type="character" w:customStyle="1" w:styleId="ListLabel39">
    <w:name w:val="ListLabel 39"/>
    <w:qFormat/>
    <w:rsid w:val="00F1264F"/>
    <w:rPr>
      <w:rFonts w:ascii="Arial Narrow" w:eastAsia="Times New Roman" w:hAnsi="Arial Narrow" w:cs="Times New Roman"/>
      <w:sz w:val="16"/>
      <w:szCs w:val="16"/>
      <w:lang w:eastAsia="cs-CZ"/>
    </w:rPr>
  </w:style>
  <w:style w:type="character" w:customStyle="1" w:styleId="ListLabel17">
    <w:name w:val="ListLabel 17"/>
    <w:qFormat/>
    <w:rsid w:val="00F1264F"/>
    <w:rPr>
      <w:rFonts w:ascii="Arial Narrow" w:hAnsi="Arial Narrow"/>
      <w:b/>
      <w:bCs w:val="0"/>
      <w:sz w:val="28"/>
    </w:rPr>
  </w:style>
  <w:style w:type="character" w:customStyle="1" w:styleId="ListLabel18">
    <w:name w:val="ListLabel 18"/>
    <w:qFormat/>
    <w:rsid w:val="00F1264F"/>
    <w:rPr>
      <w:rFonts w:ascii="Arial Narrow" w:hAnsi="Arial Narrow"/>
      <w:b/>
      <w:bCs/>
      <w:color w:val="000000"/>
      <w:sz w:val="28"/>
      <w:szCs w:val="26"/>
    </w:rPr>
  </w:style>
  <w:style w:type="character" w:customStyle="1" w:styleId="ListLabel19">
    <w:name w:val="ListLabel 19"/>
    <w:qFormat/>
    <w:rsid w:val="00F1264F"/>
    <w:rPr>
      <w:b/>
      <w:bCs/>
      <w:i w:val="0"/>
      <w:iCs w:val="0"/>
      <w:caps w:val="0"/>
      <w:smallCaps w:val="0"/>
      <w:strike w:val="0"/>
      <w:dstrike w:val="0"/>
      <w:vanish w:val="0"/>
      <w:color w:val="000000"/>
      <w:spacing w:val="0"/>
      <w:kern w:val="0"/>
      <w:position w:val="0"/>
      <w:sz w:val="22"/>
      <w:u w:val="none"/>
      <w:effect w:val="none"/>
      <w:vertAlign w:val="baseline"/>
      <w:em w:val="none"/>
    </w:rPr>
  </w:style>
  <w:style w:type="character" w:customStyle="1" w:styleId="ListLabel20">
    <w:name w:val="ListLabel 20"/>
    <w:qFormat/>
    <w:rsid w:val="00F1264F"/>
    <w:rPr>
      <w:b/>
      <w:bCs/>
    </w:rPr>
  </w:style>
  <w:style w:type="character" w:customStyle="1" w:styleId="ListLabel38">
    <w:name w:val="ListLabel 38"/>
    <w:qFormat/>
    <w:rsid w:val="00F1264F"/>
    <w:rPr>
      <w:rFonts w:eastAsia="Times New Roman"/>
      <w:lang w:eastAsia="cs-CZ"/>
    </w:rPr>
  </w:style>
  <w:style w:type="character" w:customStyle="1" w:styleId="ListLabel42">
    <w:name w:val="ListLabel 42"/>
    <w:qFormat/>
    <w:rsid w:val="00F1264F"/>
    <w:rPr>
      <w:b/>
      <w:bCs w:val="0"/>
      <w:sz w:val="28"/>
    </w:rPr>
  </w:style>
  <w:style w:type="character" w:customStyle="1" w:styleId="ListLabel43">
    <w:name w:val="ListLabel 43"/>
    <w:qFormat/>
    <w:rsid w:val="00F1264F"/>
    <w:rPr>
      <w:b/>
      <w:bCs/>
      <w:color w:val="000000"/>
      <w:sz w:val="28"/>
      <w:szCs w:val="26"/>
    </w:rPr>
  </w:style>
  <w:style w:type="character" w:customStyle="1" w:styleId="ListLabel44">
    <w:name w:val="ListLabel 44"/>
    <w:qFormat/>
    <w:rsid w:val="00F1264F"/>
    <w:rPr>
      <w:b/>
      <w:bCs/>
      <w:i w:val="0"/>
      <w:iCs w:val="0"/>
      <w:caps w:val="0"/>
      <w:smallCaps w:val="0"/>
      <w:strike w:val="0"/>
      <w:dstrike w:val="0"/>
      <w:vanish w:val="0"/>
      <w:color w:val="000000"/>
      <w:spacing w:val="0"/>
      <w:kern w:val="0"/>
      <w:position w:val="0"/>
      <w:sz w:val="22"/>
      <w:u w:val="none"/>
      <w:effect w:val="none"/>
      <w:vertAlign w:val="baseline"/>
      <w:em w:val="none"/>
    </w:rPr>
  </w:style>
  <w:style w:type="character" w:customStyle="1" w:styleId="ListLabel45">
    <w:name w:val="ListLabel 45"/>
    <w:qFormat/>
    <w:rsid w:val="00F1264F"/>
    <w:rPr>
      <w:b/>
      <w:bCs/>
    </w:rPr>
  </w:style>
  <w:style w:type="character" w:customStyle="1" w:styleId="ListLabel46">
    <w:name w:val="ListLabel 46"/>
    <w:qFormat/>
    <w:rsid w:val="00F1264F"/>
    <w:rPr>
      <w:rFonts w:ascii="Arial" w:hAnsi="Arial"/>
      <w:sz w:val="18"/>
      <w:szCs w:val="18"/>
    </w:rPr>
  </w:style>
  <w:style w:type="character" w:customStyle="1" w:styleId="ListLabel47">
    <w:name w:val="ListLabel 47"/>
    <w:qFormat/>
    <w:rsid w:val="00F1264F"/>
    <w:rPr>
      <w:rFonts w:ascii="Arial" w:hAnsi="Arial"/>
      <w:sz w:val="18"/>
      <w:szCs w:val="18"/>
    </w:rPr>
  </w:style>
  <w:style w:type="character" w:customStyle="1" w:styleId="ListLabel48">
    <w:name w:val="ListLabel 48"/>
    <w:qFormat/>
    <w:rsid w:val="00F1264F"/>
    <w:rPr>
      <w:rFonts w:ascii="Arial" w:hAnsi="Arial"/>
      <w:sz w:val="18"/>
      <w:szCs w:val="18"/>
    </w:rPr>
  </w:style>
  <w:style w:type="character" w:customStyle="1" w:styleId="ListLabel49">
    <w:name w:val="ListLabel 49"/>
    <w:qFormat/>
    <w:rsid w:val="00F1264F"/>
    <w:rPr>
      <w:rFonts w:ascii="Arial" w:hAnsi="Arial"/>
      <w:sz w:val="18"/>
      <w:szCs w:val="18"/>
    </w:rPr>
  </w:style>
  <w:style w:type="character" w:customStyle="1" w:styleId="Odrky">
    <w:name w:val="Odrážky"/>
    <w:qFormat/>
    <w:rsid w:val="00F1264F"/>
    <w:rPr>
      <w:rFonts w:ascii="OpenSymbol" w:eastAsia="OpenSymbol" w:hAnsi="OpenSymbol" w:cs="OpenSymbol"/>
    </w:rPr>
  </w:style>
  <w:style w:type="character" w:customStyle="1" w:styleId="ListLabel50">
    <w:name w:val="ListLabel 50"/>
    <w:qFormat/>
    <w:rsid w:val="00F1264F"/>
    <w:rPr>
      <w:rFonts w:ascii="Arial" w:hAnsi="Arial"/>
      <w:sz w:val="18"/>
      <w:szCs w:val="18"/>
    </w:rPr>
  </w:style>
  <w:style w:type="character" w:customStyle="1" w:styleId="ListLabel51">
    <w:name w:val="ListLabel 51"/>
    <w:qFormat/>
    <w:rsid w:val="00F1264F"/>
    <w:rPr>
      <w:rFonts w:asciiTheme="minorHAnsi" w:eastAsiaTheme="minorHAnsi" w:hAnsiTheme="minorHAnsi" w:cstheme="minorBidi"/>
      <w:highlight w:val="yellow"/>
    </w:rPr>
  </w:style>
  <w:style w:type="character" w:customStyle="1" w:styleId="ListLabel52">
    <w:name w:val="ListLabel 52"/>
    <w:qFormat/>
    <w:rsid w:val="00F1264F"/>
    <w:rPr>
      <w:rFonts w:ascii="Arial" w:eastAsia="Times New Roman" w:hAnsi="Arial" w:cs="ArialMT"/>
      <w:b/>
      <w:i w:val="0"/>
      <w:strike w:val="0"/>
      <w:dstrike w:val="0"/>
      <w:color w:val="000000"/>
      <w:sz w:val="18"/>
      <w:szCs w:val="18"/>
      <w:highlight w:val="yellow"/>
      <w:em w:val="none"/>
      <w:lang w:eastAsia="cs-CZ"/>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3">
    <w:name w:val="ListLabel 53"/>
    <w:qFormat/>
    <w:rsid w:val="00F1264F"/>
    <w:rPr>
      <w:rFonts w:ascii="Arial" w:eastAsia="Times New Roman" w:hAnsi="Arial" w:cs="ArialMT"/>
      <w:color w:val="000000"/>
      <w:sz w:val="18"/>
      <w:szCs w:val="18"/>
      <w:highlight w:val="yellow"/>
    </w:rPr>
  </w:style>
  <w:style w:type="character" w:customStyle="1" w:styleId="ListLabel54">
    <w:name w:val="ListLabel 54"/>
    <w:qFormat/>
    <w:rsid w:val="00F1264F"/>
    <w:rPr>
      <w:rFonts w:ascii="Arial" w:hAnsi="Arial"/>
      <w:sz w:val="18"/>
      <w:szCs w:val="18"/>
    </w:rPr>
  </w:style>
  <w:style w:type="character" w:customStyle="1" w:styleId="ListLabel55">
    <w:name w:val="ListLabel 55"/>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6">
    <w:name w:val="ListLabel 56"/>
    <w:qFormat/>
    <w:rsid w:val="00F1264F"/>
    <w:rPr>
      <w:rFonts w:ascii="Arial" w:hAnsi="Arial"/>
      <w:sz w:val="18"/>
      <w:szCs w:val="18"/>
    </w:rPr>
  </w:style>
  <w:style w:type="character" w:customStyle="1" w:styleId="ListLabel57">
    <w:name w:val="ListLabel 57"/>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8">
    <w:name w:val="ListLabel 58"/>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9">
    <w:name w:val="ListLabel 59"/>
    <w:qFormat/>
    <w:rsid w:val="00F1264F"/>
    <w:rPr>
      <w:rFonts w:ascii="Arial" w:hAnsi="Arial"/>
      <w:sz w:val="18"/>
      <w:szCs w:val="18"/>
    </w:rPr>
  </w:style>
  <w:style w:type="character" w:customStyle="1" w:styleId="ListLabel60">
    <w:name w:val="ListLabel 60"/>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1">
    <w:name w:val="ListLabel 61"/>
    <w:qFormat/>
    <w:rsid w:val="00F1264F"/>
    <w:rPr>
      <w:rFonts w:asciiTheme="minorHAnsi" w:eastAsiaTheme="minorHAnsi" w:hAnsiTheme="minorHAnsi" w:cstheme="minorBidi"/>
      <w:highlight w:val="yellow"/>
    </w:rPr>
  </w:style>
  <w:style w:type="character" w:customStyle="1" w:styleId="ListLabel62">
    <w:name w:val="ListLabel 62"/>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3">
    <w:name w:val="ListLabel 63"/>
    <w:qFormat/>
    <w:rsid w:val="00F1264F"/>
    <w:rPr>
      <w:rFonts w:ascii="Arial" w:hAnsi="Arial"/>
      <w:sz w:val="18"/>
      <w:szCs w:val="18"/>
    </w:rPr>
  </w:style>
  <w:style w:type="character" w:customStyle="1" w:styleId="ListLabel64">
    <w:name w:val="ListLabel 64"/>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5">
    <w:name w:val="ListLabel 65"/>
    <w:qFormat/>
    <w:rsid w:val="00F1264F"/>
    <w:rPr>
      <w:rFonts w:eastAsiaTheme="minorHAnsi" w:cstheme="minorBidi"/>
      <w:highlight w:val="yellow"/>
    </w:rPr>
  </w:style>
  <w:style w:type="character" w:customStyle="1" w:styleId="ListLabel66">
    <w:name w:val="ListLabel 66"/>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7">
    <w:name w:val="ListLabel 67"/>
    <w:qFormat/>
    <w:rsid w:val="00F1264F"/>
    <w:rPr>
      <w:rFonts w:ascii="Arial" w:hAnsi="Arial"/>
      <w:sz w:val="18"/>
      <w:szCs w:val="18"/>
    </w:rPr>
  </w:style>
  <w:style w:type="character" w:customStyle="1" w:styleId="ListLabel68">
    <w:name w:val="ListLabel 68"/>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9">
    <w:name w:val="ListLabel 69"/>
    <w:qFormat/>
    <w:rsid w:val="00F1264F"/>
    <w:rPr>
      <w:rFonts w:eastAsiaTheme="minorHAnsi" w:cstheme="minorBidi"/>
      <w:highlight w:val="yellow"/>
    </w:rPr>
  </w:style>
  <w:style w:type="character" w:customStyle="1" w:styleId="ListLabel70">
    <w:name w:val="ListLabel 70"/>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1">
    <w:name w:val="ListLabel 71"/>
    <w:qFormat/>
    <w:rsid w:val="00F1264F"/>
    <w:rPr>
      <w:rFonts w:ascii="Arial" w:hAnsi="Arial"/>
      <w:sz w:val="18"/>
      <w:szCs w:val="18"/>
    </w:rPr>
  </w:style>
  <w:style w:type="character" w:customStyle="1" w:styleId="ListLabel72">
    <w:name w:val="ListLabel 72"/>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3">
    <w:name w:val="ListLabel 73"/>
    <w:qFormat/>
    <w:rsid w:val="00F1264F"/>
    <w:rPr>
      <w:rFonts w:eastAsiaTheme="minorHAnsi" w:cstheme="minorBidi"/>
      <w:highlight w:val="yellow"/>
    </w:rPr>
  </w:style>
  <w:style w:type="character" w:customStyle="1" w:styleId="ListLabel74">
    <w:name w:val="ListLabel 74"/>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5">
    <w:name w:val="ListLabel 75"/>
    <w:qFormat/>
    <w:rsid w:val="00F1264F"/>
    <w:rPr>
      <w:rFonts w:ascii="Arial" w:hAnsi="Arial"/>
      <w:sz w:val="18"/>
      <w:szCs w:val="18"/>
    </w:rPr>
  </w:style>
  <w:style w:type="character" w:customStyle="1" w:styleId="ListLabel76">
    <w:name w:val="ListLabel 76"/>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
    <w:name w:val="ListLabel 77"/>
    <w:qFormat/>
    <w:rsid w:val="00F1264F"/>
    <w:rPr>
      <w:rFonts w:eastAsiaTheme="minorHAnsi" w:cstheme="minorBidi"/>
      <w:highlight w:val="yellow"/>
    </w:rPr>
  </w:style>
  <w:style w:type="character" w:customStyle="1" w:styleId="ListLabel78">
    <w:name w:val="ListLabel 78"/>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9">
    <w:name w:val="ListLabel 79"/>
    <w:qFormat/>
    <w:rsid w:val="00F1264F"/>
    <w:rPr>
      <w:rFonts w:ascii="Arial" w:hAnsi="Arial"/>
      <w:sz w:val="18"/>
      <w:szCs w:val="18"/>
    </w:rPr>
  </w:style>
  <w:style w:type="character" w:customStyle="1" w:styleId="ListLabel80">
    <w:name w:val="ListLabel 80"/>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1">
    <w:name w:val="ListLabel 81"/>
    <w:qFormat/>
    <w:rsid w:val="00F1264F"/>
    <w:rPr>
      <w:rFonts w:eastAsiaTheme="minorHAnsi" w:cstheme="minorBidi"/>
      <w:highlight w:val="yellow"/>
    </w:rPr>
  </w:style>
  <w:style w:type="character" w:customStyle="1" w:styleId="ListLabel82">
    <w:name w:val="ListLabel 82"/>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3">
    <w:name w:val="ListLabel 83"/>
    <w:qFormat/>
    <w:rsid w:val="00F1264F"/>
    <w:rPr>
      <w:rFonts w:ascii="Arial" w:hAnsi="Arial"/>
      <w:sz w:val="18"/>
      <w:szCs w:val="18"/>
    </w:rPr>
  </w:style>
  <w:style w:type="character" w:customStyle="1" w:styleId="ListLabel84">
    <w:name w:val="ListLabel 84"/>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5">
    <w:name w:val="ListLabel 85"/>
    <w:qFormat/>
    <w:rsid w:val="00F1264F"/>
    <w:rPr>
      <w:rFonts w:eastAsiaTheme="minorHAnsi" w:cstheme="minorBidi"/>
      <w:highlight w:val="yellow"/>
    </w:rPr>
  </w:style>
  <w:style w:type="character" w:customStyle="1" w:styleId="ListLabel86">
    <w:name w:val="ListLabel 86"/>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7">
    <w:name w:val="ListLabel 87"/>
    <w:qFormat/>
    <w:rsid w:val="00F1264F"/>
    <w:rPr>
      <w:rFonts w:ascii="Arial" w:hAnsi="Arial"/>
      <w:sz w:val="18"/>
      <w:szCs w:val="18"/>
    </w:rPr>
  </w:style>
  <w:style w:type="character" w:customStyle="1" w:styleId="ListLabel88">
    <w:name w:val="ListLabel 88"/>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9">
    <w:name w:val="ListLabel 89"/>
    <w:qFormat/>
    <w:rsid w:val="00F1264F"/>
    <w:rPr>
      <w:rFonts w:eastAsiaTheme="minorHAnsi" w:cstheme="minorBidi"/>
      <w:highlight w:val="yellow"/>
    </w:rPr>
  </w:style>
  <w:style w:type="character" w:customStyle="1" w:styleId="ListLabel90">
    <w:name w:val="ListLabel 90"/>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1">
    <w:name w:val="ListLabel 91"/>
    <w:qFormat/>
    <w:rsid w:val="00F1264F"/>
    <w:rPr>
      <w:rFonts w:ascii="Arial" w:hAnsi="Arial"/>
      <w:sz w:val="18"/>
      <w:szCs w:val="18"/>
    </w:rPr>
  </w:style>
  <w:style w:type="character" w:customStyle="1" w:styleId="ListLabel92">
    <w:name w:val="ListLabel 92"/>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3">
    <w:name w:val="ListLabel 93"/>
    <w:qFormat/>
    <w:rsid w:val="00F1264F"/>
    <w:rPr>
      <w:rFonts w:eastAsiaTheme="minorHAnsi" w:cstheme="minorBidi"/>
      <w:highlight w:val="yellow"/>
    </w:rPr>
  </w:style>
  <w:style w:type="character" w:customStyle="1" w:styleId="ListLabel94">
    <w:name w:val="ListLabel 94"/>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5">
    <w:name w:val="ListLabel 95"/>
    <w:qFormat/>
    <w:rsid w:val="00F1264F"/>
    <w:rPr>
      <w:rFonts w:ascii="Arial" w:hAnsi="Arial"/>
      <w:sz w:val="18"/>
      <w:szCs w:val="18"/>
    </w:rPr>
  </w:style>
  <w:style w:type="character" w:customStyle="1" w:styleId="ListLabel96">
    <w:name w:val="ListLabel 96"/>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7">
    <w:name w:val="ListLabel 97"/>
    <w:qFormat/>
    <w:rsid w:val="00F1264F"/>
    <w:rPr>
      <w:rFonts w:eastAsiaTheme="minorHAnsi" w:cstheme="minorBidi"/>
      <w:highlight w:val="yellow"/>
    </w:rPr>
  </w:style>
  <w:style w:type="character" w:customStyle="1" w:styleId="ListLabel98">
    <w:name w:val="ListLabel 98"/>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9">
    <w:name w:val="ListLabel 99"/>
    <w:qFormat/>
    <w:rsid w:val="00F1264F"/>
    <w:rPr>
      <w:rFonts w:ascii="Arial" w:hAnsi="Arial"/>
      <w:sz w:val="18"/>
      <w:szCs w:val="18"/>
    </w:rPr>
  </w:style>
  <w:style w:type="character" w:customStyle="1" w:styleId="ListLabel100">
    <w:name w:val="ListLabel 100"/>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1">
    <w:name w:val="ListLabel 101"/>
    <w:qFormat/>
    <w:rsid w:val="00F1264F"/>
    <w:rPr>
      <w:rFonts w:eastAsiaTheme="minorHAnsi" w:cstheme="minorBidi"/>
      <w:highlight w:val="yellow"/>
    </w:rPr>
  </w:style>
  <w:style w:type="character" w:customStyle="1" w:styleId="ListLabel102">
    <w:name w:val="ListLabel 102"/>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3">
    <w:name w:val="ListLabel 103"/>
    <w:qFormat/>
    <w:rsid w:val="00F1264F"/>
    <w:rPr>
      <w:rFonts w:ascii="Arial" w:hAnsi="Arial"/>
      <w:sz w:val="18"/>
      <w:szCs w:val="18"/>
    </w:rPr>
  </w:style>
  <w:style w:type="character" w:customStyle="1" w:styleId="ListLabel104">
    <w:name w:val="ListLabel 104"/>
    <w:qFormat/>
    <w:rsid w:val="00F1264F"/>
    <w:rPr>
      <w:rFonts w:ascii="Arial" w:hAnsi="Arial" w:cs="ArialMT"/>
      <w:b w:val="0"/>
      <w:i w:val="0"/>
      <w:strike w:val="0"/>
      <w:dstrike w:val="0"/>
      <w:color w:val="000000"/>
      <w:sz w:val="18"/>
      <w:szCs w:val="18"/>
      <w:highlight w:val="yellow"/>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5">
    <w:name w:val="ListLabel 105"/>
    <w:qFormat/>
    <w:rsid w:val="00F1264F"/>
    <w:rPr>
      <w:rFonts w:eastAsiaTheme="minorHAnsi" w:cstheme="minorBidi"/>
      <w:highlight w:val="yellow"/>
    </w:rPr>
  </w:style>
  <w:style w:type="character" w:customStyle="1" w:styleId="ListLabel106">
    <w:name w:val="ListLabel 106"/>
    <w:qFormat/>
    <w:rsid w:val="00F1264F"/>
    <w:rPr>
      <w:rFonts w:ascii="Arial" w:hAnsi="Arial"/>
      <w:b/>
      <w:i w:val="0"/>
      <w:strike w:val="0"/>
      <w:dstrike w:val="0"/>
      <w:color w:val="000000"/>
      <w:sz w:val="18"/>
      <w:highlight w:val="yellow"/>
      <w:u w:val="none"/>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Seznam">
    <w:name w:val="List"/>
    <w:basedOn w:val="Zkladntext"/>
    <w:rsid w:val="00F1264F"/>
    <w:rPr>
      <w:rFonts w:cs="Arial"/>
    </w:rPr>
  </w:style>
  <w:style w:type="paragraph" w:customStyle="1" w:styleId="Rejstk">
    <w:name w:val="Rejstřík"/>
    <w:basedOn w:val="Normln"/>
    <w:qFormat/>
    <w:rsid w:val="00F1264F"/>
    <w:pPr>
      <w:suppressLineNumbers/>
      <w:spacing w:after="160" w:line="259" w:lineRule="auto"/>
    </w:pPr>
    <w:rPr>
      <w:rFonts w:asciiTheme="minorHAnsi" w:hAnsiTheme="minorHAnsi" w:cs="Arial"/>
    </w:rPr>
  </w:style>
  <w:style w:type="paragraph" w:customStyle="1" w:styleId="Obsahtabulky">
    <w:name w:val="Obsah tabulky"/>
    <w:basedOn w:val="Normln"/>
    <w:qFormat/>
    <w:rsid w:val="00F1264F"/>
    <w:pPr>
      <w:suppressLineNumbers/>
      <w:spacing w:after="160" w:line="259" w:lineRule="auto"/>
    </w:pPr>
    <w:rPr>
      <w:rFonts w:asciiTheme="minorHAnsi" w:hAnsiTheme="minorHAnsi" w:cstheme="minorBidi"/>
    </w:rPr>
  </w:style>
  <w:style w:type="paragraph" w:customStyle="1" w:styleId="Nadpistabulky">
    <w:name w:val="Nadpis tabulky"/>
    <w:basedOn w:val="Obsahtabulky"/>
    <w:qFormat/>
    <w:rsid w:val="00F1264F"/>
    <w:pPr>
      <w:jc w:val="center"/>
    </w:pPr>
    <w:rPr>
      <w:b/>
      <w:bCs/>
    </w:rPr>
  </w:style>
  <w:style w:type="paragraph" w:customStyle="1" w:styleId="Nadpis10">
    <w:name w:val="Nadpis 10"/>
    <w:basedOn w:val="Nadpis"/>
    <w:next w:val="Zkladntext"/>
    <w:qFormat/>
    <w:rsid w:val="00F1264F"/>
    <w:pPr>
      <w:spacing w:before="60" w:after="60"/>
      <w:outlineLvl w:val="8"/>
    </w:pPr>
    <w:rPr>
      <w:b/>
      <w:bCs/>
      <w:sz w:val="21"/>
      <w:szCs w:val="21"/>
    </w:rPr>
  </w:style>
  <w:style w:type="character" w:customStyle="1" w:styleId="poznamka-nadpis">
    <w:name w:val="poznamka-nadpis"/>
    <w:basedOn w:val="Standardnpsmoodstavce"/>
    <w:rsid w:val="00F1264F"/>
  </w:style>
  <w:style w:type="table" w:customStyle="1" w:styleId="Svtltabulkasmkou1zvraznn11">
    <w:name w:val="Světlá tabulka s mřížkou 1 – zvýraznění 11"/>
    <w:basedOn w:val="Normlntabulka"/>
    <w:uiPriority w:val="46"/>
    <w:rsid w:val="00F126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markedcontent">
    <w:name w:val="markedcontent"/>
    <w:basedOn w:val="Standardnpsmoodstavce"/>
    <w:rsid w:val="00F1264F"/>
  </w:style>
  <w:style w:type="character" w:customStyle="1" w:styleId="PedmtkomenteChar1">
    <w:name w:val="Předmět komentáře Char1"/>
    <w:basedOn w:val="TextkomenteChar"/>
    <w:uiPriority w:val="99"/>
    <w:semiHidden/>
    <w:rsid w:val="00EE43AF"/>
    <w:rPr>
      <w:rFonts w:ascii="Calibri" w:hAnsi="Calibri" w:cs="Calibri"/>
      <w:b/>
      <w:bCs/>
      <w:sz w:val="20"/>
      <w:szCs w:val="20"/>
    </w:rPr>
  </w:style>
  <w:style w:type="table" w:customStyle="1" w:styleId="Svtltabulkasmkou1zvraznn51">
    <w:name w:val="Světlá tabulka s mřížkou 1 – zvýraznění 51"/>
    <w:basedOn w:val="Normlntabulka"/>
    <w:uiPriority w:val="46"/>
    <w:rsid w:val="00E366C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Svtltabulkasmkou1zvraznn12">
    <w:name w:val="Světlá tabulka s mřížkou 1 – zvýraznění 12"/>
    <w:basedOn w:val="Normlntabulka"/>
    <w:uiPriority w:val="46"/>
    <w:rsid w:val="00D6793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vtltabulkasmkou1zvraznn52">
    <w:name w:val="Světlá tabulka s mřížkou 1 – zvýraznění 52"/>
    <w:basedOn w:val="Normlntabulka"/>
    <w:uiPriority w:val="46"/>
    <w:rsid w:val="00D6793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ZhlavChar1">
    <w:name w:val="Záhlaví Char1"/>
    <w:basedOn w:val="Standardnpsmoodstavce"/>
    <w:uiPriority w:val="99"/>
    <w:semiHidden/>
    <w:rsid w:val="00B835F6"/>
    <w:rPr>
      <w:rFonts w:ascii="Calibri" w:hAnsi="Calibri" w:cs="Calibri"/>
    </w:rPr>
  </w:style>
  <w:style w:type="character" w:customStyle="1" w:styleId="ZpatChar1">
    <w:name w:val="Zápatí Char1"/>
    <w:basedOn w:val="Standardnpsmoodstavce"/>
    <w:uiPriority w:val="99"/>
    <w:semiHidden/>
    <w:rsid w:val="00B835F6"/>
    <w:rPr>
      <w:rFonts w:ascii="Calibri" w:hAnsi="Calibri" w:cs="Calibri"/>
    </w:rPr>
  </w:style>
  <w:style w:type="character" w:customStyle="1" w:styleId="TextbublinyChar1">
    <w:name w:val="Text bubliny Char1"/>
    <w:basedOn w:val="Standardnpsmoodstavce"/>
    <w:uiPriority w:val="99"/>
    <w:semiHidden/>
    <w:rsid w:val="00B835F6"/>
    <w:rPr>
      <w:rFonts w:ascii="Tahoma" w:hAnsi="Tahoma" w:cs="Tahoma"/>
      <w:sz w:val="16"/>
      <w:szCs w:val="16"/>
    </w:rPr>
  </w:style>
  <w:style w:type="character" w:customStyle="1" w:styleId="TextpoznpodarouChar1">
    <w:name w:val="Text pozn. pod čarou Char1"/>
    <w:basedOn w:val="Standardnpsmoodstavce"/>
    <w:uiPriority w:val="99"/>
    <w:semiHidden/>
    <w:rsid w:val="00B835F6"/>
    <w:rPr>
      <w:rFonts w:ascii="Calibri" w:hAnsi="Calibri" w:cs="Calibri"/>
      <w:sz w:val="20"/>
      <w:szCs w:val="20"/>
    </w:rPr>
  </w:style>
  <w:style w:type="character" w:customStyle="1" w:styleId="TextkomenteChar1">
    <w:name w:val="Text komentáře Char1"/>
    <w:basedOn w:val="Standardnpsmoodstavce"/>
    <w:uiPriority w:val="99"/>
    <w:semiHidden/>
    <w:rsid w:val="00B835F6"/>
    <w:rPr>
      <w:rFonts w:ascii="Calibri" w:hAnsi="Calibri" w:cs="Calibri"/>
      <w:sz w:val="20"/>
      <w:szCs w:val="20"/>
    </w:rPr>
  </w:style>
  <w:style w:type="table" w:customStyle="1" w:styleId="Svtlmkatabulky1">
    <w:name w:val="Světlá mřížka tabulky1"/>
    <w:basedOn w:val="Normlntabulka"/>
    <w:uiPriority w:val="40"/>
    <w:rsid w:val="00DB170D"/>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eenzmnka1">
    <w:name w:val="Nevyřešená zmínka1"/>
    <w:basedOn w:val="Standardnpsmoodstavce"/>
    <w:uiPriority w:val="99"/>
    <w:semiHidden/>
    <w:unhideWhenUsed/>
    <w:rsid w:val="00A748E0"/>
    <w:rPr>
      <w:color w:val="605E5C"/>
      <w:shd w:val="clear" w:color="auto" w:fill="E1DFDD"/>
    </w:rPr>
  </w:style>
  <w:style w:type="paragraph" w:customStyle="1" w:styleId="v1msonormal">
    <w:name w:val="v1msonormal"/>
    <w:basedOn w:val="Normln"/>
    <w:rsid w:val="009A6D2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5427CE"/>
  </w:style>
  <w:style w:type="character" w:customStyle="1" w:styleId="eop">
    <w:name w:val="eop"/>
    <w:basedOn w:val="Standardnpsmoodstavce"/>
    <w:rsid w:val="005427CE"/>
  </w:style>
  <w:style w:type="character" w:customStyle="1" w:styleId="Nevyeenzmnka2">
    <w:name w:val="Nevyřešená zmínka2"/>
    <w:basedOn w:val="Standardnpsmoodstavce"/>
    <w:uiPriority w:val="99"/>
    <w:semiHidden/>
    <w:unhideWhenUsed/>
    <w:rsid w:val="005171BC"/>
    <w:rPr>
      <w:color w:val="605E5C"/>
      <w:shd w:val="clear" w:color="auto" w:fill="E1DFDD"/>
    </w:rPr>
  </w:style>
  <w:style w:type="character" w:styleId="Sledovanodkaz">
    <w:name w:val="FollowedHyperlink"/>
    <w:basedOn w:val="Standardnpsmoodstavce"/>
    <w:uiPriority w:val="99"/>
    <w:semiHidden/>
    <w:unhideWhenUsed/>
    <w:rsid w:val="00535D80"/>
    <w:rPr>
      <w:color w:val="954F72" w:themeColor="followedHyperlink"/>
      <w:u w:val="single"/>
    </w:rPr>
  </w:style>
  <w:style w:type="character" w:styleId="Zdraznn">
    <w:name w:val="Emphasis"/>
    <w:basedOn w:val="Standardnpsmoodstavce"/>
    <w:uiPriority w:val="20"/>
    <w:qFormat/>
    <w:rsid w:val="002839CF"/>
    <w:rPr>
      <w:i/>
      <w:iCs/>
    </w:rPr>
  </w:style>
  <w:style w:type="paragraph" w:customStyle="1" w:styleId="TextA">
    <w:name w:val="Text A"/>
    <w:rsid w:val="00855D95"/>
    <w:pPr>
      <w:spacing w:after="0" w:line="240" w:lineRule="auto"/>
    </w:pPr>
    <w:rPr>
      <w:rFonts w:ascii="Times New Roman" w:eastAsia="Arial Unicode MS" w:hAnsi="Times New Roman" w:cs="Arial Unicode MS"/>
      <w:color w:val="000000"/>
      <w:sz w:val="24"/>
      <w:szCs w:val="24"/>
      <w:u w:color="000000"/>
      <w:lang w:val="de-DE" w:eastAsia="cs-CZ"/>
    </w:rPr>
  </w:style>
  <w:style w:type="paragraph" w:customStyle="1" w:styleId="Text">
    <w:name w:val="Text"/>
    <w:rsid w:val="00855D9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cs-CZ"/>
    </w:rPr>
  </w:style>
  <w:style w:type="paragraph" w:customStyle="1" w:styleId="Vchoz">
    <w:name w:val="Výchozí"/>
    <w:rsid w:val="00513F6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cs-CZ"/>
    </w:rPr>
  </w:style>
  <w:style w:type="character" w:customStyle="1" w:styleId="Hyperlink0">
    <w:name w:val="Hyperlink.0"/>
    <w:basedOn w:val="Standardnpsmoodstavce"/>
    <w:rsid w:val="00513F64"/>
    <w:rPr>
      <w:rFonts w:ascii="Arial Narrow" w:eastAsia="Arial Narrow" w:hAnsi="Arial Narrow" w:cs="Arial Narrow"/>
      <w:color w:val="000000"/>
      <w:u w:val="single" w:color="000000"/>
    </w:rPr>
  </w:style>
  <w:style w:type="character" w:styleId="Odkaznakoment">
    <w:name w:val="annotation reference"/>
    <w:basedOn w:val="Standardnpsmoodstavce"/>
    <w:uiPriority w:val="99"/>
    <w:semiHidden/>
    <w:unhideWhenUsed/>
    <w:rsid w:val="00893AB3"/>
    <w:rPr>
      <w:sz w:val="16"/>
      <w:szCs w:val="16"/>
    </w:rPr>
  </w:style>
  <w:style w:type="character" w:customStyle="1" w:styleId="Nevyeenzmnka20">
    <w:name w:val="Nevyřešená zmínka2"/>
    <w:basedOn w:val="Standardnpsmoodstavce"/>
    <w:uiPriority w:val="99"/>
    <w:semiHidden/>
    <w:unhideWhenUsed/>
    <w:rsid w:val="00B4465C"/>
    <w:rPr>
      <w:color w:val="605E5C"/>
      <w:shd w:val="clear" w:color="auto" w:fill="E1DFDD"/>
    </w:rPr>
  </w:style>
  <w:style w:type="paragraph" w:styleId="Revize">
    <w:name w:val="Revision"/>
    <w:hidden/>
    <w:uiPriority w:val="99"/>
    <w:semiHidden/>
    <w:rsid w:val="00204E22"/>
    <w:pPr>
      <w:spacing w:after="0" w:line="240" w:lineRule="auto"/>
    </w:pPr>
    <w:rPr>
      <w:rFonts w:ascii="Calibri" w:hAnsi="Calibri" w:cs="Calibri"/>
    </w:rPr>
  </w:style>
  <w:style w:type="character" w:customStyle="1" w:styleId="Nevyeenzmnka3">
    <w:name w:val="Nevyřešená zmínka3"/>
    <w:basedOn w:val="Standardnpsmoodstavce"/>
    <w:uiPriority w:val="99"/>
    <w:semiHidden/>
    <w:unhideWhenUsed/>
    <w:rsid w:val="008F5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9677">
      <w:bodyDiv w:val="1"/>
      <w:marLeft w:val="0"/>
      <w:marRight w:val="0"/>
      <w:marTop w:val="0"/>
      <w:marBottom w:val="0"/>
      <w:divBdr>
        <w:top w:val="none" w:sz="0" w:space="0" w:color="auto"/>
        <w:left w:val="none" w:sz="0" w:space="0" w:color="auto"/>
        <w:bottom w:val="none" w:sz="0" w:space="0" w:color="auto"/>
        <w:right w:val="none" w:sz="0" w:space="0" w:color="auto"/>
      </w:divBdr>
    </w:div>
    <w:div w:id="153568275">
      <w:bodyDiv w:val="1"/>
      <w:marLeft w:val="0"/>
      <w:marRight w:val="0"/>
      <w:marTop w:val="0"/>
      <w:marBottom w:val="0"/>
      <w:divBdr>
        <w:top w:val="none" w:sz="0" w:space="0" w:color="auto"/>
        <w:left w:val="none" w:sz="0" w:space="0" w:color="auto"/>
        <w:bottom w:val="none" w:sz="0" w:space="0" w:color="auto"/>
        <w:right w:val="none" w:sz="0" w:space="0" w:color="auto"/>
      </w:divBdr>
    </w:div>
    <w:div w:id="157693364">
      <w:bodyDiv w:val="1"/>
      <w:marLeft w:val="0"/>
      <w:marRight w:val="0"/>
      <w:marTop w:val="0"/>
      <w:marBottom w:val="0"/>
      <w:divBdr>
        <w:top w:val="none" w:sz="0" w:space="0" w:color="auto"/>
        <w:left w:val="none" w:sz="0" w:space="0" w:color="auto"/>
        <w:bottom w:val="none" w:sz="0" w:space="0" w:color="auto"/>
        <w:right w:val="none" w:sz="0" w:space="0" w:color="auto"/>
      </w:divBdr>
    </w:div>
    <w:div w:id="164130083">
      <w:bodyDiv w:val="1"/>
      <w:marLeft w:val="0"/>
      <w:marRight w:val="0"/>
      <w:marTop w:val="0"/>
      <w:marBottom w:val="0"/>
      <w:divBdr>
        <w:top w:val="none" w:sz="0" w:space="0" w:color="auto"/>
        <w:left w:val="none" w:sz="0" w:space="0" w:color="auto"/>
        <w:bottom w:val="none" w:sz="0" w:space="0" w:color="auto"/>
        <w:right w:val="none" w:sz="0" w:space="0" w:color="auto"/>
      </w:divBdr>
    </w:div>
    <w:div w:id="170028945">
      <w:bodyDiv w:val="1"/>
      <w:marLeft w:val="0"/>
      <w:marRight w:val="0"/>
      <w:marTop w:val="0"/>
      <w:marBottom w:val="0"/>
      <w:divBdr>
        <w:top w:val="none" w:sz="0" w:space="0" w:color="auto"/>
        <w:left w:val="none" w:sz="0" w:space="0" w:color="auto"/>
        <w:bottom w:val="none" w:sz="0" w:space="0" w:color="auto"/>
        <w:right w:val="none" w:sz="0" w:space="0" w:color="auto"/>
      </w:divBdr>
    </w:div>
    <w:div w:id="222256877">
      <w:bodyDiv w:val="1"/>
      <w:marLeft w:val="0"/>
      <w:marRight w:val="0"/>
      <w:marTop w:val="0"/>
      <w:marBottom w:val="0"/>
      <w:divBdr>
        <w:top w:val="none" w:sz="0" w:space="0" w:color="auto"/>
        <w:left w:val="none" w:sz="0" w:space="0" w:color="auto"/>
        <w:bottom w:val="none" w:sz="0" w:space="0" w:color="auto"/>
        <w:right w:val="none" w:sz="0" w:space="0" w:color="auto"/>
      </w:divBdr>
    </w:div>
    <w:div w:id="232551544">
      <w:bodyDiv w:val="1"/>
      <w:marLeft w:val="0"/>
      <w:marRight w:val="0"/>
      <w:marTop w:val="0"/>
      <w:marBottom w:val="0"/>
      <w:divBdr>
        <w:top w:val="none" w:sz="0" w:space="0" w:color="auto"/>
        <w:left w:val="none" w:sz="0" w:space="0" w:color="auto"/>
        <w:bottom w:val="none" w:sz="0" w:space="0" w:color="auto"/>
        <w:right w:val="none" w:sz="0" w:space="0" w:color="auto"/>
      </w:divBdr>
    </w:div>
    <w:div w:id="352150491">
      <w:bodyDiv w:val="1"/>
      <w:marLeft w:val="0"/>
      <w:marRight w:val="0"/>
      <w:marTop w:val="0"/>
      <w:marBottom w:val="0"/>
      <w:divBdr>
        <w:top w:val="none" w:sz="0" w:space="0" w:color="auto"/>
        <w:left w:val="none" w:sz="0" w:space="0" w:color="auto"/>
        <w:bottom w:val="none" w:sz="0" w:space="0" w:color="auto"/>
        <w:right w:val="none" w:sz="0" w:space="0" w:color="auto"/>
      </w:divBdr>
    </w:div>
    <w:div w:id="371612979">
      <w:bodyDiv w:val="1"/>
      <w:marLeft w:val="0"/>
      <w:marRight w:val="0"/>
      <w:marTop w:val="0"/>
      <w:marBottom w:val="0"/>
      <w:divBdr>
        <w:top w:val="none" w:sz="0" w:space="0" w:color="auto"/>
        <w:left w:val="none" w:sz="0" w:space="0" w:color="auto"/>
        <w:bottom w:val="none" w:sz="0" w:space="0" w:color="auto"/>
        <w:right w:val="none" w:sz="0" w:space="0" w:color="auto"/>
      </w:divBdr>
    </w:div>
    <w:div w:id="374045113">
      <w:bodyDiv w:val="1"/>
      <w:marLeft w:val="0"/>
      <w:marRight w:val="0"/>
      <w:marTop w:val="0"/>
      <w:marBottom w:val="0"/>
      <w:divBdr>
        <w:top w:val="none" w:sz="0" w:space="0" w:color="auto"/>
        <w:left w:val="none" w:sz="0" w:space="0" w:color="auto"/>
        <w:bottom w:val="none" w:sz="0" w:space="0" w:color="auto"/>
        <w:right w:val="none" w:sz="0" w:space="0" w:color="auto"/>
      </w:divBdr>
    </w:div>
    <w:div w:id="423957534">
      <w:bodyDiv w:val="1"/>
      <w:marLeft w:val="0"/>
      <w:marRight w:val="0"/>
      <w:marTop w:val="0"/>
      <w:marBottom w:val="0"/>
      <w:divBdr>
        <w:top w:val="none" w:sz="0" w:space="0" w:color="auto"/>
        <w:left w:val="none" w:sz="0" w:space="0" w:color="auto"/>
        <w:bottom w:val="none" w:sz="0" w:space="0" w:color="auto"/>
        <w:right w:val="none" w:sz="0" w:space="0" w:color="auto"/>
      </w:divBdr>
    </w:div>
    <w:div w:id="434714044">
      <w:bodyDiv w:val="1"/>
      <w:marLeft w:val="0"/>
      <w:marRight w:val="0"/>
      <w:marTop w:val="0"/>
      <w:marBottom w:val="0"/>
      <w:divBdr>
        <w:top w:val="none" w:sz="0" w:space="0" w:color="auto"/>
        <w:left w:val="none" w:sz="0" w:space="0" w:color="auto"/>
        <w:bottom w:val="none" w:sz="0" w:space="0" w:color="auto"/>
        <w:right w:val="none" w:sz="0" w:space="0" w:color="auto"/>
      </w:divBdr>
    </w:div>
    <w:div w:id="458954571">
      <w:bodyDiv w:val="1"/>
      <w:marLeft w:val="0"/>
      <w:marRight w:val="0"/>
      <w:marTop w:val="0"/>
      <w:marBottom w:val="0"/>
      <w:divBdr>
        <w:top w:val="none" w:sz="0" w:space="0" w:color="auto"/>
        <w:left w:val="none" w:sz="0" w:space="0" w:color="auto"/>
        <w:bottom w:val="none" w:sz="0" w:space="0" w:color="auto"/>
        <w:right w:val="none" w:sz="0" w:space="0" w:color="auto"/>
      </w:divBdr>
    </w:div>
    <w:div w:id="467011044">
      <w:bodyDiv w:val="1"/>
      <w:marLeft w:val="0"/>
      <w:marRight w:val="0"/>
      <w:marTop w:val="0"/>
      <w:marBottom w:val="0"/>
      <w:divBdr>
        <w:top w:val="none" w:sz="0" w:space="0" w:color="auto"/>
        <w:left w:val="none" w:sz="0" w:space="0" w:color="auto"/>
        <w:bottom w:val="none" w:sz="0" w:space="0" w:color="auto"/>
        <w:right w:val="none" w:sz="0" w:space="0" w:color="auto"/>
      </w:divBdr>
    </w:div>
    <w:div w:id="499349894">
      <w:bodyDiv w:val="1"/>
      <w:marLeft w:val="0"/>
      <w:marRight w:val="0"/>
      <w:marTop w:val="0"/>
      <w:marBottom w:val="0"/>
      <w:divBdr>
        <w:top w:val="none" w:sz="0" w:space="0" w:color="auto"/>
        <w:left w:val="none" w:sz="0" w:space="0" w:color="auto"/>
        <w:bottom w:val="none" w:sz="0" w:space="0" w:color="auto"/>
        <w:right w:val="none" w:sz="0" w:space="0" w:color="auto"/>
      </w:divBdr>
    </w:div>
    <w:div w:id="521363930">
      <w:bodyDiv w:val="1"/>
      <w:marLeft w:val="0"/>
      <w:marRight w:val="0"/>
      <w:marTop w:val="0"/>
      <w:marBottom w:val="0"/>
      <w:divBdr>
        <w:top w:val="none" w:sz="0" w:space="0" w:color="auto"/>
        <w:left w:val="none" w:sz="0" w:space="0" w:color="auto"/>
        <w:bottom w:val="none" w:sz="0" w:space="0" w:color="auto"/>
        <w:right w:val="none" w:sz="0" w:space="0" w:color="auto"/>
      </w:divBdr>
    </w:div>
    <w:div w:id="558828210">
      <w:bodyDiv w:val="1"/>
      <w:marLeft w:val="0"/>
      <w:marRight w:val="0"/>
      <w:marTop w:val="0"/>
      <w:marBottom w:val="0"/>
      <w:divBdr>
        <w:top w:val="none" w:sz="0" w:space="0" w:color="auto"/>
        <w:left w:val="none" w:sz="0" w:space="0" w:color="auto"/>
        <w:bottom w:val="none" w:sz="0" w:space="0" w:color="auto"/>
        <w:right w:val="none" w:sz="0" w:space="0" w:color="auto"/>
      </w:divBdr>
    </w:div>
    <w:div w:id="621617893">
      <w:bodyDiv w:val="1"/>
      <w:marLeft w:val="0"/>
      <w:marRight w:val="0"/>
      <w:marTop w:val="0"/>
      <w:marBottom w:val="0"/>
      <w:divBdr>
        <w:top w:val="none" w:sz="0" w:space="0" w:color="auto"/>
        <w:left w:val="none" w:sz="0" w:space="0" w:color="auto"/>
        <w:bottom w:val="none" w:sz="0" w:space="0" w:color="auto"/>
        <w:right w:val="none" w:sz="0" w:space="0" w:color="auto"/>
      </w:divBdr>
    </w:div>
    <w:div w:id="644435649">
      <w:bodyDiv w:val="1"/>
      <w:marLeft w:val="0"/>
      <w:marRight w:val="0"/>
      <w:marTop w:val="0"/>
      <w:marBottom w:val="0"/>
      <w:divBdr>
        <w:top w:val="none" w:sz="0" w:space="0" w:color="auto"/>
        <w:left w:val="none" w:sz="0" w:space="0" w:color="auto"/>
        <w:bottom w:val="none" w:sz="0" w:space="0" w:color="auto"/>
        <w:right w:val="none" w:sz="0" w:space="0" w:color="auto"/>
      </w:divBdr>
    </w:div>
    <w:div w:id="690379555">
      <w:bodyDiv w:val="1"/>
      <w:marLeft w:val="0"/>
      <w:marRight w:val="0"/>
      <w:marTop w:val="0"/>
      <w:marBottom w:val="0"/>
      <w:divBdr>
        <w:top w:val="none" w:sz="0" w:space="0" w:color="auto"/>
        <w:left w:val="none" w:sz="0" w:space="0" w:color="auto"/>
        <w:bottom w:val="none" w:sz="0" w:space="0" w:color="auto"/>
        <w:right w:val="none" w:sz="0" w:space="0" w:color="auto"/>
      </w:divBdr>
    </w:div>
    <w:div w:id="746851384">
      <w:bodyDiv w:val="1"/>
      <w:marLeft w:val="0"/>
      <w:marRight w:val="0"/>
      <w:marTop w:val="0"/>
      <w:marBottom w:val="0"/>
      <w:divBdr>
        <w:top w:val="none" w:sz="0" w:space="0" w:color="auto"/>
        <w:left w:val="none" w:sz="0" w:space="0" w:color="auto"/>
        <w:bottom w:val="none" w:sz="0" w:space="0" w:color="auto"/>
        <w:right w:val="none" w:sz="0" w:space="0" w:color="auto"/>
      </w:divBdr>
    </w:div>
    <w:div w:id="831525496">
      <w:bodyDiv w:val="1"/>
      <w:marLeft w:val="0"/>
      <w:marRight w:val="0"/>
      <w:marTop w:val="0"/>
      <w:marBottom w:val="0"/>
      <w:divBdr>
        <w:top w:val="none" w:sz="0" w:space="0" w:color="auto"/>
        <w:left w:val="none" w:sz="0" w:space="0" w:color="auto"/>
        <w:bottom w:val="none" w:sz="0" w:space="0" w:color="auto"/>
        <w:right w:val="none" w:sz="0" w:space="0" w:color="auto"/>
      </w:divBdr>
    </w:div>
    <w:div w:id="873226639">
      <w:bodyDiv w:val="1"/>
      <w:marLeft w:val="0"/>
      <w:marRight w:val="0"/>
      <w:marTop w:val="0"/>
      <w:marBottom w:val="0"/>
      <w:divBdr>
        <w:top w:val="none" w:sz="0" w:space="0" w:color="auto"/>
        <w:left w:val="none" w:sz="0" w:space="0" w:color="auto"/>
        <w:bottom w:val="none" w:sz="0" w:space="0" w:color="auto"/>
        <w:right w:val="none" w:sz="0" w:space="0" w:color="auto"/>
      </w:divBdr>
    </w:div>
    <w:div w:id="882448933">
      <w:bodyDiv w:val="1"/>
      <w:marLeft w:val="0"/>
      <w:marRight w:val="0"/>
      <w:marTop w:val="0"/>
      <w:marBottom w:val="0"/>
      <w:divBdr>
        <w:top w:val="none" w:sz="0" w:space="0" w:color="auto"/>
        <w:left w:val="none" w:sz="0" w:space="0" w:color="auto"/>
        <w:bottom w:val="none" w:sz="0" w:space="0" w:color="auto"/>
        <w:right w:val="none" w:sz="0" w:space="0" w:color="auto"/>
      </w:divBdr>
    </w:div>
    <w:div w:id="942810382">
      <w:bodyDiv w:val="1"/>
      <w:marLeft w:val="0"/>
      <w:marRight w:val="0"/>
      <w:marTop w:val="0"/>
      <w:marBottom w:val="0"/>
      <w:divBdr>
        <w:top w:val="none" w:sz="0" w:space="0" w:color="auto"/>
        <w:left w:val="none" w:sz="0" w:space="0" w:color="auto"/>
        <w:bottom w:val="none" w:sz="0" w:space="0" w:color="auto"/>
        <w:right w:val="none" w:sz="0" w:space="0" w:color="auto"/>
      </w:divBdr>
    </w:div>
    <w:div w:id="945961650">
      <w:bodyDiv w:val="1"/>
      <w:marLeft w:val="0"/>
      <w:marRight w:val="0"/>
      <w:marTop w:val="0"/>
      <w:marBottom w:val="0"/>
      <w:divBdr>
        <w:top w:val="none" w:sz="0" w:space="0" w:color="auto"/>
        <w:left w:val="none" w:sz="0" w:space="0" w:color="auto"/>
        <w:bottom w:val="none" w:sz="0" w:space="0" w:color="auto"/>
        <w:right w:val="none" w:sz="0" w:space="0" w:color="auto"/>
      </w:divBdr>
    </w:div>
    <w:div w:id="946087364">
      <w:bodyDiv w:val="1"/>
      <w:marLeft w:val="0"/>
      <w:marRight w:val="0"/>
      <w:marTop w:val="0"/>
      <w:marBottom w:val="0"/>
      <w:divBdr>
        <w:top w:val="none" w:sz="0" w:space="0" w:color="auto"/>
        <w:left w:val="none" w:sz="0" w:space="0" w:color="auto"/>
        <w:bottom w:val="none" w:sz="0" w:space="0" w:color="auto"/>
        <w:right w:val="none" w:sz="0" w:space="0" w:color="auto"/>
      </w:divBdr>
    </w:div>
    <w:div w:id="962419853">
      <w:bodyDiv w:val="1"/>
      <w:marLeft w:val="0"/>
      <w:marRight w:val="0"/>
      <w:marTop w:val="0"/>
      <w:marBottom w:val="0"/>
      <w:divBdr>
        <w:top w:val="none" w:sz="0" w:space="0" w:color="auto"/>
        <w:left w:val="none" w:sz="0" w:space="0" w:color="auto"/>
        <w:bottom w:val="none" w:sz="0" w:space="0" w:color="auto"/>
        <w:right w:val="none" w:sz="0" w:space="0" w:color="auto"/>
      </w:divBdr>
    </w:div>
    <w:div w:id="998385280">
      <w:bodyDiv w:val="1"/>
      <w:marLeft w:val="0"/>
      <w:marRight w:val="0"/>
      <w:marTop w:val="0"/>
      <w:marBottom w:val="0"/>
      <w:divBdr>
        <w:top w:val="none" w:sz="0" w:space="0" w:color="auto"/>
        <w:left w:val="none" w:sz="0" w:space="0" w:color="auto"/>
        <w:bottom w:val="none" w:sz="0" w:space="0" w:color="auto"/>
        <w:right w:val="none" w:sz="0" w:space="0" w:color="auto"/>
      </w:divBdr>
    </w:div>
    <w:div w:id="1005791060">
      <w:bodyDiv w:val="1"/>
      <w:marLeft w:val="0"/>
      <w:marRight w:val="0"/>
      <w:marTop w:val="0"/>
      <w:marBottom w:val="0"/>
      <w:divBdr>
        <w:top w:val="none" w:sz="0" w:space="0" w:color="auto"/>
        <w:left w:val="none" w:sz="0" w:space="0" w:color="auto"/>
        <w:bottom w:val="none" w:sz="0" w:space="0" w:color="auto"/>
        <w:right w:val="none" w:sz="0" w:space="0" w:color="auto"/>
      </w:divBdr>
    </w:div>
    <w:div w:id="1040084507">
      <w:bodyDiv w:val="1"/>
      <w:marLeft w:val="0"/>
      <w:marRight w:val="0"/>
      <w:marTop w:val="0"/>
      <w:marBottom w:val="0"/>
      <w:divBdr>
        <w:top w:val="none" w:sz="0" w:space="0" w:color="auto"/>
        <w:left w:val="none" w:sz="0" w:space="0" w:color="auto"/>
        <w:bottom w:val="none" w:sz="0" w:space="0" w:color="auto"/>
        <w:right w:val="none" w:sz="0" w:space="0" w:color="auto"/>
      </w:divBdr>
    </w:div>
    <w:div w:id="1062483810">
      <w:bodyDiv w:val="1"/>
      <w:marLeft w:val="0"/>
      <w:marRight w:val="0"/>
      <w:marTop w:val="0"/>
      <w:marBottom w:val="0"/>
      <w:divBdr>
        <w:top w:val="none" w:sz="0" w:space="0" w:color="auto"/>
        <w:left w:val="none" w:sz="0" w:space="0" w:color="auto"/>
        <w:bottom w:val="none" w:sz="0" w:space="0" w:color="auto"/>
        <w:right w:val="none" w:sz="0" w:space="0" w:color="auto"/>
      </w:divBdr>
    </w:div>
    <w:div w:id="1104495013">
      <w:bodyDiv w:val="1"/>
      <w:marLeft w:val="0"/>
      <w:marRight w:val="0"/>
      <w:marTop w:val="0"/>
      <w:marBottom w:val="0"/>
      <w:divBdr>
        <w:top w:val="none" w:sz="0" w:space="0" w:color="auto"/>
        <w:left w:val="none" w:sz="0" w:space="0" w:color="auto"/>
        <w:bottom w:val="none" w:sz="0" w:space="0" w:color="auto"/>
        <w:right w:val="none" w:sz="0" w:space="0" w:color="auto"/>
      </w:divBdr>
    </w:div>
    <w:div w:id="1153375214">
      <w:bodyDiv w:val="1"/>
      <w:marLeft w:val="0"/>
      <w:marRight w:val="0"/>
      <w:marTop w:val="0"/>
      <w:marBottom w:val="0"/>
      <w:divBdr>
        <w:top w:val="none" w:sz="0" w:space="0" w:color="auto"/>
        <w:left w:val="none" w:sz="0" w:space="0" w:color="auto"/>
        <w:bottom w:val="none" w:sz="0" w:space="0" w:color="auto"/>
        <w:right w:val="none" w:sz="0" w:space="0" w:color="auto"/>
      </w:divBdr>
    </w:div>
    <w:div w:id="1177647433">
      <w:bodyDiv w:val="1"/>
      <w:marLeft w:val="0"/>
      <w:marRight w:val="0"/>
      <w:marTop w:val="0"/>
      <w:marBottom w:val="0"/>
      <w:divBdr>
        <w:top w:val="none" w:sz="0" w:space="0" w:color="auto"/>
        <w:left w:val="none" w:sz="0" w:space="0" w:color="auto"/>
        <w:bottom w:val="none" w:sz="0" w:space="0" w:color="auto"/>
        <w:right w:val="none" w:sz="0" w:space="0" w:color="auto"/>
      </w:divBdr>
    </w:div>
    <w:div w:id="1232885657">
      <w:bodyDiv w:val="1"/>
      <w:marLeft w:val="0"/>
      <w:marRight w:val="0"/>
      <w:marTop w:val="0"/>
      <w:marBottom w:val="0"/>
      <w:divBdr>
        <w:top w:val="none" w:sz="0" w:space="0" w:color="auto"/>
        <w:left w:val="none" w:sz="0" w:space="0" w:color="auto"/>
        <w:bottom w:val="none" w:sz="0" w:space="0" w:color="auto"/>
        <w:right w:val="none" w:sz="0" w:space="0" w:color="auto"/>
      </w:divBdr>
    </w:div>
    <w:div w:id="1238052680">
      <w:bodyDiv w:val="1"/>
      <w:marLeft w:val="0"/>
      <w:marRight w:val="0"/>
      <w:marTop w:val="0"/>
      <w:marBottom w:val="0"/>
      <w:divBdr>
        <w:top w:val="none" w:sz="0" w:space="0" w:color="auto"/>
        <w:left w:val="none" w:sz="0" w:space="0" w:color="auto"/>
        <w:bottom w:val="none" w:sz="0" w:space="0" w:color="auto"/>
        <w:right w:val="none" w:sz="0" w:space="0" w:color="auto"/>
      </w:divBdr>
    </w:div>
    <w:div w:id="1249727899">
      <w:bodyDiv w:val="1"/>
      <w:marLeft w:val="0"/>
      <w:marRight w:val="0"/>
      <w:marTop w:val="0"/>
      <w:marBottom w:val="0"/>
      <w:divBdr>
        <w:top w:val="none" w:sz="0" w:space="0" w:color="auto"/>
        <w:left w:val="none" w:sz="0" w:space="0" w:color="auto"/>
        <w:bottom w:val="none" w:sz="0" w:space="0" w:color="auto"/>
        <w:right w:val="none" w:sz="0" w:space="0" w:color="auto"/>
      </w:divBdr>
    </w:div>
    <w:div w:id="1265069684">
      <w:bodyDiv w:val="1"/>
      <w:marLeft w:val="0"/>
      <w:marRight w:val="0"/>
      <w:marTop w:val="0"/>
      <w:marBottom w:val="0"/>
      <w:divBdr>
        <w:top w:val="none" w:sz="0" w:space="0" w:color="auto"/>
        <w:left w:val="none" w:sz="0" w:space="0" w:color="auto"/>
        <w:bottom w:val="none" w:sz="0" w:space="0" w:color="auto"/>
        <w:right w:val="none" w:sz="0" w:space="0" w:color="auto"/>
      </w:divBdr>
    </w:div>
    <w:div w:id="1316445802">
      <w:bodyDiv w:val="1"/>
      <w:marLeft w:val="0"/>
      <w:marRight w:val="0"/>
      <w:marTop w:val="0"/>
      <w:marBottom w:val="0"/>
      <w:divBdr>
        <w:top w:val="none" w:sz="0" w:space="0" w:color="auto"/>
        <w:left w:val="none" w:sz="0" w:space="0" w:color="auto"/>
        <w:bottom w:val="none" w:sz="0" w:space="0" w:color="auto"/>
        <w:right w:val="none" w:sz="0" w:space="0" w:color="auto"/>
      </w:divBdr>
    </w:div>
    <w:div w:id="1346596748">
      <w:bodyDiv w:val="1"/>
      <w:marLeft w:val="0"/>
      <w:marRight w:val="0"/>
      <w:marTop w:val="0"/>
      <w:marBottom w:val="0"/>
      <w:divBdr>
        <w:top w:val="none" w:sz="0" w:space="0" w:color="auto"/>
        <w:left w:val="none" w:sz="0" w:space="0" w:color="auto"/>
        <w:bottom w:val="none" w:sz="0" w:space="0" w:color="auto"/>
        <w:right w:val="none" w:sz="0" w:space="0" w:color="auto"/>
      </w:divBdr>
    </w:div>
    <w:div w:id="1397586175">
      <w:bodyDiv w:val="1"/>
      <w:marLeft w:val="0"/>
      <w:marRight w:val="0"/>
      <w:marTop w:val="0"/>
      <w:marBottom w:val="0"/>
      <w:divBdr>
        <w:top w:val="none" w:sz="0" w:space="0" w:color="auto"/>
        <w:left w:val="none" w:sz="0" w:space="0" w:color="auto"/>
        <w:bottom w:val="none" w:sz="0" w:space="0" w:color="auto"/>
        <w:right w:val="none" w:sz="0" w:space="0" w:color="auto"/>
      </w:divBdr>
    </w:div>
    <w:div w:id="1409616862">
      <w:bodyDiv w:val="1"/>
      <w:marLeft w:val="0"/>
      <w:marRight w:val="0"/>
      <w:marTop w:val="0"/>
      <w:marBottom w:val="0"/>
      <w:divBdr>
        <w:top w:val="none" w:sz="0" w:space="0" w:color="auto"/>
        <w:left w:val="none" w:sz="0" w:space="0" w:color="auto"/>
        <w:bottom w:val="none" w:sz="0" w:space="0" w:color="auto"/>
        <w:right w:val="none" w:sz="0" w:space="0" w:color="auto"/>
      </w:divBdr>
    </w:div>
    <w:div w:id="1460108463">
      <w:bodyDiv w:val="1"/>
      <w:marLeft w:val="0"/>
      <w:marRight w:val="0"/>
      <w:marTop w:val="0"/>
      <w:marBottom w:val="0"/>
      <w:divBdr>
        <w:top w:val="none" w:sz="0" w:space="0" w:color="auto"/>
        <w:left w:val="none" w:sz="0" w:space="0" w:color="auto"/>
        <w:bottom w:val="none" w:sz="0" w:space="0" w:color="auto"/>
        <w:right w:val="none" w:sz="0" w:space="0" w:color="auto"/>
      </w:divBdr>
    </w:div>
    <w:div w:id="1517843479">
      <w:bodyDiv w:val="1"/>
      <w:marLeft w:val="0"/>
      <w:marRight w:val="0"/>
      <w:marTop w:val="0"/>
      <w:marBottom w:val="0"/>
      <w:divBdr>
        <w:top w:val="none" w:sz="0" w:space="0" w:color="auto"/>
        <w:left w:val="none" w:sz="0" w:space="0" w:color="auto"/>
        <w:bottom w:val="none" w:sz="0" w:space="0" w:color="auto"/>
        <w:right w:val="none" w:sz="0" w:space="0" w:color="auto"/>
      </w:divBdr>
    </w:div>
    <w:div w:id="1519849754">
      <w:bodyDiv w:val="1"/>
      <w:marLeft w:val="0"/>
      <w:marRight w:val="0"/>
      <w:marTop w:val="0"/>
      <w:marBottom w:val="0"/>
      <w:divBdr>
        <w:top w:val="none" w:sz="0" w:space="0" w:color="auto"/>
        <w:left w:val="none" w:sz="0" w:space="0" w:color="auto"/>
        <w:bottom w:val="none" w:sz="0" w:space="0" w:color="auto"/>
        <w:right w:val="none" w:sz="0" w:space="0" w:color="auto"/>
      </w:divBdr>
    </w:div>
    <w:div w:id="1529444535">
      <w:bodyDiv w:val="1"/>
      <w:marLeft w:val="0"/>
      <w:marRight w:val="0"/>
      <w:marTop w:val="0"/>
      <w:marBottom w:val="0"/>
      <w:divBdr>
        <w:top w:val="none" w:sz="0" w:space="0" w:color="auto"/>
        <w:left w:val="none" w:sz="0" w:space="0" w:color="auto"/>
        <w:bottom w:val="none" w:sz="0" w:space="0" w:color="auto"/>
        <w:right w:val="none" w:sz="0" w:space="0" w:color="auto"/>
      </w:divBdr>
    </w:div>
    <w:div w:id="1686832650">
      <w:bodyDiv w:val="1"/>
      <w:marLeft w:val="0"/>
      <w:marRight w:val="0"/>
      <w:marTop w:val="0"/>
      <w:marBottom w:val="0"/>
      <w:divBdr>
        <w:top w:val="none" w:sz="0" w:space="0" w:color="auto"/>
        <w:left w:val="none" w:sz="0" w:space="0" w:color="auto"/>
        <w:bottom w:val="none" w:sz="0" w:space="0" w:color="auto"/>
        <w:right w:val="none" w:sz="0" w:space="0" w:color="auto"/>
      </w:divBdr>
    </w:div>
    <w:div w:id="1692030007">
      <w:bodyDiv w:val="1"/>
      <w:marLeft w:val="0"/>
      <w:marRight w:val="0"/>
      <w:marTop w:val="0"/>
      <w:marBottom w:val="0"/>
      <w:divBdr>
        <w:top w:val="none" w:sz="0" w:space="0" w:color="auto"/>
        <w:left w:val="none" w:sz="0" w:space="0" w:color="auto"/>
        <w:bottom w:val="none" w:sz="0" w:space="0" w:color="auto"/>
        <w:right w:val="none" w:sz="0" w:space="0" w:color="auto"/>
      </w:divBdr>
    </w:div>
    <w:div w:id="1698237596">
      <w:bodyDiv w:val="1"/>
      <w:marLeft w:val="0"/>
      <w:marRight w:val="0"/>
      <w:marTop w:val="0"/>
      <w:marBottom w:val="0"/>
      <w:divBdr>
        <w:top w:val="none" w:sz="0" w:space="0" w:color="auto"/>
        <w:left w:val="none" w:sz="0" w:space="0" w:color="auto"/>
        <w:bottom w:val="none" w:sz="0" w:space="0" w:color="auto"/>
        <w:right w:val="none" w:sz="0" w:space="0" w:color="auto"/>
      </w:divBdr>
    </w:div>
    <w:div w:id="1705714747">
      <w:bodyDiv w:val="1"/>
      <w:marLeft w:val="0"/>
      <w:marRight w:val="0"/>
      <w:marTop w:val="0"/>
      <w:marBottom w:val="0"/>
      <w:divBdr>
        <w:top w:val="none" w:sz="0" w:space="0" w:color="auto"/>
        <w:left w:val="none" w:sz="0" w:space="0" w:color="auto"/>
        <w:bottom w:val="none" w:sz="0" w:space="0" w:color="auto"/>
        <w:right w:val="none" w:sz="0" w:space="0" w:color="auto"/>
      </w:divBdr>
    </w:div>
    <w:div w:id="1746993675">
      <w:bodyDiv w:val="1"/>
      <w:marLeft w:val="0"/>
      <w:marRight w:val="0"/>
      <w:marTop w:val="0"/>
      <w:marBottom w:val="0"/>
      <w:divBdr>
        <w:top w:val="none" w:sz="0" w:space="0" w:color="auto"/>
        <w:left w:val="none" w:sz="0" w:space="0" w:color="auto"/>
        <w:bottom w:val="none" w:sz="0" w:space="0" w:color="auto"/>
        <w:right w:val="none" w:sz="0" w:space="0" w:color="auto"/>
      </w:divBdr>
    </w:div>
    <w:div w:id="1760442815">
      <w:bodyDiv w:val="1"/>
      <w:marLeft w:val="0"/>
      <w:marRight w:val="0"/>
      <w:marTop w:val="0"/>
      <w:marBottom w:val="0"/>
      <w:divBdr>
        <w:top w:val="none" w:sz="0" w:space="0" w:color="auto"/>
        <w:left w:val="none" w:sz="0" w:space="0" w:color="auto"/>
        <w:bottom w:val="none" w:sz="0" w:space="0" w:color="auto"/>
        <w:right w:val="none" w:sz="0" w:space="0" w:color="auto"/>
      </w:divBdr>
    </w:div>
    <w:div w:id="1760560267">
      <w:bodyDiv w:val="1"/>
      <w:marLeft w:val="0"/>
      <w:marRight w:val="0"/>
      <w:marTop w:val="0"/>
      <w:marBottom w:val="0"/>
      <w:divBdr>
        <w:top w:val="none" w:sz="0" w:space="0" w:color="auto"/>
        <w:left w:val="none" w:sz="0" w:space="0" w:color="auto"/>
        <w:bottom w:val="none" w:sz="0" w:space="0" w:color="auto"/>
        <w:right w:val="none" w:sz="0" w:space="0" w:color="auto"/>
      </w:divBdr>
    </w:div>
    <w:div w:id="1781145002">
      <w:bodyDiv w:val="1"/>
      <w:marLeft w:val="0"/>
      <w:marRight w:val="0"/>
      <w:marTop w:val="0"/>
      <w:marBottom w:val="0"/>
      <w:divBdr>
        <w:top w:val="none" w:sz="0" w:space="0" w:color="auto"/>
        <w:left w:val="none" w:sz="0" w:space="0" w:color="auto"/>
        <w:bottom w:val="none" w:sz="0" w:space="0" w:color="auto"/>
        <w:right w:val="none" w:sz="0" w:space="0" w:color="auto"/>
      </w:divBdr>
    </w:div>
    <w:div w:id="1786656216">
      <w:bodyDiv w:val="1"/>
      <w:marLeft w:val="0"/>
      <w:marRight w:val="0"/>
      <w:marTop w:val="0"/>
      <w:marBottom w:val="0"/>
      <w:divBdr>
        <w:top w:val="none" w:sz="0" w:space="0" w:color="auto"/>
        <w:left w:val="none" w:sz="0" w:space="0" w:color="auto"/>
        <w:bottom w:val="none" w:sz="0" w:space="0" w:color="auto"/>
        <w:right w:val="none" w:sz="0" w:space="0" w:color="auto"/>
      </w:divBdr>
    </w:div>
    <w:div w:id="1801261071">
      <w:bodyDiv w:val="1"/>
      <w:marLeft w:val="0"/>
      <w:marRight w:val="0"/>
      <w:marTop w:val="0"/>
      <w:marBottom w:val="0"/>
      <w:divBdr>
        <w:top w:val="none" w:sz="0" w:space="0" w:color="auto"/>
        <w:left w:val="none" w:sz="0" w:space="0" w:color="auto"/>
        <w:bottom w:val="none" w:sz="0" w:space="0" w:color="auto"/>
        <w:right w:val="none" w:sz="0" w:space="0" w:color="auto"/>
      </w:divBdr>
    </w:div>
    <w:div w:id="1814103003">
      <w:bodyDiv w:val="1"/>
      <w:marLeft w:val="0"/>
      <w:marRight w:val="0"/>
      <w:marTop w:val="0"/>
      <w:marBottom w:val="0"/>
      <w:divBdr>
        <w:top w:val="none" w:sz="0" w:space="0" w:color="auto"/>
        <w:left w:val="none" w:sz="0" w:space="0" w:color="auto"/>
        <w:bottom w:val="none" w:sz="0" w:space="0" w:color="auto"/>
        <w:right w:val="none" w:sz="0" w:space="0" w:color="auto"/>
      </w:divBdr>
    </w:div>
    <w:div w:id="1823690563">
      <w:bodyDiv w:val="1"/>
      <w:marLeft w:val="0"/>
      <w:marRight w:val="0"/>
      <w:marTop w:val="0"/>
      <w:marBottom w:val="0"/>
      <w:divBdr>
        <w:top w:val="none" w:sz="0" w:space="0" w:color="auto"/>
        <w:left w:val="none" w:sz="0" w:space="0" w:color="auto"/>
        <w:bottom w:val="none" w:sz="0" w:space="0" w:color="auto"/>
        <w:right w:val="none" w:sz="0" w:space="0" w:color="auto"/>
      </w:divBdr>
    </w:div>
    <w:div w:id="1831939720">
      <w:bodyDiv w:val="1"/>
      <w:marLeft w:val="0"/>
      <w:marRight w:val="0"/>
      <w:marTop w:val="0"/>
      <w:marBottom w:val="0"/>
      <w:divBdr>
        <w:top w:val="none" w:sz="0" w:space="0" w:color="auto"/>
        <w:left w:val="none" w:sz="0" w:space="0" w:color="auto"/>
        <w:bottom w:val="none" w:sz="0" w:space="0" w:color="auto"/>
        <w:right w:val="none" w:sz="0" w:space="0" w:color="auto"/>
      </w:divBdr>
    </w:div>
    <w:div w:id="1883664633">
      <w:bodyDiv w:val="1"/>
      <w:marLeft w:val="0"/>
      <w:marRight w:val="0"/>
      <w:marTop w:val="0"/>
      <w:marBottom w:val="0"/>
      <w:divBdr>
        <w:top w:val="none" w:sz="0" w:space="0" w:color="auto"/>
        <w:left w:val="none" w:sz="0" w:space="0" w:color="auto"/>
        <w:bottom w:val="none" w:sz="0" w:space="0" w:color="auto"/>
        <w:right w:val="none" w:sz="0" w:space="0" w:color="auto"/>
      </w:divBdr>
    </w:div>
    <w:div w:id="1909806787">
      <w:bodyDiv w:val="1"/>
      <w:marLeft w:val="0"/>
      <w:marRight w:val="0"/>
      <w:marTop w:val="0"/>
      <w:marBottom w:val="0"/>
      <w:divBdr>
        <w:top w:val="none" w:sz="0" w:space="0" w:color="auto"/>
        <w:left w:val="none" w:sz="0" w:space="0" w:color="auto"/>
        <w:bottom w:val="none" w:sz="0" w:space="0" w:color="auto"/>
        <w:right w:val="none" w:sz="0" w:space="0" w:color="auto"/>
      </w:divBdr>
    </w:div>
    <w:div w:id="2027978668">
      <w:bodyDiv w:val="1"/>
      <w:marLeft w:val="0"/>
      <w:marRight w:val="0"/>
      <w:marTop w:val="0"/>
      <w:marBottom w:val="0"/>
      <w:divBdr>
        <w:top w:val="none" w:sz="0" w:space="0" w:color="auto"/>
        <w:left w:val="none" w:sz="0" w:space="0" w:color="auto"/>
        <w:bottom w:val="none" w:sz="0" w:space="0" w:color="auto"/>
        <w:right w:val="none" w:sz="0" w:space="0" w:color="auto"/>
      </w:divBdr>
    </w:div>
    <w:div w:id="2031761630">
      <w:bodyDiv w:val="1"/>
      <w:marLeft w:val="0"/>
      <w:marRight w:val="0"/>
      <w:marTop w:val="0"/>
      <w:marBottom w:val="0"/>
      <w:divBdr>
        <w:top w:val="none" w:sz="0" w:space="0" w:color="auto"/>
        <w:left w:val="none" w:sz="0" w:space="0" w:color="auto"/>
        <w:bottom w:val="none" w:sz="0" w:space="0" w:color="auto"/>
        <w:right w:val="none" w:sz="0" w:space="0" w:color="auto"/>
      </w:divBdr>
    </w:div>
    <w:div w:id="2041390181">
      <w:bodyDiv w:val="1"/>
      <w:marLeft w:val="0"/>
      <w:marRight w:val="0"/>
      <w:marTop w:val="0"/>
      <w:marBottom w:val="0"/>
      <w:divBdr>
        <w:top w:val="none" w:sz="0" w:space="0" w:color="auto"/>
        <w:left w:val="none" w:sz="0" w:space="0" w:color="auto"/>
        <w:bottom w:val="none" w:sz="0" w:space="0" w:color="auto"/>
        <w:right w:val="none" w:sz="0" w:space="0" w:color="auto"/>
      </w:divBdr>
    </w:div>
    <w:div w:id="2054308539">
      <w:bodyDiv w:val="1"/>
      <w:marLeft w:val="0"/>
      <w:marRight w:val="0"/>
      <w:marTop w:val="0"/>
      <w:marBottom w:val="0"/>
      <w:divBdr>
        <w:top w:val="none" w:sz="0" w:space="0" w:color="auto"/>
        <w:left w:val="none" w:sz="0" w:space="0" w:color="auto"/>
        <w:bottom w:val="none" w:sz="0" w:space="0" w:color="auto"/>
        <w:right w:val="none" w:sz="0" w:space="0" w:color="auto"/>
      </w:divBdr>
    </w:div>
    <w:div w:id="2083331510">
      <w:bodyDiv w:val="1"/>
      <w:marLeft w:val="0"/>
      <w:marRight w:val="0"/>
      <w:marTop w:val="0"/>
      <w:marBottom w:val="0"/>
      <w:divBdr>
        <w:top w:val="none" w:sz="0" w:space="0" w:color="auto"/>
        <w:left w:val="none" w:sz="0" w:space="0" w:color="auto"/>
        <w:bottom w:val="none" w:sz="0" w:space="0" w:color="auto"/>
        <w:right w:val="none" w:sz="0" w:space="0" w:color="auto"/>
      </w:divBdr>
    </w:div>
    <w:div w:id="2088183346">
      <w:bodyDiv w:val="1"/>
      <w:marLeft w:val="0"/>
      <w:marRight w:val="0"/>
      <w:marTop w:val="0"/>
      <w:marBottom w:val="0"/>
      <w:divBdr>
        <w:top w:val="none" w:sz="0" w:space="0" w:color="auto"/>
        <w:left w:val="none" w:sz="0" w:space="0" w:color="auto"/>
        <w:bottom w:val="none" w:sz="0" w:space="0" w:color="auto"/>
        <w:right w:val="none" w:sz="0" w:space="0" w:color="auto"/>
      </w:divBdr>
    </w:div>
    <w:div w:id="2094886821">
      <w:bodyDiv w:val="1"/>
      <w:marLeft w:val="0"/>
      <w:marRight w:val="0"/>
      <w:marTop w:val="0"/>
      <w:marBottom w:val="0"/>
      <w:divBdr>
        <w:top w:val="none" w:sz="0" w:space="0" w:color="auto"/>
        <w:left w:val="none" w:sz="0" w:space="0" w:color="auto"/>
        <w:bottom w:val="none" w:sz="0" w:space="0" w:color="auto"/>
        <w:right w:val="none" w:sz="0" w:space="0" w:color="auto"/>
      </w:divBdr>
    </w:div>
    <w:div w:id="2098207491">
      <w:bodyDiv w:val="1"/>
      <w:marLeft w:val="0"/>
      <w:marRight w:val="0"/>
      <w:marTop w:val="0"/>
      <w:marBottom w:val="0"/>
      <w:divBdr>
        <w:top w:val="none" w:sz="0" w:space="0" w:color="auto"/>
        <w:left w:val="none" w:sz="0" w:space="0" w:color="auto"/>
        <w:bottom w:val="none" w:sz="0" w:space="0" w:color="auto"/>
        <w:right w:val="none" w:sz="0" w:space="0" w:color="auto"/>
      </w:divBdr>
    </w:div>
    <w:div w:id="2125465846">
      <w:bodyDiv w:val="1"/>
      <w:marLeft w:val="0"/>
      <w:marRight w:val="0"/>
      <w:marTop w:val="0"/>
      <w:marBottom w:val="0"/>
      <w:divBdr>
        <w:top w:val="none" w:sz="0" w:space="0" w:color="auto"/>
        <w:left w:val="none" w:sz="0" w:space="0" w:color="auto"/>
        <w:bottom w:val="none" w:sz="0" w:space="0" w:color="auto"/>
        <w:right w:val="none" w:sz="0" w:space="0" w:color="auto"/>
      </w:divBdr>
    </w:div>
    <w:div w:id="212665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8.xml"/><Relationship Id="rId21" Type="http://schemas.openxmlformats.org/officeDocument/2006/relationships/chart" Target="charts/chart5.xml"/><Relationship Id="rId42" Type="http://schemas.microsoft.com/office/2007/relationships/diagramDrawing" Target="diagrams/drawing4.xml"/><Relationship Id="rId63" Type="http://schemas.openxmlformats.org/officeDocument/2006/relationships/chart" Target="charts/chart25.xml"/><Relationship Id="rId84" Type="http://schemas.microsoft.com/office/2007/relationships/diagramDrawing" Target="diagrams/drawing6.xml"/><Relationship Id="rId138" Type="http://schemas.openxmlformats.org/officeDocument/2006/relationships/chart" Target="charts/chart79.xml"/><Relationship Id="rId159" Type="http://schemas.openxmlformats.org/officeDocument/2006/relationships/chart" Target="charts/chart95.xml"/><Relationship Id="rId170" Type="http://schemas.openxmlformats.org/officeDocument/2006/relationships/chart" Target="charts/chart105.xml"/><Relationship Id="rId191" Type="http://schemas.openxmlformats.org/officeDocument/2006/relationships/chart" Target="charts/chart126.xml"/><Relationship Id="rId205" Type="http://schemas.openxmlformats.org/officeDocument/2006/relationships/hyperlink" Target="https://www.czso.cz/csu/cizinci/cizinci-pocet-cizincu" TargetMode="External"/><Relationship Id="rId226" Type="http://schemas.openxmlformats.org/officeDocument/2006/relationships/hyperlink" Target="https://ec.europa.eu/eurostat/databrowser/view/LFST_R_LFE2EMPRTN__custom_5782067/default/table?lang=en" TargetMode="External"/><Relationship Id="rId247" Type="http://schemas.openxmlformats.org/officeDocument/2006/relationships/header" Target="header1.xml"/><Relationship Id="rId107" Type="http://schemas.openxmlformats.org/officeDocument/2006/relationships/chart" Target="charts/chart50.xml"/><Relationship Id="rId11" Type="http://schemas.openxmlformats.org/officeDocument/2006/relationships/image" Target="media/image1.png"/><Relationship Id="rId32" Type="http://schemas.openxmlformats.org/officeDocument/2006/relationships/diagramQuickStyle" Target="diagrams/quickStyle3.xml"/><Relationship Id="rId53" Type="http://schemas.openxmlformats.org/officeDocument/2006/relationships/chart" Target="charts/chart18.xml"/><Relationship Id="rId74" Type="http://schemas.openxmlformats.org/officeDocument/2006/relationships/diagramQuickStyle" Target="diagrams/quickStyle5.xml"/><Relationship Id="rId128" Type="http://schemas.openxmlformats.org/officeDocument/2006/relationships/chart" Target="charts/chart69.xml"/><Relationship Id="rId149" Type="http://schemas.openxmlformats.org/officeDocument/2006/relationships/chart" Target="charts/chart85.xml"/><Relationship Id="rId5" Type="http://schemas.openxmlformats.org/officeDocument/2006/relationships/numbering" Target="numbering.xml"/><Relationship Id="rId95" Type="http://schemas.openxmlformats.org/officeDocument/2006/relationships/chart" Target="charts/chart38.xml"/><Relationship Id="rId160" Type="http://schemas.openxmlformats.org/officeDocument/2006/relationships/chart" Target="charts/chart96.xml"/><Relationship Id="rId181" Type="http://schemas.openxmlformats.org/officeDocument/2006/relationships/chart" Target="charts/chart116.xml"/><Relationship Id="rId216" Type="http://schemas.openxmlformats.org/officeDocument/2006/relationships/hyperlink" Target="https://ec.europa.eu/eurostat/statistics-explained/index.php?title=First_and_second-generation_immigrants_-_statistics_on_employment_conditions" TargetMode="External"/><Relationship Id="rId237" Type="http://schemas.openxmlformats.org/officeDocument/2006/relationships/hyperlink" Target="https://www.consilium.europa.eu/cs/infographics/temporary-protection-displaced-persons/" TargetMode="External"/><Relationship Id="rId22" Type="http://schemas.openxmlformats.org/officeDocument/2006/relationships/chart" Target="charts/chart6.xml"/><Relationship Id="rId43" Type="http://schemas.openxmlformats.org/officeDocument/2006/relationships/chart" Target="charts/chart12.xml"/><Relationship Id="rId64" Type="http://schemas.openxmlformats.org/officeDocument/2006/relationships/chart" Target="charts/chart26.xml"/><Relationship Id="rId118" Type="http://schemas.openxmlformats.org/officeDocument/2006/relationships/chart" Target="charts/chart59.xml"/><Relationship Id="rId139" Type="http://schemas.openxmlformats.org/officeDocument/2006/relationships/chart" Target="charts/chart80.xml"/><Relationship Id="rId85" Type="http://schemas.openxmlformats.org/officeDocument/2006/relationships/chart" Target="charts/chart33.xml"/><Relationship Id="rId150" Type="http://schemas.openxmlformats.org/officeDocument/2006/relationships/chart" Target="charts/chart86.xml"/><Relationship Id="rId171" Type="http://schemas.openxmlformats.org/officeDocument/2006/relationships/chart" Target="charts/chart106.xml"/><Relationship Id="rId192" Type="http://schemas.openxmlformats.org/officeDocument/2006/relationships/chart" Target="charts/chart127.xml"/><Relationship Id="rId206" Type="http://schemas.openxmlformats.org/officeDocument/2006/relationships/hyperlink" Target="https://www.czso.cz/csu/czso/statisticka-rocenka-jihomoravskeho-kraje-2021" TargetMode="External"/><Relationship Id="rId227" Type="http://schemas.openxmlformats.org/officeDocument/2006/relationships/hyperlink" Target="file:///C:/Users/Randulova/Downloads/JMK_zpr%C3%A1va_obecn%C3%A1_final.pdf" TargetMode="External"/><Relationship Id="rId248" Type="http://schemas.openxmlformats.org/officeDocument/2006/relationships/footer" Target="footer1.xml"/><Relationship Id="rId12" Type="http://schemas.openxmlformats.org/officeDocument/2006/relationships/chart" Target="charts/chart1.xml"/><Relationship Id="rId33" Type="http://schemas.openxmlformats.org/officeDocument/2006/relationships/diagramColors" Target="diagrams/colors3.xml"/><Relationship Id="rId108" Type="http://schemas.openxmlformats.org/officeDocument/2006/relationships/chart" Target="charts/chart51.xml"/><Relationship Id="rId129" Type="http://schemas.openxmlformats.org/officeDocument/2006/relationships/chart" Target="charts/chart70.xml"/><Relationship Id="rId54" Type="http://schemas.openxmlformats.org/officeDocument/2006/relationships/chart" Target="charts/chart19.xml"/><Relationship Id="rId75" Type="http://schemas.openxmlformats.org/officeDocument/2006/relationships/diagramColors" Target="diagrams/colors5.xml"/><Relationship Id="rId96" Type="http://schemas.openxmlformats.org/officeDocument/2006/relationships/chart" Target="charts/chart39.xml"/><Relationship Id="rId140" Type="http://schemas.openxmlformats.org/officeDocument/2006/relationships/chart" Target="charts/chart81.xml"/><Relationship Id="rId161" Type="http://schemas.openxmlformats.org/officeDocument/2006/relationships/chart" Target="charts/chart97.xml"/><Relationship Id="rId182" Type="http://schemas.openxmlformats.org/officeDocument/2006/relationships/chart" Target="charts/chart117.xml"/><Relationship Id="rId217" Type="http://schemas.openxmlformats.org/officeDocument/2006/relationships/hyperlink" Target="https://ec.europa.eu/eurostat/statistics-explained/index.php?title=First_and_second-generation_immigrants_-_statistics_on_education_and_skills" TargetMode="External"/><Relationship Id="rId6" Type="http://schemas.openxmlformats.org/officeDocument/2006/relationships/styles" Target="styles.xml"/><Relationship Id="rId238" Type="http://schemas.openxmlformats.org/officeDocument/2006/relationships/hyperlink" Target="https://eur-lex.europa.eu/legal-content/CS/TXT/PDF/?uri=CELEX:32008L0104&amp;from=PL" TargetMode="External"/><Relationship Id="rId23" Type="http://schemas.openxmlformats.org/officeDocument/2006/relationships/diagramData" Target="diagrams/data2.xml"/><Relationship Id="rId119" Type="http://schemas.openxmlformats.org/officeDocument/2006/relationships/chart" Target="charts/chart60.xml"/><Relationship Id="rId44" Type="http://schemas.openxmlformats.org/officeDocument/2006/relationships/chart" Target="charts/chart13.xml"/><Relationship Id="rId65" Type="http://schemas.openxmlformats.org/officeDocument/2006/relationships/image" Target="media/image11.png"/><Relationship Id="rId86" Type="http://schemas.openxmlformats.org/officeDocument/2006/relationships/chart" Target="charts/chart34.xml"/><Relationship Id="rId130" Type="http://schemas.openxmlformats.org/officeDocument/2006/relationships/chart" Target="charts/chart71.xml"/><Relationship Id="rId151" Type="http://schemas.openxmlformats.org/officeDocument/2006/relationships/chart" Target="charts/chart87.xml"/><Relationship Id="rId172" Type="http://schemas.openxmlformats.org/officeDocument/2006/relationships/chart" Target="charts/chart107.xml"/><Relationship Id="rId193" Type="http://schemas.openxmlformats.org/officeDocument/2006/relationships/chart" Target="charts/chart128.xml"/><Relationship Id="rId207" Type="http://schemas.openxmlformats.org/officeDocument/2006/relationships/hyperlink" Target="https://www.czso.cz/csu/xb/cizinci-v-jihomoravskem-kraji-v-roce-2020" TargetMode="External"/><Relationship Id="rId228" Type="http://schemas.openxmlformats.org/officeDocument/2006/relationships/hyperlink" Target="https://www.mvcr.cz/migrace/clanek/vyrocni-zpravy-o-situaci-v-oblasti-migrace-a-integrace.aspx" TargetMode="External"/><Relationship Id="rId249" Type="http://schemas.openxmlformats.org/officeDocument/2006/relationships/header" Target="header2.xml"/><Relationship Id="rId13" Type="http://schemas.openxmlformats.org/officeDocument/2006/relationships/chart" Target="charts/chart2.xml"/><Relationship Id="rId109" Type="http://schemas.openxmlformats.org/officeDocument/2006/relationships/chart" Target="charts/chart52.xml"/><Relationship Id="rId34" Type="http://schemas.microsoft.com/office/2007/relationships/diagramDrawing" Target="diagrams/drawing3.xml"/><Relationship Id="rId55" Type="http://schemas.openxmlformats.org/officeDocument/2006/relationships/image" Target="media/image8.png"/><Relationship Id="rId76" Type="http://schemas.microsoft.com/office/2007/relationships/diagramDrawing" Target="diagrams/drawing5.xml"/><Relationship Id="rId97" Type="http://schemas.openxmlformats.org/officeDocument/2006/relationships/chart" Target="charts/chart40.xml"/><Relationship Id="rId120" Type="http://schemas.openxmlformats.org/officeDocument/2006/relationships/chart" Target="charts/chart61.xml"/><Relationship Id="rId141" Type="http://schemas.openxmlformats.org/officeDocument/2006/relationships/chart" Target="charts/chart82.xml"/><Relationship Id="rId7" Type="http://schemas.openxmlformats.org/officeDocument/2006/relationships/settings" Target="settings.xml"/><Relationship Id="rId162" Type="http://schemas.openxmlformats.org/officeDocument/2006/relationships/chart" Target="charts/chart98.xml"/><Relationship Id="rId183" Type="http://schemas.openxmlformats.org/officeDocument/2006/relationships/chart" Target="charts/chart118.xml"/><Relationship Id="rId218" Type="http://schemas.openxmlformats.org/officeDocument/2006/relationships/hyperlink" Target="https://ec.europa.eu/eurostat/statistics-explained/index.php?title=First_and_second-generation_immigrants_-_statistics_on_labour_market_indicators" TargetMode="External"/><Relationship Id="rId239" Type="http://schemas.openxmlformats.org/officeDocument/2006/relationships/hyperlink" Target="https://www.suip.cz/o-vysledcich-kontrolnich-akci" TargetMode="External"/><Relationship Id="rId250" Type="http://schemas.openxmlformats.org/officeDocument/2006/relationships/fontTable" Target="fontTable.xml"/><Relationship Id="rId24" Type="http://schemas.openxmlformats.org/officeDocument/2006/relationships/diagramLayout" Target="diagrams/layout2.xml"/><Relationship Id="rId45" Type="http://schemas.openxmlformats.org/officeDocument/2006/relationships/image" Target="media/image4.png"/><Relationship Id="rId66" Type="http://schemas.openxmlformats.org/officeDocument/2006/relationships/image" Target="media/image12.png"/><Relationship Id="rId87" Type="http://schemas.openxmlformats.org/officeDocument/2006/relationships/chart" Target="charts/chart35.xml"/><Relationship Id="rId110" Type="http://schemas.openxmlformats.org/officeDocument/2006/relationships/chart" Target="charts/chart53.xml"/><Relationship Id="rId131" Type="http://schemas.openxmlformats.org/officeDocument/2006/relationships/chart" Target="charts/chart72.xml"/><Relationship Id="rId152" Type="http://schemas.openxmlformats.org/officeDocument/2006/relationships/chart" Target="charts/chart88.xml"/><Relationship Id="rId173" Type="http://schemas.openxmlformats.org/officeDocument/2006/relationships/chart" Target="charts/chart108.xml"/><Relationship Id="rId194" Type="http://schemas.openxmlformats.org/officeDocument/2006/relationships/chart" Target="charts/chart129.xml"/><Relationship Id="rId208" Type="http://schemas.openxmlformats.org/officeDocument/2006/relationships/hyperlink" Target="https://www.czso.cz/csu/czso/pocet-v-cesku-pracujicich-cizincu-loni-vzrostl" TargetMode="External"/><Relationship Id="rId229" Type="http://schemas.openxmlformats.org/officeDocument/2006/relationships/hyperlink" Target="https://www.mvcr.cz/clanek/statistiky-pocty-obyvatel-v-obcich.aspx" TargetMode="External"/><Relationship Id="rId240" Type="http://schemas.openxmlformats.org/officeDocument/2006/relationships/hyperlink" Target="https://www.suip.cz/documents/20142/43684/S%C3%9AIP+souhrnn%C3%A1+zpr%C3%A1va+o+v%C3%BDsledc%C3%ADch+kontroln%C3%ADch+akc%C3%AD+za+rok+2021.pdf/2e675a7e-a0e3-cb55-7409-956628795378" TargetMode="External"/><Relationship Id="rId14" Type="http://schemas.openxmlformats.org/officeDocument/2006/relationships/chart" Target="charts/chart3.xml"/><Relationship Id="rId35" Type="http://schemas.openxmlformats.org/officeDocument/2006/relationships/chart" Target="charts/chart9.xml"/><Relationship Id="rId56" Type="http://schemas.openxmlformats.org/officeDocument/2006/relationships/image" Target="media/image9.png"/><Relationship Id="rId77" Type="http://schemas.openxmlformats.org/officeDocument/2006/relationships/chart" Target="charts/chart30.xml"/><Relationship Id="rId100" Type="http://schemas.openxmlformats.org/officeDocument/2006/relationships/chart" Target="charts/chart43.xml"/><Relationship Id="rId8" Type="http://schemas.openxmlformats.org/officeDocument/2006/relationships/webSettings" Target="webSettings.xml"/><Relationship Id="rId98" Type="http://schemas.openxmlformats.org/officeDocument/2006/relationships/chart" Target="charts/chart41.xml"/><Relationship Id="rId121" Type="http://schemas.openxmlformats.org/officeDocument/2006/relationships/chart" Target="charts/chart62.xml"/><Relationship Id="rId142" Type="http://schemas.openxmlformats.org/officeDocument/2006/relationships/chart" Target="charts/chart83.xml"/><Relationship Id="rId163" Type="http://schemas.openxmlformats.org/officeDocument/2006/relationships/chart" Target="charts/chart99.xml"/><Relationship Id="rId184" Type="http://schemas.openxmlformats.org/officeDocument/2006/relationships/chart" Target="charts/chart119.xml"/><Relationship Id="rId219" Type="http://schemas.openxmlformats.org/officeDocument/2006/relationships/hyperlink" Target="https://ec.europa.eu/eurostat/statistics-explained/index.php?title=Migrant_integration_statistics_-_regional_labour_market_indicators" TargetMode="External"/><Relationship Id="rId230" Type="http://schemas.openxmlformats.org/officeDocument/2006/relationships/hyperlink" Target="https://www.mvcr.cz/migrace/clanek/ctvrtletni-zpravy-o-situaci-v-oblasti-migrace.aspx" TargetMode="External"/><Relationship Id="rId251" Type="http://schemas.openxmlformats.org/officeDocument/2006/relationships/theme" Target="theme/theme1.xml"/><Relationship Id="rId25" Type="http://schemas.openxmlformats.org/officeDocument/2006/relationships/diagramQuickStyle" Target="diagrams/quickStyle2.xml"/><Relationship Id="rId46" Type="http://schemas.openxmlformats.org/officeDocument/2006/relationships/chart" Target="charts/chart14.xml"/><Relationship Id="rId67" Type="http://schemas.openxmlformats.org/officeDocument/2006/relationships/image" Target="media/image13.png"/><Relationship Id="rId88" Type="http://schemas.openxmlformats.org/officeDocument/2006/relationships/diagramData" Target="diagrams/data7.xml"/><Relationship Id="rId111" Type="http://schemas.openxmlformats.org/officeDocument/2006/relationships/chart" Target="charts/chart54.xml"/><Relationship Id="rId132" Type="http://schemas.openxmlformats.org/officeDocument/2006/relationships/chart" Target="charts/chart73.xml"/><Relationship Id="rId153" Type="http://schemas.openxmlformats.org/officeDocument/2006/relationships/chart" Target="charts/chart89.xml"/><Relationship Id="rId174" Type="http://schemas.openxmlformats.org/officeDocument/2006/relationships/chart" Target="charts/chart109.xml"/><Relationship Id="rId195" Type="http://schemas.openxmlformats.org/officeDocument/2006/relationships/chart" Target="charts/chart130.xml"/><Relationship Id="rId209" Type="http://schemas.openxmlformats.org/officeDocument/2006/relationships/hyperlink" Target="https://www.czso.cz/csu/cizinci/predbezne-udaje-zverejnovane-rs-cp" TargetMode="External"/><Relationship Id="rId220" Type="http://schemas.openxmlformats.org/officeDocument/2006/relationships/hyperlink" Target="https://ec.europa.eu/eurostat/statistics-explained/index.php?title=Migrant_integration_statistics_-_education" TargetMode="External"/><Relationship Id="rId241" Type="http://schemas.openxmlformats.org/officeDocument/2006/relationships/hyperlink" Target="https://www.mpsv.cz/documents/20142/372805/181.pdf/5e9a7849-7960-f6eb-e663-40697cd76c94" TargetMode="External"/><Relationship Id="rId15" Type="http://schemas.openxmlformats.org/officeDocument/2006/relationships/diagramData" Target="diagrams/data1.xml"/><Relationship Id="rId36" Type="http://schemas.openxmlformats.org/officeDocument/2006/relationships/chart" Target="charts/chart10.xml"/><Relationship Id="rId57" Type="http://schemas.openxmlformats.org/officeDocument/2006/relationships/chart" Target="charts/chart20.xml"/><Relationship Id="rId78" Type="http://schemas.openxmlformats.org/officeDocument/2006/relationships/chart" Target="charts/chart31.xml"/><Relationship Id="rId99" Type="http://schemas.openxmlformats.org/officeDocument/2006/relationships/chart" Target="charts/chart42.xml"/><Relationship Id="rId101" Type="http://schemas.openxmlformats.org/officeDocument/2006/relationships/chart" Target="charts/chart44.xml"/><Relationship Id="rId122" Type="http://schemas.openxmlformats.org/officeDocument/2006/relationships/chart" Target="charts/chart63.xml"/><Relationship Id="rId143" Type="http://schemas.openxmlformats.org/officeDocument/2006/relationships/diagramData" Target="diagrams/data8.xml"/><Relationship Id="rId164" Type="http://schemas.openxmlformats.org/officeDocument/2006/relationships/chart" Target="charts/chart100.xml"/><Relationship Id="rId185" Type="http://schemas.openxmlformats.org/officeDocument/2006/relationships/chart" Target="charts/chart12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chart" Target="charts/chart115.xml"/><Relationship Id="rId210" Type="http://schemas.openxmlformats.org/officeDocument/2006/relationships/hyperlink" Target="https://www.czso.cz/csu/cizinci/4-ciz_pocet_cizincu" TargetMode="External"/><Relationship Id="rId215" Type="http://schemas.openxmlformats.org/officeDocument/2006/relationships/hyperlink" Target="https://ec.europa.eu/eurostat/statistics-explained/index.php?title=Migrant_integration_statistics_-_employment_conditions" TargetMode="External"/><Relationship Id="rId236" Type="http://schemas.openxmlformats.org/officeDocument/2006/relationships/hyperlink" Target="https://www.mpo.cz/cz/podnikani/zivnostenske-podnikani/statisticke-udaje-o-podnikatelich/pocty-podnikatelu-dle-obcanstvi-podnikajicich-v-ceske-republice--151024/" TargetMode="External"/><Relationship Id="rId26" Type="http://schemas.openxmlformats.org/officeDocument/2006/relationships/diagramColors" Target="diagrams/colors2.xml"/><Relationship Id="rId231" Type="http://schemas.openxmlformats.org/officeDocument/2006/relationships/hyperlink" Target="https://www.mvcr.cz/clanek/informativni-pocty-obyvatel-v-obcich.aspx?q=Y2hudW09Mg%3d%3d" TargetMode="External"/><Relationship Id="rId47" Type="http://schemas.openxmlformats.org/officeDocument/2006/relationships/image" Target="media/image5.png"/><Relationship Id="rId68" Type="http://schemas.openxmlformats.org/officeDocument/2006/relationships/image" Target="media/image14.png"/><Relationship Id="rId89" Type="http://schemas.openxmlformats.org/officeDocument/2006/relationships/diagramLayout" Target="diagrams/layout7.xml"/><Relationship Id="rId112" Type="http://schemas.openxmlformats.org/officeDocument/2006/relationships/image" Target="media/image15.png"/><Relationship Id="rId133" Type="http://schemas.openxmlformats.org/officeDocument/2006/relationships/chart" Target="charts/chart74.xml"/><Relationship Id="rId154" Type="http://schemas.openxmlformats.org/officeDocument/2006/relationships/chart" Target="charts/chart90.xml"/><Relationship Id="rId175" Type="http://schemas.openxmlformats.org/officeDocument/2006/relationships/chart" Target="charts/chart110.xml"/><Relationship Id="rId196" Type="http://schemas.openxmlformats.org/officeDocument/2006/relationships/chart" Target="charts/chart131.xml"/><Relationship Id="rId200" Type="http://schemas.openxmlformats.org/officeDocument/2006/relationships/chart" Target="charts/chart135.xml"/><Relationship Id="rId16" Type="http://schemas.openxmlformats.org/officeDocument/2006/relationships/diagramLayout" Target="diagrams/layout1.xml"/><Relationship Id="rId221" Type="http://schemas.openxmlformats.org/officeDocument/2006/relationships/hyperlink" Target="https://ec.europa.eu/eurostat/web/products-eurostat-news/-/ddn-20210707-2" TargetMode="External"/><Relationship Id="rId242" Type="http://schemas.openxmlformats.org/officeDocument/2006/relationships/hyperlink" Target="https://data2.unhcr.org/en/situations/ukraine" TargetMode="External"/><Relationship Id="rId37" Type="http://schemas.openxmlformats.org/officeDocument/2006/relationships/chart" Target="charts/chart11.xml"/><Relationship Id="rId58" Type="http://schemas.openxmlformats.org/officeDocument/2006/relationships/chart" Target="charts/chart21.xml"/><Relationship Id="rId79" Type="http://schemas.openxmlformats.org/officeDocument/2006/relationships/chart" Target="charts/chart32.xml"/><Relationship Id="rId102" Type="http://schemas.openxmlformats.org/officeDocument/2006/relationships/chart" Target="charts/chart45.xml"/><Relationship Id="rId123" Type="http://schemas.openxmlformats.org/officeDocument/2006/relationships/chart" Target="charts/chart64.xml"/><Relationship Id="rId144" Type="http://schemas.openxmlformats.org/officeDocument/2006/relationships/diagramLayout" Target="diagrams/layout8.xml"/><Relationship Id="rId90" Type="http://schemas.openxmlformats.org/officeDocument/2006/relationships/diagramQuickStyle" Target="diagrams/quickStyle7.xml"/><Relationship Id="rId165" Type="http://schemas.openxmlformats.org/officeDocument/2006/relationships/chart" Target="charts/chart101.xml"/><Relationship Id="rId186" Type="http://schemas.openxmlformats.org/officeDocument/2006/relationships/chart" Target="charts/chart121.xml"/><Relationship Id="rId211" Type="http://schemas.openxmlformats.org/officeDocument/2006/relationships/hyperlink" Target="https://www.czso.cz/csu/cizinci/cizinci-v-cr-vcetne-azylantu" TargetMode="External"/><Relationship Id="rId232" Type="http://schemas.openxmlformats.org/officeDocument/2006/relationships/hyperlink" Target="https://www.mvcr.cz/clanek/informativni-pocty-obyvatel-v-obcich.aspx?q=Y2hudW09MQ%3d%3d" TargetMode="External"/><Relationship Id="rId27" Type="http://schemas.microsoft.com/office/2007/relationships/diagramDrawing" Target="diagrams/drawing2.xml"/><Relationship Id="rId48" Type="http://schemas.openxmlformats.org/officeDocument/2006/relationships/chart" Target="charts/chart15.xml"/><Relationship Id="rId69" Type="http://schemas.openxmlformats.org/officeDocument/2006/relationships/chart" Target="charts/chart27.xml"/><Relationship Id="rId113" Type="http://schemas.microsoft.com/office/2007/relationships/hdphoto" Target="media/hdphoto1.wdp"/><Relationship Id="rId134" Type="http://schemas.openxmlformats.org/officeDocument/2006/relationships/chart" Target="charts/chart75.xml"/><Relationship Id="rId80" Type="http://schemas.openxmlformats.org/officeDocument/2006/relationships/diagramData" Target="diagrams/data6.xml"/><Relationship Id="rId155" Type="http://schemas.openxmlformats.org/officeDocument/2006/relationships/chart" Target="charts/chart91.xml"/><Relationship Id="rId176" Type="http://schemas.openxmlformats.org/officeDocument/2006/relationships/chart" Target="charts/chart111.xml"/><Relationship Id="rId197" Type="http://schemas.openxmlformats.org/officeDocument/2006/relationships/chart" Target="charts/chart132.xml"/><Relationship Id="rId201" Type="http://schemas.openxmlformats.org/officeDocument/2006/relationships/chart" Target="charts/chart136.xml"/><Relationship Id="rId222" Type="http://schemas.openxmlformats.org/officeDocument/2006/relationships/hyperlink" Target="https://ec.europa.eu/eurostat/statistics-explained/index.php?title=Migration_and_migrant_population_statistics" TargetMode="External"/><Relationship Id="rId243" Type="http://schemas.openxmlformats.org/officeDocument/2006/relationships/hyperlink" Target="https://www.uradprace.cz/documents/37855/925019/Rocni_JMK_2020.pdf/645426a3-0c23-5e53-ead8-76b63ebc9ffa" TargetMode="External"/><Relationship Id="rId17" Type="http://schemas.openxmlformats.org/officeDocument/2006/relationships/diagramQuickStyle" Target="diagrams/quickStyle1.xml"/><Relationship Id="rId38" Type="http://schemas.openxmlformats.org/officeDocument/2006/relationships/diagramData" Target="diagrams/data4.xml"/><Relationship Id="rId59" Type="http://schemas.openxmlformats.org/officeDocument/2006/relationships/chart" Target="charts/chart22.xml"/><Relationship Id="rId103" Type="http://schemas.openxmlformats.org/officeDocument/2006/relationships/chart" Target="charts/chart46.xml"/><Relationship Id="rId124" Type="http://schemas.openxmlformats.org/officeDocument/2006/relationships/chart" Target="charts/chart65.xml"/><Relationship Id="rId70" Type="http://schemas.openxmlformats.org/officeDocument/2006/relationships/chart" Target="charts/chart28.xml"/><Relationship Id="rId91" Type="http://schemas.openxmlformats.org/officeDocument/2006/relationships/diagramColors" Target="diagrams/colors7.xml"/><Relationship Id="rId145" Type="http://schemas.openxmlformats.org/officeDocument/2006/relationships/diagramQuickStyle" Target="diagrams/quickStyle8.xml"/><Relationship Id="rId166" Type="http://schemas.openxmlformats.org/officeDocument/2006/relationships/chart" Target="charts/chart102.xml"/><Relationship Id="rId187" Type="http://schemas.openxmlformats.org/officeDocument/2006/relationships/chart" Target="charts/chart122.xml"/><Relationship Id="rId1" Type="http://schemas.openxmlformats.org/officeDocument/2006/relationships/customXml" Target="../customXml/item1.xml"/><Relationship Id="rId212" Type="http://schemas.openxmlformats.org/officeDocument/2006/relationships/hyperlink" Target="https://www.czso.cz/csu/cizinci/cizinci-v-cr-bez-azylantu" TargetMode="External"/><Relationship Id="rId233" Type="http://schemas.openxmlformats.org/officeDocument/2006/relationships/hyperlink" Target="https://statis.msmt.cz/rocenka/rocenka.asp" TargetMode="External"/><Relationship Id="rId28" Type="http://schemas.openxmlformats.org/officeDocument/2006/relationships/chart" Target="charts/chart7.xml"/><Relationship Id="rId49" Type="http://schemas.openxmlformats.org/officeDocument/2006/relationships/image" Target="media/image6.png"/><Relationship Id="rId114" Type="http://schemas.openxmlformats.org/officeDocument/2006/relationships/chart" Target="charts/chart55.xml"/><Relationship Id="rId60" Type="http://schemas.openxmlformats.org/officeDocument/2006/relationships/chart" Target="charts/chart23.xml"/><Relationship Id="rId81" Type="http://schemas.openxmlformats.org/officeDocument/2006/relationships/diagramLayout" Target="diagrams/layout6.xml"/><Relationship Id="rId135" Type="http://schemas.openxmlformats.org/officeDocument/2006/relationships/chart" Target="charts/chart76.xml"/><Relationship Id="rId156" Type="http://schemas.openxmlformats.org/officeDocument/2006/relationships/chart" Target="charts/chart92.xml"/><Relationship Id="rId177" Type="http://schemas.openxmlformats.org/officeDocument/2006/relationships/chart" Target="charts/chart112.xml"/><Relationship Id="rId198" Type="http://schemas.openxmlformats.org/officeDocument/2006/relationships/chart" Target="charts/chart133.xml"/><Relationship Id="rId202" Type="http://schemas.openxmlformats.org/officeDocument/2006/relationships/chart" Target="charts/chart137.xml"/><Relationship Id="rId223" Type="http://schemas.openxmlformats.org/officeDocument/2006/relationships/hyperlink" Target="https://ec.europa.eu/eurostat/databrowser/view/LFSQ_EGAN__custom_5750293/default/table?lang=en" TargetMode="External"/><Relationship Id="rId244" Type="http://schemas.openxmlformats.org/officeDocument/2006/relationships/hyperlink" Target="https://www.uradprace.cz/documents/37855/914384/Rocni_ABK_2021.pdf/ed637bfc-a11d-e6d8-180d-5aa246207237" TargetMode="External"/><Relationship Id="rId18" Type="http://schemas.openxmlformats.org/officeDocument/2006/relationships/diagramColors" Target="diagrams/colors1.xml"/><Relationship Id="rId39" Type="http://schemas.openxmlformats.org/officeDocument/2006/relationships/diagramLayout" Target="diagrams/layout4.xml"/><Relationship Id="rId50" Type="http://schemas.openxmlformats.org/officeDocument/2006/relationships/chart" Target="charts/chart16.xml"/><Relationship Id="rId104" Type="http://schemas.openxmlformats.org/officeDocument/2006/relationships/chart" Target="charts/chart47.xml"/><Relationship Id="rId125" Type="http://schemas.openxmlformats.org/officeDocument/2006/relationships/chart" Target="charts/chart66.xml"/><Relationship Id="rId146" Type="http://schemas.openxmlformats.org/officeDocument/2006/relationships/diagramColors" Target="diagrams/colors8.xml"/><Relationship Id="rId167" Type="http://schemas.openxmlformats.org/officeDocument/2006/relationships/chart" Target="charts/chart103.xml"/><Relationship Id="rId188" Type="http://schemas.openxmlformats.org/officeDocument/2006/relationships/chart" Target="charts/chart123.xml"/><Relationship Id="rId71" Type="http://schemas.openxmlformats.org/officeDocument/2006/relationships/chart" Target="charts/chart29.xml"/><Relationship Id="rId92" Type="http://schemas.microsoft.com/office/2007/relationships/diagramDrawing" Target="diagrams/drawing7.xml"/><Relationship Id="rId213" Type="http://schemas.openxmlformats.org/officeDocument/2006/relationships/hyperlink" Target="https://vdb.czso.cz/vdbvo2/faces/cs/index.jsf?page=uziv-dotaz" TargetMode="External"/><Relationship Id="rId234" Type="http://schemas.openxmlformats.org/officeDocument/2006/relationships/hyperlink" Target="https://www.mpsv.cz/statistiky" TargetMode="External"/><Relationship Id="rId2" Type="http://schemas.openxmlformats.org/officeDocument/2006/relationships/customXml" Target="../customXml/item2.xml"/><Relationship Id="rId29" Type="http://schemas.openxmlformats.org/officeDocument/2006/relationships/chart" Target="charts/chart8.xml"/><Relationship Id="rId40" Type="http://schemas.openxmlformats.org/officeDocument/2006/relationships/diagramQuickStyle" Target="diagrams/quickStyle4.xml"/><Relationship Id="rId115" Type="http://schemas.openxmlformats.org/officeDocument/2006/relationships/chart" Target="charts/chart56.xml"/><Relationship Id="rId136" Type="http://schemas.openxmlformats.org/officeDocument/2006/relationships/chart" Target="charts/chart77.xml"/><Relationship Id="rId157" Type="http://schemas.openxmlformats.org/officeDocument/2006/relationships/chart" Target="charts/chart93.xml"/><Relationship Id="rId178" Type="http://schemas.openxmlformats.org/officeDocument/2006/relationships/chart" Target="charts/chart113.xml"/><Relationship Id="rId61" Type="http://schemas.openxmlformats.org/officeDocument/2006/relationships/chart" Target="charts/chart24.xml"/><Relationship Id="rId82" Type="http://schemas.openxmlformats.org/officeDocument/2006/relationships/diagramQuickStyle" Target="diagrams/quickStyle6.xml"/><Relationship Id="rId199" Type="http://schemas.openxmlformats.org/officeDocument/2006/relationships/chart" Target="charts/chart134.xml"/><Relationship Id="rId203" Type="http://schemas.openxmlformats.org/officeDocument/2006/relationships/hyperlink" Target="https://www.czso.cz/csu/czso/cizinci-v-cr-2020" TargetMode="External"/><Relationship Id="rId19" Type="http://schemas.microsoft.com/office/2007/relationships/diagramDrawing" Target="diagrams/drawing1.xml"/><Relationship Id="rId224" Type="http://schemas.openxmlformats.org/officeDocument/2006/relationships/hyperlink" Target="https://ec.europa.eu/eurostat/databrowser/view/EDAT_LFS_9911__custom_5782088/default/table?lang=en" TargetMode="External"/><Relationship Id="rId245" Type="http://schemas.openxmlformats.org/officeDocument/2006/relationships/hyperlink" Target="https://www.uradprace.cz/documents/37855/919002/Rocni_ULK_2022.pdf/a2f35868-059d-3c09-fea3-2ac2766a62ca" TargetMode="External"/><Relationship Id="rId30" Type="http://schemas.openxmlformats.org/officeDocument/2006/relationships/diagramData" Target="diagrams/data3.xml"/><Relationship Id="rId105" Type="http://schemas.openxmlformats.org/officeDocument/2006/relationships/chart" Target="charts/chart48.xml"/><Relationship Id="rId126" Type="http://schemas.openxmlformats.org/officeDocument/2006/relationships/chart" Target="charts/chart67.xml"/><Relationship Id="rId147" Type="http://schemas.microsoft.com/office/2007/relationships/diagramDrawing" Target="diagrams/drawing8.xml"/><Relationship Id="rId168" Type="http://schemas.openxmlformats.org/officeDocument/2006/relationships/chart" Target="charts/chart104.xml"/><Relationship Id="rId51" Type="http://schemas.openxmlformats.org/officeDocument/2006/relationships/image" Target="media/image7.png"/><Relationship Id="rId72" Type="http://schemas.openxmlformats.org/officeDocument/2006/relationships/diagramData" Target="diagrams/data5.xml"/><Relationship Id="rId93" Type="http://schemas.openxmlformats.org/officeDocument/2006/relationships/chart" Target="charts/chart36.xml"/><Relationship Id="rId189" Type="http://schemas.openxmlformats.org/officeDocument/2006/relationships/chart" Target="charts/chart124.xml"/><Relationship Id="rId3" Type="http://schemas.openxmlformats.org/officeDocument/2006/relationships/customXml" Target="../customXml/item3.xml"/><Relationship Id="rId214" Type="http://schemas.openxmlformats.org/officeDocument/2006/relationships/hyperlink" Target="https://www.czso.cz/csu/xb/zamestnanost-cizincu-v-jihomoravskem-kraji-v-roce-2022" TargetMode="External"/><Relationship Id="rId235" Type="http://schemas.openxmlformats.org/officeDocument/2006/relationships/hyperlink" Target="https://www.cizinci.cz/-/lex-ukrajina-5-zmeny-v-pomoci-uprchlikum-z-ukrajiny" TargetMode="External"/><Relationship Id="rId116" Type="http://schemas.openxmlformats.org/officeDocument/2006/relationships/chart" Target="charts/chart57.xml"/><Relationship Id="rId137" Type="http://schemas.openxmlformats.org/officeDocument/2006/relationships/chart" Target="charts/chart78.xml"/><Relationship Id="rId158" Type="http://schemas.openxmlformats.org/officeDocument/2006/relationships/chart" Target="charts/chart94.xml"/><Relationship Id="rId20" Type="http://schemas.openxmlformats.org/officeDocument/2006/relationships/chart" Target="charts/chart4.xml"/><Relationship Id="rId41" Type="http://schemas.openxmlformats.org/officeDocument/2006/relationships/diagramColors" Target="diagrams/colors4.xml"/><Relationship Id="rId62" Type="http://schemas.openxmlformats.org/officeDocument/2006/relationships/image" Target="media/image10.png"/><Relationship Id="rId83" Type="http://schemas.openxmlformats.org/officeDocument/2006/relationships/diagramColors" Target="diagrams/colors6.xml"/><Relationship Id="rId179" Type="http://schemas.openxmlformats.org/officeDocument/2006/relationships/chart" Target="charts/chart114.xml"/><Relationship Id="rId190" Type="http://schemas.openxmlformats.org/officeDocument/2006/relationships/chart" Target="charts/chart125.xml"/><Relationship Id="rId204" Type="http://schemas.openxmlformats.org/officeDocument/2006/relationships/hyperlink" Target="https://www.czso.cz/csu/czso/zivot-cizincu-v-cr-2020" TargetMode="External"/><Relationship Id="rId225" Type="http://schemas.openxmlformats.org/officeDocument/2006/relationships/hyperlink" Target="https://ec.europa.eu/eurostat/databrowser/view/LFSQ_ERGANEDM__custom_5751801/default/table?lang=en" TargetMode="External"/><Relationship Id="rId246" Type="http://schemas.openxmlformats.org/officeDocument/2006/relationships/hyperlink" Target="file:///K:\_Kraje\Kraje%202021\JMK%20-%20Anal&#253;za%20pot&#345;eb%20-%20zam&#283;stn&#225;v&#225;n&#237;%20cizinc&#367;%20v%20JMK\Z&#225;v&#283;re&#269;n&#225;%20zpr&#225;va\2.%20etapa%20-%20SB&#282;R%20DAT%20A%20ANAL&#221;ZA%20POT&#344;EB\Anal&#253;za%20pot&#345;eb%20kl&#237;&#269;ov&#253;ch%20akt&#233;r&#367;%20v%20oblasti%20zam&#283;stn&#225;v&#225;n&#237;%20cizinc&#367;%20v%20JMK%20-%201.%20etapa%20aktualizace%20-%20po%20p&#345;ipom&#237;nk&#225;ch.docx" TargetMode="External"/><Relationship Id="rId106" Type="http://schemas.openxmlformats.org/officeDocument/2006/relationships/chart" Target="charts/chart49.xml"/><Relationship Id="rId127" Type="http://schemas.openxmlformats.org/officeDocument/2006/relationships/chart" Target="charts/chart68.xml"/><Relationship Id="rId10" Type="http://schemas.openxmlformats.org/officeDocument/2006/relationships/endnotes" Target="endnotes.xml"/><Relationship Id="rId31" Type="http://schemas.openxmlformats.org/officeDocument/2006/relationships/diagramLayout" Target="diagrams/layout3.xml"/><Relationship Id="rId52" Type="http://schemas.openxmlformats.org/officeDocument/2006/relationships/chart" Target="charts/chart17.xml"/><Relationship Id="rId73" Type="http://schemas.openxmlformats.org/officeDocument/2006/relationships/diagramLayout" Target="diagrams/layout5.xml"/><Relationship Id="rId94" Type="http://schemas.openxmlformats.org/officeDocument/2006/relationships/chart" Target="charts/chart37.xml"/><Relationship Id="rId148" Type="http://schemas.openxmlformats.org/officeDocument/2006/relationships/chart" Target="charts/chart84.xml"/><Relationship Id="rId169"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www.uradprace.cz/documents/37855/925019/Rocni_JMK_2020.pdf/645426a3-0c23-5e53-ead8-76b63ebc9ffa" TargetMode="External"/><Relationship Id="rId13" Type="http://schemas.openxmlformats.org/officeDocument/2006/relationships/hyperlink" Target="https://www.uradprace.cz/documents/37855/925019/Rocni_JMK_2020.pdf/645426a3-0c23-5e53-ead8-76b63ebc9ffa" TargetMode="External"/><Relationship Id="rId18" Type="http://schemas.openxmlformats.org/officeDocument/2006/relationships/hyperlink" Target="file:///C:/Users/Randulova/Downloads/JMK_zpr%C3%A1va_obecn%C3%A1_final.pdf" TargetMode="External"/><Relationship Id="rId3" Type="http://schemas.openxmlformats.org/officeDocument/2006/relationships/hyperlink" Target="https://www.oecd.org/migration/mig/00-eu-emn-covid19-umbrella-inform-en.pdf" TargetMode="External"/><Relationship Id="rId7" Type="http://schemas.openxmlformats.org/officeDocument/2006/relationships/hyperlink" Target="https://ec.europa.eu/eurostat/statistics-explained/index.php?title=First_and_second-generation_immigrants_-_statistics_on_education_and_skills" TargetMode="External"/><Relationship Id="rId12" Type="http://schemas.openxmlformats.org/officeDocument/2006/relationships/hyperlink" Target="https://www.uradprace.cz/documents/37855/925019/Rocni_JMK_2020.pdf/645426a3-0c23-5e53-ead8-76b63ebc9ffa" TargetMode="External"/><Relationship Id="rId17" Type="http://schemas.openxmlformats.org/officeDocument/2006/relationships/hyperlink" Target="file:///C:/Users/Randulova/Downloads/JMK_zpr%C3%A1va_obecn%C3%A1_final.pdf" TargetMode="External"/><Relationship Id="rId2" Type="http://schemas.openxmlformats.org/officeDocument/2006/relationships/hyperlink" Target="https://ec.europa.eu/eurostat/databrowser/view/MIGR_POP2CTZ/default/table?lang=en&amp;category=demo.demo_pop" TargetMode="External"/><Relationship Id="rId16" Type="http://schemas.openxmlformats.org/officeDocument/2006/relationships/hyperlink" Target="https://www.uradprace.cz/documents/37855/925019/Rocni_JMK_2020.pdf/645426a3-0c23-5e53-ead8-76b63ebc9ffa" TargetMode="External"/><Relationship Id="rId1" Type="http://schemas.openxmlformats.org/officeDocument/2006/relationships/hyperlink" Target="https://www.statistikaamy.cz/2022/08/18/proc-je-nas-po-scitani-mene" TargetMode="External"/><Relationship Id="rId6" Type="http://schemas.openxmlformats.org/officeDocument/2006/relationships/hyperlink" Target="https://www.cizinci.cz/-/lex-ukrajina-5-zmeny-v-pomoci-uprchlikum-z-ukrajiny" TargetMode="External"/><Relationship Id="rId11" Type="http://schemas.openxmlformats.org/officeDocument/2006/relationships/hyperlink" Target="https://www.mpsv.cz/nelegalni-zamestnavani" TargetMode="External"/><Relationship Id="rId5" Type="http://schemas.openxmlformats.org/officeDocument/2006/relationships/hyperlink" Target="https://data2.unhcr.org/en/situations/ukraine" TargetMode="External"/><Relationship Id="rId15" Type="http://schemas.openxmlformats.org/officeDocument/2006/relationships/hyperlink" Target="https://www.uradprace.cz/documents/37855/925019/Rocni_JMK_2020.pdf/645426a3-0c23-5e53-ead8-76b63ebc9ffa" TargetMode="External"/><Relationship Id="rId10" Type="http://schemas.openxmlformats.org/officeDocument/2006/relationships/hyperlink" Target="https://eur-lex.europa.eu/legal-content/CS/TXT/PDF/?uri=CELEX:32008L0104&amp;from=PL" TargetMode="External"/><Relationship Id="rId4" Type="http://schemas.openxmlformats.org/officeDocument/2006/relationships/hyperlink" Target="https://www.consilium.europa.eu/cs/infographics/temporary-protection-displaced-persons/" TargetMode="External"/><Relationship Id="rId9" Type="http://schemas.openxmlformats.org/officeDocument/2006/relationships/hyperlink" Target="https://www.mpsv.cz/documents/20142/372805/181.pdf/5e9a7849-7960-f6eb-e663-40697cd76c94" TargetMode="External"/><Relationship Id="rId14" Type="http://schemas.openxmlformats.org/officeDocument/2006/relationships/hyperlink" Target="file:///C:/Users/Randulova/Downloads/JMK_zpr%C3%A1va_obecn%C3%A1_fin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www.kapa-ops.cz/sites/kapa-ops.cz/files/images/eu_zamestnanost.png" TargetMode="External"/><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http://www.kapa-ops.cz/sites/kapa-ops.cz/files/images/eu_zamestnanost.png" TargetMode="External"/><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112.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113.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Worksheet114.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Worksheet11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Worksheet116.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Excel_Worksheet117.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Excel_Worksheet118.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Excel_Worksheet119.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Excel_Worksheet120.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Excel_Worksheet121.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Excel_Worksheet122.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Excel_Worksheet123.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Microsoft_Excel_Worksheet124.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Microsoft_Excel_Worksheet125.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0.xml"/><Relationship Id="rId1" Type="http://schemas.microsoft.com/office/2011/relationships/chartStyle" Target="style10.xml"/></Relationships>
</file>

<file path=word/charts/_rels/chart130.xml.rels><?xml version="1.0" encoding="UTF-8" standalone="yes"?>
<Relationships xmlns="http://schemas.openxmlformats.org/package/2006/relationships"><Relationship Id="rId1" Type="http://schemas.openxmlformats.org/officeDocument/2006/relationships/package" Target="../embeddings/Microsoft_Excel_Worksheet126.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Microsoft_Excel_Worksheet127.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Microsoft_Excel_Worksheet128.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Microsoft_Excel_Worksheet129.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Microsoft_Excel_Worksheet130.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Microsoft_Excel_Worksheet131.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Microsoft_Excel_Worksheet132.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Microsoft_Excel_Worksheet133.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oleObject" Target="file:///C:\Users\lucka\Desktop\Statistika_UKR_01-01-2023.xls" TargetMode="External"/><Relationship Id="rId2" Type="http://schemas.microsoft.com/office/2011/relationships/chartColorStyle" Target="colors21.xml"/><Relationship Id="rId1" Type="http://schemas.microsoft.com/office/2011/relationships/chartStyle" Target="style21.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2.xml"/><Relationship Id="rId1" Type="http://schemas.microsoft.com/office/2011/relationships/chartStyle" Target="style22.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4.xml"/><Relationship Id="rId1" Type="http://schemas.microsoft.com/office/2011/relationships/chartStyle" Target="style24.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5.xml"/><Relationship Id="rId1" Type="http://schemas.microsoft.com/office/2011/relationships/chartStyle" Target="style25.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6.xml"/><Relationship Id="rId1" Type="http://schemas.microsoft.com/office/2011/relationships/chartStyle" Target="style26.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9.xml"/><Relationship Id="rId1" Type="http://schemas.microsoft.com/office/2011/relationships/chartStyle" Target="style29.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1.xml"/><Relationship Id="rId1" Type="http://schemas.microsoft.com/office/2011/relationships/chartStyle" Target="style31.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2.xml"/><Relationship Id="rId1" Type="http://schemas.microsoft.com/office/2011/relationships/chartStyle" Target="style32.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4.xml"/><Relationship Id="rId1" Type="http://schemas.microsoft.com/office/2011/relationships/chartStyle" Target="style34.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35.xml"/><Relationship Id="rId1" Type="http://schemas.microsoft.com/office/2011/relationships/chartStyle" Target="style35.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6.xml"/><Relationship Id="rId1" Type="http://schemas.microsoft.com/office/2011/relationships/chartStyle" Target="style36.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54.xlsx"/></Relationships>
</file>

<file path=word/charts/_rels/chart57.xml.rels><?xml version="1.0" encoding="UTF-8" standalone="yes"?>
<Relationships xmlns="http://schemas.openxmlformats.org/package/2006/relationships"><Relationship Id="rId1" Type="http://schemas.openxmlformats.org/officeDocument/2006/relationships/oleObject" Target="file:///\\srvdc01\company$\_Kraje\Kraje%202021\JMK%20-%20Anal&#253;za%20pot&#345;eb%20-%20zam&#283;stn&#225;v&#225;n&#237;%20cizinc&#367;%20v%20JMK\Data%20Jol&#269;a\Grafy\Graf_kvalifikace_cizinci.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srvdc01\company$\_Kraje\Kraje%202021\JMK%20-%20Anal&#253;za%20pot&#345;eb%20-%20zam&#283;stn&#225;v&#225;n&#237;%20cizinc&#367;%20v%20JMK\Data%20Jol&#269;a\Grafy\Graf_jazyk_dovednosti.xlsx" TargetMode="Externa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37.xml"/><Relationship Id="rId1" Type="http://schemas.microsoft.com/office/2011/relationships/chartStyle" Target="style37.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38.xml"/><Relationship Id="rId1" Type="http://schemas.microsoft.com/office/2011/relationships/chartStyle" Target="style38.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39.xml"/><Relationship Id="rId1" Type="http://schemas.microsoft.com/office/2011/relationships/chartStyle" Target="style39.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40.xml"/><Relationship Id="rId1" Type="http://schemas.microsoft.com/office/2011/relationships/chartStyle" Target="style40.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41.xml"/><Relationship Id="rId1" Type="http://schemas.microsoft.com/office/2011/relationships/chartStyle" Target="style41.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42.xml"/><Relationship Id="rId1" Type="http://schemas.microsoft.com/office/2011/relationships/chartStyle" Target="style42.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43.xml"/><Relationship Id="rId1" Type="http://schemas.microsoft.com/office/2011/relationships/chartStyle" Target="style43.xm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Arial Narrow" panose="020B0606020202030204" pitchFamily="34" charset="0"/>
                <a:ea typeface="+mn-ea"/>
                <a:cs typeface="+mn-cs"/>
              </a:defRPr>
            </a:pPr>
            <a:r>
              <a:rPr lang="cs-CZ" sz="1000" b="1" cap="none" spc="0">
                <a:ln w="0"/>
                <a:solidFill>
                  <a:schemeClr val="tx1"/>
                </a:solidFill>
                <a:effectLst/>
              </a:rPr>
              <a:t>Podíl </a:t>
            </a:r>
            <a:r>
              <a:rPr lang="cs-CZ" sz="1000" b="1" i="0" u="none" strike="noStrike" cap="none" spc="0" baseline="0">
                <a:ln w="0"/>
                <a:solidFill>
                  <a:schemeClr val="tx1"/>
                </a:solidFill>
                <a:effectLst/>
              </a:rPr>
              <a:t>osob s jinou než českou státní příslušností </a:t>
            </a:r>
            <a:r>
              <a:rPr lang="cs-CZ" sz="1000" b="1" cap="none" spc="0">
                <a:ln w="0"/>
                <a:solidFill>
                  <a:schemeClr val="tx1"/>
                </a:solidFill>
                <a:effectLst/>
              </a:rPr>
              <a:t> s pobytem nad 12 měsíců na obyvatelstvu ČR v letech 2005-2022</a:t>
            </a:r>
            <a:endParaRPr lang="en-US" sz="1000" b="1" cap="none" spc="0">
              <a:ln w="0"/>
              <a:solidFill>
                <a:schemeClr val="tx1"/>
              </a:solidFill>
              <a:effectLst/>
            </a:endParaRPr>
          </a:p>
        </c:rich>
      </c:tx>
      <c:layout>
        <c:manualLayout>
          <c:xMode val="edge"/>
          <c:yMode val="edge"/>
          <c:x val="0.1458632913507675"/>
          <c:y val="2.6313125210240462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413158615931388E-2"/>
          <c:y val="7.5675408994928264E-2"/>
          <c:w val="0.90541777462961126"/>
          <c:h val="0.87037722258401906"/>
        </c:manualLayout>
      </c:layout>
      <c:bar3DChart>
        <c:barDir val="bar"/>
        <c:grouping val="clustered"/>
        <c:varyColors val="0"/>
        <c:ser>
          <c:idx val="0"/>
          <c:order val="0"/>
          <c:tx>
            <c:strRef>
              <c:f>List1!$B$1</c:f>
              <c:strCache>
                <c:ptCount val="1"/>
                <c:pt idx="0">
                  <c:v>Řada 1</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5"/>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DFE-4F69-B31A-0D064924B551}"/>
              </c:ext>
            </c:extLst>
          </c:dPt>
          <c:dPt>
            <c:idx val="16"/>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DFE-4F69-B31A-0D064924B551}"/>
              </c:ext>
            </c:extLst>
          </c:dPt>
          <c:dPt>
            <c:idx val="17"/>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DFE-4F69-B31A-0D064924B551}"/>
              </c:ext>
            </c:extLst>
          </c:dPt>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List1!$B$2:$B$19</c:f>
              <c:numCache>
                <c:formatCode>0.0%</c:formatCode>
                <c:ptCount val="18"/>
                <c:pt idx="0">
                  <c:v>2.5000000000000001E-2</c:v>
                </c:pt>
                <c:pt idx="1">
                  <c:v>2.9000000000000001E-2</c:v>
                </c:pt>
                <c:pt idx="2">
                  <c:v>3.3000000000000002E-2</c:v>
                </c:pt>
                <c:pt idx="3">
                  <c:v>3.9E-2</c:v>
                </c:pt>
                <c:pt idx="4">
                  <c:v>0.04</c:v>
                </c:pt>
                <c:pt idx="5">
                  <c:v>3.9E-2</c:v>
                </c:pt>
                <c:pt idx="6">
                  <c:v>0.04</c:v>
                </c:pt>
                <c:pt idx="7">
                  <c:v>4.1000000000000002E-2</c:v>
                </c:pt>
                <c:pt idx="8">
                  <c:v>4.1000000000000002E-2</c:v>
                </c:pt>
                <c:pt idx="9">
                  <c:v>4.2000000000000003E-2</c:v>
                </c:pt>
                <c:pt idx="10">
                  <c:v>4.2999999999999997E-2</c:v>
                </c:pt>
                <c:pt idx="11">
                  <c:v>4.4999999999999998E-2</c:v>
                </c:pt>
                <c:pt idx="12">
                  <c:v>4.8000000000000001E-2</c:v>
                </c:pt>
                <c:pt idx="13">
                  <c:v>5.0999999999999997E-2</c:v>
                </c:pt>
                <c:pt idx="14">
                  <c:v>5.3999999999999999E-2</c:v>
                </c:pt>
                <c:pt idx="15">
                  <c:v>5.8000000000000003E-2</c:v>
                </c:pt>
                <c:pt idx="16">
                  <c:v>6.3E-2</c:v>
                </c:pt>
                <c:pt idx="17">
                  <c:v>0.106</c:v>
                </c:pt>
              </c:numCache>
            </c:numRef>
          </c:val>
          <c:shape val="cylinder"/>
          <c:extLst>
            <c:ext xmlns:c16="http://schemas.microsoft.com/office/drawing/2014/chart" uri="{C3380CC4-5D6E-409C-BE32-E72D297353CC}">
              <c16:uniqueId val="{00000006-8DFE-4F69-B31A-0D064924B551}"/>
            </c:ext>
          </c:extLst>
        </c:ser>
        <c:dLbls>
          <c:showLegendKey val="0"/>
          <c:showVal val="0"/>
          <c:showCatName val="0"/>
          <c:showSerName val="0"/>
          <c:showPercent val="0"/>
          <c:showBubbleSize val="0"/>
        </c:dLbls>
        <c:gapWidth val="93"/>
        <c:gapDepth val="101"/>
        <c:shape val="box"/>
        <c:axId val="287805824"/>
        <c:axId val="287807000"/>
        <c:axId val="0"/>
      </c:bar3DChart>
      <c:catAx>
        <c:axId val="28780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87807000"/>
        <c:crosses val="autoZero"/>
        <c:auto val="1"/>
        <c:lblAlgn val="ctr"/>
        <c:lblOffset val="100"/>
        <c:noMultiLvlLbl val="0"/>
      </c:catAx>
      <c:valAx>
        <c:axId val="287807000"/>
        <c:scaling>
          <c:orientation val="minMax"/>
          <c:min val="2.0000000000000004E-2"/>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8780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a:effectLst/>
              </a:rPr>
              <a:t>Občané EU žijící v České republice dle národnosti a pohlaví k 31. 12. 2022</a:t>
            </a:r>
          </a:p>
        </c:rich>
      </c:tx>
      <c:layout>
        <c:manualLayout>
          <c:xMode val="edge"/>
          <c:yMode val="edge"/>
          <c:x val="0.15596331708536432"/>
          <c:y val="0"/>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30333708286464"/>
          <c:y val="6.0976897118629414E-2"/>
          <c:w val="0.83233658292713408"/>
          <c:h val="0.83465951371463187"/>
        </c:manualLayout>
      </c:layout>
      <c:bar3DChart>
        <c:barDir val="bar"/>
        <c:grouping val="stacked"/>
        <c:varyColors val="0"/>
        <c:ser>
          <c:idx val="0"/>
          <c:order val="0"/>
          <c:tx>
            <c:strRef>
              <c:f>List1!$B$1</c:f>
              <c:strCache>
                <c:ptCount val="1"/>
                <c:pt idx="0">
                  <c:v>muži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105-4AA6-8579-A62D3B59BCF4}"/>
                </c:ext>
              </c:extLst>
            </c:dLbl>
            <c:dLbl>
              <c:idx val="1"/>
              <c:delete val="1"/>
              <c:extLst>
                <c:ext xmlns:c15="http://schemas.microsoft.com/office/drawing/2012/chart" uri="{CE6537A1-D6FC-4f65-9D91-7224C49458BB}"/>
                <c:ext xmlns:c16="http://schemas.microsoft.com/office/drawing/2014/chart" uri="{C3380CC4-5D6E-409C-BE32-E72D297353CC}">
                  <c16:uniqueId val="{00000001-4105-4AA6-8579-A62D3B59BCF4}"/>
                </c:ext>
              </c:extLst>
            </c:dLbl>
            <c:dLbl>
              <c:idx val="2"/>
              <c:delete val="1"/>
              <c:extLst>
                <c:ext xmlns:c15="http://schemas.microsoft.com/office/drawing/2012/chart" uri="{CE6537A1-D6FC-4f65-9D91-7224C49458BB}"/>
                <c:ext xmlns:c16="http://schemas.microsoft.com/office/drawing/2014/chart" uri="{C3380CC4-5D6E-409C-BE32-E72D297353CC}">
                  <c16:uniqueId val="{00000002-4105-4AA6-8579-A62D3B59BCF4}"/>
                </c:ext>
              </c:extLst>
            </c:dLbl>
            <c:dLbl>
              <c:idx val="3"/>
              <c:delete val="1"/>
              <c:extLst>
                <c:ext xmlns:c15="http://schemas.microsoft.com/office/drawing/2012/chart" uri="{CE6537A1-D6FC-4f65-9D91-7224C49458BB}"/>
                <c:ext xmlns:c16="http://schemas.microsoft.com/office/drawing/2014/chart" uri="{C3380CC4-5D6E-409C-BE32-E72D297353CC}">
                  <c16:uniqueId val="{00000003-4105-4AA6-8579-A62D3B59BCF4}"/>
                </c:ext>
              </c:extLst>
            </c:dLbl>
            <c:dLbl>
              <c:idx val="4"/>
              <c:delete val="1"/>
              <c:extLst>
                <c:ext xmlns:c15="http://schemas.microsoft.com/office/drawing/2012/chart" uri="{CE6537A1-D6FC-4f65-9D91-7224C49458BB}"/>
                <c:ext xmlns:c16="http://schemas.microsoft.com/office/drawing/2014/chart" uri="{C3380CC4-5D6E-409C-BE32-E72D297353CC}">
                  <c16:uniqueId val="{00000004-4105-4AA6-8579-A62D3B59BCF4}"/>
                </c:ext>
              </c:extLst>
            </c:dLbl>
            <c:dLbl>
              <c:idx val="5"/>
              <c:delete val="1"/>
              <c:extLst>
                <c:ext xmlns:c15="http://schemas.microsoft.com/office/drawing/2012/chart" uri="{CE6537A1-D6FC-4f65-9D91-7224C49458BB}"/>
                <c:ext xmlns:c16="http://schemas.microsoft.com/office/drawing/2014/chart" uri="{C3380CC4-5D6E-409C-BE32-E72D297353CC}">
                  <c16:uniqueId val="{00000005-4105-4AA6-8579-A62D3B59BCF4}"/>
                </c:ext>
              </c:extLst>
            </c:dLbl>
            <c:dLbl>
              <c:idx val="6"/>
              <c:delete val="1"/>
              <c:extLst>
                <c:ext xmlns:c15="http://schemas.microsoft.com/office/drawing/2012/chart" uri="{CE6537A1-D6FC-4f65-9D91-7224C49458BB}"/>
                <c:ext xmlns:c16="http://schemas.microsoft.com/office/drawing/2014/chart" uri="{C3380CC4-5D6E-409C-BE32-E72D297353CC}">
                  <c16:uniqueId val="{00000006-4105-4AA6-8579-A62D3B59BCF4}"/>
                </c:ext>
              </c:extLst>
            </c:dLbl>
            <c:spPr>
              <a:solidFill>
                <a:schemeClr val="lt1"/>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List1!$A$2:$A$11</c:f>
              <c:strCache>
                <c:ptCount val="10"/>
                <c:pt idx="0">
                  <c:v>Chorvatsko</c:v>
                </c:pt>
                <c:pt idx="1">
                  <c:v>Francie</c:v>
                </c:pt>
                <c:pt idx="2">
                  <c:v>Itálie</c:v>
                </c:pt>
                <c:pt idx="3">
                  <c:v>Velká Británie</c:v>
                </c:pt>
                <c:pt idx="4">
                  <c:v>Maďarsko</c:v>
                </c:pt>
                <c:pt idx="5">
                  <c:v>Německo</c:v>
                </c:pt>
                <c:pt idx="6">
                  <c:v>Bulharsko</c:v>
                </c:pt>
                <c:pt idx="7">
                  <c:v>Polsko</c:v>
                </c:pt>
                <c:pt idx="8">
                  <c:v>Rumunsko</c:v>
                </c:pt>
                <c:pt idx="9">
                  <c:v>Slovensko</c:v>
                </c:pt>
              </c:strCache>
            </c:strRef>
          </c:cat>
          <c:val>
            <c:numRef>
              <c:f>List1!$B$2:$B$11</c:f>
              <c:numCache>
                <c:formatCode>General</c:formatCode>
                <c:ptCount val="10"/>
                <c:pt idx="0">
                  <c:v>2104</c:v>
                </c:pt>
                <c:pt idx="1">
                  <c:v>2924</c:v>
                </c:pt>
                <c:pt idx="2">
                  <c:v>4675</c:v>
                </c:pt>
                <c:pt idx="3">
                  <c:v>5972</c:v>
                </c:pt>
                <c:pt idx="4">
                  <c:v>6527</c:v>
                </c:pt>
                <c:pt idx="5">
                  <c:v>10735</c:v>
                </c:pt>
                <c:pt idx="6">
                  <c:v>11013</c:v>
                </c:pt>
                <c:pt idx="7">
                  <c:v>8046</c:v>
                </c:pt>
                <c:pt idx="8">
                  <c:v>12946</c:v>
                </c:pt>
                <c:pt idx="9">
                  <c:v>60326</c:v>
                </c:pt>
              </c:numCache>
            </c:numRef>
          </c:val>
          <c:extLst>
            <c:ext xmlns:c16="http://schemas.microsoft.com/office/drawing/2014/chart" uri="{C3380CC4-5D6E-409C-BE32-E72D297353CC}">
              <c16:uniqueId val="{00000007-4105-4AA6-8579-A62D3B59BCF4}"/>
            </c:ext>
          </c:extLst>
        </c:ser>
        <c:ser>
          <c:idx val="1"/>
          <c:order val="1"/>
          <c:tx>
            <c:strRef>
              <c:f>List1!$C$1</c:f>
              <c:strCache>
                <c:ptCount val="1"/>
                <c:pt idx="0">
                  <c:v>ženy</c:v>
                </c:pt>
              </c:strCache>
            </c:strRef>
          </c:tx>
          <c:spPr>
            <a:solidFill>
              <a:srgbClr val="C00000"/>
            </a:solidFill>
            <a:ln>
              <a:noFill/>
            </a:ln>
            <a:effectLst>
              <a:outerShdw blurRad="57150" dist="19050" dir="5400000" algn="ctr" rotWithShape="0">
                <a:srgbClr val="000000">
                  <a:alpha val="63000"/>
                </a:srgbClr>
              </a:outerShdw>
            </a:effectLst>
            <a:sp3d/>
          </c:spPr>
          <c:invertIfNegative val="0"/>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05-4AA6-8579-A62D3B59BCF4}"/>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05-4AA6-8579-A62D3B59BCF4}"/>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05-4AA6-8579-A62D3B59BCF4}"/>
                </c:ext>
              </c:extLst>
            </c:dLbl>
            <c:spPr>
              <a:solidFill>
                <a:schemeClr val="lt1"/>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List1!$A$2:$A$11</c:f>
              <c:strCache>
                <c:ptCount val="10"/>
                <c:pt idx="0">
                  <c:v>Chorvatsko</c:v>
                </c:pt>
                <c:pt idx="1">
                  <c:v>Francie</c:v>
                </c:pt>
                <c:pt idx="2">
                  <c:v>Itálie</c:v>
                </c:pt>
                <c:pt idx="3">
                  <c:v>Velká Británie</c:v>
                </c:pt>
                <c:pt idx="4">
                  <c:v>Maďarsko</c:v>
                </c:pt>
                <c:pt idx="5">
                  <c:v>Německo</c:v>
                </c:pt>
                <c:pt idx="6">
                  <c:v>Bulharsko</c:v>
                </c:pt>
                <c:pt idx="7">
                  <c:v>Polsko</c:v>
                </c:pt>
                <c:pt idx="8">
                  <c:v>Rumunsko</c:v>
                </c:pt>
                <c:pt idx="9">
                  <c:v>Slovensko</c:v>
                </c:pt>
              </c:strCache>
            </c:strRef>
          </c:cat>
          <c:val>
            <c:numRef>
              <c:f>List1!$C$2:$C$11</c:f>
              <c:numCache>
                <c:formatCode>General</c:formatCode>
                <c:ptCount val="10"/>
                <c:pt idx="0">
                  <c:v>1168</c:v>
                </c:pt>
                <c:pt idx="1">
                  <c:v>1198</c:v>
                </c:pt>
                <c:pt idx="2">
                  <c:v>1319</c:v>
                </c:pt>
                <c:pt idx="3">
                  <c:v>1956</c:v>
                </c:pt>
                <c:pt idx="4">
                  <c:v>3990</c:v>
                </c:pt>
                <c:pt idx="5">
                  <c:v>3297</c:v>
                </c:pt>
                <c:pt idx="6">
                  <c:v>6660</c:v>
                </c:pt>
                <c:pt idx="7">
                  <c:v>9838</c:v>
                </c:pt>
                <c:pt idx="8">
                  <c:v>6778</c:v>
                </c:pt>
                <c:pt idx="9">
                  <c:v>56939</c:v>
                </c:pt>
              </c:numCache>
            </c:numRef>
          </c:val>
          <c:extLst>
            <c:ext xmlns:c16="http://schemas.microsoft.com/office/drawing/2014/chart" uri="{C3380CC4-5D6E-409C-BE32-E72D297353CC}">
              <c16:uniqueId val="{0000000B-4105-4AA6-8579-A62D3B59BCF4}"/>
            </c:ext>
          </c:extLst>
        </c:ser>
        <c:dLbls>
          <c:showLegendKey val="0"/>
          <c:showVal val="0"/>
          <c:showCatName val="0"/>
          <c:showSerName val="0"/>
          <c:showPercent val="0"/>
          <c:showBubbleSize val="0"/>
        </c:dLbls>
        <c:gapWidth val="72"/>
        <c:shape val="cylinder"/>
        <c:axId val="298473888"/>
        <c:axId val="298470360"/>
        <c:axId val="0"/>
      </c:bar3DChart>
      <c:catAx>
        <c:axId val="298473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70360"/>
        <c:crosses val="autoZero"/>
        <c:auto val="1"/>
        <c:lblAlgn val="ctr"/>
        <c:lblOffset val="100"/>
        <c:noMultiLvlLbl val="0"/>
      </c:catAx>
      <c:valAx>
        <c:axId val="298470360"/>
        <c:scaling>
          <c:orientation val="minMax"/>
          <c:max val="1200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73888"/>
        <c:crosses val="autoZero"/>
        <c:crossBetween val="between"/>
      </c:valAx>
      <c:spPr>
        <a:noFill/>
        <a:ln>
          <a:noFill/>
        </a:ln>
        <a:effectLst/>
      </c:spPr>
    </c:plotArea>
    <c:legend>
      <c:legendPos val="b"/>
      <c:layout>
        <c:manualLayout>
          <c:xMode val="edge"/>
          <c:yMode val="edge"/>
          <c:x val="0.77866586121179293"/>
          <c:y val="0.79516916814533078"/>
          <c:w val="0.18340897491980168"/>
          <c:h val="6.862114457914983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a:t>
            </a:r>
            <a:r>
              <a:rPr lang="cs-CZ" sz="1000" baseline="0"/>
              <a:t> p</a:t>
            </a:r>
            <a:r>
              <a:rPr lang="en-US" sz="1000"/>
              <a:t>odíl</a:t>
            </a:r>
            <a:r>
              <a:rPr lang="cs-CZ" sz="1000"/>
              <a:t>u</a:t>
            </a:r>
            <a:r>
              <a:rPr lang="cs-CZ" sz="1000" baseline="0"/>
              <a:t> </a:t>
            </a:r>
            <a:r>
              <a:rPr lang="cs-CZ" sz="1000" b="1" i="0" u="none" strike="noStrike" cap="none" baseline="0">
                <a:effectLst/>
              </a:rPr>
              <a:t>osob s jinou než českou státní příslušností</a:t>
            </a:r>
            <a:r>
              <a:rPr lang="en-US" sz="1000"/>
              <a:t> na celkovém počtu obyvatel</a:t>
            </a:r>
            <a:r>
              <a:rPr lang="cs-CZ" sz="1000"/>
              <a:t> obce Žernovník 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7.0649328556152718E-2"/>
          <c:y val="0.17119845188842919"/>
          <c:w val="0.89049493813273339"/>
          <c:h val="0.68286934472174032"/>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lumMod val="75000"/>
              </a:schemeClr>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ED85-4173-81D2-C8C985CD4740}"/>
              </c:ext>
            </c:extLst>
          </c:dPt>
          <c:dPt>
            <c:idx val="2"/>
            <c:invertIfNegative val="0"/>
            <c:bubble3D val="0"/>
            <c:extLst>
              <c:ext xmlns:c16="http://schemas.microsoft.com/office/drawing/2014/chart" uri="{C3380CC4-5D6E-409C-BE32-E72D297353CC}">
                <c16:uniqueId val="{00000001-ED85-4173-81D2-C8C985CD4740}"/>
              </c:ext>
            </c:extLst>
          </c:dPt>
          <c:dPt>
            <c:idx val="3"/>
            <c:invertIfNegative val="0"/>
            <c:bubble3D val="0"/>
            <c:extLst>
              <c:ext xmlns:c16="http://schemas.microsoft.com/office/drawing/2014/chart" uri="{C3380CC4-5D6E-409C-BE32-E72D297353CC}">
                <c16:uniqueId val="{00000002-ED85-4173-81D2-C8C985CD4740}"/>
              </c:ext>
            </c:extLst>
          </c:dPt>
          <c:dPt>
            <c:idx val="4"/>
            <c:invertIfNegative val="0"/>
            <c:bubble3D val="0"/>
            <c:extLst>
              <c:ext xmlns:c16="http://schemas.microsoft.com/office/drawing/2014/chart" uri="{C3380CC4-5D6E-409C-BE32-E72D297353CC}">
                <c16:uniqueId val="{00000003-ED85-4173-81D2-C8C985CD4740}"/>
              </c:ext>
            </c:extLst>
          </c:dPt>
          <c:dPt>
            <c:idx val="5"/>
            <c:invertIfNegative val="0"/>
            <c:bubble3D val="0"/>
            <c:spPr>
              <a:solidFill>
                <a:schemeClr val="tx2">
                  <a:lumMod val="75000"/>
                </a:schemeClr>
              </a:solidFill>
              <a:ln w="9525" cap="flat" cmpd="sng" algn="ctr">
                <a:noFill/>
                <a:miter lim="800000"/>
              </a:ln>
              <a:effectLst/>
            </c:spPr>
            <c:extLst>
              <c:ext xmlns:c16="http://schemas.microsoft.com/office/drawing/2014/chart" uri="{C3380CC4-5D6E-409C-BE32-E72D297353CC}">
                <c16:uniqueId val="{00000005-ED85-4173-81D2-C8C985CD4740}"/>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ED85-4173-81D2-C8C985CD4740}"/>
              </c:ext>
            </c:extLst>
          </c:dPt>
          <c:dPt>
            <c:idx val="7"/>
            <c:invertIfNegative val="0"/>
            <c:bubble3D val="0"/>
            <c:spPr>
              <a:solidFill>
                <a:schemeClr val="tx2">
                  <a:lumMod val="75000"/>
                </a:schemeClr>
              </a:solidFill>
              <a:ln w="9525" cap="flat" cmpd="sng" algn="ctr">
                <a:noFill/>
                <a:miter lim="800000"/>
              </a:ln>
              <a:effectLst/>
            </c:spPr>
            <c:extLst>
              <c:ext xmlns:c16="http://schemas.microsoft.com/office/drawing/2014/chart" uri="{C3380CC4-5D6E-409C-BE32-E72D297353CC}">
                <c16:uniqueId val="{00000009-ED85-4173-81D2-C8C985CD4740}"/>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0.00%</c:formatCode>
                <c:ptCount val="7"/>
                <c:pt idx="0">
                  <c:v>4.1000000000000002E-2</c:v>
                </c:pt>
                <c:pt idx="1">
                  <c:v>7.4999999999999997E-2</c:v>
                </c:pt>
                <c:pt idx="2">
                  <c:v>5.96E-2</c:v>
                </c:pt>
                <c:pt idx="3">
                  <c:v>4.9000000000000002E-2</c:v>
                </c:pt>
                <c:pt idx="4">
                  <c:v>3.5700000000000003E-2</c:v>
                </c:pt>
                <c:pt idx="5">
                  <c:v>4.3062200956937802E-2</c:v>
                </c:pt>
                <c:pt idx="6">
                  <c:v>8.7499999999999994E-2</c:v>
                </c:pt>
              </c:numCache>
            </c:numRef>
          </c:val>
          <c:extLst>
            <c:ext xmlns:c16="http://schemas.microsoft.com/office/drawing/2014/chart" uri="{C3380CC4-5D6E-409C-BE32-E72D297353CC}">
              <c16:uniqueId val="{0000000A-ED85-4173-81D2-C8C985CD4740}"/>
            </c:ext>
          </c:extLst>
        </c:ser>
        <c:dLbls>
          <c:dLblPos val="inEnd"/>
          <c:showLegendKey val="0"/>
          <c:showVal val="1"/>
          <c:showCatName val="0"/>
          <c:showSerName val="0"/>
          <c:showPercent val="0"/>
          <c:showBubbleSize val="0"/>
        </c:dLbls>
        <c:gapWidth val="182"/>
        <c:overlap val="-50"/>
        <c:axId val="438137680"/>
        <c:axId val="438138072"/>
      </c:barChart>
      <c:catAx>
        <c:axId val="438137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38072"/>
        <c:crosses val="autoZero"/>
        <c:auto val="1"/>
        <c:lblAlgn val="ctr"/>
        <c:lblOffset val="100"/>
        <c:noMultiLvlLbl val="0"/>
      </c:catAx>
      <c:valAx>
        <c:axId val="438138072"/>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37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 p</a:t>
            </a:r>
            <a:r>
              <a:rPr lang="en-US" sz="1000"/>
              <a:t>odíl</a:t>
            </a:r>
            <a:r>
              <a:rPr lang="cs-CZ" sz="1000"/>
              <a:t>u</a:t>
            </a:r>
            <a:r>
              <a:rPr lang="en-US" sz="1000"/>
              <a:t> </a:t>
            </a:r>
            <a:r>
              <a:rPr lang="cs-CZ" sz="1000" b="1" i="0" u="none" strike="noStrike" cap="none" baseline="0">
                <a:effectLst/>
              </a:rPr>
              <a:t>osob s jinou než českou státní příslušností</a:t>
            </a:r>
            <a:r>
              <a:rPr lang="en-US" sz="1000"/>
              <a:t> na celkovém počtu obyvatel</a:t>
            </a:r>
            <a:r>
              <a:rPr lang="cs-CZ" sz="1000"/>
              <a:t> obce Blansko 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7.0649328556152718E-2"/>
          <c:y val="0.16027222260934199"/>
          <c:w val="0.89049493813273339"/>
          <c:h val="0.70306086739157603"/>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5070-4A33-9202-E592933266D2}"/>
              </c:ext>
            </c:extLst>
          </c:dPt>
          <c:dPt>
            <c:idx val="2"/>
            <c:invertIfNegative val="0"/>
            <c:bubble3D val="0"/>
            <c:extLst>
              <c:ext xmlns:c16="http://schemas.microsoft.com/office/drawing/2014/chart" uri="{C3380CC4-5D6E-409C-BE32-E72D297353CC}">
                <c16:uniqueId val="{00000001-5070-4A33-9202-E592933266D2}"/>
              </c:ext>
            </c:extLst>
          </c:dPt>
          <c:dPt>
            <c:idx val="3"/>
            <c:invertIfNegative val="0"/>
            <c:bubble3D val="0"/>
            <c:extLst>
              <c:ext xmlns:c16="http://schemas.microsoft.com/office/drawing/2014/chart" uri="{C3380CC4-5D6E-409C-BE32-E72D297353CC}">
                <c16:uniqueId val="{00000002-5070-4A33-9202-E592933266D2}"/>
              </c:ext>
            </c:extLst>
          </c:dPt>
          <c:dPt>
            <c:idx val="4"/>
            <c:invertIfNegative val="0"/>
            <c:bubble3D val="0"/>
            <c:extLst>
              <c:ext xmlns:c16="http://schemas.microsoft.com/office/drawing/2014/chart" uri="{C3380CC4-5D6E-409C-BE32-E72D297353CC}">
                <c16:uniqueId val="{00000003-5070-4A33-9202-E592933266D2}"/>
              </c:ext>
            </c:extLst>
          </c:dPt>
          <c:dPt>
            <c:idx val="5"/>
            <c:invertIfNegative val="0"/>
            <c:bubble3D val="0"/>
            <c:spPr>
              <a:solidFill>
                <a:schemeClr val="tx2">
                  <a:lumMod val="75000"/>
                </a:schemeClr>
              </a:solidFill>
              <a:ln w="9525" cap="flat" cmpd="sng" algn="ctr">
                <a:noFill/>
                <a:miter lim="800000"/>
              </a:ln>
              <a:effectLst/>
            </c:spPr>
            <c:extLst>
              <c:ext xmlns:c16="http://schemas.microsoft.com/office/drawing/2014/chart" uri="{C3380CC4-5D6E-409C-BE32-E72D297353CC}">
                <c16:uniqueId val="{00000005-5070-4A33-9202-E592933266D2}"/>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5070-4A33-9202-E592933266D2}"/>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5070-4A33-9202-E592933266D2}"/>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0.00%</c:formatCode>
                <c:ptCount val="7"/>
                <c:pt idx="0">
                  <c:v>2.8000000000000001E-2</c:v>
                </c:pt>
                <c:pt idx="1">
                  <c:v>4.3999999999999997E-2</c:v>
                </c:pt>
                <c:pt idx="2">
                  <c:v>4.4999999999999998E-2</c:v>
                </c:pt>
                <c:pt idx="3">
                  <c:v>4.2999999999999997E-2</c:v>
                </c:pt>
                <c:pt idx="4">
                  <c:v>4.2999999999999997E-2</c:v>
                </c:pt>
                <c:pt idx="5">
                  <c:v>4.2999999999999997E-2</c:v>
                </c:pt>
                <c:pt idx="6">
                  <c:v>8.3599999999999994E-2</c:v>
                </c:pt>
              </c:numCache>
            </c:numRef>
          </c:val>
          <c:extLst>
            <c:ext xmlns:c16="http://schemas.microsoft.com/office/drawing/2014/chart" uri="{C3380CC4-5D6E-409C-BE32-E72D297353CC}">
              <c16:uniqueId val="{0000000A-5070-4A33-9202-E592933266D2}"/>
            </c:ext>
          </c:extLst>
        </c:ser>
        <c:dLbls>
          <c:dLblPos val="inEnd"/>
          <c:showLegendKey val="0"/>
          <c:showVal val="1"/>
          <c:showCatName val="0"/>
          <c:showSerName val="0"/>
          <c:showPercent val="0"/>
          <c:showBubbleSize val="0"/>
        </c:dLbls>
        <c:gapWidth val="182"/>
        <c:overlap val="-50"/>
        <c:axId val="438139640"/>
        <c:axId val="438145128"/>
      </c:barChart>
      <c:catAx>
        <c:axId val="438139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5128"/>
        <c:crosses val="autoZero"/>
        <c:auto val="1"/>
        <c:lblAlgn val="ctr"/>
        <c:lblOffset val="100"/>
        <c:noMultiLvlLbl val="0"/>
      </c:catAx>
      <c:valAx>
        <c:axId val="438145128"/>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39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a:t>
            </a:r>
            <a:r>
              <a:rPr lang="cs-CZ" sz="1000" b="1" i="0" u="none" strike="noStrike" cap="none" baseline="0">
                <a:effectLst/>
              </a:rPr>
              <a:t>osob s jinou než českou státní příslušností </a:t>
            </a:r>
            <a:r>
              <a:rPr lang="cs-CZ" sz="1000" b="1" cap="none" spc="0">
                <a:ln w="0"/>
                <a:solidFill>
                  <a:schemeClr val="tx1"/>
                </a:solidFill>
                <a:effectLst/>
              </a:rPr>
              <a:t> na celkovém</a:t>
            </a:r>
            <a:r>
              <a:rPr lang="cs-CZ" sz="1000" b="1" cap="none" spc="0" baseline="0">
                <a:ln w="0"/>
                <a:solidFill>
                  <a:schemeClr val="tx1"/>
                </a:solidFill>
                <a:effectLst/>
              </a:rPr>
              <a:t> počtu obyvatel ORP </a:t>
            </a:r>
            <a:r>
              <a:rPr lang="cs-CZ" sz="1000" b="1" i="0" u="none" strike="noStrike" kern="1200" cap="none" spc="0" baseline="0">
                <a:ln w="0"/>
                <a:solidFill>
                  <a:schemeClr val="tx1"/>
                </a:solidFill>
                <a:effectLst/>
                <a:latin typeface="Arial Narrow" panose="020B0606020202030204" pitchFamily="34" charset="0"/>
                <a:ea typeface="+mn-ea"/>
                <a:cs typeface="+mn-cs"/>
              </a:rPr>
              <a:t>Brno</a:t>
            </a:r>
            <a:r>
              <a:rPr lang="cs-CZ" sz="1000" b="1" cap="none" spc="0" baseline="0">
                <a:ln w="0"/>
                <a:solidFill>
                  <a:schemeClr val="tx1"/>
                </a:solidFill>
                <a:effectLst/>
              </a:rPr>
              <a:t> v letech 2006-2023 </a:t>
            </a:r>
            <a:r>
              <a:rPr lang="cs-CZ" sz="1000" b="1" i="0" u="none" strike="noStrike" cap="none" baseline="0">
                <a:effectLst/>
              </a:rPr>
              <a:t>(data k 1. 1. daného roku)</a:t>
            </a:r>
            <a:endParaRPr lang="cs-CZ" sz="1000" b="1" cap="none" spc="0">
              <a:ln w="0"/>
              <a:solidFill>
                <a:schemeClr val="tx1"/>
              </a:solidFill>
              <a:effectLst/>
            </a:endParaRPr>
          </a:p>
        </c:rich>
      </c:tx>
      <c:layout>
        <c:manualLayout>
          <c:xMode val="edge"/>
          <c:yMode val="edge"/>
          <c:x val="0.12659954010173508"/>
          <c:y val="1.4745235649891587E-2"/>
        </c:manualLayout>
      </c:layout>
      <c:overlay val="0"/>
      <c:spPr>
        <a:noFill/>
        <a:ln>
          <a:noFill/>
        </a:ln>
        <a:effectLst/>
      </c:sp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428023420149403E-2"/>
          <c:y val="9.1168264293050319E-2"/>
          <c:w val="0.90254980146712427"/>
          <c:h val="0.84644043135912361"/>
        </c:manualLayout>
      </c:layout>
      <c:bar3DChart>
        <c:barDir val="bar"/>
        <c:grouping val="clustered"/>
        <c:varyColors val="0"/>
        <c:ser>
          <c:idx val="0"/>
          <c:order val="0"/>
          <c:tx>
            <c:strRef>
              <c:f>List1!$B$1</c:f>
              <c:strCache>
                <c:ptCount val="1"/>
                <c:pt idx="0">
                  <c:v>Sloupec1</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5"/>
            <c:invertIfNegative val="0"/>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5E5-411C-A878-79C0ADC550BA}"/>
              </c:ext>
            </c:extLst>
          </c:dPt>
          <c:dPt>
            <c:idx val="16"/>
            <c:invertIfNegative val="0"/>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5E5-411C-A878-79C0ADC550BA}"/>
              </c:ext>
            </c:extLst>
          </c:dPt>
          <c:dPt>
            <c:idx val="17"/>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5E5-411C-A878-79C0ADC550BA}"/>
              </c:ext>
            </c:extLst>
          </c:dPt>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c:formatCode>
                <c:ptCount val="18"/>
                <c:pt idx="0">
                  <c:v>3.4000000000000002E-2</c:v>
                </c:pt>
                <c:pt idx="1">
                  <c:v>3.7999999999999999E-2</c:v>
                </c:pt>
                <c:pt idx="2">
                  <c:v>4.4999999999999998E-2</c:v>
                </c:pt>
                <c:pt idx="3">
                  <c:v>5.3999999999999999E-2</c:v>
                </c:pt>
                <c:pt idx="4">
                  <c:v>5.8999999999999997E-2</c:v>
                </c:pt>
                <c:pt idx="5">
                  <c:v>0.06</c:v>
                </c:pt>
                <c:pt idx="6">
                  <c:v>6.0999999999999999E-2</c:v>
                </c:pt>
                <c:pt idx="7">
                  <c:v>5.6000000000000001E-2</c:v>
                </c:pt>
                <c:pt idx="8">
                  <c:v>5.8999999999999997E-2</c:v>
                </c:pt>
                <c:pt idx="9">
                  <c:v>6.3E-2</c:v>
                </c:pt>
                <c:pt idx="10">
                  <c:v>6.5000000000000002E-2</c:v>
                </c:pt>
                <c:pt idx="11">
                  <c:v>6.9000000000000006E-2</c:v>
                </c:pt>
                <c:pt idx="12">
                  <c:v>7.3999999999999996E-2</c:v>
                </c:pt>
                <c:pt idx="13">
                  <c:v>7.9000000000000001E-2</c:v>
                </c:pt>
                <c:pt idx="14">
                  <c:v>8.4000000000000005E-2</c:v>
                </c:pt>
                <c:pt idx="15">
                  <c:v>9.0999999999999998E-2</c:v>
                </c:pt>
                <c:pt idx="16">
                  <c:v>9.5000000000000001E-2</c:v>
                </c:pt>
                <c:pt idx="17">
                  <c:v>0.14499999999999999</c:v>
                </c:pt>
              </c:numCache>
            </c:numRef>
          </c:val>
          <c:shape val="cylinder"/>
          <c:extLst>
            <c:ext xmlns:c16="http://schemas.microsoft.com/office/drawing/2014/chart" uri="{C3380CC4-5D6E-409C-BE32-E72D297353CC}">
              <c16:uniqueId val="{00000006-75E5-411C-A878-79C0ADC550BA}"/>
            </c:ext>
          </c:extLst>
        </c:ser>
        <c:dLbls>
          <c:showLegendKey val="0"/>
          <c:showVal val="0"/>
          <c:showCatName val="0"/>
          <c:showSerName val="0"/>
          <c:showPercent val="0"/>
          <c:showBubbleSize val="0"/>
        </c:dLbls>
        <c:gapWidth val="95"/>
        <c:shape val="box"/>
        <c:axId val="438141208"/>
        <c:axId val="438145912"/>
        <c:axId val="0"/>
      </c:bar3DChart>
      <c:catAx>
        <c:axId val="438141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45912"/>
        <c:crosses val="autoZero"/>
        <c:auto val="1"/>
        <c:lblAlgn val="ctr"/>
        <c:lblOffset val="100"/>
        <c:noMultiLvlLbl val="0"/>
      </c:catAx>
      <c:valAx>
        <c:axId val="43814591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41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Osoby s jinou</a:t>
            </a:r>
            <a:r>
              <a:rPr lang="cs-CZ" sz="1000" b="1" cap="none" spc="0" baseline="0">
                <a:ln w="0"/>
                <a:solidFill>
                  <a:schemeClr val="tx1"/>
                </a:solidFill>
                <a:effectLst/>
              </a:rPr>
              <a:t> než českou státní příslušností</a:t>
            </a:r>
            <a:r>
              <a:rPr lang="cs-CZ" sz="1000" b="1" cap="none" spc="0">
                <a:ln w="0"/>
                <a:solidFill>
                  <a:schemeClr val="tx1"/>
                </a:solidFill>
                <a:effectLst/>
              </a:rPr>
              <a:t> v ORP </a:t>
            </a:r>
            <a:r>
              <a:rPr lang="cs-CZ" sz="1000" b="1" i="0" u="none" strike="noStrike" kern="1200" cap="none" spc="0" baseline="0">
                <a:ln w="0"/>
                <a:solidFill>
                  <a:schemeClr val="tx1"/>
                </a:solidFill>
                <a:effectLst/>
                <a:latin typeface="Arial Narrow" panose="020B0606020202030204" pitchFamily="34" charset="0"/>
                <a:ea typeface="+mn-ea"/>
                <a:cs typeface="+mn-cs"/>
              </a:rPr>
              <a:t>Brno</a:t>
            </a:r>
            <a:r>
              <a:rPr lang="cs-CZ" sz="1000" b="1" cap="none" spc="0">
                <a:ln w="0"/>
                <a:solidFill>
                  <a:schemeClr val="tx1"/>
                </a:solidFill>
                <a:effectLst/>
              </a:rPr>
              <a:t> podle pohlaví</a:t>
            </a:r>
          </a:p>
        </c:rich>
      </c:tx>
      <c:layout>
        <c:manualLayout>
          <c:xMode val="edge"/>
          <c:yMode val="edge"/>
          <c:x val="0.2043587619052582"/>
          <c:y val="2.6160099573152456E-3"/>
        </c:manualLayout>
      </c:layout>
      <c:overlay val="0"/>
      <c:spPr>
        <a:noFill/>
        <a:ln>
          <a:noFill/>
        </a:ln>
        <a:effectLst/>
      </c:spPr>
    </c:title>
    <c:autoTitleDeleted val="0"/>
    <c:view3D>
      <c:rotX val="15"/>
      <c:rotY val="20"/>
      <c:depthPercent val="100"/>
      <c:rAngAx val="1"/>
    </c:view3D>
    <c:floor>
      <c:thickness val="0"/>
      <c:spPr>
        <a:solidFill>
          <a:schemeClr val="bg1">
            <a:lumMod val="95000"/>
            <a:alpha val="54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88698634892866E-2"/>
          <c:y val="3.7019334007581395E-2"/>
          <c:w val="0.90067873460261927"/>
          <c:h val="0.86032279437873616"/>
        </c:manualLayout>
      </c:layout>
      <c:bar3DChart>
        <c:barDir val="bar"/>
        <c:grouping val="stacked"/>
        <c:varyColors val="0"/>
        <c:ser>
          <c:idx val="0"/>
          <c:order val="0"/>
          <c:tx>
            <c:strRef>
              <c:f>List1!$B$1</c:f>
              <c:strCache>
                <c:ptCount val="1"/>
                <c:pt idx="0">
                  <c:v>muži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c:formatCode>
                <c:ptCount val="18"/>
                <c:pt idx="0">
                  <c:v>0.65500000000000003</c:v>
                </c:pt>
                <c:pt idx="1">
                  <c:v>0.65200000000000002</c:v>
                </c:pt>
                <c:pt idx="2">
                  <c:v>0.64200000000000002</c:v>
                </c:pt>
                <c:pt idx="3">
                  <c:v>0.63300000000000001</c:v>
                </c:pt>
                <c:pt idx="4">
                  <c:v>0.63</c:v>
                </c:pt>
                <c:pt idx="5">
                  <c:v>0.622</c:v>
                </c:pt>
                <c:pt idx="6">
                  <c:v>0.61299999999999999</c:v>
                </c:pt>
                <c:pt idx="7">
                  <c:v>0.6</c:v>
                </c:pt>
                <c:pt idx="8">
                  <c:v>0.59099999999999997</c:v>
                </c:pt>
                <c:pt idx="9">
                  <c:v>0.58599999999999997</c:v>
                </c:pt>
                <c:pt idx="10">
                  <c:v>0.58499999999999996</c:v>
                </c:pt>
                <c:pt idx="11">
                  <c:v>0.58499999999999996</c:v>
                </c:pt>
                <c:pt idx="12">
                  <c:v>0.57999999999999996</c:v>
                </c:pt>
                <c:pt idx="13">
                  <c:v>0.57799999999999996</c:v>
                </c:pt>
                <c:pt idx="14">
                  <c:v>0.58499999999999996</c:v>
                </c:pt>
                <c:pt idx="15">
                  <c:v>0.58599999999999997</c:v>
                </c:pt>
                <c:pt idx="16">
                  <c:v>0.58499999999999996</c:v>
                </c:pt>
                <c:pt idx="17">
                  <c:v>0.50700000000000001</c:v>
                </c:pt>
              </c:numCache>
            </c:numRef>
          </c:val>
          <c:extLst>
            <c:ext xmlns:c16="http://schemas.microsoft.com/office/drawing/2014/chart" uri="{C3380CC4-5D6E-409C-BE32-E72D297353CC}">
              <c16:uniqueId val="{00000000-7592-447D-92EE-E0FCE370949C}"/>
            </c:ext>
          </c:extLst>
        </c:ser>
        <c:ser>
          <c:idx val="1"/>
          <c:order val="1"/>
          <c:tx>
            <c:strRef>
              <c:f>List1!$C$1</c:f>
              <c:strCache>
                <c:ptCount val="1"/>
                <c:pt idx="0">
                  <c:v>ženy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List1!$C$2:$C$19</c:f>
              <c:numCache>
                <c:formatCode>0.0%</c:formatCode>
                <c:ptCount val="18"/>
                <c:pt idx="0">
                  <c:v>0.34499999999999997</c:v>
                </c:pt>
                <c:pt idx="1">
                  <c:v>0.34799999999999998</c:v>
                </c:pt>
                <c:pt idx="2">
                  <c:v>0.35799999999999998</c:v>
                </c:pt>
                <c:pt idx="3">
                  <c:v>0.36699999999999999</c:v>
                </c:pt>
                <c:pt idx="4">
                  <c:v>0.37</c:v>
                </c:pt>
                <c:pt idx="5">
                  <c:v>0.378</c:v>
                </c:pt>
                <c:pt idx="6">
                  <c:v>0.38700000000000001</c:v>
                </c:pt>
                <c:pt idx="7">
                  <c:v>0.4</c:v>
                </c:pt>
                <c:pt idx="8">
                  <c:v>0.40899999999999997</c:v>
                </c:pt>
                <c:pt idx="9">
                  <c:v>0.41399999999999998</c:v>
                </c:pt>
                <c:pt idx="10">
                  <c:v>0.41499999999999998</c:v>
                </c:pt>
                <c:pt idx="11">
                  <c:v>0.41499999999999998</c:v>
                </c:pt>
                <c:pt idx="12">
                  <c:v>0.42</c:v>
                </c:pt>
                <c:pt idx="13">
                  <c:v>0.42199999999999999</c:v>
                </c:pt>
                <c:pt idx="14">
                  <c:v>0.41499999999999998</c:v>
                </c:pt>
                <c:pt idx="15">
                  <c:v>0.41399999999999998</c:v>
                </c:pt>
                <c:pt idx="16">
                  <c:v>0.41499999999999998</c:v>
                </c:pt>
                <c:pt idx="17">
                  <c:v>0.49299999999999999</c:v>
                </c:pt>
              </c:numCache>
            </c:numRef>
          </c:val>
          <c:extLst>
            <c:ext xmlns:c16="http://schemas.microsoft.com/office/drawing/2014/chart" uri="{C3380CC4-5D6E-409C-BE32-E72D297353CC}">
              <c16:uniqueId val="{00000001-7592-447D-92EE-E0FCE370949C}"/>
            </c:ext>
          </c:extLst>
        </c:ser>
        <c:dLbls>
          <c:showLegendKey val="0"/>
          <c:showVal val="0"/>
          <c:showCatName val="0"/>
          <c:showSerName val="0"/>
          <c:showPercent val="0"/>
          <c:showBubbleSize val="0"/>
        </c:dLbls>
        <c:gapWidth val="72"/>
        <c:shape val="cylinder"/>
        <c:axId val="438160344"/>
        <c:axId val="438156816"/>
        <c:axId val="0"/>
      </c:bar3DChart>
      <c:catAx>
        <c:axId val="438160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56816"/>
        <c:crosses val="autoZero"/>
        <c:auto val="1"/>
        <c:lblAlgn val="ctr"/>
        <c:lblOffset val="100"/>
        <c:noMultiLvlLbl val="0"/>
      </c:catAx>
      <c:valAx>
        <c:axId val="43815681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60344"/>
        <c:crosses val="autoZero"/>
        <c:crossBetween val="between"/>
      </c:valAx>
      <c:spPr>
        <a:noFill/>
        <a:ln>
          <a:noFill/>
        </a:ln>
        <a:effectLst/>
      </c:spPr>
    </c:plotArea>
    <c:legend>
      <c:legendPos val="b"/>
      <c:layout>
        <c:manualLayout>
          <c:xMode val="edge"/>
          <c:yMode val="edge"/>
          <c:x val="0.41931841853101698"/>
          <c:y val="0.94390500890652762"/>
          <c:w val="0.18340897491980168"/>
          <c:h val="5.449081476091452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b="1" i="0" u="none" strike="noStrike" cap="none" baseline="0">
                <a:effectLst/>
              </a:rPr>
              <a:t>Podíl osob s jinou než českou státní příslušností na celkovém počtu obyvatel k 1. 1. 2023</a:t>
            </a:r>
            <a:endParaRPr lang="en-US" sz="1000"/>
          </a:p>
        </c:rich>
      </c:tx>
      <c:layout>
        <c:manualLayout>
          <c:xMode val="edge"/>
          <c:yMode val="edge"/>
          <c:x val="0.14398148148148149"/>
          <c:y val="9.6790264853256983E-3"/>
        </c:manualLayout>
      </c:layout>
      <c:overlay val="0"/>
      <c:spPr>
        <a:noFill/>
        <a:ln>
          <a:noFill/>
        </a:ln>
        <a:effectLst/>
      </c:spPr>
    </c:title>
    <c:autoTitleDeleted val="0"/>
    <c:plotArea>
      <c:layout>
        <c:manualLayout>
          <c:layoutTarget val="inner"/>
          <c:xMode val="edge"/>
          <c:yMode val="edge"/>
          <c:x val="0.25178345762335264"/>
          <c:y val="5.5384776902887137E-2"/>
          <c:w val="0.71192350956130479"/>
          <c:h val="0.8910616082080649"/>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solidFill>
                <a:schemeClr val="accent1"/>
              </a:solidFill>
              <a:miter lim="800000"/>
            </a:ln>
            <a:effectLst/>
          </c:spPr>
          <c:invertIfNegative val="0"/>
          <c:dPt>
            <c:idx val="0"/>
            <c:invertIfNegative val="0"/>
            <c:bubble3D val="0"/>
            <c:spPr>
              <a:solidFill>
                <a:schemeClr val="accent5">
                  <a:lumMod val="50000"/>
                </a:schemeClr>
              </a:solidFill>
              <a:ln w="9525" cap="flat" cmpd="sng" algn="ctr">
                <a:noFill/>
                <a:miter lim="800000"/>
              </a:ln>
              <a:effectLst/>
            </c:spPr>
            <c:extLst>
              <c:ext xmlns:c16="http://schemas.microsoft.com/office/drawing/2014/chart" uri="{C3380CC4-5D6E-409C-BE32-E72D297353CC}">
                <c16:uniqueId val="{00000001-53FD-48E5-A778-1B36D282FC27}"/>
              </c:ext>
            </c:extLst>
          </c:dPt>
          <c:dPt>
            <c:idx val="2"/>
            <c:invertIfNegative val="0"/>
            <c:bubble3D val="0"/>
            <c:extLst>
              <c:ext xmlns:c16="http://schemas.microsoft.com/office/drawing/2014/chart" uri="{C3380CC4-5D6E-409C-BE32-E72D297353CC}">
                <c16:uniqueId val="{00000002-53FD-48E5-A778-1B36D282FC27}"/>
              </c:ext>
            </c:extLst>
          </c:dPt>
          <c:dPt>
            <c:idx val="7"/>
            <c:invertIfNegative val="0"/>
            <c:bubble3D val="0"/>
            <c:extLst>
              <c:ext xmlns:c16="http://schemas.microsoft.com/office/drawing/2014/chart" uri="{C3380CC4-5D6E-409C-BE32-E72D297353CC}">
                <c16:uniqueId val="{00000003-53FD-48E5-A778-1B36D282FC27}"/>
              </c:ext>
            </c:extLst>
          </c:dPt>
          <c:dPt>
            <c:idx val="9"/>
            <c:invertIfNegative val="0"/>
            <c:bubble3D val="0"/>
            <c:extLst>
              <c:ext xmlns:c16="http://schemas.microsoft.com/office/drawing/2014/chart" uri="{C3380CC4-5D6E-409C-BE32-E72D297353CC}">
                <c16:uniqueId val="{00000004-53FD-48E5-A778-1B36D282FC27}"/>
              </c:ext>
            </c:extLst>
          </c:dPt>
          <c:dPt>
            <c:idx val="18"/>
            <c:invertIfNegative val="0"/>
            <c:bubble3D val="0"/>
            <c:extLst>
              <c:ext xmlns:c16="http://schemas.microsoft.com/office/drawing/2014/chart" uri="{C3380CC4-5D6E-409C-BE32-E72D297353CC}">
                <c16:uniqueId val="{00000005-53FD-48E5-A778-1B36D282FC27}"/>
              </c:ext>
            </c:extLst>
          </c:dPt>
          <c:dPt>
            <c:idx val="20"/>
            <c:invertIfNegative val="0"/>
            <c:bubble3D val="0"/>
            <c:extLst>
              <c:ext xmlns:c16="http://schemas.microsoft.com/office/drawing/2014/chart" uri="{C3380CC4-5D6E-409C-BE32-E72D297353CC}">
                <c16:uniqueId val="{00000006-53FD-48E5-A778-1B36D282FC27}"/>
              </c:ext>
            </c:extLst>
          </c:dPt>
          <c:dPt>
            <c:idx val="22"/>
            <c:invertIfNegative val="0"/>
            <c:bubble3D val="0"/>
            <c:extLst>
              <c:ext xmlns:c16="http://schemas.microsoft.com/office/drawing/2014/chart" uri="{C3380CC4-5D6E-409C-BE32-E72D297353CC}">
                <c16:uniqueId val="{00000007-53FD-48E5-A778-1B36D282FC27}"/>
              </c:ext>
            </c:extLst>
          </c:dPt>
          <c:dPt>
            <c:idx val="23"/>
            <c:invertIfNegative val="0"/>
            <c:bubble3D val="0"/>
            <c:extLst>
              <c:ext xmlns:c16="http://schemas.microsoft.com/office/drawing/2014/chart" uri="{C3380CC4-5D6E-409C-BE32-E72D297353CC}">
                <c16:uniqueId val="{00000008-53FD-48E5-A778-1B36D282FC27}"/>
              </c:ext>
            </c:extLst>
          </c:dPt>
          <c:dPt>
            <c:idx val="24"/>
            <c:invertIfNegative val="0"/>
            <c:bubble3D val="0"/>
            <c:extLst>
              <c:ext xmlns:c16="http://schemas.microsoft.com/office/drawing/2014/chart" uri="{C3380CC4-5D6E-409C-BE32-E72D297353CC}">
                <c16:uniqueId val="{00000009-53FD-48E5-A778-1B36D282FC27}"/>
              </c:ext>
            </c:extLst>
          </c:dPt>
          <c:dPt>
            <c:idx val="2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1-53FD-48E5-A778-1B36D282FC27}"/>
              </c:ext>
            </c:extLst>
          </c:dPt>
          <c:dPt>
            <c:idx val="26"/>
            <c:invertIfNegative val="0"/>
            <c:bubble3D val="0"/>
            <c:spPr>
              <a:solidFill>
                <a:srgbClr val="C00000"/>
              </a:solidFill>
              <a:ln w="9525" cap="flat" cmpd="sng" algn="ctr">
                <a:solidFill>
                  <a:srgbClr val="C00000"/>
                </a:solidFill>
                <a:miter lim="800000"/>
              </a:ln>
              <a:effectLst/>
            </c:spPr>
            <c:extLst>
              <c:ext xmlns:c16="http://schemas.microsoft.com/office/drawing/2014/chart" uri="{C3380CC4-5D6E-409C-BE32-E72D297353CC}">
                <c16:uniqueId val="{0000000B-53FD-48E5-A778-1B36D282FC27}"/>
              </c:ext>
            </c:extLst>
          </c:dPt>
          <c:dPt>
            <c:idx val="27"/>
            <c:invertIfNegative val="0"/>
            <c:bubble3D val="0"/>
            <c:spPr>
              <a:solidFill>
                <a:srgbClr val="C00000"/>
              </a:solidFill>
              <a:ln w="9525" cap="flat" cmpd="sng" algn="ctr">
                <a:solidFill>
                  <a:srgbClr val="C00000"/>
                </a:solidFill>
                <a:miter lim="800000"/>
              </a:ln>
              <a:effectLst/>
            </c:spPr>
            <c:extLst>
              <c:ext xmlns:c16="http://schemas.microsoft.com/office/drawing/2014/chart" uri="{C3380CC4-5D6E-409C-BE32-E72D297353CC}">
                <c16:uniqueId val="{0000000D-53FD-48E5-A778-1B36D282FC27}"/>
              </c:ext>
            </c:extLst>
          </c:dPt>
          <c:dPt>
            <c:idx val="28"/>
            <c:invertIfNegative val="0"/>
            <c:bubble3D val="0"/>
            <c:spPr>
              <a:solidFill>
                <a:srgbClr val="C00000"/>
              </a:solidFill>
              <a:ln w="9525" cap="flat" cmpd="sng" algn="ctr">
                <a:solidFill>
                  <a:srgbClr val="C00000"/>
                </a:solidFill>
                <a:miter lim="800000"/>
              </a:ln>
              <a:effectLst/>
            </c:spPr>
            <c:extLst>
              <c:ext xmlns:c16="http://schemas.microsoft.com/office/drawing/2014/chart" uri="{C3380CC4-5D6E-409C-BE32-E72D297353CC}">
                <c16:uniqueId val="{0000000F-53FD-48E5-A778-1B36D282FC27}"/>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List1!$A$2:$A$30</c:f>
              <c:strCache>
                <c:ptCount val="29"/>
                <c:pt idx="0">
                  <c:v>Brno-Útěchov</c:v>
                </c:pt>
                <c:pt idx="1">
                  <c:v>Brno-Ivanovice</c:v>
                </c:pt>
                <c:pt idx="2">
                  <c:v>Brno-Ořešín</c:v>
                </c:pt>
                <c:pt idx="3">
                  <c:v>Brno-Jehnice</c:v>
                </c:pt>
                <c:pt idx="4">
                  <c:v>Brno-Kníničky</c:v>
                </c:pt>
                <c:pt idx="5">
                  <c:v>Brno-Bystrc</c:v>
                </c:pt>
                <c:pt idx="6">
                  <c:v>Brno-Žebětín</c:v>
                </c:pt>
                <c:pt idx="7">
                  <c:v>Brno-Vinohrady</c:v>
                </c:pt>
                <c:pt idx="8">
                  <c:v>Brno-Kohoutovice</c:v>
                </c:pt>
                <c:pt idx="9">
                  <c:v>Brno-Nový Lískovec</c:v>
                </c:pt>
                <c:pt idx="10">
                  <c:v>Brno-Jundrov</c:v>
                </c:pt>
                <c:pt idx="11">
                  <c:v>Brno-Starý Lískovec</c:v>
                </c:pt>
                <c:pt idx="12">
                  <c:v>Brno-Líšeň</c:v>
                </c:pt>
                <c:pt idx="13">
                  <c:v>Brno-Komín</c:v>
                </c:pt>
                <c:pt idx="14">
                  <c:v>Brno-Řečkovice a Mokrá Hora</c:v>
                </c:pt>
                <c:pt idx="15">
                  <c:v>Brno-Bohunice</c:v>
                </c:pt>
                <c:pt idx="16">
                  <c:v>Brno-Žabovřesky</c:v>
                </c:pt>
                <c:pt idx="17">
                  <c:v>Brno-Medlánky</c:v>
                </c:pt>
                <c:pt idx="18">
                  <c:v>Brno-Maloměřice a Obřany</c:v>
                </c:pt>
                <c:pt idx="19">
                  <c:v>Brno-Tuřany</c:v>
                </c:pt>
                <c:pt idx="20">
                  <c:v>Brno-Bosonohy</c:v>
                </c:pt>
                <c:pt idx="21">
                  <c:v>Brno-Chrlice</c:v>
                </c:pt>
                <c:pt idx="22">
                  <c:v>Brno-sever</c:v>
                </c:pt>
                <c:pt idx="23">
                  <c:v>Brno-střed</c:v>
                </c:pt>
                <c:pt idx="24">
                  <c:v>Brno-Židenice</c:v>
                </c:pt>
                <c:pt idx="25">
                  <c:v>Brno-Černovice</c:v>
                </c:pt>
                <c:pt idx="26">
                  <c:v>Brno-Královo Pole</c:v>
                </c:pt>
                <c:pt idx="27">
                  <c:v>Brno-Slatina</c:v>
                </c:pt>
                <c:pt idx="28">
                  <c:v>Brno-jih</c:v>
                </c:pt>
              </c:strCache>
            </c:strRef>
          </c:cat>
          <c:val>
            <c:numRef>
              <c:f>List1!$B$2:$B$30</c:f>
              <c:numCache>
                <c:formatCode>0.0%</c:formatCode>
                <c:ptCount val="29"/>
                <c:pt idx="0">
                  <c:v>1.7605633802816902E-2</c:v>
                </c:pt>
                <c:pt idx="1">
                  <c:v>5.3499999999999999E-2</c:v>
                </c:pt>
                <c:pt idx="2">
                  <c:v>5.7993730407523508E-2</c:v>
                </c:pt>
                <c:pt idx="3">
                  <c:v>5.8927000879507474E-2</c:v>
                </c:pt>
                <c:pt idx="4">
                  <c:v>6.5026362038664326E-2</c:v>
                </c:pt>
                <c:pt idx="5">
                  <c:v>6.5801743361037904E-2</c:v>
                </c:pt>
                <c:pt idx="6">
                  <c:v>7.0596418014258394E-2</c:v>
                </c:pt>
                <c:pt idx="7">
                  <c:v>7.2354561659374497E-2</c:v>
                </c:pt>
                <c:pt idx="8">
                  <c:v>7.6372129233164651E-2</c:v>
                </c:pt>
                <c:pt idx="9">
                  <c:v>8.1816439931021265E-2</c:v>
                </c:pt>
                <c:pt idx="10">
                  <c:v>8.3192567567567571E-2</c:v>
                </c:pt>
                <c:pt idx="11">
                  <c:v>8.6510263929618775E-2</c:v>
                </c:pt>
                <c:pt idx="12">
                  <c:v>8.8152145977897708E-2</c:v>
                </c:pt>
                <c:pt idx="13">
                  <c:v>9.0138386734821094E-2</c:v>
                </c:pt>
                <c:pt idx="14">
                  <c:v>9.3716790648246548E-2</c:v>
                </c:pt>
                <c:pt idx="15">
                  <c:v>0.10403272939801286</c:v>
                </c:pt>
                <c:pt idx="16">
                  <c:v>0.10618360625318922</c:v>
                </c:pt>
                <c:pt idx="17">
                  <c:v>0.1089058524173028</c:v>
                </c:pt>
                <c:pt idx="18">
                  <c:v>0.11336420245888552</c:v>
                </c:pt>
                <c:pt idx="19">
                  <c:v>0.13621095062143096</c:v>
                </c:pt>
                <c:pt idx="20">
                  <c:v>0.14330985915492958</c:v>
                </c:pt>
                <c:pt idx="21">
                  <c:v>0.15090761311297751</c:v>
                </c:pt>
                <c:pt idx="22">
                  <c:v>0.15463420513438592</c:v>
                </c:pt>
                <c:pt idx="23">
                  <c:v>0.17739183008766712</c:v>
                </c:pt>
                <c:pt idx="24">
                  <c:v>0.18407486028679115</c:v>
                </c:pt>
                <c:pt idx="25">
                  <c:v>0.21762695887828443</c:v>
                </c:pt>
                <c:pt idx="26">
                  <c:v>0.22073190391745928</c:v>
                </c:pt>
                <c:pt idx="27">
                  <c:v>0.28270175994926272</c:v>
                </c:pt>
                <c:pt idx="28">
                  <c:v>0.28559282002834202</c:v>
                </c:pt>
              </c:numCache>
            </c:numRef>
          </c:val>
          <c:extLst>
            <c:ext xmlns:c16="http://schemas.microsoft.com/office/drawing/2014/chart" uri="{C3380CC4-5D6E-409C-BE32-E72D297353CC}">
              <c16:uniqueId val="{00000010-53FD-48E5-A778-1B36D282FC27}"/>
            </c:ext>
          </c:extLst>
        </c:ser>
        <c:dLbls>
          <c:dLblPos val="inEnd"/>
          <c:showLegendKey val="0"/>
          <c:showVal val="1"/>
          <c:showCatName val="0"/>
          <c:showSerName val="0"/>
          <c:showPercent val="0"/>
          <c:showBubbleSize val="0"/>
        </c:dLbls>
        <c:gapWidth val="182"/>
        <c:overlap val="-50"/>
        <c:axId val="438161128"/>
        <c:axId val="438153680"/>
      </c:barChart>
      <c:catAx>
        <c:axId val="438161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53680"/>
        <c:crosses val="autoZero"/>
        <c:auto val="1"/>
        <c:lblAlgn val="ctr"/>
        <c:lblOffset val="100"/>
        <c:noMultiLvlLbl val="0"/>
      </c:catAx>
      <c:valAx>
        <c:axId val="438153680"/>
        <c:scaling>
          <c:orientation val="minMax"/>
          <c:max val="0.33000000000000007"/>
          <c:min val="0"/>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61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b="1" i="0" u="none" strike="noStrike" cap="none" baseline="0">
                <a:effectLst/>
              </a:rPr>
              <a:t>Meziroční nárůst podílu osob s jinou než českou státní příslušností na celkovém počtu obyvatel (k 1. 1. 2023)</a:t>
            </a:r>
            <a:endParaRPr lang="en-US" sz="1000"/>
          </a:p>
        </c:rich>
      </c:tx>
      <c:layout>
        <c:manualLayout>
          <c:xMode val="edge"/>
          <c:yMode val="edge"/>
          <c:x val="0.14398148148148149"/>
          <c:y val="9.6790264853256983E-3"/>
        </c:manualLayout>
      </c:layout>
      <c:overlay val="0"/>
      <c:spPr>
        <a:noFill/>
        <a:ln>
          <a:noFill/>
        </a:ln>
        <a:effectLst/>
      </c:spPr>
    </c:title>
    <c:autoTitleDeleted val="0"/>
    <c:plotArea>
      <c:layout>
        <c:manualLayout>
          <c:layoutTarget val="inner"/>
          <c:xMode val="edge"/>
          <c:yMode val="edge"/>
          <c:x val="0.26501097085086589"/>
          <c:y val="7.6885080000451439E-2"/>
          <c:w val="0.69869599633379165"/>
          <c:h val="0.86956145531975726"/>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solidFill>
                <a:schemeClr val="accent1"/>
              </a:solidFill>
              <a:miter lim="800000"/>
            </a:ln>
            <a:effectLst/>
          </c:spPr>
          <c:invertIfNegative val="0"/>
          <c:dPt>
            <c:idx val="0"/>
            <c:invertIfNegative val="0"/>
            <c:bubble3D val="0"/>
            <c:spPr>
              <a:solidFill>
                <a:schemeClr val="accent5">
                  <a:lumMod val="50000"/>
                </a:schemeClr>
              </a:solidFill>
              <a:ln w="9525" cap="flat" cmpd="sng" algn="ctr">
                <a:noFill/>
                <a:miter lim="800000"/>
              </a:ln>
              <a:effectLst/>
            </c:spPr>
            <c:extLst>
              <c:ext xmlns:c16="http://schemas.microsoft.com/office/drawing/2014/chart" uri="{C3380CC4-5D6E-409C-BE32-E72D297353CC}">
                <c16:uniqueId val="{00000001-D078-426E-9248-82DC2D774239}"/>
              </c:ext>
            </c:extLst>
          </c:dPt>
          <c:dPt>
            <c:idx val="2"/>
            <c:invertIfNegative val="0"/>
            <c:bubble3D val="0"/>
            <c:extLst>
              <c:ext xmlns:c16="http://schemas.microsoft.com/office/drawing/2014/chart" uri="{C3380CC4-5D6E-409C-BE32-E72D297353CC}">
                <c16:uniqueId val="{00000002-D078-426E-9248-82DC2D774239}"/>
              </c:ext>
            </c:extLst>
          </c:dPt>
          <c:dPt>
            <c:idx val="7"/>
            <c:invertIfNegative val="0"/>
            <c:bubble3D val="0"/>
            <c:extLst>
              <c:ext xmlns:c16="http://schemas.microsoft.com/office/drawing/2014/chart" uri="{C3380CC4-5D6E-409C-BE32-E72D297353CC}">
                <c16:uniqueId val="{00000003-D078-426E-9248-82DC2D774239}"/>
              </c:ext>
            </c:extLst>
          </c:dPt>
          <c:dPt>
            <c:idx val="9"/>
            <c:invertIfNegative val="0"/>
            <c:bubble3D val="0"/>
            <c:extLst>
              <c:ext xmlns:c16="http://schemas.microsoft.com/office/drawing/2014/chart" uri="{C3380CC4-5D6E-409C-BE32-E72D297353CC}">
                <c16:uniqueId val="{00000004-D078-426E-9248-82DC2D774239}"/>
              </c:ext>
            </c:extLst>
          </c:dPt>
          <c:dPt>
            <c:idx val="18"/>
            <c:invertIfNegative val="0"/>
            <c:bubble3D val="0"/>
            <c:extLst>
              <c:ext xmlns:c16="http://schemas.microsoft.com/office/drawing/2014/chart" uri="{C3380CC4-5D6E-409C-BE32-E72D297353CC}">
                <c16:uniqueId val="{00000005-D078-426E-9248-82DC2D774239}"/>
              </c:ext>
            </c:extLst>
          </c:dPt>
          <c:dPt>
            <c:idx val="20"/>
            <c:invertIfNegative val="0"/>
            <c:bubble3D val="0"/>
            <c:extLst>
              <c:ext xmlns:c16="http://schemas.microsoft.com/office/drawing/2014/chart" uri="{C3380CC4-5D6E-409C-BE32-E72D297353CC}">
                <c16:uniqueId val="{00000006-D078-426E-9248-82DC2D774239}"/>
              </c:ext>
            </c:extLst>
          </c:dPt>
          <c:dPt>
            <c:idx val="22"/>
            <c:invertIfNegative val="0"/>
            <c:bubble3D val="0"/>
            <c:extLst>
              <c:ext xmlns:c16="http://schemas.microsoft.com/office/drawing/2014/chart" uri="{C3380CC4-5D6E-409C-BE32-E72D297353CC}">
                <c16:uniqueId val="{00000007-D078-426E-9248-82DC2D774239}"/>
              </c:ext>
            </c:extLst>
          </c:dPt>
          <c:dPt>
            <c:idx val="23"/>
            <c:invertIfNegative val="0"/>
            <c:bubble3D val="0"/>
            <c:extLst>
              <c:ext xmlns:c16="http://schemas.microsoft.com/office/drawing/2014/chart" uri="{C3380CC4-5D6E-409C-BE32-E72D297353CC}">
                <c16:uniqueId val="{00000008-D078-426E-9248-82DC2D774239}"/>
              </c:ext>
            </c:extLst>
          </c:dPt>
          <c:dPt>
            <c:idx val="24"/>
            <c:invertIfNegative val="0"/>
            <c:bubble3D val="0"/>
            <c:extLst>
              <c:ext xmlns:c16="http://schemas.microsoft.com/office/drawing/2014/chart" uri="{C3380CC4-5D6E-409C-BE32-E72D297353CC}">
                <c16:uniqueId val="{00000009-D078-426E-9248-82DC2D774239}"/>
              </c:ext>
            </c:extLst>
          </c:dPt>
          <c:dPt>
            <c:idx val="26"/>
            <c:invertIfNegative val="0"/>
            <c:bubble3D val="0"/>
            <c:spPr>
              <a:solidFill>
                <a:srgbClr val="C00000"/>
              </a:solidFill>
              <a:ln w="9525" cap="flat" cmpd="sng" algn="ctr">
                <a:solidFill>
                  <a:srgbClr val="C00000"/>
                </a:solidFill>
                <a:miter lim="800000"/>
              </a:ln>
              <a:effectLst/>
            </c:spPr>
            <c:extLst>
              <c:ext xmlns:c16="http://schemas.microsoft.com/office/drawing/2014/chart" uri="{C3380CC4-5D6E-409C-BE32-E72D297353CC}">
                <c16:uniqueId val="{0000000B-D078-426E-9248-82DC2D774239}"/>
              </c:ext>
            </c:extLst>
          </c:dPt>
          <c:dPt>
            <c:idx val="27"/>
            <c:invertIfNegative val="0"/>
            <c:bubble3D val="0"/>
            <c:spPr>
              <a:solidFill>
                <a:srgbClr val="C00000"/>
              </a:solidFill>
              <a:ln w="9525" cap="flat" cmpd="sng" algn="ctr">
                <a:solidFill>
                  <a:srgbClr val="C00000"/>
                </a:solidFill>
                <a:miter lim="800000"/>
              </a:ln>
              <a:effectLst/>
            </c:spPr>
            <c:extLst>
              <c:ext xmlns:c16="http://schemas.microsoft.com/office/drawing/2014/chart" uri="{C3380CC4-5D6E-409C-BE32-E72D297353CC}">
                <c16:uniqueId val="{0000000D-D078-426E-9248-82DC2D774239}"/>
              </c:ext>
            </c:extLst>
          </c:dPt>
          <c:dPt>
            <c:idx val="28"/>
            <c:invertIfNegative val="0"/>
            <c:bubble3D val="0"/>
            <c:spPr>
              <a:solidFill>
                <a:srgbClr val="C00000"/>
              </a:solidFill>
              <a:ln w="9525" cap="flat" cmpd="sng" algn="ctr">
                <a:solidFill>
                  <a:srgbClr val="C00000"/>
                </a:solidFill>
                <a:miter lim="800000"/>
              </a:ln>
              <a:effectLst/>
            </c:spPr>
            <c:extLst>
              <c:ext xmlns:c16="http://schemas.microsoft.com/office/drawing/2014/chart" uri="{C3380CC4-5D6E-409C-BE32-E72D297353CC}">
                <c16:uniqueId val="{0000000F-D078-426E-9248-82DC2D774239}"/>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List1!$A$2:$A$30</c:f>
              <c:strCache>
                <c:ptCount val="29"/>
                <c:pt idx="0">
                  <c:v>Brno-Útěchov</c:v>
                </c:pt>
                <c:pt idx="1">
                  <c:v>Brno-Ivanovice</c:v>
                </c:pt>
                <c:pt idx="2">
                  <c:v>Brno-Žebětín</c:v>
                </c:pt>
                <c:pt idx="3">
                  <c:v>Brno-Vinohrady</c:v>
                </c:pt>
                <c:pt idx="4">
                  <c:v>Brno-Bystrc</c:v>
                </c:pt>
                <c:pt idx="5">
                  <c:v>Brno-Jehnice</c:v>
                </c:pt>
                <c:pt idx="6">
                  <c:v>Brno-Nový Lískovec</c:v>
                </c:pt>
                <c:pt idx="7">
                  <c:v>Brno-Bohunice</c:v>
                </c:pt>
                <c:pt idx="8">
                  <c:v>Brno-Starý Lískovec</c:v>
                </c:pt>
                <c:pt idx="9">
                  <c:v>Brno-Jundrov</c:v>
                </c:pt>
                <c:pt idx="10">
                  <c:v>Brno-Líšeň</c:v>
                </c:pt>
                <c:pt idx="11">
                  <c:v>Brno-Žabovřesky</c:v>
                </c:pt>
                <c:pt idx="12">
                  <c:v>Brno-Komín</c:v>
                </c:pt>
                <c:pt idx="13">
                  <c:v>Brno-Řečkovice a Mokrá Hora</c:v>
                </c:pt>
                <c:pt idx="14">
                  <c:v>Brno-Medlánky</c:v>
                </c:pt>
                <c:pt idx="15">
                  <c:v>Brno-Ořešín</c:v>
                </c:pt>
                <c:pt idx="16">
                  <c:v>Brno-Kníničky</c:v>
                </c:pt>
                <c:pt idx="17">
                  <c:v>Brno-Kohoutovice</c:v>
                </c:pt>
                <c:pt idx="18">
                  <c:v>Brno-Maloměřice a Obřany</c:v>
                </c:pt>
                <c:pt idx="19">
                  <c:v>Brno-Tuřany</c:v>
                </c:pt>
                <c:pt idx="20">
                  <c:v>Brno-sever</c:v>
                </c:pt>
                <c:pt idx="21">
                  <c:v>Brno-Královo Pole</c:v>
                </c:pt>
                <c:pt idx="22">
                  <c:v>Brno-střed</c:v>
                </c:pt>
                <c:pt idx="23">
                  <c:v>Brno-Chrlice</c:v>
                </c:pt>
                <c:pt idx="24">
                  <c:v>Brno-Černovice</c:v>
                </c:pt>
                <c:pt idx="25">
                  <c:v>Brno-Židenice</c:v>
                </c:pt>
                <c:pt idx="26">
                  <c:v>Brno-Slatina</c:v>
                </c:pt>
                <c:pt idx="27">
                  <c:v>Brno-Bosonohy</c:v>
                </c:pt>
                <c:pt idx="28">
                  <c:v>Brno-jih</c:v>
                </c:pt>
              </c:strCache>
            </c:strRef>
          </c:cat>
          <c:val>
            <c:numRef>
              <c:f>List1!$B$2:$B$30</c:f>
              <c:numCache>
                <c:formatCode>0.0%</c:formatCode>
                <c:ptCount val="29"/>
                <c:pt idx="0">
                  <c:v>2.9999999999999992E-3</c:v>
                </c:pt>
                <c:pt idx="1">
                  <c:v>1.2999999999999998E-2</c:v>
                </c:pt>
                <c:pt idx="2">
                  <c:v>1.8999999999999996E-2</c:v>
                </c:pt>
                <c:pt idx="3">
                  <c:v>2.0999999999999998E-2</c:v>
                </c:pt>
                <c:pt idx="4">
                  <c:v>2.3000000000000007E-2</c:v>
                </c:pt>
                <c:pt idx="5">
                  <c:v>2.3999999999999994E-2</c:v>
                </c:pt>
                <c:pt idx="6">
                  <c:v>2.4E-2</c:v>
                </c:pt>
                <c:pt idx="7">
                  <c:v>2.4999999999999994E-2</c:v>
                </c:pt>
                <c:pt idx="8">
                  <c:v>2.4999999999999994E-2</c:v>
                </c:pt>
                <c:pt idx="9">
                  <c:v>2.7000000000000003E-2</c:v>
                </c:pt>
                <c:pt idx="10">
                  <c:v>3.0999999999999993E-2</c:v>
                </c:pt>
                <c:pt idx="11">
                  <c:v>3.3000000000000002E-2</c:v>
                </c:pt>
                <c:pt idx="12">
                  <c:v>3.3999999999999996E-2</c:v>
                </c:pt>
                <c:pt idx="13">
                  <c:v>3.4000000000000002E-2</c:v>
                </c:pt>
                <c:pt idx="14">
                  <c:v>3.5000000000000003E-2</c:v>
                </c:pt>
                <c:pt idx="15">
                  <c:v>3.6000000000000004E-2</c:v>
                </c:pt>
                <c:pt idx="16">
                  <c:v>3.9000000000000007E-2</c:v>
                </c:pt>
                <c:pt idx="17">
                  <c:v>4.4999999999999998E-2</c:v>
                </c:pt>
                <c:pt idx="18">
                  <c:v>5.6000000000000001E-2</c:v>
                </c:pt>
                <c:pt idx="19">
                  <c:v>5.7000000000000009E-2</c:v>
                </c:pt>
                <c:pt idx="20">
                  <c:v>5.7999999999999996E-2</c:v>
                </c:pt>
                <c:pt idx="21">
                  <c:v>0.06</c:v>
                </c:pt>
                <c:pt idx="22">
                  <c:v>6.0999999999999985E-2</c:v>
                </c:pt>
                <c:pt idx="23">
                  <c:v>6.3E-2</c:v>
                </c:pt>
                <c:pt idx="24">
                  <c:v>6.6000000000000003E-2</c:v>
                </c:pt>
                <c:pt idx="25">
                  <c:v>7.5999999999999998E-2</c:v>
                </c:pt>
                <c:pt idx="26">
                  <c:v>7.6999999999999985E-2</c:v>
                </c:pt>
                <c:pt idx="27">
                  <c:v>8.5999999999999993E-2</c:v>
                </c:pt>
                <c:pt idx="28">
                  <c:v>0.11799999999999997</c:v>
                </c:pt>
              </c:numCache>
            </c:numRef>
          </c:val>
          <c:extLst>
            <c:ext xmlns:c16="http://schemas.microsoft.com/office/drawing/2014/chart" uri="{C3380CC4-5D6E-409C-BE32-E72D297353CC}">
              <c16:uniqueId val="{00000010-D078-426E-9248-82DC2D774239}"/>
            </c:ext>
          </c:extLst>
        </c:ser>
        <c:dLbls>
          <c:dLblPos val="inEnd"/>
          <c:showLegendKey val="0"/>
          <c:showVal val="1"/>
          <c:showCatName val="0"/>
          <c:showSerName val="0"/>
          <c:showPercent val="0"/>
          <c:showBubbleSize val="0"/>
        </c:dLbls>
        <c:gapWidth val="182"/>
        <c:overlap val="-50"/>
        <c:axId val="438154856"/>
        <c:axId val="438156032"/>
      </c:barChart>
      <c:catAx>
        <c:axId val="438154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56032"/>
        <c:crosses val="autoZero"/>
        <c:auto val="1"/>
        <c:lblAlgn val="ctr"/>
        <c:lblOffset val="100"/>
        <c:noMultiLvlLbl val="0"/>
      </c:catAx>
      <c:valAx>
        <c:axId val="438156032"/>
        <c:scaling>
          <c:orientation val="minMax"/>
          <c:max val="0.15000000000000002"/>
          <c:min val="0"/>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54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 p</a:t>
            </a:r>
            <a:r>
              <a:rPr lang="en-US" sz="1000"/>
              <a:t>odíl</a:t>
            </a:r>
            <a:r>
              <a:rPr lang="cs-CZ" sz="1000"/>
              <a:t>u</a:t>
            </a:r>
            <a:r>
              <a:rPr lang="en-US" sz="1000"/>
              <a:t> </a:t>
            </a:r>
            <a:r>
              <a:rPr lang="cs-CZ" sz="1000" b="1" i="0" u="none" strike="noStrike" cap="none" baseline="0">
                <a:effectLst/>
              </a:rPr>
              <a:t>osob s jinou než českou státní příslušností</a:t>
            </a:r>
            <a:r>
              <a:rPr lang="en-US" sz="1000"/>
              <a:t> na celkovém počtu </a:t>
            </a:r>
            <a:r>
              <a:rPr lang="cs-CZ" sz="1000" b="1" i="0" u="none" strike="noStrike" cap="none" baseline="0">
                <a:effectLst/>
              </a:rPr>
              <a:t>městské části Brno-jih </a:t>
            </a:r>
            <a:r>
              <a:rPr lang="cs-CZ" sz="1000"/>
              <a:t>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7.0649328556152718E-2"/>
          <c:y val="0.22112776225552452"/>
          <c:w val="0.89049493813273339"/>
          <c:h val="0.5937109474218949"/>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575F-4FE7-8205-646DA827DF16}"/>
              </c:ext>
            </c:extLst>
          </c:dPt>
          <c:dPt>
            <c:idx val="2"/>
            <c:invertIfNegative val="0"/>
            <c:bubble3D val="0"/>
            <c:extLst>
              <c:ext xmlns:c16="http://schemas.microsoft.com/office/drawing/2014/chart" uri="{C3380CC4-5D6E-409C-BE32-E72D297353CC}">
                <c16:uniqueId val="{00000001-575F-4FE7-8205-646DA827DF16}"/>
              </c:ext>
            </c:extLst>
          </c:dPt>
          <c:dPt>
            <c:idx val="3"/>
            <c:invertIfNegative val="0"/>
            <c:bubble3D val="0"/>
            <c:extLst>
              <c:ext xmlns:c16="http://schemas.microsoft.com/office/drawing/2014/chart" uri="{C3380CC4-5D6E-409C-BE32-E72D297353CC}">
                <c16:uniqueId val="{00000002-575F-4FE7-8205-646DA827DF16}"/>
              </c:ext>
            </c:extLst>
          </c:dPt>
          <c:dPt>
            <c:idx val="4"/>
            <c:invertIfNegative val="0"/>
            <c:bubble3D val="0"/>
            <c:extLst>
              <c:ext xmlns:c16="http://schemas.microsoft.com/office/drawing/2014/chart" uri="{C3380CC4-5D6E-409C-BE32-E72D297353CC}">
                <c16:uniqueId val="{00000003-575F-4FE7-8205-646DA827DF16}"/>
              </c:ext>
            </c:extLst>
          </c:dPt>
          <c:dPt>
            <c:idx val="5"/>
            <c:invertIfNegative val="0"/>
            <c:bubble3D val="0"/>
            <c:spPr>
              <a:solidFill>
                <a:schemeClr val="accent5">
                  <a:lumMod val="50000"/>
                </a:schemeClr>
              </a:solidFill>
              <a:ln w="9525" cap="flat" cmpd="sng" algn="ctr">
                <a:noFill/>
                <a:miter lim="800000"/>
              </a:ln>
              <a:effectLst/>
            </c:spPr>
            <c:extLst>
              <c:ext xmlns:c16="http://schemas.microsoft.com/office/drawing/2014/chart" uri="{C3380CC4-5D6E-409C-BE32-E72D297353CC}">
                <c16:uniqueId val="{00000005-575F-4FE7-8205-646DA827DF16}"/>
              </c:ext>
            </c:extLst>
          </c:dPt>
          <c:dPt>
            <c:idx val="6"/>
            <c:invertIfNegative val="0"/>
            <c:bubble3D val="0"/>
            <c:spPr>
              <a:solidFill>
                <a:srgbClr val="C00000"/>
              </a:solidFill>
              <a:ln w="9525" cap="flat" cmpd="sng" algn="ctr">
                <a:solidFill>
                  <a:srgbClr val="C00000"/>
                </a:solidFill>
                <a:miter lim="800000"/>
              </a:ln>
              <a:effectLst/>
            </c:spPr>
            <c:extLst>
              <c:ext xmlns:c16="http://schemas.microsoft.com/office/drawing/2014/chart" uri="{C3380CC4-5D6E-409C-BE32-E72D297353CC}">
                <c16:uniqueId val="{00000007-575F-4FE7-8205-646DA827DF16}"/>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575F-4FE7-8205-646DA827DF16}"/>
              </c:ext>
            </c:extLst>
          </c:dPt>
          <c:dLbls>
            <c:dLbl>
              <c:idx val="1"/>
              <c:layout>
                <c:manualLayout>
                  <c:x val="1.1013215859030838E-2"/>
                  <c:y val="2.32558139534883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5F-4FE7-8205-646DA827DF16}"/>
                </c:ext>
              </c:extLst>
            </c:dLbl>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0.00%</c:formatCode>
                <c:ptCount val="7"/>
                <c:pt idx="0">
                  <c:v>0.113</c:v>
                </c:pt>
                <c:pt idx="1">
                  <c:v>0.23699999999999999</c:v>
                </c:pt>
                <c:pt idx="2">
                  <c:v>0.24399999999999999</c:v>
                </c:pt>
                <c:pt idx="3">
                  <c:v>0.307</c:v>
                </c:pt>
                <c:pt idx="4">
                  <c:v>0.307</c:v>
                </c:pt>
                <c:pt idx="5">
                  <c:v>0.16800000000000001</c:v>
                </c:pt>
                <c:pt idx="6">
                  <c:v>0.28599999999999998</c:v>
                </c:pt>
              </c:numCache>
            </c:numRef>
          </c:val>
          <c:extLst>
            <c:ext xmlns:c16="http://schemas.microsoft.com/office/drawing/2014/chart" uri="{C3380CC4-5D6E-409C-BE32-E72D297353CC}">
              <c16:uniqueId val="{0000000B-575F-4FE7-8205-646DA827DF16}"/>
            </c:ext>
          </c:extLst>
        </c:ser>
        <c:dLbls>
          <c:dLblPos val="inEnd"/>
          <c:showLegendKey val="0"/>
          <c:showVal val="1"/>
          <c:showCatName val="0"/>
          <c:showSerName val="0"/>
          <c:showPercent val="0"/>
          <c:showBubbleSize val="0"/>
        </c:dLbls>
        <c:gapWidth val="182"/>
        <c:overlap val="-50"/>
        <c:axId val="438157600"/>
        <c:axId val="438165048"/>
      </c:barChart>
      <c:catAx>
        <c:axId val="438157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65048"/>
        <c:crosses val="autoZero"/>
        <c:auto val="1"/>
        <c:lblAlgn val="ctr"/>
        <c:lblOffset val="100"/>
        <c:noMultiLvlLbl val="0"/>
      </c:catAx>
      <c:valAx>
        <c:axId val="438165048"/>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57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a:t>
            </a:r>
            <a:r>
              <a:rPr lang="cs-CZ" sz="1000" baseline="0"/>
              <a:t> p</a:t>
            </a:r>
            <a:r>
              <a:rPr lang="en-US" sz="1000"/>
              <a:t>odíl</a:t>
            </a:r>
            <a:r>
              <a:rPr lang="cs-CZ" sz="1000"/>
              <a:t>u</a:t>
            </a:r>
            <a:r>
              <a:rPr lang="cs-CZ" sz="1000" baseline="0"/>
              <a:t> </a:t>
            </a:r>
            <a:r>
              <a:rPr lang="cs-CZ" sz="1000" b="1" i="0" u="none" strike="noStrike" cap="none" baseline="0">
                <a:effectLst/>
              </a:rPr>
              <a:t>osob s jinou než českou státní příslušností</a:t>
            </a:r>
            <a:r>
              <a:rPr lang="en-US" sz="1000"/>
              <a:t> na celkovém počtu obyvatel</a:t>
            </a:r>
            <a:r>
              <a:rPr lang="cs-CZ" sz="1000"/>
              <a:t> </a:t>
            </a:r>
            <a:r>
              <a:rPr lang="cs-CZ" sz="1000" b="1" i="0" u="none" strike="noStrike" cap="none" baseline="0">
                <a:effectLst/>
              </a:rPr>
              <a:t>městské části Brno-Slatina </a:t>
            </a:r>
            <a:r>
              <a:rPr lang="cs-CZ" sz="1000"/>
              <a:t>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7.0649328556152718E-2"/>
          <c:y val="0.23815915056072537"/>
          <c:w val="0.89049493813273339"/>
          <c:h val="0.58218503937007871"/>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E8E5-47A9-9411-176585D35C1E}"/>
              </c:ext>
            </c:extLst>
          </c:dPt>
          <c:dPt>
            <c:idx val="2"/>
            <c:invertIfNegative val="0"/>
            <c:bubble3D val="0"/>
            <c:extLst>
              <c:ext xmlns:c16="http://schemas.microsoft.com/office/drawing/2014/chart" uri="{C3380CC4-5D6E-409C-BE32-E72D297353CC}">
                <c16:uniqueId val="{00000001-E8E5-47A9-9411-176585D35C1E}"/>
              </c:ext>
            </c:extLst>
          </c:dPt>
          <c:dPt>
            <c:idx val="3"/>
            <c:invertIfNegative val="0"/>
            <c:bubble3D val="0"/>
            <c:extLst>
              <c:ext xmlns:c16="http://schemas.microsoft.com/office/drawing/2014/chart" uri="{C3380CC4-5D6E-409C-BE32-E72D297353CC}">
                <c16:uniqueId val="{00000002-E8E5-47A9-9411-176585D35C1E}"/>
              </c:ext>
            </c:extLst>
          </c:dPt>
          <c:dPt>
            <c:idx val="4"/>
            <c:invertIfNegative val="0"/>
            <c:bubble3D val="0"/>
            <c:extLst>
              <c:ext xmlns:c16="http://schemas.microsoft.com/office/drawing/2014/chart" uri="{C3380CC4-5D6E-409C-BE32-E72D297353CC}">
                <c16:uniqueId val="{00000003-E8E5-47A9-9411-176585D35C1E}"/>
              </c:ext>
            </c:extLst>
          </c:dPt>
          <c:dPt>
            <c:idx val="5"/>
            <c:invertIfNegative val="0"/>
            <c:bubble3D val="0"/>
            <c:spPr>
              <a:solidFill>
                <a:schemeClr val="accent5">
                  <a:lumMod val="50000"/>
                </a:schemeClr>
              </a:solidFill>
              <a:ln w="9525" cap="flat" cmpd="sng" algn="ctr">
                <a:noFill/>
                <a:miter lim="800000"/>
              </a:ln>
              <a:effectLst/>
            </c:spPr>
            <c:extLst>
              <c:ext xmlns:c16="http://schemas.microsoft.com/office/drawing/2014/chart" uri="{C3380CC4-5D6E-409C-BE32-E72D297353CC}">
                <c16:uniqueId val="{00000005-E8E5-47A9-9411-176585D35C1E}"/>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E8E5-47A9-9411-176585D35C1E}"/>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E8E5-47A9-9411-176585D35C1E}"/>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0.00%</c:formatCode>
                <c:ptCount val="7"/>
                <c:pt idx="0">
                  <c:v>4.8000000000000001E-2</c:v>
                </c:pt>
                <c:pt idx="1">
                  <c:v>9.9000000000000005E-2</c:v>
                </c:pt>
                <c:pt idx="2">
                  <c:v>0.109</c:v>
                </c:pt>
                <c:pt idx="3">
                  <c:v>0.153</c:v>
                </c:pt>
                <c:pt idx="4">
                  <c:v>0.16</c:v>
                </c:pt>
                <c:pt idx="5">
                  <c:v>0.20599999999999999</c:v>
                </c:pt>
                <c:pt idx="6">
                  <c:v>0.28299999999999997</c:v>
                </c:pt>
              </c:numCache>
            </c:numRef>
          </c:val>
          <c:extLst>
            <c:ext xmlns:c16="http://schemas.microsoft.com/office/drawing/2014/chart" uri="{C3380CC4-5D6E-409C-BE32-E72D297353CC}">
              <c16:uniqueId val="{0000000A-E8E5-47A9-9411-176585D35C1E}"/>
            </c:ext>
          </c:extLst>
        </c:ser>
        <c:dLbls>
          <c:dLblPos val="inEnd"/>
          <c:showLegendKey val="0"/>
          <c:showVal val="1"/>
          <c:showCatName val="0"/>
          <c:showSerName val="0"/>
          <c:showPercent val="0"/>
          <c:showBubbleSize val="0"/>
        </c:dLbls>
        <c:gapWidth val="182"/>
        <c:overlap val="-50"/>
        <c:axId val="438154464"/>
        <c:axId val="438158776"/>
      </c:barChart>
      <c:catAx>
        <c:axId val="43815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58776"/>
        <c:crosses val="autoZero"/>
        <c:auto val="1"/>
        <c:lblAlgn val="ctr"/>
        <c:lblOffset val="100"/>
        <c:noMultiLvlLbl val="0"/>
      </c:catAx>
      <c:valAx>
        <c:axId val="438158776"/>
        <c:scaling>
          <c:orientation val="minMax"/>
          <c:min val="2.0000000000000004E-2"/>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5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a:t>
            </a:r>
            <a:r>
              <a:rPr lang="cs-CZ" sz="1000" baseline="0"/>
              <a:t> p</a:t>
            </a:r>
            <a:r>
              <a:rPr lang="en-US" sz="1000"/>
              <a:t>odíl</a:t>
            </a:r>
            <a:r>
              <a:rPr lang="cs-CZ" sz="1000"/>
              <a:t>u</a:t>
            </a:r>
            <a:r>
              <a:rPr lang="cs-CZ" sz="1000" baseline="0"/>
              <a:t> </a:t>
            </a:r>
            <a:r>
              <a:rPr lang="cs-CZ" sz="1000" b="1" i="0" u="none" strike="noStrike" cap="none" baseline="0">
                <a:effectLst/>
              </a:rPr>
              <a:t>osob s jinou než českou státní příslušností</a:t>
            </a:r>
            <a:r>
              <a:rPr lang="en-US" sz="1000"/>
              <a:t> na celkovém počtu obyvatel</a:t>
            </a:r>
            <a:r>
              <a:rPr lang="cs-CZ" sz="1000"/>
              <a:t> </a:t>
            </a:r>
            <a:r>
              <a:rPr lang="cs-CZ" sz="1000" b="1" i="0" u="none" strike="noStrike" cap="none" baseline="0">
                <a:effectLst/>
              </a:rPr>
              <a:t>městské části Brno-Černovice </a:t>
            </a:r>
            <a:r>
              <a:rPr lang="cs-CZ" sz="1000"/>
              <a:t>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6.5622873529697673E-2"/>
          <c:y val="0.21521057699530838"/>
          <c:w val="0.89049493813273339"/>
          <c:h val="0.59962781105093865"/>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accent1">
                <a:lumMod val="50000"/>
              </a:schemeClr>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1-C595-4C5F-8E8F-65980741FBAE}"/>
              </c:ext>
            </c:extLst>
          </c:dPt>
          <c:dPt>
            <c:idx val="2"/>
            <c:invertIfNegative val="0"/>
            <c:bubble3D val="0"/>
            <c:extLst>
              <c:ext xmlns:c16="http://schemas.microsoft.com/office/drawing/2014/chart" uri="{C3380CC4-5D6E-409C-BE32-E72D297353CC}">
                <c16:uniqueId val="{00000003-C595-4C5F-8E8F-65980741FBAE}"/>
              </c:ext>
            </c:extLst>
          </c:dPt>
          <c:dPt>
            <c:idx val="3"/>
            <c:invertIfNegative val="0"/>
            <c:bubble3D val="0"/>
            <c:extLst>
              <c:ext xmlns:c16="http://schemas.microsoft.com/office/drawing/2014/chart" uri="{C3380CC4-5D6E-409C-BE32-E72D297353CC}">
                <c16:uniqueId val="{00000005-C595-4C5F-8E8F-65980741FBAE}"/>
              </c:ext>
            </c:extLst>
          </c:dPt>
          <c:dPt>
            <c:idx val="4"/>
            <c:invertIfNegative val="0"/>
            <c:bubble3D val="0"/>
            <c:extLst>
              <c:ext xmlns:c16="http://schemas.microsoft.com/office/drawing/2014/chart" uri="{C3380CC4-5D6E-409C-BE32-E72D297353CC}">
                <c16:uniqueId val="{00000007-C595-4C5F-8E8F-65980741FBAE}"/>
              </c:ext>
            </c:extLst>
          </c:dPt>
          <c:dPt>
            <c:idx val="5"/>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5-8B92-4E76-BE8D-C39107EBD08E}"/>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C595-4C5F-8E8F-65980741FBAE}"/>
              </c:ext>
            </c:extLst>
          </c:dPt>
          <c:dPt>
            <c:idx val="7"/>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B-C595-4C5F-8E8F-65980741FBAE}"/>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2005</c:v>
                </c:pt>
                <c:pt idx="1">
                  <c:v>2010</c:v>
                </c:pt>
                <c:pt idx="2">
                  <c:v>2015</c:v>
                </c:pt>
                <c:pt idx="3">
                  <c:v>2020</c:v>
                </c:pt>
                <c:pt idx="4">
                  <c:v>2021</c:v>
                </c:pt>
                <c:pt idx="5">
                  <c:v>2022</c:v>
                </c:pt>
                <c:pt idx="6">
                  <c:v>2023</c:v>
                </c:pt>
              </c:numCache>
            </c:numRef>
          </c:cat>
          <c:val>
            <c:numRef>
              <c:f>List1!$B$2:$B$8</c:f>
              <c:numCache>
                <c:formatCode>0.00%</c:formatCode>
                <c:ptCount val="7"/>
                <c:pt idx="0">
                  <c:v>4.5999999999999999E-2</c:v>
                </c:pt>
                <c:pt idx="1">
                  <c:v>9.4E-2</c:v>
                </c:pt>
                <c:pt idx="2">
                  <c:v>0.10100000000000001</c:v>
                </c:pt>
                <c:pt idx="3">
                  <c:v>0.14899999999999999</c:v>
                </c:pt>
                <c:pt idx="4">
                  <c:v>0.16</c:v>
                </c:pt>
                <c:pt idx="5">
                  <c:v>0.152</c:v>
                </c:pt>
                <c:pt idx="6">
                  <c:v>0.218</c:v>
                </c:pt>
              </c:numCache>
            </c:numRef>
          </c:val>
          <c:extLst>
            <c:ext xmlns:c16="http://schemas.microsoft.com/office/drawing/2014/chart" uri="{C3380CC4-5D6E-409C-BE32-E72D297353CC}">
              <c16:uniqueId val="{0000000C-C595-4C5F-8E8F-65980741FBAE}"/>
            </c:ext>
          </c:extLst>
        </c:ser>
        <c:dLbls>
          <c:dLblPos val="inEnd"/>
          <c:showLegendKey val="0"/>
          <c:showVal val="1"/>
          <c:showCatName val="0"/>
          <c:showSerName val="0"/>
          <c:showPercent val="0"/>
          <c:showBubbleSize val="0"/>
        </c:dLbls>
        <c:gapWidth val="182"/>
        <c:overlap val="-50"/>
        <c:axId val="438159168"/>
        <c:axId val="438163480"/>
      </c:barChart>
      <c:catAx>
        <c:axId val="438159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63480"/>
        <c:crosses val="autoZero"/>
        <c:auto val="1"/>
        <c:lblAlgn val="ctr"/>
        <c:lblOffset val="100"/>
        <c:noMultiLvlLbl val="0"/>
      </c:catAx>
      <c:valAx>
        <c:axId val="438163480"/>
        <c:scaling>
          <c:orientation val="minMax"/>
          <c:min val="2.0000000000000004E-2"/>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59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a:t>
            </a:r>
            <a:r>
              <a:rPr lang="cs-CZ" sz="1000" baseline="0"/>
              <a:t> p</a:t>
            </a:r>
            <a:r>
              <a:rPr lang="en-US" sz="1000"/>
              <a:t>odíl</a:t>
            </a:r>
            <a:r>
              <a:rPr lang="cs-CZ" sz="1000"/>
              <a:t>u</a:t>
            </a:r>
            <a:r>
              <a:rPr lang="cs-CZ" sz="1000" baseline="0"/>
              <a:t> </a:t>
            </a:r>
            <a:r>
              <a:rPr lang="cs-CZ" sz="1000" b="1" i="0" u="none" strike="noStrike" cap="none" baseline="0">
                <a:effectLst/>
              </a:rPr>
              <a:t>osob s jinou než českou státní příslušností</a:t>
            </a:r>
            <a:r>
              <a:rPr lang="en-US" sz="1000"/>
              <a:t> na celkovém počtu obyvatel</a:t>
            </a:r>
            <a:r>
              <a:rPr lang="cs-CZ" sz="1000"/>
              <a:t> </a:t>
            </a:r>
            <a:r>
              <a:rPr lang="cs-CZ" sz="1000" b="1" i="0" u="none" strike="noStrike" cap="none" baseline="0">
                <a:effectLst/>
              </a:rPr>
              <a:t>městské části Brno-Kralovo Pole </a:t>
            </a:r>
            <a:r>
              <a:rPr lang="cs-CZ" sz="1000" baseline="0"/>
              <a:t> </a:t>
            </a:r>
            <a:r>
              <a:rPr lang="cs-CZ" sz="1000"/>
              <a:t>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6.5622873529697673E-2"/>
          <c:y val="0.3057084832721701"/>
          <c:w val="0.89049493813273339"/>
          <c:h val="0.50913029536466314"/>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98CB-48B9-91DC-CBD09BD8C79C}"/>
              </c:ext>
            </c:extLst>
          </c:dPt>
          <c:dPt>
            <c:idx val="1"/>
            <c:invertIfNegative val="0"/>
            <c:bubble3D val="0"/>
            <c:extLst>
              <c:ext xmlns:c16="http://schemas.microsoft.com/office/drawing/2014/chart" uri="{C3380CC4-5D6E-409C-BE32-E72D297353CC}">
                <c16:uniqueId val="{00000001-98CB-48B9-91DC-CBD09BD8C79C}"/>
              </c:ext>
            </c:extLst>
          </c:dPt>
          <c:dPt>
            <c:idx val="2"/>
            <c:invertIfNegative val="0"/>
            <c:bubble3D val="0"/>
            <c:spPr>
              <a:solidFill>
                <a:schemeClr val="accent5">
                  <a:lumMod val="50000"/>
                </a:schemeClr>
              </a:solidFill>
              <a:ln w="9525" cap="flat" cmpd="sng" algn="ctr">
                <a:noFill/>
                <a:miter lim="800000"/>
              </a:ln>
              <a:effectLst/>
            </c:spPr>
            <c:extLst>
              <c:ext xmlns:c16="http://schemas.microsoft.com/office/drawing/2014/chart" uri="{C3380CC4-5D6E-409C-BE32-E72D297353CC}">
                <c16:uniqueId val="{00000003-98CB-48B9-91DC-CBD09BD8C79C}"/>
              </c:ext>
            </c:extLst>
          </c:dPt>
          <c:dPt>
            <c:idx val="3"/>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5-98CB-48B9-91DC-CBD09BD8C79C}"/>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98CB-48B9-91DC-CBD09BD8C79C}"/>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List1!$A$2:$A$5</c:f>
              <c:numCache>
                <c:formatCode>General</c:formatCode>
                <c:ptCount val="4"/>
                <c:pt idx="0">
                  <c:v>2020</c:v>
                </c:pt>
                <c:pt idx="1">
                  <c:v>2021</c:v>
                </c:pt>
                <c:pt idx="2">
                  <c:v>2022</c:v>
                </c:pt>
                <c:pt idx="3">
                  <c:v>2023</c:v>
                </c:pt>
              </c:numCache>
            </c:numRef>
          </c:cat>
          <c:val>
            <c:numRef>
              <c:f>List1!$B$2:$B$5</c:f>
              <c:numCache>
                <c:formatCode>0.00%</c:formatCode>
                <c:ptCount val="4"/>
                <c:pt idx="0">
                  <c:v>0.14899999999999999</c:v>
                </c:pt>
                <c:pt idx="1">
                  <c:v>0.153</c:v>
                </c:pt>
                <c:pt idx="2">
                  <c:v>0.161</c:v>
                </c:pt>
                <c:pt idx="3">
                  <c:v>0.221</c:v>
                </c:pt>
              </c:numCache>
            </c:numRef>
          </c:val>
          <c:extLst>
            <c:ext xmlns:c16="http://schemas.microsoft.com/office/drawing/2014/chart" uri="{C3380CC4-5D6E-409C-BE32-E72D297353CC}">
              <c16:uniqueId val="{00000008-98CB-48B9-91DC-CBD09BD8C79C}"/>
            </c:ext>
          </c:extLst>
        </c:ser>
        <c:dLbls>
          <c:dLblPos val="inEnd"/>
          <c:showLegendKey val="0"/>
          <c:showVal val="1"/>
          <c:showCatName val="0"/>
          <c:showSerName val="0"/>
          <c:showPercent val="0"/>
          <c:showBubbleSize val="0"/>
        </c:dLbls>
        <c:gapWidth val="182"/>
        <c:overlap val="-50"/>
        <c:axId val="438159952"/>
        <c:axId val="438163872"/>
      </c:barChart>
      <c:catAx>
        <c:axId val="438159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63872"/>
        <c:crosses val="autoZero"/>
        <c:auto val="1"/>
        <c:lblAlgn val="ctr"/>
        <c:lblOffset val="100"/>
        <c:noMultiLvlLbl val="0"/>
      </c:catAx>
      <c:valAx>
        <c:axId val="438163872"/>
        <c:scaling>
          <c:orientation val="minMax"/>
          <c:min val="2.0000000000000004E-2"/>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5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i="0" u="none" strike="noStrike" cap="none" baseline="0">
                <a:effectLst/>
              </a:rPr>
              <a:t>Osoby s jinou než českou státní příslušností </a:t>
            </a:r>
            <a:r>
              <a:rPr lang="cs-CZ" sz="1000" b="1" cap="none" spc="0">
                <a:ln w="0"/>
                <a:solidFill>
                  <a:schemeClr val="tx1"/>
                </a:solidFill>
                <a:effectLst/>
              </a:rPr>
              <a:t>ze třetích zemí dle národnosti a pohlaví</a:t>
            </a:r>
            <a:r>
              <a:rPr lang="cs-CZ" sz="1000" b="1" cap="none" spc="0" baseline="0">
                <a:ln w="0"/>
                <a:solidFill>
                  <a:schemeClr val="tx1"/>
                </a:solidFill>
                <a:effectLst/>
              </a:rPr>
              <a:t> </a:t>
            </a:r>
            <a:br>
              <a:rPr lang="cs-CZ" sz="1000" b="1" cap="none" spc="0" baseline="0">
                <a:ln w="0"/>
                <a:solidFill>
                  <a:schemeClr val="tx1"/>
                </a:solidFill>
                <a:effectLst/>
              </a:rPr>
            </a:br>
            <a:r>
              <a:rPr lang="cs-CZ" sz="1000" b="1" cap="none" spc="0" baseline="0">
                <a:ln w="0"/>
                <a:solidFill>
                  <a:schemeClr val="tx1"/>
                </a:solidFill>
                <a:effectLst/>
              </a:rPr>
              <a:t>k 31. 12. 2022</a:t>
            </a:r>
            <a:endParaRPr lang="cs-CZ" sz="1000" b="1" cap="none" spc="0">
              <a:ln w="0"/>
              <a:solidFill>
                <a:schemeClr val="tx1"/>
              </a:solidFill>
              <a:effectLst/>
            </a:endParaRPr>
          </a:p>
        </c:rich>
      </c:tx>
      <c:layout>
        <c:manualLayout>
          <c:xMode val="edge"/>
          <c:yMode val="edge"/>
          <c:x val="0.12807969380259546"/>
          <c:y val="7.7519379844961239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44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77700009721008"/>
          <c:y val="0.11428589445539809"/>
          <c:w val="0.8210675054507075"/>
          <c:h val="0.79302569349988139"/>
        </c:manualLayout>
      </c:layout>
      <c:bar3DChart>
        <c:barDir val="bar"/>
        <c:grouping val="stacked"/>
        <c:varyColors val="0"/>
        <c:ser>
          <c:idx val="0"/>
          <c:order val="0"/>
          <c:tx>
            <c:strRef>
              <c:f>List1!$B$1</c:f>
              <c:strCache>
                <c:ptCount val="1"/>
                <c:pt idx="0">
                  <c:v>muži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7"/>
              <c:spPr>
                <a:solidFill>
                  <a:schemeClr val="lt1"/>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0DD0-407D-9DB3-70D7EF83D2AE}"/>
                </c:ext>
              </c:extLst>
            </c:dLbl>
            <c:dLbl>
              <c:idx val="8"/>
              <c:spPr>
                <a:solidFill>
                  <a:schemeClr val="lt1"/>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0DD0-407D-9DB3-70D7EF83D2AE}"/>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D0-407D-9DB3-70D7EF83D2AE}"/>
                </c:ext>
              </c:extLst>
            </c:dLbl>
            <c:spPr>
              <a:solidFill>
                <a:schemeClr val="bg1">
                  <a:lumMod val="95000"/>
                </a:schemeClr>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List1!$A$2:$A$11</c:f>
              <c:strCache>
                <c:ptCount val="10"/>
                <c:pt idx="0">
                  <c:v>Moldavsko</c:v>
                </c:pt>
                <c:pt idx="1">
                  <c:v>Čína</c:v>
                </c:pt>
                <c:pt idx="2">
                  <c:v>Bělorusko</c:v>
                </c:pt>
                <c:pt idx="3">
                  <c:v>Indie</c:v>
                </c:pt>
                <c:pt idx="4">
                  <c:v>Kazachstán</c:v>
                </c:pt>
                <c:pt idx="5">
                  <c:v>Spojené státy</c:v>
                </c:pt>
                <c:pt idx="6">
                  <c:v>Mongolsko</c:v>
                </c:pt>
                <c:pt idx="7">
                  <c:v>Rusko</c:v>
                </c:pt>
                <c:pt idx="8">
                  <c:v>Vietnam</c:v>
                </c:pt>
                <c:pt idx="9">
                  <c:v>Ukrajina</c:v>
                </c:pt>
              </c:strCache>
            </c:strRef>
          </c:cat>
          <c:val>
            <c:numRef>
              <c:f>List1!$B$2:$B$11</c:f>
              <c:numCache>
                <c:formatCode>General</c:formatCode>
                <c:ptCount val="10"/>
                <c:pt idx="0">
                  <c:v>4126</c:v>
                </c:pt>
                <c:pt idx="1">
                  <c:v>4160</c:v>
                </c:pt>
                <c:pt idx="2">
                  <c:v>3926</c:v>
                </c:pt>
                <c:pt idx="3">
                  <c:v>5811</c:v>
                </c:pt>
                <c:pt idx="4">
                  <c:v>4307</c:v>
                </c:pt>
                <c:pt idx="5">
                  <c:v>5506</c:v>
                </c:pt>
                <c:pt idx="6">
                  <c:v>5740</c:v>
                </c:pt>
                <c:pt idx="7">
                  <c:v>19090</c:v>
                </c:pt>
                <c:pt idx="8">
                  <c:v>35317</c:v>
                </c:pt>
                <c:pt idx="9">
                  <c:v>276149</c:v>
                </c:pt>
              </c:numCache>
            </c:numRef>
          </c:val>
          <c:extLst>
            <c:ext xmlns:c16="http://schemas.microsoft.com/office/drawing/2014/chart" uri="{C3380CC4-5D6E-409C-BE32-E72D297353CC}">
              <c16:uniqueId val="{00000003-0DD0-407D-9DB3-70D7EF83D2AE}"/>
            </c:ext>
          </c:extLst>
        </c:ser>
        <c:ser>
          <c:idx val="1"/>
          <c:order val="1"/>
          <c:tx>
            <c:strRef>
              <c:f>List1!$C$1</c:f>
              <c:strCache>
                <c:ptCount val="1"/>
                <c:pt idx="0">
                  <c:v>ženy</c:v>
                </c:pt>
              </c:strCache>
            </c:strRef>
          </c:tx>
          <c:spPr>
            <a:solidFill>
              <a:srgbClr val="C00000"/>
            </a:solidFill>
            <a:ln>
              <a:noFill/>
            </a:ln>
            <a:effectLst>
              <a:outerShdw blurRad="57150" dist="19050" dir="5400000" algn="ctr" rotWithShape="0">
                <a:srgbClr val="000000">
                  <a:alpha val="63000"/>
                </a:srgbClr>
              </a:outerShdw>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0DD0-407D-9DB3-70D7EF83D2AE}"/>
                </c:ext>
              </c:extLst>
            </c:dLbl>
            <c:dLbl>
              <c:idx val="1"/>
              <c:delete val="1"/>
              <c:extLst>
                <c:ext xmlns:c15="http://schemas.microsoft.com/office/drawing/2012/chart" uri="{CE6537A1-D6FC-4f65-9D91-7224C49458BB}"/>
                <c:ext xmlns:c16="http://schemas.microsoft.com/office/drawing/2014/chart" uri="{C3380CC4-5D6E-409C-BE32-E72D297353CC}">
                  <c16:uniqueId val="{00000005-0DD0-407D-9DB3-70D7EF83D2AE}"/>
                </c:ext>
              </c:extLst>
            </c:dLbl>
            <c:dLbl>
              <c:idx val="2"/>
              <c:delete val="1"/>
              <c:extLst>
                <c:ext xmlns:c15="http://schemas.microsoft.com/office/drawing/2012/chart" uri="{CE6537A1-D6FC-4f65-9D91-7224C49458BB}"/>
                <c:ext xmlns:c16="http://schemas.microsoft.com/office/drawing/2014/chart" uri="{C3380CC4-5D6E-409C-BE32-E72D297353CC}">
                  <c16:uniqueId val="{00000006-0DD0-407D-9DB3-70D7EF83D2AE}"/>
                </c:ext>
              </c:extLst>
            </c:dLbl>
            <c:dLbl>
              <c:idx val="3"/>
              <c:delete val="1"/>
              <c:extLst>
                <c:ext xmlns:c15="http://schemas.microsoft.com/office/drawing/2012/chart" uri="{CE6537A1-D6FC-4f65-9D91-7224C49458BB}"/>
                <c:ext xmlns:c16="http://schemas.microsoft.com/office/drawing/2014/chart" uri="{C3380CC4-5D6E-409C-BE32-E72D297353CC}">
                  <c16:uniqueId val="{00000007-0DD0-407D-9DB3-70D7EF83D2AE}"/>
                </c:ext>
              </c:extLst>
            </c:dLbl>
            <c:dLbl>
              <c:idx val="4"/>
              <c:delete val="1"/>
              <c:extLst>
                <c:ext xmlns:c15="http://schemas.microsoft.com/office/drawing/2012/chart" uri="{CE6537A1-D6FC-4f65-9D91-7224C49458BB}"/>
                <c:ext xmlns:c16="http://schemas.microsoft.com/office/drawing/2014/chart" uri="{C3380CC4-5D6E-409C-BE32-E72D297353CC}">
                  <c16:uniqueId val="{00000008-0DD0-407D-9DB3-70D7EF83D2AE}"/>
                </c:ext>
              </c:extLst>
            </c:dLbl>
            <c:dLbl>
              <c:idx val="5"/>
              <c:delete val="1"/>
              <c:extLst>
                <c:ext xmlns:c15="http://schemas.microsoft.com/office/drawing/2012/chart" uri="{CE6537A1-D6FC-4f65-9D91-7224C49458BB}"/>
                <c:ext xmlns:c16="http://schemas.microsoft.com/office/drawing/2014/chart" uri="{C3380CC4-5D6E-409C-BE32-E72D297353CC}">
                  <c16:uniqueId val="{00000009-0DD0-407D-9DB3-70D7EF83D2AE}"/>
                </c:ext>
              </c:extLst>
            </c:dLbl>
            <c:dLbl>
              <c:idx val="6"/>
              <c:delete val="1"/>
              <c:extLst>
                <c:ext xmlns:c15="http://schemas.microsoft.com/office/drawing/2012/chart" uri="{CE6537A1-D6FC-4f65-9D91-7224C49458BB}"/>
                <c:ext xmlns:c16="http://schemas.microsoft.com/office/drawing/2014/chart" uri="{C3380CC4-5D6E-409C-BE32-E72D297353CC}">
                  <c16:uniqueId val="{0000000A-0DD0-407D-9DB3-70D7EF83D2AE}"/>
                </c:ext>
              </c:extLst>
            </c:dLbl>
            <c:dLbl>
              <c:idx val="7"/>
              <c:layout>
                <c:manualLayout>
                  <c:x val="4.85008818342151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D0-407D-9DB3-70D7EF83D2AE}"/>
                </c:ext>
              </c:extLst>
            </c:dLbl>
            <c:dLbl>
              <c:idx val="8"/>
              <c:layout>
                <c:manualLayout>
                  <c:x val="3.30687830687830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D0-407D-9DB3-70D7EF83D2AE}"/>
                </c:ext>
              </c:extLst>
            </c:dLbl>
            <c:spPr>
              <a:solidFill>
                <a:schemeClr val="lt1"/>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List1!$A$2:$A$11</c:f>
              <c:strCache>
                <c:ptCount val="10"/>
                <c:pt idx="0">
                  <c:v>Moldavsko</c:v>
                </c:pt>
                <c:pt idx="1">
                  <c:v>Čína</c:v>
                </c:pt>
                <c:pt idx="2">
                  <c:v>Bělorusko</c:v>
                </c:pt>
                <c:pt idx="3">
                  <c:v>Indie</c:v>
                </c:pt>
                <c:pt idx="4">
                  <c:v>Kazachstán</c:v>
                </c:pt>
                <c:pt idx="5">
                  <c:v>Spojené státy</c:v>
                </c:pt>
                <c:pt idx="6">
                  <c:v>Mongolsko</c:v>
                </c:pt>
                <c:pt idx="7">
                  <c:v>Rusko</c:v>
                </c:pt>
                <c:pt idx="8">
                  <c:v>Vietnam</c:v>
                </c:pt>
                <c:pt idx="9">
                  <c:v>Ukrajina</c:v>
                </c:pt>
              </c:strCache>
            </c:strRef>
          </c:cat>
          <c:val>
            <c:numRef>
              <c:f>List1!$C$2:$C$11</c:f>
              <c:numCache>
                <c:formatCode>General</c:formatCode>
                <c:ptCount val="10"/>
                <c:pt idx="0">
                  <c:v>3043</c:v>
                </c:pt>
                <c:pt idx="1">
                  <c:v>3821</c:v>
                </c:pt>
                <c:pt idx="2">
                  <c:v>4138</c:v>
                </c:pt>
                <c:pt idx="3">
                  <c:v>2658</c:v>
                </c:pt>
                <c:pt idx="4">
                  <c:v>4907</c:v>
                </c:pt>
                <c:pt idx="5">
                  <c:v>4239</c:v>
                </c:pt>
                <c:pt idx="6">
                  <c:v>6228</c:v>
                </c:pt>
                <c:pt idx="7">
                  <c:v>24408</c:v>
                </c:pt>
                <c:pt idx="8">
                  <c:v>31023</c:v>
                </c:pt>
                <c:pt idx="9">
                  <c:v>360133</c:v>
                </c:pt>
              </c:numCache>
            </c:numRef>
          </c:val>
          <c:extLst>
            <c:ext xmlns:c16="http://schemas.microsoft.com/office/drawing/2014/chart" uri="{C3380CC4-5D6E-409C-BE32-E72D297353CC}">
              <c16:uniqueId val="{0000000B-0DD0-407D-9DB3-70D7EF83D2AE}"/>
            </c:ext>
          </c:extLst>
        </c:ser>
        <c:dLbls>
          <c:showLegendKey val="0"/>
          <c:showVal val="0"/>
          <c:showCatName val="0"/>
          <c:showSerName val="0"/>
          <c:showPercent val="0"/>
          <c:showBubbleSize val="0"/>
        </c:dLbls>
        <c:gapWidth val="72"/>
        <c:shape val="cylinder"/>
        <c:axId val="298471536"/>
        <c:axId val="298474672"/>
        <c:axId val="0"/>
      </c:bar3DChart>
      <c:catAx>
        <c:axId val="298471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74672"/>
        <c:crosses val="autoZero"/>
        <c:auto val="1"/>
        <c:lblAlgn val="ctr"/>
        <c:lblOffset val="100"/>
        <c:noMultiLvlLbl val="0"/>
      </c:catAx>
      <c:valAx>
        <c:axId val="298474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71536"/>
        <c:crosses val="autoZero"/>
        <c:crossBetween val="between"/>
      </c:valAx>
      <c:spPr>
        <a:noFill/>
        <a:ln>
          <a:noFill/>
        </a:ln>
        <a:effectLst/>
      </c:spPr>
    </c:plotArea>
    <c:legend>
      <c:legendPos val="b"/>
      <c:layout>
        <c:manualLayout>
          <c:xMode val="edge"/>
          <c:yMode val="edge"/>
          <c:x val="0.79018295380835168"/>
          <c:y val="0.78286345142513269"/>
          <c:w val="0.18340897491980168"/>
          <c:h val="6.862114457914983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a:t>
            </a:r>
            <a:r>
              <a:rPr lang="cs-CZ" sz="1000" b="1" cap="none" spc="0" baseline="0">
                <a:ln w="0"/>
                <a:solidFill>
                  <a:schemeClr val="tx1"/>
                </a:solidFill>
                <a:effectLst/>
              </a:rPr>
              <a:t> osob s jinou než českou státní příslušností</a:t>
            </a:r>
            <a:r>
              <a:rPr lang="cs-CZ" sz="1000" b="1" cap="none" spc="0">
                <a:ln w="0"/>
                <a:solidFill>
                  <a:schemeClr val="tx1"/>
                </a:solidFill>
                <a:effectLst/>
              </a:rPr>
              <a:t> na celkovém</a:t>
            </a:r>
            <a:r>
              <a:rPr lang="cs-CZ" sz="1000" b="1" cap="none" spc="0" baseline="0">
                <a:ln w="0"/>
                <a:solidFill>
                  <a:schemeClr val="tx1"/>
                </a:solidFill>
                <a:effectLst/>
              </a:rPr>
              <a:t> počtu obyvatel ORP Břeclav v letech 2006-2023 (data k 1. 1. daného roku)</a:t>
            </a:r>
            <a:endParaRPr lang="cs-CZ" sz="1000" b="1" cap="none" spc="0">
              <a:ln w="0"/>
              <a:solidFill>
                <a:schemeClr val="tx1"/>
              </a:solidFill>
              <a:effectLst/>
            </a:endParaRPr>
          </a:p>
        </c:rich>
      </c:tx>
      <c:layout>
        <c:manualLayout>
          <c:xMode val="edge"/>
          <c:yMode val="edge"/>
          <c:x val="0.1287982559137929"/>
          <c:y val="0"/>
        </c:manualLayout>
      </c:layout>
      <c:overlay val="0"/>
      <c:spPr>
        <a:noFill/>
        <a:ln>
          <a:noFill/>
        </a:ln>
        <a:effectLst/>
      </c:sp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428023420149403E-2"/>
          <c:y val="9.0499590130030311E-2"/>
          <c:w val="0.90254980146712427"/>
          <c:h val="0.84371244425392389"/>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5"/>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DBE-4989-A134-4FC9C59EB3EF}"/>
              </c:ext>
            </c:extLst>
          </c:dPt>
          <c:dPt>
            <c:idx val="16"/>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DBE-4989-A134-4FC9C59EB3EF}"/>
              </c:ext>
            </c:extLst>
          </c:dPt>
          <c:dPt>
            <c:idx val="17"/>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DBE-4989-A134-4FC9C59EB3EF}"/>
              </c:ext>
            </c:extLst>
          </c:dPt>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0.00%</c:formatCode>
                <c:ptCount val="18"/>
                <c:pt idx="0">
                  <c:v>1.4E-2</c:v>
                </c:pt>
                <c:pt idx="1">
                  <c:v>1.7000000000000001E-2</c:v>
                </c:pt>
                <c:pt idx="2" formatCode="0%">
                  <c:v>0.02</c:v>
                </c:pt>
                <c:pt idx="3">
                  <c:v>2.1999999999999999E-2</c:v>
                </c:pt>
                <c:pt idx="4">
                  <c:v>2.1999999999999999E-2</c:v>
                </c:pt>
                <c:pt idx="5">
                  <c:v>2.4E-2</c:v>
                </c:pt>
                <c:pt idx="6">
                  <c:v>2.5000000000000001E-2</c:v>
                </c:pt>
                <c:pt idx="7">
                  <c:v>2.3E-2</c:v>
                </c:pt>
                <c:pt idx="8">
                  <c:v>2.4E-2</c:v>
                </c:pt>
                <c:pt idx="9">
                  <c:v>2.5000000000000001E-2</c:v>
                </c:pt>
                <c:pt idx="10">
                  <c:v>2.5999999999999999E-2</c:v>
                </c:pt>
                <c:pt idx="11">
                  <c:v>2.7E-2</c:v>
                </c:pt>
                <c:pt idx="12">
                  <c:v>2.8000000000000001E-2</c:v>
                </c:pt>
                <c:pt idx="13">
                  <c:v>3.1E-2</c:v>
                </c:pt>
                <c:pt idx="14">
                  <c:v>3.4000000000000002E-2</c:v>
                </c:pt>
                <c:pt idx="15">
                  <c:v>3.5000000000000003E-2</c:v>
                </c:pt>
                <c:pt idx="16">
                  <c:v>3.4000000000000002E-2</c:v>
                </c:pt>
                <c:pt idx="17">
                  <c:v>6.9000000000000006E-2</c:v>
                </c:pt>
              </c:numCache>
            </c:numRef>
          </c:val>
          <c:shape val="cylinder"/>
          <c:extLst>
            <c:ext xmlns:c16="http://schemas.microsoft.com/office/drawing/2014/chart" uri="{C3380CC4-5D6E-409C-BE32-E72D297353CC}">
              <c16:uniqueId val="{00000006-2DBE-4989-A134-4FC9C59EB3EF}"/>
            </c:ext>
          </c:extLst>
        </c:ser>
        <c:dLbls>
          <c:showLegendKey val="0"/>
          <c:showVal val="0"/>
          <c:showCatName val="0"/>
          <c:showSerName val="0"/>
          <c:showPercent val="0"/>
          <c:showBubbleSize val="0"/>
        </c:dLbls>
        <c:gapWidth val="95"/>
        <c:shape val="box"/>
        <c:axId val="438165440"/>
        <c:axId val="438162304"/>
        <c:axId val="0"/>
      </c:bar3DChart>
      <c:catAx>
        <c:axId val="438165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62304"/>
        <c:crosses val="autoZero"/>
        <c:auto val="1"/>
        <c:lblAlgn val="ctr"/>
        <c:lblOffset val="100"/>
        <c:noMultiLvlLbl val="0"/>
      </c:catAx>
      <c:valAx>
        <c:axId val="438162304"/>
        <c:scaling>
          <c:orientation val="minMax"/>
          <c:min val="3.0000000000000009E-3"/>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65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Osoby</a:t>
            </a:r>
            <a:r>
              <a:rPr lang="cs-CZ" sz="1000" b="1" cap="none" spc="0" baseline="0">
                <a:ln w="0"/>
                <a:solidFill>
                  <a:schemeClr val="tx1"/>
                </a:solidFill>
                <a:effectLst/>
              </a:rPr>
              <a:t> s jinou než českou státní příslušností</a:t>
            </a:r>
            <a:r>
              <a:rPr lang="cs-CZ" sz="1000" b="1" cap="none" spc="0">
                <a:ln w="0"/>
                <a:solidFill>
                  <a:schemeClr val="tx1"/>
                </a:solidFill>
                <a:effectLst/>
              </a:rPr>
              <a:t> v ORP Břeclav podle pohlaví</a:t>
            </a:r>
          </a:p>
        </c:rich>
      </c:tx>
      <c:layout>
        <c:manualLayout>
          <c:xMode val="edge"/>
          <c:yMode val="edge"/>
          <c:x val="0.16024190364634172"/>
          <c:y val="2.6161338266451634E-3"/>
        </c:manualLayout>
      </c:layout>
      <c:overlay val="0"/>
      <c:spPr>
        <a:noFill/>
        <a:ln>
          <a:noFill/>
        </a:ln>
        <a:effectLst/>
      </c:spPr>
    </c:title>
    <c:autoTitleDeleted val="0"/>
    <c:view3D>
      <c:rotX val="15"/>
      <c:rotY val="20"/>
      <c:depthPercent val="100"/>
      <c:rAngAx val="1"/>
    </c:view3D>
    <c:floor>
      <c:thickness val="0"/>
      <c:spPr>
        <a:solidFill>
          <a:schemeClr val="bg1">
            <a:lumMod val="95000"/>
            <a:alpha val="54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88698634892866E-2"/>
          <c:y val="4.1783828226290988E-2"/>
          <c:w val="0.90067873460261927"/>
          <c:h val="0.83193435157954654"/>
        </c:manualLayout>
      </c:layout>
      <c:bar3DChart>
        <c:barDir val="bar"/>
        <c:grouping val="stacked"/>
        <c:varyColors val="0"/>
        <c:ser>
          <c:idx val="0"/>
          <c:order val="0"/>
          <c:tx>
            <c:strRef>
              <c:f>List1!$B$1</c:f>
              <c:strCache>
                <c:ptCount val="1"/>
                <c:pt idx="0">
                  <c:v>muži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c:formatCode>
                <c:ptCount val="18"/>
                <c:pt idx="0">
                  <c:v>58.604651162790702</c:v>
                </c:pt>
                <c:pt idx="1">
                  <c:v>58.464566929133852</c:v>
                </c:pt>
                <c:pt idx="2">
                  <c:v>56.887755102040813</c:v>
                </c:pt>
                <c:pt idx="3">
                  <c:v>56.762917933130694</c:v>
                </c:pt>
                <c:pt idx="4">
                  <c:v>56.649135987978958</c:v>
                </c:pt>
                <c:pt idx="5">
                  <c:v>54.565061107117188</c:v>
                </c:pt>
                <c:pt idx="6">
                  <c:v>55.341144038594067</c:v>
                </c:pt>
                <c:pt idx="7">
                  <c:v>54.578488372093027</c:v>
                </c:pt>
                <c:pt idx="8">
                  <c:v>54.800280308339175</c:v>
                </c:pt>
                <c:pt idx="9">
                  <c:v>55.095108695652172</c:v>
                </c:pt>
                <c:pt idx="10">
                  <c:v>54.775828460038987</c:v>
                </c:pt>
                <c:pt idx="11">
                  <c:v>54.734848484848484</c:v>
                </c:pt>
                <c:pt idx="12">
                  <c:v>54.621848739495796</c:v>
                </c:pt>
                <c:pt idx="13">
                  <c:v>54.325068870523417</c:v>
                </c:pt>
                <c:pt idx="14">
                  <c:v>55.650857719475276</c:v>
                </c:pt>
                <c:pt idx="15">
                  <c:v>55.858045697617889</c:v>
                </c:pt>
                <c:pt idx="16">
                  <c:v>53.881278538812779</c:v>
                </c:pt>
                <c:pt idx="17">
                  <c:v>40.4</c:v>
                </c:pt>
              </c:numCache>
            </c:numRef>
          </c:val>
          <c:extLst>
            <c:ext xmlns:c16="http://schemas.microsoft.com/office/drawing/2014/chart" uri="{C3380CC4-5D6E-409C-BE32-E72D297353CC}">
              <c16:uniqueId val="{00000000-69BA-4039-98A7-F245FED81CED}"/>
            </c:ext>
          </c:extLst>
        </c:ser>
        <c:ser>
          <c:idx val="1"/>
          <c:order val="1"/>
          <c:tx>
            <c:strRef>
              <c:f>List1!$C$1</c:f>
              <c:strCache>
                <c:ptCount val="1"/>
                <c:pt idx="0">
                  <c:v>ženy</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List1!$C$2:$C$19</c:f>
              <c:numCache>
                <c:formatCode>0.0</c:formatCode>
                <c:ptCount val="18"/>
                <c:pt idx="0">
                  <c:v>41.395348837209298</c:v>
                </c:pt>
                <c:pt idx="1">
                  <c:v>41.535433070866141</c:v>
                </c:pt>
                <c:pt idx="2">
                  <c:v>43.112244897959187</c:v>
                </c:pt>
                <c:pt idx="3">
                  <c:v>43.237082066869306</c:v>
                </c:pt>
                <c:pt idx="4">
                  <c:v>43.350864012021034</c:v>
                </c:pt>
                <c:pt idx="5">
                  <c:v>45.434938892882819</c:v>
                </c:pt>
                <c:pt idx="6">
                  <c:v>44.658855961405926</c:v>
                </c:pt>
                <c:pt idx="7">
                  <c:v>45.421511627906973</c:v>
                </c:pt>
                <c:pt idx="8">
                  <c:v>45.199719691660825</c:v>
                </c:pt>
                <c:pt idx="9">
                  <c:v>44.904891304347828</c:v>
                </c:pt>
                <c:pt idx="10">
                  <c:v>45.224171539961013</c:v>
                </c:pt>
                <c:pt idx="11">
                  <c:v>45.265151515151516</c:v>
                </c:pt>
                <c:pt idx="12">
                  <c:v>45.378151260504204</c:v>
                </c:pt>
                <c:pt idx="13">
                  <c:v>45.674931129476583</c:v>
                </c:pt>
                <c:pt idx="14">
                  <c:v>44.349142280524724</c:v>
                </c:pt>
                <c:pt idx="15">
                  <c:v>44.141954302382111</c:v>
                </c:pt>
                <c:pt idx="16">
                  <c:v>46.118721461187214</c:v>
                </c:pt>
                <c:pt idx="17">
                  <c:v>59.6</c:v>
                </c:pt>
              </c:numCache>
            </c:numRef>
          </c:val>
          <c:extLst>
            <c:ext xmlns:c16="http://schemas.microsoft.com/office/drawing/2014/chart" uri="{C3380CC4-5D6E-409C-BE32-E72D297353CC}">
              <c16:uniqueId val="{00000001-69BA-4039-98A7-F245FED81CED}"/>
            </c:ext>
          </c:extLst>
        </c:ser>
        <c:dLbls>
          <c:showLegendKey val="0"/>
          <c:showVal val="0"/>
          <c:showCatName val="0"/>
          <c:showSerName val="0"/>
          <c:showPercent val="0"/>
          <c:showBubbleSize val="0"/>
        </c:dLbls>
        <c:gapWidth val="72"/>
        <c:shape val="cylinder"/>
        <c:axId val="438177200"/>
        <c:axId val="438165832"/>
        <c:axId val="0"/>
      </c:bar3DChart>
      <c:catAx>
        <c:axId val="438177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65832"/>
        <c:crosses val="autoZero"/>
        <c:auto val="1"/>
        <c:lblAlgn val="ctr"/>
        <c:lblOffset val="100"/>
        <c:noMultiLvlLbl val="0"/>
      </c:catAx>
      <c:valAx>
        <c:axId val="43816583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77200"/>
        <c:crosses val="autoZero"/>
        <c:crossBetween val="between"/>
      </c:valAx>
      <c:spPr>
        <a:noFill/>
        <a:ln>
          <a:noFill/>
        </a:ln>
        <a:effectLst/>
      </c:spPr>
    </c:plotArea>
    <c:legend>
      <c:legendPos val="b"/>
      <c:layout>
        <c:manualLayout>
          <c:xMode val="edge"/>
          <c:yMode val="edge"/>
          <c:x val="0.37522670777263956"/>
          <c:y val="0.94390498956110269"/>
          <c:w val="0.18340897491980168"/>
          <c:h val="5.449081476091452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b="1" i="0" baseline="0">
                <a:effectLst/>
              </a:rPr>
              <a:t>Podíl </a:t>
            </a:r>
            <a:r>
              <a:rPr lang="cs-CZ" sz="1000" b="1" i="0" baseline="0">
                <a:effectLst/>
              </a:rPr>
              <a:t>osob s jinou než českou státní příslušností </a:t>
            </a:r>
            <a:r>
              <a:rPr lang="en-US" sz="1000" b="1" i="0" baseline="0">
                <a:effectLst/>
              </a:rPr>
              <a:t> na celkovém počtu obyvatel</a:t>
            </a:r>
            <a:r>
              <a:rPr lang="cs-CZ" sz="1000" b="1" i="0" baseline="0">
                <a:effectLst/>
              </a:rPr>
              <a:t> k 1. 1. 2021</a:t>
            </a:r>
            <a:endParaRPr lang="en-US" sz="1000" b="1" i="0" baseline="0">
              <a:effectLst/>
            </a:endParaRPr>
          </a:p>
        </c:rich>
      </c:tx>
      <c:layout>
        <c:manualLayout>
          <c:xMode val="edge"/>
          <c:yMode val="edge"/>
          <c:x val="0.1102953623087863"/>
          <c:y val="2.9208964264082391E-3"/>
        </c:manualLayout>
      </c:layout>
      <c:overlay val="0"/>
      <c:spPr>
        <a:noFill/>
        <a:ln>
          <a:noFill/>
        </a:ln>
        <a:effectLst/>
      </c:spPr>
    </c:title>
    <c:autoTitleDeleted val="0"/>
    <c:plotArea>
      <c:layout>
        <c:manualLayout>
          <c:layoutTarget val="inner"/>
          <c:xMode val="edge"/>
          <c:yMode val="edge"/>
          <c:x val="0.17462296379619213"/>
          <c:y val="6.4234865109074474E-2"/>
          <c:w val="0.79363696278053353"/>
          <c:h val="0.86519136439912225"/>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1"/>
            <c:invertIfNegative val="0"/>
            <c:bubble3D val="0"/>
            <c:extLst>
              <c:ext xmlns:c16="http://schemas.microsoft.com/office/drawing/2014/chart" uri="{C3380CC4-5D6E-409C-BE32-E72D297353CC}">
                <c16:uniqueId val="{00000000-5D9C-4F11-9860-4C43322ABD8E}"/>
              </c:ext>
            </c:extLst>
          </c:dPt>
          <c:dPt>
            <c:idx val="3"/>
            <c:invertIfNegative val="0"/>
            <c:bubble3D val="0"/>
            <c:extLst>
              <c:ext xmlns:c16="http://schemas.microsoft.com/office/drawing/2014/chart" uri="{C3380CC4-5D6E-409C-BE32-E72D297353CC}">
                <c16:uniqueId val="{00000001-5D9C-4F11-9860-4C43322ABD8E}"/>
              </c:ext>
            </c:extLst>
          </c:dPt>
          <c:dPt>
            <c:idx val="4"/>
            <c:invertIfNegative val="0"/>
            <c:bubble3D val="0"/>
            <c:extLst>
              <c:ext xmlns:c16="http://schemas.microsoft.com/office/drawing/2014/chart" uri="{C3380CC4-5D6E-409C-BE32-E72D297353CC}">
                <c16:uniqueId val="{00000002-5D9C-4F11-9860-4C43322ABD8E}"/>
              </c:ext>
            </c:extLst>
          </c:dPt>
          <c:dPt>
            <c:idx val="5"/>
            <c:invertIfNegative val="0"/>
            <c:bubble3D val="0"/>
            <c:extLst>
              <c:ext xmlns:c16="http://schemas.microsoft.com/office/drawing/2014/chart" uri="{C3380CC4-5D6E-409C-BE32-E72D297353CC}">
                <c16:uniqueId val="{00000003-5D9C-4F11-9860-4C43322ABD8E}"/>
              </c:ext>
            </c:extLst>
          </c:dPt>
          <c:dPt>
            <c:idx val="6"/>
            <c:invertIfNegative val="0"/>
            <c:bubble3D val="0"/>
            <c:extLst>
              <c:ext xmlns:c16="http://schemas.microsoft.com/office/drawing/2014/chart" uri="{C3380CC4-5D6E-409C-BE32-E72D297353CC}">
                <c16:uniqueId val="{00000004-5D9C-4F11-9860-4C43322ABD8E}"/>
              </c:ext>
            </c:extLst>
          </c:dPt>
          <c:dPt>
            <c:idx val="7"/>
            <c:invertIfNegative val="0"/>
            <c:bubble3D val="0"/>
            <c:extLst>
              <c:ext xmlns:c16="http://schemas.microsoft.com/office/drawing/2014/chart" uri="{C3380CC4-5D6E-409C-BE32-E72D297353CC}">
                <c16:uniqueId val="{00000005-5D9C-4F11-9860-4C43322ABD8E}"/>
              </c:ext>
            </c:extLst>
          </c:dPt>
          <c:dPt>
            <c:idx val="9"/>
            <c:invertIfNegative val="0"/>
            <c:bubble3D val="0"/>
            <c:extLst>
              <c:ext xmlns:c16="http://schemas.microsoft.com/office/drawing/2014/chart" uri="{C3380CC4-5D6E-409C-BE32-E72D297353CC}">
                <c16:uniqueId val="{00000006-5D9C-4F11-9860-4C43322ABD8E}"/>
              </c:ext>
            </c:extLst>
          </c:dPt>
          <c:dPt>
            <c:idx val="13"/>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8-5D9C-4F11-9860-4C43322ABD8E}"/>
              </c:ext>
            </c:extLst>
          </c:dPt>
          <c:dPt>
            <c:idx val="14"/>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A-5D9C-4F11-9860-4C43322ABD8E}"/>
              </c:ext>
            </c:extLst>
          </c:dPt>
          <c:dPt>
            <c:idx val="1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C-5D9C-4F11-9860-4C43322ABD8E}"/>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List1!$A$2:$A$17</c:f>
              <c:strCache>
                <c:ptCount val="16"/>
                <c:pt idx="0">
                  <c:v>Zaječí</c:v>
                </c:pt>
                <c:pt idx="1">
                  <c:v>Hrušky</c:v>
                </c:pt>
                <c:pt idx="2">
                  <c:v>Velké Bílovice</c:v>
                </c:pt>
                <c:pt idx="3">
                  <c:v>Kostice</c:v>
                </c:pt>
                <c:pt idx="4">
                  <c:v>Moravská Nová Ves</c:v>
                </c:pt>
                <c:pt idx="5">
                  <c:v>Moravský Žižkov</c:v>
                </c:pt>
                <c:pt idx="6">
                  <c:v>Lanžhot</c:v>
                </c:pt>
                <c:pt idx="7">
                  <c:v>Hlohovec</c:v>
                </c:pt>
                <c:pt idx="8">
                  <c:v>Týnec</c:v>
                </c:pt>
                <c:pt idx="9">
                  <c:v>Lednice</c:v>
                </c:pt>
                <c:pt idx="10">
                  <c:v>Rakvice</c:v>
                </c:pt>
                <c:pt idx="11">
                  <c:v>Tvrdonice</c:v>
                </c:pt>
                <c:pt idx="12">
                  <c:v>Valtice</c:v>
                </c:pt>
                <c:pt idx="13">
                  <c:v>Břeclav</c:v>
                </c:pt>
                <c:pt idx="14">
                  <c:v>Ladná</c:v>
                </c:pt>
                <c:pt idx="15">
                  <c:v>Podivín</c:v>
                </c:pt>
              </c:strCache>
            </c:strRef>
          </c:cat>
          <c:val>
            <c:numRef>
              <c:f>List1!$B$2:$B$17</c:f>
              <c:numCache>
                <c:formatCode>0.0%</c:formatCode>
                <c:ptCount val="16"/>
                <c:pt idx="0">
                  <c:v>1.4E-2</c:v>
                </c:pt>
                <c:pt idx="1">
                  <c:v>0.02</c:v>
                </c:pt>
                <c:pt idx="2">
                  <c:v>0.02</c:v>
                </c:pt>
                <c:pt idx="3">
                  <c:v>2.1000000000000001E-2</c:v>
                </c:pt>
                <c:pt idx="4">
                  <c:v>2.1000000000000001E-2</c:v>
                </c:pt>
                <c:pt idx="5">
                  <c:v>2.3E-2</c:v>
                </c:pt>
                <c:pt idx="6">
                  <c:v>2.4E-2</c:v>
                </c:pt>
                <c:pt idx="7">
                  <c:v>3.2000000000000001E-2</c:v>
                </c:pt>
                <c:pt idx="8">
                  <c:v>3.4000000000000002E-2</c:v>
                </c:pt>
                <c:pt idx="9">
                  <c:v>3.5999999999999997E-2</c:v>
                </c:pt>
                <c:pt idx="10">
                  <c:v>3.5999999999999997E-2</c:v>
                </c:pt>
                <c:pt idx="11">
                  <c:v>3.6999999999999998E-2</c:v>
                </c:pt>
                <c:pt idx="12">
                  <c:v>4.2000000000000003E-2</c:v>
                </c:pt>
                <c:pt idx="13">
                  <c:v>4.2999999999999997E-2</c:v>
                </c:pt>
                <c:pt idx="14">
                  <c:v>4.7E-2</c:v>
                </c:pt>
                <c:pt idx="15">
                  <c:v>0.05</c:v>
                </c:pt>
              </c:numCache>
            </c:numRef>
          </c:val>
          <c:extLst>
            <c:ext xmlns:c16="http://schemas.microsoft.com/office/drawing/2014/chart" uri="{C3380CC4-5D6E-409C-BE32-E72D297353CC}">
              <c16:uniqueId val="{0000000D-5D9C-4F11-9860-4C43322ABD8E}"/>
            </c:ext>
          </c:extLst>
        </c:ser>
        <c:dLbls>
          <c:dLblPos val="inEnd"/>
          <c:showLegendKey val="0"/>
          <c:showVal val="1"/>
          <c:showCatName val="0"/>
          <c:showSerName val="0"/>
          <c:showPercent val="0"/>
          <c:showBubbleSize val="0"/>
        </c:dLbls>
        <c:gapWidth val="182"/>
        <c:overlap val="-50"/>
        <c:axId val="438173280"/>
        <c:axId val="438173672"/>
      </c:barChart>
      <c:catAx>
        <c:axId val="438173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3672"/>
        <c:crosses val="autoZero"/>
        <c:auto val="1"/>
        <c:lblAlgn val="ctr"/>
        <c:lblOffset val="100"/>
        <c:noMultiLvlLbl val="0"/>
      </c:catAx>
      <c:valAx>
        <c:axId val="438173672"/>
        <c:scaling>
          <c:orientation val="minMax"/>
          <c:max val="5.5000000000000007E-2"/>
          <c:min val="0"/>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b="1" i="0" baseline="0">
                <a:effectLst/>
              </a:rPr>
              <a:t>Podíl </a:t>
            </a:r>
            <a:r>
              <a:rPr lang="cs-CZ" sz="1000" b="1" i="0" baseline="0">
                <a:effectLst/>
              </a:rPr>
              <a:t>osob s jinou než českou státní příslušností</a:t>
            </a:r>
            <a:r>
              <a:rPr lang="en-US" sz="1000" b="1" i="0" baseline="0">
                <a:effectLst/>
              </a:rPr>
              <a:t> na celkovém počtu obyvatel</a:t>
            </a:r>
            <a:r>
              <a:rPr lang="cs-CZ" sz="1000" b="1" i="0" baseline="0">
                <a:effectLst/>
              </a:rPr>
              <a:t> k 1. 1. 2022</a:t>
            </a:r>
            <a:endParaRPr lang="en-US" sz="1000" b="1" i="0" baseline="0">
              <a:effectLst/>
            </a:endParaRPr>
          </a:p>
        </c:rich>
      </c:tx>
      <c:layout>
        <c:manualLayout>
          <c:xMode val="edge"/>
          <c:yMode val="edge"/>
          <c:x val="0.10209435626102295"/>
          <c:y val="1.5285442260893862E-2"/>
        </c:manualLayout>
      </c:layout>
      <c:overlay val="0"/>
      <c:spPr>
        <a:noFill/>
        <a:ln>
          <a:noFill/>
        </a:ln>
        <a:effectLst/>
      </c:spPr>
    </c:title>
    <c:autoTitleDeleted val="0"/>
    <c:plotArea>
      <c:layout>
        <c:manualLayout>
          <c:layoutTarget val="inner"/>
          <c:xMode val="edge"/>
          <c:yMode val="edge"/>
          <c:x val="0.17903213487202987"/>
          <c:y val="8.7695793254786061E-2"/>
          <c:w val="0.78919978752655917"/>
          <c:h val="0.84563783681929527"/>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3"/>
            <c:invertIfNegative val="0"/>
            <c:bubble3D val="0"/>
            <c:extLst>
              <c:ext xmlns:c16="http://schemas.microsoft.com/office/drawing/2014/chart" uri="{C3380CC4-5D6E-409C-BE32-E72D297353CC}">
                <c16:uniqueId val="{00000000-1DBD-4110-97FC-500F61706775}"/>
              </c:ext>
            </c:extLst>
          </c:dPt>
          <c:dPt>
            <c:idx val="4"/>
            <c:invertIfNegative val="0"/>
            <c:bubble3D val="0"/>
            <c:extLst>
              <c:ext xmlns:c16="http://schemas.microsoft.com/office/drawing/2014/chart" uri="{C3380CC4-5D6E-409C-BE32-E72D297353CC}">
                <c16:uniqueId val="{00000001-1DBD-4110-97FC-500F61706775}"/>
              </c:ext>
            </c:extLst>
          </c:dPt>
          <c:dPt>
            <c:idx val="5"/>
            <c:invertIfNegative val="0"/>
            <c:bubble3D val="0"/>
            <c:extLst>
              <c:ext xmlns:c16="http://schemas.microsoft.com/office/drawing/2014/chart" uri="{C3380CC4-5D6E-409C-BE32-E72D297353CC}">
                <c16:uniqueId val="{00000002-1DBD-4110-97FC-500F61706775}"/>
              </c:ext>
            </c:extLst>
          </c:dPt>
          <c:dPt>
            <c:idx val="6"/>
            <c:invertIfNegative val="0"/>
            <c:bubble3D val="0"/>
            <c:extLst>
              <c:ext xmlns:c16="http://schemas.microsoft.com/office/drawing/2014/chart" uri="{C3380CC4-5D6E-409C-BE32-E72D297353CC}">
                <c16:uniqueId val="{00000003-1DBD-4110-97FC-500F61706775}"/>
              </c:ext>
            </c:extLst>
          </c:dPt>
          <c:dPt>
            <c:idx val="7"/>
            <c:invertIfNegative val="0"/>
            <c:bubble3D val="0"/>
            <c:extLst>
              <c:ext xmlns:c16="http://schemas.microsoft.com/office/drawing/2014/chart" uri="{C3380CC4-5D6E-409C-BE32-E72D297353CC}">
                <c16:uniqueId val="{00000004-1DBD-4110-97FC-500F61706775}"/>
              </c:ext>
            </c:extLst>
          </c:dPt>
          <c:dPt>
            <c:idx val="8"/>
            <c:invertIfNegative val="0"/>
            <c:bubble3D val="0"/>
            <c:extLst>
              <c:ext xmlns:c16="http://schemas.microsoft.com/office/drawing/2014/chart" uri="{C3380CC4-5D6E-409C-BE32-E72D297353CC}">
                <c16:uniqueId val="{00000005-1DBD-4110-97FC-500F61706775}"/>
              </c:ext>
            </c:extLst>
          </c:dPt>
          <c:dPt>
            <c:idx val="11"/>
            <c:invertIfNegative val="0"/>
            <c:bubble3D val="0"/>
            <c:extLst>
              <c:ext xmlns:c16="http://schemas.microsoft.com/office/drawing/2014/chart" uri="{C3380CC4-5D6E-409C-BE32-E72D297353CC}">
                <c16:uniqueId val="{00000006-1DBD-4110-97FC-500F61706775}"/>
              </c:ext>
            </c:extLst>
          </c:dPt>
          <c:dPt>
            <c:idx val="13"/>
            <c:invertIfNegative val="0"/>
            <c:bubble3D val="0"/>
            <c:extLst>
              <c:ext xmlns:c16="http://schemas.microsoft.com/office/drawing/2014/chart" uri="{C3380CC4-5D6E-409C-BE32-E72D297353CC}">
                <c16:uniqueId val="{00000007-1DBD-4110-97FC-500F61706775}"/>
              </c:ext>
            </c:extLst>
          </c:dPt>
          <c:dPt>
            <c:idx val="14"/>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1DBD-4110-97FC-500F61706775}"/>
              </c:ext>
            </c:extLst>
          </c:dPt>
          <c:dPt>
            <c:idx val="1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1DBD-4110-97FC-500F61706775}"/>
              </c:ext>
            </c:extLst>
          </c:dPt>
          <c:dPt>
            <c:idx val="1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D-1DBD-4110-97FC-500F61706775}"/>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List1!$A$2:$A$18</c:f>
              <c:strCache>
                <c:ptCount val="17"/>
                <c:pt idx="0">
                  <c:v>Přítluky</c:v>
                </c:pt>
                <c:pt idx="1">
                  <c:v>Velké Bílovice</c:v>
                </c:pt>
                <c:pt idx="2">
                  <c:v>Zaječí</c:v>
                </c:pt>
                <c:pt idx="3">
                  <c:v>Hrušky</c:v>
                </c:pt>
                <c:pt idx="4">
                  <c:v>Kostice</c:v>
                </c:pt>
                <c:pt idx="5">
                  <c:v>Lanžhot</c:v>
                </c:pt>
                <c:pt idx="6">
                  <c:v>Moravská Nová Ves</c:v>
                </c:pt>
                <c:pt idx="7">
                  <c:v>Moravský Žižkov</c:v>
                </c:pt>
                <c:pt idx="8">
                  <c:v>Hlohovec</c:v>
                </c:pt>
                <c:pt idx="9">
                  <c:v>Rakvice</c:v>
                </c:pt>
                <c:pt idx="10">
                  <c:v>Týnec</c:v>
                </c:pt>
                <c:pt idx="11">
                  <c:v>Lednice</c:v>
                </c:pt>
                <c:pt idx="12">
                  <c:v>Valtice</c:v>
                </c:pt>
                <c:pt idx="13">
                  <c:v>Břeclav</c:v>
                </c:pt>
                <c:pt idx="14">
                  <c:v>Tvrdonice</c:v>
                </c:pt>
                <c:pt idx="15">
                  <c:v>Ladná</c:v>
                </c:pt>
                <c:pt idx="16">
                  <c:v>Podivín</c:v>
                </c:pt>
              </c:strCache>
            </c:strRef>
          </c:cat>
          <c:val>
            <c:numRef>
              <c:f>List1!$B$2:$B$18</c:f>
              <c:numCache>
                <c:formatCode>0.0%</c:formatCode>
                <c:ptCount val="17"/>
                <c:pt idx="0">
                  <c:v>1.2999999999999999E-2</c:v>
                </c:pt>
                <c:pt idx="1">
                  <c:v>1.6E-2</c:v>
                </c:pt>
                <c:pt idx="2">
                  <c:v>1.6E-2</c:v>
                </c:pt>
                <c:pt idx="3">
                  <c:v>1.7999999999999999E-2</c:v>
                </c:pt>
                <c:pt idx="4">
                  <c:v>1.9E-2</c:v>
                </c:pt>
                <c:pt idx="5">
                  <c:v>2.1000000000000001E-2</c:v>
                </c:pt>
                <c:pt idx="6">
                  <c:v>2.1000000000000001E-2</c:v>
                </c:pt>
                <c:pt idx="7">
                  <c:v>2.5000000000000001E-2</c:v>
                </c:pt>
                <c:pt idx="8">
                  <c:v>2.8000000000000001E-2</c:v>
                </c:pt>
                <c:pt idx="9">
                  <c:v>3.2000000000000001E-2</c:v>
                </c:pt>
                <c:pt idx="10">
                  <c:v>3.5999999999999997E-2</c:v>
                </c:pt>
                <c:pt idx="11">
                  <c:v>3.6999999999999998E-2</c:v>
                </c:pt>
                <c:pt idx="12">
                  <c:v>0.04</c:v>
                </c:pt>
                <c:pt idx="13">
                  <c:v>4.2000000000000003E-2</c:v>
                </c:pt>
                <c:pt idx="14">
                  <c:v>4.2000000000000003E-2</c:v>
                </c:pt>
                <c:pt idx="15">
                  <c:v>4.3999999999999997E-2</c:v>
                </c:pt>
                <c:pt idx="16">
                  <c:v>4.4999999999999998E-2</c:v>
                </c:pt>
              </c:numCache>
            </c:numRef>
          </c:val>
          <c:extLst>
            <c:ext xmlns:c16="http://schemas.microsoft.com/office/drawing/2014/chart" uri="{C3380CC4-5D6E-409C-BE32-E72D297353CC}">
              <c16:uniqueId val="{0000000E-1DBD-4110-97FC-500F61706775}"/>
            </c:ext>
          </c:extLst>
        </c:ser>
        <c:dLbls>
          <c:dLblPos val="inEnd"/>
          <c:showLegendKey val="0"/>
          <c:showVal val="1"/>
          <c:showCatName val="0"/>
          <c:showSerName val="0"/>
          <c:showPercent val="0"/>
          <c:showBubbleSize val="0"/>
        </c:dLbls>
        <c:gapWidth val="182"/>
        <c:overlap val="-50"/>
        <c:axId val="438166616"/>
        <c:axId val="438177984"/>
      </c:barChart>
      <c:catAx>
        <c:axId val="438166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7984"/>
        <c:crosses val="autoZero"/>
        <c:auto val="1"/>
        <c:lblAlgn val="ctr"/>
        <c:lblOffset val="100"/>
        <c:noMultiLvlLbl val="0"/>
      </c:catAx>
      <c:valAx>
        <c:axId val="438177984"/>
        <c:scaling>
          <c:orientation val="minMax"/>
          <c:max val="4.7000000000000007E-2"/>
          <c:min val="0"/>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66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b="1" i="0" baseline="0">
                <a:effectLst/>
              </a:rPr>
              <a:t>Podíl </a:t>
            </a:r>
            <a:r>
              <a:rPr lang="cs-CZ" sz="1000" b="1" i="0" baseline="0">
                <a:effectLst/>
              </a:rPr>
              <a:t>osob s jinou než českou státní příslušností </a:t>
            </a:r>
            <a:r>
              <a:rPr lang="en-US" sz="1000" b="1" i="0" baseline="0">
                <a:effectLst/>
              </a:rPr>
              <a:t> na celkovém počtu obyvatel</a:t>
            </a:r>
            <a:r>
              <a:rPr lang="cs-CZ" sz="1000" b="1" i="0" baseline="0">
                <a:effectLst/>
              </a:rPr>
              <a:t> k 1. 1. 2023</a:t>
            </a:r>
            <a:endParaRPr lang="en-US" sz="1000" b="1" i="0" baseline="0">
              <a:effectLst/>
            </a:endParaRPr>
          </a:p>
        </c:rich>
      </c:tx>
      <c:layout>
        <c:manualLayout>
          <c:xMode val="edge"/>
          <c:yMode val="edge"/>
          <c:x val="0.1102953623087863"/>
          <c:y val="2.9208964264082391E-3"/>
        </c:manualLayout>
      </c:layout>
      <c:overlay val="0"/>
      <c:spPr>
        <a:noFill/>
        <a:ln>
          <a:noFill/>
        </a:ln>
        <a:effectLst/>
      </c:spPr>
    </c:title>
    <c:autoTitleDeleted val="0"/>
    <c:plotArea>
      <c:layout>
        <c:manualLayout>
          <c:layoutTarget val="inner"/>
          <c:xMode val="edge"/>
          <c:yMode val="edge"/>
          <c:x val="0.17462296379619213"/>
          <c:y val="6.4234865109074474E-2"/>
          <c:w val="0.79363696278053353"/>
          <c:h val="0.86519136439912225"/>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17-42AD-4E3E-ABCD-A375CFD2CC1A}"/>
              </c:ext>
            </c:extLst>
          </c:dPt>
          <c:dPt>
            <c:idx val="1"/>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0-42AD-4E3E-ABCD-A375CFD2CC1A}"/>
              </c:ext>
            </c:extLst>
          </c:dPt>
          <c:dPt>
            <c:idx val="2"/>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16-42AD-4E3E-ABCD-A375CFD2CC1A}"/>
              </c:ext>
            </c:extLst>
          </c:dPt>
          <c:dPt>
            <c:idx val="3"/>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1-42AD-4E3E-ABCD-A375CFD2CC1A}"/>
              </c:ext>
            </c:extLst>
          </c:dPt>
          <c:dPt>
            <c:idx val="4"/>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2-42AD-4E3E-ABCD-A375CFD2CC1A}"/>
              </c:ext>
            </c:extLst>
          </c:dPt>
          <c:dPt>
            <c:idx val="5"/>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3-42AD-4E3E-ABCD-A375CFD2CC1A}"/>
              </c:ext>
            </c:extLst>
          </c:dPt>
          <c:dPt>
            <c:idx val="6"/>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4-42AD-4E3E-ABCD-A375CFD2CC1A}"/>
              </c:ext>
            </c:extLst>
          </c:dPt>
          <c:dPt>
            <c:idx val="7"/>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5-42AD-4E3E-ABCD-A375CFD2CC1A}"/>
              </c:ext>
            </c:extLst>
          </c:dPt>
          <c:dPt>
            <c:idx val="8"/>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15-42AD-4E3E-ABCD-A375CFD2CC1A}"/>
              </c:ext>
            </c:extLst>
          </c:dPt>
          <c:dPt>
            <c:idx val="9"/>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6-42AD-4E3E-ABCD-A375CFD2CC1A}"/>
              </c:ext>
            </c:extLst>
          </c:dPt>
          <c:dPt>
            <c:idx val="10"/>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14-42AD-4E3E-ABCD-A375CFD2CC1A}"/>
              </c:ext>
            </c:extLst>
          </c:dPt>
          <c:dPt>
            <c:idx val="11"/>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13-42AD-4E3E-ABCD-A375CFD2CC1A}"/>
              </c:ext>
            </c:extLst>
          </c:dPt>
          <c:dPt>
            <c:idx val="12"/>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12-42AD-4E3E-ABCD-A375CFD2CC1A}"/>
              </c:ext>
            </c:extLst>
          </c:dPt>
          <c:dPt>
            <c:idx val="13"/>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8-42AD-4E3E-ABCD-A375CFD2CC1A}"/>
              </c:ext>
            </c:extLst>
          </c:dPt>
          <c:dPt>
            <c:idx val="14"/>
            <c:invertIfNegative val="0"/>
            <c:bubble3D val="0"/>
            <c:spPr>
              <a:solidFill>
                <a:schemeClr val="accent1">
                  <a:lumMod val="50000"/>
                </a:schemeClr>
              </a:solidFill>
              <a:ln w="9525" cap="flat" cmpd="sng" algn="ctr">
                <a:noFill/>
                <a:miter lim="800000"/>
              </a:ln>
              <a:effectLst/>
            </c:spPr>
            <c:extLst>
              <c:ext xmlns:c16="http://schemas.microsoft.com/office/drawing/2014/chart" uri="{C3380CC4-5D6E-409C-BE32-E72D297353CC}">
                <c16:uniqueId val="{0000000A-42AD-4E3E-ABCD-A375CFD2CC1A}"/>
              </c:ext>
            </c:extLst>
          </c:dPt>
          <c:dPt>
            <c:idx val="1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C-42AD-4E3E-ABCD-A375CFD2CC1A}"/>
              </c:ext>
            </c:extLst>
          </c:dPt>
          <c:dPt>
            <c:idx val="1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E-42AD-4E3E-ABCD-A375CFD2CC1A}"/>
              </c:ext>
            </c:extLst>
          </c:dPt>
          <c:dPt>
            <c:idx val="1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0-42AD-4E3E-ABCD-A375CFD2CC1A}"/>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List1!$A$2:$A$19</c:f>
              <c:strCache>
                <c:ptCount val="18"/>
                <c:pt idx="0">
                  <c:v>Bulhary</c:v>
                </c:pt>
                <c:pt idx="1">
                  <c:v>Kostice</c:v>
                </c:pt>
                <c:pt idx="2">
                  <c:v>Hrušky</c:v>
                </c:pt>
                <c:pt idx="3">
                  <c:v>Moravská Nová Ves</c:v>
                </c:pt>
                <c:pt idx="4">
                  <c:v>Moravský Žižkov</c:v>
                </c:pt>
                <c:pt idx="5">
                  <c:v>Lanžhot</c:v>
                </c:pt>
                <c:pt idx="6">
                  <c:v>Velké Bílovice</c:v>
                </c:pt>
                <c:pt idx="7">
                  <c:v>Zaječí</c:v>
                </c:pt>
                <c:pt idx="8">
                  <c:v>Týnec</c:v>
                </c:pt>
                <c:pt idx="9">
                  <c:v>Hlohovec</c:v>
                </c:pt>
                <c:pt idx="10">
                  <c:v>Valtice</c:v>
                </c:pt>
                <c:pt idx="11">
                  <c:v>Tvrdonice</c:v>
                </c:pt>
                <c:pt idx="12">
                  <c:v>Podivín</c:v>
                </c:pt>
                <c:pt idx="13">
                  <c:v>Břeclav</c:v>
                </c:pt>
                <c:pt idx="14">
                  <c:v>Přítluky</c:v>
                </c:pt>
                <c:pt idx="15">
                  <c:v>Ladná</c:v>
                </c:pt>
                <c:pt idx="16">
                  <c:v>Rakvice</c:v>
                </c:pt>
                <c:pt idx="17">
                  <c:v>Lednice</c:v>
                </c:pt>
              </c:strCache>
            </c:strRef>
          </c:cat>
          <c:val>
            <c:numRef>
              <c:f>List1!$B$2:$B$19</c:f>
              <c:numCache>
                <c:formatCode>0.0%</c:formatCode>
                <c:ptCount val="18"/>
                <c:pt idx="0">
                  <c:v>1.6282225237449117E-2</c:v>
                </c:pt>
                <c:pt idx="1">
                  <c:v>2.7041357370095439E-2</c:v>
                </c:pt>
                <c:pt idx="2">
                  <c:v>2.8905289052890529E-2</c:v>
                </c:pt>
                <c:pt idx="3">
                  <c:v>3.0572755417956655E-2</c:v>
                </c:pt>
                <c:pt idx="4">
                  <c:v>3.5738831615120273E-2</c:v>
                </c:pt>
                <c:pt idx="5">
                  <c:v>3.6873968079251515E-2</c:v>
                </c:pt>
                <c:pt idx="6">
                  <c:v>4.2603240982749611E-2</c:v>
                </c:pt>
                <c:pt idx="7">
                  <c:v>4.4195250659630606E-2</c:v>
                </c:pt>
                <c:pt idx="8">
                  <c:v>5.111524163568773E-2</c:v>
                </c:pt>
                <c:pt idx="9">
                  <c:v>6.0725552050473183E-2</c:v>
                </c:pt>
                <c:pt idx="10">
                  <c:v>7.4755606670500283E-2</c:v>
                </c:pt>
                <c:pt idx="11">
                  <c:v>7.4963253307202354E-2</c:v>
                </c:pt>
                <c:pt idx="12">
                  <c:v>7.9525636553889084E-2</c:v>
                </c:pt>
                <c:pt idx="13">
                  <c:v>9.1161382558237317E-2</c:v>
                </c:pt>
                <c:pt idx="14">
                  <c:v>0.11695137976346912</c:v>
                </c:pt>
                <c:pt idx="15">
                  <c:v>0.11943986820428336</c:v>
                </c:pt>
                <c:pt idx="16">
                  <c:v>0.12435476302205538</c:v>
                </c:pt>
                <c:pt idx="17">
                  <c:v>0.13261480787253982</c:v>
                </c:pt>
              </c:numCache>
            </c:numRef>
          </c:val>
          <c:extLst>
            <c:ext xmlns:c16="http://schemas.microsoft.com/office/drawing/2014/chart" uri="{C3380CC4-5D6E-409C-BE32-E72D297353CC}">
              <c16:uniqueId val="{00000011-42AD-4E3E-ABCD-A375CFD2CC1A}"/>
            </c:ext>
          </c:extLst>
        </c:ser>
        <c:dLbls>
          <c:dLblPos val="inEnd"/>
          <c:showLegendKey val="0"/>
          <c:showVal val="1"/>
          <c:showCatName val="0"/>
          <c:showSerName val="0"/>
          <c:showPercent val="0"/>
          <c:showBubbleSize val="0"/>
        </c:dLbls>
        <c:gapWidth val="182"/>
        <c:overlap val="-50"/>
        <c:axId val="438174064"/>
        <c:axId val="438170144"/>
      </c:barChart>
      <c:catAx>
        <c:axId val="438174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0144"/>
        <c:crosses val="autoZero"/>
        <c:auto val="1"/>
        <c:lblAlgn val="ctr"/>
        <c:lblOffset val="100"/>
        <c:noMultiLvlLbl val="0"/>
      </c:catAx>
      <c:valAx>
        <c:axId val="438170144"/>
        <c:scaling>
          <c:orientation val="minMax"/>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4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a:t>
            </a:r>
            <a:r>
              <a:rPr lang="cs-CZ" sz="1000" baseline="0"/>
              <a:t> p</a:t>
            </a:r>
            <a:r>
              <a:rPr lang="en-US" sz="1000"/>
              <a:t>odíl</a:t>
            </a:r>
            <a:r>
              <a:rPr lang="cs-CZ" sz="1000"/>
              <a:t>u</a:t>
            </a:r>
            <a:r>
              <a:rPr lang="cs-CZ" sz="1000" baseline="0"/>
              <a:t> </a:t>
            </a:r>
            <a:r>
              <a:rPr lang="cs-CZ" sz="1000" b="1" i="0" u="none" strike="noStrike" cap="none" baseline="0">
                <a:effectLst/>
              </a:rPr>
              <a:t>osob s jinou než českou státní příslušností</a:t>
            </a:r>
            <a:r>
              <a:rPr lang="en-US" sz="1000"/>
              <a:t> na celkovém počtu obyvatel</a:t>
            </a:r>
            <a:r>
              <a:rPr lang="cs-CZ" sz="1000"/>
              <a:t> </a:t>
            </a:r>
            <a:r>
              <a:rPr lang="cs-CZ" sz="1000" b="1" i="0" u="none" strike="noStrike" cap="none" baseline="0">
                <a:effectLst/>
              </a:rPr>
              <a:t>obce Lednice </a:t>
            </a:r>
            <a:r>
              <a:rPr lang="cs-CZ" sz="1000"/>
              <a:t>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6.5622873529697673E-2"/>
          <c:y val="0.21521057699530838"/>
          <c:w val="0.89049493813273339"/>
          <c:h val="0.59962781105093865"/>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7178-4111-BC14-6ECC4B8A441E}"/>
              </c:ext>
            </c:extLst>
          </c:dPt>
          <c:dPt>
            <c:idx val="2"/>
            <c:invertIfNegative val="0"/>
            <c:bubble3D val="0"/>
            <c:extLst>
              <c:ext xmlns:c16="http://schemas.microsoft.com/office/drawing/2014/chart" uri="{C3380CC4-5D6E-409C-BE32-E72D297353CC}">
                <c16:uniqueId val="{00000001-7178-4111-BC14-6ECC4B8A441E}"/>
              </c:ext>
            </c:extLst>
          </c:dPt>
          <c:dPt>
            <c:idx val="3"/>
            <c:invertIfNegative val="0"/>
            <c:bubble3D val="0"/>
            <c:extLst>
              <c:ext xmlns:c16="http://schemas.microsoft.com/office/drawing/2014/chart" uri="{C3380CC4-5D6E-409C-BE32-E72D297353CC}">
                <c16:uniqueId val="{00000002-7178-4111-BC14-6ECC4B8A441E}"/>
              </c:ext>
            </c:extLst>
          </c:dPt>
          <c:dPt>
            <c:idx val="4"/>
            <c:invertIfNegative val="0"/>
            <c:bubble3D val="0"/>
            <c:extLst>
              <c:ext xmlns:c16="http://schemas.microsoft.com/office/drawing/2014/chart" uri="{C3380CC4-5D6E-409C-BE32-E72D297353CC}">
                <c16:uniqueId val="{00000003-7178-4111-BC14-6ECC4B8A441E}"/>
              </c:ext>
            </c:extLst>
          </c:dPt>
          <c:dPt>
            <c:idx val="5"/>
            <c:invertIfNegative val="0"/>
            <c:bubble3D val="0"/>
            <c:spPr>
              <a:solidFill>
                <a:schemeClr val="accent1">
                  <a:lumMod val="75000"/>
                </a:schemeClr>
              </a:solidFill>
              <a:ln w="9525" cap="flat" cmpd="sng" algn="ctr">
                <a:noFill/>
                <a:miter lim="800000"/>
              </a:ln>
              <a:effectLst/>
            </c:spPr>
            <c:extLst>
              <c:ext xmlns:c16="http://schemas.microsoft.com/office/drawing/2014/chart" uri="{C3380CC4-5D6E-409C-BE32-E72D297353CC}">
                <c16:uniqueId val="{00000005-7178-4111-BC14-6ECC4B8A441E}"/>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7178-4111-BC14-6ECC4B8A441E}"/>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7178-4111-BC14-6ECC4B8A441E}"/>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c:formatCode>
                <c:ptCount val="7"/>
                <c:pt idx="0">
                  <c:v>1.5002143163309001E-2</c:v>
                </c:pt>
                <c:pt idx="1">
                  <c:v>1.8981880931837791E-2</c:v>
                </c:pt>
                <c:pt idx="2">
                  <c:v>1.8835616438356163E-2</c:v>
                </c:pt>
                <c:pt idx="3">
                  <c:v>3.6971830985915492E-2</c:v>
                </c:pt>
                <c:pt idx="4">
                  <c:v>3.6061026352288486E-2</c:v>
                </c:pt>
                <c:pt idx="5">
                  <c:v>3.6999999999999998E-2</c:v>
                </c:pt>
                <c:pt idx="6">
                  <c:v>0.13300000000000001</c:v>
                </c:pt>
              </c:numCache>
            </c:numRef>
          </c:val>
          <c:extLst>
            <c:ext xmlns:c16="http://schemas.microsoft.com/office/drawing/2014/chart" uri="{C3380CC4-5D6E-409C-BE32-E72D297353CC}">
              <c16:uniqueId val="{0000000A-7178-4111-BC14-6ECC4B8A441E}"/>
            </c:ext>
          </c:extLst>
        </c:ser>
        <c:dLbls>
          <c:dLblPos val="inEnd"/>
          <c:showLegendKey val="0"/>
          <c:showVal val="1"/>
          <c:showCatName val="0"/>
          <c:showSerName val="0"/>
          <c:showPercent val="0"/>
          <c:showBubbleSize val="0"/>
        </c:dLbls>
        <c:gapWidth val="182"/>
        <c:overlap val="-50"/>
        <c:axId val="438175240"/>
        <c:axId val="438171712"/>
      </c:barChart>
      <c:catAx>
        <c:axId val="438175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1712"/>
        <c:crosses val="autoZero"/>
        <c:auto val="1"/>
        <c:lblAlgn val="ctr"/>
        <c:lblOffset val="100"/>
        <c:noMultiLvlLbl val="0"/>
      </c:catAx>
      <c:valAx>
        <c:axId val="438171712"/>
        <c:scaling>
          <c:orientation val="minMax"/>
          <c:min val="1.0000000000000002E-2"/>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5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a:t>
            </a:r>
            <a:r>
              <a:rPr lang="cs-CZ" sz="1000" baseline="0"/>
              <a:t> p</a:t>
            </a:r>
            <a:r>
              <a:rPr lang="en-US" sz="1000"/>
              <a:t>odíl</a:t>
            </a:r>
            <a:r>
              <a:rPr lang="cs-CZ" sz="1000"/>
              <a:t>u</a:t>
            </a:r>
            <a:r>
              <a:rPr lang="cs-CZ" sz="1000" baseline="0"/>
              <a:t> </a:t>
            </a:r>
            <a:r>
              <a:rPr lang="cs-CZ" sz="1000" b="1" i="0" u="none" strike="noStrike" cap="none" baseline="0">
                <a:effectLst/>
              </a:rPr>
              <a:t>osob s jinou než českou státní příslušností</a:t>
            </a:r>
            <a:r>
              <a:rPr lang="en-US" sz="1000"/>
              <a:t> na celkovém počtu obyvatel</a:t>
            </a:r>
            <a:r>
              <a:rPr lang="cs-CZ" sz="1000"/>
              <a:t> </a:t>
            </a:r>
            <a:r>
              <a:rPr lang="cs-CZ" sz="1000" b="1" i="0" u="none" strike="noStrike" cap="none" baseline="0">
                <a:effectLst/>
              </a:rPr>
              <a:t>obce Rakvice </a:t>
            </a:r>
            <a:r>
              <a:rPr lang="cs-CZ" sz="1000"/>
              <a:t>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6.5622873529697673E-2"/>
          <c:y val="0.21521057699530838"/>
          <c:w val="0.89049493813273339"/>
          <c:h val="0.59962781105093865"/>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accent1">
                <a:lumMod val="75000"/>
              </a:schemeClr>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1D7B-4C8C-B160-8A069F346ED7}"/>
              </c:ext>
            </c:extLst>
          </c:dPt>
          <c:dPt>
            <c:idx val="2"/>
            <c:invertIfNegative val="0"/>
            <c:bubble3D val="0"/>
            <c:extLst>
              <c:ext xmlns:c16="http://schemas.microsoft.com/office/drawing/2014/chart" uri="{C3380CC4-5D6E-409C-BE32-E72D297353CC}">
                <c16:uniqueId val="{00000001-1D7B-4C8C-B160-8A069F346ED7}"/>
              </c:ext>
            </c:extLst>
          </c:dPt>
          <c:dPt>
            <c:idx val="3"/>
            <c:invertIfNegative val="0"/>
            <c:bubble3D val="0"/>
            <c:extLst>
              <c:ext xmlns:c16="http://schemas.microsoft.com/office/drawing/2014/chart" uri="{C3380CC4-5D6E-409C-BE32-E72D297353CC}">
                <c16:uniqueId val="{00000002-1D7B-4C8C-B160-8A069F346ED7}"/>
              </c:ext>
            </c:extLst>
          </c:dPt>
          <c:dPt>
            <c:idx val="4"/>
            <c:invertIfNegative val="0"/>
            <c:bubble3D val="0"/>
            <c:extLst>
              <c:ext xmlns:c16="http://schemas.microsoft.com/office/drawing/2014/chart" uri="{C3380CC4-5D6E-409C-BE32-E72D297353CC}">
                <c16:uniqueId val="{00000003-1D7B-4C8C-B160-8A069F346ED7}"/>
              </c:ext>
            </c:extLst>
          </c:dPt>
          <c:dPt>
            <c:idx val="5"/>
            <c:invertIfNegative val="0"/>
            <c:bubble3D val="0"/>
            <c:spPr>
              <a:solidFill>
                <a:schemeClr val="accent1">
                  <a:lumMod val="75000"/>
                </a:schemeClr>
              </a:solidFill>
              <a:ln w="9525" cap="flat" cmpd="sng" algn="ctr">
                <a:noFill/>
                <a:miter lim="800000"/>
              </a:ln>
              <a:effectLst/>
            </c:spPr>
            <c:extLst>
              <c:ext xmlns:c16="http://schemas.microsoft.com/office/drawing/2014/chart" uri="{C3380CC4-5D6E-409C-BE32-E72D297353CC}">
                <c16:uniqueId val="{00000005-1D7B-4C8C-B160-8A069F346ED7}"/>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1D7B-4C8C-B160-8A069F346ED7}"/>
              </c:ext>
            </c:extLst>
          </c:dPt>
          <c:dPt>
            <c:idx val="7"/>
            <c:invertIfNegative val="0"/>
            <c:bubble3D val="0"/>
            <c:spPr>
              <a:solidFill>
                <a:schemeClr val="accent1">
                  <a:lumMod val="75000"/>
                </a:schemeClr>
              </a:solidFill>
              <a:ln w="9525" cap="flat" cmpd="sng" algn="ctr">
                <a:noFill/>
                <a:miter lim="800000"/>
              </a:ln>
              <a:effectLst/>
            </c:spPr>
            <c:extLst>
              <c:ext xmlns:c16="http://schemas.microsoft.com/office/drawing/2014/chart" uri="{C3380CC4-5D6E-409C-BE32-E72D297353CC}">
                <c16:uniqueId val="{00000009-1D7B-4C8C-B160-8A069F346ED7}"/>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c:formatCode>
                <c:ptCount val="7"/>
                <c:pt idx="0">
                  <c:v>2.3469857340082834E-2</c:v>
                </c:pt>
                <c:pt idx="1">
                  <c:v>2.6387625113739762E-2</c:v>
                </c:pt>
                <c:pt idx="2">
                  <c:v>2.3842274186153142E-2</c:v>
                </c:pt>
                <c:pt idx="3">
                  <c:v>3.8689121529358217E-2</c:v>
                </c:pt>
                <c:pt idx="4">
                  <c:v>3.5648148148148151E-2</c:v>
                </c:pt>
                <c:pt idx="5">
                  <c:v>3.2000000000000001E-2</c:v>
                </c:pt>
                <c:pt idx="6">
                  <c:v>0.124</c:v>
                </c:pt>
              </c:numCache>
            </c:numRef>
          </c:val>
          <c:extLst>
            <c:ext xmlns:c16="http://schemas.microsoft.com/office/drawing/2014/chart" uri="{C3380CC4-5D6E-409C-BE32-E72D297353CC}">
              <c16:uniqueId val="{0000000A-1D7B-4C8C-B160-8A069F346ED7}"/>
            </c:ext>
          </c:extLst>
        </c:ser>
        <c:dLbls>
          <c:dLblPos val="inEnd"/>
          <c:showLegendKey val="0"/>
          <c:showVal val="1"/>
          <c:showCatName val="0"/>
          <c:showSerName val="0"/>
          <c:showPercent val="0"/>
          <c:showBubbleSize val="0"/>
        </c:dLbls>
        <c:gapWidth val="182"/>
        <c:overlap val="-50"/>
        <c:axId val="438168968"/>
        <c:axId val="438172104"/>
      </c:barChart>
      <c:catAx>
        <c:axId val="438168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2104"/>
        <c:crosses val="autoZero"/>
        <c:auto val="1"/>
        <c:lblAlgn val="ctr"/>
        <c:lblOffset val="100"/>
        <c:noMultiLvlLbl val="0"/>
      </c:catAx>
      <c:valAx>
        <c:axId val="438172104"/>
        <c:scaling>
          <c:orientation val="minMax"/>
          <c:min val="0"/>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68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a:t>
            </a:r>
            <a:r>
              <a:rPr lang="cs-CZ" sz="1000" baseline="0"/>
              <a:t> p</a:t>
            </a:r>
            <a:r>
              <a:rPr lang="en-US" sz="1000"/>
              <a:t>odíl</a:t>
            </a:r>
            <a:r>
              <a:rPr lang="cs-CZ" sz="1000"/>
              <a:t>u</a:t>
            </a:r>
            <a:r>
              <a:rPr lang="cs-CZ" sz="1000" baseline="0"/>
              <a:t> </a:t>
            </a:r>
            <a:r>
              <a:rPr lang="cs-CZ" sz="1000" b="1" i="0" u="none" strike="noStrike" cap="none" baseline="0">
                <a:effectLst/>
              </a:rPr>
              <a:t>osob s jinou než českou státní příslušností</a:t>
            </a:r>
            <a:r>
              <a:rPr lang="en-US" sz="1000"/>
              <a:t> na celkovém počtu obyvatel</a:t>
            </a:r>
            <a:r>
              <a:rPr lang="cs-CZ" sz="1000"/>
              <a:t> </a:t>
            </a:r>
            <a:r>
              <a:rPr lang="cs-CZ" sz="1000" b="1" i="0" u="none" strike="noStrike" cap="none" baseline="0">
                <a:effectLst/>
              </a:rPr>
              <a:t>obce Ladná </a:t>
            </a:r>
            <a:r>
              <a:rPr lang="cs-CZ" sz="1000"/>
              <a:t>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6.5622873529697673E-2"/>
          <c:y val="0.21521057699530838"/>
          <c:w val="0.89049493813273339"/>
          <c:h val="0.59962781105093865"/>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accent1">
                <a:lumMod val="75000"/>
              </a:schemeClr>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3BC5-454B-B0C2-931A9EB82214}"/>
              </c:ext>
            </c:extLst>
          </c:dPt>
          <c:dPt>
            <c:idx val="2"/>
            <c:invertIfNegative val="0"/>
            <c:bubble3D val="0"/>
            <c:extLst>
              <c:ext xmlns:c16="http://schemas.microsoft.com/office/drawing/2014/chart" uri="{C3380CC4-5D6E-409C-BE32-E72D297353CC}">
                <c16:uniqueId val="{00000001-3BC5-454B-B0C2-931A9EB82214}"/>
              </c:ext>
            </c:extLst>
          </c:dPt>
          <c:dPt>
            <c:idx val="3"/>
            <c:invertIfNegative val="0"/>
            <c:bubble3D val="0"/>
            <c:extLst>
              <c:ext xmlns:c16="http://schemas.microsoft.com/office/drawing/2014/chart" uri="{C3380CC4-5D6E-409C-BE32-E72D297353CC}">
                <c16:uniqueId val="{00000002-3BC5-454B-B0C2-931A9EB82214}"/>
              </c:ext>
            </c:extLst>
          </c:dPt>
          <c:dPt>
            <c:idx val="4"/>
            <c:invertIfNegative val="0"/>
            <c:bubble3D val="0"/>
            <c:extLst>
              <c:ext xmlns:c16="http://schemas.microsoft.com/office/drawing/2014/chart" uri="{C3380CC4-5D6E-409C-BE32-E72D297353CC}">
                <c16:uniqueId val="{00000003-3BC5-454B-B0C2-931A9EB82214}"/>
              </c:ext>
            </c:extLst>
          </c:dPt>
          <c:dPt>
            <c:idx val="5"/>
            <c:invertIfNegative val="0"/>
            <c:bubble3D val="0"/>
            <c:spPr>
              <a:solidFill>
                <a:schemeClr val="accent1">
                  <a:lumMod val="75000"/>
                </a:schemeClr>
              </a:solidFill>
              <a:ln w="9525" cap="flat" cmpd="sng" algn="ctr">
                <a:noFill/>
                <a:miter lim="800000"/>
              </a:ln>
              <a:effectLst/>
            </c:spPr>
            <c:extLst>
              <c:ext xmlns:c16="http://schemas.microsoft.com/office/drawing/2014/chart" uri="{C3380CC4-5D6E-409C-BE32-E72D297353CC}">
                <c16:uniqueId val="{00000005-3BC5-454B-B0C2-931A9EB82214}"/>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3BC5-454B-B0C2-931A9EB82214}"/>
              </c:ext>
            </c:extLst>
          </c:dPt>
          <c:dPt>
            <c:idx val="7"/>
            <c:invertIfNegative val="0"/>
            <c:bubble3D val="0"/>
            <c:spPr>
              <a:solidFill>
                <a:schemeClr val="accent1">
                  <a:lumMod val="75000"/>
                </a:schemeClr>
              </a:solidFill>
              <a:ln w="9525" cap="flat" cmpd="sng" algn="ctr">
                <a:noFill/>
                <a:miter lim="800000"/>
              </a:ln>
              <a:effectLst/>
            </c:spPr>
            <c:extLst>
              <c:ext xmlns:c16="http://schemas.microsoft.com/office/drawing/2014/chart" uri="{C3380CC4-5D6E-409C-BE32-E72D297353CC}">
                <c16:uniqueId val="{00000009-3BC5-454B-B0C2-931A9EB82214}"/>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0.00%</c:formatCode>
                <c:ptCount val="7"/>
                <c:pt idx="0">
                  <c:v>0</c:v>
                </c:pt>
                <c:pt idx="1">
                  <c:v>2.5000000000000001E-2</c:v>
                </c:pt>
                <c:pt idx="2">
                  <c:v>1.9E-2</c:v>
                </c:pt>
                <c:pt idx="3">
                  <c:v>3.1E-2</c:v>
                </c:pt>
                <c:pt idx="4">
                  <c:v>4.7E-2</c:v>
                </c:pt>
                <c:pt idx="5">
                  <c:v>4.3999999999999997E-2</c:v>
                </c:pt>
                <c:pt idx="6">
                  <c:v>0.11899999999999999</c:v>
                </c:pt>
              </c:numCache>
            </c:numRef>
          </c:val>
          <c:extLst>
            <c:ext xmlns:c16="http://schemas.microsoft.com/office/drawing/2014/chart" uri="{C3380CC4-5D6E-409C-BE32-E72D297353CC}">
              <c16:uniqueId val="{0000000A-3BC5-454B-B0C2-931A9EB82214}"/>
            </c:ext>
          </c:extLst>
        </c:ser>
        <c:dLbls>
          <c:dLblPos val="inEnd"/>
          <c:showLegendKey val="0"/>
          <c:showVal val="1"/>
          <c:showCatName val="0"/>
          <c:showSerName val="0"/>
          <c:showPercent val="0"/>
          <c:showBubbleSize val="0"/>
        </c:dLbls>
        <c:gapWidth val="182"/>
        <c:overlap val="-50"/>
        <c:axId val="438172888"/>
        <c:axId val="438166224"/>
      </c:barChart>
      <c:catAx>
        <c:axId val="438172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66224"/>
        <c:crosses val="autoZero"/>
        <c:auto val="1"/>
        <c:lblAlgn val="ctr"/>
        <c:lblOffset val="100"/>
        <c:noMultiLvlLbl val="0"/>
      </c:catAx>
      <c:valAx>
        <c:axId val="438166224"/>
        <c:scaling>
          <c:orientation val="minMax"/>
          <c:min val="0"/>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2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a:effectLst/>
              </a:rPr>
              <a:t>Podíl osob s jinou než českou státní příslušností na celkovém počtu obyvatel ORP Kuřim v letech 2006-2023 </a:t>
            </a:r>
            <a:r>
              <a:rPr lang="cs-CZ" sz="1000" b="1" i="0" u="none" strike="noStrike" cap="none" baseline="0">
                <a:effectLst/>
              </a:rPr>
              <a:t>(data k 1. 1. daného roku)</a:t>
            </a:r>
            <a:endParaRPr lang="cs-CZ" sz="1000">
              <a:effectLst/>
            </a:endParaRPr>
          </a:p>
        </c:rich>
      </c:tx>
      <c:layout>
        <c:manualLayout>
          <c:xMode val="edge"/>
          <c:yMode val="edge"/>
          <c:x val="0.12213890148401944"/>
          <c:y val="8.994188226471696E-4"/>
        </c:manualLayout>
      </c:layout>
      <c:overlay val="0"/>
      <c:spPr>
        <a:noFill/>
        <a:ln>
          <a:noFill/>
        </a:ln>
        <a:effectLst/>
      </c:sp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428023420149403E-2"/>
          <c:y val="5.0415260592425945E-2"/>
          <c:w val="0.90254980146712427"/>
          <c:h val="0.88819436632920878"/>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5"/>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272-4666-B44A-372496AC2A9D}"/>
              </c:ext>
            </c:extLst>
          </c:dPt>
          <c:dPt>
            <c:idx val="16"/>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272-4666-B44A-372496AC2A9D}"/>
              </c:ext>
            </c:extLst>
          </c:dPt>
          <c:dPt>
            <c:idx val="17"/>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272-4666-B44A-372496AC2A9D}"/>
              </c:ext>
            </c:extLst>
          </c:dPt>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c:formatCode>
                <c:ptCount val="18"/>
                <c:pt idx="0">
                  <c:v>2.3E-2</c:v>
                </c:pt>
                <c:pt idx="1">
                  <c:v>2.1000000000000001E-2</c:v>
                </c:pt>
                <c:pt idx="2">
                  <c:v>2.7E-2</c:v>
                </c:pt>
                <c:pt idx="3">
                  <c:v>2.5000000000000001E-2</c:v>
                </c:pt>
                <c:pt idx="4">
                  <c:v>2.9000000000000001E-2</c:v>
                </c:pt>
                <c:pt idx="5">
                  <c:v>2.7E-2</c:v>
                </c:pt>
                <c:pt idx="6">
                  <c:v>2.5999999999999999E-2</c:v>
                </c:pt>
                <c:pt idx="7">
                  <c:v>0.02</c:v>
                </c:pt>
                <c:pt idx="8">
                  <c:v>1.9E-2</c:v>
                </c:pt>
                <c:pt idx="9">
                  <c:v>1.7999999999999999E-2</c:v>
                </c:pt>
                <c:pt idx="10">
                  <c:v>1.9E-2</c:v>
                </c:pt>
                <c:pt idx="11">
                  <c:v>1.9E-2</c:v>
                </c:pt>
                <c:pt idx="12">
                  <c:v>0.02</c:v>
                </c:pt>
                <c:pt idx="13">
                  <c:v>2.4E-2</c:v>
                </c:pt>
                <c:pt idx="14">
                  <c:v>0.03</c:v>
                </c:pt>
                <c:pt idx="15">
                  <c:v>3.9E-2</c:v>
                </c:pt>
                <c:pt idx="16">
                  <c:v>4.2999999999999997E-2</c:v>
                </c:pt>
                <c:pt idx="17">
                  <c:v>7.4999999999999997E-2</c:v>
                </c:pt>
              </c:numCache>
            </c:numRef>
          </c:val>
          <c:shape val="cylinder"/>
          <c:extLst>
            <c:ext xmlns:c16="http://schemas.microsoft.com/office/drawing/2014/chart" uri="{C3380CC4-5D6E-409C-BE32-E72D297353CC}">
              <c16:uniqueId val="{00000006-4272-4666-B44A-372496AC2A9D}"/>
            </c:ext>
          </c:extLst>
        </c:ser>
        <c:dLbls>
          <c:showLegendKey val="0"/>
          <c:showVal val="0"/>
          <c:showCatName val="0"/>
          <c:showSerName val="0"/>
          <c:showPercent val="0"/>
          <c:showBubbleSize val="0"/>
        </c:dLbls>
        <c:gapWidth val="95"/>
        <c:shape val="box"/>
        <c:axId val="438176808"/>
        <c:axId val="438167792"/>
        <c:axId val="0"/>
      </c:bar3DChart>
      <c:catAx>
        <c:axId val="438176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67792"/>
        <c:crosses val="autoZero"/>
        <c:auto val="1"/>
        <c:lblAlgn val="ctr"/>
        <c:lblOffset val="100"/>
        <c:noMultiLvlLbl val="0"/>
      </c:catAx>
      <c:valAx>
        <c:axId val="438167792"/>
        <c:scaling>
          <c:orientation val="minMax"/>
          <c:min val="3.0000000000000009E-3"/>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76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i="0" u="none" strike="noStrike" cap="none" baseline="0">
                <a:effectLst/>
              </a:rPr>
              <a:t>Osoby s jinou než českou státní příslušností v </a:t>
            </a:r>
            <a:r>
              <a:rPr lang="cs-CZ" sz="1000" b="1" cap="none" spc="0">
                <a:ln w="0"/>
                <a:solidFill>
                  <a:schemeClr val="tx1"/>
                </a:solidFill>
                <a:effectLst/>
              </a:rPr>
              <a:t>ORP Kuřim podle pohlaví</a:t>
            </a:r>
          </a:p>
        </c:rich>
      </c:tx>
      <c:layout>
        <c:manualLayout>
          <c:xMode val="edge"/>
          <c:yMode val="edge"/>
          <c:x val="0.17569089715672165"/>
          <c:y val="0"/>
        </c:manualLayout>
      </c:layout>
      <c:overlay val="0"/>
      <c:spPr>
        <a:noFill/>
        <a:ln>
          <a:noFill/>
        </a:ln>
        <a:effectLst/>
      </c:spPr>
    </c:title>
    <c:autoTitleDeleted val="0"/>
    <c:view3D>
      <c:rotX val="15"/>
      <c:rotY val="20"/>
      <c:depthPercent val="100"/>
      <c:rAngAx val="1"/>
    </c:view3D>
    <c:floor>
      <c:thickness val="0"/>
      <c:spPr>
        <a:solidFill>
          <a:schemeClr val="bg1">
            <a:lumMod val="95000"/>
            <a:alpha val="54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88698634892866E-2"/>
          <c:y val="2.1522553753305244E-2"/>
          <c:w val="0.90067873460261927"/>
          <c:h val="0.88511746352486975"/>
        </c:manualLayout>
      </c:layout>
      <c:bar3DChart>
        <c:barDir val="bar"/>
        <c:grouping val="stacked"/>
        <c:varyColors val="0"/>
        <c:ser>
          <c:idx val="0"/>
          <c:order val="0"/>
          <c:tx>
            <c:strRef>
              <c:f>List1!$B$1</c:f>
              <c:strCache>
                <c:ptCount val="1"/>
                <c:pt idx="0">
                  <c:v>muži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c:formatCode>
                <c:ptCount val="18"/>
                <c:pt idx="0">
                  <c:v>0.64800000000000002</c:v>
                </c:pt>
                <c:pt idx="1">
                  <c:v>0.66</c:v>
                </c:pt>
                <c:pt idx="2">
                  <c:v>0.64700000000000002</c:v>
                </c:pt>
                <c:pt idx="3">
                  <c:v>0.63500000000000001</c:v>
                </c:pt>
                <c:pt idx="4">
                  <c:v>0.60099999999999998</c:v>
                </c:pt>
                <c:pt idx="5">
                  <c:v>0.61099999999999999</c:v>
                </c:pt>
                <c:pt idx="6">
                  <c:v>0.60499999999999998</c:v>
                </c:pt>
                <c:pt idx="7">
                  <c:v>0.58599999999999997</c:v>
                </c:pt>
                <c:pt idx="8">
                  <c:v>0.57199999999999995</c:v>
                </c:pt>
                <c:pt idx="9">
                  <c:v>0.58399999999999996</c:v>
                </c:pt>
                <c:pt idx="10">
                  <c:v>0.55800000000000005</c:v>
                </c:pt>
                <c:pt idx="11">
                  <c:v>0.56100000000000005</c:v>
                </c:pt>
                <c:pt idx="12">
                  <c:v>0.56599999999999995</c:v>
                </c:pt>
                <c:pt idx="13">
                  <c:v>0.53900000000000003</c:v>
                </c:pt>
                <c:pt idx="14">
                  <c:v>0.51600000000000001</c:v>
                </c:pt>
                <c:pt idx="15">
                  <c:v>0.48799999999999999</c:v>
                </c:pt>
                <c:pt idx="16">
                  <c:v>0.47399999999999998</c:v>
                </c:pt>
                <c:pt idx="17">
                  <c:v>0.41799999999999998</c:v>
                </c:pt>
              </c:numCache>
            </c:numRef>
          </c:val>
          <c:extLst>
            <c:ext xmlns:c16="http://schemas.microsoft.com/office/drawing/2014/chart" uri="{C3380CC4-5D6E-409C-BE32-E72D297353CC}">
              <c16:uniqueId val="{00000000-8CAA-451B-BBCA-A378A155B9DA}"/>
            </c:ext>
          </c:extLst>
        </c:ser>
        <c:ser>
          <c:idx val="1"/>
          <c:order val="1"/>
          <c:tx>
            <c:strRef>
              <c:f>List1!$C$1</c:f>
              <c:strCache>
                <c:ptCount val="1"/>
                <c:pt idx="0">
                  <c:v>ženy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List1!$C$2:$C$19</c:f>
              <c:numCache>
                <c:formatCode>0.0%</c:formatCode>
                <c:ptCount val="18"/>
                <c:pt idx="0">
                  <c:v>0.35199999999999998</c:v>
                </c:pt>
                <c:pt idx="1">
                  <c:v>0.34</c:v>
                </c:pt>
                <c:pt idx="2">
                  <c:v>0.35299999999999998</c:v>
                </c:pt>
                <c:pt idx="3">
                  <c:v>0.36499999999999999</c:v>
                </c:pt>
                <c:pt idx="4">
                  <c:v>0.39900000000000002</c:v>
                </c:pt>
                <c:pt idx="5">
                  <c:v>0.38900000000000001</c:v>
                </c:pt>
                <c:pt idx="6">
                  <c:v>0.39500000000000002</c:v>
                </c:pt>
                <c:pt idx="7">
                  <c:v>0.41399999999999998</c:v>
                </c:pt>
                <c:pt idx="8">
                  <c:v>0.42799999999999999</c:v>
                </c:pt>
                <c:pt idx="9">
                  <c:v>0.41599999999999998</c:v>
                </c:pt>
                <c:pt idx="10">
                  <c:v>0.442</c:v>
                </c:pt>
                <c:pt idx="11">
                  <c:v>0.439</c:v>
                </c:pt>
                <c:pt idx="12">
                  <c:v>0.434</c:v>
                </c:pt>
                <c:pt idx="13">
                  <c:v>0.46100000000000002</c:v>
                </c:pt>
                <c:pt idx="14">
                  <c:v>0.48399999999999999</c:v>
                </c:pt>
                <c:pt idx="15">
                  <c:v>0.51200000000000001</c:v>
                </c:pt>
                <c:pt idx="16">
                  <c:v>0.52600000000000002</c:v>
                </c:pt>
                <c:pt idx="17">
                  <c:v>0.58199999999999996</c:v>
                </c:pt>
              </c:numCache>
            </c:numRef>
          </c:val>
          <c:extLst>
            <c:ext xmlns:c16="http://schemas.microsoft.com/office/drawing/2014/chart" uri="{C3380CC4-5D6E-409C-BE32-E72D297353CC}">
              <c16:uniqueId val="{00000001-8CAA-451B-BBCA-A378A155B9DA}"/>
            </c:ext>
          </c:extLst>
        </c:ser>
        <c:dLbls>
          <c:showLegendKey val="0"/>
          <c:showVal val="0"/>
          <c:showCatName val="0"/>
          <c:showSerName val="0"/>
          <c:showPercent val="0"/>
          <c:showBubbleSize val="0"/>
        </c:dLbls>
        <c:gapWidth val="72"/>
        <c:shape val="cylinder"/>
        <c:axId val="438169360"/>
        <c:axId val="438169752"/>
        <c:axId val="0"/>
      </c:bar3DChart>
      <c:catAx>
        <c:axId val="438169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69752"/>
        <c:crosses val="autoZero"/>
        <c:auto val="1"/>
        <c:lblAlgn val="ctr"/>
        <c:lblOffset val="100"/>
        <c:noMultiLvlLbl val="0"/>
      </c:catAx>
      <c:valAx>
        <c:axId val="43816975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69360"/>
        <c:crosses val="autoZero"/>
        <c:crossBetween val="between"/>
      </c:valAx>
      <c:spPr>
        <a:noFill/>
        <a:ln>
          <a:noFill/>
        </a:ln>
        <a:effectLst/>
      </c:spPr>
    </c:plotArea>
    <c:legend>
      <c:legendPos val="b"/>
      <c:layout>
        <c:manualLayout>
          <c:xMode val="edge"/>
          <c:yMode val="edge"/>
          <c:x val="0.41931841853101698"/>
          <c:y val="0.94390500890652762"/>
          <c:w val="0.18340897491980168"/>
          <c:h val="5.449081476091452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Arial Narrow" panose="020B0606020202030204" pitchFamily="34" charset="0"/>
                <a:ea typeface="+mn-ea"/>
                <a:cs typeface="+mn-cs"/>
              </a:defRPr>
            </a:pPr>
            <a:r>
              <a:rPr lang="cs-CZ" sz="1000" b="1" i="0" baseline="0">
                <a:effectLst/>
              </a:rPr>
              <a:t>Osoby s jinou než českou státní příslušností v Jihomoravském kraji k 31. 12. 2022                  - 30 nejčastějších zemí původu</a:t>
            </a:r>
          </a:p>
        </c:rich>
      </c:tx>
      <c:layout>
        <c:manualLayout>
          <c:xMode val="edge"/>
          <c:yMode val="edge"/>
          <c:x val="0.12824288077539403"/>
          <c:y val="1.7408493394392643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29172299704996"/>
          <c:y val="4.1911178466708394E-2"/>
          <c:w val="0.816187041348301"/>
          <c:h val="0.94200359107831189"/>
        </c:manualLayout>
      </c:layout>
      <c:bar3DChart>
        <c:barDir val="bar"/>
        <c:grouping val="clustered"/>
        <c:varyColors val="0"/>
        <c:ser>
          <c:idx val="0"/>
          <c:order val="0"/>
          <c:tx>
            <c:strRef>
              <c:f>List1!$B$1</c:f>
              <c:strCache>
                <c:ptCount val="1"/>
                <c:pt idx="0">
                  <c:v>Sloupec1</c:v>
                </c:pt>
              </c:strCache>
            </c:strRef>
          </c:tx>
          <c:spPr>
            <a:solidFill>
              <a:schemeClr val="accent1">
                <a:alpha val="97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0"/>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3F64-49CB-A0DE-40B391D8B9BC}"/>
              </c:ext>
            </c:extLst>
          </c:dPt>
          <c:dPt>
            <c:idx val="2"/>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3-3F64-49CB-A0DE-40B391D8B9BC}"/>
              </c:ext>
            </c:extLst>
          </c:dPt>
          <c:dPt>
            <c:idx val="3"/>
            <c:invertIfNegative val="0"/>
            <c:bubble3D val="0"/>
            <c:extLst>
              <c:ext xmlns:c16="http://schemas.microsoft.com/office/drawing/2014/chart" uri="{C3380CC4-5D6E-409C-BE32-E72D297353CC}">
                <c16:uniqueId val="{00000004-3F64-49CB-A0DE-40B391D8B9BC}"/>
              </c:ext>
            </c:extLst>
          </c:dPt>
          <c:dPt>
            <c:idx val="4"/>
            <c:invertIfNegative val="0"/>
            <c:bubble3D val="0"/>
            <c:extLst>
              <c:ext xmlns:c16="http://schemas.microsoft.com/office/drawing/2014/chart" uri="{C3380CC4-5D6E-409C-BE32-E72D297353CC}">
                <c16:uniqueId val="{00000005-3F64-49CB-A0DE-40B391D8B9BC}"/>
              </c:ext>
            </c:extLst>
          </c:dPt>
          <c:dPt>
            <c:idx val="8"/>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7-3F64-49CB-A0DE-40B391D8B9BC}"/>
              </c:ext>
            </c:extLst>
          </c:dPt>
          <c:dPt>
            <c:idx val="9"/>
            <c:invertIfNegative val="0"/>
            <c:bubble3D val="0"/>
            <c:extLst>
              <c:ext xmlns:c16="http://schemas.microsoft.com/office/drawing/2014/chart" uri="{C3380CC4-5D6E-409C-BE32-E72D297353CC}">
                <c16:uniqueId val="{00000008-3F64-49CB-A0DE-40B391D8B9BC}"/>
              </c:ext>
            </c:extLst>
          </c:dPt>
          <c:dPt>
            <c:idx val="10"/>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A-3F64-49CB-A0DE-40B391D8B9BC}"/>
              </c:ext>
            </c:extLst>
          </c:dPt>
          <c:dPt>
            <c:idx val="13"/>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C-3F64-49CB-A0DE-40B391D8B9BC}"/>
              </c:ext>
            </c:extLst>
          </c:dPt>
          <c:dPt>
            <c:idx val="14"/>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E-3F64-49CB-A0DE-40B391D8B9BC}"/>
              </c:ext>
            </c:extLst>
          </c:dPt>
          <c:dPt>
            <c:idx val="15"/>
            <c:invertIfNegative val="0"/>
            <c:bubble3D val="0"/>
            <c:extLst>
              <c:ext xmlns:c16="http://schemas.microsoft.com/office/drawing/2014/chart" uri="{C3380CC4-5D6E-409C-BE32-E72D297353CC}">
                <c16:uniqueId val="{0000000F-3F64-49CB-A0DE-40B391D8B9BC}"/>
              </c:ext>
            </c:extLst>
          </c:dPt>
          <c:dPt>
            <c:idx val="17"/>
            <c:invertIfNegative val="0"/>
            <c:bubble3D val="0"/>
            <c:extLst>
              <c:ext xmlns:c16="http://schemas.microsoft.com/office/drawing/2014/chart" uri="{C3380CC4-5D6E-409C-BE32-E72D297353CC}">
                <c16:uniqueId val="{00000010-3F64-49CB-A0DE-40B391D8B9BC}"/>
              </c:ext>
            </c:extLst>
          </c:dPt>
          <c:dPt>
            <c:idx val="18"/>
            <c:invertIfNegative val="0"/>
            <c:bubble3D val="0"/>
            <c:extLst>
              <c:ext xmlns:c16="http://schemas.microsoft.com/office/drawing/2014/chart" uri="{C3380CC4-5D6E-409C-BE32-E72D297353CC}">
                <c16:uniqueId val="{00000011-3F64-49CB-A0DE-40B391D8B9BC}"/>
              </c:ext>
            </c:extLst>
          </c:dPt>
          <c:dPt>
            <c:idx val="19"/>
            <c:invertIfNegative val="0"/>
            <c:bubble3D val="0"/>
            <c:extLst>
              <c:ext xmlns:c16="http://schemas.microsoft.com/office/drawing/2014/chart" uri="{C3380CC4-5D6E-409C-BE32-E72D297353CC}">
                <c16:uniqueId val="{00000012-3F64-49CB-A0DE-40B391D8B9BC}"/>
              </c:ext>
            </c:extLst>
          </c:dPt>
          <c:dPt>
            <c:idx val="20"/>
            <c:invertIfNegative val="0"/>
            <c:bubble3D val="0"/>
            <c:extLst>
              <c:ext xmlns:c16="http://schemas.microsoft.com/office/drawing/2014/chart" uri="{C3380CC4-5D6E-409C-BE32-E72D297353CC}">
                <c16:uniqueId val="{00000013-3F64-49CB-A0DE-40B391D8B9BC}"/>
              </c:ext>
            </c:extLst>
          </c:dPt>
          <c:dPt>
            <c:idx val="22"/>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15-3F64-49CB-A0DE-40B391D8B9BC}"/>
              </c:ext>
            </c:extLst>
          </c:dPt>
          <c:dPt>
            <c:idx val="23"/>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17-3F64-49CB-A0DE-40B391D8B9BC}"/>
              </c:ext>
            </c:extLst>
          </c:dPt>
          <c:dPt>
            <c:idx val="24"/>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19-3F64-49CB-A0DE-40B391D8B9BC}"/>
              </c:ext>
            </c:extLst>
          </c:dPt>
          <c:dPt>
            <c:idx val="25"/>
            <c:invertIfNegative val="0"/>
            <c:bubble3D val="0"/>
            <c:extLst>
              <c:ext xmlns:c16="http://schemas.microsoft.com/office/drawing/2014/chart" uri="{C3380CC4-5D6E-409C-BE32-E72D297353CC}">
                <c16:uniqueId val="{0000001A-3F64-49CB-A0DE-40B391D8B9BC}"/>
              </c:ext>
            </c:extLst>
          </c:dPt>
          <c:dPt>
            <c:idx val="26"/>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1C-3F64-49CB-A0DE-40B391D8B9BC}"/>
              </c:ext>
            </c:extLst>
          </c:dPt>
          <c:dPt>
            <c:idx val="29"/>
            <c:invertIfNegative val="0"/>
            <c:bubble3D val="0"/>
            <c:spPr>
              <a:solidFill>
                <a:srgbClr val="C00000">
                  <a:alpha val="97000"/>
                </a:srgb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1E-3F64-49CB-A0DE-40B391D8B9BC}"/>
              </c:ext>
            </c:extLst>
          </c:dPt>
          <c:dLbls>
            <c:spPr>
              <a:solidFill>
                <a:schemeClr val="bg1"/>
              </a:solidFill>
              <a:ln>
                <a:solidFill>
                  <a:schemeClr val="lt1">
                    <a:alpha val="50000"/>
                  </a:schemeClr>
                </a:solidFill>
                <a:round/>
              </a:ln>
              <a:effectLst/>
            </c:spPr>
            <c:txPr>
              <a:bodyPr rot="0" spcFirstLastPara="1" vertOverflow="ellipsis" vert="horz" wrap="square" lIns="36000" tIns="0" rIns="3600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List1!$A$2:$A$32</c:f>
              <c:strCache>
                <c:ptCount val="31"/>
                <c:pt idx="0">
                  <c:v>Francie</c:v>
                </c:pt>
                <c:pt idx="1">
                  <c:v>Bangladéš</c:v>
                </c:pt>
                <c:pt idx="2">
                  <c:v>Chorvatsko</c:v>
                </c:pt>
                <c:pt idx="3">
                  <c:v>Severní Makedonie</c:v>
                </c:pt>
                <c:pt idx="4">
                  <c:v>Japonsko</c:v>
                </c:pt>
                <c:pt idx="5">
                  <c:v>Ghana</c:v>
                </c:pt>
                <c:pt idx="6">
                  <c:v>Egypt</c:v>
                </c:pt>
                <c:pt idx="7">
                  <c:v>Čína</c:v>
                </c:pt>
                <c:pt idx="8">
                  <c:v>Řecko</c:v>
                </c:pt>
                <c:pt idx="9">
                  <c:v>Bosna a Hercegovina</c:v>
                </c:pt>
                <c:pt idx="10">
                  <c:v>Německo</c:v>
                </c:pt>
                <c:pt idx="11">
                  <c:v>Srbsko</c:v>
                </c:pt>
                <c:pt idx="12">
                  <c:v>Moldavsko</c:v>
                </c:pt>
                <c:pt idx="13">
                  <c:v>Rakousko</c:v>
                </c:pt>
                <c:pt idx="14">
                  <c:v>Itálie</c:v>
                </c:pt>
                <c:pt idx="15">
                  <c:v>Bělorusko</c:v>
                </c:pt>
                <c:pt idx="16">
                  <c:v>Spojené státy</c:v>
                </c:pt>
                <c:pt idx="17">
                  <c:v>Kazachstán</c:v>
                </c:pt>
                <c:pt idx="18">
                  <c:v>Mongolsko</c:v>
                </c:pt>
                <c:pt idx="19">
                  <c:v>Filipíny</c:v>
                </c:pt>
                <c:pt idx="20">
                  <c:v>Velká Británie</c:v>
                </c:pt>
                <c:pt idx="21">
                  <c:v>Turecko</c:v>
                </c:pt>
                <c:pt idx="22">
                  <c:v>Maďarsko</c:v>
                </c:pt>
                <c:pt idx="23">
                  <c:v>Polsko</c:v>
                </c:pt>
                <c:pt idx="24">
                  <c:v>Bulharsko</c:v>
                </c:pt>
                <c:pt idx="25">
                  <c:v>Indie</c:v>
                </c:pt>
                <c:pt idx="26">
                  <c:v>Rumunsko</c:v>
                </c:pt>
                <c:pt idx="27">
                  <c:v>Rusko</c:v>
                </c:pt>
                <c:pt idx="28">
                  <c:v>Vietnam</c:v>
                </c:pt>
                <c:pt idx="29">
                  <c:v>Slovensko</c:v>
                </c:pt>
                <c:pt idx="30">
                  <c:v>Ukrajina</c:v>
                </c:pt>
              </c:strCache>
            </c:strRef>
          </c:cat>
          <c:val>
            <c:numRef>
              <c:f>List1!$B$2:$B$32</c:f>
              <c:numCache>
                <c:formatCode>#\ ##0_ ;[Red]\-#\ ##0\ ;\-\ </c:formatCode>
                <c:ptCount val="31"/>
                <c:pt idx="0">
                  <c:v>277</c:v>
                </c:pt>
                <c:pt idx="1">
                  <c:v>277</c:v>
                </c:pt>
                <c:pt idx="2">
                  <c:v>304</c:v>
                </c:pt>
                <c:pt idx="3">
                  <c:v>306</c:v>
                </c:pt>
                <c:pt idx="4">
                  <c:v>308</c:v>
                </c:pt>
                <c:pt idx="5">
                  <c:v>328</c:v>
                </c:pt>
                <c:pt idx="6">
                  <c:v>355</c:v>
                </c:pt>
                <c:pt idx="7">
                  <c:v>358</c:v>
                </c:pt>
                <c:pt idx="8">
                  <c:v>403</c:v>
                </c:pt>
                <c:pt idx="9">
                  <c:v>464</c:v>
                </c:pt>
                <c:pt idx="10">
                  <c:v>568</c:v>
                </c:pt>
                <c:pt idx="11">
                  <c:v>588</c:v>
                </c:pt>
                <c:pt idx="12">
                  <c:v>600</c:v>
                </c:pt>
                <c:pt idx="13">
                  <c:v>610</c:v>
                </c:pt>
                <c:pt idx="14">
                  <c:v>612</c:v>
                </c:pt>
                <c:pt idx="15">
                  <c:v>685</c:v>
                </c:pt>
                <c:pt idx="16">
                  <c:v>789</c:v>
                </c:pt>
                <c:pt idx="17">
                  <c:v>792</c:v>
                </c:pt>
                <c:pt idx="18">
                  <c:v>796</c:v>
                </c:pt>
                <c:pt idx="19">
                  <c:v>802</c:v>
                </c:pt>
                <c:pt idx="20">
                  <c:v>826</c:v>
                </c:pt>
                <c:pt idx="21">
                  <c:v>913</c:v>
                </c:pt>
                <c:pt idx="22">
                  <c:v>980</c:v>
                </c:pt>
                <c:pt idx="23">
                  <c:v>1006</c:v>
                </c:pt>
                <c:pt idx="24">
                  <c:v>1109</c:v>
                </c:pt>
                <c:pt idx="25">
                  <c:v>1339</c:v>
                </c:pt>
                <c:pt idx="26">
                  <c:v>1423</c:v>
                </c:pt>
                <c:pt idx="27">
                  <c:v>3336</c:v>
                </c:pt>
                <c:pt idx="28">
                  <c:v>5004</c:v>
                </c:pt>
                <c:pt idx="29">
                  <c:v>15715</c:v>
                </c:pt>
                <c:pt idx="30">
                  <c:v>62611</c:v>
                </c:pt>
              </c:numCache>
            </c:numRef>
          </c:val>
          <c:shape val="cylinder"/>
          <c:extLst>
            <c:ext xmlns:c16="http://schemas.microsoft.com/office/drawing/2014/chart" uri="{C3380CC4-5D6E-409C-BE32-E72D297353CC}">
              <c16:uniqueId val="{0000001F-3F64-49CB-A0DE-40B391D8B9BC}"/>
            </c:ext>
          </c:extLst>
        </c:ser>
        <c:dLbls>
          <c:showLegendKey val="0"/>
          <c:showVal val="1"/>
          <c:showCatName val="0"/>
          <c:showSerName val="0"/>
          <c:showPercent val="0"/>
          <c:showBubbleSize val="0"/>
        </c:dLbls>
        <c:gapWidth val="84"/>
        <c:gapDepth val="53"/>
        <c:shape val="box"/>
        <c:axId val="297249904"/>
        <c:axId val="297254216"/>
        <c:axId val="0"/>
      </c:bar3DChart>
      <c:catAx>
        <c:axId val="297249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254216"/>
        <c:crosses val="autoZero"/>
        <c:auto val="1"/>
        <c:lblAlgn val="ctr"/>
        <c:lblOffset val="100"/>
        <c:noMultiLvlLbl val="0"/>
      </c:catAx>
      <c:valAx>
        <c:axId val="297254216"/>
        <c:scaling>
          <c:orientation val="minMax"/>
        </c:scaling>
        <c:delete val="1"/>
        <c:axPos val="b"/>
        <c:numFmt formatCode="#\ ##0_ ;[Red]\-#\ ##0\ ;\-\ " sourceLinked="1"/>
        <c:majorTickMark val="out"/>
        <c:minorTickMark val="none"/>
        <c:tickLblPos val="nextTo"/>
        <c:crossAx val="297249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a:t>Podíl </a:t>
            </a:r>
            <a:r>
              <a:rPr lang="en-US" sz="1000" b="1" i="0" u="none" strike="noStrike" kern="1200" cap="none" baseline="0">
                <a:solidFill>
                  <a:sysClr val="windowText" lastClr="000000"/>
                </a:solidFill>
                <a:latin typeface="Arial Narrow" panose="020B0606020202030204" pitchFamily="34" charset="0"/>
                <a:ea typeface="+mn-ea"/>
                <a:cs typeface="+mn-cs"/>
              </a:rPr>
              <a:t>osob s jinou než českou státní příslušností</a:t>
            </a:r>
            <a:r>
              <a:rPr lang="en-US" sz="1000"/>
              <a:t> na celkovém počtu obyvatel</a:t>
            </a:r>
            <a:r>
              <a:rPr lang="cs-CZ" sz="1000"/>
              <a:t> vybraných obcí</a:t>
            </a:r>
            <a:r>
              <a:rPr lang="cs-CZ" sz="1000" baseline="0"/>
              <a:t> k 1. 1. 2021</a:t>
            </a:r>
            <a:endParaRPr lang="en-US" sz="1000"/>
          </a:p>
        </c:rich>
      </c:tx>
      <c:layout>
        <c:manualLayout>
          <c:xMode val="edge"/>
          <c:yMode val="edge"/>
          <c:x val="0.13973568281938326"/>
          <c:y val="2.6760926697331827E-3"/>
        </c:manualLayout>
      </c:layout>
      <c:overlay val="0"/>
      <c:spPr>
        <a:noFill/>
        <a:ln>
          <a:noFill/>
        </a:ln>
        <a:effectLst/>
      </c:spPr>
    </c:title>
    <c:autoTitleDeleted val="0"/>
    <c:plotArea>
      <c:layout>
        <c:manualLayout>
          <c:layoutTarget val="inner"/>
          <c:xMode val="edge"/>
          <c:yMode val="edge"/>
          <c:x val="0.16139545056867891"/>
          <c:y val="0.14945987014781048"/>
          <c:w val="0.78687941785054649"/>
          <c:h val="0.72969802458903177"/>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7F54-4DEC-BB3D-05681119C32B}"/>
              </c:ext>
            </c:extLst>
          </c:dPt>
          <c:dPt>
            <c:idx val="1"/>
            <c:invertIfNegative val="0"/>
            <c:bubble3D val="0"/>
            <c:extLst>
              <c:ext xmlns:c16="http://schemas.microsoft.com/office/drawing/2014/chart" uri="{C3380CC4-5D6E-409C-BE32-E72D297353CC}">
                <c16:uniqueId val="{00000001-7F54-4DEC-BB3D-05681119C32B}"/>
              </c:ext>
            </c:extLst>
          </c:dPt>
          <c:dPt>
            <c:idx val="2"/>
            <c:invertIfNegative val="0"/>
            <c:bubble3D val="0"/>
            <c:extLst>
              <c:ext xmlns:c16="http://schemas.microsoft.com/office/drawing/2014/chart" uri="{C3380CC4-5D6E-409C-BE32-E72D297353CC}">
                <c16:uniqueId val="{00000002-7F54-4DEC-BB3D-05681119C32B}"/>
              </c:ext>
            </c:extLst>
          </c:dPt>
          <c:dPt>
            <c:idx val="3"/>
            <c:invertIfNegative val="0"/>
            <c:bubble3D val="0"/>
            <c:extLst>
              <c:ext xmlns:c16="http://schemas.microsoft.com/office/drawing/2014/chart" uri="{C3380CC4-5D6E-409C-BE32-E72D297353CC}">
                <c16:uniqueId val="{00000003-7F54-4DEC-BB3D-05681119C32B}"/>
              </c:ext>
            </c:extLst>
          </c:dPt>
          <c:dPt>
            <c:idx val="4"/>
            <c:invertIfNegative val="0"/>
            <c:bubble3D val="0"/>
            <c:extLst>
              <c:ext xmlns:c16="http://schemas.microsoft.com/office/drawing/2014/chart" uri="{C3380CC4-5D6E-409C-BE32-E72D297353CC}">
                <c16:uniqueId val="{00000004-7F54-4DEC-BB3D-05681119C32B}"/>
              </c:ext>
            </c:extLst>
          </c:dPt>
          <c:dPt>
            <c:idx val="5"/>
            <c:invertIfNegative val="0"/>
            <c:bubble3D val="0"/>
            <c:extLst>
              <c:ext xmlns:c16="http://schemas.microsoft.com/office/drawing/2014/chart" uri="{C3380CC4-5D6E-409C-BE32-E72D297353CC}">
                <c16:uniqueId val="{00000005-7F54-4DEC-BB3D-05681119C32B}"/>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7F54-4DEC-BB3D-05681119C32B}"/>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7F54-4DEC-BB3D-05681119C32B}"/>
              </c:ext>
            </c:extLst>
          </c:dPt>
          <c:dPt>
            <c:idx val="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7F54-4DEC-BB3D-05681119C32B}"/>
              </c:ext>
            </c:extLst>
          </c:dPt>
          <c:dPt>
            <c:idx val="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D-7F54-4DEC-BB3D-05681119C32B}"/>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List1!$A$2:$A$11</c:f>
              <c:strCache>
                <c:ptCount val="10"/>
                <c:pt idx="0">
                  <c:v>Hvozdec</c:v>
                </c:pt>
                <c:pt idx="1">
                  <c:v>Rozdrojovice</c:v>
                </c:pt>
                <c:pt idx="2">
                  <c:v>Moravské Knínice</c:v>
                </c:pt>
                <c:pt idx="3">
                  <c:v>Lelekovice</c:v>
                </c:pt>
                <c:pt idx="4">
                  <c:v>Chudčice</c:v>
                </c:pt>
                <c:pt idx="5">
                  <c:v>Jinačovice</c:v>
                </c:pt>
                <c:pt idx="6">
                  <c:v>Čebín</c:v>
                </c:pt>
                <c:pt idx="7">
                  <c:v>Česká</c:v>
                </c:pt>
                <c:pt idx="8">
                  <c:v>Kuřim</c:v>
                </c:pt>
                <c:pt idx="9">
                  <c:v>Veverská Bítýška</c:v>
                </c:pt>
              </c:strCache>
            </c:strRef>
          </c:cat>
          <c:val>
            <c:numRef>
              <c:f>List1!$B$2:$B$11</c:f>
              <c:numCache>
                <c:formatCode>0.00%</c:formatCode>
                <c:ptCount val="10"/>
                <c:pt idx="0">
                  <c:v>2.8999999999999998E-3</c:v>
                </c:pt>
                <c:pt idx="1">
                  <c:v>1.1900000000000001E-2</c:v>
                </c:pt>
                <c:pt idx="2">
                  <c:v>1.4800000000000001E-2</c:v>
                </c:pt>
                <c:pt idx="3">
                  <c:v>1.47E-2</c:v>
                </c:pt>
                <c:pt idx="4">
                  <c:v>1.6199999999999999E-2</c:v>
                </c:pt>
                <c:pt idx="5">
                  <c:v>1.84E-2</c:v>
                </c:pt>
                <c:pt idx="6">
                  <c:v>2.8500000000000001E-2</c:v>
                </c:pt>
                <c:pt idx="7">
                  <c:v>4.3400000000000001E-2</c:v>
                </c:pt>
                <c:pt idx="8">
                  <c:v>4.7E-2</c:v>
                </c:pt>
                <c:pt idx="9">
                  <c:v>6.7400000000000002E-2</c:v>
                </c:pt>
              </c:numCache>
            </c:numRef>
          </c:val>
          <c:extLst>
            <c:ext xmlns:c16="http://schemas.microsoft.com/office/drawing/2014/chart" uri="{C3380CC4-5D6E-409C-BE32-E72D297353CC}">
              <c16:uniqueId val="{0000000E-7F54-4DEC-BB3D-05681119C32B}"/>
            </c:ext>
          </c:extLst>
        </c:ser>
        <c:dLbls>
          <c:dLblPos val="inEnd"/>
          <c:showLegendKey val="0"/>
          <c:showVal val="1"/>
          <c:showCatName val="0"/>
          <c:showSerName val="0"/>
          <c:showPercent val="0"/>
          <c:showBubbleSize val="0"/>
        </c:dLbls>
        <c:gapWidth val="182"/>
        <c:overlap val="-50"/>
        <c:axId val="438183472"/>
        <c:axId val="438179552"/>
      </c:barChart>
      <c:catAx>
        <c:axId val="438183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9552"/>
        <c:crosses val="autoZero"/>
        <c:auto val="1"/>
        <c:lblAlgn val="ctr"/>
        <c:lblOffset val="100"/>
        <c:noMultiLvlLbl val="0"/>
      </c:catAx>
      <c:valAx>
        <c:axId val="438179552"/>
        <c:scaling>
          <c:orientation val="minMax"/>
          <c:max val="7.0000000000000007E-2"/>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83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a:t>Podíl </a:t>
            </a:r>
            <a:r>
              <a:rPr lang="en-US" sz="1000" b="1" i="0" u="none" strike="noStrike" kern="1200" cap="none" baseline="0">
                <a:solidFill>
                  <a:sysClr val="windowText" lastClr="000000"/>
                </a:solidFill>
                <a:latin typeface="Arial Narrow" panose="020B0606020202030204" pitchFamily="34" charset="0"/>
                <a:ea typeface="+mn-ea"/>
                <a:cs typeface="+mn-cs"/>
              </a:rPr>
              <a:t>osob s jinou než českou státní příslušností</a:t>
            </a:r>
            <a:r>
              <a:rPr lang="en-US" sz="1000"/>
              <a:t> na celkovém počtu obyvatel</a:t>
            </a:r>
            <a:r>
              <a:rPr lang="cs-CZ" sz="1000"/>
              <a:t> vybraných obcí v ORP k 1.</a:t>
            </a:r>
            <a:r>
              <a:rPr lang="cs-CZ" sz="1000" baseline="0"/>
              <a:t> 1. 2022</a:t>
            </a:r>
            <a:endParaRPr lang="en-US" sz="1000"/>
          </a:p>
        </c:rich>
      </c:tx>
      <c:layout>
        <c:manualLayout>
          <c:xMode val="edge"/>
          <c:yMode val="edge"/>
          <c:x val="0.11437389770723104"/>
          <c:y val="2.2073711374313507E-3"/>
        </c:manualLayout>
      </c:layout>
      <c:overlay val="0"/>
      <c:spPr>
        <a:noFill/>
        <a:ln>
          <a:noFill/>
        </a:ln>
        <a:effectLst/>
      </c:spPr>
    </c:title>
    <c:autoTitleDeleted val="0"/>
    <c:plotArea>
      <c:layout>
        <c:manualLayout>
          <c:layoutTarget val="inner"/>
          <c:xMode val="edge"/>
          <c:yMode val="edge"/>
          <c:x val="0.16139545056867891"/>
          <c:y val="0.15193266893298854"/>
          <c:w val="0.80231151661597855"/>
          <c:h val="0.73230244743392314"/>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023B-4FE5-A702-64F83CB95692}"/>
              </c:ext>
            </c:extLst>
          </c:dPt>
          <c:dPt>
            <c:idx val="1"/>
            <c:invertIfNegative val="0"/>
            <c:bubble3D val="0"/>
            <c:extLst>
              <c:ext xmlns:c16="http://schemas.microsoft.com/office/drawing/2014/chart" uri="{C3380CC4-5D6E-409C-BE32-E72D297353CC}">
                <c16:uniqueId val="{00000001-023B-4FE5-A702-64F83CB95692}"/>
              </c:ext>
            </c:extLst>
          </c:dPt>
          <c:dPt>
            <c:idx val="2"/>
            <c:invertIfNegative val="0"/>
            <c:bubble3D val="0"/>
            <c:extLst>
              <c:ext xmlns:c16="http://schemas.microsoft.com/office/drawing/2014/chart" uri="{C3380CC4-5D6E-409C-BE32-E72D297353CC}">
                <c16:uniqueId val="{00000002-023B-4FE5-A702-64F83CB95692}"/>
              </c:ext>
            </c:extLst>
          </c:dPt>
          <c:dPt>
            <c:idx val="3"/>
            <c:invertIfNegative val="0"/>
            <c:bubble3D val="0"/>
            <c:extLst>
              <c:ext xmlns:c16="http://schemas.microsoft.com/office/drawing/2014/chart" uri="{C3380CC4-5D6E-409C-BE32-E72D297353CC}">
                <c16:uniqueId val="{00000003-023B-4FE5-A702-64F83CB95692}"/>
              </c:ext>
            </c:extLst>
          </c:dPt>
          <c:dPt>
            <c:idx val="4"/>
            <c:invertIfNegative val="0"/>
            <c:bubble3D val="0"/>
            <c:extLst>
              <c:ext xmlns:c16="http://schemas.microsoft.com/office/drawing/2014/chart" uri="{C3380CC4-5D6E-409C-BE32-E72D297353CC}">
                <c16:uniqueId val="{00000004-023B-4FE5-A702-64F83CB95692}"/>
              </c:ext>
            </c:extLst>
          </c:dPt>
          <c:dPt>
            <c:idx val="5"/>
            <c:invertIfNegative val="0"/>
            <c:bubble3D val="0"/>
            <c:extLst>
              <c:ext xmlns:c16="http://schemas.microsoft.com/office/drawing/2014/chart" uri="{C3380CC4-5D6E-409C-BE32-E72D297353CC}">
                <c16:uniqueId val="{00000005-023B-4FE5-A702-64F83CB95692}"/>
              </c:ext>
            </c:extLst>
          </c:dPt>
          <c:dPt>
            <c:idx val="6"/>
            <c:invertIfNegative val="0"/>
            <c:bubble3D val="0"/>
            <c:extLst>
              <c:ext xmlns:c16="http://schemas.microsoft.com/office/drawing/2014/chart" uri="{C3380CC4-5D6E-409C-BE32-E72D297353CC}">
                <c16:uniqueId val="{00000006-023B-4FE5-A702-64F83CB95692}"/>
              </c:ext>
            </c:extLst>
          </c:dPt>
          <c:dPt>
            <c:idx val="7"/>
            <c:invertIfNegative val="0"/>
            <c:bubble3D val="0"/>
            <c:extLst>
              <c:ext xmlns:c16="http://schemas.microsoft.com/office/drawing/2014/chart" uri="{C3380CC4-5D6E-409C-BE32-E72D297353CC}">
                <c16:uniqueId val="{00000007-023B-4FE5-A702-64F83CB95692}"/>
              </c:ext>
            </c:extLst>
          </c:dPt>
          <c:dPt>
            <c:idx val="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023B-4FE5-A702-64F83CB95692}"/>
              </c:ext>
            </c:extLst>
          </c:dPt>
          <c:dPt>
            <c:idx val="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023B-4FE5-A702-64F83CB95692}"/>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List1!$A$2:$A$11</c:f>
              <c:strCache>
                <c:ptCount val="10"/>
                <c:pt idx="0">
                  <c:v>Hvozdec</c:v>
                </c:pt>
                <c:pt idx="1">
                  <c:v>Rozdrojovice</c:v>
                </c:pt>
                <c:pt idx="2">
                  <c:v>Moravské Knínice</c:v>
                </c:pt>
                <c:pt idx="3">
                  <c:v>Lelekovice</c:v>
                </c:pt>
                <c:pt idx="4">
                  <c:v>Chudčice</c:v>
                </c:pt>
                <c:pt idx="5">
                  <c:v>Jinačovice</c:v>
                </c:pt>
                <c:pt idx="6">
                  <c:v>Čebín</c:v>
                </c:pt>
                <c:pt idx="7">
                  <c:v>Česká</c:v>
                </c:pt>
                <c:pt idx="8">
                  <c:v>Kuřim</c:v>
                </c:pt>
                <c:pt idx="9">
                  <c:v>Veverská Bítýška</c:v>
                </c:pt>
              </c:strCache>
            </c:strRef>
          </c:cat>
          <c:val>
            <c:numRef>
              <c:f>List1!$B$2:$B$11</c:f>
              <c:numCache>
                <c:formatCode>0.00%</c:formatCode>
                <c:ptCount val="10"/>
                <c:pt idx="0">
                  <c:v>2.8E-3</c:v>
                </c:pt>
                <c:pt idx="1">
                  <c:v>1.0200000000000001E-2</c:v>
                </c:pt>
                <c:pt idx="2">
                  <c:v>1.72E-2</c:v>
                </c:pt>
                <c:pt idx="3">
                  <c:v>1.5699999999999999E-2</c:v>
                </c:pt>
                <c:pt idx="4">
                  <c:v>1.6899999999999998E-2</c:v>
                </c:pt>
                <c:pt idx="5">
                  <c:v>1.5599999999999999E-2</c:v>
                </c:pt>
                <c:pt idx="6">
                  <c:v>2.8299999999999999E-2</c:v>
                </c:pt>
                <c:pt idx="7">
                  <c:v>4.4900000000000002E-2</c:v>
                </c:pt>
                <c:pt idx="8">
                  <c:v>4.7399999999999998E-2</c:v>
                </c:pt>
                <c:pt idx="9">
                  <c:v>9.0399999999999994E-2</c:v>
                </c:pt>
              </c:numCache>
            </c:numRef>
          </c:val>
          <c:extLst>
            <c:ext xmlns:c16="http://schemas.microsoft.com/office/drawing/2014/chart" uri="{C3380CC4-5D6E-409C-BE32-E72D297353CC}">
              <c16:uniqueId val="{0000000C-023B-4FE5-A702-64F83CB95692}"/>
            </c:ext>
          </c:extLst>
        </c:ser>
        <c:dLbls>
          <c:dLblPos val="inEnd"/>
          <c:showLegendKey val="0"/>
          <c:showVal val="1"/>
          <c:showCatName val="0"/>
          <c:showSerName val="0"/>
          <c:showPercent val="0"/>
          <c:showBubbleSize val="0"/>
        </c:dLbls>
        <c:gapWidth val="182"/>
        <c:overlap val="-50"/>
        <c:axId val="438185040"/>
        <c:axId val="438179944"/>
      </c:barChart>
      <c:catAx>
        <c:axId val="438185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9944"/>
        <c:crosses val="autoZero"/>
        <c:auto val="1"/>
        <c:lblAlgn val="ctr"/>
        <c:lblOffset val="100"/>
        <c:noMultiLvlLbl val="0"/>
      </c:catAx>
      <c:valAx>
        <c:axId val="438179944"/>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85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a:t>Podíl </a:t>
            </a:r>
            <a:r>
              <a:rPr lang="en-US" sz="1000" b="1" i="0" u="none" strike="noStrike" kern="1200" cap="none" baseline="0">
                <a:solidFill>
                  <a:sysClr val="windowText" lastClr="000000"/>
                </a:solidFill>
                <a:latin typeface="Arial Narrow" panose="020B0606020202030204" pitchFamily="34" charset="0"/>
                <a:ea typeface="+mn-ea"/>
                <a:cs typeface="+mn-cs"/>
              </a:rPr>
              <a:t>osob s jinou než českou státní příslušností</a:t>
            </a:r>
            <a:r>
              <a:rPr lang="en-US" sz="1000"/>
              <a:t> na celkovém počtu obyvatel</a:t>
            </a:r>
            <a:r>
              <a:rPr lang="cs-CZ" sz="1000"/>
              <a:t> </a:t>
            </a:r>
            <a:r>
              <a:rPr lang="cs-CZ" sz="1000" b="1" i="0" u="none" strike="noStrike" cap="none" baseline="0">
                <a:effectLst/>
              </a:rPr>
              <a:t>vybraných </a:t>
            </a:r>
            <a:r>
              <a:rPr lang="cs-CZ" sz="1000"/>
              <a:t>obcí v ORP k 1. 1. 2023</a:t>
            </a:r>
            <a:endParaRPr lang="en-US" sz="1000"/>
          </a:p>
        </c:rich>
      </c:tx>
      <c:layout>
        <c:manualLayout>
          <c:xMode val="edge"/>
          <c:yMode val="edge"/>
          <c:x val="0.11437389770723104"/>
          <c:y val="2.2073711374313507E-3"/>
        </c:manualLayout>
      </c:layout>
      <c:overlay val="0"/>
      <c:spPr>
        <a:noFill/>
        <a:ln>
          <a:noFill/>
        </a:ln>
        <a:effectLst/>
      </c:spPr>
    </c:title>
    <c:autoTitleDeleted val="0"/>
    <c:plotArea>
      <c:layout>
        <c:manualLayout>
          <c:layoutTarget val="inner"/>
          <c:xMode val="edge"/>
          <c:yMode val="edge"/>
          <c:x val="0.16139545056867891"/>
          <c:y val="0.16364068777117147"/>
          <c:w val="0.80231151661597855"/>
          <c:h val="0.72059478279500777"/>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7939-4FF9-AA9E-1F68E41C5D7E}"/>
              </c:ext>
            </c:extLst>
          </c:dPt>
          <c:dPt>
            <c:idx val="1"/>
            <c:invertIfNegative val="0"/>
            <c:bubble3D val="0"/>
            <c:extLst>
              <c:ext xmlns:c16="http://schemas.microsoft.com/office/drawing/2014/chart" uri="{C3380CC4-5D6E-409C-BE32-E72D297353CC}">
                <c16:uniqueId val="{00000001-7939-4FF9-AA9E-1F68E41C5D7E}"/>
              </c:ext>
            </c:extLst>
          </c:dPt>
          <c:dPt>
            <c:idx val="2"/>
            <c:invertIfNegative val="0"/>
            <c:bubble3D val="0"/>
            <c:extLst>
              <c:ext xmlns:c16="http://schemas.microsoft.com/office/drawing/2014/chart" uri="{C3380CC4-5D6E-409C-BE32-E72D297353CC}">
                <c16:uniqueId val="{00000002-7939-4FF9-AA9E-1F68E41C5D7E}"/>
              </c:ext>
            </c:extLst>
          </c:dPt>
          <c:dPt>
            <c:idx val="3"/>
            <c:invertIfNegative val="0"/>
            <c:bubble3D val="0"/>
            <c:extLst>
              <c:ext xmlns:c16="http://schemas.microsoft.com/office/drawing/2014/chart" uri="{C3380CC4-5D6E-409C-BE32-E72D297353CC}">
                <c16:uniqueId val="{00000003-7939-4FF9-AA9E-1F68E41C5D7E}"/>
              </c:ext>
            </c:extLst>
          </c:dPt>
          <c:dPt>
            <c:idx val="4"/>
            <c:invertIfNegative val="0"/>
            <c:bubble3D val="0"/>
            <c:extLst>
              <c:ext xmlns:c16="http://schemas.microsoft.com/office/drawing/2014/chart" uri="{C3380CC4-5D6E-409C-BE32-E72D297353CC}">
                <c16:uniqueId val="{00000004-7939-4FF9-AA9E-1F68E41C5D7E}"/>
              </c:ext>
            </c:extLst>
          </c:dPt>
          <c:dPt>
            <c:idx val="5"/>
            <c:invertIfNegative val="0"/>
            <c:bubble3D val="0"/>
            <c:extLst>
              <c:ext xmlns:c16="http://schemas.microsoft.com/office/drawing/2014/chart" uri="{C3380CC4-5D6E-409C-BE32-E72D297353CC}">
                <c16:uniqueId val="{00000005-7939-4FF9-AA9E-1F68E41C5D7E}"/>
              </c:ext>
            </c:extLst>
          </c:dPt>
          <c:dPt>
            <c:idx val="6"/>
            <c:invertIfNegative val="0"/>
            <c:bubble3D val="0"/>
            <c:extLst>
              <c:ext xmlns:c16="http://schemas.microsoft.com/office/drawing/2014/chart" uri="{C3380CC4-5D6E-409C-BE32-E72D297353CC}">
                <c16:uniqueId val="{00000006-7939-4FF9-AA9E-1F68E41C5D7E}"/>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8-7939-4FF9-AA9E-1F68E41C5D7E}"/>
              </c:ext>
            </c:extLst>
          </c:dPt>
          <c:dPt>
            <c:idx val="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A-7939-4FF9-AA9E-1F68E41C5D7E}"/>
              </c:ext>
            </c:extLst>
          </c:dPt>
          <c:dPt>
            <c:idx val="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C-7939-4FF9-AA9E-1F68E41C5D7E}"/>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List1!$A$2:$A$11</c:f>
              <c:strCache>
                <c:ptCount val="10"/>
                <c:pt idx="0">
                  <c:v>Hvozdec</c:v>
                </c:pt>
                <c:pt idx="1">
                  <c:v>Jinačovice</c:v>
                </c:pt>
                <c:pt idx="2">
                  <c:v>Rozdrojovice</c:v>
                </c:pt>
                <c:pt idx="3">
                  <c:v>Lelekovice</c:v>
                </c:pt>
                <c:pt idx="4">
                  <c:v>Moravské Knínice</c:v>
                </c:pt>
                <c:pt idx="5">
                  <c:v>Česká</c:v>
                </c:pt>
                <c:pt idx="6">
                  <c:v>Chudčice</c:v>
                </c:pt>
                <c:pt idx="7">
                  <c:v>Čebín</c:v>
                </c:pt>
                <c:pt idx="8">
                  <c:v>Kuřim</c:v>
                </c:pt>
                <c:pt idx="9">
                  <c:v>Veverská Bítýška</c:v>
                </c:pt>
              </c:strCache>
            </c:strRef>
          </c:cat>
          <c:val>
            <c:numRef>
              <c:f>List1!$B$2:$B$11</c:f>
              <c:numCache>
                <c:formatCode>0.0%</c:formatCode>
                <c:ptCount val="10"/>
                <c:pt idx="0">
                  <c:v>8.4507042253521118E-3</c:v>
                </c:pt>
                <c:pt idx="1">
                  <c:v>2.4783147459727387E-2</c:v>
                </c:pt>
                <c:pt idx="2">
                  <c:v>2.8751123090745734E-2</c:v>
                </c:pt>
                <c:pt idx="3">
                  <c:v>3.0530530530530529E-2</c:v>
                </c:pt>
                <c:pt idx="4">
                  <c:v>4.0274207369323051E-2</c:v>
                </c:pt>
                <c:pt idx="5">
                  <c:v>4.6445497630331754E-2</c:v>
                </c:pt>
                <c:pt idx="6">
                  <c:v>5.937794533459001E-2</c:v>
                </c:pt>
                <c:pt idx="7">
                  <c:v>7.1065989847715741E-2</c:v>
                </c:pt>
                <c:pt idx="8">
                  <c:v>9.4167312828465577E-2</c:v>
                </c:pt>
                <c:pt idx="9">
                  <c:v>0.10229471938070224</c:v>
                </c:pt>
              </c:numCache>
            </c:numRef>
          </c:val>
          <c:extLst>
            <c:ext xmlns:c16="http://schemas.microsoft.com/office/drawing/2014/chart" uri="{C3380CC4-5D6E-409C-BE32-E72D297353CC}">
              <c16:uniqueId val="{0000000D-7939-4FF9-AA9E-1F68E41C5D7E}"/>
            </c:ext>
          </c:extLst>
        </c:ser>
        <c:dLbls>
          <c:dLblPos val="inEnd"/>
          <c:showLegendKey val="0"/>
          <c:showVal val="1"/>
          <c:showCatName val="0"/>
          <c:showSerName val="0"/>
          <c:showPercent val="0"/>
          <c:showBubbleSize val="0"/>
        </c:dLbls>
        <c:gapWidth val="182"/>
        <c:overlap val="-50"/>
        <c:axId val="438185432"/>
        <c:axId val="438182296"/>
      </c:barChart>
      <c:catAx>
        <c:axId val="438185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82296"/>
        <c:crosses val="autoZero"/>
        <c:auto val="1"/>
        <c:lblAlgn val="ctr"/>
        <c:lblOffset val="100"/>
        <c:noMultiLvlLbl val="0"/>
      </c:catAx>
      <c:valAx>
        <c:axId val="438182296"/>
        <c:scaling>
          <c:orientation val="minMax"/>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85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a:t>Podíl </a:t>
            </a:r>
            <a:r>
              <a:rPr lang="en-US" sz="1000" b="1" i="0" u="none" strike="noStrike" kern="1200" cap="none" baseline="0">
                <a:solidFill>
                  <a:sysClr val="windowText" lastClr="000000"/>
                </a:solidFill>
                <a:latin typeface="Arial Narrow" panose="020B0606020202030204" pitchFamily="34" charset="0"/>
                <a:ea typeface="+mn-ea"/>
                <a:cs typeface="+mn-cs"/>
              </a:rPr>
              <a:t>osob s jinou než českou státní příslušností</a:t>
            </a:r>
            <a:r>
              <a:rPr lang="en-US" sz="1000"/>
              <a:t> na celkovém počtu obyvatel</a:t>
            </a:r>
            <a:r>
              <a:rPr lang="cs-CZ" sz="1000"/>
              <a:t> obce</a:t>
            </a:r>
            <a:r>
              <a:rPr lang="cs-CZ" sz="1000" baseline="0"/>
              <a:t> Kuřim</a:t>
            </a:r>
            <a:r>
              <a:rPr lang="cs-CZ" sz="1000"/>
              <a:t> v</a:t>
            </a:r>
            <a:r>
              <a:rPr lang="cs-CZ" sz="1000" baseline="0"/>
              <a:t> letech 2006-2023</a:t>
            </a:r>
            <a:endParaRPr lang="en-US" sz="1000"/>
          </a:p>
        </c:rich>
      </c:tx>
      <c:layout>
        <c:manualLayout>
          <c:xMode val="edge"/>
          <c:yMode val="edge"/>
          <c:x val="0.11911894273127753"/>
          <c:y val="6.5089558646003499E-3"/>
        </c:manualLayout>
      </c:layout>
      <c:overlay val="0"/>
      <c:spPr>
        <a:noFill/>
        <a:ln>
          <a:noFill/>
        </a:ln>
        <a:effectLst/>
      </c:spPr>
    </c:title>
    <c:autoTitleDeleted val="0"/>
    <c:plotArea>
      <c:layout>
        <c:manualLayout>
          <c:layoutTarget val="inner"/>
          <c:xMode val="edge"/>
          <c:yMode val="edge"/>
          <c:x val="7.7621200127761802E-2"/>
          <c:y val="0.18807978311163354"/>
          <c:w val="0.88608576705689568"/>
          <c:h val="0.65444393545208601"/>
        </c:manualLayout>
      </c:layout>
      <c:barChart>
        <c:barDir val="bar"/>
        <c:grouping val="clustered"/>
        <c:varyColors val="0"/>
        <c:ser>
          <c:idx val="0"/>
          <c:order val="0"/>
          <c:tx>
            <c:strRef>
              <c:f>List1!$B$1</c:f>
              <c:strCache>
                <c:ptCount val="1"/>
                <c:pt idx="0">
                  <c:v>Podíl cizinců na celkovém počtu obyvatel v obci Kuřim v %</c:v>
                </c:pt>
              </c:strCache>
            </c:strRef>
          </c:tx>
          <c:spPr>
            <a:solidFill>
              <a:schemeClr val="tx2"/>
            </a:solidFill>
            <a:ln w="9525" cap="flat" cmpd="sng" algn="ctr">
              <a:noFill/>
              <a:miter lim="800000"/>
            </a:ln>
            <a:effectLst/>
          </c:spPr>
          <c:invertIfNegative val="0"/>
          <c:dPt>
            <c:idx val="0"/>
            <c:invertIfNegative val="0"/>
            <c:bubble3D val="0"/>
            <c:spPr>
              <a:solidFill>
                <a:schemeClr val="tx2"/>
              </a:solidFill>
              <a:ln w="9525" cap="flat" cmpd="sng" algn="ctr">
                <a:noFill/>
                <a:miter lim="800000"/>
              </a:ln>
              <a:effectLst/>
            </c:spPr>
            <c:extLst>
              <c:ext xmlns:c16="http://schemas.microsoft.com/office/drawing/2014/chart" uri="{C3380CC4-5D6E-409C-BE32-E72D297353CC}">
                <c16:uniqueId val="{00000001-6280-417C-8B12-61CD6B520482}"/>
              </c:ext>
            </c:extLst>
          </c:dPt>
          <c:dPt>
            <c:idx val="1"/>
            <c:invertIfNegative val="0"/>
            <c:bubble3D val="0"/>
            <c:extLst>
              <c:ext xmlns:c16="http://schemas.microsoft.com/office/drawing/2014/chart" uri="{C3380CC4-5D6E-409C-BE32-E72D297353CC}">
                <c16:uniqueId val="{00000002-6280-417C-8B12-61CD6B520482}"/>
              </c:ext>
            </c:extLst>
          </c:dPt>
          <c:dPt>
            <c:idx val="2"/>
            <c:invertIfNegative val="0"/>
            <c:bubble3D val="0"/>
            <c:extLst>
              <c:ext xmlns:c16="http://schemas.microsoft.com/office/drawing/2014/chart" uri="{C3380CC4-5D6E-409C-BE32-E72D297353CC}">
                <c16:uniqueId val="{00000003-6280-417C-8B12-61CD6B520482}"/>
              </c:ext>
            </c:extLst>
          </c:dPt>
          <c:dPt>
            <c:idx val="3"/>
            <c:invertIfNegative val="0"/>
            <c:bubble3D val="0"/>
            <c:extLst>
              <c:ext xmlns:c16="http://schemas.microsoft.com/office/drawing/2014/chart" uri="{C3380CC4-5D6E-409C-BE32-E72D297353CC}">
                <c16:uniqueId val="{00000004-6280-417C-8B12-61CD6B520482}"/>
              </c:ext>
            </c:extLst>
          </c:dPt>
          <c:dPt>
            <c:idx val="4"/>
            <c:invertIfNegative val="0"/>
            <c:bubble3D val="0"/>
            <c:extLst>
              <c:ext xmlns:c16="http://schemas.microsoft.com/office/drawing/2014/chart" uri="{C3380CC4-5D6E-409C-BE32-E72D297353CC}">
                <c16:uniqueId val="{00000005-6280-417C-8B12-61CD6B520482}"/>
              </c:ext>
            </c:extLst>
          </c:dPt>
          <c:dPt>
            <c:idx val="5"/>
            <c:invertIfNegative val="0"/>
            <c:bubble3D val="0"/>
            <c:extLst>
              <c:ext xmlns:c16="http://schemas.microsoft.com/office/drawing/2014/chart" uri="{C3380CC4-5D6E-409C-BE32-E72D297353CC}">
                <c16:uniqueId val="{00000006-6280-417C-8B12-61CD6B520482}"/>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8-6280-417C-8B12-61CD6B520482}"/>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A-6280-417C-8B12-61CD6B520482}"/>
              </c:ext>
            </c:extLst>
          </c:dPt>
          <c:dPt>
            <c:idx val="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C-6280-417C-8B12-61CD6B520482}"/>
              </c:ext>
            </c:extLst>
          </c:dPt>
          <c:dPt>
            <c:idx val="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E-6280-417C-8B12-61CD6B520482}"/>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0.00%</c:formatCode>
                <c:ptCount val="7"/>
                <c:pt idx="0">
                  <c:v>3.4000000000000002E-2</c:v>
                </c:pt>
                <c:pt idx="1">
                  <c:v>4.2000000000000003E-2</c:v>
                </c:pt>
                <c:pt idx="2">
                  <c:v>2.3800000000000002E-2</c:v>
                </c:pt>
                <c:pt idx="3">
                  <c:v>3.4500000000000003E-2</c:v>
                </c:pt>
                <c:pt idx="4">
                  <c:v>4.7E-2</c:v>
                </c:pt>
                <c:pt idx="5">
                  <c:v>4.7399999999999998E-2</c:v>
                </c:pt>
                <c:pt idx="6" formatCode="0.0%">
                  <c:v>9.4E-2</c:v>
                </c:pt>
              </c:numCache>
            </c:numRef>
          </c:val>
          <c:extLst>
            <c:ext xmlns:c16="http://schemas.microsoft.com/office/drawing/2014/chart" uri="{C3380CC4-5D6E-409C-BE32-E72D297353CC}">
              <c16:uniqueId val="{0000000F-6280-417C-8B12-61CD6B520482}"/>
            </c:ext>
          </c:extLst>
        </c:ser>
        <c:dLbls>
          <c:dLblPos val="inEnd"/>
          <c:showLegendKey val="0"/>
          <c:showVal val="1"/>
          <c:showCatName val="0"/>
          <c:showSerName val="0"/>
          <c:showPercent val="0"/>
          <c:showBubbleSize val="0"/>
        </c:dLbls>
        <c:gapWidth val="182"/>
        <c:overlap val="-50"/>
        <c:axId val="438179160"/>
        <c:axId val="438180336"/>
      </c:barChart>
      <c:catAx>
        <c:axId val="438179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80336"/>
        <c:crosses val="autoZero"/>
        <c:auto val="1"/>
        <c:lblAlgn val="ctr"/>
        <c:lblOffset val="100"/>
        <c:noMultiLvlLbl val="0"/>
      </c:catAx>
      <c:valAx>
        <c:axId val="438180336"/>
        <c:scaling>
          <c:orientation val="minMax"/>
          <c:min val="1.0000000000000002E-2"/>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79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a:t>Podíl </a:t>
            </a:r>
            <a:r>
              <a:rPr lang="en-US" sz="1000" b="1" i="0" u="none" strike="noStrike" kern="1200" cap="none" baseline="0">
                <a:solidFill>
                  <a:sysClr val="windowText" lastClr="000000"/>
                </a:solidFill>
                <a:latin typeface="Arial Narrow" panose="020B0606020202030204" pitchFamily="34" charset="0"/>
                <a:ea typeface="+mn-ea"/>
                <a:cs typeface="+mn-cs"/>
              </a:rPr>
              <a:t>osob s jinou než českou státní příslušností</a:t>
            </a:r>
            <a:r>
              <a:rPr lang="en-US" sz="1000"/>
              <a:t> na celkovém počtu obyvatel</a:t>
            </a:r>
            <a:r>
              <a:rPr lang="cs-CZ" sz="1000"/>
              <a:t> obce</a:t>
            </a:r>
            <a:r>
              <a:rPr lang="cs-CZ" sz="1000" baseline="0"/>
              <a:t> Veverská Bítýška</a:t>
            </a:r>
            <a:r>
              <a:rPr lang="cs-CZ" sz="1000"/>
              <a:t> v letech</a:t>
            </a:r>
            <a:r>
              <a:rPr lang="cs-CZ" sz="1000" baseline="0"/>
              <a:t> 2006-2023</a:t>
            </a:r>
            <a:endParaRPr lang="en-US" sz="1000"/>
          </a:p>
        </c:rich>
      </c:tx>
      <c:layout>
        <c:manualLayout>
          <c:xMode val="edge"/>
          <c:yMode val="edge"/>
          <c:x val="0.16576381421485309"/>
          <c:y val="6.7208466411578073E-3"/>
        </c:manualLayout>
      </c:layout>
      <c:overlay val="0"/>
      <c:spPr>
        <a:noFill/>
        <a:ln>
          <a:noFill/>
        </a:ln>
        <a:effectLst/>
      </c:spPr>
    </c:title>
    <c:autoTitleDeleted val="0"/>
    <c:plotArea>
      <c:layout>
        <c:manualLayout>
          <c:layoutTarget val="inner"/>
          <c:xMode val="edge"/>
          <c:yMode val="edge"/>
          <c:x val="7.7621200127761802E-2"/>
          <c:y val="0.22267326792967584"/>
          <c:w val="0.88608571230358324"/>
          <c:h val="0.62363361772353865"/>
        </c:manualLayout>
      </c:layout>
      <c:barChart>
        <c:barDir val="bar"/>
        <c:grouping val="clustered"/>
        <c:varyColors val="0"/>
        <c:ser>
          <c:idx val="0"/>
          <c:order val="0"/>
          <c:tx>
            <c:strRef>
              <c:f>List1!$B$1</c:f>
              <c:strCache>
                <c:ptCount val="1"/>
                <c:pt idx="0">
                  <c:v>Podíl cizinců na celkovém počtu obyvatel v obci Kuřim v %</c:v>
                </c:pt>
              </c:strCache>
            </c:strRef>
          </c:tx>
          <c:spPr>
            <a:solidFill>
              <a:schemeClr val="tx2"/>
            </a:solidFill>
            <a:ln w="9525" cap="flat" cmpd="sng" algn="ctr">
              <a:noFill/>
              <a:miter lim="800000"/>
            </a:ln>
            <a:effectLst/>
          </c:spPr>
          <c:invertIfNegative val="0"/>
          <c:dPt>
            <c:idx val="0"/>
            <c:invertIfNegative val="0"/>
            <c:bubble3D val="0"/>
            <c:spPr>
              <a:solidFill>
                <a:schemeClr val="tx2"/>
              </a:solidFill>
              <a:ln w="9525" cap="flat" cmpd="sng" algn="ctr">
                <a:noFill/>
                <a:miter lim="800000"/>
              </a:ln>
              <a:effectLst/>
            </c:spPr>
            <c:extLst>
              <c:ext xmlns:c16="http://schemas.microsoft.com/office/drawing/2014/chart" uri="{C3380CC4-5D6E-409C-BE32-E72D297353CC}">
                <c16:uniqueId val="{00000001-4273-42DC-8758-6A3F416BBB87}"/>
              </c:ext>
            </c:extLst>
          </c:dPt>
          <c:dPt>
            <c:idx val="1"/>
            <c:invertIfNegative val="0"/>
            <c:bubble3D val="0"/>
            <c:extLst>
              <c:ext xmlns:c16="http://schemas.microsoft.com/office/drawing/2014/chart" uri="{C3380CC4-5D6E-409C-BE32-E72D297353CC}">
                <c16:uniqueId val="{00000002-4273-42DC-8758-6A3F416BBB87}"/>
              </c:ext>
            </c:extLst>
          </c:dPt>
          <c:dPt>
            <c:idx val="2"/>
            <c:invertIfNegative val="0"/>
            <c:bubble3D val="0"/>
            <c:extLst>
              <c:ext xmlns:c16="http://schemas.microsoft.com/office/drawing/2014/chart" uri="{C3380CC4-5D6E-409C-BE32-E72D297353CC}">
                <c16:uniqueId val="{00000003-4273-42DC-8758-6A3F416BBB87}"/>
              </c:ext>
            </c:extLst>
          </c:dPt>
          <c:dPt>
            <c:idx val="3"/>
            <c:invertIfNegative val="0"/>
            <c:bubble3D val="0"/>
            <c:extLst>
              <c:ext xmlns:c16="http://schemas.microsoft.com/office/drawing/2014/chart" uri="{C3380CC4-5D6E-409C-BE32-E72D297353CC}">
                <c16:uniqueId val="{00000004-4273-42DC-8758-6A3F416BBB87}"/>
              </c:ext>
            </c:extLst>
          </c:dPt>
          <c:dPt>
            <c:idx val="4"/>
            <c:invertIfNegative val="0"/>
            <c:bubble3D val="0"/>
            <c:extLst>
              <c:ext xmlns:c16="http://schemas.microsoft.com/office/drawing/2014/chart" uri="{C3380CC4-5D6E-409C-BE32-E72D297353CC}">
                <c16:uniqueId val="{00000005-4273-42DC-8758-6A3F416BBB87}"/>
              </c:ext>
            </c:extLst>
          </c:dPt>
          <c:dPt>
            <c:idx val="5"/>
            <c:invertIfNegative val="0"/>
            <c:bubble3D val="0"/>
            <c:extLst>
              <c:ext xmlns:c16="http://schemas.microsoft.com/office/drawing/2014/chart" uri="{C3380CC4-5D6E-409C-BE32-E72D297353CC}">
                <c16:uniqueId val="{00000006-4273-42DC-8758-6A3F416BBB87}"/>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8-4273-42DC-8758-6A3F416BBB87}"/>
              </c:ext>
            </c:extLst>
          </c:dPt>
          <c:dPt>
            <c:idx val="7"/>
            <c:invertIfNegative val="0"/>
            <c:bubble3D val="0"/>
            <c:extLst>
              <c:ext xmlns:c16="http://schemas.microsoft.com/office/drawing/2014/chart" uri="{C3380CC4-5D6E-409C-BE32-E72D297353CC}">
                <c16:uniqueId val="{00000009-4273-42DC-8758-6A3F416BBB87}"/>
              </c:ext>
            </c:extLst>
          </c:dPt>
          <c:dPt>
            <c:idx val="8"/>
            <c:invertIfNegative val="0"/>
            <c:bubble3D val="0"/>
            <c:extLst>
              <c:ext xmlns:c16="http://schemas.microsoft.com/office/drawing/2014/chart" uri="{C3380CC4-5D6E-409C-BE32-E72D297353CC}">
                <c16:uniqueId val="{0000000A-4273-42DC-8758-6A3F416BBB87}"/>
              </c:ext>
            </c:extLst>
          </c:dPt>
          <c:dPt>
            <c:idx val="9"/>
            <c:invertIfNegative val="0"/>
            <c:bubble3D val="0"/>
            <c:extLst>
              <c:ext xmlns:c16="http://schemas.microsoft.com/office/drawing/2014/chart" uri="{C3380CC4-5D6E-409C-BE32-E72D297353CC}">
                <c16:uniqueId val="{0000000B-4273-42DC-8758-6A3F416BBB87}"/>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0.00%</c:formatCode>
                <c:ptCount val="7"/>
                <c:pt idx="0">
                  <c:v>1.4999999999999999E-2</c:v>
                </c:pt>
                <c:pt idx="1">
                  <c:v>1.4999999999999999E-2</c:v>
                </c:pt>
                <c:pt idx="2">
                  <c:v>1.23E-2</c:v>
                </c:pt>
                <c:pt idx="3">
                  <c:v>5.3100000000000001E-2</c:v>
                </c:pt>
                <c:pt idx="4">
                  <c:v>6.7400000000000002E-2</c:v>
                </c:pt>
                <c:pt idx="5">
                  <c:v>9.0399999999999994E-2</c:v>
                </c:pt>
                <c:pt idx="6" formatCode="0.0%">
                  <c:v>0.10199999999999999</c:v>
                </c:pt>
              </c:numCache>
            </c:numRef>
          </c:val>
          <c:extLst>
            <c:ext xmlns:c16="http://schemas.microsoft.com/office/drawing/2014/chart" uri="{C3380CC4-5D6E-409C-BE32-E72D297353CC}">
              <c16:uniqueId val="{0000000C-4273-42DC-8758-6A3F416BBB87}"/>
            </c:ext>
          </c:extLst>
        </c:ser>
        <c:dLbls>
          <c:dLblPos val="inEnd"/>
          <c:showLegendKey val="0"/>
          <c:showVal val="1"/>
          <c:showCatName val="0"/>
          <c:showSerName val="0"/>
          <c:showPercent val="0"/>
          <c:showBubbleSize val="0"/>
        </c:dLbls>
        <c:gapWidth val="182"/>
        <c:overlap val="-50"/>
        <c:axId val="438183080"/>
        <c:axId val="432584408"/>
      </c:barChart>
      <c:catAx>
        <c:axId val="438183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2584408"/>
        <c:crosses val="autoZero"/>
        <c:auto val="1"/>
        <c:lblAlgn val="ctr"/>
        <c:lblOffset val="100"/>
        <c:noMultiLvlLbl val="0"/>
      </c:catAx>
      <c:valAx>
        <c:axId val="432584408"/>
        <c:scaling>
          <c:orientation val="minMax"/>
          <c:min val="1.0000000000000002E-2"/>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83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osob s jinou než českou státní příslušností na celkovém</a:t>
            </a:r>
            <a:r>
              <a:rPr lang="cs-CZ" sz="1000" b="1" cap="none" spc="0" baseline="0">
                <a:ln w="0"/>
                <a:solidFill>
                  <a:schemeClr val="tx1"/>
                </a:solidFill>
                <a:effectLst/>
              </a:rPr>
              <a:t> počtu obyvatel ORP Tišnov v letech 2007-2023 </a:t>
            </a:r>
            <a:r>
              <a:rPr lang="cs-CZ" sz="1000" b="1" i="0" u="none" strike="noStrike" cap="none" baseline="0">
                <a:effectLst/>
              </a:rPr>
              <a:t>(data k 1. 1. daného roku)</a:t>
            </a:r>
            <a:endParaRPr lang="cs-CZ" sz="1000" b="1" cap="none" spc="0">
              <a:ln w="0"/>
              <a:solidFill>
                <a:schemeClr val="tx1"/>
              </a:solidFill>
              <a:effectLst/>
            </a:endParaRPr>
          </a:p>
        </c:rich>
      </c:tx>
      <c:layout>
        <c:manualLayout>
          <c:xMode val="edge"/>
          <c:yMode val="edge"/>
          <c:x val="0.10001490597468077"/>
          <c:y val="8.9951067674329645E-4"/>
        </c:manualLayout>
      </c:layout>
      <c:overlay val="0"/>
      <c:spPr>
        <a:noFill/>
        <a:ln>
          <a:noFill/>
        </a:ln>
        <a:effectLst/>
      </c:sp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428023420149403E-2"/>
          <c:y val="6.5740408822523563E-2"/>
          <c:w val="0.90254980146712427"/>
          <c:h val="0.87286946274572819"/>
        </c:manualLayout>
      </c:layout>
      <c:bar3DChart>
        <c:barDir val="bar"/>
        <c:grouping val="clustered"/>
        <c:varyColors val="0"/>
        <c:ser>
          <c:idx val="0"/>
          <c:order val="0"/>
          <c:tx>
            <c:strRef>
              <c:f>List1!$B$1</c:f>
              <c:strCache>
                <c:ptCount val="1"/>
                <c:pt idx="0">
                  <c:v>Sloupec1</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4"/>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C9B-48DB-BF51-F45742A7F4E6}"/>
              </c:ext>
            </c:extLst>
          </c:dPt>
          <c:dPt>
            <c:idx val="15"/>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C9B-48DB-BF51-F45742A7F4E6}"/>
              </c:ext>
            </c:extLst>
          </c:dPt>
          <c:dPt>
            <c:idx val="16"/>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C9B-48DB-BF51-F45742A7F4E6}"/>
              </c:ext>
            </c:extLst>
          </c:dPt>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List1!$B$2:$B$18</c:f>
              <c:numCache>
                <c:formatCode>0.0%</c:formatCode>
                <c:ptCount val="17"/>
                <c:pt idx="0">
                  <c:v>1.4E-2</c:v>
                </c:pt>
                <c:pt idx="1">
                  <c:v>1.9E-2</c:v>
                </c:pt>
                <c:pt idx="2">
                  <c:v>1.7999999999999999E-2</c:v>
                </c:pt>
                <c:pt idx="3">
                  <c:v>1.7000000000000001E-2</c:v>
                </c:pt>
                <c:pt idx="4">
                  <c:v>1.4E-2</c:v>
                </c:pt>
                <c:pt idx="5">
                  <c:v>1.2999999999999999E-2</c:v>
                </c:pt>
                <c:pt idx="6">
                  <c:v>1.2E-2</c:v>
                </c:pt>
                <c:pt idx="7">
                  <c:v>1.2E-2</c:v>
                </c:pt>
                <c:pt idx="8">
                  <c:v>1.2E-2</c:v>
                </c:pt>
                <c:pt idx="9">
                  <c:v>1.2E-2</c:v>
                </c:pt>
                <c:pt idx="10">
                  <c:v>1.2E-2</c:v>
                </c:pt>
                <c:pt idx="11">
                  <c:v>1.2999999999999999E-2</c:v>
                </c:pt>
                <c:pt idx="12">
                  <c:v>1.2999999999999999E-2</c:v>
                </c:pt>
                <c:pt idx="13">
                  <c:v>1.4E-2</c:v>
                </c:pt>
                <c:pt idx="14">
                  <c:v>1.4999999999999999E-2</c:v>
                </c:pt>
                <c:pt idx="15">
                  <c:v>1.7000000000000001E-2</c:v>
                </c:pt>
                <c:pt idx="16">
                  <c:v>4.7E-2</c:v>
                </c:pt>
              </c:numCache>
            </c:numRef>
          </c:val>
          <c:shape val="cylinder"/>
          <c:extLst>
            <c:ext xmlns:c16="http://schemas.microsoft.com/office/drawing/2014/chart" uri="{C3380CC4-5D6E-409C-BE32-E72D297353CC}">
              <c16:uniqueId val="{00000004-1C9B-48DB-BF51-F45742A7F4E6}"/>
            </c:ext>
          </c:extLst>
        </c:ser>
        <c:dLbls>
          <c:showLegendKey val="0"/>
          <c:showVal val="0"/>
          <c:showCatName val="0"/>
          <c:showSerName val="0"/>
          <c:showPercent val="0"/>
          <c:showBubbleSize val="0"/>
        </c:dLbls>
        <c:gapWidth val="95"/>
        <c:shape val="box"/>
        <c:axId val="446362128"/>
        <c:axId val="446373104"/>
        <c:axId val="0"/>
      </c:bar3DChart>
      <c:catAx>
        <c:axId val="446362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6373104"/>
        <c:crosses val="autoZero"/>
        <c:auto val="1"/>
        <c:lblAlgn val="ctr"/>
        <c:lblOffset val="100"/>
        <c:noMultiLvlLbl val="0"/>
      </c:catAx>
      <c:valAx>
        <c:axId val="446373104"/>
        <c:scaling>
          <c:orientation val="minMax"/>
          <c:min val="3.0000000000000009E-3"/>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6362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i="0" u="none" strike="noStrike" cap="none" baseline="0">
                <a:effectLst/>
              </a:rPr>
              <a:t>Osoby s jinou než českou státní příslušností </a:t>
            </a:r>
            <a:r>
              <a:rPr lang="cs-CZ" sz="1000" b="1" cap="none" spc="0">
                <a:ln w="0"/>
                <a:solidFill>
                  <a:schemeClr val="tx1"/>
                </a:solidFill>
                <a:effectLst/>
              </a:rPr>
              <a:t> v ORP Tišnov podle pohlaví</a:t>
            </a:r>
          </a:p>
        </c:rich>
      </c:tx>
      <c:layout>
        <c:manualLayout>
          <c:xMode val="edge"/>
          <c:yMode val="edge"/>
          <c:x val="0.16917433818749061"/>
          <c:y val="1.62067888173948E-3"/>
        </c:manualLayout>
      </c:layout>
      <c:overlay val="0"/>
      <c:spPr>
        <a:noFill/>
        <a:ln>
          <a:noFill/>
        </a:ln>
        <a:effectLst/>
      </c:spPr>
    </c:title>
    <c:autoTitleDeleted val="0"/>
    <c:view3D>
      <c:rotX val="15"/>
      <c:rotY val="20"/>
      <c:depthPercent val="100"/>
      <c:rAngAx val="1"/>
    </c:view3D>
    <c:floor>
      <c:thickness val="0"/>
      <c:spPr>
        <a:solidFill>
          <a:schemeClr val="bg1">
            <a:lumMod val="95000"/>
            <a:alpha val="54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88698634892866E-2"/>
          <c:y val="3.9122244325185115E-2"/>
          <c:w val="0.90067873460261927"/>
          <c:h val="0.84566315892756394"/>
        </c:manualLayout>
      </c:layout>
      <c:bar3DChart>
        <c:barDir val="bar"/>
        <c:grouping val="stacked"/>
        <c:varyColors val="0"/>
        <c:ser>
          <c:idx val="0"/>
          <c:order val="0"/>
          <c:tx>
            <c:strRef>
              <c:f>List1!$B$1</c:f>
              <c:strCache>
                <c:ptCount val="1"/>
                <c:pt idx="0">
                  <c:v>muži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List1!$B$2:$B$18</c:f>
              <c:numCache>
                <c:formatCode>0.0</c:formatCode>
                <c:ptCount val="17"/>
                <c:pt idx="0">
                  <c:v>66.921119592875328</c:v>
                </c:pt>
                <c:pt idx="1">
                  <c:v>66.47834274952919</c:v>
                </c:pt>
                <c:pt idx="2">
                  <c:v>66.023166023166027</c:v>
                </c:pt>
                <c:pt idx="3">
                  <c:v>65.483234714003942</c:v>
                </c:pt>
                <c:pt idx="4">
                  <c:v>63.408521303258148</c:v>
                </c:pt>
                <c:pt idx="5">
                  <c:v>62.595419847328252</c:v>
                </c:pt>
                <c:pt idx="6">
                  <c:v>58.563535911602202</c:v>
                </c:pt>
                <c:pt idx="7">
                  <c:v>58.602150537634415</c:v>
                </c:pt>
                <c:pt idx="8">
                  <c:v>58.082191780821915</c:v>
                </c:pt>
                <c:pt idx="9">
                  <c:v>56.6579634464752</c:v>
                </c:pt>
                <c:pt idx="10">
                  <c:v>54.639175257731956</c:v>
                </c:pt>
                <c:pt idx="11">
                  <c:v>55.527638190954775</c:v>
                </c:pt>
                <c:pt idx="12">
                  <c:v>54.823529411764703</c:v>
                </c:pt>
                <c:pt idx="13">
                  <c:v>54.932735426008975</c:v>
                </c:pt>
                <c:pt idx="14">
                  <c:v>55.020920502092054</c:v>
                </c:pt>
                <c:pt idx="15">
                  <c:v>54.409005628517825</c:v>
                </c:pt>
                <c:pt idx="16">
                  <c:v>45.7</c:v>
                </c:pt>
              </c:numCache>
            </c:numRef>
          </c:val>
          <c:extLst>
            <c:ext xmlns:c16="http://schemas.microsoft.com/office/drawing/2014/chart" uri="{C3380CC4-5D6E-409C-BE32-E72D297353CC}">
              <c16:uniqueId val="{00000000-753D-493B-BC0F-FD787D412FCB}"/>
            </c:ext>
          </c:extLst>
        </c:ser>
        <c:ser>
          <c:idx val="1"/>
          <c:order val="1"/>
          <c:tx>
            <c:strRef>
              <c:f>List1!$C$1</c:f>
              <c:strCache>
                <c:ptCount val="1"/>
                <c:pt idx="0">
                  <c:v>ženy</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List1!$C$2:$C$18</c:f>
              <c:numCache>
                <c:formatCode>0.0</c:formatCode>
                <c:ptCount val="17"/>
                <c:pt idx="0">
                  <c:v>33.078880407124686</c:v>
                </c:pt>
                <c:pt idx="1">
                  <c:v>33.52165725047081</c:v>
                </c:pt>
                <c:pt idx="2">
                  <c:v>33.976833976833973</c:v>
                </c:pt>
                <c:pt idx="3">
                  <c:v>34.516765285996051</c:v>
                </c:pt>
                <c:pt idx="4">
                  <c:v>36.591478696741852</c:v>
                </c:pt>
                <c:pt idx="5">
                  <c:v>37.404580152671755</c:v>
                </c:pt>
                <c:pt idx="6">
                  <c:v>41.436464088397791</c:v>
                </c:pt>
                <c:pt idx="7">
                  <c:v>41.397849462365592</c:v>
                </c:pt>
                <c:pt idx="8">
                  <c:v>41.917808219178085</c:v>
                </c:pt>
                <c:pt idx="9">
                  <c:v>43.342036553524807</c:v>
                </c:pt>
                <c:pt idx="10">
                  <c:v>45.360824742268044</c:v>
                </c:pt>
                <c:pt idx="11">
                  <c:v>44.472361809045225</c:v>
                </c:pt>
                <c:pt idx="12">
                  <c:v>45.176470588235297</c:v>
                </c:pt>
                <c:pt idx="13">
                  <c:v>45.067264573991032</c:v>
                </c:pt>
                <c:pt idx="14">
                  <c:v>44.979079497907946</c:v>
                </c:pt>
                <c:pt idx="15">
                  <c:v>45.590994371482175</c:v>
                </c:pt>
                <c:pt idx="16">
                  <c:v>54.3</c:v>
                </c:pt>
              </c:numCache>
            </c:numRef>
          </c:val>
          <c:extLst>
            <c:ext xmlns:c16="http://schemas.microsoft.com/office/drawing/2014/chart" uri="{C3380CC4-5D6E-409C-BE32-E72D297353CC}">
              <c16:uniqueId val="{00000001-753D-493B-BC0F-FD787D412FCB}"/>
            </c:ext>
          </c:extLst>
        </c:ser>
        <c:dLbls>
          <c:showLegendKey val="0"/>
          <c:showVal val="0"/>
          <c:showCatName val="0"/>
          <c:showSerName val="0"/>
          <c:showPercent val="0"/>
          <c:showBubbleSize val="0"/>
        </c:dLbls>
        <c:gapWidth val="72"/>
        <c:shape val="cylinder"/>
        <c:axId val="446369576"/>
        <c:axId val="446364480"/>
        <c:axId val="0"/>
      </c:bar3DChart>
      <c:catAx>
        <c:axId val="446369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6364480"/>
        <c:crosses val="autoZero"/>
        <c:auto val="1"/>
        <c:lblAlgn val="ctr"/>
        <c:lblOffset val="100"/>
        <c:noMultiLvlLbl val="0"/>
      </c:catAx>
      <c:valAx>
        <c:axId val="44636448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6369576"/>
        <c:crosses val="autoZero"/>
        <c:crossBetween val="between"/>
      </c:valAx>
      <c:spPr>
        <a:noFill/>
        <a:ln>
          <a:noFill/>
        </a:ln>
        <a:effectLst/>
      </c:spPr>
    </c:plotArea>
    <c:legend>
      <c:legendPos val="b"/>
      <c:layout>
        <c:manualLayout>
          <c:xMode val="edge"/>
          <c:yMode val="edge"/>
          <c:x val="0.40829403273631165"/>
          <c:y val="0.9439049994652059"/>
          <c:w val="0.18340897491980168"/>
          <c:h val="5.449081476091452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b="1" i="0" baseline="0">
                <a:effectLst/>
              </a:rPr>
              <a:t>Podíl </a:t>
            </a:r>
            <a:r>
              <a:rPr lang="cs-CZ" sz="1000" b="1" i="0" baseline="0">
                <a:effectLst/>
              </a:rPr>
              <a:t>osob s jinou než českou státní příslušností</a:t>
            </a:r>
            <a:r>
              <a:rPr lang="en-US" sz="1000" b="1" i="0" baseline="0">
                <a:effectLst/>
              </a:rPr>
              <a:t> na celkovém počtu obyvatel</a:t>
            </a:r>
            <a:r>
              <a:rPr lang="cs-CZ" sz="1000" b="1" i="0" baseline="0">
                <a:effectLst/>
              </a:rPr>
              <a:t> vybraných obcí k 1. 1. 2021</a:t>
            </a:r>
            <a:endParaRPr lang="en-US" sz="1000" b="1" i="0" baseline="0">
              <a:effectLst/>
            </a:endParaRPr>
          </a:p>
        </c:rich>
      </c:tx>
      <c:layout>
        <c:manualLayout>
          <c:xMode val="edge"/>
          <c:yMode val="edge"/>
          <c:x val="0.11311728395061728"/>
          <c:y val="3.1214848143982002E-3"/>
        </c:manualLayout>
      </c:layout>
      <c:overlay val="0"/>
      <c:spPr>
        <a:noFill/>
        <a:ln>
          <a:noFill/>
        </a:ln>
        <a:effectLst/>
      </c:spPr>
    </c:title>
    <c:autoTitleDeleted val="0"/>
    <c:plotArea>
      <c:layout>
        <c:manualLayout>
          <c:layoutTarget val="inner"/>
          <c:xMode val="edge"/>
          <c:yMode val="edge"/>
          <c:x val="0.12832666749989582"/>
          <c:y val="0.13805164395944283"/>
          <c:w val="0.83538029968476157"/>
          <c:h val="0.76667864649698869"/>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798F-4E41-A066-75FC4280B0B7}"/>
              </c:ext>
            </c:extLst>
          </c:dPt>
          <c:dPt>
            <c:idx val="1"/>
            <c:invertIfNegative val="0"/>
            <c:bubble3D val="0"/>
            <c:extLst>
              <c:ext xmlns:c16="http://schemas.microsoft.com/office/drawing/2014/chart" uri="{C3380CC4-5D6E-409C-BE32-E72D297353CC}">
                <c16:uniqueId val="{00000001-798F-4E41-A066-75FC4280B0B7}"/>
              </c:ext>
            </c:extLst>
          </c:dPt>
          <c:dPt>
            <c:idx val="2"/>
            <c:invertIfNegative val="0"/>
            <c:bubble3D val="0"/>
            <c:extLst>
              <c:ext xmlns:c16="http://schemas.microsoft.com/office/drawing/2014/chart" uri="{C3380CC4-5D6E-409C-BE32-E72D297353CC}">
                <c16:uniqueId val="{00000002-798F-4E41-A066-75FC4280B0B7}"/>
              </c:ext>
            </c:extLst>
          </c:dPt>
          <c:dPt>
            <c:idx val="3"/>
            <c:invertIfNegative val="0"/>
            <c:bubble3D val="0"/>
            <c:extLst>
              <c:ext xmlns:c16="http://schemas.microsoft.com/office/drawing/2014/chart" uri="{C3380CC4-5D6E-409C-BE32-E72D297353CC}">
                <c16:uniqueId val="{00000003-798F-4E41-A066-75FC4280B0B7}"/>
              </c:ext>
            </c:extLst>
          </c:dPt>
          <c:dPt>
            <c:idx val="4"/>
            <c:invertIfNegative val="0"/>
            <c:bubble3D val="0"/>
            <c:extLst>
              <c:ext xmlns:c16="http://schemas.microsoft.com/office/drawing/2014/chart" uri="{C3380CC4-5D6E-409C-BE32-E72D297353CC}">
                <c16:uniqueId val="{00000004-798F-4E41-A066-75FC4280B0B7}"/>
              </c:ext>
            </c:extLst>
          </c:dPt>
          <c:dPt>
            <c:idx val="5"/>
            <c:invertIfNegative val="0"/>
            <c:bubble3D val="0"/>
            <c:extLst>
              <c:ext xmlns:c16="http://schemas.microsoft.com/office/drawing/2014/chart" uri="{C3380CC4-5D6E-409C-BE32-E72D297353CC}">
                <c16:uniqueId val="{00000005-798F-4E41-A066-75FC4280B0B7}"/>
              </c:ext>
            </c:extLst>
          </c:dPt>
          <c:dPt>
            <c:idx val="6"/>
            <c:invertIfNegative val="0"/>
            <c:bubble3D val="0"/>
            <c:extLst>
              <c:ext xmlns:c16="http://schemas.microsoft.com/office/drawing/2014/chart" uri="{C3380CC4-5D6E-409C-BE32-E72D297353CC}">
                <c16:uniqueId val="{00000006-798F-4E41-A066-75FC4280B0B7}"/>
              </c:ext>
            </c:extLst>
          </c:dPt>
          <c:dPt>
            <c:idx val="7"/>
            <c:invertIfNegative val="0"/>
            <c:bubble3D val="0"/>
            <c:extLst>
              <c:ext xmlns:c16="http://schemas.microsoft.com/office/drawing/2014/chart" uri="{C3380CC4-5D6E-409C-BE32-E72D297353CC}">
                <c16:uniqueId val="{00000007-798F-4E41-A066-75FC4280B0B7}"/>
              </c:ext>
            </c:extLst>
          </c:dPt>
          <c:dPt>
            <c:idx val="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798F-4E41-A066-75FC4280B0B7}"/>
              </c:ext>
            </c:extLst>
          </c:dPt>
          <c:dPt>
            <c:idx val="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798F-4E41-A066-75FC4280B0B7}"/>
              </c:ext>
            </c:extLst>
          </c:dPt>
          <c:dPt>
            <c:idx val="10"/>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D-798F-4E41-A066-75FC4280B0B7}"/>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List1!$A$2:$A$12</c:f>
              <c:strCache>
                <c:ptCount val="11"/>
                <c:pt idx="0">
                  <c:v>Nedvědice</c:v>
                </c:pt>
                <c:pt idx="1">
                  <c:v>Drásov</c:v>
                </c:pt>
                <c:pt idx="2">
                  <c:v>Malhostovice</c:v>
                </c:pt>
                <c:pt idx="3">
                  <c:v>Tišnov</c:v>
                </c:pt>
                <c:pt idx="4">
                  <c:v>Lažánky</c:v>
                </c:pt>
                <c:pt idx="5">
                  <c:v>Předklášteří</c:v>
                </c:pt>
                <c:pt idx="6">
                  <c:v>Deblín</c:v>
                </c:pt>
                <c:pt idx="7">
                  <c:v>Doubravník</c:v>
                </c:pt>
                <c:pt idx="8">
                  <c:v>Březina </c:v>
                </c:pt>
                <c:pt idx="9">
                  <c:v>Železné</c:v>
                </c:pt>
                <c:pt idx="10">
                  <c:v>Lomnička</c:v>
                </c:pt>
              </c:strCache>
            </c:strRef>
          </c:cat>
          <c:val>
            <c:numRef>
              <c:f>List1!$B$2:$B$12</c:f>
              <c:numCache>
                <c:formatCode>0.00%</c:formatCode>
                <c:ptCount val="11"/>
                <c:pt idx="0">
                  <c:v>8.0000000000000002E-3</c:v>
                </c:pt>
                <c:pt idx="1">
                  <c:v>1.4E-2</c:v>
                </c:pt>
                <c:pt idx="2">
                  <c:v>1.7000000000000001E-2</c:v>
                </c:pt>
                <c:pt idx="3" formatCode="0%">
                  <c:v>0.02</c:v>
                </c:pt>
                <c:pt idx="4">
                  <c:v>2.1000000000000001E-2</c:v>
                </c:pt>
                <c:pt idx="5">
                  <c:v>2.1000000000000001E-2</c:v>
                </c:pt>
                <c:pt idx="6">
                  <c:v>2.1999999999999999E-2</c:v>
                </c:pt>
                <c:pt idx="7">
                  <c:v>2.3E-2</c:v>
                </c:pt>
                <c:pt idx="8" formatCode="0%">
                  <c:v>0.03</c:v>
                </c:pt>
                <c:pt idx="9" formatCode="0%">
                  <c:v>0.03</c:v>
                </c:pt>
                <c:pt idx="10">
                  <c:v>3.7999999999999999E-2</c:v>
                </c:pt>
              </c:numCache>
            </c:numRef>
          </c:val>
          <c:extLst>
            <c:ext xmlns:c16="http://schemas.microsoft.com/office/drawing/2014/chart" uri="{C3380CC4-5D6E-409C-BE32-E72D297353CC}">
              <c16:uniqueId val="{0000000E-798F-4E41-A066-75FC4280B0B7}"/>
            </c:ext>
          </c:extLst>
        </c:ser>
        <c:dLbls>
          <c:dLblPos val="inEnd"/>
          <c:showLegendKey val="0"/>
          <c:showVal val="1"/>
          <c:showCatName val="0"/>
          <c:showSerName val="0"/>
          <c:showPercent val="0"/>
          <c:showBubbleSize val="0"/>
        </c:dLbls>
        <c:gapWidth val="182"/>
        <c:overlap val="-50"/>
        <c:axId val="446361736"/>
        <c:axId val="446363304"/>
      </c:barChart>
      <c:catAx>
        <c:axId val="446361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63304"/>
        <c:crosses val="autoZero"/>
        <c:auto val="1"/>
        <c:lblAlgn val="ctr"/>
        <c:lblOffset val="100"/>
        <c:noMultiLvlLbl val="0"/>
      </c:catAx>
      <c:valAx>
        <c:axId val="446363304"/>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61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b="1" i="0" baseline="0">
                <a:effectLst/>
              </a:rPr>
              <a:t>Podíl </a:t>
            </a:r>
            <a:r>
              <a:rPr lang="cs-CZ" sz="1000" b="1" i="0" baseline="0">
                <a:effectLst/>
              </a:rPr>
              <a:t>osob s jinou než českou státní příslušností</a:t>
            </a:r>
            <a:r>
              <a:rPr lang="en-US" sz="1000" b="1" i="0" baseline="0">
                <a:effectLst/>
              </a:rPr>
              <a:t> na celkovém počtu obyvatel</a:t>
            </a:r>
            <a:r>
              <a:rPr lang="cs-CZ" sz="1000" b="1" i="0" baseline="0">
                <a:effectLst/>
              </a:rPr>
              <a:t> vybraných obcí k 1. 1. 2022</a:t>
            </a:r>
            <a:endParaRPr lang="en-US" sz="1000" b="1" i="0" baseline="0">
              <a:effectLst/>
            </a:endParaRPr>
          </a:p>
        </c:rich>
      </c:tx>
      <c:layout>
        <c:manualLayout>
          <c:xMode val="edge"/>
          <c:yMode val="edge"/>
          <c:x val="0.11091269841269841"/>
          <c:y val="4.7445937269840182E-3"/>
        </c:manualLayout>
      </c:layout>
      <c:overlay val="0"/>
      <c:spPr>
        <a:noFill/>
        <a:ln>
          <a:noFill/>
        </a:ln>
        <a:effectLst/>
      </c:spPr>
    </c:title>
    <c:autoTitleDeleted val="0"/>
    <c:plotArea>
      <c:layout>
        <c:manualLayout>
          <c:layoutTarget val="inner"/>
          <c:xMode val="edge"/>
          <c:yMode val="edge"/>
          <c:x val="0.12832666749989582"/>
          <c:y val="0.11117026741764038"/>
          <c:w val="0.83538029968476157"/>
          <c:h val="0.80870677313454942"/>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C90C-46A8-BCAE-139E036F2065}"/>
              </c:ext>
            </c:extLst>
          </c:dPt>
          <c:dPt>
            <c:idx val="1"/>
            <c:invertIfNegative val="0"/>
            <c:bubble3D val="0"/>
            <c:extLst>
              <c:ext xmlns:c16="http://schemas.microsoft.com/office/drawing/2014/chart" uri="{C3380CC4-5D6E-409C-BE32-E72D297353CC}">
                <c16:uniqueId val="{00000001-C90C-46A8-BCAE-139E036F2065}"/>
              </c:ext>
            </c:extLst>
          </c:dPt>
          <c:dPt>
            <c:idx val="2"/>
            <c:invertIfNegative val="0"/>
            <c:bubble3D val="0"/>
            <c:extLst>
              <c:ext xmlns:c16="http://schemas.microsoft.com/office/drawing/2014/chart" uri="{C3380CC4-5D6E-409C-BE32-E72D297353CC}">
                <c16:uniqueId val="{00000002-C90C-46A8-BCAE-139E036F2065}"/>
              </c:ext>
            </c:extLst>
          </c:dPt>
          <c:dPt>
            <c:idx val="3"/>
            <c:invertIfNegative val="0"/>
            <c:bubble3D val="0"/>
            <c:extLst>
              <c:ext xmlns:c16="http://schemas.microsoft.com/office/drawing/2014/chart" uri="{C3380CC4-5D6E-409C-BE32-E72D297353CC}">
                <c16:uniqueId val="{00000003-C90C-46A8-BCAE-139E036F2065}"/>
              </c:ext>
            </c:extLst>
          </c:dPt>
          <c:dPt>
            <c:idx val="5"/>
            <c:invertIfNegative val="0"/>
            <c:bubble3D val="0"/>
            <c:extLst>
              <c:ext xmlns:c16="http://schemas.microsoft.com/office/drawing/2014/chart" uri="{C3380CC4-5D6E-409C-BE32-E72D297353CC}">
                <c16:uniqueId val="{00000004-C90C-46A8-BCAE-139E036F2065}"/>
              </c:ext>
            </c:extLst>
          </c:dPt>
          <c:dPt>
            <c:idx val="6"/>
            <c:invertIfNegative val="0"/>
            <c:bubble3D val="0"/>
            <c:extLst>
              <c:ext xmlns:c16="http://schemas.microsoft.com/office/drawing/2014/chart" uri="{C3380CC4-5D6E-409C-BE32-E72D297353CC}">
                <c16:uniqueId val="{00000005-C90C-46A8-BCAE-139E036F2065}"/>
              </c:ext>
            </c:extLst>
          </c:dPt>
          <c:dPt>
            <c:idx val="7"/>
            <c:invertIfNegative val="0"/>
            <c:bubble3D val="0"/>
            <c:extLst>
              <c:ext xmlns:c16="http://schemas.microsoft.com/office/drawing/2014/chart" uri="{C3380CC4-5D6E-409C-BE32-E72D297353CC}">
                <c16:uniqueId val="{00000006-C90C-46A8-BCAE-139E036F2065}"/>
              </c:ext>
            </c:extLst>
          </c:dPt>
          <c:dPt>
            <c:idx val="9"/>
            <c:invertIfNegative val="0"/>
            <c:bubble3D val="0"/>
            <c:extLst>
              <c:ext xmlns:c16="http://schemas.microsoft.com/office/drawing/2014/chart" uri="{C3380CC4-5D6E-409C-BE32-E72D297353CC}">
                <c16:uniqueId val="{00000007-C90C-46A8-BCAE-139E036F2065}"/>
              </c:ext>
            </c:extLst>
          </c:dPt>
          <c:dPt>
            <c:idx val="11"/>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C90C-46A8-BCAE-139E036F2065}"/>
              </c:ext>
            </c:extLst>
          </c:dPt>
          <c:dPt>
            <c:idx val="12"/>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C90C-46A8-BCAE-139E036F2065}"/>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List1!$A$2:$A$14</c:f>
              <c:strCache>
                <c:ptCount val="13"/>
                <c:pt idx="0">
                  <c:v>Dolní Loučky</c:v>
                </c:pt>
                <c:pt idx="1">
                  <c:v>Nedvědice</c:v>
                </c:pt>
                <c:pt idx="2">
                  <c:v>Lomnice</c:v>
                </c:pt>
                <c:pt idx="3">
                  <c:v>Drásov</c:v>
                </c:pt>
                <c:pt idx="4">
                  <c:v>Předklášteří</c:v>
                </c:pt>
                <c:pt idx="5">
                  <c:v>Lažánky</c:v>
                </c:pt>
                <c:pt idx="6">
                  <c:v>Malhostovice</c:v>
                </c:pt>
                <c:pt idx="7">
                  <c:v>Doubravník</c:v>
                </c:pt>
                <c:pt idx="8">
                  <c:v>Tišnov</c:v>
                </c:pt>
                <c:pt idx="9">
                  <c:v>Deblín</c:v>
                </c:pt>
                <c:pt idx="10">
                  <c:v>Železné</c:v>
                </c:pt>
                <c:pt idx="11">
                  <c:v>Lomnička</c:v>
                </c:pt>
                <c:pt idx="12">
                  <c:v>Braníškov</c:v>
                </c:pt>
              </c:strCache>
            </c:strRef>
          </c:cat>
          <c:val>
            <c:numRef>
              <c:f>List1!$B$2:$B$14</c:f>
              <c:numCache>
                <c:formatCode>0%</c:formatCode>
                <c:ptCount val="13"/>
                <c:pt idx="0" formatCode="0.00%">
                  <c:v>8.9999999999999993E-3</c:v>
                </c:pt>
                <c:pt idx="1">
                  <c:v>0.01</c:v>
                </c:pt>
                <c:pt idx="2" formatCode="0.00%">
                  <c:v>1.0999999999999999E-2</c:v>
                </c:pt>
                <c:pt idx="3" formatCode="0.00%">
                  <c:v>2.1000000000000001E-2</c:v>
                </c:pt>
                <c:pt idx="4" formatCode="0.00%">
                  <c:v>2.1000000000000001E-2</c:v>
                </c:pt>
                <c:pt idx="5" formatCode="0.00%">
                  <c:v>2.5000000000000001E-2</c:v>
                </c:pt>
                <c:pt idx="6" formatCode="0.00%">
                  <c:v>2.5999999999999999E-2</c:v>
                </c:pt>
                <c:pt idx="7" formatCode="0.00%">
                  <c:v>2.7E-2</c:v>
                </c:pt>
                <c:pt idx="8" formatCode="0.00%">
                  <c:v>2.8000000000000001E-2</c:v>
                </c:pt>
                <c:pt idx="9" formatCode="0.00%">
                  <c:v>3.3000000000000002E-2</c:v>
                </c:pt>
                <c:pt idx="10" formatCode="0.00%">
                  <c:v>3.6999999999999998E-2</c:v>
                </c:pt>
                <c:pt idx="11" formatCode="0.00%">
                  <c:v>4.4999999999999998E-2</c:v>
                </c:pt>
                <c:pt idx="12">
                  <c:v>0.05</c:v>
                </c:pt>
              </c:numCache>
            </c:numRef>
          </c:val>
          <c:extLst>
            <c:ext xmlns:c16="http://schemas.microsoft.com/office/drawing/2014/chart" uri="{C3380CC4-5D6E-409C-BE32-E72D297353CC}">
              <c16:uniqueId val="{0000000C-C90C-46A8-BCAE-139E036F2065}"/>
            </c:ext>
          </c:extLst>
        </c:ser>
        <c:dLbls>
          <c:dLblPos val="inEnd"/>
          <c:showLegendKey val="0"/>
          <c:showVal val="1"/>
          <c:showCatName val="0"/>
          <c:showSerName val="0"/>
          <c:showPercent val="0"/>
          <c:showBubbleSize val="0"/>
        </c:dLbls>
        <c:gapWidth val="182"/>
        <c:overlap val="-50"/>
        <c:axId val="446368792"/>
        <c:axId val="446370360"/>
      </c:barChart>
      <c:catAx>
        <c:axId val="446368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0360"/>
        <c:crosses val="autoZero"/>
        <c:auto val="1"/>
        <c:lblAlgn val="ctr"/>
        <c:lblOffset val="100"/>
        <c:noMultiLvlLbl val="0"/>
      </c:catAx>
      <c:valAx>
        <c:axId val="446370360"/>
        <c:scaling>
          <c:orientation val="minMax"/>
          <c:max val="5.5000000000000007E-2"/>
          <c:min val="0"/>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68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b="1" i="0" baseline="0">
                <a:effectLst/>
              </a:rPr>
              <a:t>Podíl </a:t>
            </a:r>
            <a:r>
              <a:rPr lang="cs-CZ" sz="1000" b="1" i="0" baseline="0">
                <a:effectLst/>
              </a:rPr>
              <a:t>osob s jinou než českou státní příslušností</a:t>
            </a:r>
            <a:r>
              <a:rPr lang="en-US" sz="1000" b="1" i="0" baseline="0">
                <a:effectLst/>
              </a:rPr>
              <a:t> na celkovém počtu obyvatel</a:t>
            </a:r>
            <a:r>
              <a:rPr lang="cs-CZ" sz="1000" b="1" i="0" baseline="0">
                <a:effectLst/>
              </a:rPr>
              <a:t> vybraných obcí k 1. 1. 2023</a:t>
            </a:r>
            <a:endParaRPr lang="en-US" sz="1000" b="1" i="0" baseline="0">
              <a:effectLst/>
            </a:endParaRPr>
          </a:p>
        </c:rich>
      </c:tx>
      <c:layout>
        <c:manualLayout>
          <c:xMode val="edge"/>
          <c:yMode val="edge"/>
          <c:x val="0.11311728395061728"/>
          <c:y val="3.1214848143982002E-3"/>
        </c:manualLayout>
      </c:layout>
      <c:overlay val="0"/>
      <c:spPr>
        <a:noFill/>
        <a:ln>
          <a:noFill/>
        </a:ln>
        <a:effectLst/>
      </c:spPr>
    </c:title>
    <c:autoTitleDeleted val="0"/>
    <c:plotArea>
      <c:layout>
        <c:manualLayout>
          <c:layoutTarget val="inner"/>
          <c:xMode val="edge"/>
          <c:yMode val="edge"/>
          <c:x val="0.1896548477243965"/>
          <c:y val="8.8541326202149259E-2"/>
          <c:w val="0.77917130627459286"/>
          <c:h val="0.82741717426831074"/>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9AE9-4135-BFFC-C0E806879D46}"/>
              </c:ext>
            </c:extLst>
          </c:dPt>
          <c:dPt>
            <c:idx val="1"/>
            <c:invertIfNegative val="0"/>
            <c:bubble3D val="0"/>
            <c:extLst>
              <c:ext xmlns:c16="http://schemas.microsoft.com/office/drawing/2014/chart" uri="{C3380CC4-5D6E-409C-BE32-E72D297353CC}">
                <c16:uniqueId val="{00000001-9AE9-4135-BFFC-C0E806879D46}"/>
              </c:ext>
            </c:extLst>
          </c:dPt>
          <c:dPt>
            <c:idx val="2"/>
            <c:invertIfNegative val="0"/>
            <c:bubble3D val="0"/>
            <c:extLst>
              <c:ext xmlns:c16="http://schemas.microsoft.com/office/drawing/2014/chart" uri="{C3380CC4-5D6E-409C-BE32-E72D297353CC}">
                <c16:uniqueId val="{00000002-9AE9-4135-BFFC-C0E806879D46}"/>
              </c:ext>
            </c:extLst>
          </c:dPt>
          <c:dPt>
            <c:idx val="3"/>
            <c:invertIfNegative val="0"/>
            <c:bubble3D val="0"/>
            <c:extLst>
              <c:ext xmlns:c16="http://schemas.microsoft.com/office/drawing/2014/chart" uri="{C3380CC4-5D6E-409C-BE32-E72D297353CC}">
                <c16:uniqueId val="{00000003-9AE9-4135-BFFC-C0E806879D46}"/>
              </c:ext>
            </c:extLst>
          </c:dPt>
          <c:dPt>
            <c:idx val="4"/>
            <c:invertIfNegative val="0"/>
            <c:bubble3D val="0"/>
            <c:extLst>
              <c:ext xmlns:c16="http://schemas.microsoft.com/office/drawing/2014/chart" uri="{C3380CC4-5D6E-409C-BE32-E72D297353CC}">
                <c16:uniqueId val="{00000004-9AE9-4135-BFFC-C0E806879D46}"/>
              </c:ext>
            </c:extLst>
          </c:dPt>
          <c:dPt>
            <c:idx val="5"/>
            <c:invertIfNegative val="0"/>
            <c:bubble3D val="0"/>
            <c:extLst>
              <c:ext xmlns:c16="http://schemas.microsoft.com/office/drawing/2014/chart" uri="{C3380CC4-5D6E-409C-BE32-E72D297353CC}">
                <c16:uniqueId val="{00000005-9AE9-4135-BFFC-C0E806879D46}"/>
              </c:ext>
            </c:extLst>
          </c:dPt>
          <c:dPt>
            <c:idx val="6"/>
            <c:invertIfNegative val="0"/>
            <c:bubble3D val="0"/>
            <c:extLst>
              <c:ext xmlns:c16="http://schemas.microsoft.com/office/drawing/2014/chart" uri="{C3380CC4-5D6E-409C-BE32-E72D297353CC}">
                <c16:uniqueId val="{00000006-9AE9-4135-BFFC-C0E806879D46}"/>
              </c:ext>
            </c:extLst>
          </c:dPt>
          <c:dPt>
            <c:idx val="7"/>
            <c:invertIfNegative val="0"/>
            <c:bubble3D val="0"/>
            <c:extLst>
              <c:ext xmlns:c16="http://schemas.microsoft.com/office/drawing/2014/chart" uri="{C3380CC4-5D6E-409C-BE32-E72D297353CC}">
                <c16:uniqueId val="{00000007-9AE9-4135-BFFC-C0E806879D46}"/>
              </c:ext>
            </c:extLst>
          </c:dPt>
          <c:dPt>
            <c:idx val="8"/>
            <c:invertIfNegative val="0"/>
            <c:bubble3D val="0"/>
            <c:spPr>
              <a:solidFill>
                <a:schemeClr val="tx2">
                  <a:lumMod val="75000"/>
                </a:schemeClr>
              </a:solidFill>
              <a:ln w="9525" cap="flat" cmpd="sng" algn="ctr">
                <a:noFill/>
                <a:miter lim="800000"/>
              </a:ln>
              <a:effectLst/>
            </c:spPr>
            <c:extLst>
              <c:ext xmlns:c16="http://schemas.microsoft.com/office/drawing/2014/chart" uri="{C3380CC4-5D6E-409C-BE32-E72D297353CC}">
                <c16:uniqueId val="{00000009-9AE9-4135-BFFC-C0E806879D46}"/>
              </c:ext>
            </c:extLst>
          </c:dPt>
          <c:dPt>
            <c:idx val="9"/>
            <c:invertIfNegative val="0"/>
            <c:bubble3D val="0"/>
            <c:spPr>
              <a:solidFill>
                <a:schemeClr val="tx2">
                  <a:lumMod val="75000"/>
                </a:schemeClr>
              </a:solidFill>
              <a:ln w="9525" cap="flat" cmpd="sng" algn="ctr">
                <a:noFill/>
                <a:miter lim="800000"/>
              </a:ln>
              <a:effectLst/>
            </c:spPr>
            <c:extLst>
              <c:ext xmlns:c16="http://schemas.microsoft.com/office/drawing/2014/chart" uri="{C3380CC4-5D6E-409C-BE32-E72D297353CC}">
                <c16:uniqueId val="{0000000B-9AE9-4135-BFFC-C0E806879D46}"/>
              </c:ext>
            </c:extLst>
          </c:dPt>
          <c:dPt>
            <c:idx val="10"/>
            <c:invertIfNegative val="0"/>
            <c:bubble3D val="0"/>
            <c:spPr>
              <a:solidFill>
                <a:schemeClr val="tx2">
                  <a:lumMod val="75000"/>
                </a:schemeClr>
              </a:solidFill>
              <a:ln w="9525" cap="flat" cmpd="sng" algn="ctr">
                <a:noFill/>
                <a:miter lim="800000"/>
              </a:ln>
              <a:effectLst/>
            </c:spPr>
            <c:extLst>
              <c:ext xmlns:c16="http://schemas.microsoft.com/office/drawing/2014/chart" uri="{C3380CC4-5D6E-409C-BE32-E72D297353CC}">
                <c16:uniqueId val="{0000000D-9AE9-4135-BFFC-C0E806879D46}"/>
              </c:ext>
            </c:extLst>
          </c:dPt>
          <c:dPt>
            <c:idx val="20"/>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F-9AE9-4135-BFFC-C0E806879D46}"/>
              </c:ext>
            </c:extLst>
          </c:dPt>
          <c:dPt>
            <c:idx val="21"/>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1-9AE9-4135-BFFC-C0E806879D46}"/>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List1!$A$2:$A$23</c:f>
              <c:strCache>
                <c:ptCount val="22"/>
                <c:pt idx="0">
                  <c:v>Dolní Loučky</c:v>
                </c:pt>
                <c:pt idx="1">
                  <c:v>Nedvědice</c:v>
                </c:pt>
                <c:pt idx="2">
                  <c:v>Hradčany</c:v>
                </c:pt>
                <c:pt idx="3">
                  <c:v>Malhostovice</c:v>
                </c:pt>
                <c:pt idx="4">
                  <c:v>Drásov</c:v>
                </c:pt>
                <c:pt idx="5">
                  <c:v>Svatoslav</c:v>
                </c:pt>
                <c:pt idx="6">
                  <c:v>Sentice</c:v>
                </c:pt>
                <c:pt idx="7">
                  <c:v>Kaly</c:v>
                </c:pt>
                <c:pt idx="8">
                  <c:v>Lomnice</c:v>
                </c:pt>
                <c:pt idx="9">
                  <c:v>Železné</c:v>
                </c:pt>
                <c:pt idx="10">
                  <c:v>Olší</c:v>
                </c:pt>
                <c:pt idx="11">
                  <c:v>Žďárec</c:v>
                </c:pt>
                <c:pt idx="12">
                  <c:v>Tišnov</c:v>
                </c:pt>
                <c:pt idx="13">
                  <c:v>Předklášteří</c:v>
                </c:pt>
                <c:pt idx="14">
                  <c:v>Deblín</c:v>
                </c:pt>
                <c:pt idx="15">
                  <c:v>Březina</c:v>
                </c:pt>
                <c:pt idx="16">
                  <c:v>Lomnička</c:v>
                </c:pt>
                <c:pt idx="17">
                  <c:v>Braníškov</c:v>
                </c:pt>
                <c:pt idx="18">
                  <c:v>Doubravník</c:v>
                </c:pt>
                <c:pt idx="19">
                  <c:v>Pernštejnské Jestřabí</c:v>
                </c:pt>
                <c:pt idx="20">
                  <c:v>Běleč</c:v>
                </c:pt>
                <c:pt idx="21">
                  <c:v>Lažánky</c:v>
                </c:pt>
              </c:strCache>
            </c:strRef>
          </c:cat>
          <c:val>
            <c:numRef>
              <c:f>List1!$B$2:$B$23</c:f>
              <c:numCache>
                <c:formatCode>0.0%</c:formatCode>
                <c:ptCount val="22"/>
                <c:pt idx="0">
                  <c:v>1.7164179104477612E-2</c:v>
                </c:pt>
                <c:pt idx="1">
                  <c:v>1.7964071856287425E-2</c:v>
                </c:pt>
                <c:pt idx="2">
                  <c:v>2.4817518248175182E-2</c:v>
                </c:pt>
                <c:pt idx="3">
                  <c:v>2.5176233635448138E-2</c:v>
                </c:pt>
                <c:pt idx="4">
                  <c:v>2.6897214217098942E-2</c:v>
                </c:pt>
                <c:pt idx="5">
                  <c:v>2.7272727272727271E-2</c:v>
                </c:pt>
                <c:pt idx="6">
                  <c:v>3.4328358208955224E-2</c:v>
                </c:pt>
                <c:pt idx="7">
                  <c:v>3.7854889589905363E-2</c:v>
                </c:pt>
                <c:pt idx="8">
                  <c:v>4.1069100391134289E-2</c:v>
                </c:pt>
                <c:pt idx="9">
                  <c:v>4.4368600682593858E-2</c:v>
                </c:pt>
                <c:pt idx="10">
                  <c:v>4.456824512534819E-2</c:v>
                </c:pt>
                <c:pt idx="11">
                  <c:v>4.5918367346938778E-2</c:v>
                </c:pt>
                <c:pt idx="12">
                  <c:v>4.9182058047493406E-2</c:v>
                </c:pt>
                <c:pt idx="13">
                  <c:v>5.1643192488262914E-2</c:v>
                </c:pt>
                <c:pt idx="14">
                  <c:v>5.8874458874458878E-2</c:v>
                </c:pt>
                <c:pt idx="15">
                  <c:v>5.8981233243967826E-2</c:v>
                </c:pt>
                <c:pt idx="16">
                  <c:v>6.1976549413735343E-2</c:v>
                </c:pt>
                <c:pt idx="17">
                  <c:v>6.5420560747663545E-2</c:v>
                </c:pt>
                <c:pt idx="18">
                  <c:v>7.5170842824601361E-2</c:v>
                </c:pt>
                <c:pt idx="19">
                  <c:v>8.1081081081081086E-2</c:v>
                </c:pt>
                <c:pt idx="20">
                  <c:v>0.17982456140350878</c:v>
                </c:pt>
                <c:pt idx="21">
                  <c:v>0.30813397129186604</c:v>
                </c:pt>
              </c:numCache>
            </c:numRef>
          </c:val>
          <c:extLst>
            <c:ext xmlns:c16="http://schemas.microsoft.com/office/drawing/2014/chart" uri="{C3380CC4-5D6E-409C-BE32-E72D297353CC}">
              <c16:uniqueId val="{00000012-9AE9-4135-BFFC-C0E806879D46}"/>
            </c:ext>
          </c:extLst>
        </c:ser>
        <c:dLbls>
          <c:dLblPos val="inEnd"/>
          <c:showLegendKey val="0"/>
          <c:showVal val="1"/>
          <c:showCatName val="0"/>
          <c:showSerName val="0"/>
          <c:showPercent val="0"/>
          <c:showBubbleSize val="0"/>
        </c:dLbls>
        <c:gapWidth val="182"/>
        <c:overlap val="-50"/>
        <c:axId val="446371144"/>
        <c:axId val="446371536"/>
      </c:barChart>
      <c:catAx>
        <c:axId val="446371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1536"/>
        <c:crosses val="autoZero"/>
        <c:auto val="1"/>
        <c:lblAlgn val="ctr"/>
        <c:lblOffset val="100"/>
        <c:noMultiLvlLbl val="0"/>
      </c:catAx>
      <c:valAx>
        <c:axId val="446371536"/>
        <c:scaling>
          <c:orientation val="minMax"/>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1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r>
              <a:rPr lang="cs-CZ" sz="1000" b="1" cap="none" spc="0">
                <a:ln w="0"/>
                <a:solidFill>
                  <a:schemeClr val="tx1"/>
                </a:solidFill>
                <a:effectLst/>
              </a:rPr>
              <a:t>Podíl občanů Slovenska na celkovém počtu </a:t>
            </a:r>
            <a:r>
              <a:rPr lang="cs-CZ" sz="1000" b="1" i="0" u="none" strike="noStrike" cap="none" spc="0" baseline="0">
                <a:ln w="0"/>
                <a:solidFill>
                  <a:schemeClr val="tx1"/>
                </a:solidFill>
                <a:effectLst/>
              </a:rPr>
              <a:t>osob s jinou než českou státní příslušností</a:t>
            </a:r>
            <a:r>
              <a:rPr lang="cs-CZ" sz="1000" b="1" cap="none" spc="0">
                <a:ln w="0"/>
                <a:solidFill>
                  <a:schemeClr val="tx1"/>
                </a:solidFill>
                <a:effectLst/>
              </a:rPr>
              <a:t> v ČR a v JMK v letech 2010–2022</a:t>
            </a:r>
            <a:endParaRPr lang="en-US" sz="1000" b="1" cap="none" spc="0">
              <a:ln w="0"/>
              <a:solidFill>
                <a:schemeClr val="tx1"/>
              </a:solidFill>
              <a:effectLst/>
            </a:endParaRPr>
          </a:p>
        </c:rich>
      </c:tx>
      <c:layout>
        <c:manualLayout>
          <c:xMode val="edge"/>
          <c:yMode val="edge"/>
          <c:x val="0.11937795969948201"/>
          <c:y val="5.1096033047727432E-4"/>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093134191559385E-2"/>
          <c:y val="6.6258746782865738E-2"/>
          <c:w val="0.90376636948159261"/>
          <c:h val="0.87530086894477999"/>
        </c:manualLayout>
      </c:layout>
      <c:bar3DChart>
        <c:barDir val="bar"/>
        <c:grouping val="clustered"/>
        <c:varyColors val="0"/>
        <c:ser>
          <c:idx val="0"/>
          <c:order val="0"/>
          <c:tx>
            <c:strRef>
              <c:f>List1!$B$1</c:f>
              <c:strCache>
                <c:ptCount val="1"/>
                <c:pt idx="0">
                  <c:v>ČR</c:v>
                </c:pt>
              </c:strCache>
            </c:strRef>
          </c:tx>
          <c:spPr>
            <a:solidFill>
              <a:schemeClr val="accent1"/>
            </a:soli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53C-4A33-9156-76E21AD73A36}"/>
              </c:ext>
            </c:extLst>
          </c:dPt>
          <c:dPt>
            <c:idx val="2"/>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53C-4A33-9156-76E21AD73A36}"/>
              </c:ext>
            </c:extLst>
          </c:dPt>
          <c:dPt>
            <c:idx val="3"/>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53C-4A33-9156-76E21AD73A36}"/>
              </c:ext>
            </c:extLst>
          </c:dPt>
          <c:dPt>
            <c:idx val="4"/>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53C-4A33-9156-76E21AD73A36}"/>
              </c:ext>
            </c:extLst>
          </c:dPt>
          <c:dPt>
            <c:idx val="5"/>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53C-4A33-9156-76E21AD73A36}"/>
              </c:ext>
            </c:extLst>
          </c:dPt>
          <c:dPt>
            <c:idx val="8"/>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53C-4A33-9156-76E21AD73A36}"/>
              </c:ext>
            </c:extLst>
          </c:dPt>
          <c:dLbls>
            <c:spPr>
              <a:solidFill>
                <a:schemeClr val="accent1">
                  <a:lumMod val="20000"/>
                  <a:lumOff val="80000"/>
                </a:schemeClr>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List1!$B$2:$B$14</c:f>
              <c:numCache>
                <c:formatCode>0.0%</c:formatCode>
                <c:ptCount val="13"/>
                <c:pt idx="0">
                  <c:v>0.16900000000000001</c:v>
                </c:pt>
                <c:pt idx="1">
                  <c:v>0.187</c:v>
                </c:pt>
                <c:pt idx="2">
                  <c:v>0.19700000000000001</c:v>
                </c:pt>
                <c:pt idx="3">
                  <c:v>0.20699999999999999</c:v>
                </c:pt>
                <c:pt idx="4">
                  <c:v>0.214</c:v>
                </c:pt>
                <c:pt idx="5">
                  <c:v>0.219</c:v>
                </c:pt>
                <c:pt idx="6">
                  <c:v>0.217</c:v>
                </c:pt>
                <c:pt idx="7">
                  <c:v>0.21299999999999999</c:v>
                </c:pt>
                <c:pt idx="8">
                  <c:v>0.20699999999999999</c:v>
                </c:pt>
                <c:pt idx="9">
                  <c:v>0.20399999999999999</c:v>
                </c:pt>
                <c:pt idx="10">
                  <c:v>0.19700000000000001</c:v>
                </c:pt>
                <c:pt idx="11">
                  <c:v>0.17399999999999999</c:v>
                </c:pt>
                <c:pt idx="12">
                  <c:v>0.105</c:v>
                </c:pt>
              </c:numCache>
            </c:numRef>
          </c:val>
          <c:shape val="cylinder"/>
          <c:extLst>
            <c:ext xmlns:c16="http://schemas.microsoft.com/office/drawing/2014/chart" uri="{C3380CC4-5D6E-409C-BE32-E72D297353CC}">
              <c16:uniqueId val="{0000000C-653C-4A33-9156-76E21AD73A36}"/>
            </c:ext>
          </c:extLst>
        </c:ser>
        <c:ser>
          <c:idx val="1"/>
          <c:order val="1"/>
          <c:tx>
            <c:strRef>
              <c:f>List1!$C$1</c:f>
              <c:strCache>
                <c:ptCount val="1"/>
                <c:pt idx="0">
                  <c:v>JMK</c:v>
                </c:pt>
              </c:strCache>
            </c:strRef>
          </c:tx>
          <c:spPr>
            <a:solidFill>
              <a:srgbClr val="C00000"/>
            </a:solidFill>
            <a:ln>
              <a:noFill/>
            </a:ln>
            <a:effectLst>
              <a:outerShdw blurRad="57150" dist="19050" dir="5400000" algn="ctr" rotWithShape="0">
                <a:srgbClr val="000000">
                  <a:alpha val="63000"/>
                </a:srgbClr>
              </a:outerShdw>
            </a:effectLst>
            <a:sp3d/>
          </c:spPr>
          <c:invertIfNegative val="0"/>
          <c:dLbls>
            <c:spPr>
              <a:solidFill>
                <a:srgbClr val="FEE0D6"/>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List1!$C$2:$C$14</c:f>
              <c:numCache>
                <c:formatCode>0.0%</c:formatCode>
                <c:ptCount val="13"/>
                <c:pt idx="0">
                  <c:v>0.2</c:v>
                </c:pt>
                <c:pt idx="1">
                  <c:v>0.215</c:v>
                </c:pt>
                <c:pt idx="2">
                  <c:v>0.22900000000000001</c:v>
                </c:pt>
                <c:pt idx="3">
                  <c:v>0.24199999999999999</c:v>
                </c:pt>
                <c:pt idx="4">
                  <c:v>0.255</c:v>
                </c:pt>
                <c:pt idx="5">
                  <c:v>0.26500000000000001</c:v>
                </c:pt>
                <c:pt idx="6">
                  <c:v>0.26300000000000001</c:v>
                </c:pt>
                <c:pt idx="7">
                  <c:v>0.26100000000000001</c:v>
                </c:pt>
                <c:pt idx="8">
                  <c:v>0.25600000000000001</c:v>
                </c:pt>
                <c:pt idx="9">
                  <c:v>0.25700000000000001</c:v>
                </c:pt>
                <c:pt idx="10">
                  <c:v>0.25600000000000001</c:v>
                </c:pt>
                <c:pt idx="11">
                  <c:v>0.23599999999999999</c:v>
                </c:pt>
                <c:pt idx="12">
                  <c:v>0.14099999999999999</c:v>
                </c:pt>
              </c:numCache>
            </c:numRef>
          </c:val>
          <c:shape val="cylinder"/>
          <c:extLst>
            <c:ext xmlns:c16="http://schemas.microsoft.com/office/drawing/2014/chart" uri="{C3380CC4-5D6E-409C-BE32-E72D297353CC}">
              <c16:uniqueId val="{0000000D-653C-4A33-9156-76E21AD73A36}"/>
            </c:ext>
          </c:extLst>
        </c:ser>
        <c:dLbls>
          <c:showLegendKey val="0"/>
          <c:showVal val="0"/>
          <c:showCatName val="0"/>
          <c:showSerName val="0"/>
          <c:showPercent val="0"/>
          <c:showBubbleSize val="0"/>
        </c:dLbls>
        <c:gapWidth val="62"/>
        <c:shape val="box"/>
        <c:axId val="297250688"/>
        <c:axId val="297247552"/>
        <c:axId val="0"/>
      </c:bar3DChart>
      <c:catAx>
        <c:axId val="29725068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247552"/>
        <c:crosses val="autoZero"/>
        <c:auto val="1"/>
        <c:lblAlgn val="ctr"/>
        <c:lblOffset val="100"/>
        <c:noMultiLvlLbl val="0"/>
      </c:catAx>
      <c:valAx>
        <c:axId val="297247552"/>
        <c:scaling>
          <c:orientation val="minMax"/>
        </c:scaling>
        <c:delete val="0"/>
        <c:axPos val="b"/>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250688"/>
        <c:crosses val="autoZero"/>
        <c:crossBetween val="between"/>
      </c:valAx>
      <c:spPr>
        <a:noFill/>
        <a:ln>
          <a:noFill/>
        </a:ln>
        <a:effectLst/>
      </c:spPr>
    </c:plotArea>
    <c:legend>
      <c:legendPos val="r"/>
      <c:layout>
        <c:manualLayout>
          <c:xMode val="edge"/>
          <c:yMode val="edge"/>
          <c:x val="0.74221555638878478"/>
          <c:y val="0.83122085467471896"/>
          <c:w val="0.25557985807329636"/>
          <c:h val="0.1164470153521312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a:t>Podíl </a:t>
            </a:r>
            <a:r>
              <a:rPr lang="en-US" sz="1000" b="1" i="0" u="none" strike="noStrike" kern="1200" cap="none" baseline="0">
                <a:solidFill>
                  <a:sysClr val="windowText" lastClr="000000"/>
                </a:solidFill>
                <a:latin typeface="Arial Narrow" panose="020B0606020202030204" pitchFamily="34" charset="0"/>
                <a:ea typeface="+mn-ea"/>
                <a:cs typeface="+mn-cs"/>
              </a:rPr>
              <a:t>osob s jinou než českou státní příslušností</a:t>
            </a:r>
            <a:r>
              <a:rPr lang="en-US" sz="1000"/>
              <a:t> na celkovém počtu obyvatel</a:t>
            </a:r>
            <a:r>
              <a:rPr lang="cs-CZ" sz="1000"/>
              <a:t> obce</a:t>
            </a:r>
            <a:r>
              <a:rPr lang="cs-CZ" sz="1000" baseline="0"/>
              <a:t> Lažánky </a:t>
            </a:r>
            <a:r>
              <a:rPr lang="cs-CZ" sz="1000"/>
              <a:t>v letech</a:t>
            </a:r>
            <a:r>
              <a:rPr lang="cs-CZ" sz="1000" baseline="0"/>
              <a:t> 2006-2023</a:t>
            </a:r>
            <a:endParaRPr lang="en-US" sz="1000"/>
          </a:p>
        </c:rich>
      </c:tx>
      <c:layout>
        <c:manualLayout>
          <c:xMode val="edge"/>
          <c:yMode val="edge"/>
          <c:x val="0.16135852787124078"/>
          <c:y val="6.7248350712917643E-3"/>
        </c:manualLayout>
      </c:layout>
      <c:overlay val="0"/>
      <c:spPr>
        <a:noFill/>
        <a:ln>
          <a:noFill/>
        </a:ln>
        <a:effectLst/>
      </c:spPr>
    </c:title>
    <c:autoTitleDeleted val="0"/>
    <c:plotArea>
      <c:layout>
        <c:manualLayout>
          <c:layoutTarget val="inner"/>
          <c:xMode val="edge"/>
          <c:yMode val="edge"/>
          <c:x val="0.10185022026431716"/>
          <c:y val="0.23480197547533957"/>
          <c:w val="0.86185663741371532"/>
          <c:h val="0.60471340197107237"/>
        </c:manualLayout>
      </c:layout>
      <c:barChart>
        <c:barDir val="bar"/>
        <c:grouping val="clustered"/>
        <c:varyColors val="0"/>
        <c:ser>
          <c:idx val="0"/>
          <c:order val="0"/>
          <c:tx>
            <c:strRef>
              <c:f>List1!$B$1</c:f>
              <c:strCache>
                <c:ptCount val="1"/>
                <c:pt idx="0">
                  <c:v>Podíl cizinců na celkovém počtu obyvatel v obci Kuřim v %</c:v>
                </c:pt>
              </c:strCache>
            </c:strRef>
          </c:tx>
          <c:spPr>
            <a:solidFill>
              <a:schemeClr val="tx2"/>
            </a:solidFill>
            <a:ln w="9525" cap="flat" cmpd="sng" algn="ctr">
              <a:noFill/>
              <a:miter lim="800000"/>
            </a:ln>
            <a:effectLst/>
          </c:spPr>
          <c:invertIfNegative val="0"/>
          <c:dPt>
            <c:idx val="0"/>
            <c:invertIfNegative val="0"/>
            <c:bubble3D val="0"/>
            <c:spPr>
              <a:solidFill>
                <a:schemeClr val="tx2"/>
              </a:solidFill>
              <a:ln w="9525" cap="flat" cmpd="sng" algn="ctr">
                <a:noFill/>
                <a:miter lim="800000"/>
              </a:ln>
              <a:effectLst/>
            </c:spPr>
            <c:extLst>
              <c:ext xmlns:c16="http://schemas.microsoft.com/office/drawing/2014/chart" uri="{C3380CC4-5D6E-409C-BE32-E72D297353CC}">
                <c16:uniqueId val="{00000001-0971-4033-84D1-0B74AA39DEFD}"/>
              </c:ext>
            </c:extLst>
          </c:dPt>
          <c:dPt>
            <c:idx val="1"/>
            <c:invertIfNegative val="0"/>
            <c:bubble3D val="0"/>
            <c:extLst>
              <c:ext xmlns:c16="http://schemas.microsoft.com/office/drawing/2014/chart" uri="{C3380CC4-5D6E-409C-BE32-E72D297353CC}">
                <c16:uniqueId val="{00000002-0971-4033-84D1-0B74AA39DEFD}"/>
              </c:ext>
            </c:extLst>
          </c:dPt>
          <c:dPt>
            <c:idx val="2"/>
            <c:invertIfNegative val="0"/>
            <c:bubble3D val="0"/>
            <c:extLst>
              <c:ext xmlns:c16="http://schemas.microsoft.com/office/drawing/2014/chart" uri="{C3380CC4-5D6E-409C-BE32-E72D297353CC}">
                <c16:uniqueId val="{00000003-0971-4033-84D1-0B74AA39DEFD}"/>
              </c:ext>
            </c:extLst>
          </c:dPt>
          <c:dPt>
            <c:idx val="3"/>
            <c:invertIfNegative val="0"/>
            <c:bubble3D val="0"/>
            <c:extLst>
              <c:ext xmlns:c16="http://schemas.microsoft.com/office/drawing/2014/chart" uri="{C3380CC4-5D6E-409C-BE32-E72D297353CC}">
                <c16:uniqueId val="{00000004-0971-4033-84D1-0B74AA39DEFD}"/>
              </c:ext>
            </c:extLst>
          </c:dPt>
          <c:dPt>
            <c:idx val="4"/>
            <c:invertIfNegative val="0"/>
            <c:bubble3D val="0"/>
            <c:extLst>
              <c:ext xmlns:c16="http://schemas.microsoft.com/office/drawing/2014/chart" uri="{C3380CC4-5D6E-409C-BE32-E72D297353CC}">
                <c16:uniqueId val="{00000005-0971-4033-84D1-0B74AA39DEFD}"/>
              </c:ext>
            </c:extLst>
          </c:dPt>
          <c:dPt>
            <c:idx val="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0971-4033-84D1-0B74AA39DEFD}"/>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0971-4033-84D1-0B74AA39DEFD}"/>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0971-4033-84D1-0B74AA39DEFD}"/>
              </c:ext>
            </c:extLst>
          </c:dPt>
          <c:dPt>
            <c:idx val="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D-0971-4033-84D1-0B74AA39DEFD}"/>
              </c:ext>
            </c:extLst>
          </c:dPt>
          <c:dPt>
            <c:idx val="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F-0971-4033-84D1-0B74AA39DEFD}"/>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c:formatCode>
                <c:ptCount val="7"/>
                <c:pt idx="1">
                  <c:v>3.6999999999999998E-2</c:v>
                </c:pt>
                <c:pt idx="2">
                  <c:v>1.7999999999999999E-2</c:v>
                </c:pt>
                <c:pt idx="3">
                  <c:v>2.1999999999999999E-2</c:v>
                </c:pt>
                <c:pt idx="4">
                  <c:v>2.1000000000000001E-2</c:v>
                </c:pt>
                <c:pt idx="5">
                  <c:v>2.5000000000000001E-2</c:v>
                </c:pt>
                <c:pt idx="6">
                  <c:v>0.308</c:v>
                </c:pt>
              </c:numCache>
            </c:numRef>
          </c:val>
          <c:extLst>
            <c:ext xmlns:c16="http://schemas.microsoft.com/office/drawing/2014/chart" uri="{C3380CC4-5D6E-409C-BE32-E72D297353CC}">
              <c16:uniqueId val="{00000010-0971-4033-84D1-0B74AA39DEFD}"/>
            </c:ext>
          </c:extLst>
        </c:ser>
        <c:dLbls>
          <c:dLblPos val="inEnd"/>
          <c:showLegendKey val="0"/>
          <c:showVal val="1"/>
          <c:showCatName val="0"/>
          <c:showSerName val="0"/>
          <c:showPercent val="0"/>
          <c:showBubbleSize val="0"/>
        </c:dLbls>
        <c:gapWidth val="182"/>
        <c:overlap val="-50"/>
        <c:axId val="446371928"/>
        <c:axId val="446372320"/>
      </c:barChart>
      <c:catAx>
        <c:axId val="446371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2320"/>
        <c:crosses val="autoZero"/>
        <c:auto val="1"/>
        <c:lblAlgn val="ctr"/>
        <c:lblOffset val="100"/>
        <c:noMultiLvlLbl val="0"/>
      </c:catAx>
      <c:valAx>
        <c:axId val="446372320"/>
        <c:scaling>
          <c:orientation val="minMax"/>
          <c:min val="1.0000000000000002E-2"/>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1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osob s jinou než českou státní příslušností na celkovém</a:t>
            </a:r>
            <a:r>
              <a:rPr lang="cs-CZ" sz="1000" b="1" cap="none" spc="0" baseline="0">
                <a:ln w="0"/>
                <a:solidFill>
                  <a:schemeClr val="tx1"/>
                </a:solidFill>
                <a:effectLst/>
              </a:rPr>
              <a:t> počtu obyvatel ORP Vyškov v letech 2006-2023 </a:t>
            </a:r>
            <a:r>
              <a:rPr lang="cs-CZ" sz="1000" b="1" i="0" u="none" strike="noStrike" cap="none" baseline="0">
                <a:effectLst/>
              </a:rPr>
              <a:t>(data k 1. 1. daného roku)</a:t>
            </a:r>
            <a:endParaRPr lang="cs-CZ" sz="1000" b="1" cap="none" spc="0">
              <a:ln w="0"/>
              <a:solidFill>
                <a:schemeClr val="tx1"/>
              </a:solidFill>
              <a:effectLst/>
            </a:endParaRPr>
          </a:p>
        </c:rich>
      </c:tx>
      <c:layout>
        <c:manualLayout>
          <c:xMode val="edge"/>
          <c:yMode val="edge"/>
          <c:x val="0.11772468380213097"/>
          <c:y val="2.7668693312070039E-4"/>
        </c:manualLayout>
      </c:layout>
      <c:overlay val="0"/>
      <c:spPr>
        <a:noFill/>
        <a:ln>
          <a:noFill/>
        </a:ln>
        <a:effectLst/>
      </c:sp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428023420149403E-2"/>
          <c:y val="7.6580473737079172E-2"/>
          <c:w val="0.90254980146712427"/>
          <c:h val="0.85045332296425913"/>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5"/>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783-4C7C-8BF6-B38A782A751E}"/>
              </c:ext>
            </c:extLst>
          </c:dPt>
          <c:dPt>
            <c:idx val="16"/>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783-4C7C-8BF6-B38A782A751E}"/>
              </c:ext>
            </c:extLst>
          </c:dPt>
          <c:dPt>
            <c:idx val="17"/>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783-4C7C-8BF6-B38A782A751E}"/>
              </c:ext>
            </c:extLst>
          </c:dPt>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c:formatCode>
                <c:ptCount val="18"/>
                <c:pt idx="0">
                  <c:v>1.2E-2</c:v>
                </c:pt>
                <c:pt idx="1">
                  <c:v>1.2999999999999999E-2</c:v>
                </c:pt>
                <c:pt idx="2">
                  <c:v>1.7000000000000001E-2</c:v>
                </c:pt>
                <c:pt idx="3">
                  <c:v>2.1000000000000001E-2</c:v>
                </c:pt>
                <c:pt idx="4">
                  <c:v>2.1999999999999999E-2</c:v>
                </c:pt>
                <c:pt idx="5">
                  <c:v>2.1999999999999999E-2</c:v>
                </c:pt>
                <c:pt idx="6">
                  <c:v>2.3E-2</c:v>
                </c:pt>
                <c:pt idx="7">
                  <c:v>0.02</c:v>
                </c:pt>
                <c:pt idx="8">
                  <c:v>2.1000000000000001E-2</c:v>
                </c:pt>
                <c:pt idx="9">
                  <c:v>2.1000000000000001E-2</c:v>
                </c:pt>
                <c:pt idx="10">
                  <c:v>2.1000000000000001E-2</c:v>
                </c:pt>
                <c:pt idx="11">
                  <c:v>2.3E-2</c:v>
                </c:pt>
                <c:pt idx="12">
                  <c:v>2.1999999999999999E-2</c:v>
                </c:pt>
                <c:pt idx="13">
                  <c:v>2.3E-2</c:v>
                </c:pt>
                <c:pt idx="14">
                  <c:v>2.5000000000000001E-2</c:v>
                </c:pt>
                <c:pt idx="15">
                  <c:v>2.7E-2</c:v>
                </c:pt>
                <c:pt idx="16">
                  <c:v>2.9000000000000001E-2</c:v>
                </c:pt>
                <c:pt idx="17">
                  <c:v>5.2999999999999999E-2</c:v>
                </c:pt>
              </c:numCache>
            </c:numRef>
          </c:val>
          <c:shape val="cylinder"/>
          <c:extLst>
            <c:ext xmlns:c16="http://schemas.microsoft.com/office/drawing/2014/chart" uri="{C3380CC4-5D6E-409C-BE32-E72D297353CC}">
              <c16:uniqueId val="{00000006-C783-4C7C-8BF6-B38A782A751E}"/>
            </c:ext>
          </c:extLst>
        </c:ser>
        <c:dLbls>
          <c:showLegendKey val="0"/>
          <c:showVal val="0"/>
          <c:showCatName val="0"/>
          <c:showSerName val="0"/>
          <c:showPercent val="0"/>
          <c:showBubbleSize val="0"/>
        </c:dLbls>
        <c:gapWidth val="107"/>
        <c:shape val="box"/>
        <c:axId val="446372712"/>
        <c:axId val="446362520"/>
        <c:axId val="0"/>
      </c:bar3DChart>
      <c:catAx>
        <c:axId val="44637271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6362520"/>
        <c:crosses val="autoZero"/>
        <c:auto val="1"/>
        <c:lblAlgn val="ctr"/>
        <c:lblOffset val="100"/>
        <c:noMultiLvlLbl val="0"/>
      </c:catAx>
      <c:valAx>
        <c:axId val="446362520"/>
        <c:scaling>
          <c:orientation val="minMax"/>
          <c:max val="3.0000000000000006E-2"/>
          <c:min val="0"/>
        </c:scaling>
        <c:delete val="0"/>
        <c:axPos val="b"/>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6372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Osoby s jinou než českou státní příslušností v ORP Vyškov podle pohlaví</a:t>
            </a:r>
          </a:p>
        </c:rich>
      </c:tx>
      <c:layout>
        <c:manualLayout>
          <c:xMode val="edge"/>
          <c:yMode val="edge"/>
          <c:x val="0.16696845570683508"/>
          <c:y val="1.0591916712458583E-3"/>
        </c:manualLayout>
      </c:layout>
      <c:overlay val="0"/>
      <c:spPr>
        <a:noFill/>
        <a:ln>
          <a:noFill/>
        </a:ln>
        <a:effectLst/>
      </c:spPr>
    </c:title>
    <c:autoTitleDeleted val="0"/>
    <c:view3D>
      <c:rotX val="15"/>
      <c:rotY val="20"/>
      <c:depthPercent val="100"/>
      <c:rAngAx val="1"/>
    </c:view3D>
    <c:floor>
      <c:thickness val="0"/>
      <c:spPr>
        <a:solidFill>
          <a:schemeClr val="bg1">
            <a:lumMod val="95000"/>
            <a:alpha val="54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88698634892866E-2"/>
          <c:y val="2.8288242815801872E-2"/>
          <c:w val="0.90067873460261927"/>
          <c:h val="0.84416380644727096"/>
        </c:manualLayout>
      </c:layout>
      <c:bar3DChart>
        <c:barDir val="bar"/>
        <c:grouping val="stacked"/>
        <c:varyColors val="0"/>
        <c:ser>
          <c:idx val="0"/>
          <c:order val="0"/>
          <c:tx>
            <c:strRef>
              <c:f>List1!$B$1</c:f>
              <c:strCache>
                <c:ptCount val="1"/>
                <c:pt idx="0">
                  <c:v>muži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c:formatCode>
                <c:ptCount val="18"/>
                <c:pt idx="0">
                  <c:v>0.64200000000000002</c:v>
                </c:pt>
                <c:pt idx="1">
                  <c:v>0.63600000000000001</c:v>
                </c:pt>
                <c:pt idx="2">
                  <c:v>0.59599999999999997</c:v>
                </c:pt>
                <c:pt idx="3">
                  <c:v>0.59199999999999997</c:v>
                </c:pt>
                <c:pt idx="4">
                  <c:v>0.58699999999999997</c:v>
                </c:pt>
                <c:pt idx="5">
                  <c:v>0.58899999999999997</c:v>
                </c:pt>
                <c:pt idx="6">
                  <c:v>0.58799999999999997</c:v>
                </c:pt>
                <c:pt idx="7">
                  <c:v>0.56999999999999995</c:v>
                </c:pt>
                <c:pt idx="8">
                  <c:v>0.58099999999999996</c:v>
                </c:pt>
                <c:pt idx="9">
                  <c:v>0.58199999999999996</c:v>
                </c:pt>
                <c:pt idx="10">
                  <c:v>0.58199999999999996</c:v>
                </c:pt>
                <c:pt idx="11">
                  <c:v>0.57899999999999996</c:v>
                </c:pt>
                <c:pt idx="12">
                  <c:v>0.57099999999999995</c:v>
                </c:pt>
                <c:pt idx="13">
                  <c:v>0.56699999999999995</c:v>
                </c:pt>
                <c:pt idx="14">
                  <c:v>0.56499999999999995</c:v>
                </c:pt>
                <c:pt idx="15">
                  <c:v>0.57399999999999995</c:v>
                </c:pt>
                <c:pt idx="16">
                  <c:v>0.55100000000000005</c:v>
                </c:pt>
                <c:pt idx="17">
                  <c:v>0.47399999999999998</c:v>
                </c:pt>
              </c:numCache>
            </c:numRef>
          </c:val>
          <c:extLst>
            <c:ext xmlns:c16="http://schemas.microsoft.com/office/drawing/2014/chart" uri="{C3380CC4-5D6E-409C-BE32-E72D297353CC}">
              <c16:uniqueId val="{00000000-E9CC-439D-BE4A-A16CFC0B75DC}"/>
            </c:ext>
          </c:extLst>
        </c:ser>
        <c:ser>
          <c:idx val="1"/>
          <c:order val="1"/>
          <c:tx>
            <c:strRef>
              <c:f>List1!$C$1</c:f>
              <c:strCache>
                <c:ptCount val="1"/>
                <c:pt idx="0">
                  <c:v>ženy</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List1!$C$2:$C$19</c:f>
              <c:numCache>
                <c:formatCode>0.0%</c:formatCode>
                <c:ptCount val="18"/>
                <c:pt idx="0">
                  <c:v>0.35799999999999998</c:v>
                </c:pt>
                <c:pt idx="1">
                  <c:v>0.36399999999999999</c:v>
                </c:pt>
                <c:pt idx="2">
                  <c:v>0.40400000000000003</c:v>
                </c:pt>
                <c:pt idx="3">
                  <c:v>0.40799999999999997</c:v>
                </c:pt>
                <c:pt idx="4">
                  <c:v>0.41299999999999998</c:v>
                </c:pt>
                <c:pt idx="5">
                  <c:v>0.41099999999999998</c:v>
                </c:pt>
                <c:pt idx="6">
                  <c:v>0.41199999999999998</c:v>
                </c:pt>
                <c:pt idx="7">
                  <c:v>0.43</c:v>
                </c:pt>
                <c:pt idx="8">
                  <c:v>0.41899999999999998</c:v>
                </c:pt>
                <c:pt idx="9">
                  <c:v>0.41799999999999998</c:v>
                </c:pt>
                <c:pt idx="10">
                  <c:v>0.41799999999999998</c:v>
                </c:pt>
                <c:pt idx="11">
                  <c:v>0.42099999999999999</c:v>
                </c:pt>
                <c:pt idx="12">
                  <c:v>0.42899999999999999</c:v>
                </c:pt>
                <c:pt idx="13">
                  <c:v>0.433</c:v>
                </c:pt>
                <c:pt idx="14">
                  <c:v>0.435</c:v>
                </c:pt>
                <c:pt idx="15">
                  <c:v>0.42599999999999999</c:v>
                </c:pt>
                <c:pt idx="16">
                  <c:v>0.44900000000000001</c:v>
                </c:pt>
                <c:pt idx="17">
                  <c:v>0.52600000000000002</c:v>
                </c:pt>
              </c:numCache>
            </c:numRef>
          </c:val>
          <c:extLst>
            <c:ext xmlns:c16="http://schemas.microsoft.com/office/drawing/2014/chart" uri="{C3380CC4-5D6E-409C-BE32-E72D297353CC}">
              <c16:uniqueId val="{00000001-E9CC-439D-BE4A-A16CFC0B75DC}"/>
            </c:ext>
          </c:extLst>
        </c:ser>
        <c:dLbls>
          <c:showLegendKey val="0"/>
          <c:showVal val="0"/>
          <c:showCatName val="0"/>
          <c:showSerName val="0"/>
          <c:showPercent val="0"/>
          <c:showBubbleSize val="0"/>
        </c:dLbls>
        <c:gapWidth val="72"/>
        <c:shape val="cylinder"/>
        <c:axId val="446364872"/>
        <c:axId val="446366048"/>
        <c:axId val="0"/>
      </c:bar3DChart>
      <c:catAx>
        <c:axId val="446364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6366048"/>
        <c:crosses val="autoZero"/>
        <c:auto val="1"/>
        <c:lblAlgn val="ctr"/>
        <c:lblOffset val="100"/>
        <c:noMultiLvlLbl val="0"/>
      </c:catAx>
      <c:valAx>
        <c:axId val="44636604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6364872"/>
        <c:crosses val="autoZero"/>
        <c:crossBetween val="between"/>
      </c:valAx>
      <c:spPr>
        <a:noFill/>
        <a:ln>
          <a:noFill/>
        </a:ln>
        <a:effectLst/>
      </c:spPr>
    </c:plotArea>
    <c:legend>
      <c:legendPos val="b"/>
      <c:layout>
        <c:manualLayout>
          <c:xMode val="edge"/>
          <c:yMode val="edge"/>
          <c:x val="0.41931841853101698"/>
          <c:y val="0.94390500890652762"/>
          <c:w val="0.18340897491980168"/>
          <c:h val="5.449081476091452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b="1" i="0" baseline="0">
                <a:effectLst/>
              </a:rPr>
              <a:t>Podíl osob s jinou než českou státní příslušností na celkovém počtu obyvatel vybraných obcí k 1. 1. 2021 v ORP Vyškov</a:t>
            </a:r>
          </a:p>
        </c:rich>
      </c:tx>
      <c:layout>
        <c:manualLayout>
          <c:xMode val="edge"/>
          <c:yMode val="edge"/>
          <c:x val="0.11752645502645502"/>
          <c:y val="2.9033526772456195E-3"/>
        </c:manualLayout>
      </c:layout>
      <c:overlay val="0"/>
      <c:spPr>
        <a:noFill/>
        <a:ln>
          <a:noFill/>
        </a:ln>
        <a:effectLst/>
      </c:spPr>
    </c:title>
    <c:autoTitleDeleted val="0"/>
    <c:plotArea>
      <c:layout>
        <c:manualLayout>
          <c:layoutTarget val="inner"/>
          <c:xMode val="edge"/>
          <c:yMode val="edge"/>
          <c:x val="0.18344130594786762"/>
          <c:y val="0.10694429041440243"/>
          <c:w val="0.78029761698289912"/>
          <c:h val="0.80371705297401208"/>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2EA8-4775-BF0A-CB070D9B2776}"/>
              </c:ext>
            </c:extLst>
          </c:dPt>
          <c:dPt>
            <c:idx val="1"/>
            <c:invertIfNegative val="0"/>
            <c:bubble3D val="0"/>
            <c:extLst>
              <c:ext xmlns:c16="http://schemas.microsoft.com/office/drawing/2014/chart" uri="{C3380CC4-5D6E-409C-BE32-E72D297353CC}">
                <c16:uniqueId val="{00000001-2EA8-4775-BF0A-CB070D9B2776}"/>
              </c:ext>
            </c:extLst>
          </c:dPt>
          <c:dPt>
            <c:idx val="2"/>
            <c:invertIfNegative val="0"/>
            <c:bubble3D val="0"/>
            <c:extLst>
              <c:ext xmlns:c16="http://schemas.microsoft.com/office/drawing/2014/chart" uri="{C3380CC4-5D6E-409C-BE32-E72D297353CC}">
                <c16:uniqueId val="{00000002-2EA8-4775-BF0A-CB070D9B2776}"/>
              </c:ext>
            </c:extLst>
          </c:dPt>
          <c:dPt>
            <c:idx val="3"/>
            <c:invertIfNegative val="0"/>
            <c:bubble3D val="0"/>
            <c:extLst>
              <c:ext xmlns:c16="http://schemas.microsoft.com/office/drawing/2014/chart" uri="{C3380CC4-5D6E-409C-BE32-E72D297353CC}">
                <c16:uniqueId val="{00000003-2EA8-4775-BF0A-CB070D9B2776}"/>
              </c:ext>
            </c:extLst>
          </c:dPt>
          <c:dPt>
            <c:idx val="4"/>
            <c:invertIfNegative val="0"/>
            <c:bubble3D val="0"/>
            <c:extLst>
              <c:ext xmlns:c16="http://schemas.microsoft.com/office/drawing/2014/chart" uri="{C3380CC4-5D6E-409C-BE32-E72D297353CC}">
                <c16:uniqueId val="{00000004-2EA8-4775-BF0A-CB070D9B2776}"/>
              </c:ext>
            </c:extLst>
          </c:dPt>
          <c:dPt>
            <c:idx val="5"/>
            <c:invertIfNegative val="0"/>
            <c:bubble3D val="0"/>
            <c:extLst>
              <c:ext xmlns:c16="http://schemas.microsoft.com/office/drawing/2014/chart" uri="{C3380CC4-5D6E-409C-BE32-E72D297353CC}">
                <c16:uniqueId val="{00000005-2EA8-4775-BF0A-CB070D9B2776}"/>
              </c:ext>
            </c:extLst>
          </c:dPt>
          <c:dPt>
            <c:idx val="6"/>
            <c:invertIfNegative val="0"/>
            <c:bubble3D val="0"/>
            <c:extLst>
              <c:ext xmlns:c16="http://schemas.microsoft.com/office/drawing/2014/chart" uri="{C3380CC4-5D6E-409C-BE32-E72D297353CC}">
                <c16:uniqueId val="{00000006-2EA8-4775-BF0A-CB070D9B2776}"/>
              </c:ext>
            </c:extLst>
          </c:dPt>
          <c:dPt>
            <c:idx val="7"/>
            <c:invertIfNegative val="0"/>
            <c:bubble3D val="0"/>
            <c:extLst>
              <c:ext xmlns:c16="http://schemas.microsoft.com/office/drawing/2014/chart" uri="{C3380CC4-5D6E-409C-BE32-E72D297353CC}">
                <c16:uniqueId val="{00000007-2EA8-4775-BF0A-CB070D9B2776}"/>
              </c:ext>
            </c:extLst>
          </c:dPt>
          <c:dPt>
            <c:idx val="8"/>
            <c:invertIfNegative val="0"/>
            <c:bubble3D val="0"/>
            <c:extLst>
              <c:ext xmlns:c16="http://schemas.microsoft.com/office/drawing/2014/chart" uri="{C3380CC4-5D6E-409C-BE32-E72D297353CC}">
                <c16:uniqueId val="{00000008-2EA8-4775-BF0A-CB070D9B2776}"/>
              </c:ext>
            </c:extLst>
          </c:dPt>
          <c:dPt>
            <c:idx val="9"/>
            <c:invertIfNegative val="0"/>
            <c:bubble3D val="0"/>
            <c:extLst>
              <c:ext xmlns:c16="http://schemas.microsoft.com/office/drawing/2014/chart" uri="{C3380CC4-5D6E-409C-BE32-E72D297353CC}">
                <c16:uniqueId val="{00000009-2EA8-4775-BF0A-CB070D9B2776}"/>
              </c:ext>
            </c:extLst>
          </c:dPt>
          <c:dPt>
            <c:idx val="13"/>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2EA8-4775-BF0A-CB070D9B2776}"/>
              </c:ext>
            </c:extLst>
          </c:dPt>
          <c:dPt>
            <c:idx val="14"/>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D-2EA8-4775-BF0A-CB070D9B2776}"/>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List1!$A$2:$A$16</c:f>
              <c:strCache>
                <c:ptCount val="15"/>
                <c:pt idx="0">
                  <c:v>Drnovice</c:v>
                </c:pt>
                <c:pt idx="1">
                  <c:v>Račice-Pístovice</c:v>
                </c:pt>
                <c:pt idx="2">
                  <c:v>Habrovany</c:v>
                </c:pt>
                <c:pt idx="3">
                  <c:v>Bohdalice -Pavlovice</c:v>
                </c:pt>
                <c:pt idx="4">
                  <c:v>Pustiměř</c:v>
                </c:pt>
                <c:pt idx="5">
                  <c:v>Drysice</c:v>
                </c:pt>
                <c:pt idx="6">
                  <c:v>Tučapy</c:v>
                </c:pt>
                <c:pt idx="7">
                  <c:v>Komořany</c:v>
                </c:pt>
                <c:pt idx="8">
                  <c:v>Nemojany</c:v>
                </c:pt>
                <c:pt idx="9">
                  <c:v>Hlubočany</c:v>
                </c:pt>
                <c:pt idx="10">
                  <c:v>Ivanovice na Hané</c:v>
                </c:pt>
                <c:pt idx="11">
                  <c:v>Rostěnice-Zvonovice</c:v>
                </c:pt>
                <c:pt idx="12">
                  <c:v>Vyškov</c:v>
                </c:pt>
                <c:pt idx="13">
                  <c:v>Rousínov</c:v>
                </c:pt>
                <c:pt idx="14">
                  <c:v>Vážany</c:v>
                </c:pt>
              </c:strCache>
            </c:strRef>
          </c:cat>
          <c:val>
            <c:numRef>
              <c:f>List1!$B$2:$B$16</c:f>
              <c:numCache>
                <c:formatCode>0.00%</c:formatCode>
                <c:ptCount val="15"/>
                <c:pt idx="0">
                  <c:v>0.01</c:v>
                </c:pt>
                <c:pt idx="1">
                  <c:v>0.01</c:v>
                </c:pt>
                <c:pt idx="2">
                  <c:v>1.2E-2</c:v>
                </c:pt>
                <c:pt idx="3">
                  <c:v>1.4999999999999999E-2</c:v>
                </c:pt>
                <c:pt idx="4">
                  <c:v>1.4999999999999999E-2</c:v>
                </c:pt>
                <c:pt idx="5">
                  <c:v>2.1000000000000001E-2</c:v>
                </c:pt>
                <c:pt idx="6" formatCode="0.0%">
                  <c:v>2.1999999999999999E-2</c:v>
                </c:pt>
                <c:pt idx="7" formatCode="0.0%">
                  <c:v>2.3E-2</c:v>
                </c:pt>
                <c:pt idx="8">
                  <c:v>2.5000000000000001E-2</c:v>
                </c:pt>
                <c:pt idx="9">
                  <c:v>2.5999999999999999E-2</c:v>
                </c:pt>
                <c:pt idx="10">
                  <c:v>2.7E-2</c:v>
                </c:pt>
                <c:pt idx="11">
                  <c:v>3.1E-2</c:v>
                </c:pt>
                <c:pt idx="12" formatCode="0.0%">
                  <c:v>3.6999999999999998E-2</c:v>
                </c:pt>
                <c:pt idx="13" formatCode="0.0%">
                  <c:v>0.04</c:v>
                </c:pt>
                <c:pt idx="14" formatCode="0.0%">
                  <c:v>0.05</c:v>
                </c:pt>
              </c:numCache>
            </c:numRef>
          </c:val>
          <c:extLst>
            <c:ext xmlns:c16="http://schemas.microsoft.com/office/drawing/2014/chart" uri="{C3380CC4-5D6E-409C-BE32-E72D297353CC}">
              <c16:uniqueId val="{0000000E-2EA8-4775-BF0A-CB070D9B2776}"/>
            </c:ext>
          </c:extLst>
        </c:ser>
        <c:dLbls>
          <c:dLblPos val="inEnd"/>
          <c:showLegendKey val="0"/>
          <c:showVal val="1"/>
          <c:showCatName val="0"/>
          <c:showSerName val="0"/>
          <c:showPercent val="0"/>
          <c:showBubbleSize val="0"/>
        </c:dLbls>
        <c:gapWidth val="94"/>
        <c:overlap val="-12"/>
        <c:axId val="446369184"/>
        <c:axId val="446367616"/>
      </c:barChart>
      <c:catAx>
        <c:axId val="446369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67616"/>
        <c:crosses val="autoZero"/>
        <c:auto val="1"/>
        <c:lblAlgn val="ctr"/>
        <c:lblOffset val="100"/>
        <c:noMultiLvlLbl val="0"/>
      </c:catAx>
      <c:valAx>
        <c:axId val="446367616"/>
        <c:scaling>
          <c:orientation val="minMax"/>
          <c:max val="6.5000000000000016E-2"/>
          <c:min val="0"/>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6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b="1" i="0" baseline="0">
                <a:effectLst/>
              </a:rPr>
              <a:t>Podíl osob s jinou než českou státní příslušností na celkovém počtu obyvatel vybraných obcí k 1. 1. 2022</a:t>
            </a:r>
          </a:p>
        </c:rich>
      </c:tx>
      <c:layout>
        <c:manualLayout>
          <c:xMode val="edge"/>
          <c:yMode val="edge"/>
          <c:x val="0.135163139329806"/>
          <c:y val="3.897208927315458E-3"/>
        </c:manualLayout>
      </c:layout>
      <c:overlay val="0"/>
      <c:spPr>
        <a:noFill/>
        <a:ln>
          <a:noFill/>
        </a:ln>
        <a:effectLst/>
      </c:spPr>
    </c:title>
    <c:autoTitleDeleted val="0"/>
    <c:plotArea>
      <c:layout>
        <c:manualLayout>
          <c:layoutTarget val="inner"/>
          <c:xMode val="edge"/>
          <c:yMode val="edge"/>
          <c:x val="0.1922596480995431"/>
          <c:y val="0.10895119242170201"/>
          <c:w val="0.77144731908511432"/>
          <c:h val="0.81601629984931134"/>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0B3C-4EF9-91C4-5FAC71CBB8AA}"/>
              </c:ext>
            </c:extLst>
          </c:dPt>
          <c:dPt>
            <c:idx val="1"/>
            <c:invertIfNegative val="0"/>
            <c:bubble3D val="0"/>
            <c:extLst>
              <c:ext xmlns:c16="http://schemas.microsoft.com/office/drawing/2014/chart" uri="{C3380CC4-5D6E-409C-BE32-E72D297353CC}">
                <c16:uniqueId val="{00000001-0B3C-4EF9-91C4-5FAC71CBB8AA}"/>
              </c:ext>
            </c:extLst>
          </c:dPt>
          <c:dPt>
            <c:idx val="2"/>
            <c:invertIfNegative val="0"/>
            <c:bubble3D val="0"/>
            <c:extLst>
              <c:ext xmlns:c16="http://schemas.microsoft.com/office/drawing/2014/chart" uri="{C3380CC4-5D6E-409C-BE32-E72D297353CC}">
                <c16:uniqueId val="{00000002-0B3C-4EF9-91C4-5FAC71CBB8AA}"/>
              </c:ext>
            </c:extLst>
          </c:dPt>
          <c:dPt>
            <c:idx val="3"/>
            <c:invertIfNegative val="0"/>
            <c:bubble3D val="0"/>
            <c:extLst>
              <c:ext xmlns:c16="http://schemas.microsoft.com/office/drawing/2014/chart" uri="{C3380CC4-5D6E-409C-BE32-E72D297353CC}">
                <c16:uniqueId val="{00000003-0B3C-4EF9-91C4-5FAC71CBB8AA}"/>
              </c:ext>
            </c:extLst>
          </c:dPt>
          <c:dPt>
            <c:idx val="4"/>
            <c:invertIfNegative val="0"/>
            <c:bubble3D val="0"/>
            <c:extLst>
              <c:ext xmlns:c16="http://schemas.microsoft.com/office/drawing/2014/chart" uri="{C3380CC4-5D6E-409C-BE32-E72D297353CC}">
                <c16:uniqueId val="{00000004-0B3C-4EF9-91C4-5FAC71CBB8AA}"/>
              </c:ext>
            </c:extLst>
          </c:dPt>
          <c:dPt>
            <c:idx val="5"/>
            <c:invertIfNegative val="0"/>
            <c:bubble3D val="0"/>
            <c:extLst>
              <c:ext xmlns:c16="http://schemas.microsoft.com/office/drawing/2014/chart" uri="{C3380CC4-5D6E-409C-BE32-E72D297353CC}">
                <c16:uniqueId val="{00000005-0B3C-4EF9-91C4-5FAC71CBB8AA}"/>
              </c:ext>
            </c:extLst>
          </c:dPt>
          <c:dPt>
            <c:idx val="6"/>
            <c:invertIfNegative val="0"/>
            <c:bubble3D val="0"/>
            <c:extLst>
              <c:ext xmlns:c16="http://schemas.microsoft.com/office/drawing/2014/chart" uri="{C3380CC4-5D6E-409C-BE32-E72D297353CC}">
                <c16:uniqueId val="{00000006-0B3C-4EF9-91C4-5FAC71CBB8AA}"/>
              </c:ext>
            </c:extLst>
          </c:dPt>
          <c:dPt>
            <c:idx val="7"/>
            <c:invertIfNegative val="0"/>
            <c:bubble3D val="0"/>
            <c:extLst>
              <c:ext xmlns:c16="http://schemas.microsoft.com/office/drawing/2014/chart" uri="{C3380CC4-5D6E-409C-BE32-E72D297353CC}">
                <c16:uniqueId val="{00000007-0B3C-4EF9-91C4-5FAC71CBB8AA}"/>
              </c:ext>
            </c:extLst>
          </c:dPt>
          <c:dPt>
            <c:idx val="8"/>
            <c:invertIfNegative val="0"/>
            <c:bubble3D val="0"/>
            <c:extLst>
              <c:ext xmlns:c16="http://schemas.microsoft.com/office/drawing/2014/chart" uri="{C3380CC4-5D6E-409C-BE32-E72D297353CC}">
                <c16:uniqueId val="{00000008-0B3C-4EF9-91C4-5FAC71CBB8AA}"/>
              </c:ext>
            </c:extLst>
          </c:dPt>
          <c:dPt>
            <c:idx val="9"/>
            <c:invertIfNegative val="0"/>
            <c:bubble3D val="0"/>
            <c:extLst>
              <c:ext xmlns:c16="http://schemas.microsoft.com/office/drawing/2014/chart" uri="{C3380CC4-5D6E-409C-BE32-E72D297353CC}">
                <c16:uniqueId val="{00000009-0B3C-4EF9-91C4-5FAC71CBB8AA}"/>
              </c:ext>
            </c:extLst>
          </c:dPt>
          <c:dPt>
            <c:idx val="14"/>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0B3C-4EF9-91C4-5FAC71CBB8AA}"/>
              </c:ext>
            </c:extLst>
          </c:dPt>
          <c:dPt>
            <c:idx val="1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D-0B3C-4EF9-91C4-5FAC71CBB8AA}"/>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List1!$A$2:$A$17</c:f>
              <c:strCache>
                <c:ptCount val="16"/>
                <c:pt idx="0">
                  <c:v>Račice-Pístovice</c:v>
                </c:pt>
                <c:pt idx="1">
                  <c:v>Bohdalice-Pavlovice</c:v>
                </c:pt>
                <c:pt idx="2">
                  <c:v>Drnovice</c:v>
                </c:pt>
                <c:pt idx="3">
                  <c:v>Olšany</c:v>
                </c:pt>
                <c:pt idx="4">
                  <c:v>Pustiměř</c:v>
                </c:pt>
                <c:pt idx="5">
                  <c:v>Drysice</c:v>
                </c:pt>
                <c:pt idx="6">
                  <c:v>Komořany</c:v>
                </c:pt>
                <c:pt idx="7">
                  <c:v>Nemojany</c:v>
                </c:pt>
                <c:pt idx="8">
                  <c:v>Rostěnice -Zvonovice
</c:v>
                </c:pt>
                <c:pt idx="9">
                  <c:v>Hlubočany</c:v>
                </c:pt>
                <c:pt idx="10">
                  <c:v>Ivanovice na Hané</c:v>
                </c:pt>
                <c:pt idx="11">
                  <c:v>Tučapy</c:v>
                </c:pt>
                <c:pt idx="12">
                  <c:v>Rybníček</c:v>
                </c:pt>
                <c:pt idx="13">
                  <c:v>Vyškov</c:v>
                </c:pt>
                <c:pt idx="14">
                  <c:v>Rousínov</c:v>
                </c:pt>
                <c:pt idx="15">
                  <c:v>Vážany</c:v>
                </c:pt>
              </c:strCache>
            </c:strRef>
          </c:cat>
          <c:val>
            <c:numRef>
              <c:f>List1!$B$2:$B$17</c:f>
              <c:numCache>
                <c:formatCode>0.00%</c:formatCode>
                <c:ptCount val="16"/>
                <c:pt idx="0">
                  <c:v>1.0999999999999999E-2</c:v>
                </c:pt>
                <c:pt idx="1">
                  <c:v>1.4E-2</c:v>
                </c:pt>
                <c:pt idx="2">
                  <c:v>1.4999999999999999E-2</c:v>
                </c:pt>
                <c:pt idx="3" formatCode="0.0%">
                  <c:v>1.6E-2</c:v>
                </c:pt>
                <c:pt idx="4">
                  <c:v>2.3E-2</c:v>
                </c:pt>
                <c:pt idx="5">
                  <c:v>2.4E-2</c:v>
                </c:pt>
                <c:pt idx="6">
                  <c:v>2.5000000000000001E-2</c:v>
                </c:pt>
                <c:pt idx="7" formatCode="0.0%">
                  <c:v>2.7E-2</c:v>
                </c:pt>
                <c:pt idx="8">
                  <c:v>2.8000000000000001E-2</c:v>
                </c:pt>
                <c:pt idx="9">
                  <c:v>2.9000000000000001E-2</c:v>
                </c:pt>
                <c:pt idx="10">
                  <c:v>2.9000000000000001E-2</c:v>
                </c:pt>
                <c:pt idx="11">
                  <c:v>3.1E-2</c:v>
                </c:pt>
                <c:pt idx="12">
                  <c:v>3.7999999999999999E-2</c:v>
                </c:pt>
                <c:pt idx="13" formatCode="0%">
                  <c:v>0.04</c:v>
                </c:pt>
                <c:pt idx="14" formatCode="0.0%">
                  <c:v>4.2999999999999997E-2</c:v>
                </c:pt>
                <c:pt idx="15">
                  <c:v>5.7000000000000002E-2</c:v>
                </c:pt>
              </c:numCache>
            </c:numRef>
          </c:val>
          <c:extLst>
            <c:ext xmlns:c16="http://schemas.microsoft.com/office/drawing/2014/chart" uri="{C3380CC4-5D6E-409C-BE32-E72D297353CC}">
              <c16:uniqueId val="{0000000E-0B3C-4EF9-91C4-5FAC71CBB8AA}"/>
            </c:ext>
          </c:extLst>
        </c:ser>
        <c:dLbls>
          <c:dLblPos val="inEnd"/>
          <c:showLegendKey val="0"/>
          <c:showVal val="1"/>
          <c:showCatName val="0"/>
          <c:showSerName val="0"/>
          <c:showPercent val="0"/>
          <c:showBubbleSize val="0"/>
        </c:dLbls>
        <c:gapWidth val="182"/>
        <c:overlap val="-50"/>
        <c:axId val="446378592"/>
        <c:axId val="446377024"/>
      </c:barChart>
      <c:catAx>
        <c:axId val="446378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7024"/>
        <c:crosses val="autoZero"/>
        <c:auto val="1"/>
        <c:lblAlgn val="ctr"/>
        <c:lblOffset val="100"/>
        <c:noMultiLvlLbl val="0"/>
      </c:catAx>
      <c:valAx>
        <c:axId val="446377024"/>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8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b="1" i="0" baseline="0">
                <a:effectLst/>
              </a:rPr>
              <a:t>Podíl osob s jinou než českou státní příslušností na celkovém počtu obyvatel vybraných obcí k 1. 1. 2023 v ORP Vyškov</a:t>
            </a:r>
          </a:p>
        </c:rich>
      </c:tx>
      <c:layout>
        <c:manualLayout>
          <c:xMode val="edge"/>
          <c:yMode val="edge"/>
          <c:x val="0.11752645502645502"/>
          <c:y val="2.9033526772456195E-3"/>
        </c:manualLayout>
      </c:layout>
      <c:overlay val="0"/>
      <c:spPr>
        <a:noFill/>
        <a:ln>
          <a:noFill/>
        </a:ln>
        <a:effectLst/>
      </c:spPr>
    </c:title>
    <c:autoTitleDeleted val="0"/>
    <c:plotArea>
      <c:layout>
        <c:manualLayout>
          <c:layoutTarget val="inner"/>
          <c:xMode val="edge"/>
          <c:yMode val="edge"/>
          <c:x val="0.18550039682185815"/>
          <c:y val="0.10120454702094653"/>
          <c:w val="0.77617950129342039"/>
          <c:h val="0.80371705297401208"/>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lumMod val="75000"/>
              </a:schemeClr>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C756-4BDB-88C7-36C2BDA923D4}"/>
              </c:ext>
            </c:extLst>
          </c:dPt>
          <c:dPt>
            <c:idx val="1"/>
            <c:invertIfNegative val="0"/>
            <c:bubble3D val="0"/>
            <c:extLst>
              <c:ext xmlns:c16="http://schemas.microsoft.com/office/drawing/2014/chart" uri="{C3380CC4-5D6E-409C-BE32-E72D297353CC}">
                <c16:uniqueId val="{00000001-C756-4BDB-88C7-36C2BDA923D4}"/>
              </c:ext>
            </c:extLst>
          </c:dPt>
          <c:dPt>
            <c:idx val="2"/>
            <c:invertIfNegative val="0"/>
            <c:bubble3D val="0"/>
            <c:extLst>
              <c:ext xmlns:c16="http://schemas.microsoft.com/office/drawing/2014/chart" uri="{C3380CC4-5D6E-409C-BE32-E72D297353CC}">
                <c16:uniqueId val="{00000002-C756-4BDB-88C7-36C2BDA923D4}"/>
              </c:ext>
            </c:extLst>
          </c:dPt>
          <c:dPt>
            <c:idx val="3"/>
            <c:invertIfNegative val="0"/>
            <c:bubble3D val="0"/>
            <c:extLst>
              <c:ext xmlns:c16="http://schemas.microsoft.com/office/drawing/2014/chart" uri="{C3380CC4-5D6E-409C-BE32-E72D297353CC}">
                <c16:uniqueId val="{00000003-C756-4BDB-88C7-36C2BDA923D4}"/>
              </c:ext>
            </c:extLst>
          </c:dPt>
          <c:dPt>
            <c:idx val="4"/>
            <c:invertIfNegative val="0"/>
            <c:bubble3D val="0"/>
            <c:extLst>
              <c:ext xmlns:c16="http://schemas.microsoft.com/office/drawing/2014/chart" uri="{C3380CC4-5D6E-409C-BE32-E72D297353CC}">
                <c16:uniqueId val="{00000004-C756-4BDB-88C7-36C2BDA923D4}"/>
              </c:ext>
            </c:extLst>
          </c:dPt>
          <c:dPt>
            <c:idx val="5"/>
            <c:invertIfNegative val="0"/>
            <c:bubble3D val="0"/>
            <c:extLst>
              <c:ext xmlns:c16="http://schemas.microsoft.com/office/drawing/2014/chart" uri="{C3380CC4-5D6E-409C-BE32-E72D297353CC}">
                <c16:uniqueId val="{00000005-C756-4BDB-88C7-36C2BDA923D4}"/>
              </c:ext>
            </c:extLst>
          </c:dPt>
          <c:dPt>
            <c:idx val="6"/>
            <c:invertIfNegative val="0"/>
            <c:bubble3D val="0"/>
            <c:extLst>
              <c:ext xmlns:c16="http://schemas.microsoft.com/office/drawing/2014/chart" uri="{C3380CC4-5D6E-409C-BE32-E72D297353CC}">
                <c16:uniqueId val="{00000006-C756-4BDB-88C7-36C2BDA923D4}"/>
              </c:ext>
            </c:extLst>
          </c:dPt>
          <c:dPt>
            <c:idx val="7"/>
            <c:invertIfNegative val="0"/>
            <c:bubble3D val="0"/>
            <c:extLst>
              <c:ext xmlns:c16="http://schemas.microsoft.com/office/drawing/2014/chart" uri="{C3380CC4-5D6E-409C-BE32-E72D297353CC}">
                <c16:uniqueId val="{00000007-C756-4BDB-88C7-36C2BDA923D4}"/>
              </c:ext>
            </c:extLst>
          </c:dPt>
          <c:dPt>
            <c:idx val="8"/>
            <c:invertIfNegative val="0"/>
            <c:bubble3D val="0"/>
            <c:extLst>
              <c:ext xmlns:c16="http://schemas.microsoft.com/office/drawing/2014/chart" uri="{C3380CC4-5D6E-409C-BE32-E72D297353CC}">
                <c16:uniqueId val="{00000008-C756-4BDB-88C7-36C2BDA923D4}"/>
              </c:ext>
            </c:extLst>
          </c:dPt>
          <c:dPt>
            <c:idx val="9"/>
            <c:invertIfNegative val="0"/>
            <c:bubble3D val="0"/>
            <c:extLst>
              <c:ext xmlns:c16="http://schemas.microsoft.com/office/drawing/2014/chart" uri="{C3380CC4-5D6E-409C-BE32-E72D297353CC}">
                <c16:uniqueId val="{00000009-C756-4BDB-88C7-36C2BDA923D4}"/>
              </c:ext>
            </c:extLst>
          </c:dPt>
          <c:dPt>
            <c:idx val="13"/>
            <c:invertIfNegative val="0"/>
            <c:bubble3D val="0"/>
            <c:extLst>
              <c:ext xmlns:c16="http://schemas.microsoft.com/office/drawing/2014/chart" uri="{C3380CC4-5D6E-409C-BE32-E72D297353CC}">
                <c16:uniqueId val="{0000000A-C756-4BDB-88C7-36C2BDA923D4}"/>
              </c:ext>
            </c:extLst>
          </c:dPt>
          <c:dPt>
            <c:idx val="14"/>
            <c:invertIfNegative val="0"/>
            <c:bubble3D val="0"/>
            <c:extLst>
              <c:ext xmlns:c16="http://schemas.microsoft.com/office/drawing/2014/chart" uri="{C3380CC4-5D6E-409C-BE32-E72D297353CC}">
                <c16:uniqueId val="{0000000B-C756-4BDB-88C7-36C2BDA923D4}"/>
              </c:ext>
            </c:extLst>
          </c:dPt>
          <c:dPt>
            <c:idx val="27"/>
            <c:invertIfNegative val="0"/>
            <c:bubble3D val="0"/>
            <c:extLst>
              <c:ext xmlns:c16="http://schemas.microsoft.com/office/drawing/2014/chart" uri="{C3380CC4-5D6E-409C-BE32-E72D297353CC}">
                <c16:uniqueId val="{0000000C-C756-4BDB-88C7-36C2BDA923D4}"/>
              </c:ext>
            </c:extLst>
          </c:dPt>
          <c:dPt>
            <c:idx val="2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E-C756-4BDB-88C7-36C2BDA923D4}"/>
              </c:ext>
            </c:extLst>
          </c:dPt>
          <c:dPt>
            <c:idx val="2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0-C756-4BDB-88C7-36C2BDA923D4}"/>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List1!$A$2:$A$31</c:f>
              <c:strCache>
                <c:ptCount val="30"/>
                <c:pt idx="0">
                  <c:v>Dražovice</c:v>
                </c:pt>
                <c:pt idx="1">
                  <c:v>Račice-Pístovice</c:v>
                </c:pt>
                <c:pt idx="2">
                  <c:v>Švábenice</c:v>
                </c:pt>
                <c:pt idx="3">
                  <c:v>Habrovany</c:v>
                </c:pt>
                <c:pt idx="4">
                  <c:v>Moravské Málkovice</c:v>
                </c:pt>
                <c:pt idx="5">
                  <c:v>Bohdalice-Pavlovice</c:v>
                </c:pt>
                <c:pt idx="6">
                  <c:v>Drnovice</c:v>
                </c:pt>
                <c:pt idx="7">
                  <c:v>Luleč</c:v>
                </c:pt>
                <c:pt idx="8">
                  <c:v>Medlovice</c:v>
                </c:pt>
                <c:pt idx="9">
                  <c:v>Kučerov</c:v>
                </c:pt>
                <c:pt idx="10">
                  <c:v>Komořany</c:v>
                </c:pt>
                <c:pt idx="11">
                  <c:v>Prusy-Boškůvky</c:v>
                </c:pt>
                <c:pt idx="12">
                  <c:v>Pustiměř</c:v>
                </c:pt>
                <c:pt idx="13">
                  <c:v>Drysice</c:v>
                </c:pt>
                <c:pt idx="14">
                  <c:v>Hvězdlice</c:v>
                </c:pt>
                <c:pt idx="15">
                  <c:v>Zelená Hora</c:v>
                </c:pt>
                <c:pt idx="16">
                  <c:v>Olšany</c:v>
                </c:pt>
                <c:pt idx="17">
                  <c:v>Lysovice</c:v>
                </c:pt>
                <c:pt idx="18">
                  <c:v>Nemojany</c:v>
                </c:pt>
                <c:pt idx="19">
                  <c:v>Tučapy</c:v>
                </c:pt>
                <c:pt idx="20">
                  <c:v>Topolany</c:v>
                </c:pt>
                <c:pt idx="21">
                  <c:v>Studnice</c:v>
                </c:pt>
                <c:pt idx="22">
                  <c:v>Ruprechtov</c:v>
                </c:pt>
                <c:pt idx="23">
                  <c:v>Vyškov</c:v>
                </c:pt>
                <c:pt idx="24">
                  <c:v>Vážany</c:v>
                </c:pt>
                <c:pt idx="25">
                  <c:v>Ivanovice na Hané</c:v>
                </c:pt>
                <c:pt idx="26">
                  <c:v>Rybníček</c:v>
                </c:pt>
                <c:pt idx="27">
                  <c:v>Hlubočany</c:v>
                </c:pt>
                <c:pt idx="28">
                  <c:v>Rousínov</c:v>
                </c:pt>
                <c:pt idx="29">
                  <c:v>Rostěnice-Zvonovice</c:v>
                </c:pt>
              </c:strCache>
            </c:strRef>
          </c:cat>
          <c:val>
            <c:numRef>
              <c:f>List1!$B$2:$B$31</c:f>
              <c:numCache>
                <c:formatCode>0%</c:formatCode>
                <c:ptCount val="30"/>
                <c:pt idx="0" formatCode="0.0%">
                  <c:v>7.5037518759379692E-3</c:v>
                </c:pt>
                <c:pt idx="1">
                  <c:v>9.6076861489191347E-3</c:v>
                </c:pt>
                <c:pt idx="2" formatCode="0.0%">
                  <c:v>1.3422818791946308E-2</c:v>
                </c:pt>
                <c:pt idx="3" formatCode="0.0%">
                  <c:v>1.5200868621064061E-2</c:v>
                </c:pt>
                <c:pt idx="4" formatCode="0.0%">
                  <c:v>2.0442930153321975E-2</c:v>
                </c:pt>
                <c:pt idx="5" formatCode="0.0%">
                  <c:v>2.1276595744680851E-2</c:v>
                </c:pt>
                <c:pt idx="6" formatCode="0.0%">
                  <c:v>2.3102310231023101E-2</c:v>
                </c:pt>
                <c:pt idx="7" formatCode="0.0%">
                  <c:v>2.4072216649949848E-2</c:v>
                </c:pt>
                <c:pt idx="8" formatCode="0.0%">
                  <c:v>2.557544757033248E-2</c:v>
                </c:pt>
                <c:pt idx="9" formatCode="0.0%">
                  <c:v>2.7888446215139442E-2</c:v>
                </c:pt>
                <c:pt idx="10" formatCode="0.0%">
                  <c:v>3.0263157894736843E-2</c:v>
                </c:pt>
                <c:pt idx="11" formatCode="0.0%">
                  <c:v>3.1473533619456366E-2</c:v>
                </c:pt>
                <c:pt idx="12" formatCode="0.0%">
                  <c:v>3.1600407747196739E-2</c:v>
                </c:pt>
                <c:pt idx="13" formatCode="0.0%">
                  <c:v>3.2761310452418098E-2</c:v>
                </c:pt>
                <c:pt idx="14" formatCode="0.0%">
                  <c:v>3.3434650455927049E-2</c:v>
                </c:pt>
                <c:pt idx="15" formatCode="0.0%">
                  <c:v>3.3726812816188868E-2</c:v>
                </c:pt>
                <c:pt idx="16">
                  <c:v>3.880597014925373E-2</c:v>
                </c:pt>
                <c:pt idx="17" formatCode="0.0%">
                  <c:v>3.9215686274509803E-2</c:v>
                </c:pt>
                <c:pt idx="18" formatCode="0.0%">
                  <c:v>4.190919674039581E-2</c:v>
                </c:pt>
                <c:pt idx="19">
                  <c:v>4.7619047619047616E-2</c:v>
                </c:pt>
                <c:pt idx="20" formatCode="0.0%">
                  <c:v>4.8257372654155493E-2</c:v>
                </c:pt>
                <c:pt idx="21" formatCode="0.0%">
                  <c:v>5.9273422562141492E-2</c:v>
                </c:pt>
                <c:pt idx="22" formatCode="0.0%">
                  <c:v>5.9907834101382486E-2</c:v>
                </c:pt>
                <c:pt idx="23" formatCode="0.0%">
                  <c:v>6.1311181384811439E-2</c:v>
                </c:pt>
                <c:pt idx="24" formatCode="0.0%">
                  <c:v>6.8817204301075269E-2</c:v>
                </c:pt>
                <c:pt idx="25">
                  <c:v>7.029478458049887E-2</c:v>
                </c:pt>
                <c:pt idx="26">
                  <c:v>7.4468085106382975E-2</c:v>
                </c:pt>
                <c:pt idx="27" formatCode="0.0%">
                  <c:v>7.8152753108348141E-2</c:v>
                </c:pt>
                <c:pt idx="28" formatCode="0.0%">
                  <c:v>8.9527854925665742E-2</c:v>
                </c:pt>
                <c:pt idx="29" formatCode="0.0%">
                  <c:v>0.1053484602917342</c:v>
                </c:pt>
              </c:numCache>
            </c:numRef>
          </c:val>
          <c:extLst>
            <c:ext xmlns:c16="http://schemas.microsoft.com/office/drawing/2014/chart" uri="{C3380CC4-5D6E-409C-BE32-E72D297353CC}">
              <c16:uniqueId val="{00000011-C756-4BDB-88C7-36C2BDA923D4}"/>
            </c:ext>
          </c:extLst>
        </c:ser>
        <c:dLbls>
          <c:dLblPos val="inEnd"/>
          <c:showLegendKey val="0"/>
          <c:showVal val="1"/>
          <c:showCatName val="0"/>
          <c:showSerName val="0"/>
          <c:showPercent val="0"/>
          <c:showBubbleSize val="0"/>
        </c:dLbls>
        <c:gapWidth val="94"/>
        <c:axId val="446378200"/>
        <c:axId val="446374672"/>
      </c:barChart>
      <c:catAx>
        <c:axId val="446378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4672"/>
        <c:crosses val="autoZero"/>
        <c:auto val="1"/>
        <c:lblAlgn val="ctr"/>
        <c:lblOffset val="100"/>
        <c:noMultiLvlLbl val="0"/>
      </c:catAx>
      <c:valAx>
        <c:axId val="446374672"/>
        <c:scaling>
          <c:orientation val="minMax"/>
          <c:max val="0.12000000000000001"/>
          <c:min val="0"/>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8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a:t>Podíl </a:t>
            </a:r>
            <a:r>
              <a:rPr lang="en-US" sz="1000" b="1" i="0" u="none" strike="noStrike" kern="1200" cap="none" baseline="0">
                <a:solidFill>
                  <a:sysClr val="windowText" lastClr="000000"/>
                </a:solidFill>
                <a:latin typeface="Arial Narrow" panose="020B0606020202030204" pitchFamily="34" charset="0"/>
                <a:ea typeface="+mn-ea"/>
                <a:cs typeface="+mn-cs"/>
              </a:rPr>
              <a:t>osob s jinou než českou státní příslušností</a:t>
            </a:r>
            <a:r>
              <a:rPr lang="en-US" sz="1000"/>
              <a:t> na celkovém počtu obyvatel</a:t>
            </a:r>
            <a:r>
              <a:rPr lang="cs-CZ" sz="1000"/>
              <a:t> obce</a:t>
            </a:r>
            <a:r>
              <a:rPr lang="cs-CZ" sz="1000" baseline="0"/>
              <a:t> Rostěnice-Zvonovice </a:t>
            </a:r>
            <a:r>
              <a:rPr lang="cs-CZ" sz="1000"/>
              <a:t>v</a:t>
            </a:r>
            <a:r>
              <a:rPr lang="cs-CZ" sz="1000" baseline="0"/>
              <a:t> letech 2006-2023</a:t>
            </a:r>
            <a:endParaRPr lang="en-US" sz="1000"/>
          </a:p>
        </c:rich>
      </c:tx>
      <c:layout>
        <c:manualLayout>
          <c:xMode val="edge"/>
          <c:yMode val="edge"/>
          <c:x val="0.11911894273127753"/>
          <c:y val="6.5089558646003499E-3"/>
        </c:manualLayout>
      </c:layout>
      <c:overlay val="0"/>
      <c:spPr>
        <a:noFill/>
        <a:ln>
          <a:noFill/>
        </a:ln>
        <a:effectLst/>
      </c:spPr>
    </c:title>
    <c:autoTitleDeleted val="0"/>
    <c:plotArea>
      <c:layout>
        <c:manualLayout>
          <c:layoutTarget val="inner"/>
          <c:xMode val="edge"/>
          <c:yMode val="edge"/>
          <c:x val="5.7681848139026687E-2"/>
          <c:y val="0.19034189885504915"/>
          <c:w val="0.90153630025321729"/>
          <c:h val="0.65840927187472353"/>
        </c:manualLayout>
      </c:layout>
      <c:barChart>
        <c:barDir val="bar"/>
        <c:grouping val="clustered"/>
        <c:varyColors val="0"/>
        <c:ser>
          <c:idx val="0"/>
          <c:order val="0"/>
          <c:tx>
            <c:strRef>
              <c:f>List1!$B$1</c:f>
              <c:strCache>
                <c:ptCount val="1"/>
                <c:pt idx="0">
                  <c:v>Podíl cizinců na celkovém počtu obyvatel obce vážany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8192-459E-87C4-AAEB96F629AD}"/>
              </c:ext>
            </c:extLst>
          </c:dPt>
          <c:dPt>
            <c:idx val="1"/>
            <c:invertIfNegative val="0"/>
            <c:bubble3D val="0"/>
            <c:extLst>
              <c:ext xmlns:c16="http://schemas.microsoft.com/office/drawing/2014/chart" uri="{C3380CC4-5D6E-409C-BE32-E72D297353CC}">
                <c16:uniqueId val="{00000001-8192-459E-87C4-AAEB96F629AD}"/>
              </c:ext>
            </c:extLst>
          </c:dPt>
          <c:dPt>
            <c:idx val="2"/>
            <c:invertIfNegative val="0"/>
            <c:bubble3D val="0"/>
            <c:extLst>
              <c:ext xmlns:c16="http://schemas.microsoft.com/office/drawing/2014/chart" uri="{C3380CC4-5D6E-409C-BE32-E72D297353CC}">
                <c16:uniqueId val="{00000002-8192-459E-87C4-AAEB96F629AD}"/>
              </c:ext>
            </c:extLst>
          </c:dPt>
          <c:dPt>
            <c:idx val="3"/>
            <c:invertIfNegative val="0"/>
            <c:bubble3D val="0"/>
            <c:extLst>
              <c:ext xmlns:c16="http://schemas.microsoft.com/office/drawing/2014/chart" uri="{C3380CC4-5D6E-409C-BE32-E72D297353CC}">
                <c16:uniqueId val="{00000003-8192-459E-87C4-AAEB96F629AD}"/>
              </c:ext>
            </c:extLst>
          </c:dPt>
          <c:dPt>
            <c:idx val="4"/>
            <c:invertIfNegative val="0"/>
            <c:bubble3D val="0"/>
            <c:extLst>
              <c:ext xmlns:c16="http://schemas.microsoft.com/office/drawing/2014/chart" uri="{C3380CC4-5D6E-409C-BE32-E72D297353CC}">
                <c16:uniqueId val="{00000004-8192-459E-87C4-AAEB96F629AD}"/>
              </c:ext>
            </c:extLst>
          </c:dPt>
          <c:dPt>
            <c:idx val="5"/>
            <c:invertIfNegative val="0"/>
            <c:bubble3D val="0"/>
            <c:spPr>
              <a:solidFill>
                <a:schemeClr val="tx2">
                  <a:lumMod val="75000"/>
                </a:schemeClr>
              </a:solidFill>
              <a:ln w="9525" cap="flat" cmpd="sng" algn="ctr">
                <a:noFill/>
                <a:miter lim="800000"/>
              </a:ln>
              <a:effectLst/>
            </c:spPr>
            <c:extLst>
              <c:ext xmlns:c16="http://schemas.microsoft.com/office/drawing/2014/chart" uri="{C3380CC4-5D6E-409C-BE32-E72D297353CC}">
                <c16:uniqueId val="{00000006-8192-459E-87C4-AAEB96F629AD}"/>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8-8192-459E-87C4-AAEB96F629AD}"/>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A-8192-459E-87C4-AAEB96F629AD}"/>
              </c:ext>
            </c:extLst>
          </c:dPt>
          <c:dPt>
            <c:idx val="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C-8192-459E-87C4-AAEB96F629AD}"/>
              </c:ext>
            </c:extLst>
          </c:dPt>
          <c:dPt>
            <c:idx val="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E-8192-459E-87C4-AAEB96F629AD}"/>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General</c:formatCode>
                <c:ptCount val="7"/>
                <c:pt idx="2" formatCode="0.0%">
                  <c:v>2.5999999999999999E-2</c:v>
                </c:pt>
                <c:pt idx="3" formatCode="0.0%">
                  <c:v>3.2000000000000001E-2</c:v>
                </c:pt>
                <c:pt idx="4" formatCode="0.0%">
                  <c:v>3.1E-2</c:v>
                </c:pt>
                <c:pt idx="5" formatCode="0.0%">
                  <c:v>2.7E-2</c:v>
                </c:pt>
                <c:pt idx="6" formatCode="0.0%">
                  <c:v>0.105</c:v>
                </c:pt>
              </c:numCache>
            </c:numRef>
          </c:val>
          <c:extLst>
            <c:ext xmlns:c16="http://schemas.microsoft.com/office/drawing/2014/chart" uri="{C3380CC4-5D6E-409C-BE32-E72D297353CC}">
              <c16:uniqueId val="{0000000F-8192-459E-87C4-AAEB96F629AD}"/>
            </c:ext>
          </c:extLst>
        </c:ser>
        <c:dLbls>
          <c:dLblPos val="inEnd"/>
          <c:showLegendKey val="0"/>
          <c:showVal val="1"/>
          <c:showCatName val="0"/>
          <c:showSerName val="0"/>
          <c:showPercent val="0"/>
          <c:showBubbleSize val="0"/>
        </c:dLbls>
        <c:gapWidth val="182"/>
        <c:overlap val="-50"/>
        <c:axId val="446379376"/>
        <c:axId val="446375456"/>
      </c:barChart>
      <c:catAx>
        <c:axId val="446379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5456"/>
        <c:crosses val="autoZero"/>
        <c:auto val="1"/>
        <c:lblAlgn val="ctr"/>
        <c:lblOffset val="100"/>
        <c:noMultiLvlLbl val="0"/>
      </c:catAx>
      <c:valAx>
        <c:axId val="446375456"/>
        <c:scaling>
          <c:orientation val="minMax"/>
          <c:min val="1.0000000000000002E-2"/>
        </c:scaling>
        <c:delete val="0"/>
        <c:axPos val="b"/>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79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a:t>Podíl </a:t>
            </a:r>
            <a:r>
              <a:rPr lang="en-US" sz="1000" b="1" i="0" u="none" strike="noStrike" kern="1200" cap="none" baseline="0">
                <a:solidFill>
                  <a:sysClr val="windowText" lastClr="000000"/>
                </a:solidFill>
                <a:latin typeface="Arial Narrow" panose="020B0606020202030204" pitchFamily="34" charset="0"/>
                <a:ea typeface="+mn-ea"/>
                <a:cs typeface="+mn-cs"/>
              </a:rPr>
              <a:t>osob s jinou než českou státní příslušností</a:t>
            </a:r>
            <a:r>
              <a:rPr lang="en-US" sz="1000"/>
              <a:t> na celkovém počtu obyvatel</a:t>
            </a:r>
            <a:r>
              <a:rPr lang="cs-CZ" sz="1000"/>
              <a:t> obce</a:t>
            </a:r>
            <a:r>
              <a:rPr lang="cs-CZ" sz="1000" baseline="0"/>
              <a:t> Rousínov</a:t>
            </a:r>
            <a:r>
              <a:rPr lang="cs-CZ" sz="1000"/>
              <a:t> v</a:t>
            </a:r>
            <a:r>
              <a:rPr lang="cs-CZ" sz="1000" baseline="0"/>
              <a:t> letech 2006-2023</a:t>
            </a:r>
            <a:endParaRPr lang="en-US" sz="1000"/>
          </a:p>
        </c:rich>
      </c:tx>
      <c:layout>
        <c:manualLayout>
          <c:xMode val="edge"/>
          <c:yMode val="edge"/>
          <c:x val="0.11911894273127753"/>
          <c:y val="6.5089558646003499E-3"/>
        </c:manualLayout>
      </c:layout>
      <c:overlay val="0"/>
      <c:spPr>
        <a:noFill/>
        <a:ln>
          <a:noFill/>
        </a:ln>
        <a:effectLst/>
      </c:spPr>
    </c:title>
    <c:autoTitleDeleted val="0"/>
    <c:plotArea>
      <c:layout>
        <c:manualLayout>
          <c:layoutTarget val="inner"/>
          <c:xMode val="edge"/>
          <c:yMode val="edge"/>
          <c:x val="6.2202643171806168E-2"/>
          <c:y val="0.19499218061749221"/>
          <c:w val="0.90153630025321729"/>
          <c:h val="0.65565829639898643"/>
        </c:manualLayout>
      </c:layout>
      <c:barChart>
        <c:barDir val="bar"/>
        <c:grouping val="clustered"/>
        <c:varyColors val="0"/>
        <c:ser>
          <c:idx val="0"/>
          <c:order val="0"/>
          <c:tx>
            <c:strRef>
              <c:f>List1!$B$1</c:f>
              <c:strCache>
                <c:ptCount val="1"/>
                <c:pt idx="0">
                  <c:v>Podíl cizinců na celkovém počtu obyvatel obce vážany v %</c:v>
                </c:pt>
              </c:strCache>
            </c:strRef>
          </c:tx>
          <c:spPr>
            <a:solidFill>
              <a:schemeClr val="tx2"/>
            </a:solidFill>
            <a:ln w="9525" cap="flat" cmpd="sng" algn="ctr">
              <a:noFill/>
              <a:miter lim="800000"/>
            </a:ln>
            <a:effectLst/>
          </c:spPr>
          <c:invertIfNegative val="0"/>
          <c:dPt>
            <c:idx val="0"/>
            <c:invertIfNegative val="0"/>
            <c:bubble3D val="0"/>
            <c:spPr>
              <a:solidFill>
                <a:schemeClr val="tx2"/>
              </a:solidFill>
              <a:ln w="9525" cap="flat" cmpd="sng" algn="ctr">
                <a:noFill/>
                <a:miter lim="800000"/>
              </a:ln>
              <a:effectLst/>
            </c:spPr>
            <c:extLst>
              <c:ext xmlns:c16="http://schemas.microsoft.com/office/drawing/2014/chart" uri="{C3380CC4-5D6E-409C-BE32-E72D297353CC}">
                <c16:uniqueId val="{00000001-65B9-4540-9AD1-808E047EB977}"/>
              </c:ext>
            </c:extLst>
          </c:dPt>
          <c:dPt>
            <c:idx val="1"/>
            <c:invertIfNegative val="0"/>
            <c:bubble3D val="0"/>
            <c:extLst>
              <c:ext xmlns:c16="http://schemas.microsoft.com/office/drawing/2014/chart" uri="{C3380CC4-5D6E-409C-BE32-E72D297353CC}">
                <c16:uniqueId val="{00000002-65B9-4540-9AD1-808E047EB977}"/>
              </c:ext>
            </c:extLst>
          </c:dPt>
          <c:dPt>
            <c:idx val="2"/>
            <c:invertIfNegative val="0"/>
            <c:bubble3D val="0"/>
            <c:extLst>
              <c:ext xmlns:c16="http://schemas.microsoft.com/office/drawing/2014/chart" uri="{C3380CC4-5D6E-409C-BE32-E72D297353CC}">
                <c16:uniqueId val="{00000003-65B9-4540-9AD1-808E047EB977}"/>
              </c:ext>
            </c:extLst>
          </c:dPt>
          <c:dPt>
            <c:idx val="3"/>
            <c:invertIfNegative val="0"/>
            <c:bubble3D val="0"/>
            <c:extLst>
              <c:ext xmlns:c16="http://schemas.microsoft.com/office/drawing/2014/chart" uri="{C3380CC4-5D6E-409C-BE32-E72D297353CC}">
                <c16:uniqueId val="{00000004-65B9-4540-9AD1-808E047EB977}"/>
              </c:ext>
            </c:extLst>
          </c:dPt>
          <c:dPt>
            <c:idx val="4"/>
            <c:invertIfNegative val="0"/>
            <c:bubble3D val="0"/>
            <c:extLst>
              <c:ext xmlns:c16="http://schemas.microsoft.com/office/drawing/2014/chart" uri="{C3380CC4-5D6E-409C-BE32-E72D297353CC}">
                <c16:uniqueId val="{00000005-65B9-4540-9AD1-808E047EB977}"/>
              </c:ext>
            </c:extLst>
          </c:dPt>
          <c:dPt>
            <c:idx val="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65B9-4540-9AD1-808E047EB977}"/>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65B9-4540-9AD1-808E047EB977}"/>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B-65B9-4540-9AD1-808E047EB977}"/>
              </c:ext>
            </c:extLst>
          </c:dPt>
          <c:dPt>
            <c:idx val="8"/>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D-65B9-4540-9AD1-808E047EB977}"/>
              </c:ext>
            </c:extLst>
          </c:dPt>
          <c:dPt>
            <c:idx val="9"/>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F-65B9-4540-9AD1-808E047EB977}"/>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c:formatCode>
                <c:ptCount val="7"/>
                <c:pt idx="0">
                  <c:v>1.7999999999999999E-2</c:v>
                </c:pt>
                <c:pt idx="1">
                  <c:v>3.1E-2</c:v>
                </c:pt>
                <c:pt idx="2">
                  <c:v>4.3999999999999997E-2</c:v>
                </c:pt>
                <c:pt idx="3">
                  <c:v>3.7999999999999999E-2</c:v>
                </c:pt>
                <c:pt idx="4">
                  <c:v>0.04</c:v>
                </c:pt>
                <c:pt idx="5">
                  <c:v>4.2999999999999997E-2</c:v>
                </c:pt>
                <c:pt idx="6">
                  <c:v>0.09</c:v>
                </c:pt>
              </c:numCache>
            </c:numRef>
          </c:val>
          <c:extLst>
            <c:ext xmlns:c16="http://schemas.microsoft.com/office/drawing/2014/chart" uri="{C3380CC4-5D6E-409C-BE32-E72D297353CC}">
              <c16:uniqueId val="{00000010-65B9-4540-9AD1-808E047EB977}"/>
            </c:ext>
          </c:extLst>
        </c:ser>
        <c:dLbls>
          <c:dLblPos val="inEnd"/>
          <c:showLegendKey val="0"/>
          <c:showVal val="1"/>
          <c:showCatName val="0"/>
          <c:showSerName val="0"/>
          <c:showPercent val="0"/>
          <c:showBubbleSize val="0"/>
        </c:dLbls>
        <c:gapWidth val="182"/>
        <c:overlap val="-50"/>
        <c:axId val="446380552"/>
        <c:axId val="446380944"/>
      </c:barChart>
      <c:catAx>
        <c:axId val="446380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80944"/>
        <c:crosses val="autoZero"/>
        <c:auto val="1"/>
        <c:lblAlgn val="ctr"/>
        <c:lblOffset val="100"/>
        <c:noMultiLvlLbl val="0"/>
      </c:catAx>
      <c:valAx>
        <c:axId val="446380944"/>
        <c:scaling>
          <c:orientation val="minMax"/>
          <c:min val="1.0000000000000002E-2"/>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46380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r>
              <a:rPr lang="cs-CZ" sz="1000" b="1" cap="none" spc="0">
                <a:ln w="0"/>
                <a:solidFill>
                  <a:schemeClr val="tx1"/>
                </a:solidFill>
                <a:effectLst/>
              </a:rPr>
              <a:t>Podíl občanů Ukrajiny na celkovém počtu </a:t>
            </a:r>
            <a:r>
              <a:rPr lang="cs-CZ" sz="1000" b="1" i="0" u="none" strike="noStrike" cap="none" spc="0" baseline="0">
                <a:ln w="0"/>
                <a:solidFill>
                  <a:schemeClr val="tx1"/>
                </a:solidFill>
                <a:effectLst/>
              </a:rPr>
              <a:t>osob s jinou než českou státní příslušností</a:t>
            </a:r>
            <a:r>
              <a:rPr lang="cs-CZ" sz="1000" b="1" cap="none" spc="0">
                <a:ln w="0"/>
                <a:solidFill>
                  <a:schemeClr val="tx1"/>
                </a:solidFill>
                <a:effectLst/>
              </a:rPr>
              <a:t> v ČR a v JMK v letech 2010 - 2022</a:t>
            </a:r>
            <a:endParaRPr lang="en-US" sz="1000" b="1" cap="none" spc="0">
              <a:ln w="0"/>
              <a:solidFill>
                <a:schemeClr val="tx1"/>
              </a:solidFill>
              <a:effectLst/>
            </a:endParaRPr>
          </a:p>
        </c:rich>
      </c:tx>
      <c:layout>
        <c:manualLayout>
          <c:xMode val="edge"/>
          <c:yMode val="edge"/>
          <c:x val="0.11496878862364425"/>
          <c:y val="5.1091536406613859E-4"/>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093079660853913E-2"/>
          <c:y val="7.0738188976377958E-2"/>
          <c:w val="0.90376636948159261"/>
          <c:h val="0.85571139545056885"/>
        </c:manualLayout>
      </c:layout>
      <c:bar3DChart>
        <c:barDir val="bar"/>
        <c:grouping val="clustered"/>
        <c:varyColors val="0"/>
        <c:ser>
          <c:idx val="0"/>
          <c:order val="0"/>
          <c:tx>
            <c:strRef>
              <c:f>List1!$B$1</c:f>
              <c:strCache>
                <c:ptCount val="1"/>
                <c:pt idx="0">
                  <c:v>ČR</c:v>
                </c:pt>
              </c:strCache>
            </c:strRef>
          </c:tx>
          <c:spPr>
            <a:solidFill>
              <a:schemeClr val="accent1"/>
            </a:soli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D64-48CA-983F-8E0F2A692D2F}"/>
              </c:ext>
            </c:extLst>
          </c:dPt>
          <c:dPt>
            <c:idx val="2"/>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D64-48CA-983F-8E0F2A692D2F}"/>
              </c:ext>
            </c:extLst>
          </c:dPt>
          <c:dPt>
            <c:idx val="3"/>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D64-48CA-983F-8E0F2A692D2F}"/>
              </c:ext>
            </c:extLst>
          </c:dPt>
          <c:dPt>
            <c:idx val="4"/>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D64-48CA-983F-8E0F2A692D2F}"/>
              </c:ext>
            </c:extLst>
          </c:dPt>
          <c:dPt>
            <c:idx val="5"/>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8D64-48CA-983F-8E0F2A692D2F}"/>
              </c:ext>
            </c:extLst>
          </c:dPt>
          <c:dPt>
            <c:idx val="8"/>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8D64-48CA-983F-8E0F2A692D2F}"/>
              </c:ext>
            </c:extLst>
          </c:dPt>
          <c:dLbls>
            <c:spPr>
              <a:solidFill>
                <a:schemeClr val="accent1">
                  <a:lumMod val="20000"/>
                  <a:lumOff val="80000"/>
                </a:schemeClr>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List1!$B$2:$B$14</c:f>
              <c:numCache>
                <c:formatCode>0.0%</c:formatCode>
                <c:ptCount val="13"/>
                <c:pt idx="0">
                  <c:v>0.29299999999999998</c:v>
                </c:pt>
                <c:pt idx="1">
                  <c:v>0.27400000000000002</c:v>
                </c:pt>
                <c:pt idx="2">
                  <c:v>0.25800000000000001</c:v>
                </c:pt>
                <c:pt idx="3">
                  <c:v>0.23899999999999999</c:v>
                </c:pt>
                <c:pt idx="4">
                  <c:v>0.23200000000000001</c:v>
                </c:pt>
                <c:pt idx="5">
                  <c:v>0.22700000000000001</c:v>
                </c:pt>
                <c:pt idx="6">
                  <c:v>0.223</c:v>
                </c:pt>
                <c:pt idx="7">
                  <c:v>0.223</c:v>
                </c:pt>
                <c:pt idx="8">
                  <c:v>0.23300000000000001</c:v>
                </c:pt>
                <c:pt idx="9">
                  <c:v>0.24099999999999999</c:v>
                </c:pt>
                <c:pt idx="10">
                  <c:v>0.26100000000000001</c:v>
                </c:pt>
                <c:pt idx="11">
                  <c:v>0.29899999999999999</c:v>
                </c:pt>
                <c:pt idx="12">
                  <c:v>0.56999999999999995</c:v>
                </c:pt>
              </c:numCache>
            </c:numRef>
          </c:val>
          <c:shape val="cylinder"/>
          <c:extLst>
            <c:ext xmlns:c16="http://schemas.microsoft.com/office/drawing/2014/chart" uri="{C3380CC4-5D6E-409C-BE32-E72D297353CC}">
              <c16:uniqueId val="{0000000C-8D64-48CA-983F-8E0F2A692D2F}"/>
            </c:ext>
          </c:extLst>
        </c:ser>
        <c:ser>
          <c:idx val="1"/>
          <c:order val="1"/>
          <c:tx>
            <c:strRef>
              <c:f>List1!$C$1</c:f>
              <c:strCache>
                <c:ptCount val="1"/>
                <c:pt idx="0">
                  <c:v>JMK</c:v>
                </c:pt>
              </c:strCache>
            </c:strRef>
          </c:tx>
          <c:spPr>
            <a:solidFill>
              <a:srgbClr val="C00000"/>
            </a:solidFill>
            <a:ln>
              <a:noFill/>
            </a:ln>
            <a:effectLst>
              <a:outerShdw blurRad="57150" dist="19050" dir="5400000" algn="ctr" rotWithShape="0">
                <a:srgbClr val="000000">
                  <a:alpha val="63000"/>
                </a:srgbClr>
              </a:outerShdw>
            </a:effectLst>
            <a:sp3d/>
          </c:spPr>
          <c:invertIfNegative val="0"/>
          <c:dLbls>
            <c:spPr>
              <a:solidFill>
                <a:srgbClr val="FEE0D6"/>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List1!$C$2:$C$14</c:f>
              <c:numCache>
                <c:formatCode>0.0%</c:formatCode>
                <c:ptCount val="13"/>
                <c:pt idx="0">
                  <c:v>0.34100000000000003</c:v>
                </c:pt>
                <c:pt idx="1">
                  <c:v>0.31900000000000001</c:v>
                </c:pt>
                <c:pt idx="2">
                  <c:v>0.29299999999999998</c:v>
                </c:pt>
                <c:pt idx="3">
                  <c:v>0.26200000000000001</c:v>
                </c:pt>
                <c:pt idx="4">
                  <c:v>0.24199999999999999</c:v>
                </c:pt>
                <c:pt idx="5">
                  <c:v>0.23799999999999999</c:v>
                </c:pt>
                <c:pt idx="6">
                  <c:v>0.23</c:v>
                </c:pt>
                <c:pt idx="7">
                  <c:v>0.224</c:v>
                </c:pt>
                <c:pt idx="8">
                  <c:v>0.23400000000000001</c:v>
                </c:pt>
                <c:pt idx="9">
                  <c:v>0.24</c:v>
                </c:pt>
                <c:pt idx="10">
                  <c:v>0.24299999999999999</c:v>
                </c:pt>
                <c:pt idx="11">
                  <c:v>0.27600000000000002</c:v>
                </c:pt>
                <c:pt idx="12">
                  <c:v>0.56299999999999994</c:v>
                </c:pt>
              </c:numCache>
            </c:numRef>
          </c:val>
          <c:shape val="cylinder"/>
          <c:extLst>
            <c:ext xmlns:c16="http://schemas.microsoft.com/office/drawing/2014/chart" uri="{C3380CC4-5D6E-409C-BE32-E72D297353CC}">
              <c16:uniqueId val="{0000000D-8D64-48CA-983F-8E0F2A692D2F}"/>
            </c:ext>
          </c:extLst>
        </c:ser>
        <c:dLbls>
          <c:showLegendKey val="0"/>
          <c:showVal val="0"/>
          <c:showCatName val="0"/>
          <c:showSerName val="0"/>
          <c:showPercent val="0"/>
          <c:showBubbleSize val="0"/>
        </c:dLbls>
        <c:gapWidth val="60"/>
        <c:gapDepth val="149"/>
        <c:shape val="box"/>
        <c:axId val="297251472"/>
        <c:axId val="297249120"/>
        <c:axId val="0"/>
      </c:bar3DChart>
      <c:catAx>
        <c:axId val="297251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249120"/>
        <c:crosses val="autoZero"/>
        <c:auto val="1"/>
        <c:lblAlgn val="ctr"/>
        <c:lblOffset val="100"/>
        <c:noMultiLvlLbl val="0"/>
      </c:catAx>
      <c:valAx>
        <c:axId val="297249120"/>
        <c:scaling>
          <c:orientation val="minMax"/>
          <c:min val="0.17"/>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251472"/>
        <c:crosses val="autoZero"/>
        <c:crossBetween val="between"/>
      </c:valAx>
      <c:spPr>
        <a:noFill/>
        <a:ln>
          <a:noFill/>
        </a:ln>
        <a:effectLst/>
      </c:spPr>
    </c:plotArea>
    <c:legend>
      <c:legendPos val="r"/>
      <c:layout>
        <c:manualLayout>
          <c:xMode val="edge"/>
          <c:yMode val="edge"/>
          <c:x val="0.74243931314141287"/>
          <c:y val="0.77624252697579466"/>
          <c:w val="0.24662733130580899"/>
          <c:h val="0.1132199620880723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r>
              <a:rPr lang="cs-CZ" sz="1000" b="1" cap="none" spc="0">
                <a:ln w="0"/>
                <a:solidFill>
                  <a:schemeClr val="tx1"/>
                </a:solidFill>
                <a:effectLst/>
              </a:rPr>
              <a:t>Podíl občanů Vietnamu na celkovém počtu </a:t>
            </a:r>
            <a:r>
              <a:rPr lang="cs-CZ" sz="1000" b="1" i="0" u="none" strike="noStrike" cap="none" spc="0" baseline="0">
                <a:ln w="0"/>
                <a:solidFill>
                  <a:schemeClr val="tx1"/>
                </a:solidFill>
                <a:effectLst/>
              </a:rPr>
              <a:t>osob s jinou než českou státní příslušností</a:t>
            </a:r>
            <a:r>
              <a:rPr lang="cs-CZ" sz="1000" b="1" cap="none" spc="0">
                <a:ln w="0"/>
                <a:solidFill>
                  <a:schemeClr val="tx1"/>
                </a:solidFill>
                <a:effectLst/>
              </a:rPr>
              <a:t> v ČR a v JMK v letech 2010 - 2022</a:t>
            </a:r>
            <a:endParaRPr lang="en-US" sz="1000" b="1" cap="none" spc="0">
              <a:ln w="0"/>
              <a:solidFill>
                <a:schemeClr val="tx1"/>
              </a:solidFill>
              <a:effectLst/>
            </a:endParaRPr>
          </a:p>
        </c:rich>
      </c:tx>
      <c:layout>
        <c:manualLayout>
          <c:xMode val="edge"/>
          <c:yMode val="edge"/>
          <c:x val="0.11937795969948201"/>
          <c:y val="5.1096033047727432E-4"/>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093134191559385E-2"/>
          <c:y val="5.4128460357549646E-2"/>
          <c:w val="0.90376636948159261"/>
          <c:h val="0.88718031000841879"/>
        </c:manualLayout>
      </c:layout>
      <c:bar3DChart>
        <c:barDir val="bar"/>
        <c:grouping val="clustered"/>
        <c:varyColors val="0"/>
        <c:ser>
          <c:idx val="0"/>
          <c:order val="0"/>
          <c:tx>
            <c:strRef>
              <c:f>List1!$B$1</c:f>
              <c:strCache>
                <c:ptCount val="1"/>
                <c:pt idx="0">
                  <c:v>ČR</c:v>
                </c:pt>
              </c:strCache>
            </c:strRef>
          </c:tx>
          <c:spPr>
            <a:solidFill>
              <a:schemeClr val="accent1"/>
            </a:soli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97A-4523-ADBE-E60BC6F19BA2}"/>
              </c:ext>
            </c:extLst>
          </c:dPt>
          <c:dPt>
            <c:idx val="2"/>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97A-4523-ADBE-E60BC6F19BA2}"/>
              </c:ext>
            </c:extLst>
          </c:dPt>
          <c:dPt>
            <c:idx val="3"/>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97A-4523-ADBE-E60BC6F19BA2}"/>
              </c:ext>
            </c:extLst>
          </c:dPt>
          <c:dPt>
            <c:idx val="4"/>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97A-4523-ADBE-E60BC6F19BA2}"/>
              </c:ext>
            </c:extLst>
          </c:dPt>
          <c:dPt>
            <c:idx val="5"/>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097A-4523-ADBE-E60BC6F19BA2}"/>
              </c:ext>
            </c:extLst>
          </c:dPt>
          <c:dPt>
            <c:idx val="8"/>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097A-4523-ADBE-E60BC6F19BA2}"/>
              </c:ext>
            </c:extLst>
          </c:dPt>
          <c:dLbls>
            <c:spPr>
              <a:solidFill>
                <a:schemeClr val="accent1">
                  <a:lumMod val="20000"/>
                  <a:lumOff val="80000"/>
                </a:schemeClr>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List1!$B$2:$B$14</c:f>
              <c:numCache>
                <c:formatCode>0.0%</c:formatCode>
                <c:ptCount val="13"/>
                <c:pt idx="0">
                  <c:v>0.14199999999999999</c:v>
                </c:pt>
                <c:pt idx="1">
                  <c:v>0.13400000000000001</c:v>
                </c:pt>
                <c:pt idx="2">
                  <c:v>0.13100000000000001</c:v>
                </c:pt>
                <c:pt idx="3">
                  <c:v>0.13100000000000001</c:v>
                </c:pt>
                <c:pt idx="4">
                  <c:v>0.126</c:v>
                </c:pt>
                <c:pt idx="5">
                  <c:v>0.122</c:v>
                </c:pt>
                <c:pt idx="6">
                  <c:v>0.11799999999999999</c:v>
                </c:pt>
                <c:pt idx="7">
                  <c:v>0.114</c:v>
                </c:pt>
                <c:pt idx="8">
                  <c:v>0.108</c:v>
                </c:pt>
                <c:pt idx="9">
                  <c:v>0.104</c:v>
                </c:pt>
                <c:pt idx="10">
                  <c:v>9.9000000000000005E-2</c:v>
                </c:pt>
                <c:pt idx="11">
                  <c:v>9.8000000000000004E-2</c:v>
                </c:pt>
                <c:pt idx="12">
                  <c:v>5.8999999999999997E-2</c:v>
                </c:pt>
              </c:numCache>
            </c:numRef>
          </c:val>
          <c:shape val="cylinder"/>
          <c:extLst>
            <c:ext xmlns:c16="http://schemas.microsoft.com/office/drawing/2014/chart" uri="{C3380CC4-5D6E-409C-BE32-E72D297353CC}">
              <c16:uniqueId val="{0000000C-097A-4523-ADBE-E60BC6F19BA2}"/>
            </c:ext>
          </c:extLst>
        </c:ser>
        <c:ser>
          <c:idx val="1"/>
          <c:order val="1"/>
          <c:tx>
            <c:strRef>
              <c:f>List1!$C$1</c:f>
              <c:strCache>
                <c:ptCount val="1"/>
                <c:pt idx="0">
                  <c:v>JMK</c:v>
                </c:pt>
              </c:strCache>
            </c:strRef>
          </c:tx>
          <c:spPr>
            <a:solidFill>
              <a:srgbClr val="C00000"/>
            </a:solidFill>
            <a:ln>
              <a:noFill/>
            </a:ln>
            <a:effectLst>
              <a:outerShdw blurRad="57150" dist="19050" dir="5400000" algn="ctr" rotWithShape="0">
                <a:srgbClr val="000000">
                  <a:alpha val="63000"/>
                </a:srgbClr>
              </a:outerShdw>
            </a:effectLst>
            <a:sp3d/>
          </c:spPr>
          <c:invertIfNegative val="0"/>
          <c:dLbls>
            <c:spPr>
              <a:solidFill>
                <a:srgbClr val="FEE0D6"/>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List1!$C$2:$C$14</c:f>
              <c:numCache>
                <c:formatCode>0.0%</c:formatCode>
                <c:ptCount val="13"/>
                <c:pt idx="0">
                  <c:v>0.128</c:v>
                </c:pt>
                <c:pt idx="1">
                  <c:v>0.129</c:v>
                </c:pt>
                <c:pt idx="2">
                  <c:v>0.128</c:v>
                </c:pt>
                <c:pt idx="3">
                  <c:v>0.123</c:v>
                </c:pt>
                <c:pt idx="4">
                  <c:v>0.11700000000000001</c:v>
                </c:pt>
                <c:pt idx="5">
                  <c:v>0.113</c:v>
                </c:pt>
                <c:pt idx="6">
                  <c:v>0.107</c:v>
                </c:pt>
                <c:pt idx="7">
                  <c:v>0.10199999999999999</c:v>
                </c:pt>
                <c:pt idx="8">
                  <c:v>9.6000000000000002E-2</c:v>
                </c:pt>
                <c:pt idx="9">
                  <c:v>9.0999999999999998E-2</c:v>
                </c:pt>
                <c:pt idx="10">
                  <c:v>8.2000000000000003E-2</c:v>
                </c:pt>
                <c:pt idx="11">
                  <c:v>7.8E-2</c:v>
                </c:pt>
                <c:pt idx="12">
                  <c:v>4.4999999999999998E-2</c:v>
                </c:pt>
              </c:numCache>
            </c:numRef>
          </c:val>
          <c:shape val="cylinder"/>
          <c:extLst>
            <c:ext xmlns:c16="http://schemas.microsoft.com/office/drawing/2014/chart" uri="{C3380CC4-5D6E-409C-BE32-E72D297353CC}">
              <c16:uniqueId val="{0000000D-097A-4523-ADBE-E60BC6F19BA2}"/>
            </c:ext>
          </c:extLst>
        </c:ser>
        <c:dLbls>
          <c:showLegendKey val="0"/>
          <c:showVal val="0"/>
          <c:showCatName val="0"/>
          <c:showSerName val="0"/>
          <c:showPercent val="0"/>
          <c:showBubbleSize val="0"/>
        </c:dLbls>
        <c:gapWidth val="57"/>
        <c:shape val="box"/>
        <c:axId val="297248728"/>
        <c:axId val="297251864"/>
        <c:axId val="0"/>
      </c:bar3DChart>
      <c:catAx>
        <c:axId val="297248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251864"/>
        <c:crosses val="autoZero"/>
        <c:auto val="1"/>
        <c:lblAlgn val="ctr"/>
        <c:lblOffset val="100"/>
        <c:noMultiLvlLbl val="0"/>
      </c:catAx>
      <c:valAx>
        <c:axId val="29725186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248728"/>
        <c:crosses val="autoZero"/>
        <c:crossBetween val="between"/>
      </c:valAx>
      <c:spPr>
        <a:noFill/>
        <a:ln>
          <a:noFill/>
        </a:ln>
        <a:effectLst/>
      </c:spPr>
    </c:plotArea>
    <c:legend>
      <c:legendPos val="r"/>
      <c:layout>
        <c:manualLayout>
          <c:xMode val="edge"/>
          <c:yMode val="edge"/>
          <c:x val="0.86787693205016025"/>
          <c:y val="0.29499192789580547"/>
          <c:w val="0.11228179810856978"/>
          <c:h val="0.273999504778883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r>
              <a:rPr lang="cs-CZ" sz="1000" b="1" cap="none" spc="0">
                <a:ln w="0"/>
                <a:solidFill>
                  <a:sysClr val="windowText" lastClr="000000"/>
                </a:solidFill>
                <a:effectLst/>
              </a:rPr>
              <a:t>Podíl občanů Ruska</a:t>
            </a:r>
            <a:r>
              <a:rPr lang="cs-CZ" sz="1000" b="1" cap="none" spc="0" baseline="0">
                <a:ln w="0"/>
                <a:solidFill>
                  <a:sysClr val="windowText" lastClr="000000"/>
                </a:solidFill>
                <a:effectLst/>
              </a:rPr>
              <a:t> </a:t>
            </a:r>
            <a:r>
              <a:rPr lang="cs-CZ" sz="1000" b="1" cap="none" spc="0">
                <a:ln w="0"/>
                <a:solidFill>
                  <a:sysClr val="windowText" lastClr="000000"/>
                </a:solidFill>
                <a:effectLst/>
              </a:rPr>
              <a:t> na celkovém počtu </a:t>
            </a:r>
            <a:r>
              <a:rPr lang="cs-CZ" sz="1000" b="1" i="0" u="none" strike="noStrike" cap="none" spc="0" baseline="0">
                <a:ln w="0"/>
                <a:solidFill>
                  <a:sysClr val="windowText" lastClr="000000"/>
                </a:solidFill>
                <a:effectLst/>
              </a:rPr>
              <a:t>osob s jinou než českou státní příslušností</a:t>
            </a:r>
            <a:r>
              <a:rPr lang="cs-CZ" sz="1000" b="1" cap="none" spc="0">
                <a:ln w="0"/>
                <a:solidFill>
                  <a:sysClr val="windowText" lastClr="000000"/>
                </a:solidFill>
                <a:effectLst/>
              </a:rPr>
              <a:t> v ČR </a:t>
            </a:r>
            <a:br>
              <a:rPr lang="cs-CZ" sz="1000" b="1" cap="none" spc="0">
                <a:ln w="0"/>
                <a:solidFill>
                  <a:sysClr val="windowText" lastClr="000000"/>
                </a:solidFill>
                <a:effectLst/>
              </a:rPr>
            </a:br>
            <a:r>
              <a:rPr lang="cs-CZ" sz="1000" b="1" cap="none" spc="0">
                <a:ln w="0"/>
                <a:solidFill>
                  <a:sysClr val="windowText" lastClr="000000"/>
                </a:solidFill>
                <a:effectLst/>
              </a:rPr>
              <a:t>a v JMK v letech 2010 - 2022</a:t>
            </a:r>
          </a:p>
        </c:rich>
      </c:tx>
      <c:layout>
        <c:manualLayout>
          <c:xMode val="edge"/>
          <c:yMode val="edge"/>
          <c:x val="0.11937795969948201"/>
          <c:y val="5.1096033047727432E-4"/>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093134191559385E-2"/>
          <c:y val="4.9886166385751309E-2"/>
          <c:w val="0.90376636948159261"/>
          <c:h val="0.90426718824683661"/>
        </c:manualLayout>
      </c:layout>
      <c:bar3DChart>
        <c:barDir val="bar"/>
        <c:grouping val="clustered"/>
        <c:varyColors val="0"/>
        <c:ser>
          <c:idx val="0"/>
          <c:order val="0"/>
          <c:tx>
            <c:strRef>
              <c:f>List1!$B$1</c:f>
              <c:strCache>
                <c:ptCount val="1"/>
                <c:pt idx="0">
                  <c:v>ČR</c:v>
                </c:pt>
              </c:strCache>
            </c:strRef>
          </c:tx>
          <c:spPr>
            <a:solidFill>
              <a:schemeClr val="accent1"/>
            </a:soli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E49-4F7B-B927-D3358BFAF772}"/>
              </c:ext>
            </c:extLst>
          </c:dPt>
          <c:dPt>
            <c:idx val="2"/>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E49-4F7B-B927-D3358BFAF772}"/>
              </c:ext>
            </c:extLst>
          </c:dPt>
          <c:dPt>
            <c:idx val="3"/>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E49-4F7B-B927-D3358BFAF772}"/>
              </c:ext>
            </c:extLst>
          </c:dPt>
          <c:dPt>
            <c:idx val="4"/>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E49-4F7B-B927-D3358BFAF772}"/>
              </c:ext>
            </c:extLst>
          </c:dPt>
          <c:dPt>
            <c:idx val="5"/>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E49-4F7B-B927-D3358BFAF772}"/>
              </c:ext>
            </c:extLst>
          </c:dPt>
          <c:dPt>
            <c:idx val="8"/>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E49-4F7B-B927-D3358BFAF772}"/>
              </c:ext>
            </c:extLst>
          </c:dPt>
          <c:dLbls>
            <c:spPr>
              <a:solidFill>
                <a:schemeClr val="accent1">
                  <a:lumMod val="20000"/>
                  <a:lumOff val="80000"/>
                </a:schemeClr>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List1!$B$2:$B$14</c:f>
              <c:numCache>
                <c:formatCode>0.0%</c:formatCode>
                <c:ptCount val="13"/>
                <c:pt idx="0">
                  <c:v>7.4999999999999997E-2</c:v>
                </c:pt>
                <c:pt idx="1">
                  <c:v>7.3999999999999996E-2</c:v>
                </c:pt>
                <c:pt idx="2">
                  <c:v>7.4999999999999997E-2</c:v>
                </c:pt>
                <c:pt idx="3">
                  <c:v>7.4999999999999997E-2</c:v>
                </c:pt>
                <c:pt idx="4">
                  <c:v>7.5999999999999998E-2</c:v>
                </c:pt>
                <c:pt idx="5">
                  <c:v>7.3999999999999996E-2</c:v>
                </c:pt>
                <c:pt idx="6">
                  <c:v>7.1999999999999995E-2</c:v>
                </c:pt>
                <c:pt idx="7">
                  <c:v>7.0000000000000007E-2</c:v>
                </c:pt>
                <c:pt idx="8">
                  <c:v>6.7000000000000004E-2</c:v>
                </c:pt>
                <c:pt idx="9">
                  <c:v>6.4000000000000001E-2</c:v>
                </c:pt>
                <c:pt idx="10">
                  <c:v>6.6000000000000003E-2</c:v>
                </c:pt>
                <c:pt idx="11">
                  <c:v>6.8564330877484952E-2</c:v>
                </c:pt>
                <c:pt idx="12">
                  <c:v>3.897132474551003E-2</c:v>
                </c:pt>
              </c:numCache>
            </c:numRef>
          </c:val>
          <c:shape val="cylinder"/>
          <c:extLst>
            <c:ext xmlns:c16="http://schemas.microsoft.com/office/drawing/2014/chart" uri="{C3380CC4-5D6E-409C-BE32-E72D297353CC}">
              <c16:uniqueId val="{0000000C-9E49-4F7B-B927-D3358BFAF772}"/>
            </c:ext>
          </c:extLst>
        </c:ser>
        <c:ser>
          <c:idx val="1"/>
          <c:order val="1"/>
          <c:tx>
            <c:strRef>
              <c:f>List1!$C$1</c:f>
              <c:strCache>
                <c:ptCount val="1"/>
                <c:pt idx="0">
                  <c:v>JMK</c:v>
                </c:pt>
              </c:strCache>
            </c:strRef>
          </c:tx>
          <c:spPr>
            <a:solidFill>
              <a:srgbClr val="C00000"/>
            </a:solidFill>
            <a:ln>
              <a:noFill/>
            </a:ln>
            <a:effectLst>
              <a:outerShdw blurRad="57150" dist="19050" dir="5400000" algn="ctr" rotWithShape="0">
                <a:srgbClr val="000000">
                  <a:alpha val="63000"/>
                </a:srgbClr>
              </a:outerShdw>
            </a:effectLst>
            <a:sp3d/>
          </c:spPr>
          <c:invertIfNegative val="0"/>
          <c:dLbls>
            <c:spPr>
              <a:solidFill>
                <a:srgbClr val="FEE0D6"/>
              </a:solidFill>
              <a:ln>
                <a:noFill/>
              </a:ln>
              <a:effectLst/>
            </c:spPr>
            <c:txPr>
              <a:bodyPr rot="0" spcFirstLastPara="1" vertOverflow="clip" horzOverflow="clip" vert="horz" wrap="square" lIns="0" tIns="0" rIns="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List1!$C$2:$C$14</c:f>
              <c:numCache>
                <c:formatCode>0.0%</c:formatCode>
                <c:ptCount val="13"/>
                <c:pt idx="0">
                  <c:v>2.8000000000000001E-2</c:v>
                </c:pt>
                <c:pt idx="1">
                  <c:v>0.03</c:v>
                </c:pt>
                <c:pt idx="2">
                  <c:v>3.5000000000000003E-2</c:v>
                </c:pt>
                <c:pt idx="3">
                  <c:v>4.2000000000000003E-2</c:v>
                </c:pt>
                <c:pt idx="4">
                  <c:v>4.7E-2</c:v>
                </c:pt>
                <c:pt idx="5">
                  <c:v>4.5999999999999999E-2</c:v>
                </c:pt>
                <c:pt idx="6">
                  <c:v>4.7E-2</c:v>
                </c:pt>
                <c:pt idx="7">
                  <c:v>4.7E-2</c:v>
                </c:pt>
                <c:pt idx="8">
                  <c:v>4.9000000000000002E-2</c:v>
                </c:pt>
                <c:pt idx="9">
                  <c:v>4.9000000000000002E-2</c:v>
                </c:pt>
                <c:pt idx="10">
                  <c:v>5.0999999999999997E-2</c:v>
                </c:pt>
                <c:pt idx="11">
                  <c:v>5.6734700270985733E-2</c:v>
                </c:pt>
                <c:pt idx="12">
                  <c:v>3.2592459281922073E-2</c:v>
                </c:pt>
              </c:numCache>
            </c:numRef>
          </c:val>
          <c:shape val="cylinder"/>
          <c:extLst>
            <c:ext xmlns:c16="http://schemas.microsoft.com/office/drawing/2014/chart" uri="{C3380CC4-5D6E-409C-BE32-E72D297353CC}">
              <c16:uniqueId val="{0000000D-9E49-4F7B-B927-D3358BFAF772}"/>
            </c:ext>
          </c:extLst>
        </c:ser>
        <c:dLbls>
          <c:showLegendKey val="0"/>
          <c:showVal val="0"/>
          <c:showCatName val="0"/>
          <c:showSerName val="0"/>
          <c:showPercent val="0"/>
          <c:showBubbleSize val="0"/>
        </c:dLbls>
        <c:gapWidth val="59"/>
        <c:shape val="box"/>
        <c:axId val="298475456"/>
        <c:axId val="293543320"/>
        <c:axId val="0"/>
      </c:bar3DChart>
      <c:catAx>
        <c:axId val="298475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3543320"/>
        <c:crosses val="autoZero"/>
        <c:auto val="1"/>
        <c:lblAlgn val="ctr"/>
        <c:lblOffset val="100"/>
        <c:noMultiLvlLbl val="0"/>
      </c:catAx>
      <c:valAx>
        <c:axId val="293543320"/>
        <c:scaling>
          <c:orientation val="minMax"/>
          <c:max val="9.0000000000000024E-2"/>
          <c:min val="2.0000000000000004E-2"/>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75456"/>
        <c:crosses val="autoZero"/>
        <c:crossBetween val="between"/>
      </c:valAx>
      <c:spPr>
        <a:noFill/>
        <a:ln>
          <a:noFill/>
        </a:ln>
        <a:effectLst/>
      </c:spPr>
    </c:plotArea>
    <c:legend>
      <c:legendPos val="r"/>
      <c:layout>
        <c:manualLayout>
          <c:xMode val="edge"/>
          <c:yMode val="edge"/>
          <c:x val="0.88771820189143003"/>
          <c:y val="0.42634257316581509"/>
          <c:w val="9.0235942729381041E-2"/>
          <c:h val="0.1857599206838957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Osoby s jinou než českou státní příslušností v České republice v</a:t>
            </a:r>
            <a:r>
              <a:rPr lang="cs-CZ" sz="1000" b="1" cap="none" spc="0" baseline="0">
                <a:ln w="0"/>
                <a:solidFill>
                  <a:schemeClr val="tx1"/>
                </a:solidFill>
                <a:effectLst/>
              </a:rPr>
              <a:t> letech podle pohlaví</a:t>
            </a:r>
            <a:endParaRPr lang="cs-CZ" sz="1000" b="1" cap="none" spc="0">
              <a:ln w="0"/>
              <a:solidFill>
                <a:schemeClr val="tx1"/>
              </a:solidFill>
              <a:effectLst/>
            </a:endParaRPr>
          </a:p>
        </c:rich>
      </c:tx>
      <c:layout>
        <c:manualLayout>
          <c:xMode val="edge"/>
          <c:yMode val="edge"/>
          <c:x val="0.13596811354755955"/>
          <c:y val="8.1483847931896269E-4"/>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53691930986209E-2"/>
          <c:y val="3.2952388364963434E-2"/>
          <c:w val="0.89631717822054047"/>
          <c:h val="0.88629852075739302"/>
        </c:manualLayout>
      </c:layout>
      <c:bar3DChart>
        <c:barDir val="bar"/>
        <c:grouping val="stacked"/>
        <c:varyColors val="0"/>
        <c:ser>
          <c:idx val="0"/>
          <c:order val="0"/>
          <c:tx>
            <c:strRef>
              <c:f>List1!$B$1</c:f>
              <c:strCache>
                <c:ptCount val="1"/>
                <c:pt idx="0">
                  <c:v>muži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List1!$B$2:$B$19</c:f>
              <c:numCache>
                <c:formatCode>0.0%</c:formatCode>
                <c:ptCount val="18"/>
                <c:pt idx="0">
                  <c:v>0.59599999999999997</c:v>
                </c:pt>
                <c:pt idx="1">
                  <c:v>0.6</c:v>
                </c:pt>
                <c:pt idx="2">
                  <c:v>0.60399999999999998</c:v>
                </c:pt>
                <c:pt idx="3">
                  <c:v>0.60299999999999998</c:v>
                </c:pt>
                <c:pt idx="4">
                  <c:v>0.58799999999999997</c:v>
                </c:pt>
                <c:pt idx="5">
                  <c:v>0.57599999999999996</c:v>
                </c:pt>
                <c:pt idx="6">
                  <c:v>0.57399999999999995</c:v>
                </c:pt>
                <c:pt idx="7">
                  <c:v>0.56699999999999995</c:v>
                </c:pt>
                <c:pt idx="8">
                  <c:v>0.56599999999999995</c:v>
                </c:pt>
                <c:pt idx="9">
                  <c:v>0.56499999999999995</c:v>
                </c:pt>
                <c:pt idx="10">
                  <c:v>0.56399999999999995</c:v>
                </c:pt>
                <c:pt idx="11">
                  <c:v>0.56299999999999994</c:v>
                </c:pt>
                <c:pt idx="12">
                  <c:v>0.56499999999999995</c:v>
                </c:pt>
                <c:pt idx="13">
                  <c:v>0.56799999999999995</c:v>
                </c:pt>
                <c:pt idx="14">
                  <c:v>0.57299999999999995</c:v>
                </c:pt>
                <c:pt idx="15">
                  <c:v>0.57099999999999995</c:v>
                </c:pt>
                <c:pt idx="16">
                  <c:v>0.56499999999999995</c:v>
                </c:pt>
                <c:pt idx="17">
                  <c:v>0.48899999999999999</c:v>
                </c:pt>
              </c:numCache>
            </c:numRef>
          </c:val>
          <c:extLst>
            <c:ext xmlns:c16="http://schemas.microsoft.com/office/drawing/2014/chart" uri="{C3380CC4-5D6E-409C-BE32-E72D297353CC}">
              <c16:uniqueId val="{00000000-7C36-472B-8B1E-25B4E49B8E45}"/>
            </c:ext>
          </c:extLst>
        </c:ser>
        <c:ser>
          <c:idx val="1"/>
          <c:order val="1"/>
          <c:tx>
            <c:strRef>
              <c:f>List1!$C$1</c:f>
              <c:strCache>
                <c:ptCount val="1"/>
                <c:pt idx="0">
                  <c:v>ženy</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00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List1!$C$2:$C$19</c:f>
              <c:numCache>
                <c:formatCode>0.0%</c:formatCode>
                <c:ptCount val="18"/>
                <c:pt idx="0">
                  <c:v>0.40400000000000003</c:v>
                </c:pt>
                <c:pt idx="1">
                  <c:v>0.4</c:v>
                </c:pt>
                <c:pt idx="2">
                  <c:v>0.39600000000000002</c:v>
                </c:pt>
                <c:pt idx="3">
                  <c:v>0.39700000000000002</c:v>
                </c:pt>
                <c:pt idx="4">
                  <c:v>0.41199999999999998</c:v>
                </c:pt>
                <c:pt idx="5">
                  <c:v>0.42399999999999999</c:v>
                </c:pt>
                <c:pt idx="6">
                  <c:v>0.42599999999999999</c:v>
                </c:pt>
                <c:pt idx="7">
                  <c:v>0.433</c:v>
                </c:pt>
                <c:pt idx="8">
                  <c:v>0.434</c:v>
                </c:pt>
                <c:pt idx="9">
                  <c:v>0.435</c:v>
                </c:pt>
                <c:pt idx="10">
                  <c:v>0.436</c:v>
                </c:pt>
                <c:pt idx="11">
                  <c:v>0.437</c:v>
                </c:pt>
                <c:pt idx="12">
                  <c:v>0.435</c:v>
                </c:pt>
                <c:pt idx="13">
                  <c:v>0.432</c:v>
                </c:pt>
                <c:pt idx="14">
                  <c:v>0.42699999999999999</c:v>
                </c:pt>
                <c:pt idx="15">
                  <c:v>0.42899999999999999</c:v>
                </c:pt>
                <c:pt idx="16">
                  <c:v>0.435</c:v>
                </c:pt>
                <c:pt idx="17">
                  <c:v>0.51100000000000001</c:v>
                </c:pt>
              </c:numCache>
            </c:numRef>
          </c:val>
          <c:extLst>
            <c:ext xmlns:c16="http://schemas.microsoft.com/office/drawing/2014/chart" uri="{C3380CC4-5D6E-409C-BE32-E72D297353CC}">
              <c16:uniqueId val="{00000001-7C36-472B-8B1E-25B4E49B8E45}"/>
            </c:ext>
          </c:extLst>
        </c:ser>
        <c:dLbls>
          <c:showLegendKey val="0"/>
          <c:showVal val="0"/>
          <c:showCatName val="0"/>
          <c:showSerName val="0"/>
          <c:showPercent val="0"/>
          <c:showBubbleSize val="0"/>
        </c:dLbls>
        <c:gapWidth val="72"/>
        <c:shape val="cylinder"/>
        <c:axId val="431783472"/>
        <c:axId val="431786216"/>
        <c:axId val="0"/>
      </c:bar3DChart>
      <c:catAx>
        <c:axId val="431783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6216"/>
        <c:crosses val="autoZero"/>
        <c:auto val="1"/>
        <c:lblAlgn val="ctr"/>
        <c:lblOffset val="100"/>
        <c:noMultiLvlLbl val="0"/>
      </c:catAx>
      <c:valAx>
        <c:axId val="43178621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3472"/>
        <c:crosses val="autoZero"/>
        <c:crossBetween val="between"/>
      </c:valAx>
      <c:spPr>
        <a:noFill/>
        <a:ln>
          <a:noFill/>
        </a:ln>
        <a:effectLst/>
      </c:spPr>
    </c:plotArea>
    <c:legend>
      <c:legendPos val="b"/>
      <c:layout>
        <c:manualLayout>
          <c:xMode val="edge"/>
          <c:yMode val="edge"/>
          <c:x val="0.35295824575712897"/>
          <c:y val="0.9522771372328459"/>
          <c:w val="0.27523118375143346"/>
          <c:h val="4.7722862767154095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Osoby s jinou než českou státní příslušností v Jihomoravském</a:t>
            </a:r>
            <a:r>
              <a:rPr lang="cs-CZ" sz="1000" b="1" cap="none" spc="0" baseline="0">
                <a:ln w="0"/>
                <a:solidFill>
                  <a:schemeClr val="tx1"/>
                </a:solidFill>
                <a:effectLst/>
              </a:rPr>
              <a:t> kraji podle pohlaví</a:t>
            </a:r>
            <a:endParaRPr lang="cs-CZ" sz="1000" b="1" cap="none" spc="0">
              <a:ln w="0"/>
              <a:solidFill>
                <a:schemeClr val="tx1"/>
              </a:solidFill>
              <a:effectLst/>
            </a:endParaRPr>
          </a:p>
        </c:rich>
      </c:tx>
      <c:layout>
        <c:manualLayout>
          <c:xMode val="edge"/>
          <c:yMode val="edge"/>
          <c:x val="0.1093988002495704"/>
          <c:y val="3.2129604489094014E-4"/>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22815468391923E-2"/>
          <c:y val="4.310314658943494E-2"/>
          <c:w val="0.89631717822054047"/>
          <c:h val="0.84910006938787819"/>
        </c:manualLayout>
      </c:layout>
      <c:bar3DChart>
        <c:barDir val="bar"/>
        <c:grouping val="stacked"/>
        <c:varyColors val="0"/>
        <c:ser>
          <c:idx val="0"/>
          <c:order val="0"/>
          <c:tx>
            <c:strRef>
              <c:f>List1!$B$1</c:f>
              <c:strCache>
                <c:ptCount val="1"/>
                <c:pt idx="0">
                  <c:v>muži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List1!$B$2:$B$19</c:f>
              <c:numCache>
                <c:formatCode>0.0%</c:formatCode>
                <c:ptCount val="18"/>
                <c:pt idx="0">
                  <c:v>0.63400000000000001</c:v>
                </c:pt>
                <c:pt idx="1">
                  <c:v>0.63</c:v>
                </c:pt>
                <c:pt idx="2">
                  <c:v>0.627</c:v>
                </c:pt>
                <c:pt idx="3">
                  <c:v>0.61599999999999999</c:v>
                </c:pt>
                <c:pt idx="4">
                  <c:v>0.61</c:v>
                </c:pt>
                <c:pt idx="5">
                  <c:v>0.60099999999999998</c:v>
                </c:pt>
                <c:pt idx="6">
                  <c:v>0.6</c:v>
                </c:pt>
                <c:pt idx="7">
                  <c:v>0.58899999999999997</c:v>
                </c:pt>
                <c:pt idx="8">
                  <c:v>0.57999999999999996</c:v>
                </c:pt>
                <c:pt idx="9">
                  <c:v>0.57799999999999996</c:v>
                </c:pt>
                <c:pt idx="10">
                  <c:v>0.57699999999999996</c:v>
                </c:pt>
                <c:pt idx="11">
                  <c:v>0.57499999999999996</c:v>
                </c:pt>
                <c:pt idx="12">
                  <c:v>0.58399999999999996</c:v>
                </c:pt>
                <c:pt idx="13">
                  <c:v>0.57799999999999996</c:v>
                </c:pt>
                <c:pt idx="14">
                  <c:v>0.57699999999999996</c:v>
                </c:pt>
                <c:pt idx="15">
                  <c:v>0.57599999999999996</c:v>
                </c:pt>
                <c:pt idx="16">
                  <c:v>0.57099999999999995</c:v>
                </c:pt>
                <c:pt idx="17">
                  <c:v>0.48993071177899755</c:v>
                </c:pt>
              </c:numCache>
            </c:numRef>
          </c:val>
          <c:extLst>
            <c:ext xmlns:c16="http://schemas.microsoft.com/office/drawing/2014/chart" uri="{C3380CC4-5D6E-409C-BE32-E72D297353CC}">
              <c16:uniqueId val="{00000000-1C51-4C1E-86D5-07F734CBF73D}"/>
            </c:ext>
          </c:extLst>
        </c:ser>
        <c:ser>
          <c:idx val="1"/>
          <c:order val="1"/>
          <c:tx>
            <c:strRef>
              <c:f>List1!$C$1</c:f>
              <c:strCache>
                <c:ptCount val="1"/>
                <c:pt idx="0">
                  <c:v>ženy</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00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List1!$C$2:$C$19</c:f>
              <c:numCache>
                <c:formatCode>0.0%</c:formatCode>
                <c:ptCount val="18"/>
                <c:pt idx="0">
                  <c:v>0.36299999999999999</c:v>
                </c:pt>
                <c:pt idx="1">
                  <c:v>0.37</c:v>
                </c:pt>
                <c:pt idx="2">
                  <c:v>0.373</c:v>
                </c:pt>
                <c:pt idx="3">
                  <c:v>0.38400000000000001</c:v>
                </c:pt>
                <c:pt idx="4">
                  <c:v>0.39</c:v>
                </c:pt>
                <c:pt idx="5">
                  <c:v>0.39900000000000002</c:v>
                </c:pt>
                <c:pt idx="6">
                  <c:v>0.4</c:v>
                </c:pt>
                <c:pt idx="7">
                  <c:v>0.41099999999999998</c:v>
                </c:pt>
                <c:pt idx="8">
                  <c:v>0.42</c:v>
                </c:pt>
                <c:pt idx="9">
                  <c:v>0.42199999999999999</c:v>
                </c:pt>
                <c:pt idx="10">
                  <c:v>0.42299999999999999</c:v>
                </c:pt>
                <c:pt idx="11">
                  <c:v>0.42499999999999999</c:v>
                </c:pt>
                <c:pt idx="12">
                  <c:v>0.41599999999999998</c:v>
                </c:pt>
                <c:pt idx="13">
                  <c:v>0.42199999999999999</c:v>
                </c:pt>
                <c:pt idx="14">
                  <c:v>0.42299999999999999</c:v>
                </c:pt>
                <c:pt idx="15">
                  <c:v>0.42399999999999999</c:v>
                </c:pt>
                <c:pt idx="16">
                  <c:v>0.42899999999999999</c:v>
                </c:pt>
                <c:pt idx="17">
                  <c:v>0.51006928822100239</c:v>
                </c:pt>
              </c:numCache>
            </c:numRef>
          </c:val>
          <c:extLst>
            <c:ext xmlns:c16="http://schemas.microsoft.com/office/drawing/2014/chart" uri="{C3380CC4-5D6E-409C-BE32-E72D297353CC}">
              <c16:uniqueId val="{00000001-1C51-4C1E-86D5-07F734CBF73D}"/>
            </c:ext>
          </c:extLst>
        </c:ser>
        <c:dLbls>
          <c:showLegendKey val="0"/>
          <c:showVal val="0"/>
          <c:showCatName val="0"/>
          <c:showSerName val="0"/>
          <c:showPercent val="0"/>
          <c:showBubbleSize val="0"/>
        </c:dLbls>
        <c:gapWidth val="72"/>
        <c:shape val="cylinder"/>
        <c:axId val="431788176"/>
        <c:axId val="431785432"/>
        <c:axId val="0"/>
      </c:bar3DChart>
      <c:catAx>
        <c:axId val="431788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5432"/>
        <c:crosses val="autoZero"/>
        <c:auto val="1"/>
        <c:lblAlgn val="ctr"/>
        <c:lblOffset val="100"/>
        <c:noMultiLvlLbl val="0"/>
      </c:catAx>
      <c:valAx>
        <c:axId val="43178543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8176"/>
        <c:crosses val="autoZero"/>
        <c:crossBetween val="between"/>
      </c:valAx>
      <c:spPr>
        <a:noFill/>
        <a:ln>
          <a:noFill/>
        </a:ln>
        <a:effectLst/>
      </c:spPr>
    </c:plotArea>
    <c:legend>
      <c:legendPos val="b"/>
      <c:layout>
        <c:manualLayout>
          <c:xMode val="edge"/>
          <c:yMode val="edge"/>
          <c:x val="0.37286973136992879"/>
          <c:y val="0.94334843534377788"/>
          <c:w val="0.18340897491980168"/>
          <c:h val="5.57345360824742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effectLst/>
                <a:latin typeface="Arial Narrow" panose="020B0606020202030204" pitchFamily="34" charset="0"/>
                <a:ea typeface="+mn-ea"/>
                <a:cs typeface="+mn-cs"/>
              </a:defRPr>
            </a:pPr>
            <a:r>
              <a:rPr lang="cs-CZ" sz="1000" b="1" cap="none">
                <a:effectLst/>
              </a:rPr>
              <a:t>Osoby s jinou než českou státní příslušností v ČR k 31. 12. 2021 podle věku</a:t>
            </a:r>
            <a:endParaRPr lang="en-US" sz="1000" b="1" cap="none">
              <a:effectLst/>
            </a:endParaRPr>
          </a:p>
        </c:rich>
      </c:tx>
      <c:layout>
        <c:manualLayout>
          <c:xMode val="edge"/>
          <c:yMode val="edge"/>
          <c:x val="0.1464351851851852"/>
          <c:y val="7.9365079365079361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145237832468823E-3"/>
          <c:y val="7.4873475743761686E-2"/>
          <c:w val="0.99558547621675308"/>
          <c:h val="0.70287267983717605"/>
        </c:manualLayout>
      </c:layout>
      <c:bar3DChart>
        <c:barDir val="col"/>
        <c:grouping val="clustered"/>
        <c:varyColors val="0"/>
        <c:ser>
          <c:idx val="0"/>
          <c:order val="0"/>
          <c:tx>
            <c:strRef>
              <c:f>List1!$B$1</c:f>
              <c:strCache>
                <c:ptCount val="1"/>
                <c:pt idx="0">
                  <c:v>Řada 1</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bg1"/>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List1!$A$2:$A$12</c:f>
              <c:strCache>
                <c:ptCount val="11"/>
                <c:pt idx="0">
                  <c:v>0-4</c:v>
                </c:pt>
                <c:pt idx="1">
                  <c:v>5-9</c:v>
                </c:pt>
                <c:pt idx="2">
                  <c:v>10-14</c:v>
                </c:pt>
                <c:pt idx="3">
                  <c:v>15-19</c:v>
                </c:pt>
                <c:pt idx="4">
                  <c:v>20-29</c:v>
                </c:pt>
                <c:pt idx="5">
                  <c:v>30-39</c:v>
                </c:pt>
                <c:pt idx="6">
                  <c:v>40-49</c:v>
                </c:pt>
                <c:pt idx="7">
                  <c:v>50-59</c:v>
                </c:pt>
                <c:pt idx="8">
                  <c:v>60-69</c:v>
                </c:pt>
                <c:pt idx="9">
                  <c:v>70-79</c:v>
                </c:pt>
                <c:pt idx="10">
                  <c:v>80 let a více</c:v>
                </c:pt>
              </c:strCache>
            </c:strRef>
          </c:cat>
          <c:val>
            <c:numRef>
              <c:f>List1!$B$2:$B$12</c:f>
              <c:numCache>
                <c:formatCode>General</c:formatCode>
                <c:ptCount val="11"/>
                <c:pt idx="0">
                  <c:v>20402</c:v>
                </c:pt>
                <c:pt idx="1">
                  <c:v>25929</c:v>
                </c:pt>
                <c:pt idx="2">
                  <c:v>23332</c:v>
                </c:pt>
                <c:pt idx="3">
                  <c:v>26437</c:v>
                </c:pt>
                <c:pt idx="4">
                  <c:v>109097</c:v>
                </c:pt>
                <c:pt idx="5">
                  <c:v>165758</c:v>
                </c:pt>
                <c:pt idx="6">
                  <c:v>139265</c:v>
                </c:pt>
                <c:pt idx="7">
                  <c:v>86665</c:v>
                </c:pt>
                <c:pt idx="8">
                  <c:v>41668</c:v>
                </c:pt>
                <c:pt idx="9">
                  <c:v>14192</c:v>
                </c:pt>
                <c:pt idx="10">
                  <c:v>5819</c:v>
                </c:pt>
              </c:numCache>
            </c:numRef>
          </c:val>
          <c:shape val="cylinder"/>
          <c:extLst>
            <c:ext xmlns:c16="http://schemas.microsoft.com/office/drawing/2014/chart" uri="{C3380CC4-5D6E-409C-BE32-E72D297353CC}">
              <c16:uniqueId val="{00000000-C441-4AA3-B154-10B71A5C95A3}"/>
            </c:ext>
          </c:extLst>
        </c:ser>
        <c:dLbls>
          <c:showLegendKey val="0"/>
          <c:showVal val="1"/>
          <c:showCatName val="0"/>
          <c:showSerName val="0"/>
          <c:showPercent val="0"/>
          <c:showBubbleSize val="0"/>
        </c:dLbls>
        <c:gapWidth val="84"/>
        <c:gapDepth val="53"/>
        <c:shape val="box"/>
        <c:axId val="431784648"/>
        <c:axId val="431789744"/>
        <c:axId val="0"/>
      </c:bar3DChart>
      <c:catAx>
        <c:axId val="431784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9744"/>
        <c:crosses val="autoZero"/>
        <c:auto val="1"/>
        <c:lblAlgn val="ctr"/>
        <c:lblOffset val="100"/>
        <c:noMultiLvlLbl val="0"/>
      </c:catAx>
      <c:valAx>
        <c:axId val="431789744"/>
        <c:scaling>
          <c:orientation val="minMax"/>
        </c:scaling>
        <c:delete val="1"/>
        <c:axPos val="l"/>
        <c:numFmt formatCode="General" sourceLinked="1"/>
        <c:majorTickMark val="out"/>
        <c:minorTickMark val="none"/>
        <c:tickLblPos val="nextTo"/>
        <c:crossAx val="431784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Arial Narrow" panose="020B0606020202030204" pitchFamily="34" charset="0"/>
                <a:ea typeface="+mn-ea"/>
                <a:cs typeface="+mn-cs"/>
              </a:defRPr>
            </a:pPr>
            <a:r>
              <a:rPr lang="cs-CZ" sz="1000" b="1" i="0" u="none" strike="noStrike" cap="none" baseline="0">
                <a:effectLst/>
              </a:rPr>
              <a:t>Pobyt osob s jinou než českou státní příslušností na území ČR v jednotlivých čtvrtletích roku 2020, 2021 a 2022</a:t>
            </a:r>
            <a:endParaRPr lang="en-US" sz="1000" b="1" cap="none" spc="0">
              <a:ln w="0"/>
              <a:solidFill>
                <a:schemeClr val="tx1"/>
              </a:solidFill>
              <a:effectLst/>
            </a:endParaRPr>
          </a:p>
        </c:rich>
      </c:tx>
      <c:layout>
        <c:manualLayout>
          <c:xMode val="edge"/>
          <c:yMode val="edge"/>
          <c:x val="0.13260075746499858"/>
          <c:y val="3.3711310561704261E-2"/>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413158615931388E-2"/>
          <c:y val="7.5675408994928264E-2"/>
          <c:w val="0.90541777462961126"/>
          <c:h val="0.87037722258401906"/>
        </c:manualLayout>
      </c:layout>
      <c:bar3DChart>
        <c:barDir val="bar"/>
        <c:grouping val="clustered"/>
        <c:varyColors val="0"/>
        <c:ser>
          <c:idx val="0"/>
          <c:order val="0"/>
          <c:tx>
            <c:strRef>
              <c:f>List1!$B$1</c:f>
              <c:strCache>
                <c:ptCount val="1"/>
                <c:pt idx="0">
                  <c:v>Řada 1</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141-47D2-A30A-F123896D156E}"/>
              </c:ext>
            </c:extLst>
          </c:dPt>
          <c:dPt>
            <c:idx val="1"/>
            <c:invertIfNegative val="0"/>
            <c:bubble3D val="0"/>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5141-47D2-A30A-F123896D156E}"/>
              </c:ext>
            </c:extLst>
          </c:dPt>
          <c:dPt>
            <c:idx val="2"/>
            <c:invertIfNegative val="0"/>
            <c:bubble3D val="0"/>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141-47D2-A30A-F123896D156E}"/>
              </c:ext>
            </c:extLst>
          </c:dPt>
          <c:dPt>
            <c:idx val="3"/>
            <c:invertIfNegative val="0"/>
            <c:bubble3D val="0"/>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5141-47D2-A30A-F123896D156E}"/>
              </c:ext>
            </c:extLst>
          </c:dPt>
          <c:dPt>
            <c:idx val="8"/>
            <c:invertIfNegative val="0"/>
            <c:bubble3D val="0"/>
            <c:spPr>
              <a:solidFill>
                <a:schemeClr val="accent1">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141-47D2-A30A-F123896D156E}"/>
              </c:ext>
            </c:extLst>
          </c:dPt>
          <c:dPt>
            <c:idx val="9"/>
            <c:invertIfNegative val="0"/>
            <c:bubble3D val="0"/>
            <c:spPr>
              <a:solidFill>
                <a:schemeClr val="accent1">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141-47D2-A30A-F123896D156E}"/>
              </c:ext>
            </c:extLst>
          </c:dPt>
          <c:dPt>
            <c:idx val="10"/>
            <c:invertIfNegative val="0"/>
            <c:bubble3D val="0"/>
            <c:spPr>
              <a:solidFill>
                <a:schemeClr val="accent1">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141-47D2-A30A-F123896D156E}"/>
              </c:ext>
            </c:extLst>
          </c:dPt>
          <c:dPt>
            <c:idx val="11"/>
            <c:invertIfNegative val="0"/>
            <c:bubble3D val="0"/>
            <c:spPr>
              <a:solidFill>
                <a:schemeClr val="accent1">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141-47D2-A30A-F123896D156E}"/>
              </c:ext>
            </c:extLst>
          </c:dPt>
          <c:dPt>
            <c:idx val="15"/>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141-47D2-A30A-F123896D156E}"/>
              </c:ext>
            </c:extLst>
          </c:dPt>
          <c:dPt>
            <c:idx val="16"/>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141-47D2-A30A-F123896D156E}"/>
              </c:ext>
            </c:extLst>
          </c:dPt>
          <c:dPt>
            <c:idx val="17"/>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141-47D2-A30A-F123896D156E}"/>
              </c:ext>
            </c:extLst>
          </c:dPt>
          <c:dLbls>
            <c:numFmt formatCode="#,##0" sourceLinked="0"/>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List1!$A$2:$A$14</c:f>
              <c:numCache>
                <c:formatCode>m/d/yyyy</c:formatCode>
                <c:ptCount val="13"/>
                <c:pt idx="0">
                  <c:v>43921</c:v>
                </c:pt>
                <c:pt idx="1">
                  <c:v>44012</c:v>
                </c:pt>
                <c:pt idx="2">
                  <c:v>44104</c:v>
                </c:pt>
                <c:pt idx="3">
                  <c:v>44196</c:v>
                </c:pt>
                <c:pt idx="4">
                  <c:v>44286</c:v>
                </c:pt>
                <c:pt idx="5">
                  <c:v>44377</c:v>
                </c:pt>
                <c:pt idx="6">
                  <c:v>44469</c:v>
                </c:pt>
                <c:pt idx="7">
                  <c:v>44561</c:v>
                </c:pt>
                <c:pt idx="8">
                  <c:v>44651</c:v>
                </c:pt>
                <c:pt idx="9">
                  <c:v>44742</c:v>
                </c:pt>
                <c:pt idx="10">
                  <c:v>44834</c:v>
                </c:pt>
                <c:pt idx="11">
                  <c:v>44926</c:v>
                </c:pt>
                <c:pt idx="12" formatCode="General">
                  <c:v>2</c:v>
                </c:pt>
              </c:numCache>
            </c:numRef>
          </c:cat>
          <c:val>
            <c:numRef>
              <c:f>List1!$B$2:$B$14</c:f>
              <c:numCache>
                <c:formatCode>General</c:formatCode>
                <c:ptCount val="13"/>
                <c:pt idx="0">
                  <c:v>604076</c:v>
                </c:pt>
                <c:pt idx="1">
                  <c:v>618131</c:v>
                </c:pt>
                <c:pt idx="2">
                  <c:v>616659</c:v>
                </c:pt>
                <c:pt idx="3">
                  <c:v>634790</c:v>
                </c:pt>
                <c:pt idx="4">
                  <c:v>656301</c:v>
                </c:pt>
                <c:pt idx="5">
                  <c:v>668238</c:v>
                </c:pt>
                <c:pt idx="6">
                  <c:v>647650</c:v>
                </c:pt>
                <c:pt idx="7">
                  <c:v>660849</c:v>
                </c:pt>
                <c:pt idx="8">
                  <c:v>922516</c:v>
                </c:pt>
                <c:pt idx="9">
                  <c:v>1053568</c:v>
                </c:pt>
                <c:pt idx="10">
                  <c:v>1091098</c:v>
                </c:pt>
                <c:pt idx="11">
                  <c:v>1116154</c:v>
                </c:pt>
              </c:numCache>
            </c:numRef>
          </c:val>
          <c:shape val="cylinder"/>
          <c:extLst>
            <c:ext xmlns:c16="http://schemas.microsoft.com/office/drawing/2014/chart" uri="{C3380CC4-5D6E-409C-BE32-E72D297353CC}">
              <c16:uniqueId val="{00000006-5141-47D2-A30A-F123896D156E}"/>
            </c:ext>
          </c:extLst>
        </c:ser>
        <c:dLbls>
          <c:showLegendKey val="0"/>
          <c:showVal val="0"/>
          <c:showCatName val="0"/>
          <c:showSerName val="0"/>
          <c:showPercent val="0"/>
          <c:showBubbleSize val="0"/>
        </c:dLbls>
        <c:gapWidth val="93"/>
        <c:gapDepth val="101"/>
        <c:shape val="box"/>
        <c:axId val="287809352"/>
        <c:axId val="287810920"/>
        <c:axId val="0"/>
      </c:bar3DChart>
      <c:catAx>
        <c:axId val="287809352"/>
        <c:scaling>
          <c:orientation val="minMax"/>
        </c:scaling>
        <c:delete val="0"/>
        <c:axPos val="l"/>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87810920"/>
        <c:crosses val="autoZero"/>
        <c:auto val="1"/>
        <c:lblAlgn val="ctr"/>
        <c:lblOffset val="100"/>
        <c:noMultiLvlLbl val="0"/>
      </c:catAx>
      <c:valAx>
        <c:axId val="287810920"/>
        <c:scaling>
          <c:orientation val="minMax"/>
          <c:min val="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87809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Věková</a:t>
            </a:r>
            <a:r>
              <a:rPr lang="cs-CZ" sz="1000" b="1" cap="none" spc="0" baseline="0">
                <a:ln w="0"/>
                <a:solidFill>
                  <a:schemeClr val="tx1"/>
                </a:solidFill>
                <a:effectLst/>
              </a:rPr>
              <a:t> struktura </a:t>
            </a:r>
            <a:r>
              <a:rPr lang="cs-CZ" sz="1000" b="1" i="0" u="none" strike="noStrike" cap="none" spc="0" baseline="0">
                <a:ln w="0"/>
                <a:solidFill>
                  <a:schemeClr val="tx1"/>
                </a:solidFill>
                <a:effectLst/>
              </a:rPr>
              <a:t>osob s jinou než českou státní příslušností </a:t>
            </a:r>
            <a:r>
              <a:rPr lang="cs-CZ" sz="1000" b="1" cap="none" spc="0" baseline="0">
                <a:ln w="0"/>
                <a:solidFill>
                  <a:schemeClr val="tx1"/>
                </a:solidFill>
                <a:effectLst/>
              </a:rPr>
              <a:t> v jednotlivých letech</a:t>
            </a:r>
            <a:endParaRPr lang="cs-CZ" sz="1000" b="1" cap="none" spc="0">
              <a:ln w="0"/>
              <a:solidFill>
                <a:schemeClr val="tx1"/>
              </a:solidFill>
              <a:effectLst/>
            </a:endParaRPr>
          </a:p>
        </c:rich>
      </c:tx>
      <c:layout>
        <c:manualLayout>
          <c:xMode val="edge"/>
          <c:yMode val="edge"/>
          <c:x val="0.117144426139483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20629365773725E-2"/>
          <c:y val="0.12525511704112344"/>
          <c:w val="0.92029628092205118"/>
          <c:h val="0.65959288184699927"/>
        </c:manualLayout>
      </c:layout>
      <c:bar3DChart>
        <c:barDir val="col"/>
        <c:grouping val="clustered"/>
        <c:varyColors val="0"/>
        <c:ser>
          <c:idx val="0"/>
          <c:order val="0"/>
          <c:tx>
            <c:strRef>
              <c:f>List1!$B$1</c:f>
              <c:strCache>
                <c:ptCount val="1"/>
                <c:pt idx="0">
                  <c:v>0-14 let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903225806451632E-2"/>
                  <c:y val="-1.365595645999909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14-4FF7-BEDD-176E76ACACEC}"/>
                </c:ext>
              </c:extLst>
            </c:dLbl>
            <c:dLbl>
              <c:idx val="1"/>
              <c:layout>
                <c:manualLayout>
                  <c:x val="-1.075268817204309E-2"/>
                  <c:y val="-1.365595645999909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14-4FF7-BEDD-176E76ACACEC}"/>
                </c:ext>
              </c:extLst>
            </c:dLbl>
            <c:dLbl>
              <c:idx val="2"/>
              <c:layout>
                <c:manualLayout>
                  <c:x val="-1.075268817204309E-2"/>
                  <c:y val="-1.365595645999909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14-4FF7-BEDD-176E76ACACEC}"/>
                </c:ext>
              </c:extLst>
            </c:dLbl>
            <c:dLbl>
              <c:idx val="3"/>
              <c:layout>
                <c:manualLayout>
                  <c:x val="-1.5053763440860216E-2"/>
                  <c:y val="-7.44878957169473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14-4FF7-BEDD-176E76ACACEC}"/>
                </c:ext>
              </c:extLst>
            </c:dLbl>
            <c:spPr>
              <a:solidFill>
                <a:schemeClr val="bg1"/>
              </a:solidFill>
              <a:ln>
                <a:noFill/>
              </a:ln>
              <a:effectLst/>
            </c:spPr>
            <c:txPr>
              <a:bodyPr rot="0" spcFirstLastPara="1" vertOverflow="clip" horzOverflow="clip" vert="horz" wrap="square" lIns="36576" tIns="0" rIns="36576" bIns="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2005</c:v>
                </c:pt>
                <c:pt idx="1">
                  <c:v>2010</c:v>
                </c:pt>
                <c:pt idx="2">
                  <c:v>2015</c:v>
                </c:pt>
                <c:pt idx="3">
                  <c:v>2020</c:v>
                </c:pt>
                <c:pt idx="4">
                  <c:v>2021</c:v>
                </c:pt>
              </c:numCache>
            </c:numRef>
          </c:cat>
          <c:val>
            <c:numRef>
              <c:f>List1!$B$2:$B$6</c:f>
              <c:numCache>
                <c:formatCode>0.0%</c:formatCode>
                <c:ptCount val="5"/>
                <c:pt idx="0">
                  <c:v>8.6999999999999994E-2</c:v>
                </c:pt>
                <c:pt idx="1">
                  <c:v>9.4E-2</c:v>
                </c:pt>
                <c:pt idx="2">
                  <c:v>0.10199999999999999</c:v>
                </c:pt>
                <c:pt idx="3">
                  <c:v>0.10199999999999999</c:v>
                </c:pt>
                <c:pt idx="4">
                  <c:v>0.10578015196700701</c:v>
                </c:pt>
              </c:numCache>
            </c:numRef>
          </c:val>
          <c:shape val="cylinder"/>
          <c:extLst>
            <c:ext xmlns:c16="http://schemas.microsoft.com/office/drawing/2014/chart" uri="{C3380CC4-5D6E-409C-BE32-E72D297353CC}">
              <c16:uniqueId val="{00000004-AF14-4FF7-BEDD-176E76ACACEC}"/>
            </c:ext>
          </c:extLst>
        </c:ser>
        <c:ser>
          <c:idx val="1"/>
          <c:order val="1"/>
          <c:tx>
            <c:strRef>
              <c:f>List1!$C$1</c:f>
              <c:strCache>
                <c:ptCount val="1"/>
                <c:pt idx="0">
                  <c:v>15-64 let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a:noFill/>
              </a:ln>
              <a:effectLst/>
            </c:spPr>
            <c:txPr>
              <a:bodyPr rot="0" spcFirstLastPara="1" vertOverflow="clip" horzOverflow="clip" vert="horz" wrap="square" lIns="36576" tIns="0" rIns="36576" bIns="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2005</c:v>
                </c:pt>
                <c:pt idx="1">
                  <c:v>2010</c:v>
                </c:pt>
                <c:pt idx="2">
                  <c:v>2015</c:v>
                </c:pt>
                <c:pt idx="3">
                  <c:v>2020</c:v>
                </c:pt>
                <c:pt idx="4">
                  <c:v>2021</c:v>
                </c:pt>
              </c:numCache>
            </c:numRef>
          </c:cat>
          <c:val>
            <c:numRef>
              <c:f>List1!$C$2:$C$6</c:f>
              <c:numCache>
                <c:formatCode>0.0%</c:formatCode>
                <c:ptCount val="5"/>
                <c:pt idx="0">
                  <c:v>0.88400000000000001</c:v>
                </c:pt>
                <c:pt idx="1">
                  <c:v>0.88</c:v>
                </c:pt>
                <c:pt idx="2">
                  <c:v>0.84499999999999997</c:v>
                </c:pt>
                <c:pt idx="3">
                  <c:v>0.84</c:v>
                </c:pt>
                <c:pt idx="4">
                  <c:v>0.83954179092692582</c:v>
                </c:pt>
              </c:numCache>
            </c:numRef>
          </c:val>
          <c:shape val="cylinder"/>
          <c:extLst>
            <c:ext xmlns:c16="http://schemas.microsoft.com/office/drawing/2014/chart" uri="{C3380CC4-5D6E-409C-BE32-E72D297353CC}">
              <c16:uniqueId val="{00000005-AF14-4FF7-BEDD-176E76ACACEC}"/>
            </c:ext>
          </c:extLst>
        </c:ser>
        <c:ser>
          <c:idx val="2"/>
          <c:order val="2"/>
          <c:tx>
            <c:strRef>
              <c:f>List1!$D$1</c:f>
              <c:strCache>
                <c:ptCount val="1"/>
                <c:pt idx="0">
                  <c:v>65 let a více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35483870967742E-2"/>
                  <c:y val="-7.4487895716945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14-4FF7-BEDD-176E76ACACEC}"/>
                </c:ext>
              </c:extLst>
            </c:dLbl>
            <c:dLbl>
              <c:idx val="1"/>
              <c:layout>
                <c:manualLayout>
                  <c:x val="2.3655913978494623E-2"/>
                  <c:y val="-1.4897579143389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14-4FF7-BEDD-176E76ACACEC}"/>
                </c:ext>
              </c:extLst>
            </c:dLbl>
            <c:dLbl>
              <c:idx val="2"/>
              <c:layout>
                <c:manualLayout>
                  <c:x val="1.935483870967742E-2"/>
                  <c:y val="-7.4487895716945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14-4FF7-BEDD-176E76ACACEC}"/>
                </c:ext>
              </c:extLst>
            </c:dLbl>
            <c:dLbl>
              <c:idx val="3"/>
              <c:layout>
                <c:manualLayout>
                  <c:x val="2.1505376344086023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14-4FF7-BEDD-176E76ACACEC}"/>
                </c:ext>
              </c:extLst>
            </c:dLbl>
            <c:spPr>
              <a:solidFill>
                <a:schemeClr val="bg1"/>
              </a:solidFill>
              <a:ln>
                <a:noFill/>
              </a:ln>
              <a:effectLst/>
            </c:spPr>
            <c:txPr>
              <a:bodyPr rot="0" spcFirstLastPara="1" vertOverflow="ellipsis" vert="horz" wrap="square" tIns="0" bIns="0"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2005</c:v>
                </c:pt>
                <c:pt idx="1">
                  <c:v>2010</c:v>
                </c:pt>
                <c:pt idx="2">
                  <c:v>2015</c:v>
                </c:pt>
                <c:pt idx="3">
                  <c:v>2020</c:v>
                </c:pt>
                <c:pt idx="4">
                  <c:v>2021</c:v>
                </c:pt>
              </c:numCache>
            </c:numRef>
          </c:cat>
          <c:val>
            <c:numRef>
              <c:f>List1!$D$2:$D$6</c:f>
              <c:numCache>
                <c:formatCode>0.0%</c:formatCode>
                <c:ptCount val="5"/>
                <c:pt idx="0">
                  <c:v>2.9000000000000001E-2</c:v>
                </c:pt>
                <c:pt idx="1">
                  <c:v>3.2000000000000001E-2</c:v>
                </c:pt>
                <c:pt idx="2">
                  <c:v>4.9000000000000002E-2</c:v>
                </c:pt>
                <c:pt idx="3">
                  <c:v>5.8000000000000003E-2</c:v>
                </c:pt>
                <c:pt idx="4">
                  <c:v>5.4678057106067143E-2</c:v>
                </c:pt>
              </c:numCache>
            </c:numRef>
          </c:val>
          <c:shape val="cylinder"/>
          <c:extLst>
            <c:ext xmlns:c16="http://schemas.microsoft.com/office/drawing/2014/chart" uri="{C3380CC4-5D6E-409C-BE32-E72D297353CC}">
              <c16:uniqueId val="{0000000A-AF14-4FF7-BEDD-176E76ACACEC}"/>
            </c:ext>
          </c:extLst>
        </c:ser>
        <c:dLbls>
          <c:showLegendKey val="0"/>
          <c:showVal val="1"/>
          <c:showCatName val="0"/>
          <c:showSerName val="0"/>
          <c:showPercent val="0"/>
          <c:showBubbleSize val="0"/>
        </c:dLbls>
        <c:gapWidth val="150"/>
        <c:shape val="box"/>
        <c:axId val="431785040"/>
        <c:axId val="431787784"/>
        <c:axId val="0"/>
      </c:bar3DChart>
      <c:catAx>
        <c:axId val="43178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crossAx val="431787784"/>
        <c:crosses val="autoZero"/>
        <c:auto val="1"/>
        <c:lblAlgn val="ctr"/>
        <c:lblOffset val="100"/>
        <c:noMultiLvlLbl val="0"/>
      </c:catAx>
      <c:valAx>
        <c:axId val="4317877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5040"/>
        <c:crosses val="autoZero"/>
        <c:crossBetween val="between"/>
      </c:valAx>
      <c:spPr>
        <a:noFill/>
        <a:ln>
          <a:noFill/>
        </a:ln>
        <a:effectLst/>
      </c:spPr>
    </c:plotArea>
    <c:legend>
      <c:legendPos val="b"/>
      <c:layout>
        <c:manualLayout>
          <c:xMode val="edge"/>
          <c:yMode val="edge"/>
          <c:x val="0.14908709328000666"/>
          <c:y val="0.91656552203242092"/>
          <c:w val="0.67974784401949762"/>
          <c:h val="7.138390689715704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Vývoj podílu žen na celkovém počtu osob s jinou než českou státní příslušností podle věku v letech 2005-2021</a:t>
            </a:r>
          </a:p>
        </c:rich>
      </c:tx>
      <c:layout>
        <c:manualLayout>
          <c:xMode val="edge"/>
          <c:yMode val="edge"/>
          <c:x val="0.12339111256926218"/>
          <c:y val="0"/>
        </c:manualLayout>
      </c:layout>
      <c:overlay val="0"/>
      <c:spPr>
        <a:noFill/>
        <a:ln>
          <a:noFill/>
        </a:ln>
        <a:effectLst/>
      </c:spPr>
      <c:txPr>
        <a:bodyPr rot="0" spcFirstLastPara="1" vertOverflow="ellipsis" vert="horz" wrap="square" anchor="ctr" anchorCtr="1"/>
        <a:lstStyle/>
        <a:p>
          <a:pPr algn="ct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plotArea>
      <c:layout>
        <c:manualLayout>
          <c:layoutTarget val="inner"/>
          <c:xMode val="edge"/>
          <c:yMode val="edge"/>
          <c:x val="7.5115457428464621E-2"/>
          <c:y val="0.1004398375984252"/>
          <c:w val="0.91911106823745037"/>
          <c:h val="0.75151205708661417"/>
        </c:manualLayout>
      </c:layout>
      <c:lineChart>
        <c:grouping val="stacked"/>
        <c:varyColors val="0"/>
        <c:ser>
          <c:idx val="0"/>
          <c:order val="0"/>
          <c:tx>
            <c:strRef>
              <c:f>List1!$B$1</c:f>
              <c:strCache>
                <c:ptCount val="1"/>
                <c:pt idx="0">
                  <c:v>65 let a více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B8B4-488D-A30B-A8E04F00EC4C}"/>
                </c:ext>
              </c:extLst>
            </c:dLbl>
            <c:dLbl>
              <c:idx val="2"/>
              <c:delete val="1"/>
              <c:extLst>
                <c:ext xmlns:c15="http://schemas.microsoft.com/office/drawing/2012/chart" uri="{CE6537A1-D6FC-4f65-9D91-7224C49458BB}"/>
                <c:ext xmlns:c16="http://schemas.microsoft.com/office/drawing/2014/chart" uri="{C3380CC4-5D6E-409C-BE32-E72D297353CC}">
                  <c16:uniqueId val="{00000001-B8B4-488D-A30B-A8E04F00EC4C}"/>
                </c:ext>
              </c:extLst>
            </c:dLbl>
            <c:dLbl>
              <c:idx val="3"/>
              <c:delete val="1"/>
              <c:extLst>
                <c:ext xmlns:c15="http://schemas.microsoft.com/office/drawing/2012/chart" uri="{CE6537A1-D6FC-4f65-9D91-7224C49458BB}"/>
                <c:ext xmlns:c16="http://schemas.microsoft.com/office/drawing/2014/chart" uri="{C3380CC4-5D6E-409C-BE32-E72D297353CC}">
                  <c16:uniqueId val="{00000002-B8B4-488D-A30B-A8E04F00EC4C}"/>
                </c:ext>
              </c:extLst>
            </c:dLbl>
            <c:dLbl>
              <c:idx val="4"/>
              <c:delete val="1"/>
              <c:extLst>
                <c:ext xmlns:c15="http://schemas.microsoft.com/office/drawing/2012/chart" uri="{CE6537A1-D6FC-4f65-9D91-7224C49458BB}"/>
                <c:ext xmlns:c16="http://schemas.microsoft.com/office/drawing/2014/chart" uri="{C3380CC4-5D6E-409C-BE32-E72D297353CC}">
                  <c16:uniqueId val="{00000003-B8B4-488D-A30B-A8E04F00EC4C}"/>
                </c:ext>
              </c:extLst>
            </c:dLbl>
            <c:dLbl>
              <c:idx val="6"/>
              <c:delete val="1"/>
              <c:extLst>
                <c:ext xmlns:c15="http://schemas.microsoft.com/office/drawing/2012/chart" uri="{CE6537A1-D6FC-4f65-9D91-7224C49458BB}"/>
                <c:ext xmlns:c16="http://schemas.microsoft.com/office/drawing/2014/chart" uri="{C3380CC4-5D6E-409C-BE32-E72D297353CC}">
                  <c16:uniqueId val="{00000004-B8B4-488D-A30B-A8E04F00EC4C}"/>
                </c:ext>
              </c:extLst>
            </c:dLbl>
            <c:dLbl>
              <c:idx val="7"/>
              <c:delete val="1"/>
              <c:extLst>
                <c:ext xmlns:c15="http://schemas.microsoft.com/office/drawing/2012/chart" uri="{CE6537A1-D6FC-4f65-9D91-7224C49458BB}"/>
                <c:ext xmlns:c16="http://schemas.microsoft.com/office/drawing/2014/chart" uri="{C3380CC4-5D6E-409C-BE32-E72D297353CC}">
                  <c16:uniqueId val="{00000005-B8B4-488D-A30B-A8E04F00EC4C}"/>
                </c:ext>
              </c:extLst>
            </c:dLbl>
            <c:dLbl>
              <c:idx val="8"/>
              <c:delete val="1"/>
              <c:extLst>
                <c:ext xmlns:c15="http://schemas.microsoft.com/office/drawing/2012/chart" uri="{CE6537A1-D6FC-4f65-9D91-7224C49458BB}"/>
                <c:ext xmlns:c16="http://schemas.microsoft.com/office/drawing/2014/chart" uri="{C3380CC4-5D6E-409C-BE32-E72D297353CC}">
                  <c16:uniqueId val="{00000006-B8B4-488D-A30B-A8E04F00EC4C}"/>
                </c:ext>
              </c:extLst>
            </c:dLbl>
            <c:dLbl>
              <c:idx val="9"/>
              <c:delete val="1"/>
              <c:extLst>
                <c:ext xmlns:c15="http://schemas.microsoft.com/office/drawing/2012/chart" uri="{CE6537A1-D6FC-4f65-9D91-7224C49458BB}"/>
                <c:ext xmlns:c16="http://schemas.microsoft.com/office/drawing/2014/chart" uri="{C3380CC4-5D6E-409C-BE32-E72D297353CC}">
                  <c16:uniqueId val="{00000007-B8B4-488D-A30B-A8E04F00EC4C}"/>
                </c:ext>
              </c:extLst>
            </c:dLbl>
            <c:dLbl>
              <c:idx val="11"/>
              <c:delete val="1"/>
              <c:extLst>
                <c:ext xmlns:c15="http://schemas.microsoft.com/office/drawing/2012/chart" uri="{CE6537A1-D6FC-4f65-9D91-7224C49458BB}"/>
                <c:ext xmlns:c16="http://schemas.microsoft.com/office/drawing/2014/chart" uri="{C3380CC4-5D6E-409C-BE32-E72D297353CC}">
                  <c16:uniqueId val="{00000008-B8B4-488D-A30B-A8E04F00EC4C}"/>
                </c:ext>
              </c:extLst>
            </c:dLbl>
            <c:dLbl>
              <c:idx val="12"/>
              <c:delete val="1"/>
              <c:extLst>
                <c:ext xmlns:c15="http://schemas.microsoft.com/office/drawing/2012/chart" uri="{CE6537A1-D6FC-4f65-9D91-7224C49458BB}"/>
                <c:ext xmlns:c16="http://schemas.microsoft.com/office/drawing/2014/chart" uri="{C3380CC4-5D6E-409C-BE32-E72D297353CC}">
                  <c16:uniqueId val="{00000009-B8B4-488D-A30B-A8E04F00EC4C}"/>
                </c:ext>
              </c:extLst>
            </c:dLbl>
            <c:dLbl>
              <c:idx val="13"/>
              <c:delete val="1"/>
              <c:extLst>
                <c:ext xmlns:c15="http://schemas.microsoft.com/office/drawing/2012/chart" uri="{CE6537A1-D6FC-4f65-9D91-7224C49458BB}"/>
                <c:ext xmlns:c16="http://schemas.microsoft.com/office/drawing/2014/chart" uri="{C3380CC4-5D6E-409C-BE32-E72D297353CC}">
                  <c16:uniqueId val="{0000000A-B8B4-488D-A30B-A8E04F00EC4C}"/>
                </c:ext>
              </c:extLst>
            </c:dLbl>
            <c:dLbl>
              <c:idx val="14"/>
              <c:delete val="1"/>
              <c:extLst>
                <c:ext xmlns:c15="http://schemas.microsoft.com/office/drawing/2012/chart" uri="{CE6537A1-D6FC-4f65-9D91-7224C49458BB}"/>
                <c:ext xmlns:c16="http://schemas.microsoft.com/office/drawing/2014/chart" uri="{C3380CC4-5D6E-409C-BE32-E72D297353CC}">
                  <c16:uniqueId val="{0000000B-B8B4-488D-A30B-A8E04F00EC4C}"/>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List1!$B$2:$B$18</c:f>
              <c:numCache>
                <c:formatCode>0.0%</c:formatCode>
                <c:ptCount val="17"/>
                <c:pt idx="0">
                  <c:v>1.53856103940901E-2</c:v>
                </c:pt>
                <c:pt idx="1">
                  <c:v>1.44623214374596E-2</c:v>
                </c:pt>
                <c:pt idx="2">
                  <c:v>1.32138715063151E-2</c:v>
                </c:pt>
                <c:pt idx="3">
                  <c:v>1.3092911910230501E-2</c:v>
                </c:pt>
                <c:pt idx="4">
                  <c:v>1.4429957711276E-2</c:v>
                </c:pt>
                <c:pt idx="5">
                  <c:v>1.5861755257594399E-2</c:v>
                </c:pt>
                <c:pt idx="6">
                  <c:v>1.7058502417350602E-2</c:v>
                </c:pt>
                <c:pt idx="7">
                  <c:v>1.8431181843622801E-2</c:v>
                </c:pt>
                <c:pt idx="8">
                  <c:v>1.9998223999234999E-2</c:v>
                </c:pt>
                <c:pt idx="9">
                  <c:v>2.1367835199291401E-2</c:v>
                </c:pt>
                <c:pt idx="10">
                  <c:v>2.2732704476994901E-2</c:v>
                </c:pt>
                <c:pt idx="11">
                  <c:v>2.3554994416759002E-2</c:v>
                </c:pt>
                <c:pt idx="12">
                  <c:v>2.4331192692056702E-2</c:v>
                </c:pt>
                <c:pt idx="13">
                  <c:v>2.46958863815574E-2</c:v>
                </c:pt>
                <c:pt idx="14">
                  <c:v>2.5852509243873101E-2</c:v>
                </c:pt>
                <c:pt idx="15">
                  <c:v>2.6419210522155699E-2</c:v>
                </c:pt>
                <c:pt idx="16">
                  <c:v>2.5999999999999999E-2</c:v>
                </c:pt>
              </c:numCache>
            </c:numRef>
          </c:val>
          <c:smooth val="0"/>
          <c:extLst>
            <c:ext xmlns:c16="http://schemas.microsoft.com/office/drawing/2014/chart" uri="{C3380CC4-5D6E-409C-BE32-E72D297353CC}">
              <c16:uniqueId val="{0000000C-B8B4-488D-A30B-A8E04F00EC4C}"/>
            </c:ext>
          </c:extLst>
        </c:ser>
        <c:ser>
          <c:idx val="1"/>
          <c:order val="1"/>
          <c:tx>
            <c:strRef>
              <c:f>List1!$C$1</c:f>
              <c:strCache>
                <c:ptCount val="1"/>
                <c:pt idx="0">
                  <c:v>0-14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D-B8B4-488D-A30B-A8E04F00EC4C}"/>
                </c:ext>
              </c:extLst>
            </c:dLbl>
            <c:dLbl>
              <c:idx val="2"/>
              <c:delete val="1"/>
              <c:extLst>
                <c:ext xmlns:c15="http://schemas.microsoft.com/office/drawing/2012/chart" uri="{CE6537A1-D6FC-4f65-9D91-7224C49458BB}"/>
                <c:ext xmlns:c16="http://schemas.microsoft.com/office/drawing/2014/chart" uri="{C3380CC4-5D6E-409C-BE32-E72D297353CC}">
                  <c16:uniqueId val="{0000000E-B8B4-488D-A30B-A8E04F00EC4C}"/>
                </c:ext>
              </c:extLst>
            </c:dLbl>
            <c:dLbl>
              <c:idx val="3"/>
              <c:delete val="1"/>
              <c:extLst>
                <c:ext xmlns:c15="http://schemas.microsoft.com/office/drawing/2012/chart" uri="{CE6537A1-D6FC-4f65-9D91-7224C49458BB}"/>
                <c:ext xmlns:c16="http://schemas.microsoft.com/office/drawing/2014/chart" uri="{C3380CC4-5D6E-409C-BE32-E72D297353CC}">
                  <c16:uniqueId val="{0000000F-B8B4-488D-A30B-A8E04F00EC4C}"/>
                </c:ext>
              </c:extLst>
            </c:dLbl>
            <c:dLbl>
              <c:idx val="4"/>
              <c:delete val="1"/>
              <c:extLst>
                <c:ext xmlns:c15="http://schemas.microsoft.com/office/drawing/2012/chart" uri="{CE6537A1-D6FC-4f65-9D91-7224C49458BB}"/>
                <c:ext xmlns:c16="http://schemas.microsoft.com/office/drawing/2014/chart" uri="{C3380CC4-5D6E-409C-BE32-E72D297353CC}">
                  <c16:uniqueId val="{00000010-B8B4-488D-A30B-A8E04F00EC4C}"/>
                </c:ext>
              </c:extLst>
            </c:dLbl>
            <c:dLbl>
              <c:idx val="6"/>
              <c:delete val="1"/>
              <c:extLst>
                <c:ext xmlns:c15="http://schemas.microsoft.com/office/drawing/2012/chart" uri="{CE6537A1-D6FC-4f65-9D91-7224C49458BB}"/>
                <c:ext xmlns:c16="http://schemas.microsoft.com/office/drawing/2014/chart" uri="{C3380CC4-5D6E-409C-BE32-E72D297353CC}">
                  <c16:uniqueId val="{00000011-B8B4-488D-A30B-A8E04F00EC4C}"/>
                </c:ext>
              </c:extLst>
            </c:dLbl>
            <c:dLbl>
              <c:idx val="7"/>
              <c:delete val="1"/>
              <c:extLst>
                <c:ext xmlns:c15="http://schemas.microsoft.com/office/drawing/2012/chart" uri="{CE6537A1-D6FC-4f65-9D91-7224C49458BB}"/>
                <c:ext xmlns:c16="http://schemas.microsoft.com/office/drawing/2014/chart" uri="{C3380CC4-5D6E-409C-BE32-E72D297353CC}">
                  <c16:uniqueId val="{00000012-B8B4-488D-A30B-A8E04F00EC4C}"/>
                </c:ext>
              </c:extLst>
            </c:dLbl>
            <c:dLbl>
              <c:idx val="8"/>
              <c:delete val="1"/>
              <c:extLst>
                <c:ext xmlns:c15="http://schemas.microsoft.com/office/drawing/2012/chart" uri="{CE6537A1-D6FC-4f65-9D91-7224C49458BB}"/>
                <c:ext xmlns:c16="http://schemas.microsoft.com/office/drawing/2014/chart" uri="{C3380CC4-5D6E-409C-BE32-E72D297353CC}">
                  <c16:uniqueId val="{00000013-B8B4-488D-A30B-A8E04F00EC4C}"/>
                </c:ext>
              </c:extLst>
            </c:dLbl>
            <c:dLbl>
              <c:idx val="9"/>
              <c:delete val="1"/>
              <c:extLst>
                <c:ext xmlns:c15="http://schemas.microsoft.com/office/drawing/2012/chart" uri="{CE6537A1-D6FC-4f65-9D91-7224C49458BB}"/>
                <c:ext xmlns:c16="http://schemas.microsoft.com/office/drawing/2014/chart" uri="{C3380CC4-5D6E-409C-BE32-E72D297353CC}">
                  <c16:uniqueId val="{00000014-B8B4-488D-A30B-A8E04F00EC4C}"/>
                </c:ext>
              </c:extLst>
            </c:dLbl>
            <c:dLbl>
              <c:idx val="11"/>
              <c:delete val="1"/>
              <c:extLst>
                <c:ext xmlns:c15="http://schemas.microsoft.com/office/drawing/2012/chart" uri="{CE6537A1-D6FC-4f65-9D91-7224C49458BB}"/>
                <c:ext xmlns:c16="http://schemas.microsoft.com/office/drawing/2014/chart" uri="{C3380CC4-5D6E-409C-BE32-E72D297353CC}">
                  <c16:uniqueId val="{00000015-B8B4-488D-A30B-A8E04F00EC4C}"/>
                </c:ext>
              </c:extLst>
            </c:dLbl>
            <c:dLbl>
              <c:idx val="12"/>
              <c:delete val="1"/>
              <c:extLst>
                <c:ext xmlns:c15="http://schemas.microsoft.com/office/drawing/2012/chart" uri="{CE6537A1-D6FC-4f65-9D91-7224C49458BB}"/>
                <c:ext xmlns:c16="http://schemas.microsoft.com/office/drawing/2014/chart" uri="{C3380CC4-5D6E-409C-BE32-E72D297353CC}">
                  <c16:uniqueId val="{00000016-B8B4-488D-A30B-A8E04F00EC4C}"/>
                </c:ext>
              </c:extLst>
            </c:dLbl>
            <c:dLbl>
              <c:idx val="13"/>
              <c:delete val="1"/>
              <c:extLst>
                <c:ext xmlns:c15="http://schemas.microsoft.com/office/drawing/2012/chart" uri="{CE6537A1-D6FC-4f65-9D91-7224C49458BB}"/>
                <c:ext xmlns:c16="http://schemas.microsoft.com/office/drawing/2014/chart" uri="{C3380CC4-5D6E-409C-BE32-E72D297353CC}">
                  <c16:uniqueId val="{00000017-B8B4-488D-A30B-A8E04F00EC4C}"/>
                </c:ext>
              </c:extLst>
            </c:dLbl>
            <c:dLbl>
              <c:idx val="14"/>
              <c:delete val="1"/>
              <c:extLst>
                <c:ext xmlns:c15="http://schemas.microsoft.com/office/drawing/2012/chart" uri="{CE6537A1-D6FC-4f65-9D91-7224C49458BB}"/>
                <c:ext xmlns:c16="http://schemas.microsoft.com/office/drawing/2014/chart" uri="{C3380CC4-5D6E-409C-BE32-E72D297353CC}">
                  <c16:uniqueId val="{00000018-B8B4-488D-A30B-A8E04F00EC4C}"/>
                </c:ext>
              </c:extLst>
            </c:dLbl>
            <c:spPr>
              <a:solidFill>
                <a:schemeClr val="accent2">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List1!$C$2:$C$18</c:f>
              <c:numCache>
                <c:formatCode>0.0%</c:formatCode>
                <c:ptCount val="17"/>
                <c:pt idx="0">
                  <c:v>4.2269108051395603E-2</c:v>
                </c:pt>
                <c:pt idx="1">
                  <c:v>3.8530934249166301E-2</c:v>
                </c:pt>
                <c:pt idx="2">
                  <c:v>3.5540318366618702E-2</c:v>
                </c:pt>
                <c:pt idx="3">
                  <c:v>3.5809536868808098E-2</c:v>
                </c:pt>
                <c:pt idx="4">
                  <c:v>3.94401888541814E-2</c:v>
                </c:pt>
                <c:pt idx="5">
                  <c:v>4.2984649686182402E-2</c:v>
                </c:pt>
                <c:pt idx="6">
                  <c:v>4.29134429567457E-2</c:v>
                </c:pt>
                <c:pt idx="7">
                  <c:v>4.4209603941772598E-2</c:v>
                </c:pt>
                <c:pt idx="8">
                  <c:v>4.6242050688883402E-2</c:v>
                </c:pt>
                <c:pt idx="9">
                  <c:v>4.8056488349166697E-2</c:v>
                </c:pt>
                <c:pt idx="10">
                  <c:v>4.9544838272322297E-2</c:v>
                </c:pt>
                <c:pt idx="11">
                  <c:v>5.0417375126914903E-2</c:v>
                </c:pt>
                <c:pt idx="12">
                  <c:v>5.07496060227954E-2</c:v>
                </c:pt>
                <c:pt idx="13">
                  <c:v>5.0151946061363202E-2</c:v>
                </c:pt>
                <c:pt idx="14">
                  <c:v>5.0242177677858199E-2</c:v>
                </c:pt>
                <c:pt idx="15">
                  <c:v>4.95044026748028E-2</c:v>
                </c:pt>
                <c:pt idx="16">
                  <c:v>5.0999999999999997E-2</c:v>
                </c:pt>
              </c:numCache>
            </c:numRef>
          </c:val>
          <c:smooth val="0"/>
          <c:extLst>
            <c:ext xmlns:c16="http://schemas.microsoft.com/office/drawing/2014/chart" uri="{C3380CC4-5D6E-409C-BE32-E72D297353CC}">
              <c16:uniqueId val="{00000019-B8B4-488D-A30B-A8E04F00EC4C}"/>
            </c:ext>
          </c:extLst>
        </c:ser>
        <c:ser>
          <c:idx val="2"/>
          <c:order val="2"/>
          <c:tx>
            <c:strRef>
              <c:f>List1!$D$1</c:f>
              <c:strCache>
                <c:ptCount val="1"/>
                <c:pt idx="0">
                  <c:v>15-64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A-B8B4-488D-A30B-A8E04F00EC4C}"/>
                </c:ext>
              </c:extLst>
            </c:dLbl>
            <c:dLbl>
              <c:idx val="2"/>
              <c:delete val="1"/>
              <c:extLst>
                <c:ext xmlns:c15="http://schemas.microsoft.com/office/drawing/2012/chart" uri="{CE6537A1-D6FC-4f65-9D91-7224C49458BB}"/>
                <c:ext xmlns:c16="http://schemas.microsoft.com/office/drawing/2014/chart" uri="{C3380CC4-5D6E-409C-BE32-E72D297353CC}">
                  <c16:uniqueId val="{0000001B-B8B4-488D-A30B-A8E04F00EC4C}"/>
                </c:ext>
              </c:extLst>
            </c:dLbl>
            <c:dLbl>
              <c:idx val="3"/>
              <c:delete val="1"/>
              <c:extLst>
                <c:ext xmlns:c15="http://schemas.microsoft.com/office/drawing/2012/chart" uri="{CE6537A1-D6FC-4f65-9D91-7224C49458BB}"/>
                <c:ext xmlns:c16="http://schemas.microsoft.com/office/drawing/2014/chart" uri="{C3380CC4-5D6E-409C-BE32-E72D297353CC}">
                  <c16:uniqueId val="{0000001C-B8B4-488D-A30B-A8E04F00EC4C}"/>
                </c:ext>
              </c:extLst>
            </c:dLbl>
            <c:dLbl>
              <c:idx val="4"/>
              <c:delete val="1"/>
              <c:extLst>
                <c:ext xmlns:c15="http://schemas.microsoft.com/office/drawing/2012/chart" uri="{CE6537A1-D6FC-4f65-9D91-7224C49458BB}"/>
                <c:ext xmlns:c16="http://schemas.microsoft.com/office/drawing/2014/chart" uri="{C3380CC4-5D6E-409C-BE32-E72D297353CC}">
                  <c16:uniqueId val="{0000001D-B8B4-488D-A30B-A8E04F00EC4C}"/>
                </c:ext>
              </c:extLst>
            </c:dLbl>
            <c:dLbl>
              <c:idx val="6"/>
              <c:delete val="1"/>
              <c:extLst>
                <c:ext xmlns:c15="http://schemas.microsoft.com/office/drawing/2012/chart" uri="{CE6537A1-D6FC-4f65-9D91-7224C49458BB}"/>
                <c:ext xmlns:c16="http://schemas.microsoft.com/office/drawing/2014/chart" uri="{C3380CC4-5D6E-409C-BE32-E72D297353CC}">
                  <c16:uniqueId val="{0000001E-B8B4-488D-A30B-A8E04F00EC4C}"/>
                </c:ext>
              </c:extLst>
            </c:dLbl>
            <c:dLbl>
              <c:idx val="7"/>
              <c:delete val="1"/>
              <c:extLst>
                <c:ext xmlns:c15="http://schemas.microsoft.com/office/drawing/2012/chart" uri="{CE6537A1-D6FC-4f65-9D91-7224C49458BB}"/>
                <c:ext xmlns:c16="http://schemas.microsoft.com/office/drawing/2014/chart" uri="{C3380CC4-5D6E-409C-BE32-E72D297353CC}">
                  <c16:uniqueId val="{0000001F-B8B4-488D-A30B-A8E04F00EC4C}"/>
                </c:ext>
              </c:extLst>
            </c:dLbl>
            <c:dLbl>
              <c:idx val="8"/>
              <c:delete val="1"/>
              <c:extLst>
                <c:ext xmlns:c15="http://schemas.microsoft.com/office/drawing/2012/chart" uri="{CE6537A1-D6FC-4f65-9D91-7224C49458BB}"/>
                <c:ext xmlns:c16="http://schemas.microsoft.com/office/drawing/2014/chart" uri="{C3380CC4-5D6E-409C-BE32-E72D297353CC}">
                  <c16:uniqueId val="{00000020-B8B4-488D-A30B-A8E04F00EC4C}"/>
                </c:ext>
              </c:extLst>
            </c:dLbl>
            <c:dLbl>
              <c:idx val="9"/>
              <c:delete val="1"/>
              <c:extLst>
                <c:ext xmlns:c15="http://schemas.microsoft.com/office/drawing/2012/chart" uri="{CE6537A1-D6FC-4f65-9D91-7224C49458BB}"/>
                <c:ext xmlns:c16="http://schemas.microsoft.com/office/drawing/2014/chart" uri="{C3380CC4-5D6E-409C-BE32-E72D297353CC}">
                  <c16:uniqueId val="{00000021-B8B4-488D-A30B-A8E04F00EC4C}"/>
                </c:ext>
              </c:extLst>
            </c:dLbl>
            <c:dLbl>
              <c:idx val="11"/>
              <c:delete val="1"/>
              <c:extLst>
                <c:ext xmlns:c15="http://schemas.microsoft.com/office/drawing/2012/chart" uri="{CE6537A1-D6FC-4f65-9D91-7224C49458BB}"/>
                <c:ext xmlns:c16="http://schemas.microsoft.com/office/drawing/2014/chart" uri="{C3380CC4-5D6E-409C-BE32-E72D297353CC}">
                  <c16:uniqueId val="{00000022-B8B4-488D-A30B-A8E04F00EC4C}"/>
                </c:ext>
              </c:extLst>
            </c:dLbl>
            <c:dLbl>
              <c:idx val="12"/>
              <c:delete val="1"/>
              <c:extLst>
                <c:ext xmlns:c15="http://schemas.microsoft.com/office/drawing/2012/chart" uri="{CE6537A1-D6FC-4f65-9D91-7224C49458BB}"/>
                <c:ext xmlns:c16="http://schemas.microsoft.com/office/drawing/2014/chart" uri="{C3380CC4-5D6E-409C-BE32-E72D297353CC}">
                  <c16:uniqueId val="{00000023-B8B4-488D-A30B-A8E04F00EC4C}"/>
                </c:ext>
              </c:extLst>
            </c:dLbl>
            <c:dLbl>
              <c:idx val="13"/>
              <c:delete val="1"/>
              <c:extLst>
                <c:ext xmlns:c15="http://schemas.microsoft.com/office/drawing/2012/chart" uri="{CE6537A1-D6FC-4f65-9D91-7224C49458BB}"/>
                <c:ext xmlns:c16="http://schemas.microsoft.com/office/drawing/2014/chart" uri="{C3380CC4-5D6E-409C-BE32-E72D297353CC}">
                  <c16:uniqueId val="{00000024-B8B4-488D-A30B-A8E04F00EC4C}"/>
                </c:ext>
              </c:extLst>
            </c:dLbl>
            <c:dLbl>
              <c:idx val="14"/>
              <c:delete val="1"/>
              <c:extLst>
                <c:ext xmlns:c15="http://schemas.microsoft.com/office/drawing/2012/chart" uri="{CE6537A1-D6FC-4f65-9D91-7224C49458BB}"/>
                <c:ext xmlns:c16="http://schemas.microsoft.com/office/drawing/2014/chart" uri="{C3380CC4-5D6E-409C-BE32-E72D297353CC}">
                  <c16:uniqueId val="{00000025-B8B4-488D-A30B-A8E04F00EC4C}"/>
                </c:ext>
              </c:extLst>
            </c:dLbl>
            <c:spPr>
              <a:solidFill>
                <a:schemeClr val="accent3">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List1!$D$2:$D$18</c:f>
              <c:numCache>
                <c:formatCode>0.0%</c:formatCode>
                <c:ptCount val="17"/>
                <c:pt idx="0">
                  <c:v>0.34651757739515399</c:v>
                </c:pt>
                <c:pt idx="1">
                  <c:v>0.34722637001642498</c:v>
                </c:pt>
                <c:pt idx="2">
                  <c:v>0.34708078967156503</c:v>
                </c:pt>
                <c:pt idx="3">
                  <c:v>0.34781575308811302</c:v>
                </c:pt>
                <c:pt idx="4">
                  <c:v>0.357911968240683</c:v>
                </c:pt>
                <c:pt idx="5">
                  <c:v>0.36557928402912199</c:v>
                </c:pt>
                <c:pt idx="6">
                  <c:v>0.36653898510432997</c:v>
                </c:pt>
                <c:pt idx="7">
                  <c:v>0.36887825556376302</c:v>
                </c:pt>
                <c:pt idx="8">
                  <c:v>0.36788489693503301</c:v>
                </c:pt>
                <c:pt idx="9">
                  <c:v>0.36528717062000499</c:v>
                </c:pt>
                <c:pt idx="10">
                  <c:v>0.36365006534737498</c:v>
                </c:pt>
                <c:pt idx="11">
                  <c:v>0.36274853528588002</c:v>
                </c:pt>
                <c:pt idx="12">
                  <c:v>0.36002648137336801</c:v>
                </c:pt>
                <c:pt idx="13">
                  <c:v>0.356852634470049</c:v>
                </c:pt>
                <c:pt idx="14">
                  <c:v>0.35038239467714699</c:v>
                </c:pt>
                <c:pt idx="15">
                  <c:v>0.35323521507501099</c:v>
                </c:pt>
                <c:pt idx="16">
                  <c:v>0.35699999999999998</c:v>
                </c:pt>
              </c:numCache>
            </c:numRef>
          </c:val>
          <c:smooth val="0"/>
          <c:extLst>
            <c:ext xmlns:c16="http://schemas.microsoft.com/office/drawing/2014/chart" uri="{C3380CC4-5D6E-409C-BE32-E72D297353CC}">
              <c16:uniqueId val="{00000026-B8B4-488D-A30B-A8E04F00EC4C}"/>
            </c:ext>
          </c:extLst>
        </c:ser>
        <c:dLbls>
          <c:showLegendKey val="0"/>
          <c:showVal val="0"/>
          <c:showCatName val="0"/>
          <c:showSerName val="0"/>
          <c:showPercent val="0"/>
          <c:showBubbleSize val="0"/>
        </c:dLbls>
        <c:marker val="1"/>
        <c:smooth val="0"/>
        <c:axId val="431789352"/>
        <c:axId val="431785824"/>
      </c:lineChart>
      <c:catAx>
        <c:axId val="43178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5824"/>
        <c:crosses val="autoZero"/>
        <c:auto val="1"/>
        <c:lblAlgn val="ctr"/>
        <c:lblOffset val="100"/>
        <c:noMultiLvlLbl val="0"/>
      </c:catAx>
      <c:valAx>
        <c:axId val="431785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9352"/>
        <c:crosses val="autoZero"/>
        <c:crossBetween val="between"/>
      </c:valAx>
      <c:spPr>
        <a:noFill/>
        <a:ln>
          <a:noFill/>
        </a:ln>
        <a:effectLst/>
      </c:spPr>
    </c:plotArea>
    <c:legend>
      <c:legendPos val="b"/>
      <c:layout>
        <c:manualLayout>
          <c:xMode val="edge"/>
          <c:yMode val="edge"/>
          <c:x val="0.29838109822795889"/>
          <c:y val="0.93169947506561679"/>
          <c:w val="0.40323780354408228"/>
          <c:h val="6.83005249343831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Vývoj podílu mužů na celkovém počtu osob s jinou než českou státní příslušností podle věku v letech 2005-2021</a:t>
            </a:r>
          </a:p>
        </c:rich>
      </c:tx>
      <c:layout>
        <c:manualLayout>
          <c:xMode val="edge"/>
          <c:yMode val="edge"/>
          <c:x val="0.12118658778763768"/>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plotArea>
      <c:layout>
        <c:manualLayout>
          <c:layoutTarget val="inner"/>
          <c:xMode val="edge"/>
          <c:yMode val="edge"/>
          <c:x val="7.5115457428464621E-2"/>
          <c:y val="9.0351501773089773E-2"/>
          <c:w val="0.91911106823745037"/>
          <c:h val="0.77350514692185701"/>
        </c:manualLayout>
      </c:layout>
      <c:lineChart>
        <c:grouping val="stacked"/>
        <c:varyColors val="0"/>
        <c:ser>
          <c:idx val="0"/>
          <c:order val="0"/>
          <c:tx>
            <c:strRef>
              <c:f>List1!$B$1</c:f>
              <c:strCache>
                <c:ptCount val="1"/>
                <c:pt idx="0">
                  <c:v>65 let a více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98F0-43B2-B711-6218B0AD97B5}"/>
                </c:ext>
              </c:extLst>
            </c:dLbl>
            <c:dLbl>
              <c:idx val="2"/>
              <c:delete val="1"/>
              <c:extLst>
                <c:ext xmlns:c15="http://schemas.microsoft.com/office/drawing/2012/chart" uri="{CE6537A1-D6FC-4f65-9D91-7224C49458BB}"/>
                <c:ext xmlns:c16="http://schemas.microsoft.com/office/drawing/2014/chart" uri="{C3380CC4-5D6E-409C-BE32-E72D297353CC}">
                  <c16:uniqueId val="{00000001-98F0-43B2-B711-6218B0AD97B5}"/>
                </c:ext>
              </c:extLst>
            </c:dLbl>
            <c:dLbl>
              <c:idx val="3"/>
              <c:delete val="1"/>
              <c:extLst>
                <c:ext xmlns:c15="http://schemas.microsoft.com/office/drawing/2012/chart" uri="{CE6537A1-D6FC-4f65-9D91-7224C49458BB}"/>
                <c:ext xmlns:c16="http://schemas.microsoft.com/office/drawing/2014/chart" uri="{C3380CC4-5D6E-409C-BE32-E72D297353CC}">
                  <c16:uniqueId val="{00000002-98F0-43B2-B711-6218B0AD97B5}"/>
                </c:ext>
              </c:extLst>
            </c:dLbl>
            <c:dLbl>
              <c:idx val="4"/>
              <c:delete val="1"/>
              <c:extLst>
                <c:ext xmlns:c15="http://schemas.microsoft.com/office/drawing/2012/chart" uri="{CE6537A1-D6FC-4f65-9D91-7224C49458BB}"/>
                <c:ext xmlns:c16="http://schemas.microsoft.com/office/drawing/2014/chart" uri="{C3380CC4-5D6E-409C-BE32-E72D297353CC}">
                  <c16:uniqueId val="{00000003-98F0-43B2-B711-6218B0AD97B5}"/>
                </c:ext>
              </c:extLst>
            </c:dLbl>
            <c:dLbl>
              <c:idx val="6"/>
              <c:delete val="1"/>
              <c:extLst>
                <c:ext xmlns:c15="http://schemas.microsoft.com/office/drawing/2012/chart" uri="{CE6537A1-D6FC-4f65-9D91-7224C49458BB}"/>
                <c:ext xmlns:c16="http://schemas.microsoft.com/office/drawing/2014/chart" uri="{C3380CC4-5D6E-409C-BE32-E72D297353CC}">
                  <c16:uniqueId val="{00000004-98F0-43B2-B711-6218B0AD97B5}"/>
                </c:ext>
              </c:extLst>
            </c:dLbl>
            <c:dLbl>
              <c:idx val="7"/>
              <c:delete val="1"/>
              <c:extLst>
                <c:ext xmlns:c15="http://schemas.microsoft.com/office/drawing/2012/chart" uri="{CE6537A1-D6FC-4f65-9D91-7224C49458BB}"/>
                <c:ext xmlns:c16="http://schemas.microsoft.com/office/drawing/2014/chart" uri="{C3380CC4-5D6E-409C-BE32-E72D297353CC}">
                  <c16:uniqueId val="{00000005-98F0-43B2-B711-6218B0AD97B5}"/>
                </c:ext>
              </c:extLst>
            </c:dLbl>
            <c:dLbl>
              <c:idx val="8"/>
              <c:delete val="1"/>
              <c:extLst>
                <c:ext xmlns:c15="http://schemas.microsoft.com/office/drawing/2012/chart" uri="{CE6537A1-D6FC-4f65-9D91-7224C49458BB}"/>
                <c:ext xmlns:c16="http://schemas.microsoft.com/office/drawing/2014/chart" uri="{C3380CC4-5D6E-409C-BE32-E72D297353CC}">
                  <c16:uniqueId val="{00000006-98F0-43B2-B711-6218B0AD97B5}"/>
                </c:ext>
              </c:extLst>
            </c:dLbl>
            <c:dLbl>
              <c:idx val="9"/>
              <c:delete val="1"/>
              <c:extLst>
                <c:ext xmlns:c15="http://schemas.microsoft.com/office/drawing/2012/chart" uri="{CE6537A1-D6FC-4f65-9D91-7224C49458BB}"/>
                <c:ext xmlns:c16="http://schemas.microsoft.com/office/drawing/2014/chart" uri="{C3380CC4-5D6E-409C-BE32-E72D297353CC}">
                  <c16:uniqueId val="{00000007-98F0-43B2-B711-6218B0AD97B5}"/>
                </c:ext>
              </c:extLst>
            </c:dLbl>
            <c:dLbl>
              <c:idx val="11"/>
              <c:delete val="1"/>
              <c:extLst>
                <c:ext xmlns:c15="http://schemas.microsoft.com/office/drawing/2012/chart" uri="{CE6537A1-D6FC-4f65-9D91-7224C49458BB}"/>
                <c:ext xmlns:c16="http://schemas.microsoft.com/office/drawing/2014/chart" uri="{C3380CC4-5D6E-409C-BE32-E72D297353CC}">
                  <c16:uniqueId val="{00000008-98F0-43B2-B711-6218B0AD97B5}"/>
                </c:ext>
              </c:extLst>
            </c:dLbl>
            <c:dLbl>
              <c:idx val="12"/>
              <c:delete val="1"/>
              <c:extLst>
                <c:ext xmlns:c15="http://schemas.microsoft.com/office/drawing/2012/chart" uri="{CE6537A1-D6FC-4f65-9D91-7224C49458BB}"/>
                <c:ext xmlns:c16="http://schemas.microsoft.com/office/drawing/2014/chart" uri="{C3380CC4-5D6E-409C-BE32-E72D297353CC}">
                  <c16:uniqueId val="{00000009-98F0-43B2-B711-6218B0AD97B5}"/>
                </c:ext>
              </c:extLst>
            </c:dLbl>
            <c:dLbl>
              <c:idx val="13"/>
              <c:delete val="1"/>
              <c:extLst>
                <c:ext xmlns:c15="http://schemas.microsoft.com/office/drawing/2012/chart" uri="{CE6537A1-D6FC-4f65-9D91-7224C49458BB}"/>
                <c:ext xmlns:c16="http://schemas.microsoft.com/office/drawing/2014/chart" uri="{C3380CC4-5D6E-409C-BE32-E72D297353CC}">
                  <c16:uniqueId val="{0000000A-98F0-43B2-B711-6218B0AD97B5}"/>
                </c:ext>
              </c:extLst>
            </c:dLbl>
            <c:dLbl>
              <c:idx val="14"/>
              <c:delete val="1"/>
              <c:extLst>
                <c:ext xmlns:c15="http://schemas.microsoft.com/office/drawing/2012/chart" uri="{CE6537A1-D6FC-4f65-9D91-7224C49458BB}"/>
                <c:ext xmlns:c16="http://schemas.microsoft.com/office/drawing/2014/chart" uri="{C3380CC4-5D6E-409C-BE32-E72D297353CC}">
                  <c16:uniqueId val="{0000000B-98F0-43B2-B711-6218B0AD97B5}"/>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List1!$B$2:$B$18</c:f>
              <c:numCache>
                <c:formatCode>0.0%</c:formatCode>
                <c:ptCount val="17"/>
                <c:pt idx="0">
                  <c:v>1.36752996636868E-2</c:v>
                </c:pt>
                <c:pt idx="1">
                  <c:v>1.38930366830919E-2</c:v>
                </c:pt>
                <c:pt idx="2">
                  <c:v>1.3593668353236599E-2</c:v>
                </c:pt>
                <c:pt idx="3">
                  <c:v>1.38859369465108E-2</c:v>
                </c:pt>
                <c:pt idx="4">
                  <c:v>1.4601054790371401E-2</c:v>
                </c:pt>
                <c:pt idx="5">
                  <c:v>1.59725282883681E-2</c:v>
                </c:pt>
                <c:pt idx="6">
                  <c:v>1.7919949879420399E-2</c:v>
                </c:pt>
                <c:pt idx="7">
                  <c:v>1.97524464039124E-2</c:v>
                </c:pt>
                <c:pt idx="8">
                  <c:v>2.20747787399047E-2</c:v>
                </c:pt>
                <c:pt idx="9">
                  <c:v>2.4131723068227098E-2</c:v>
                </c:pt>
                <c:pt idx="10">
                  <c:v>2.6089482858803002E-2</c:v>
                </c:pt>
                <c:pt idx="11">
                  <c:v>2.7525073919678299E-2</c:v>
                </c:pt>
                <c:pt idx="12">
                  <c:v>2.8709777121467099E-2</c:v>
                </c:pt>
                <c:pt idx="13">
                  <c:v>2.95138612019244E-2</c:v>
                </c:pt>
                <c:pt idx="14">
                  <c:v>3.1403888999369703E-2</c:v>
                </c:pt>
                <c:pt idx="15">
                  <c:v>3.1882637494664599E-2</c:v>
                </c:pt>
                <c:pt idx="16">
                  <c:v>2.9000000000000001E-2</c:v>
                </c:pt>
              </c:numCache>
            </c:numRef>
          </c:val>
          <c:smooth val="0"/>
          <c:extLst>
            <c:ext xmlns:c16="http://schemas.microsoft.com/office/drawing/2014/chart" uri="{C3380CC4-5D6E-409C-BE32-E72D297353CC}">
              <c16:uniqueId val="{0000000C-98F0-43B2-B711-6218B0AD97B5}"/>
            </c:ext>
          </c:extLst>
        </c:ser>
        <c:ser>
          <c:idx val="1"/>
          <c:order val="1"/>
          <c:tx>
            <c:strRef>
              <c:f>List1!$C$1</c:f>
              <c:strCache>
                <c:ptCount val="1"/>
                <c:pt idx="0">
                  <c:v>0-14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D-98F0-43B2-B711-6218B0AD97B5}"/>
                </c:ext>
              </c:extLst>
            </c:dLbl>
            <c:dLbl>
              <c:idx val="2"/>
              <c:delete val="1"/>
              <c:extLst>
                <c:ext xmlns:c15="http://schemas.microsoft.com/office/drawing/2012/chart" uri="{CE6537A1-D6FC-4f65-9D91-7224C49458BB}"/>
                <c:ext xmlns:c16="http://schemas.microsoft.com/office/drawing/2014/chart" uri="{C3380CC4-5D6E-409C-BE32-E72D297353CC}">
                  <c16:uniqueId val="{0000000E-98F0-43B2-B711-6218B0AD97B5}"/>
                </c:ext>
              </c:extLst>
            </c:dLbl>
            <c:dLbl>
              <c:idx val="3"/>
              <c:delete val="1"/>
              <c:extLst>
                <c:ext xmlns:c15="http://schemas.microsoft.com/office/drawing/2012/chart" uri="{CE6537A1-D6FC-4f65-9D91-7224C49458BB}"/>
                <c:ext xmlns:c16="http://schemas.microsoft.com/office/drawing/2014/chart" uri="{C3380CC4-5D6E-409C-BE32-E72D297353CC}">
                  <c16:uniqueId val="{0000000F-98F0-43B2-B711-6218B0AD97B5}"/>
                </c:ext>
              </c:extLst>
            </c:dLbl>
            <c:dLbl>
              <c:idx val="4"/>
              <c:delete val="1"/>
              <c:extLst>
                <c:ext xmlns:c15="http://schemas.microsoft.com/office/drawing/2012/chart" uri="{CE6537A1-D6FC-4f65-9D91-7224C49458BB}"/>
                <c:ext xmlns:c16="http://schemas.microsoft.com/office/drawing/2014/chart" uri="{C3380CC4-5D6E-409C-BE32-E72D297353CC}">
                  <c16:uniqueId val="{00000010-98F0-43B2-B711-6218B0AD97B5}"/>
                </c:ext>
              </c:extLst>
            </c:dLbl>
            <c:dLbl>
              <c:idx val="6"/>
              <c:delete val="1"/>
              <c:extLst>
                <c:ext xmlns:c15="http://schemas.microsoft.com/office/drawing/2012/chart" uri="{CE6537A1-D6FC-4f65-9D91-7224C49458BB}"/>
                <c:ext xmlns:c16="http://schemas.microsoft.com/office/drawing/2014/chart" uri="{C3380CC4-5D6E-409C-BE32-E72D297353CC}">
                  <c16:uniqueId val="{00000011-98F0-43B2-B711-6218B0AD97B5}"/>
                </c:ext>
              </c:extLst>
            </c:dLbl>
            <c:dLbl>
              <c:idx val="7"/>
              <c:delete val="1"/>
              <c:extLst>
                <c:ext xmlns:c15="http://schemas.microsoft.com/office/drawing/2012/chart" uri="{CE6537A1-D6FC-4f65-9D91-7224C49458BB}"/>
                <c:ext xmlns:c16="http://schemas.microsoft.com/office/drawing/2014/chart" uri="{C3380CC4-5D6E-409C-BE32-E72D297353CC}">
                  <c16:uniqueId val="{00000012-98F0-43B2-B711-6218B0AD97B5}"/>
                </c:ext>
              </c:extLst>
            </c:dLbl>
            <c:dLbl>
              <c:idx val="8"/>
              <c:delete val="1"/>
              <c:extLst>
                <c:ext xmlns:c15="http://schemas.microsoft.com/office/drawing/2012/chart" uri="{CE6537A1-D6FC-4f65-9D91-7224C49458BB}"/>
                <c:ext xmlns:c16="http://schemas.microsoft.com/office/drawing/2014/chart" uri="{C3380CC4-5D6E-409C-BE32-E72D297353CC}">
                  <c16:uniqueId val="{00000013-98F0-43B2-B711-6218B0AD97B5}"/>
                </c:ext>
              </c:extLst>
            </c:dLbl>
            <c:dLbl>
              <c:idx val="9"/>
              <c:delete val="1"/>
              <c:extLst>
                <c:ext xmlns:c15="http://schemas.microsoft.com/office/drawing/2012/chart" uri="{CE6537A1-D6FC-4f65-9D91-7224C49458BB}"/>
                <c:ext xmlns:c16="http://schemas.microsoft.com/office/drawing/2014/chart" uri="{C3380CC4-5D6E-409C-BE32-E72D297353CC}">
                  <c16:uniqueId val="{00000014-98F0-43B2-B711-6218B0AD97B5}"/>
                </c:ext>
              </c:extLst>
            </c:dLbl>
            <c:dLbl>
              <c:idx val="11"/>
              <c:delete val="1"/>
              <c:extLst>
                <c:ext xmlns:c15="http://schemas.microsoft.com/office/drawing/2012/chart" uri="{CE6537A1-D6FC-4f65-9D91-7224C49458BB}"/>
                <c:ext xmlns:c16="http://schemas.microsoft.com/office/drawing/2014/chart" uri="{C3380CC4-5D6E-409C-BE32-E72D297353CC}">
                  <c16:uniqueId val="{00000015-98F0-43B2-B711-6218B0AD97B5}"/>
                </c:ext>
              </c:extLst>
            </c:dLbl>
            <c:dLbl>
              <c:idx val="12"/>
              <c:delete val="1"/>
              <c:extLst>
                <c:ext xmlns:c15="http://schemas.microsoft.com/office/drawing/2012/chart" uri="{CE6537A1-D6FC-4f65-9D91-7224C49458BB}"/>
                <c:ext xmlns:c16="http://schemas.microsoft.com/office/drawing/2014/chart" uri="{C3380CC4-5D6E-409C-BE32-E72D297353CC}">
                  <c16:uniqueId val="{00000016-98F0-43B2-B711-6218B0AD97B5}"/>
                </c:ext>
              </c:extLst>
            </c:dLbl>
            <c:dLbl>
              <c:idx val="13"/>
              <c:delete val="1"/>
              <c:extLst>
                <c:ext xmlns:c15="http://schemas.microsoft.com/office/drawing/2012/chart" uri="{CE6537A1-D6FC-4f65-9D91-7224C49458BB}"/>
                <c:ext xmlns:c16="http://schemas.microsoft.com/office/drawing/2014/chart" uri="{C3380CC4-5D6E-409C-BE32-E72D297353CC}">
                  <c16:uniqueId val="{00000017-98F0-43B2-B711-6218B0AD97B5}"/>
                </c:ext>
              </c:extLst>
            </c:dLbl>
            <c:dLbl>
              <c:idx val="14"/>
              <c:delete val="1"/>
              <c:extLst>
                <c:ext xmlns:c15="http://schemas.microsoft.com/office/drawing/2012/chart" uri="{CE6537A1-D6FC-4f65-9D91-7224C49458BB}"/>
                <c:ext xmlns:c16="http://schemas.microsoft.com/office/drawing/2014/chart" uri="{C3380CC4-5D6E-409C-BE32-E72D297353CC}">
                  <c16:uniqueId val="{00000018-98F0-43B2-B711-6218B0AD97B5}"/>
                </c:ext>
              </c:extLst>
            </c:dLbl>
            <c:spPr>
              <a:solidFill>
                <a:schemeClr val="accent2">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List1!$C$2:$C$18</c:f>
              <c:numCache>
                <c:formatCode>0.0%</c:formatCode>
                <c:ptCount val="17"/>
                <c:pt idx="0">
                  <c:v>4.5165138405817901E-2</c:v>
                </c:pt>
                <c:pt idx="1">
                  <c:v>4.11938181275198E-2</c:v>
                </c:pt>
                <c:pt idx="2">
                  <c:v>3.8130074047640301E-2</c:v>
                </c:pt>
                <c:pt idx="3">
                  <c:v>3.8085770114154503E-2</c:v>
                </c:pt>
                <c:pt idx="4">
                  <c:v>4.2076008721326802E-2</c:v>
                </c:pt>
                <c:pt idx="5">
                  <c:v>4.5402801379242103E-2</c:v>
                </c:pt>
                <c:pt idx="6">
                  <c:v>4.5451718633753503E-2</c:v>
                </c:pt>
                <c:pt idx="7">
                  <c:v>4.7180155340340299E-2</c:v>
                </c:pt>
                <c:pt idx="8">
                  <c:v>4.9295405850328697E-2</c:v>
                </c:pt>
                <c:pt idx="9">
                  <c:v>5.12298410875743E-2</c:v>
                </c:pt>
                <c:pt idx="10">
                  <c:v>5.2837497578927001E-2</c:v>
                </c:pt>
                <c:pt idx="11">
                  <c:v>5.3465358573770702E-2</c:v>
                </c:pt>
                <c:pt idx="12">
                  <c:v>5.3714451427285002E-2</c:v>
                </c:pt>
                <c:pt idx="13">
                  <c:v>5.2971143538083999E-2</c:v>
                </c:pt>
                <c:pt idx="14">
                  <c:v>5.3331333443439599E-2</c:v>
                </c:pt>
                <c:pt idx="15">
                  <c:v>5.2534897323616402E-2</c:v>
                </c:pt>
                <c:pt idx="16">
                  <c:v>5.3999999999999999E-2</c:v>
                </c:pt>
              </c:numCache>
            </c:numRef>
          </c:val>
          <c:smooth val="0"/>
          <c:extLst>
            <c:ext xmlns:c16="http://schemas.microsoft.com/office/drawing/2014/chart" uri="{C3380CC4-5D6E-409C-BE32-E72D297353CC}">
              <c16:uniqueId val="{00000019-98F0-43B2-B711-6218B0AD97B5}"/>
            </c:ext>
          </c:extLst>
        </c:ser>
        <c:ser>
          <c:idx val="2"/>
          <c:order val="2"/>
          <c:tx>
            <c:strRef>
              <c:f>List1!$D$1</c:f>
              <c:strCache>
                <c:ptCount val="1"/>
                <c:pt idx="0">
                  <c:v>15-64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A-98F0-43B2-B711-6218B0AD97B5}"/>
                </c:ext>
              </c:extLst>
            </c:dLbl>
            <c:dLbl>
              <c:idx val="2"/>
              <c:delete val="1"/>
              <c:extLst>
                <c:ext xmlns:c15="http://schemas.microsoft.com/office/drawing/2012/chart" uri="{CE6537A1-D6FC-4f65-9D91-7224C49458BB}"/>
                <c:ext xmlns:c16="http://schemas.microsoft.com/office/drawing/2014/chart" uri="{C3380CC4-5D6E-409C-BE32-E72D297353CC}">
                  <c16:uniqueId val="{0000001B-98F0-43B2-B711-6218B0AD97B5}"/>
                </c:ext>
              </c:extLst>
            </c:dLbl>
            <c:dLbl>
              <c:idx val="3"/>
              <c:delete val="1"/>
              <c:extLst>
                <c:ext xmlns:c15="http://schemas.microsoft.com/office/drawing/2012/chart" uri="{CE6537A1-D6FC-4f65-9D91-7224C49458BB}"/>
                <c:ext xmlns:c16="http://schemas.microsoft.com/office/drawing/2014/chart" uri="{C3380CC4-5D6E-409C-BE32-E72D297353CC}">
                  <c16:uniqueId val="{0000001C-98F0-43B2-B711-6218B0AD97B5}"/>
                </c:ext>
              </c:extLst>
            </c:dLbl>
            <c:dLbl>
              <c:idx val="4"/>
              <c:delete val="1"/>
              <c:extLst>
                <c:ext xmlns:c15="http://schemas.microsoft.com/office/drawing/2012/chart" uri="{CE6537A1-D6FC-4f65-9D91-7224C49458BB}"/>
                <c:ext xmlns:c16="http://schemas.microsoft.com/office/drawing/2014/chart" uri="{C3380CC4-5D6E-409C-BE32-E72D297353CC}">
                  <c16:uniqueId val="{0000001D-98F0-43B2-B711-6218B0AD97B5}"/>
                </c:ext>
              </c:extLst>
            </c:dLbl>
            <c:dLbl>
              <c:idx val="6"/>
              <c:delete val="1"/>
              <c:extLst>
                <c:ext xmlns:c15="http://schemas.microsoft.com/office/drawing/2012/chart" uri="{CE6537A1-D6FC-4f65-9D91-7224C49458BB}"/>
                <c:ext xmlns:c16="http://schemas.microsoft.com/office/drawing/2014/chart" uri="{C3380CC4-5D6E-409C-BE32-E72D297353CC}">
                  <c16:uniqueId val="{0000001E-98F0-43B2-B711-6218B0AD97B5}"/>
                </c:ext>
              </c:extLst>
            </c:dLbl>
            <c:dLbl>
              <c:idx val="7"/>
              <c:delete val="1"/>
              <c:extLst>
                <c:ext xmlns:c15="http://schemas.microsoft.com/office/drawing/2012/chart" uri="{CE6537A1-D6FC-4f65-9D91-7224C49458BB}"/>
                <c:ext xmlns:c16="http://schemas.microsoft.com/office/drawing/2014/chart" uri="{C3380CC4-5D6E-409C-BE32-E72D297353CC}">
                  <c16:uniqueId val="{0000001F-98F0-43B2-B711-6218B0AD97B5}"/>
                </c:ext>
              </c:extLst>
            </c:dLbl>
            <c:dLbl>
              <c:idx val="8"/>
              <c:delete val="1"/>
              <c:extLst>
                <c:ext xmlns:c15="http://schemas.microsoft.com/office/drawing/2012/chart" uri="{CE6537A1-D6FC-4f65-9D91-7224C49458BB}"/>
                <c:ext xmlns:c16="http://schemas.microsoft.com/office/drawing/2014/chart" uri="{C3380CC4-5D6E-409C-BE32-E72D297353CC}">
                  <c16:uniqueId val="{00000020-98F0-43B2-B711-6218B0AD97B5}"/>
                </c:ext>
              </c:extLst>
            </c:dLbl>
            <c:dLbl>
              <c:idx val="9"/>
              <c:delete val="1"/>
              <c:extLst>
                <c:ext xmlns:c15="http://schemas.microsoft.com/office/drawing/2012/chart" uri="{CE6537A1-D6FC-4f65-9D91-7224C49458BB}"/>
                <c:ext xmlns:c16="http://schemas.microsoft.com/office/drawing/2014/chart" uri="{C3380CC4-5D6E-409C-BE32-E72D297353CC}">
                  <c16:uniqueId val="{00000021-98F0-43B2-B711-6218B0AD97B5}"/>
                </c:ext>
              </c:extLst>
            </c:dLbl>
            <c:dLbl>
              <c:idx val="11"/>
              <c:delete val="1"/>
              <c:extLst>
                <c:ext xmlns:c15="http://schemas.microsoft.com/office/drawing/2012/chart" uri="{CE6537A1-D6FC-4f65-9D91-7224C49458BB}"/>
                <c:ext xmlns:c16="http://schemas.microsoft.com/office/drawing/2014/chart" uri="{C3380CC4-5D6E-409C-BE32-E72D297353CC}">
                  <c16:uniqueId val="{00000022-98F0-43B2-B711-6218B0AD97B5}"/>
                </c:ext>
              </c:extLst>
            </c:dLbl>
            <c:dLbl>
              <c:idx val="12"/>
              <c:delete val="1"/>
              <c:extLst>
                <c:ext xmlns:c15="http://schemas.microsoft.com/office/drawing/2012/chart" uri="{CE6537A1-D6FC-4f65-9D91-7224C49458BB}"/>
                <c:ext xmlns:c16="http://schemas.microsoft.com/office/drawing/2014/chart" uri="{C3380CC4-5D6E-409C-BE32-E72D297353CC}">
                  <c16:uniqueId val="{00000023-98F0-43B2-B711-6218B0AD97B5}"/>
                </c:ext>
              </c:extLst>
            </c:dLbl>
            <c:dLbl>
              <c:idx val="13"/>
              <c:delete val="1"/>
              <c:extLst>
                <c:ext xmlns:c15="http://schemas.microsoft.com/office/drawing/2012/chart" uri="{CE6537A1-D6FC-4f65-9D91-7224C49458BB}"/>
                <c:ext xmlns:c16="http://schemas.microsoft.com/office/drawing/2014/chart" uri="{C3380CC4-5D6E-409C-BE32-E72D297353CC}">
                  <c16:uniqueId val="{00000024-98F0-43B2-B711-6218B0AD97B5}"/>
                </c:ext>
              </c:extLst>
            </c:dLbl>
            <c:dLbl>
              <c:idx val="14"/>
              <c:delete val="1"/>
              <c:extLst>
                <c:ext xmlns:c15="http://schemas.microsoft.com/office/drawing/2012/chart" uri="{CE6537A1-D6FC-4f65-9D91-7224C49458BB}"/>
                <c:ext xmlns:c16="http://schemas.microsoft.com/office/drawing/2014/chart" uri="{C3380CC4-5D6E-409C-BE32-E72D297353CC}">
                  <c16:uniqueId val="{00000025-98F0-43B2-B711-6218B0AD97B5}"/>
                </c:ext>
              </c:extLst>
            </c:dLbl>
            <c:spPr>
              <a:solidFill>
                <a:schemeClr val="accent3">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List1!$D$2:$D$18</c:f>
              <c:numCache>
                <c:formatCode>0.0%</c:formatCode>
                <c:ptCount val="17"/>
                <c:pt idx="0">
                  <c:v>0.53698726608985603</c:v>
                </c:pt>
                <c:pt idx="1">
                  <c:v>0.54469351948633704</c:v>
                </c:pt>
                <c:pt idx="2">
                  <c:v>0.55244127805462395</c:v>
                </c:pt>
                <c:pt idx="3">
                  <c:v>0.55131009107218398</c:v>
                </c:pt>
                <c:pt idx="4">
                  <c:v>0.53154082168216199</c:v>
                </c:pt>
                <c:pt idx="5">
                  <c:v>0.51419898135949105</c:v>
                </c:pt>
                <c:pt idx="6">
                  <c:v>0.51011740100839997</c:v>
                </c:pt>
                <c:pt idx="7">
                  <c:v>0.50154835690658905</c:v>
                </c:pt>
                <c:pt idx="8">
                  <c:v>0.49450464378661602</c:v>
                </c:pt>
                <c:pt idx="9">
                  <c:v>0.48992694167573497</c:v>
                </c:pt>
                <c:pt idx="10">
                  <c:v>0.48533582972862499</c:v>
                </c:pt>
                <c:pt idx="11">
                  <c:v>0.48228866267699699</c:v>
                </c:pt>
                <c:pt idx="12">
                  <c:v>0.482468491363028</c:v>
                </c:pt>
                <c:pt idx="13">
                  <c:v>0.48581452834702199</c:v>
                </c:pt>
                <c:pt idx="14">
                  <c:v>0.48878769595831201</c:v>
                </c:pt>
                <c:pt idx="15">
                  <c:v>0.48642363690974899</c:v>
                </c:pt>
                <c:pt idx="16">
                  <c:v>0.48199999999999998</c:v>
                </c:pt>
              </c:numCache>
            </c:numRef>
          </c:val>
          <c:smooth val="0"/>
          <c:extLst>
            <c:ext xmlns:c16="http://schemas.microsoft.com/office/drawing/2014/chart" uri="{C3380CC4-5D6E-409C-BE32-E72D297353CC}">
              <c16:uniqueId val="{00000026-98F0-43B2-B711-6218B0AD97B5}"/>
            </c:ext>
          </c:extLst>
        </c:ser>
        <c:dLbls>
          <c:showLegendKey val="0"/>
          <c:showVal val="0"/>
          <c:showCatName val="0"/>
          <c:showSerName val="0"/>
          <c:showPercent val="0"/>
          <c:showBubbleSize val="0"/>
        </c:dLbls>
        <c:marker val="1"/>
        <c:smooth val="0"/>
        <c:axId val="431787000"/>
        <c:axId val="431790136"/>
      </c:lineChart>
      <c:catAx>
        <c:axId val="43178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90136"/>
        <c:crosses val="autoZero"/>
        <c:auto val="1"/>
        <c:lblAlgn val="ctr"/>
        <c:lblOffset val="100"/>
        <c:noMultiLvlLbl val="0"/>
      </c:catAx>
      <c:valAx>
        <c:axId val="431790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7000"/>
        <c:crosses val="autoZero"/>
        <c:crossBetween val="between"/>
      </c:valAx>
      <c:spPr>
        <a:noFill/>
        <a:ln>
          <a:noFill/>
        </a:ln>
        <a:effectLst/>
      </c:spPr>
    </c:plotArea>
    <c:legend>
      <c:legendPos val="b"/>
      <c:layout>
        <c:manualLayout>
          <c:xMode val="edge"/>
          <c:yMode val="edge"/>
          <c:x val="0.29838109822795889"/>
          <c:y val="0.93169947506561679"/>
          <c:w val="0.40323780354408228"/>
          <c:h val="6.83005249343831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Věková</a:t>
            </a:r>
            <a:r>
              <a:rPr lang="cs-CZ" sz="1000" b="1" cap="none" spc="0" baseline="0">
                <a:ln w="0"/>
                <a:solidFill>
                  <a:schemeClr val="tx1"/>
                </a:solidFill>
                <a:effectLst/>
              </a:rPr>
              <a:t> struktura </a:t>
            </a:r>
            <a:r>
              <a:rPr lang="cs-CZ" sz="1000" b="1" i="0" u="none" strike="noStrike" cap="none" spc="0" baseline="0">
                <a:ln w="0"/>
                <a:solidFill>
                  <a:schemeClr val="tx1"/>
                </a:solidFill>
                <a:effectLst/>
              </a:rPr>
              <a:t>osob s jinou než českou státní příslušností  v Jihomoravském kraji </a:t>
            </a:r>
            <a:r>
              <a:rPr lang="cs-CZ" sz="1000" b="1" cap="none" spc="0" baseline="0">
                <a:ln w="0"/>
                <a:solidFill>
                  <a:schemeClr val="tx1"/>
                </a:solidFill>
                <a:effectLst/>
              </a:rPr>
              <a:t> v jednotlivých letech</a:t>
            </a:r>
            <a:endParaRPr lang="cs-CZ" sz="1000" b="1" cap="none" spc="0">
              <a:ln w="0"/>
              <a:solidFill>
                <a:schemeClr val="tx1"/>
              </a:solidFill>
              <a:effectLst/>
            </a:endParaRPr>
          </a:p>
        </c:rich>
      </c:tx>
      <c:layout>
        <c:manualLayout>
          <c:xMode val="edge"/>
          <c:yMode val="edge"/>
          <c:x val="0.14139482564679415"/>
          <c:y val="0"/>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86608984420612E-2"/>
          <c:y val="0.10776624512844986"/>
          <c:w val="0.92029628092205118"/>
          <c:h val="0.72509544261512771"/>
        </c:manualLayout>
      </c:layout>
      <c:bar3DChart>
        <c:barDir val="col"/>
        <c:grouping val="clustered"/>
        <c:varyColors val="0"/>
        <c:ser>
          <c:idx val="0"/>
          <c:order val="0"/>
          <c:tx>
            <c:strRef>
              <c:f>List1!$B$1</c:f>
              <c:strCache>
                <c:ptCount val="1"/>
                <c:pt idx="0">
                  <c:v>0-14 let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903225806451632E-2"/>
                  <c:y val="-1.365595645999909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A5-4608-A912-1176E7075A81}"/>
                </c:ext>
              </c:extLst>
            </c:dLbl>
            <c:dLbl>
              <c:idx val="1"/>
              <c:layout>
                <c:manualLayout>
                  <c:x val="-1.075268817204309E-2"/>
                  <c:y val="-1.365595645999909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A5-4608-A912-1176E7075A81}"/>
                </c:ext>
              </c:extLst>
            </c:dLbl>
            <c:dLbl>
              <c:idx val="2"/>
              <c:layout>
                <c:manualLayout>
                  <c:x val="-1.075268817204309E-2"/>
                  <c:y val="-1.365595645999909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A5-4608-A912-1176E7075A81}"/>
                </c:ext>
              </c:extLst>
            </c:dLbl>
            <c:dLbl>
              <c:idx val="3"/>
              <c:layout>
                <c:manualLayout>
                  <c:x val="-1.5053763440860216E-2"/>
                  <c:y val="-7.44878957169473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A5-4608-A912-1176E7075A81}"/>
                </c:ext>
              </c:extLst>
            </c:dLbl>
            <c:spPr>
              <a:solidFill>
                <a:schemeClr val="bg1"/>
              </a:solid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2005</c:v>
                </c:pt>
                <c:pt idx="1">
                  <c:v>2010</c:v>
                </c:pt>
                <c:pt idx="2">
                  <c:v>2015</c:v>
                </c:pt>
                <c:pt idx="3">
                  <c:v>2020</c:v>
                </c:pt>
                <c:pt idx="4">
                  <c:v>2021</c:v>
                </c:pt>
              </c:numCache>
            </c:numRef>
          </c:cat>
          <c:val>
            <c:numRef>
              <c:f>List1!$B$2:$B$6</c:f>
              <c:numCache>
                <c:formatCode>0.0%</c:formatCode>
                <c:ptCount val="5"/>
                <c:pt idx="0">
                  <c:v>6.9000000000000006E-2</c:v>
                </c:pt>
                <c:pt idx="1">
                  <c:v>7.3999999999999996E-2</c:v>
                </c:pt>
                <c:pt idx="2">
                  <c:v>0.09</c:v>
                </c:pt>
                <c:pt idx="3">
                  <c:v>8.5999999999999993E-2</c:v>
                </c:pt>
                <c:pt idx="4">
                  <c:v>8.5999999999999993E-2</c:v>
                </c:pt>
              </c:numCache>
            </c:numRef>
          </c:val>
          <c:shape val="cylinder"/>
          <c:extLst>
            <c:ext xmlns:c16="http://schemas.microsoft.com/office/drawing/2014/chart" uri="{C3380CC4-5D6E-409C-BE32-E72D297353CC}">
              <c16:uniqueId val="{00000004-E7A5-4608-A912-1176E7075A81}"/>
            </c:ext>
          </c:extLst>
        </c:ser>
        <c:ser>
          <c:idx val="1"/>
          <c:order val="1"/>
          <c:tx>
            <c:strRef>
              <c:f>List1!$C$1</c:f>
              <c:strCache>
                <c:ptCount val="1"/>
                <c:pt idx="0">
                  <c:v>15-64 let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2005</c:v>
                </c:pt>
                <c:pt idx="1">
                  <c:v>2010</c:v>
                </c:pt>
                <c:pt idx="2">
                  <c:v>2015</c:v>
                </c:pt>
                <c:pt idx="3">
                  <c:v>2020</c:v>
                </c:pt>
                <c:pt idx="4">
                  <c:v>2021</c:v>
                </c:pt>
              </c:numCache>
            </c:numRef>
          </c:cat>
          <c:val>
            <c:numRef>
              <c:f>List1!$C$2:$C$6</c:f>
              <c:numCache>
                <c:formatCode>0.0%</c:formatCode>
                <c:ptCount val="5"/>
                <c:pt idx="0">
                  <c:v>0.90700000000000003</c:v>
                </c:pt>
                <c:pt idx="1">
                  <c:v>0.9</c:v>
                </c:pt>
                <c:pt idx="2">
                  <c:v>0.872</c:v>
                </c:pt>
                <c:pt idx="3">
                  <c:v>0.86799999999999999</c:v>
                </c:pt>
                <c:pt idx="4">
                  <c:v>0.873</c:v>
                </c:pt>
              </c:numCache>
            </c:numRef>
          </c:val>
          <c:shape val="cylinder"/>
          <c:extLst>
            <c:ext xmlns:c16="http://schemas.microsoft.com/office/drawing/2014/chart" uri="{C3380CC4-5D6E-409C-BE32-E72D297353CC}">
              <c16:uniqueId val="{00000005-E7A5-4608-A912-1176E7075A81}"/>
            </c:ext>
          </c:extLst>
        </c:ser>
        <c:ser>
          <c:idx val="2"/>
          <c:order val="2"/>
          <c:tx>
            <c:strRef>
              <c:f>List1!$D$1</c:f>
              <c:strCache>
                <c:ptCount val="1"/>
                <c:pt idx="0">
                  <c:v>65 let a více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35483870967742E-2"/>
                  <c:y val="-7.4487895716945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A5-4608-A912-1176E7075A81}"/>
                </c:ext>
              </c:extLst>
            </c:dLbl>
            <c:dLbl>
              <c:idx val="1"/>
              <c:layout>
                <c:manualLayout>
                  <c:x val="2.3655913978494623E-2"/>
                  <c:y val="-1.4897579143389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A5-4608-A912-1176E7075A81}"/>
                </c:ext>
              </c:extLst>
            </c:dLbl>
            <c:dLbl>
              <c:idx val="2"/>
              <c:layout>
                <c:manualLayout>
                  <c:x val="1.935483870967742E-2"/>
                  <c:y val="-7.4487895716945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A5-4608-A912-1176E7075A81}"/>
                </c:ext>
              </c:extLst>
            </c:dLbl>
            <c:dLbl>
              <c:idx val="3"/>
              <c:layout>
                <c:manualLayout>
                  <c:x val="2.1505376344086023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A5-4608-A912-1176E7075A81}"/>
                </c:ext>
              </c:extLst>
            </c:dLbl>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2005</c:v>
                </c:pt>
                <c:pt idx="1">
                  <c:v>2010</c:v>
                </c:pt>
                <c:pt idx="2">
                  <c:v>2015</c:v>
                </c:pt>
                <c:pt idx="3">
                  <c:v>2020</c:v>
                </c:pt>
                <c:pt idx="4">
                  <c:v>2021</c:v>
                </c:pt>
              </c:numCache>
            </c:numRef>
          </c:cat>
          <c:val>
            <c:numRef>
              <c:f>List1!$D$2:$D$6</c:f>
              <c:numCache>
                <c:formatCode>0.0%</c:formatCode>
                <c:ptCount val="5"/>
                <c:pt idx="0">
                  <c:v>2.4E-2</c:v>
                </c:pt>
                <c:pt idx="1">
                  <c:v>2.7E-2</c:v>
                </c:pt>
                <c:pt idx="2">
                  <c:v>3.7999999999999999E-2</c:v>
                </c:pt>
                <c:pt idx="3">
                  <c:v>4.5999999999999999E-2</c:v>
                </c:pt>
                <c:pt idx="4">
                  <c:v>4.1000000000000002E-2</c:v>
                </c:pt>
              </c:numCache>
            </c:numRef>
          </c:val>
          <c:shape val="cylinder"/>
          <c:extLst>
            <c:ext xmlns:c16="http://schemas.microsoft.com/office/drawing/2014/chart" uri="{C3380CC4-5D6E-409C-BE32-E72D297353CC}">
              <c16:uniqueId val="{0000000A-E7A5-4608-A912-1176E7075A81}"/>
            </c:ext>
          </c:extLst>
        </c:ser>
        <c:dLbls>
          <c:showLegendKey val="0"/>
          <c:showVal val="1"/>
          <c:showCatName val="0"/>
          <c:showSerName val="0"/>
          <c:showPercent val="0"/>
          <c:showBubbleSize val="0"/>
        </c:dLbls>
        <c:gapWidth val="150"/>
        <c:shape val="box"/>
        <c:axId val="431787392"/>
        <c:axId val="298474280"/>
        <c:axId val="0"/>
      </c:bar3DChart>
      <c:catAx>
        <c:axId val="43178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crossAx val="298474280"/>
        <c:crosses val="autoZero"/>
        <c:auto val="1"/>
        <c:lblAlgn val="ctr"/>
        <c:lblOffset val="100"/>
        <c:noMultiLvlLbl val="0"/>
      </c:catAx>
      <c:valAx>
        <c:axId val="29847428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1787392"/>
        <c:crosses val="autoZero"/>
        <c:crossBetween val="between"/>
      </c:valAx>
      <c:spPr>
        <a:noFill/>
        <a:ln>
          <a:noFill/>
        </a:ln>
        <a:effectLst/>
      </c:spPr>
    </c:plotArea>
    <c:legend>
      <c:legendPos val="b"/>
      <c:layout>
        <c:manualLayout>
          <c:xMode val="edge"/>
          <c:yMode val="edge"/>
          <c:x val="0.3188401285094718"/>
          <c:y val="0.91656552203242092"/>
          <c:w val="0.3711059511300791"/>
          <c:h val="7.138390689715704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Vývoj podílu osob s jinou než českou státní</a:t>
            </a:r>
            <a:r>
              <a:rPr lang="cs-CZ" sz="1000" b="1" baseline="0"/>
              <a:t> příslušnustí v Jihomoravském kraji</a:t>
            </a:r>
            <a:r>
              <a:rPr lang="cs-CZ" sz="1000" b="1"/>
              <a:t> na celkovém počtu těchto</a:t>
            </a:r>
            <a:r>
              <a:rPr lang="cs-CZ" sz="1000" b="1" baseline="0"/>
              <a:t> osob </a:t>
            </a:r>
            <a:r>
              <a:rPr lang="cs-CZ" sz="1000" b="1"/>
              <a:t>v letech 2005-2021</a:t>
            </a:r>
          </a:p>
        </c:rich>
      </c:tx>
      <c:layout>
        <c:manualLayout>
          <c:xMode val="edge"/>
          <c:yMode val="edge"/>
          <c:x val="0.12339111256926218"/>
          <c:y val="0"/>
        </c:manualLayout>
      </c:layout>
      <c:overlay val="0"/>
      <c:spPr>
        <a:noFill/>
        <a:ln>
          <a:noFill/>
        </a:ln>
        <a:effectLst/>
      </c:spPr>
      <c:txPr>
        <a:bodyPr rot="0" spcFirstLastPara="1" vertOverflow="ellipsis" vert="horz" wrap="square" anchor="ctr" anchorCtr="1"/>
        <a:lstStyle/>
        <a:p>
          <a:pPr algn="ct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plotArea>
      <c:layout>
        <c:manualLayout>
          <c:layoutTarget val="inner"/>
          <c:xMode val="edge"/>
          <c:yMode val="edge"/>
          <c:x val="7.5115457428464621E-2"/>
          <c:y val="0.13958811250955835"/>
          <c:w val="0.91911106823745037"/>
          <c:h val="0.70773244879823105"/>
        </c:manualLayout>
      </c:layout>
      <c:lineChart>
        <c:grouping val="stacked"/>
        <c:varyColors val="0"/>
        <c:ser>
          <c:idx val="0"/>
          <c:order val="0"/>
          <c:tx>
            <c:strRef>
              <c:f>List1!$B$1</c:f>
              <c:strCache>
                <c:ptCount val="1"/>
                <c:pt idx="0">
                  <c:v>65 let a více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3009-4865-8BAC-CA850D439633}"/>
                </c:ext>
              </c:extLst>
            </c:dLbl>
            <c:dLbl>
              <c:idx val="2"/>
              <c:delete val="1"/>
              <c:extLst>
                <c:ext xmlns:c15="http://schemas.microsoft.com/office/drawing/2012/chart" uri="{CE6537A1-D6FC-4f65-9D91-7224C49458BB}"/>
                <c:ext xmlns:c16="http://schemas.microsoft.com/office/drawing/2014/chart" uri="{C3380CC4-5D6E-409C-BE32-E72D297353CC}">
                  <c16:uniqueId val="{00000001-3009-4865-8BAC-CA850D439633}"/>
                </c:ext>
              </c:extLst>
            </c:dLbl>
            <c:dLbl>
              <c:idx val="3"/>
              <c:delete val="1"/>
              <c:extLst>
                <c:ext xmlns:c15="http://schemas.microsoft.com/office/drawing/2012/chart" uri="{CE6537A1-D6FC-4f65-9D91-7224C49458BB}"/>
                <c:ext xmlns:c16="http://schemas.microsoft.com/office/drawing/2014/chart" uri="{C3380CC4-5D6E-409C-BE32-E72D297353CC}">
                  <c16:uniqueId val="{00000002-3009-4865-8BAC-CA850D439633}"/>
                </c:ext>
              </c:extLst>
            </c:dLbl>
            <c:dLbl>
              <c:idx val="4"/>
              <c:delete val="1"/>
              <c:extLst>
                <c:ext xmlns:c15="http://schemas.microsoft.com/office/drawing/2012/chart" uri="{CE6537A1-D6FC-4f65-9D91-7224C49458BB}"/>
                <c:ext xmlns:c16="http://schemas.microsoft.com/office/drawing/2014/chart" uri="{C3380CC4-5D6E-409C-BE32-E72D297353CC}">
                  <c16:uniqueId val="{00000003-3009-4865-8BAC-CA850D439633}"/>
                </c:ext>
              </c:extLst>
            </c:dLbl>
            <c:dLbl>
              <c:idx val="6"/>
              <c:delete val="1"/>
              <c:extLst>
                <c:ext xmlns:c15="http://schemas.microsoft.com/office/drawing/2012/chart" uri="{CE6537A1-D6FC-4f65-9D91-7224C49458BB}"/>
                <c:ext xmlns:c16="http://schemas.microsoft.com/office/drawing/2014/chart" uri="{C3380CC4-5D6E-409C-BE32-E72D297353CC}">
                  <c16:uniqueId val="{00000004-3009-4865-8BAC-CA850D439633}"/>
                </c:ext>
              </c:extLst>
            </c:dLbl>
            <c:dLbl>
              <c:idx val="7"/>
              <c:delete val="1"/>
              <c:extLst>
                <c:ext xmlns:c15="http://schemas.microsoft.com/office/drawing/2012/chart" uri="{CE6537A1-D6FC-4f65-9D91-7224C49458BB}"/>
                <c:ext xmlns:c16="http://schemas.microsoft.com/office/drawing/2014/chart" uri="{C3380CC4-5D6E-409C-BE32-E72D297353CC}">
                  <c16:uniqueId val="{00000005-3009-4865-8BAC-CA850D439633}"/>
                </c:ext>
              </c:extLst>
            </c:dLbl>
            <c:dLbl>
              <c:idx val="8"/>
              <c:delete val="1"/>
              <c:extLst>
                <c:ext xmlns:c15="http://schemas.microsoft.com/office/drawing/2012/chart" uri="{CE6537A1-D6FC-4f65-9D91-7224C49458BB}"/>
                <c:ext xmlns:c16="http://schemas.microsoft.com/office/drawing/2014/chart" uri="{C3380CC4-5D6E-409C-BE32-E72D297353CC}">
                  <c16:uniqueId val="{00000006-3009-4865-8BAC-CA850D439633}"/>
                </c:ext>
              </c:extLst>
            </c:dLbl>
            <c:dLbl>
              <c:idx val="9"/>
              <c:delete val="1"/>
              <c:extLst>
                <c:ext xmlns:c15="http://schemas.microsoft.com/office/drawing/2012/chart" uri="{CE6537A1-D6FC-4f65-9D91-7224C49458BB}"/>
                <c:ext xmlns:c16="http://schemas.microsoft.com/office/drawing/2014/chart" uri="{C3380CC4-5D6E-409C-BE32-E72D297353CC}">
                  <c16:uniqueId val="{00000007-3009-4865-8BAC-CA850D439633}"/>
                </c:ext>
              </c:extLst>
            </c:dLbl>
            <c:dLbl>
              <c:idx val="11"/>
              <c:delete val="1"/>
              <c:extLst>
                <c:ext xmlns:c15="http://schemas.microsoft.com/office/drawing/2012/chart" uri="{CE6537A1-D6FC-4f65-9D91-7224C49458BB}"/>
                <c:ext xmlns:c16="http://schemas.microsoft.com/office/drawing/2014/chart" uri="{C3380CC4-5D6E-409C-BE32-E72D297353CC}">
                  <c16:uniqueId val="{00000008-3009-4865-8BAC-CA850D439633}"/>
                </c:ext>
              </c:extLst>
            </c:dLbl>
            <c:dLbl>
              <c:idx val="12"/>
              <c:delete val="1"/>
              <c:extLst>
                <c:ext xmlns:c15="http://schemas.microsoft.com/office/drawing/2012/chart" uri="{CE6537A1-D6FC-4f65-9D91-7224C49458BB}"/>
                <c:ext xmlns:c16="http://schemas.microsoft.com/office/drawing/2014/chart" uri="{C3380CC4-5D6E-409C-BE32-E72D297353CC}">
                  <c16:uniqueId val="{00000009-3009-4865-8BAC-CA850D439633}"/>
                </c:ext>
              </c:extLst>
            </c:dLbl>
            <c:dLbl>
              <c:idx val="13"/>
              <c:delete val="1"/>
              <c:extLst>
                <c:ext xmlns:c15="http://schemas.microsoft.com/office/drawing/2012/chart" uri="{CE6537A1-D6FC-4f65-9D91-7224C49458BB}"/>
                <c:ext xmlns:c16="http://schemas.microsoft.com/office/drawing/2014/chart" uri="{C3380CC4-5D6E-409C-BE32-E72D297353CC}">
                  <c16:uniqueId val="{0000000A-3009-4865-8BAC-CA850D439633}"/>
                </c:ext>
              </c:extLst>
            </c:dLbl>
            <c:dLbl>
              <c:idx val="14"/>
              <c:delete val="1"/>
              <c:extLst>
                <c:ext xmlns:c15="http://schemas.microsoft.com/office/drawing/2012/chart" uri="{CE6537A1-D6FC-4f65-9D91-7224C49458BB}"/>
                <c:ext xmlns:c16="http://schemas.microsoft.com/office/drawing/2014/chart" uri="{C3380CC4-5D6E-409C-BE32-E72D297353CC}">
                  <c16:uniqueId val="{0000000B-3009-4865-8BAC-CA850D439633}"/>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List1!$B$2:$B$18</c:f>
              <c:numCache>
                <c:formatCode>0.0%</c:formatCode>
                <c:ptCount val="17"/>
                <c:pt idx="0">
                  <c:v>2.4E-2</c:v>
                </c:pt>
                <c:pt idx="1">
                  <c:v>2.4E-2</c:v>
                </c:pt>
                <c:pt idx="2">
                  <c:v>2.3E-2</c:v>
                </c:pt>
                <c:pt idx="3">
                  <c:v>2.4E-2</c:v>
                </c:pt>
                <c:pt idx="4">
                  <c:v>2.4E-2</c:v>
                </c:pt>
                <c:pt idx="5">
                  <c:v>2.7E-2</c:v>
                </c:pt>
                <c:pt idx="6">
                  <c:v>2.9000000000000001E-2</c:v>
                </c:pt>
                <c:pt idx="7">
                  <c:v>3.1E-2</c:v>
                </c:pt>
                <c:pt idx="8">
                  <c:v>3.4000000000000002E-2</c:v>
                </c:pt>
                <c:pt idx="9">
                  <c:v>3.6999999999999998E-2</c:v>
                </c:pt>
                <c:pt idx="10">
                  <c:v>3.7999999999999999E-2</c:v>
                </c:pt>
                <c:pt idx="11">
                  <c:v>4.1000000000000002E-2</c:v>
                </c:pt>
                <c:pt idx="12">
                  <c:v>4.2000000000000003E-2</c:v>
                </c:pt>
                <c:pt idx="13">
                  <c:v>4.2999999999999997E-2</c:v>
                </c:pt>
                <c:pt idx="14">
                  <c:v>4.4999999999999998E-2</c:v>
                </c:pt>
                <c:pt idx="15">
                  <c:v>4.5999999999999999E-2</c:v>
                </c:pt>
                <c:pt idx="16">
                  <c:v>4.1000000000000002E-2</c:v>
                </c:pt>
              </c:numCache>
            </c:numRef>
          </c:val>
          <c:smooth val="0"/>
          <c:extLst>
            <c:ext xmlns:c16="http://schemas.microsoft.com/office/drawing/2014/chart" uri="{C3380CC4-5D6E-409C-BE32-E72D297353CC}">
              <c16:uniqueId val="{0000000C-3009-4865-8BAC-CA850D439633}"/>
            </c:ext>
          </c:extLst>
        </c:ser>
        <c:ser>
          <c:idx val="1"/>
          <c:order val="1"/>
          <c:tx>
            <c:strRef>
              <c:f>List1!$C$1</c:f>
              <c:strCache>
                <c:ptCount val="1"/>
                <c:pt idx="0">
                  <c:v>0-14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9484126984126997E-2"/>
                  <c:y val="-7.5034910329802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09-4865-8BAC-CA850D439633}"/>
                </c:ext>
              </c:extLst>
            </c:dLbl>
            <c:dLbl>
              <c:idx val="1"/>
              <c:delete val="1"/>
              <c:extLst>
                <c:ext xmlns:c15="http://schemas.microsoft.com/office/drawing/2012/chart" uri="{CE6537A1-D6FC-4f65-9D91-7224C49458BB}"/>
                <c:ext xmlns:c16="http://schemas.microsoft.com/office/drawing/2014/chart" uri="{C3380CC4-5D6E-409C-BE32-E72D297353CC}">
                  <c16:uniqueId val="{0000000E-3009-4865-8BAC-CA850D439633}"/>
                </c:ext>
              </c:extLst>
            </c:dLbl>
            <c:dLbl>
              <c:idx val="2"/>
              <c:delete val="1"/>
              <c:extLst>
                <c:ext xmlns:c15="http://schemas.microsoft.com/office/drawing/2012/chart" uri="{CE6537A1-D6FC-4f65-9D91-7224C49458BB}"/>
                <c:ext xmlns:c16="http://schemas.microsoft.com/office/drawing/2014/chart" uri="{C3380CC4-5D6E-409C-BE32-E72D297353CC}">
                  <c16:uniqueId val="{0000000F-3009-4865-8BAC-CA850D439633}"/>
                </c:ext>
              </c:extLst>
            </c:dLbl>
            <c:dLbl>
              <c:idx val="3"/>
              <c:delete val="1"/>
              <c:extLst>
                <c:ext xmlns:c15="http://schemas.microsoft.com/office/drawing/2012/chart" uri="{CE6537A1-D6FC-4f65-9D91-7224C49458BB}"/>
                <c:ext xmlns:c16="http://schemas.microsoft.com/office/drawing/2014/chart" uri="{C3380CC4-5D6E-409C-BE32-E72D297353CC}">
                  <c16:uniqueId val="{00000010-3009-4865-8BAC-CA850D439633}"/>
                </c:ext>
              </c:extLst>
            </c:dLbl>
            <c:dLbl>
              <c:idx val="4"/>
              <c:delete val="1"/>
              <c:extLst>
                <c:ext xmlns:c15="http://schemas.microsoft.com/office/drawing/2012/chart" uri="{CE6537A1-D6FC-4f65-9D91-7224C49458BB}"/>
                <c:ext xmlns:c16="http://schemas.microsoft.com/office/drawing/2014/chart" uri="{C3380CC4-5D6E-409C-BE32-E72D297353CC}">
                  <c16:uniqueId val="{00000011-3009-4865-8BAC-CA850D439633}"/>
                </c:ext>
              </c:extLst>
            </c:dLbl>
            <c:dLbl>
              <c:idx val="5"/>
              <c:layout>
                <c:manualLayout>
                  <c:x val="-3.7014991181657846E-2"/>
                  <c:y val="-6.2291275252791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009-4865-8BAC-CA850D439633}"/>
                </c:ext>
              </c:extLst>
            </c:dLbl>
            <c:dLbl>
              <c:idx val="6"/>
              <c:delete val="1"/>
              <c:extLst>
                <c:ext xmlns:c15="http://schemas.microsoft.com/office/drawing/2012/chart" uri="{CE6537A1-D6FC-4f65-9D91-7224C49458BB}"/>
                <c:ext xmlns:c16="http://schemas.microsoft.com/office/drawing/2014/chart" uri="{C3380CC4-5D6E-409C-BE32-E72D297353CC}">
                  <c16:uniqueId val="{00000013-3009-4865-8BAC-CA850D439633}"/>
                </c:ext>
              </c:extLst>
            </c:dLbl>
            <c:dLbl>
              <c:idx val="7"/>
              <c:delete val="1"/>
              <c:extLst>
                <c:ext xmlns:c15="http://schemas.microsoft.com/office/drawing/2012/chart" uri="{CE6537A1-D6FC-4f65-9D91-7224C49458BB}"/>
                <c:ext xmlns:c16="http://schemas.microsoft.com/office/drawing/2014/chart" uri="{C3380CC4-5D6E-409C-BE32-E72D297353CC}">
                  <c16:uniqueId val="{00000014-3009-4865-8BAC-CA850D439633}"/>
                </c:ext>
              </c:extLst>
            </c:dLbl>
            <c:dLbl>
              <c:idx val="8"/>
              <c:delete val="1"/>
              <c:extLst>
                <c:ext xmlns:c15="http://schemas.microsoft.com/office/drawing/2012/chart" uri="{CE6537A1-D6FC-4f65-9D91-7224C49458BB}"/>
                <c:ext xmlns:c16="http://schemas.microsoft.com/office/drawing/2014/chart" uri="{C3380CC4-5D6E-409C-BE32-E72D297353CC}">
                  <c16:uniqueId val="{00000015-3009-4865-8BAC-CA850D439633}"/>
                </c:ext>
              </c:extLst>
            </c:dLbl>
            <c:dLbl>
              <c:idx val="9"/>
              <c:delete val="1"/>
              <c:extLst>
                <c:ext xmlns:c15="http://schemas.microsoft.com/office/drawing/2012/chart" uri="{CE6537A1-D6FC-4f65-9D91-7224C49458BB}"/>
                <c:ext xmlns:c16="http://schemas.microsoft.com/office/drawing/2014/chart" uri="{C3380CC4-5D6E-409C-BE32-E72D297353CC}">
                  <c16:uniqueId val="{00000016-3009-4865-8BAC-CA850D439633}"/>
                </c:ext>
              </c:extLst>
            </c:dLbl>
            <c:dLbl>
              <c:idx val="11"/>
              <c:delete val="1"/>
              <c:extLst>
                <c:ext xmlns:c15="http://schemas.microsoft.com/office/drawing/2012/chart" uri="{CE6537A1-D6FC-4f65-9D91-7224C49458BB}"/>
                <c:ext xmlns:c16="http://schemas.microsoft.com/office/drawing/2014/chart" uri="{C3380CC4-5D6E-409C-BE32-E72D297353CC}">
                  <c16:uniqueId val="{00000017-3009-4865-8BAC-CA850D439633}"/>
                </c:ext>
              </c:extLst>
            </c:dLbl>
            <c:dLbl>
              <c:idx val="12"/>
              <c:delete val="1"/>
              <c:extLst>
                <c:ext xmlns:c15="http://schemas.microsoft.com/office/drawing/2012/chart" uri="{CE6537A1-D6FC-4f65-9D91-7224C49458BB}"/>
                <c:ext xmlns:c16="http://schemas.microsoft.com/office/drawing/2014/chart" uri="{C3380CC4-5D6E-409C-BE32-E72D297353CC}">
                  <c16:uniqueId val="{00000018-3009-4865-8BAC-CA850D439633}"/>
                </c:ext>
              </c:extLst>
            </c:dLbl>
            <c:dLbl>
              <c:idx val="13"/>
              <c:delete val="1"/>
              <c:extLst>
                <c:ext xmlns:c15="http://schemas.microsoft.com/office/drawing/2012/chart" uri="{CE6537A1-D6FC-4f65-9D91-7224C49458BB}"/>
                <c:ext xmlns:c16="http://schemas.microsoft.com/office/drawing/2014/chart" uri="{C3380CC4-5D6E-409C-BE32-E72D297353CC}">
                  <c16:uniqueId val="{00000019-3009-4865-8BAC-CA850D439633}"/>
                </c:ext>
              </c:extLst>
            </c:dLbl>
            <c:dLbl>
              <c:idx val="14"/>
              <c:delete val="1"/>
              <c:extLst>
                <c:ext xmlns:c15="http://schemas.microsoft.com/office/drawing/2012/chart" uri="{CE6537A1-D6FC-4f65-9D91-7224C49458BB}"/>
                <c:ext xmlns:c16="http://schemas.microsoft.com/office/drawing/2014/chart" uri="{C3380CC4-5D6E-409C-BE32-E72D297353CC}">
                  <c16:uniqueId val="{0000001A-3009-4865-8BAC-CA850D439633}"/>
                </c:ext>
              </c:extLst>
            </c:dLbl>
            <c:spPr>
              <a:solidFill>
                <a:schemeClr val="accent2">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List1!$C$2:$C$18</c:f>
              <c:numCache>
                <c:formatCode>0.0%</c:formatCode>
                <c:ptCount val="17"/>
                <c:pt idx="0">
                  <c:v>6.9000000000000006E-2</c:v>
                </c:pt>
                <c:pt idx="1">
                  <c:v>6.4000000000000001E-2</c:v>
                </c:pt>
                <c:pt idx="2">
                  <c:v>0.06</c:v>
                </c:pt>
                <c:pt idx="3">
                  <c:v>6.3E-2</c:v>
                </c:pt>
                <c:pt idx="4">
                  <c:v>6.8000000000000005E-2</c:v>
                </c:pt>
                <c:pt idx="5">
                  <c:v>7.3999999999999996E-2</c:v>
                </c:pt>
                <c:pt idx="6">
                  <c:v>7.5999999999999998E-2</c:v>
                </c:pt>
                <c:pt idx="7">
                  <c:v>7.8E-2</c:v>
                </c:pt>
                <c:pt idx="8">
                  <c:v>8.3000000000000004E-2</c:v>
                </c:pt>
                <c:pt idx="9">
                  <c:v>8.7999999999999995E-2</c:v>
                </c:pt>
                <c:pt idx="10">
                  <c:v>0.09</c:v>
                </c:pt>
                <c:pt idx="11">
                  <c:v>9.0999999999999998E-2</c:v>
                </c:pt>
                <c:pt idx="12">
                  <c:v>9.1999999999999998E-2</c:v>
                </c:pt>
                <c:pt idx="13">
                  <c:v>8.8999999999999996E-2</c:v>
                </c:pt>
                <c:pt idx="14">
                  <c:v>0.09</c:v>
                </c:pt>
                <c:pt idx="15">
                  <c:v>8.5999999999999993E-2</c:v>
                </c:pt>
                <c:pt idx="16">
                  <c:v>8.5999999999999993E-2</c:v>
                </c:pt>
              </c:numCache>
            </c:numRef>
          </c:val>
          <c:smooth val="0"/>
          <c:extLst>
            <c:ext xmlns:c16="http://schemas.microsoft.com/office/drawing/2014/chart" uri="{C3380CC4-5D6E-409C-BE32-E72D297353CC}">
              <c16:uniqueId val="{0000001B-3009-4865-8BAC-CA850D439633}"/>
            </c:ext>
          </c:extLst>
        </c:ser>
        <c:ser>
          <c:idx val="2"/>
          <c:order val="2"/>
          <c:tx>
            <c:strRef>
              <c:f>List1!$D$1</c:f>
              <c:strCache>
                <c:ptCount val="1"/>
                <c:pt idx="0">
                  <c:v>15-64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C-3009-4865-8BAC-CA850D439633}"/>
                </c:ext>
              </c:extLst>
            </c:dLbl>
            <c:dLbl>
              <c:idx val="2"/>
              <c:delete val="1"/>
              <c:extLst>
                <c:ext xmlns:c15="http://schemas.microsoft.com/office/drawing/2012/chart" uri="{CE6537A1-D6FC-4f65-9D91-7224C49458BB}"/>
                <c:ext xmlns:c16="http://schemas.microsoft.com/office/drawing/2014/chart" uri="{C3380CC4-5D6E-409C-BE32-E72D297353CC}">
                  <c16:uniqueId val="{0000001D-3009-4865-8BAC-CA850D439633}"/>
                </c:ext>
              </c:extLst>
            </c:dLbl>
            <c:dLbl>
              <c:idx val="3"/>
              <c:delete val="1"/>
              <c:extLst>
                <c:ext xmlns:c15="http://schemas.microsoft.com/office/drawing/2012/chart" uri="{CE6537A1-D6FC-4f65-9D91-7224C49458BB}"/>
                <c:ext xmlns:c16="http://schemas.microsoft.com/office/drawing/2014/chart" uri="{C3380CC4-5D6E-409C-BE32-E72D297353CC}">
                  <c16:uniqueId val="{0000001E-3009-4865-8BAC-CA850D439633}"/>
                </c:ext>
              </c:extLst>
            </c:dLbl>
            <c:dLbl>
              <c:idx val="4"/>
              <c:delete val="1"/>
              <c:extLst>
                <c:ext xmlns:c15="http://schemas.microsoft.com/office/drawing/2012/chart" uri="{CE6537A1-D6FC-4f65-9D91-7224C49458BB}"/>
                <c:ext xmlns:c16="http://schemas.microsoft.com/office/drawing/2014/chart" uri="{C3380CC4-5D6E-409C-BE32-E72D297353CC}">
                  <c16:uniqueId val="{0000001F-3009-4865-8BAC-CA850D439633}"/>
                </c:ext>
              </c:extLst>
            </c:dLbl>
            <c:dLbl>
              <c:idx val="6"/>
              <c:delete val="1"/>
              <c:extLst>
                <c:ext xmlns:c15="http://schemas.microsoft.com/office/drawing/2012/chart" uri="{CE6537A1-D6FC-4f65-9D91-7224C49458BB}"/>
                <c:ext xmlns:c16="http://schemas.microsoft.com/office/drawing/2014/chart" uri="{C3380CC4-5D6E-409C-BE32-E72D297353CC}">
                  <c16:uniqueId val="{00000020-3009-4865-8BAC-CA850D439633}"/>
                </c:ext>
              </c:extLst>
            </c:dLbl>
            <c:dLbl>
              <c:idx val="7"/>
              <c:delete val="1"/>
              <c:extLst>
                <c:ext xmlns:c15="http://schemas.microsoft.com/office/drawing/2012/chart" uri="{CE6537A1-D6FC-4f65-9D91-7224C49458BB}"/>
                <c:ext xmlns:c16="http://schemas.microsoft.com/office/drawing/2014/chart" uri="{C3380CC4-5D6E-409C-BE32-E72D297353CC}">
                  <c16:uniqueId val="{00000021-3009-4865-8BAC-CA850D439633}"/>
                </c:ext>
              </c:extLst>
            </c:dLbl>
            <c:dLbl>
              <c:idx val="8"/>
              <c:delete val="1"/>
              <c:extLst>
                <c:ext xmlns:c15="http://schemas.microsoft.com/office/drawing/2012/chart" uri="{CE6537A1-D6FC-4f65-9D91-7224C49458BB}"/>
                <c:ext xmlns:c16="http://schemas.microsoft.com/office/drawing/2014/chart" uri="{C3380CC4-5D6E-409C-BE32-E72D297353CC}">
                  <c16:uniqueId val="{00000022-3009-4865-8BAC-CA850D439633}"/>
                </c:ext>
              </c:extLst>
            </c:dLbl>
            <c:dLbl>
              <c:idx val="9"/>
              <c:delete val="1"/>
              <c:extLst>
                <c:ext xmlns:c15="http://schemas.microsoft.com/office/drawing/2012/chart" uri="{CE6537A1-D6FC-4f65-9D91-7224C49458BB}"/>
                <c:ext xmlns:c16="http://schemas.microsoft.com/office/drawing/2014/chart" uri="{C3380CC4-5D6E-409C-BE32-E72D297353CC}">
                  <c16:uniqueId val="{00000023-3009-4865-8BAC-CA850D439633}"/>
                </c:ext>
              </c:extLst>
            </c:dLbl>
            <c:dLbl>
              <c:idx val="11"/>
              <c:delete val="1"/>
              <c:extLst>
                <c:ext xmlns:c15="http://schemas.microsoft.com/office/drawing/2012/chart" uri="{CE6537A1-D6FC-4f65-9D91-7224C49458BB}"/>
                <c:ext xmlns:c16="http://schemas.microsoft.com/office/drawing/2014/chart" uri="{C3380CC4-5D6E-409C-BE32-E72D297353CC}">
                  <c16:uniqueId val="{00000024-3009-4865-8BAC-CA850D439633}"/>
                </c:ext>
              </c:extLst>
            </c:dLbl>
            <c:dLbl>
              <c:idx val="12"/>
              <c:delete val="1"/>
              <c:extLst>
                <c:ext xmlns:c15="http://schemas.microsoft.com/office/drawing/2012/chart" uri="{CE6537A1-D6FC-4f65-9D91-7224C49458BB}"/>
                <c:ext xmlns:c16="http://schemas.microsoft.com/office/drawing/2014/chart" uri="{C3380CC4-5D6E-409C-BE32-E72D297353CC}">
                  <c16:uniqueId val="{00000025-3009-4865-8BAC-CA850D439633}"/>
                </c:ext>
              </c:extLst>
            </c:dLbl>
            <c:dLbl>
              <c:idx val="13"/>
              <c:delete val="1"/>
              <c:extLst>
                <c:ext xmlns:c15="http://schemas.microsoft.com/office/drawing/2012/chart" uri="{CE6537A1-D6FC-4f65-9D91-7224C49458BB}"/>
                <c:ext xmlns:c16="http://schemas.microsoft.com/office/drawing/2014/chart" uri="{C3380CC4-5D6E-409C-BE32-E72D297353CC}">
                  <c16:uniqueId val="{00000026-3009-4865-8BAC-CA850D439633}"/>
                </c:ext>
              </c:extLst>
            </c:dLbl>
            <c:dLbl>
              <c:idx val="14"/>
              <c:delete val="1"/>
              <c:extLst>
                <c:ext xmlns:c15="http://schemas.microsoft.com/office/drawing/2012/chart" uri="{CE6537A1-D6FC-4f65-9D91-7224C49458BB}"/>
                <c:ext xmlns:c16="http://schemas.microsoft.com/office/drawing/2014/chart" uri="{C3380CC4-5D6E-409C-BE32-E72D297353CC}">
                  <c16:uniqueId val="{00000027-3009-4865-8BAC-CA850D439633}"/>
                </c:ext>
              </c:extLst>
            </c:dLbl>
            <c:spPr>
              <a:solidFill>
                <a:schemeClr val="accent3">
                  <a:lumMod val="40000"/>
                  <a:lumOff val="60000"/>
                  <a:alpha val="77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List1!$D$2:$D$18</c:f>
              <c:numCache>
                <c:formatCode>0.0%</c:formatCode>
                <c:ptCount val="17"/>
                <c:pt idx="0">
                  <c:v>0.90700000000000003</c:v>
                </c:pt>
                <c:pt idx="1">
                  <c:v>0.91200000000000003</c:v>
                </c:pt>
                <c:pt idx="2">
                  <c:v>0.91600000000000004</c:v>
                </c:pt>
                <c:pt idx="3">
                  <c:v>0.91300000000000003</c:v>
                </c:pt>
                <c:pt idx="4">
                  <c:v>0.90800000000000003</c:v>
                </c:pt>
                <c:pt idx="5">
                  <c:v>0.9</c:v>
                </c:pt>
                <c:pt idx="6">
                  <c:v>0.89500000000000002</c:v>
                </c:pt>
                <c:pt idx="7">
                  <c:v>0.89100000000000001</c:v>
                </c:pt>
                <c:pt idx="8">
                  <c:v>0.88400000000000001</c:v>
                </c:pt>
                <c:pt idx="9">
                  <c:v>0.875</c:v>
                </c:pt>
                <c:pt idx="10">
                  <c:v>0.872</c:v>
                </c:pt>
                <c:pt idx="11">
                  <c:v>0.86799999999999999</c:v>
                </c:pt>
                <c:pt idx="12">
                  <c:v>0.86499999999999999</c:v>
                </c:pt>
                <c:pt idx="13">
                  <c:v>0.86699999999999999</c:v>
                </c:pt>
                <c:pt idx="14">
                  <c:v>0.86499999999999999</c:v>
                </c:pt>
                <c:pt idx="15">
                  <c:v>0.86799999999999999</c:v>
                </c:pt>
                <c:pt idx="16">
                  <c:v>0.873</c:v>
                </c:pt>
              </c:numCache>
            </c:numRef>
          </c:val>
          <c:smooth val="0"/>
          <c:extLst>
            <c:ext xmlns:c16="http://schemas.microsoft.com/office/drawing/2014/chart" uri="{C3380CC4-5D6E-409C-BE32-E72D297353CC}">
              <c16:uniqueId val="{00000028-3009-4865-8BAC-CA850D439633}"/>
            </c:ext>
          </c:extLst>
        </c:ser>
        <c:dLbls>
          <c:showLegendKey val="0"/>
          <c:showVal val="0"/>
          <c:showCatName val="0"/>
          <c:showSerName val="0"/>
          <c:showPercent val="0"/>
          <c:showBubbleSize val="0"/>
        </c:dLbls>
        <c:marker val="1"/>
        <c:smooth val="0"/>
        <c:axId val="432583232"/>
        <c:axId val="432589112"/>
      </c:lineChart>
      <c:catAx>
        <c:axId val="4325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2589112"/>
        <c:crosses val="autoZero"/>
        <c:auto val="1"/>
        <c:lblAlgn val="ctr"/>
        <c:lblOffset val="100"/>
        <c:noMultiLvlLbl val="0"/>
      </c:catAx>
      <c:valAx>
        <c:axId val="432589112"/>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2583232"/>
        <c:crosses val="autoZero"/>
        <c:crossBetween val="between"/>
      </c:valAx>
      <c:spPr>
        <a:noFill/>
        <a:ln>
          <a:noFill/>
        </a:ln>
        <a:effectLst/>
      </c:spPr>
    </c:plotArea>
    <c:legend>
      <c:legendPos val="b"/>
      <c:layout>
        <c:manualLayout>
          <c:xMode val="edge"/>
          <c:yMode val="edge"/>
          <c:x val="0.29838109822795889"/>
          <c:y val="0.93169947506561679"/>
          <c:w val="0.40634920634920635"/>
          <c:h val="6.830046945307337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Osoby ze</a:t>
            </a:r>
            <a:r>
              <a:rPr lang="cs-CZ" sz="1000" b="1" cap="none" spc="0" baseline="0">
                <a:ln w="0"/>
                <a:solidFill>
                  <a:schemeClr val="tx1"/>
                </a:solidFill>
                <a:effectLst/>
              </a:rPr>
              <a:t> </a:t>
            </a:r>
            <a:r>
              <a:rPr lang="cs-CZ" sz="1000" b="1" cap="none" spc="0">
                <a:ln w="0"/>
                <a:solidFill>
                  <a:schemeClr val="tx1"/>
                </a:solidFill>
                <a:effectLst/>
              </a:rPr>
              <a:t>zemí EU</a:t>
            </a:r>
            <a:r>
              <a:rPr lang="cs-CZ" sz="1000" b="1" cap="none" spc="0" baseline="0">
                <a:ln w="0"/>
                <a:solidFill>
                  <a:schemeClr val="tx1"/>
                </a:solidFill>
                <a:effectLst/>
              </a:rPr>
              <a:t> dle kategorie pobytu k 31. 12. 2022 - TOP 10 zemí</a:t>
            </a:r>
            <a:endParaRPr lang="cs-CZ" sz="1000" b="1" cap="none" spc="0">
              <a:ln w="0"/>
              <a:solidFill>
                <a:schemeClr val="tx1"/>
              </a:solidFill>
              <a:effectLst/>
            </a:endParaRPr>
          </a:p>
        </c:rich>
      </c:tx>
      <c:layout>
        <c:manualLayout>
          <c:xMode val="edge"/>
          <c:yMode val="edge"/>
          <c:x val="0.22192787025512709"/>
          <c:y val="0"/>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95350955880683"/>
          <c:y val="4.5313915406591881E-2"/>
          <c:w val="0.83239974749991674"/>
          <c:h val="0.80656644136297118"/>
        </c:manualLayout>
      </c:layout>
      <c:bar3DChart>
        <c:barDir val="bar"/>
        <c:grouping val="percentStacked"/>
        <c:varyColors val="0"/>
        <c:ser>
          <c:idx val="0"/>
          <c:order val="0"/>
          <c:tx>
            <c:strRef>
              <c:f>List1!$B$1</c:f>
              <c:strCache>
                <c:ptCount val="1"/>
                <c:pt idx="0">
                  <c:v>Ostatní typy pobytu</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a:noFill/>
              </a:ln>
              <a:effectLst/>
            </c:spPr>
            <c:txPr>
              <a:bodyPr rot="0" spcFirstLastPara="1" vertOverflow="ellipsis" horzOverflow="clip" vert="horz" wrap="square" lIns="38100" tIns="0" rIns="3810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List1!$A$2:$A$11</c:f>
              <c:strCache>
                <c:ptCount val="10"/>
                <c:pt idx="0">
                  <c:v>Chorvatsko</c:v>
                </c:pt>
                <c:pt idx="1">
                  <c:v>Francie</c:v>
                </c:pt>
                <c:pt idx="2">
                  <c:v>Itálie</c:v>
                </c:pt>
                <c:pt idx="3">
                  <c:v>Velká Británie</c:v>
                </c:pt>
                <c:pt idx="4">
                  <c:v>Maďarsko</c:v>
                </c:pt>
                <c:pt idx="5">
                  <c:v>Německo</c:v>
                </c:pt>
                <c:pt idx="6">
                  <c:v>Bulharsko</c:v>
                </c:pt>
                <c:pt idx="7">
                  <c:v>Polsko</c:v>
                </c:pt>
                <c:pt idx="8">
                  <c:v>Rumunsko</c:v>
                </c:pt>
                <c:pt idx="9">
                  <c:v>Slovensko</c:v>
                </c:pt>
              </c:strCache>
            </c:strRef>
          </c:cat>
          <c:val>
            <c:numRef>
              <c:f>List1!$B$2:$B$11</c:f>
              <c:numCache>
                <c:formatCode>General</c:formatCode>
                <c:ptCount val="10"/>
                <c:pt idx="0">
                  <c:v>1180</c:v>
                </c:pt>
                <c:pt idx="1">
                  <c:v>2676</c:v>
                </c:pt>
                <c:pt idx="2">
                  <c:v>3666</c:v>
                </c:pt>
                <c:pt idx="3">
                  <c:v>4632</c:v>
                </c:pt>
                <c:pt idx="4">
                  <c:v>8078</c:v>
                </c:pt>
                <c:pt idx="5">
                  <c:v>9399</c:v>
                </c:pt>
                <c:pt idx="6">
                  <c:v>10481</c:v>
                </c:pt>
                <c:pt idx="7">
                  <c:v>6599</c:v>
                </c:pt>
                <c:pt idx="8">
                  <c:v>13389</c:v>
                </c:pt>
                <c:pt idx="9">
                  <c:v>54921</c:v>
                </c:pt>
              </c:numCache>
            </c:numRef>
          </c:val>
          <c:extLst>
            <c:ext xmlns:c16="http://schemas.microsoft.com/office/drawing/2014/chart" uri="{C3380CC4-5D6E-409C-BE32-E72D297353CC}">
              <c16:uniqueId val="{00000000-321C-4F3F-8426-5C063A25298C}"/>
            </c:ext>
          </c:extLst>
        </c:ser>
        <c:ser>
          <c:idx val="1"/>
          <c:order val="1"/>
          <c:tx>
            <c:strRef>
              <c:f>List1!$C$1</c:f>
              <c:strCache>
                <c:ptCount val="1"/>
                <c:pt idx="0">
                  <c:v>Trvalý pobyt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List1!$A$2:$A$11</c:f>
              <c:strCache>
                <c:ptCount val="10"/>
                <c:pt idx="0">
                  <c:v>Chorvatsko</c:v>
                </c:pt>
                <c:pt idx="1">
                  <c:v>Francie</c:v>
                </c:pt>
                <c:pt idx="2">
                  <c:v>Itálie</c:v>
                </c:pt>
                <c:pt idx="3">
                  <c:v>Velká Británie</c:v>
                </c:pt>
                <c:pt idx="4">
                  <c:v>Maďarsko</c:v>
                </c:pt>
                <c:pt idx="5">
                  <c:v>Německo</c:v>
                </c:pt>
                <c:pt idx="6">
                  <c:v>Bulharsko</c:v>
                </c:pt>
                <c:pt idx="7">
                  <c:v>Polsko</c:v>
                </c:pt>
                <c:pt idx="8">
                  <c:v>Rumunsko</c:v>
                </c:pt>
                <c:pt idx="9">
                  <c:v>Slovensko</c:v>
                </c:pt>
              </c:strCache>
            </c:strRef>
          </c:cat>
          <c:val>
            <c:numRef>
              <c:f>List1!$C$2:$C$11</c:f>
              <c:numCache>
                <c:formatCode>General</c:formatCode>
                <c:ptCount val="10"/>
                <c:pt idx="0">
                  <c:v>2092</c:v>
                </c:pt>
                <c:pt idx="1">
                  <c:v>1446</c:v>
                </c:pt>
                <c:pt idx="2">
                  <c:v>2328</c:v>
                </c:pt>
                <c:pt idx="3">
                  <c:v>3296</c:v>
                </c:pt>
                <c:pt idx="4">
                  <c:v>2439</c:v>
                </c:pt>
                <c:pt idx="5">
                  <c:v>4633</c:v>
                </c:pt>
                <c:pt idx="6">
                  <c:v>7192</c:v>
                </c:pt>
                <c:pt idx="7">
                  <c:v>11285</c:v>
                </c:pt>
                <c:pt idx="8">
                  <c:v>6335</c:v>
                </c:pt>
                <c:pt idx="9">
                  <c:v>62344</c:v>
                </c:pt>
              </c:numCache>
            </c:numRef>
          </c:val>
          <c:extLst>
            <c:ext xmlns:c16="http://schemas.microsoft.com/office/drawing/2014/chart" uri="{C3380CC4-5D6E-409C-BE32-E72D297353CC}">
              <c16:uniqueId val="{00000001-321C-4F3F-8426-5C063A25298C}"/>
            </c:ext>
          </c:extLst>
        </c:ser>
        <c:dLbls>
          <c:showLegendKey val="0"/>
          <c:showVal val="0"/>
          <c:showCatName val="0"/>
          <c:showSerName val="0"/>
          <c:showPercent val="0"/>
          <c:showBubbleSize val="0"/>
        </c:dLbls>
        <c:gapWidth val="150"/>
        <c:shape val="box"/>
        <c:axId val="432589896"/>
        <c:axId val="432587544"/>
        <c:axId val="0"/>
      </c:bar3DChart>
      <c:catAx>
        <c:axId val="432589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2587544"/>
        <c:crosses val="autoZero"/>
        <c:auto val="1"/>
        <c:lblAlgn val="ctr"/>
        <c:lblOffset val="100"/>
        <c:noMultiLvlLbl val="0"/>
      </c:catAx>
      <c:valAx>
        <c:axId val="4325875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2589896"/>
        <c:crosses val="autoZero"/>
        <c:crossBetween val="between"/>
      </c:valAx>
      <c:spPr>
        <a:noFill/>
        <a:ln>
          <a:noFill/>
        </a:ln>
        <a:effectLst/>
      </c:spPr>
    </c:plotArea>
    <c:legend>
      <c:legendPos val="b"/>
      <c:layout>
        <c:manualLayout>
          <c:xMode val="edge"/>
          <c:yMode val="edge"/>
          <c:x val="0.33798649799074165"/>
          <c:y val="0.92376296712910899"/>
          <c:w val="0.33279011336202102"/>
          <c:h val="6.83005249343831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Osoby z třetích zemí</a:t>
            </a:r>
            <a:r>
              <a:rPr lang="cs-CZ" sz="1000" b="1" cap="none" spc="0" baseline="0">
                <a:ln w="0"/>
                <a:solidFill>
                  <a:schemeClr val="tx1"/>
                </a:solidFill>
                <a:effectLst/>
              </a:rPr>
              <a:t> dle kategorie pobytu k 31. 12. 2022 - TOP 10 zemí</a:t>
            </a:r>
            <a:endParaRPr lang="cs-CZ" sz="1000" b="1" cap="none" spc="0">
              <a:ln w="0"/>
              <a:solidFill>
                <a:schemeClr val="tx1"/>
              </a:solidFill>
              <a:effectLst/>
            </a:endParaRPr>
          </a:p>
        </c:rich>
      </c:tx>
      <c:layout>
        <c:manualLayout>
          <c:xMode val="edge"/>
          <c:yMode val="edge"/>
          <c:x val="0.17606216155185853"/>
          <c:y val="5.9364796675571386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96683400917324"/>
          <c:y val="7.2483949301528766E-2"/>
          <c:w val="0.85238642304955037"/>
          <c:h val="0.76365846076898447"/>
        </c:manualLayout>
      </c:layout>
      <c:bar3DChart>
        <c:barDir val="bar"/>
        <c:grouping val="percentStacked"/>
        <c:varyColors val="0"/>
        <c:ser>
          <c:idx val="0"/>
          <c:order val="0"/>
          <c:tx>
            <c:strRef>
              <c:f>List1!$B$1</c:f>
              <c:strCache>
                <c:ptCount val="1"/>
                <c:pt idx="0">
                  <c:v>Ostatní typy pobytu</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a:noFill/>
              </a:ln>
              <a:effectLst/>
            </c:spPr>
            <c:txPr>
              <a:bodyPr rot="0" spcFirstLastPara="1" vertOverflow="ellipsis" vert="horz" wrap="square" lIns="38100" tIns="0" rIns="3810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List1!$A$2:$A$11</c:f>
              <c:strCache>
                <c:ptCount val="10"/>
                <c:pt idx="0">
                  <c:v>Moldavsko</c:v>
                </c:pt>
                <c:pt idx="1">
                  <c:v>Čína</c:v>
                </c:pt>
                <c:pt idx="2">
                  <c:v>Bělorusko</c:v>
                </c:pt>
                <c:pt idx="3">
                  <c:v>Indie</c:v>
                </c:pt>
                <c:pt idx="4">
                  <c:v>Kazachstán</c:v>
                </c:pt>
                <c:pt idx="5">
                  <c:v>USA</c:v>
                </c:pt>
                <c:pt idx="6">
                  <c:v>Mongolsko</c:v>
                </c:pt>
                <c:pt idx="7">
                  <c:v>Rusko</c:v>
                </c:pt>
                <c:pt idx="8">
                  <c:v>Vietnam</c:v>
                </c:pt>
                <c:pt idx="9">
                  <c:v>Ukrajina</c:v>
                </c:pt>
              </c:strCache>
            </c:strRef>
          </c:cat>
          <c:val>
            <c:numRef>
              <c:f>List1!$B$2:$B$11</c:f>
              <c:numCache>
                <c:formatCode>General</c:formatCode>
                <c:ptCount val="10"/>
                <c:pt idx="0">
                  <c:v>3407</c:v>
                </c:pt>
                <c:pt idx="1">
                  <c:v>3222</c:v>
                </c:pt>
                <c:pt idx="2">
                  <c:v>4705</c:v>
                </c:pt>
                <c:pt idx="3">
                  <c:v>7219</c:v>
                </c:pt>
                <c:pt idx="4">
                  <c:v>6249</c:v>
                </c:pt>
                <c:pt idx="5">
                  <c:v>5936</c:v>
                </c:pt>
                <c:pt idx="6">
                  <c:v>6074</c:v>
                </c:pt>
                <c:pt idx="7">
                  <c:v>19715</c:v>
                </c:pt>
                <c:pt idx="8">
                  <c:v>11235</c:v>
                </c:pt>
                <c:pt idx="9">
                  <c:v>542737</c:v>
                </c:pt>
              </c:numCache>
            </c:numRef>
          </c:val>
          <c:extLst>
            <c:ext xmlns:c16="http://schemas.microsoft.com/office/drawing/2014/chart" uri="{C3380CC4-5D6E-409C-BE32-E72D297353CC}">
              <c16:uniqueId val="{00000000-3F30-4710-A079-2BE0C48790A2}"/>
            </c:ext>
          </c:extLst>
        </c:ser>
        <c:ser>
          <c:idx val="1"/>
          <c:order val="1"/>
          <c:tx>
            <c:strRef>
              <c:f>List1!$C$1</c:f>
              <c:strCache>
                <c:ptCount val="1"/>
                <c:pt idx="0">
                  <c:v>Trvalý pobyt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List1!$A$2:$A$11</c:f>
              <c:strCache>
                <c:ptCount val="10"/>
                <c:pt idx="0">
                  <c:v>Moldavsko</c:v>
                </c:pt>
                <c:pt idx="1">
                  <c:v>Čína</c:v>
                </c:pt>
                <c:pt idx="2">
                  <c:v>Bělorusko</c:v>
                </c:pt>
                <c:pt idx="3">
                  <c:v>Indie</c:v>
                </c:pt>
                <c:pt idx="4">
                  <c:v>Kazachstán</c:v>
                </c:pt>
                <c:pt idx="5">
                  <c:v>USA</c:v>
                </c:pt>
                <c:pt idx="6">
                  <c:v>Mongolsko</c:v>
                </c:pt>
                <c:pt idx="7">
                  <c:v>Rusko</c:v>
                </c:pt>
                <c:pt idx="8">
                  <c:v>Vietnam</c:v>
                </c:pt>
                <c:pt idx="9">
                  <c:v>Ukrajina</c:v>
                </c:pt>
              </c:strCache>
            </c:strRef>
          </c:cat>
          <c:val>
            <c:numRef>
              <c:f>List1!$C$2:$C$11</c:f>
              <c:numCache>
                <c:formatCode>General</c:formatCode>
                <c:ptCount val="10"/>
                <c:pt idx="0">
                  <c:v>3762</c:v>
                </c:pt>
                <c:pt idx="1">
                  <c:v>4759</c:v>
                </c:pt>
                <c:pt idx="2">
                  <c:v>3359</c:v>
                </c:pt>
                <c:pt idx="3">
                  <c:v>1250</c:v>
                </c:pt>
                <c:pt idx="4">
                  <c:v>2965</c:v>
                </c:pt>
                <c:pt idx="5">
                  <c:v>3809</c:v>
                </c:pt>
                <c:pt idx="6">
                  <c:v>5894</c:v>
                </c:pt>
                <c:pt idx="7">
                  <c:v>23783</c:v>
                </c:pt>
                <c:pt idx="8">
                  <c:v>55105</c:v>
                </c:pt>
                <c:pt idx="9">
                  <c:v>93545</c:v>
                </c:pt>
              </c:numCache>
            </c:numRef>
          </c:val>
          <c:extLst>
            <c:ext xmlns:c16="http://schemas.microsoft.com/office/drawing/2014/chart" uri="{C3380CC4-5D6E-409C-BE32-E72D297353CC}">
              <c16:uniqueId val="{00000001-3F30-4710-A079-2BE0C48790A2}"/>
            </c:ext>
          </c:extLst>
        </c:ser>
        <c:dLbls>
          <c:showLegendKey val="0"/>
          <c:showVal val="0"/>
          <c:showCatName val="0"/>
          <c:showSerName val="0"/>
          <c:showPercent val="0"/>
          <c:showBubbleSize val="0"/>
        </c:dLbls>
        <c:gapWidth val="150"/>
        <c:shape val="box"/>
        <c:axId val="432585976"/>
        <c:axId val="432586368"/>
        <c:axId val="0"/>
      </c:bar3DChart>
      <c:catAx>
        <c:axId val="432585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2586368"/>
        <c:crosses val="autoZero"/>
        <c:auto val="1"/>
        <c:lblAlgn val="ctr"/>
        <c:lblOffset val="100"/>
        <c:noMultiLvlLbl val="0"/>
      </c:catAx>
      <c:valAx>
        <c:axId val="4325863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2585976"/>
        <c:crosses val="autoZero"/>
        <c:crossBetween val="between"/>
      </c:valAx>
      <c:spPr>
        <a:noFill/>
        <a:ln>
          <a:noFill/>
        </a:ln>
        <a:effectLst/>
      </c:spPr>
    </c:plotArea>
    <c:legend>
      <c:legendPos val="b"/>
      <c:layout>
        <c:manualLayout>
          <c:xMode val="edge"/>
          <c:yMode val="edge"/>
          <c:x val="0.3313323925781762"/>
          <c:y val="0.91979471316085493"/>
          <c:w val="0.33381397042983074"/>
          <c:h val="8.02060472627920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100" b="1">
                <a:solidFill>
                  <a:sysClr val="windowText" lastClr="000000"/>
                </a:solidFill>
                <a:latin typeface="Arial Narrow" panose="020B0606020202030204" pitchFamily="34" charset="0"/>
              </a:rPr>
              <a:t>Populační pyramida osob s uděleným pobytovým oprávněním v souvislosti s válkou na</a:t>
            </a:r>
            <a:r>
              <a:rPr lang="cs-CZ" sz="1100" b="1" baseline="0">
                <a:solidFill>
                  <a:sysClr val="windowText" lastClr="000000"/>
                </a:solidFill>
                <a:latin typeface="Arial Narrow" panose="020B0606020202030204" pitchFamily="34" charset="0"/>
              </a:rPr>
              <a:t> Ukrajině v Jihomoravském kraji k 1. 1. 2023 (v %)</a:t>
            </a:r>
            <a:endParaRPr lang="cs-CZ" sz="1100" b="1">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List2!$B$1</c:f>
              <c:strCache>
                <c:ptCount val="1"/>
                <c:pt idx="0">
                  <c:v>%muži</c:v>
                </c:pt>
              </c:strCache>
            </c:strRef>
          </c:tx>
          <c:spPr>
            <a:solidFill>
              <a:schemeClr val="accent1"/>
            </a:solidFill>
            <a:ln>
              <a:noFill/>
            </a:ln>
            <a:effectLst/>
            <a:sp3d/>
          </c:spPr>
          <c:invertIfNegative val="0"/>
          <c:dLbls>
            <c:dLbl>
              <c:idx val="0"/>
              <c:layout>
                <c:manualLayout>
                  <c:x val="-4.0072351153474316E-2"/>
                  <c:y val="7.2907553214026294E-7"/>
                </c:manualLayout>
              </c:layout>
              <c:tx>
                <c:rich>
                  <a:bodyPr/>
                  <a:lstStyle/>
                  <a:p>
                    <a:r>
                      <a:rPr lang="en-US"/>
                      <a:t>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E7-439C-B01F-7DFE87864F2D}"/>
                </c:ext>
              </c:extLst>
            </c:dLbl>
            <c:dLbl>
              <c:idx val="1"/>
              <c:layout>
                <c:manualLayout>
                  <c:x val="-4.6274347285536754E-2"/>
                  <c:y val="1.0936132983377078E-6"/>
                </c:manualLayout>
              </c:layout>
              <c:tx>
                <c:rich>
                  <a:bodyPr/>
                  <a:lstStyle/>
                  <a:p>
                    <a:r>
                      <a:rPr lang="en-US"/>
                      <a:t>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E7-439C-B01F-7DFE87864F2D}"/>
                </c:ext>
              </c:extLst>
            </c:dLbl>
            <c:dLbl>
              <c:idx val="2"/>
              <c:layout>
                <c:manualLayout>
                  <c:x val="-9.554841828981904E-2"/>
                  <c:y val="7.290755322251385E-7"/>
                </c:manualLayout>
              </c:layout>
              <c:tx>
                <c:rich>
                  <a:bodyPr/>
                  <a:lstStyle/>
                  <a:p>
                    <a:r>
                      <a:rPr lang="en-US"/>
                      <a:t>23 %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6E7-439C-B01F-7DFE87864F2D}"/>
                </c:ext>
              </c:extLst>
            </c:dLbl>
            <c:dLbl>
              <c:idx val="3"/>
              <c:layout>
                <c:manualLayout>
                  <c:x val="-5.2511914629092493E-2"/>
                  <c:y val="7.290755322251385E-7"/>
                </c:manualLayout>
              </c:layout>
              <c:tx>
                <c:rich>
                  <a:bodyPr/>
                  <a:lstStyle/>
                  <a:p>
                    <a:r>
                      <a:rPr lang="en-US"/>
                      <a:t>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6E7-439C-B01F-7DFE87864F2D}"/>
                </c:ext>
              </c:extLst>
            </c:dLbl>
            <c:dLbl>
              <c:idx val="4"/>
              <c:layout>
                <c:manualLayout>
                  <c:x val="-0.10818022747156605"/>
                  <c:y val="3.6453776611256925E-7"/>
                </c:manualLayout>
              </c:layout>
              <c:tx>
                <c:rich>
                  <a:bodyPr/>
                  <a:lstStyle/>
                  <a:p>
                    <a:r>
                      <a:rPr lang="en-US"/>
                      <a:t>54 %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6E7-439C-B01F-7DFE87864F2D}"/>
                </c:ext>
              </c:extLst>
            </c:dLbl>
            <c:dLbl>
              <c:idx val="5"/>
              <c:layout>
                <c:manualLayout>
                  <c:x val="-3.4387518994336237E-2"/>
                  <c:y val="4.630358705161897E-3"/>
                </c:manualLayout>
              </c:layout>
              <c:tx>
                <c:rich>
                  <a:bodyPr/>
                  <a:lstStyle/>
                  <a:p>
                    <a:r>
                      <a:rPr lang="en-US"/>
                      <a:t>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6E7-439C-B01F-7DFE87864F2D}"/>
                </c:ext>
              </c:extLst>
            </c:dLbl>
            <c:spPr>
              <a:solidFill>
                <a:schemeClr val="bg1"/>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List2!$A$2:$A$7</c:f>
              <c:strCache>
                <c:ptCount val="6"/>
                <c:pt idx="0">
                  <c:v>do 3 let</c:v>
                </c:pt>
                <c:pt idx="1">
                  <c:v>4-6 let</c:v>
                </c:pt>
                <c:pt idx="2">
                  <c:v>7-15 let</c:v>
                </c:pt>
                <c:pt idx="3">
                  <c:v>16-18 let</c:v>
                </c:pt>
                <c:pt idx="4">
                  <c:v>19-65 let</c:v>
                </c:pt>
                <c:pt idx="5">
                  <c:v>nad 65 let</c:v>
                </c:pt>
              </c:strCache>
            </c:strRef>
          </c:cat>
          <c:val>
            <c:numRef>
              <c:f>List2!$B$2:$B$7</c:f>
              <c:numCache>
                <c:formatCode>0</c:formatCode>
                <c:ptCount val="6"/>
                <c:pt idx="0">
                  <c:v>-4.4013542628501074</c:v>
                </c:pt>
                <c:pt idx="1">
                  <c:v>-6.1495844875346259</c:v>
                </c:pt>
                <c:pt idx="2">
                  <c:v>-23.237919359803016</c:v>
                </c:pt>
                <c:pt idx="3">
                  <c:v>-9.2336103416435833</c:v>
                </c:pt>
                <c:pt idx="4">
                  <c:v>-54.465989535241611</c:v>
                </c:pt>
                <c:pt idx="5">
                  <c:v>-2.5115420129270545</c:v>
                </c:pt>
              </c:numCache>
            </c:numRef>
          </c:val>
          <c:extLst>
            <c:ext xmlns:c16="http://schemas.microsoft.com/office/drawing/2014/chart" uri="{C3380CC4-5D6E-409C-BE32-E72D297353CC}">
              <c16:uniqueId val="{00000006-E6E7-439C-B01F-7DFE87864F2D}"/>
            </c:ext>
          </c:extLst>
        </c:ser>
        <c:ser>
          <c:idx val="1"/>
          <c:order val="1"/>
          <c:tx>
            <c:strRef>
              <c:f>List2!$C$1</c:f>
              <c:strCache>
                <c:ptCount val="1"/>
                <c:pt idx="0">
                  <c:v>%ženy</c:v>
                </c:pt>
              </c:strCache>
            </c:strRef>
          </c:tx>
          <c:spPr>
            <a:solidFill>
              <a:schemeClr val="accent2"/>
            </a:solidFill>
            <a:ln>
              <a:noFill/>
            </a:ln>
            <a:effectLst/>
            <a:sp3d/>
          </c:spPr>
          <c:invertIfNegative val="0"/>
          <c:dLbls>
            <c:dLbl>
              <c:idx val="0"/>
              <c:layout>
                <c:manualLayout>
                  <c:x val="3.8550559469539912E-2"/>
                  <c:y val="-8.4875562720133283E-17"/>
                </c:manualLayout>
              </c:layout>
              <c:tx>
                <c:rich>
                  <a:bodyPr/>
                  <a:lstStyle/>
                  <a:p>
                    <a:r>
                      <a:rPr lang="en-US"/>
                      <a:t>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6E7-439C-B01F-7DFE87864F2D}"/>
                </c:ext>
              </c:extLst>
            </c:dLbl>
            <c:dLbl>
              <c:idx val="1"/>
              <c:layout>
                <c:manualLayout>
                  <c:x val="3.5682069346594833E-2"/>
                  <c:y val="-8.4875562720133283E-17"/>
                </c:manualLayout>
              </c:layout>
              <c:tx>
                <c:rich>
                  <a:bodyPr/>
                  <a:lstStyle/>
                  <a:p>
                    <a:r>
                      <a:rPr lang="en-US"/>
                      <a:t>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6E7-439C-B01F-7DFE87864F2D}"/>
                </c:ext>
              </c:extLst>
            </c:dLbl>
            <c:dLbl>
              <c:idx val="2"/>
              <c:layout>
                <c:manualLayout>
                  <c:x val="7.0494198093659352E-2"/>
                  <c:y val="0"/>
                </c:manualLayout>
              </c:layout>
              <c:tx>
                <c:rich>
                  <a:bodyPr/>
                  <a:lstStyle/>
                  <a:p>
                    <a:fld id="{868927CE-7EA6-456E-AE39-1785F0F040DA}"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6E7-439C-B01F-7DFE87864F2D}"/>
                </c:ext>
              </c:extLst>
            </c:dLbl>
            <c:dLbl>
              <c:idx val="3"/>
              <c:layout>
                <c:manualLayout>
                  <c:x val="4.3657618455587785E-2"/>
                  <c:y val="0"/>
                </c:manualLayout>
              </c:layout>
              <c:tx>
                <c:rich>
                  <a:bodyPr/>
                  <a:lstStyle/>
                  <a:p>
                    <a:r>
                      <a:rPr lang="en-US"/>
                      <a:t> 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6E7-439C-B01F-7DFE87864F2D}"/>
                </c:ext>
              </c:extLst>
            </c:dLbl>
            <c:dLbl>
              <c:idx val="4"/>
              <c:tx>
                <c:rich>
                  <a:bodyPr/>
                  <a:lstStyle/>
                  <a:p>
                    <a:fld id="{B7D111C3-0E70-4096-A9BE-70C8A6EDC96B}"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6E7-439C-B01F-7DFE87864F2D}"/>
                </c:ext>
              </c:extLst>
            </c:dLbl>
            <c:dLbl>
              <c:idx val="5"/>
              <c:layout>
                <c:manualLayout>
                  <c:x val="4.2006319933692499E-2"/>
                  <c:y val="-4.6296296296296294E-3"/>
                </c:manualLayout>
              </c:layout>
              <c:tx>
                <c:rich>
                  <a:bodyPr/>
                  <a:lstStyle/>
                  <a:p>
                    <a:fld id="{78A491D7-F9EA-459E-A876-E76E3F0A6DD8}" type="VALUE">
                      <a:rPr lang="en-US"/>
                      <a:pPr/>
                      <a:t>[HODNOTA]</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E6E7-439C-B01F-7DFE87864F2D}"/>
                </c:ext>
              </c:extLst>
            </c:dLbl>
            <c:spPr>
              <a:solidFill>
                <a:schemeClr val="bg1"/>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List2!$A$2:$A$7</c:f>
              <c:strCache>
                <c:ptCount val="6"/>
                <c:pt idx="0">
                  <c:v>do 3 let</c:v>
                </c:pt>
                <c:pt idx="1">
                  <c:v>4-6 let</c:v>
                </c:pt>
                <c:pt idx="2">
                  <c:v>7-15 let</c:v>
                </c:pt>
                <c:pt idx="3">
                  <c:v>16-18 let</c:v>
                </c:pt>
                <c:pt idx="4">
                  <c:v>19-65 let</c:v>
                </c:pt>
                <c:pt idx="5">
                  <c:v>nad 65 let</c:v>
                </c:pt>
              </c:strCache>
            </c:strRef>
          </c:cat>
          <c:val>
            <c:numRef>
              <c:f>List2!$C$2:$C$7</c:f>
              <c:numCache>
                <c:formatCode>0</c:formatCode>
                <c:ptCount val="6"/>
                <c:pt idx="0">
                  <c:v>2.4714626080153623</c:v>
                </c:pt>
                <c:pt idx="1">
                  <c:v>3.5276128160449485</c:v>
                </c:pt>
                <c:pt idx="2">
                  <c:v>13.406351125493403</c:v>
                </c:pt>
                <c:pt idx="3">
                  <c:v>4.6513281888979767</c:v>
                </c:pt>
                <c:pt idx="4">
                  <c:v>72.113367234451118</c:v>
                </c:pt>
                <c:pt idx="5">
                  <c:v>3.8298780270971871</c:v>
                </c:pt>
              </c:numCache>
            </c:numRef>
          </c:val>
          <c:extLst>
            <c:ext xmlns:c16="http://schemas.microsoft.com/office/drawing/2014/chart" uri="{C3380CC4-5D6E-409C-BE32-E72D297353CC}">
              <c16:uniqueId val="{0000000D-E6E7-439C-B01F-7DFE87864F2D}"/>
            </c:ext>
          </c:extLst>
        </c:ser>
        <c:dLbls>
          <c:showLegendKey val="0"/>
          <c:showVal val="0"/>
          <c:showCatName val="0"/>
          <c:showSerName val="0"/>
          <c:showPercent val="0"/>
          <c:showBubbleSize val="0"/>
        </c:dLbls>
        <c:gapWidth val="91"/>
        <c:shape val="cylinder"/>
        <c:axId val="432582448"/>
        <c:axId val="432582840"/>
        <c:axId val="0"/>
      </c:bar3DChart>
      <c:catAx>
        <c:axId val="43258244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cs-CZ"/>
          </a:p>
        </c:txPr>
        <c:crossAx val="432582840"/>
        <c:crosses val="autoZero"/>
        <c:auto val="1"/>
        <c:lblAlgn val="ctr"/>
        <c:lblOffset val="100"/>
        <c:noMultiLvlLbl val="0"/>
      </c:catAx>
      <c:valAx>
        <c:axId val="4325828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258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 příslušnost dětí v předškolních zařízeních </a:t>
            </a:r>
            <a:r>
              <a:rPr lang="cs-CZ" sz="1000" b="1" i="0" u="none" strike="noStrike" cap="none" baseline="0">
                <a:effectLst/>
              </a:rPr>
              <a:t>s jinou než českou státní příslušností </a:t>
            </a:r>
            <a:r>
              <a:rPr lang="cs-CZ" sz="1000" b="1" cap="none" spc="0">
                <a:ln w="0"/>
                <a:solidFill>
                  <a:schemeClr val="tx1"/>
                </a:solidFill>
                <a:effectLst/>
              </a:rPr>
              <a:t>ve školním roce2022/2023</a:t>
            </a:r>
          </a:p>
        </c:rich>
      </c:tx>
      <c:layout>
        <c:manualLayout>
          <c:xMode val="edge"/>
          <c:yMode val="edge"/>
          <c:x val="0.12648146704434224"/>
          <c:y val="4.8256336481508179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61894867308253"/>
          <c:y val="0.14467023916517643"/>
          <c:w val="0.85064614319043452"/>
          <c:h val="0.57354551561459954"/>
        </c:manualLayout>
      </c:layout>
      <c:bar3DChart>
        <c:barDir val="bar"/>
        <c:grouping val="percentStacked"/>
        <c:varyColors val="0"/>
        <c:ser>
          <c:idx val="0"/>
          <c:order val="0"/>
          <c:tx>
            <c:strRef>
              <c:f>List1!$B$1</c:f>
              <c:strCache>
                <c:ptCount val="1"/>
                <c:pt idx="0">
                  <c:v>Slovenská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fld id="{E0727CCE-C687-4357-8380-CFD1BB25BD24}" type="VALUE">
                      <a:rPr lang="en-US"/>
                      <a:pPr>
                        <a:defRPr/>
                      </a:pPr>
                      <a:t>[HODNOTA]</a:t>
                    </a:fld>
                    <a:endParaRPr lang="en-US"/>
                  </a:p>
                  <a:p>
                    <a:pPr>
                      <a:defRPr/>
                    </a:pPr>
                    <a:r>
                      <a:rPr lang="en-US" b="1"/>
                      <a:t>11,1 %</a:t>
                    </a:r>
                  </a:p>
                </c:rich>
              </c:tx>
              <c:numFmt formatCode="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0-7ACE-4327-8AE7-2F5CCC5B682E}"/>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List1!$A$2</c:f>
              <c:strCache>
                <c:ptCount val="1"/>
                <c:pt idx="0">
                  <c:v>2022/2023</c:v>
                </c:pt>
              </c:strCache>
            </c:strRef>
          </c:cat>
          <c:val>
            <c:numRef>
              <c:f>List1!$B$2</c:f>
              <c:numCache>
                <c:formatCode>0</c:formatCode>
                <c:ptCount val="1"/>
                <c:pt idx="0">
                  <c:v>2181</c:v>
                </c:pt>
              </c:numCache>
            </c:numRef>
          </c:val>
          <c:extLst>
            <c:ext xmlns:c16="http://schemas.microsoft.com/office/drawing/2014/chart" uri="{C3380CC4-5D6E-409C-BE32-E72D297353CC}">
              <c16:uniqueId val="{00000001-7ACE-4327-8AE7-2F5CCC5B682E}"/>
            </c:ext>
          </c:extLst>
        </c:ser>
        <c:ser>
          <c:idx val="1"/>
          <c:order val="1"/>
          <c:tx>
            <c:strRef>
              <c:f>List1!$C$1</c:f>
              <c:strCache>
                <c:ptCount val="1"/>
                <c:pt idx="0">
                  <c:v>ostatní státy EU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01F06A5D-0A5E-4C56-B6A7-54DA62821238}" type="VALUE">
                      <a:rPr lang="en-US"/>
                      <a:pPr/>
                      <a:t>[HODNOTA]</a:t>
                    </a:fld>
                    <a:endParaRPr lang="en-US"/>
                  </a:p>
                  <a:p>
                    <a:r>
                      <a:rPr lang="en-US" b="1"/>
                      <a:t>7,4 %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ACE-4327-8AE7-2F5CCC5B682E}"/>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List1!$A$2</c:f>
              <c:strCache>
                <c:ptCount val="1"/>
                <c:pt idx="0">
                  <c:v>2022/2023</c:v>
                </c:pt>
              </c:strCache>
            </c:strRef>
          </c:cat>
          <c:val>
            <c:numRef>
              <c:f>List1!$C$2</c:f>
              <c:numCache>
                <c:formatCode>0</c:formatCode>
                <c:ptCount val="1"/>
                <c:pt idx="0">
                  <c:v>1452</c:v>
                </c:pt>
              </c:numCache>
            </c:numRef>
          </c:val>
          <c:extLst>
            <c:ext xmlns:c16="http://schemas.microsoft.com/office/drawing/2014/chart" uri="{C3380CC4-5D6E-409C-BE32-E72D297353CC}">
              <c16:uniqueId val="{00000003-7ACE-4327-8AE7-2F5CCC5B682E}"/>
            </c:ext>
          </c:extLst>
        </c:ser>
        <c:ser>
          <c:idx val="2"/>
          <c:order val="2"/>
          <c:tx>
            <c:strRef>
              <c:f>List1!$D$1</c:f>
              <c:strCache>
                <c:ptCount val="1"/>
                <c:pt idx="0">
                  <c:v>třetí země a nezjištěné</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96C4528A-5286-445A-A129-6FBC359AB68C}" type="VALUE">
                      <a:rPr lang="en-US"/>
                      <a:pPr/>
                      <a:t>[HODNOTA]</a:t>
                    </a:fld>
                    <a:endParaRPr lang="en-US"/>
                  </a:p>
                  <a:p>
                    <a:r>
                      <a:rPr lang="en-US" b="1"/>
                      <a:t>81,4</a:t>
                    </a:r>
                    <a:r>
                      <a:rPr lang="en-US" b="1" baseline="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ACE-4327-8AE7-2F5CCC5B682E}"/>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List1!$A$2</c:f>
              <c:strCache>
                <c:ptCount val="1"/>
                <c:pt idx="0">
                  <c:v>2022/2023</c:v>
                </c:pt>
              </c:strCache>
            </c:strRef>
          </c:cat>
          <c:val>
            <c:numRef>
              <c:f>List1!$D$2</c:f>
              <c:numCache>
                <c:formatCode>0</c:formatCode>
                <c:ptCount val="1"/>
                <c:pt idx="0">
                  <c:v>15934</c:v>
                </c:pt>
              </c:numCache>
            </c:numRef>
          </c:val>
          <c:extLst>
            <c:ext xmlns:c16="http://schemas.microsoft.com/office/drawing/2014/chart" uri="{C3380CC4-5D6E-409C-BE32-E72D297353CC}">
              <c16:uniqueId val="{00000005-7ACE-4327-8AE7-2F5CCC5B682E}"/>
            </c:ext>
          </c:extLst>
        </c:ser>
        <c:dLbls>
          <c:showLegendKey val="0"/>
          <c:showVal val="0"/>
          <c:showCatName val="0"/>
          <c:showSerName val="0"/>
          <c:showPercent val="0"/>
          <c:showBubbleSize val="0"/>
        </c:dLbls>
        <c:gapWidth val="96"/>
        <c:gapDepth val="0"/>
        <c:shape val="cylinder"/>
        <c:axId val="432585192"/>
        <c:axId val="432584016"/>
        <c:axId val="0"/>
      </c:bar3DChart>
      <c:catAx>
        <c:axId val="43258519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crossAx val="432584016"/>
        <c:crosses val="autoZero"/>
        <c:auto val="1"/>
        <c:lblAlgn val="ctr"/>
        <c:lblOffset val="100"/>
        <c:noMultiLvlLbl val="0"/>
      </c:catAx>
      <c:valAx>
        <c:axId val="432584016"/>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2585192"/>
        <c:crosses val="autoZero"/>
        <c:crossBetween val="between"/>
      </c:valAx>
      <c:spPr>
        <a:noFill/>
        <a:ln>
          <a:noFill/>
        </a:ln>
        <a:effectLst/>
      </c:spPr>
    </c:plotArea>
    <c:legend>
      <c:legendPos val="b"/>
      <c:layout>
        <c:manualLayout>
          <c:xMode val="edge"/>
          <c:yMode val="edge"/>
          <c:x val="2.7185039370078747E-2"/>
          <c:y val="0.90788995125609295"/>
          <c:w val="0.86770769990384866"/>
          <c:h val="9.211034051207175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dětí v</a:t>
            </a:r>
            <a:r>
              <a:rPr lang="cs-CZ" sz="1000" b="1" cap="none" spc="0" baseline="0">
                <a:ln w="0"/>
                <a:solidFill>
                  <a:schemeClr val="tx1"/>
                </a:solidFill>
                <a:effectLst/>
              </a:rPr>
              <a:t> předškolních zařízeních </a:t>
            </a:r>
            <a:r>
              <a:rPr lang="cs-CZ" sz="1000" b="1" i="0" u="none" strike="noStrike" cap="none" baseline="0">
                <a:effectLst/>
              </a:rPr>
              <a:t>s jinou než českou státní příslušností </a:t>
            </a:r>
            <a:r>
              <a:rPr lang="cs-CZ" sz="1000" b="1" cap="none" spc="0">
                <a:ln w="0"/>
                <a:solidFill>
                  <a:schemeClr val="tx1"/>
                </a:solidFill>
                <a:effectLst/>
              </a:rPr>
              <a:t>na celkovém počtu dětí v předškolních zařízeních</a:t>
            </a:r>
          </a:p>
        </c:rich>
      </c:tx>
      <c:layout>
        <c:manualLayout>
          <c:xMode val="edge"/>
          <c:yMode val="edge"/>
          <c:x val="0.14239190832853207"/>
          <c:y val="2.7210136765004863E-3"/>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07935898256617E-2"/>
          <c:y val="7.8702371770726823E-2"/>
          <c:w val="0.87126970104346713"/>
          <c:h val="0.85629448938472663"/>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List1!$B$2:$B$19</c:f>
              <c:numCache>
                <c:formatCode>0.0%</c:formatCode>
                <c:ptCount val="18"/>
                <c:pt idx="0">
                  <c:v>1.0999999999999999E-2</c:v>
                </c:pt>
                <c:pt idx="1">
                  <c:v>0.01</c:v>
                </c:pt>
                <c:pt idx="2">
                  <c:v>1.0999999999999999E-2</c:v>
                </c:pt>
                <c:pt idx="3">
                  <c:v>1.2E-2</c:v>
                </c:pt>
                <c:pt idx="4">
                  <c:v>1.2999999999999999E-2</c:v>
                </c:pt>
                <c:pt idx="5">
                  <c:v>1.2999999999999999E-2</c:v>
                </c:pt>
                <c:pt idx="6">
                  <c:v>1.4E-2</c:v>
                </c:pt>
                <c:pt idx="7">
                  <c:v>1.4999999999999999E-2</c:v>
                </c:pt>
                <c:pt idx="8">
                  <c:v>1.7000000000000001E-2</c:v>
                </c:pt>
                <c:pt idx="9">
                  <c:v>0.02</c:v>
                </c:pt>
                <c:pt idx="10">
                  <c:v>2.3E-2</c:v>
                </c:pt>
                <c:pt idx="11">
                  <c:v>2.5999999999999999E-2</c:v>
                </c:pt>
                <c:pt idx="12">
                  <c:v>2.9000000000000001E-2</c:v>
                </c:pt>
                <c:pt idx="13">
                  <c:v>3.1E-2</c:v>
                </c:pt>
                <c:pt idx="14">
                  <c:v>3.3000000000000002E-2</c:v>
                </c:pt>
                <c:pt idx="15">
                  <c:v>3.3000000000000002E-2</c:v>
                </c:pt>
                <c:pt idx="16">
                  <c:v>3.4000000000000002E-2</c:v>
                </c:pt>
                <c:pt idx="17">
                  <c:v>5.2999999999999999E-2</c:v>
                </c:pt>
              </c:numCache>
            </c:numRef>
          </c:val>
          <c:shape val="cylinder"/>
          <c:extLst>
            <c:ext xmlns:c16="http://schemas.microsoft.com/office/drawing/2014/chart" uri="{C3380CC4-5D6E-409C-BE32-E72D297353CC}">
              <c16:uniqueId val="{00000000-E927-441E-AFCC-518C9DC9702C}"/>
            </c:ext>
          </c:extLst>
        </c:ser>
        <c:dLbls>
          <c:showLegendKey val="0"/>
          <c:showVal val="0"/>
          <c:showCatName val="0"/>
          <c:showSerName val="0"/>
          <c:showPercent val="0"/>
          <c:showBubbleSize val="0"/>
        </c:dLbls>
        <c:gapWidth val="95"/>
        <c:shape val="box"/>
        <c:axId val="293902296"/>
        <c:axId val="293899160"/>
        <c:axId val="0"/>
      </c:bar3DChart>
      <c:catAx>
        <c:axId val="293902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3899160"/>
        <c:crosses val="autoZero"/>
        <c:auto val="1"/>
        <c:lblAlgn val="ctr"/>
        <c:lblOffset val="100"/>
        <c:noMultiLvlLbl val="0"/>
      </c:catAx>
      <c:valAx>
        <c:axId val="29389916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3902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osob s jinou státní příslušností na obyvatelstvu ve vybraných evropských státech k 1. 1. 2022</a:t>
            </a:r>
            <a:endParaRPr lang="en-US" sz="1000" b="1" cap="none" spc="0">
              <a:ln w="0"/>
              <a:solidFill>
                <a:schemeClr val="tx1"/>
              </a:solidFill>
              <a:effectLst/>
            </a:endParaRPr>
          </a:p>
        </c:rich>
      </c:tx>
      <c:layout>
        <c:manualLayout>
          <c:xMode val="edge"/>
          <c:yMode val="edge"/>
          <c:x val="0.12618960824341402"/>
          <c:y val="8.8619935166332053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4671152217084"/>
          <c:y val="6.5234060932256879E-2"/>
          <c:w val="0.84988664611368026"/>
          <c:h val="0.91864694128423841"/>
        </c:manualLayout>
      </c:layout>
      <c:bar3DChart>
        <c:barDir val="bar"/>
        <c:grouping val="clustered"/>
        <c:varyColors val="0"/>
        <c:ser>
          <c:idx val="0"/>
          <c:order val="0"/>
          <c:tx>
            <c:strRef>
              <c:f>List1!$B$1</c:f>
              <c:strCache>
                <c:ptCount val="1"/>
                <c:pt idx="0">
                  <c:v>Sloupec1</c:v>
                </c:pt>
              </c:strCache>
            </c:strRef>
          </c:tx>
          <c:spPr>
            <a:solidFill>
              <a:schemeClr val="accent1">
                <a:lumMod val="75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7"/>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1325-48E8-99B0-A60FA7A1C949}"/>
              </c:ext>
            </c:extLst>
          </c:dPt>
          <c:dPt>
            <c:idx val="8"/>
            <c:invertIfNegative val="0"/>
            <c:bubble3D val="0"/>
            <c:spPr>
              <a:solidFill>
                <a:schemeClr val="accent1">
                  <a:lumMod val="75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3-1325-48E8-99B0-A60FA7A1C949}"/>
              </c:ext>
            </c:extLst>
          </c:dPt>
          <c:dLbls>
            <c:spPr>
              <a:solidFill>
                <a:schemeClr val="accent5">
                  <a:lumMod val="20000"/>
                  <a:lumOff val="80000"/>
                  <a:alpha val="78000"/>
                </a:schemeClr>
              </a:solidFill>
              <a:ln>
                <a:solidFill>
                  <a:schemeClr val="lt1">
                    <a:alpha val="50000"/>
                  </a:schemeClr>
                </a:solidFill>
                <a:round/>
              </a:ln>
              <a:effectLst/>
            </c:spPr>
            <c:txPr>
              <a:bodyPr rot="0" spcFirstLastPara="1" vertOverflow="clip" horzOverflow="clip" vert="horz" wrap="square" lIns="36576" tIns="0" rIns="36576" bIns="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solidFill>
                    <a:schemeClr val="accent1">
                      <a:alpha val="30000"/>
                    </a:schemeClr>
                  </a:solidFill>
                  <a:ln>
                    <a:solidFill>
                      <a:schemeClr val="lt1">
                        <a:alpha val="50000"/>
                      </a:schemeClr>
                    </a:solidFill>
                    <a:round/>
                  </a:ln>
                </c15:spPr>
                <c15:showLeaderLines val="1"/>
                <c15:leaderLines>
                  <c:spPr>
                    <a:ln w="9525">
                      <a:solidFill>
                        <a:schemeClr val="lt1">
                          <a:lumMod val="50000"/>
                        </a:schemeClr>
                      </a:solidFill>
                      <a:round/>
                    </a:ln>
                    <a:effectLst/>
                  </c:spPr>
                </c15:leaderLines>
              </c:ext>
            </c:extLst>
          </c:dLbls>
          <c:cat>
            <c:strRef>
              <c:f>List1!$A$2:$A$31</c:f>
              <c:strCache>
                <c:ptCount val="30"/>
                <c:pt idx="0">
                  <c:v>Rumunsko</c:v>
                </c:pt>
                <c:pt idx="1">
                  <c:v>Chorvatsko</c:v>
                </c:pt>
                <c:pt idx="2">
                  <c:v>Slovensko</c:v>
                </c:pt>
                <c:pt idx="3">
                  <c:v>Polsko</c:v>
                </c:pt>
                <c:pt idx="4">
                  <c:v>Litva</c:v>
                </c:pt>
                <c:pt idx="5">
                  <c:v>Bulharsko</c:v>
                </c:pt>
                <c:pt idx="6">
                  <c:v>Maďarsko</c:v>
                </c:pt>
                <c:pt idx="7">
                  <c:v>Česko</c:v>
                </c:pt>
                <c:pt idx="8">
                  <c:v>Finsko</c:v>
                </c:pt>
                <c:pt idx="9">
                  <c:v>Portugalsko</c:v>
                </c:pt>
                <c:pt idx="10">
                  <c:v>Nizozemí</c:v>
                </c:pt>
                <c:pt idx="11">
                  <c:v>Řecko</c:v>
                </c:pt>
                <c:pt idx="12">
                  <c:v>Francie</c:v>
                </c:pt>
                <c:pt idx="13">
                  <c:v>Slovensko</c:v>
                </c:pt>
                <c:pt idx="14">
                  <c:v>Švédsko</c:v>
                </c:pt>
                <c:pt idx="15">
                  <c:v>Itálie</c:v>
                </c:pt>
                <c:pt idx="16">
                  <c:v>Dánsko</c:v>
                </c:pt>
                <c:pt idx="17">
                  <c:v>Norsko</c:v>
                </c:pt>
                <c:pt idx="18">
                  <c:v>Španělsko</c:v>
                </c:pt>
                <c:pt idx="19">
                  <c:v>Belgie</c:v>
                </c:pt>
                <c:pt idx="20">
                  <c:v>Lotyšsko </c:v>
                </c:pt>
                <c:pt idx="21">
                  <c:v>Německo</c:v>
                </c:pt>
                <c:pt idx="22">
                  <c:v>Irsko</c:v>
                </c:pt>
                <c:pt idx="23">
                  <c:v>Island</c:v>
                </c:pt>
                <c:pt idx="24">
                  <c:v>Estonsko</c:v>
                </c:pt>
                <c:pt idx="25">
                  <c:v>Rakousko</c:v>
                </c:pt>
                <c:pt idx="26">
                  <c:v>Kypr</c:v>
                </c:pt>
                <c:pt idx="27">
                  <c:v>Malta</c:v>
                </c:pt>
                <c:pt idx="28">
                  <c:v>Lichtenštejnsko</c:v>
                </c:pt>
                <c:pt idx="29">
                  <c:v>Lucembursko</c:v>
                </c:pt>
              </c:strCache>
            </c:strRef>
          </c:cat>
          <c:val>
            <c:numRef>
              <c:f>List1!$B$2:$B$31</c:f>
              <c:numCache>
                <c:formatCode>0.0%</c:formatCode>
                <c:ptCount val="30"/>
                <c:pt idx="0">
                  <c:v>2.5517193029995344E-3</c:v>
                </c:pt>
                <c:pt idx="1">
                  <c:v>9.2998869845856303E-3</c:v>
                </c:pt>
                <c:pt idx="2">
                  <c:v>1.1066271773002874E-2</c:v>
                </c:pt>
                <c:pt idx="3">
                  <c:v>1.2033197742607893E-2</c:v>
                </c:pt>
                <c:pt idx="4">
                  <c:v>1.2227378636763105E-2</c:v>
                </c:pt>
                <c:pt idx="5">
                  <c:v>1.8156622878672517E-2</c:v>
                </c:pt>
                <c:pt idx="6">
                  <c:v>2.0879222954667195E-2</c:v>
                </c:pt>
                <c:pt idx="7">
                  <c:v>5.1179233195333865E-2</c:v>
                </c:pt>
                <c:pt idx="8">
                  <c:v>5.3104758787514819E-2</c:v>
                </c:pt>
                <c:pt idx="9">
                  <c:v>6.751199425195531E-2</c:v>
                </c:pt>
                <c:pt idx="10">
                  <c:v>6.9924105230317529E-2</c:v>
                </c:pt>
                <c:pt idx="11">
                  <c:v>7.1499291285420666E-2</c:v>
                </c:pt>
                <c:pt idx="12">
                  <c:v>7.8313529489549616E-2</c:v>
                </c:pt>
                <c:pt idx="13">
                  <c:v>8.18354388329426E-2</c:v>
                </c:pt>
                <c:pt idx="14">
                  <c:v>8.3062181566093518E-2</c:v>
                </c:pt>
                <c:pt idx="15">
                  <c:v>8.5222847117759334E-2</c:v>
                </c:pt>
                <c:pt idx="16">
                  <c:v>9.5720210711987219E-2</c:v>
                </c:pt>
                <c:pt idx="17">
                  <c:v>0.10800642180020534</c:v>
                </c:pt>
                <c:pt idx="18">
                  <c:v>0.11400297679502702</c:v>
                </c:pt>
                <c:pt idx="19">
                  <c:v>0.12815840211031121</c:v>
                </c:pt>
                <c:pt idx="20">
                  <c:v>0.13061873153078996</c:v>
                </c:pt>
                <c:pt idx="21">
                  <c:v>0.13086772435818422</c:v>
                </c:pt>
                <c:pt idx="22">
                  <c:v>0.13266135757995448</c:v>
                </c:pt>
                <c:pt idx="23">
                  <c:v>0.14607120835193807</c:v>
                </c:pt>
                <c:pt idx="24">
                  <c:v>0.15219523110145999</c:v>
                </c:pt>
                <c:pt idx="25">
                  <c:v>0.17511175330599005</c:v>
                </c:pt>
                <c:pt idx="26">
                  <c:v>0.18797398046877159</c:v>
                </c:pt>
                <c:pt idx="27">
                  <c:v>0.20610360269573547</c:v>
                </c:pt>
                <c:pt idx="28">
                  <c:v>0.3441284216953292</c:v>
                </c:pt>
                <c:pt idx="29">
                  <c:v>0.47104030542441316</c:v>
                </c:pt>
              </c:numCache>
            </c:numRef>
          </c:val>
          <c:shape val="cylinder"/>
          <c:extLst>
            <c:ext xmlns:c16="http://schemas.microsoft.com/office/drawing/2014/chart" uri="{C3380CC4-5D6E-409C-BE32-E72D297353CC}">
              <c16:uniqueId val="{00000004-1325-48E8-99B0-A60FA7A1C949}"/>
            </c:ext>
          </c:extLst>
        </c:ser>
        <c:dLbls>
          <c:showLegendKey val="0"/>
          <c:showVal val="1"/>
          <c:showCatName val="0"/>
          <c:showSerName val="0"/>
          <c:showPercent val="0"/>
          <c:showBubbleSize val="0"/>
        </c:dLbls>
        <c:gapWidth val="156"/>
        <c:gapDepth val="53"/>
        <c:shape val="box"/>
        <c:axId val="287809744"/>
        <c:axId val="293547240"/>
        <c:axId val="0"/>
      </c:bar3DChart>
      <c:catAx>
        <c:axId val="287809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3547240"/>
        <c:crosses val="autoZero"/>
        <c:auto val="1"/>
        <c:lblAlgn val="ctr"/>
        <c:lblOffset val="100"/>
        <c:noMultiLvlLbl val="0"/>
      </c:catAx>
      <c:valAx>
        <c:axId val="293547240"/>
        <c:scaling>
          <c:orientation val="minMax"/>
        </c:scaling>
        <c:delete val="1"/>
        <c:axPos val="b"/>
        <c:numFmt formatCode="0.0%" sourceLinked="1"/>
        <c:majorTickMark val="out"/>
        <c:minorTickMark val="none"/>
        <c:tickLblPos val="nextTo"/>
        <c:crossAx val="28780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 občanství dětí</a:t>
            </a:r>
            <a:r>
              <a:rPr lang="cs-CZ" sz="1000" b="1" cap="none" spc="0" baseline="0">
                <a:ln w="0"/>
                <a:solidFill>
                  <a:schemeClr val="tx1"/>
                </a:solidFill>
                <a:effectLst/>
              </a:rPr>
              <a:t> v předškolních zařízeních s jinou než českou státní příslušností ve školním roce 2022/2023</a:t>
            </a:r>
            <a:endParaRPr lang="cs-CZ" sz="1000" b="1" cap="none" spc="0">
              <a:ln w="0"/>
              <a:solidFill>
                <a:schemeClr val="tx1"/>
              </a:solidFill>
              <a:effectLst/>
            </a:endParaRPr>
          </a:p>
        </c:rich>
      </c:tx>
      <c:layout>
        <c:manualLayout>
          <c:xMode val="edge"/>
          <c:yMode val="edge"/>
          <c:x val="0.12237509026363468"/>
          <c:y val="7.3032510755743159E-4"/>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09466114923444"/>
          <c:y val="6.2618226715743366E-2"/>
          <c:w val="0.8759053388507656"/>
          <c:h val="0.92415505754088434"/>
        </c:manualLayout>
      </c:layout>
      <c:bar3DChart>
        <c:barDir val="bar"/>
        <c:grouping val="stacked"/>
        <c:varyColors val="0"/>
        <c:ser>
          <c:idx val="0"/>
          <c:order val="0"/>
          <c:tx>
            <c:strRef>
              <c:f>List1!$B$1</c:f>
              <c:strCache>
                <c:ptCount val="1"/>
                <c:pt idx="0">
                  <c:v>Chlapci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7"/>
              <c:layout>
                <c:manualLayout>
                  <c:x val="2.1965952773201538E-3"/>
                  <c:y val="-6.79117147707979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F3-43CA-80CE-AD06C9DAE36D}"/>
                </c:ext>
              </c:extLst>
            </c:dLbl>
            <c:dLbl>
              <c:idx val="18"/>
              <c:layout>
                <c:manualLayout>
                  <c:x val="-1.0982976386600809E-2"/>
                  <c:y val="-9.0548953027731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F3-43CA-80CE-AD06C9DAE36D}"/>
                </c:ext>
              </c:extLst>
            </c:dLbl>
            <c:dLbl>
              <c:idx val="19"/>
              <c:layout>
                <c:manualLayout>
                  <c:x val="4.3931905546402677E-3"/>
                  <c:y val="-1.131861912846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F3-43CA-80CE-AD06C9DAE36D}"/>
                </c:ext>
              </c:extLst>
            </c:dLbl>
            <c:dLbl>
              <c:idx val="20"/>
              <c:layout>
                <c:manualLayout>
                  <c:x val="4.3931905546403076E-3"/>
                  <c:y val="-1.8109790605546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F3-43CA-80CE-AD06C9DAE36D}"/>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List1!$A$2:$A$21</c:f>
              <c:strCache>
                <c:ptCount val="20"/>
                <c:pt idx="0">
                  <c:v>Francie</c:v>
                </c:pt>
                <c:pt idx="1">
                  <c:v>Velká Británie</c:v>
                </c:pt>
                <c:pt idx="2">
                  <c:v>Uzbekistán</c:v>
                </c:pt>
                <c:pt idx="3">
                  <c:v>Kazachstán</c:v>
                </c:pt>
                <c:pt idx="4">
                  <c:v>Itálie</c:v>
                </c:pt>
                <c:pt idx="5">
                  <c:v>USA</c:v>
                </c:pt>
                <c:pt idx="6">
                  <c:v>Německo</c:v>
                </c:pt>
                <c:pt idx="7">
                  <c:v>Indie</c:v>
                </c:pt>
                <c:pt idx="8">
                  <c:v>Čína</c:v>
                </c:pt>
                <c:pt idx="9">
                  <c:v>Bělorusko</c:v>
                </c:pt>
                <c:pt idx="10">
                  <c:v>Maďarsko</c:v>
                </c:pt>
                <c:pt idx="11">
                  <c:v>Polsko</c:v>
                </c:pt>
                <c:pt idx="12">
                  <c:v>Moldavsko</c:v>
                </c:pt>
                <c:pt idx="13">
                  <c:v>Bulharsko</c:v>
                </c:pt>
                <c:pt idx="14">
                  <c:v>Rumunsko</c:v>
                </c:pt>
                <c:pt idx="15">
                  <c:v>Mongolsko</c:v>
                </c:pt>
                <c:pt idx="16">
                  <c:v>Rusko</c:v>
                </c:pt>
                <c:pt idx="17">
                  <c:v>Slovensko</c:v>
                </c:pt>
                <c:pt idx="18">
                  <c:v>Vietnam</c:v>
                </c:pt>
                <c:pt idx="19">
                  <c:v>Ukrajina</c:v>
                </c:pt>
              </c:strCache>
            </c:strRef>
          </c:cat>
          <c:val>
            <c:numRef>
              <c:f>List1!$B$2:$B$21</c:f>
              <c:numCache>
                <c:formatCode>General</c:formatCode>
                <c:ptCount val="20"/>
                <c:pt idx="0">
                  <c:v>27</c:v>
                </c:pt>
                <c:pt idx="1">
                  <c:v>35</c:v>
                </c:pt>
                <c:pt idx="2">
                  <c:v>35</c:v>
                </c:pt>
                <c:pt idx="3">
                  <c:v>41</c:v>
                </c:pt>
                <c:pt idx="4">
                  <c:v>40</c:v>
                </c:pt>
                <c:pt idx="5">
                  <c:v>49</c:v>
                </c:pt>
                <c:pt idx="6">
                  <c:v>45</c:v>
                </c:pt>
                <c:pt idx="7">
                  <c:v>44</c:v>
                </c:pt>
                <c:pt idx="8">
                  <c:v>51</c:v>
                </c:pt>
                <c:pt idx="9">
                  <c:v>58</c:v>
                </c:pt>
                <c:pt idx="10">
                  <c:v>90</c:v>
                </c:pt>
                <c:pt idx="11">
                  <c:v>82</c:v>
                </c:pt>
                <c:pt idx="12">
                  <c:v>110</c:v>
                </c:pt>
                <c:pt idx="13">
                  <c:v>139</c:v>
                </c:pt>
                <c:pt idx="14">
                  <c:v>209</c:v>
                </c:pt>
                <c:pt idx="15">
                  <c:v>221</c:v>
                </c:pt>
                <c:pt idx="16">
                  <c:v>378</c:v>
                </c:pt>
                <c:pt idx="17">
                  <c:v>1161</c:v>
                </c:pt>
                <c:pt idx="18">
                  <c:v>1345</c:v>
                </c:pt>
                <c:pt idx="19">
                  <c:v>5508</c:v>
                </c:pt>
              </c:numCache>
            </c:numRef>
          </c:val>
          <c:extLst>
            <c:ext xmlns:c16="http://schemas.microsoft.com/office/drawing/2014/chart" uri="{C3380CC4-5D6E-409C-BE32-E72D297353CC}">
              <c16:uniqueId val="{00000004-33F3-43CA-80CE-AD06C9DAE36D}"/>
            </c:ext>
          </c:extLst>
        </c:ser>
        <c:ser>
          <c:idx val="1"/>
          <c:order val="1"/>
          <c:tx>
            <c:strRef>
              <c:f>List1!$C$1</c:f>
              <c:strCache>
                <c:ptCount val="1"/>
                <c:pt idx="0">
                  <c:v>Dívky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7"/>
              <c:layout>
                <c:manualLayout>
                  <c:x val="4.3931905546402677E-3"/>
                  <c:y val="-9.0548953027731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F3-43CA-80CE-AD06C9DAE36D}"/>
                </c:ext>
              </c:extLst>
            </c:dLbl>
            <c:dLbl>
              <c:idx val="18"/>
              <c:layout>
                <c:manualLayout>
                  <c:x val="0"/>
                  <c:y val="-9.0548953027731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F3-43CA-80CE-AD06C9DAE36D}"/>
                </c:ext>
              </c:extLst>
            </c:dLbl>
            <c:dLbl>
              <c:idx val="19"/>
              <c:layout>
                <c:manualLayout>
                  <c:x val="4.3931905546402269E-3"/>
                  <c:y val="-9.0548953027730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F3-43CA-80CE-AD06C9DAE36D}"/>
                </c:ext>
              </c:extLst>
            </c:dLbl>
            <c:dLbl>
              <c:idx val="20"/>
              <c:layout>
                <c:manualLayout>
                  <c:x val="0"/>
                  <c:y val="-1.8109790605546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F3-43CA-80CE-AD06C9DAE36D}"/>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List1!$A$2:$A$21</c:f>
              <c:strCache>
                <c:ptCount val="20"/>
                <c:pt idx="0">
                  <c:v>Francie</c:v>
                </c:pt>
                <c:pt idx="1">
                  <c:v>Velká Británie</c:v>
                </c:pt>
                <c:pt idx="2">
                  <c:v>Uzbekistán</c:v>
                </c:pt>
                <c:pt idx="3">
                  <c:v>Kazachstán</c:v>
                </c:pt>
                <c:pt idx="4">
                  <c:v>Itálie</c:v>
                </c:pt>
                <c:pt idx="5">
                  <c:v>USA</c:v>
                </c:pt>
                <c:pt idx="6">
                  <c:v>Německo</c:v>
                </c:pt>
                <c:pt idx="7">
                  <c:v>Indie</c:v>
                </c:pt>
                <c:pt idx="8">
                  <c:v>Čína</c:v>
                </c:pt>
                <c:pt idx="9">
                  <c:v>Bělorusko</c:v>
                </c:pt>
                <c:pt idx="10">
                  <c:v>Maďarsko</c:v>
                </c:pt>
                <c:pt idx="11">
                  <c:v>Polsko</c:v>
                </c:pt>
                <c:pt idx="12">
                  <c:v>Moldavsko</c:v>
                </c:pt>
                <c:pt idx="13">
                  <c:v>Bulharsko</c:v>
                </c:pt>
                <c:pt idx="14">
                  <c:v>Rumunsko</c:v>
                </c:pt>
                <c:pt idx="15">
                  <c:v>Mongolsko</c:v>
                </c:pt>
                <c:pt idx="16">
                  <c:v>Rusko</c:v>
                </c:pt>
                <c:pt idx="17">
                  <c:v>Slovensko</c:v>
                </c:pt>
                <c:pt idx="18">
                  <c:v>Vietnam</c:v>
                </c:pt>
                <c:pt idx="19">
                  <c:v>Ukrajina</c:v>
                </c:pt>
              </c:strCache>
            </c:strRef>
          </c:cat>
          <c:val>
            <c:numRef>
              <c:f>List1!$C$2:$C$21</c:f>
              <c:numCache>
                <c:formatCode>General</c:formatCode>
                <c:ptCount val="20"/>
                <c:pt idx="0">
                  <c:v>23</c:v>
                </c:pt>
                <c:pt idx="1">
                  <c:v>27</c:v>
                </c:pt>
                <c:pt idx="2">
                  <c:v>32</c:v>
                </c:pt>
                <c:pt idx="3">
                  <c:v>27</c:v>
                </c:pt>
                <c:pt idx="4">
                  <c:v>32</c:v>
                </c:pt>
                <c:pt idx="5">
                  <c:v>30</c:v>
                </c:pt>
                <c:pt idx="6">
                  <c:v>34</c:v>
                </c:pt>
                <c:pt idx="7">
                  <c:v>54</c:v>
                </c:pt>
                <c:pt idx="8">
                  <c:v>58</c:v>
                </c:pt>
                <c:pt idx="9">
                  <c:v>53</c:v>
                </c:pt>
                <c:pt idx="10">
                  <c:v>89</c:v>
                </c:pt>
                <c:pt idx="11">
                  <c:v>105</c:v>
                </c:pt>
                <c:pt idx="12">
                  <c:v>96</c:v>
                </c:pt>
                <c:pt idx="13">
                  <c:v>137</c:v>
                </c:pt>
                <c:pt idx="14">
                  <c:v>183</c:v>
                </c:pt>
                <c:pt idx="15">
                  <c:v>217</c:v>
                </c:pt>
                <c:pt idx="16">
                  <c:v>334</c:v>
                </c:pt>
                <c:pt idx="17">
                  <c:v>1020</c:v>
                </c:pt>
                <c:pt idx="18">
                  <c:v>1261</c:v>
                </c:pt>
                <c:pt idx="19">
                  <c:v>5210</c:v>
                </c:pt>
              </c:numCache>
            </c:numRef>
          </c:val>
          <c:extLst>
            <c:ext xmlns:c16="http://schemas.microsoft.com/office/drawing/2014/chart" uri="{C3380CC4-5D6E-409C-BE32-E72D297353CC}">
              <c16:uniqueId val="{00000009-33F3-43CA-80CE-AD06C9DAE36D}"/>
            </c:ext>
          </c:extLst>
        </c:ser>
        <c:dLbls>
          <c:showLegendKey val="0"/>
          <c:showVal val="0"/>
          <c:showCatName val="0"/>
          <c:showSerName val="0"/>
          <c:showPercent val="0"/>
          <c:showBubbleSize val="0"/>
        </c:dLbls>
        <c:gapWidth val="38"/>
        <c:gapDepth val="126"/>
        <c:shape val="cylinder"/>
        <c:axId val="293908568"/>
        <c:axId val="293907784"/>
        <c:axId val="0"/>
      </c:bar3DChart>
      <c:catAx>
        <c:axId val="293908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3907784"/>
        <c:crosses val="autoZero"/>
        <c:auto val="1"/>
        <c:lblAlgn val="ctr"/>
        <c:lblOffset val="100"/>
        <c:noMultiLvlLbl val="0"/>
      </c:catAx>
      <c:valAx>
        <c:axId val="293907784"/>
        <c:scaling>
          <c:orientation val="minMax"/>
        </c:scaling>
        <c:delete val="1"/>
        <c:axPos val="b"/>
        <c:numFmt formatCode="General" sourceLinked="1"/>
        <c:majorTickMark val="none"/>
        <c:minorTickMark val="none"/>
        <c:tickLblPos val="nextTo"/>
        <c:crossAx val="29390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 příslušnost žáků ZŠ s jinou než českou státní příslušností ve školním roce 2022/2023</a:t>
            </a:r>
          </a:p>
        </c:rich>
      </c:tx>
      <c:layout>
        <c:manualLayout>
          <c:xMode val="edge"/>
          <c:yMode val="edge"/>
          <c:x val="0.12648148148148147"/>
          <c:y val="2.0408163265306121E-2"/>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61894867308253"/>
          <c:y val="0.18489424116103134"/>
          <c:w val="0.85064614319043452"/>
          <c:h val="0.54869538366527704"/>
        </c:manualLayout>
      </c:layout>
      <c:bar3DChart>
        <c:barDir val="bar"/>
        <c:grouping val="percentStacked"/>
        <c:varyColors val="0"/>
        <c:ser>
          <c:idx val="0"/>
          <c:order val="0"/>
          <c:tx>
            <c:strRef>
              <c:f>List1!$B$1</c:f>
              <c:strCache>
                <c:ptCount val="1"/>
                <c:pt idx="0">
                  <c:v>Slovenská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0816326530612242E-2"/>
                </c:manualLayout>
              </c:layout>
              <c:tx>
                <c:rich>
                  <a:bodyPr/>
                  <a:lstStyle/>
                  <a:p>
                    <a:r>
                      <a:rPr lang="en-US" sz="900" b="0" i="0" u="none" strike="noStrike" baseline="0">
                        <a:effectLst/>
                      </a:rPr>
                      <a:t>5 828</a:t>
                    </a:r>
                    <a:endParaRPr lang="en-US"/>
                  </a:p>
                  <a:p>
                    <a:r>
                      <a:rPr lang="en-US" b="1"/>
                      <a:t>8,0 %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49E-4B65-AD28-3D8F52F330B2}"/>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List1!$B$2</c:f>
              <c:numCache>
                <c:formatCode>#,##0</c:formatCode>
                <c:ptCount val="1"/>
                <c:pt idx="0">
                  <c:v>5828</c:v>
                </c:pt>
              </c:numCache>
            </c:numRef>
          </c:val>
          <c:extLst>
            <c:ext xmlns:c16="http://schemas.microsoft.com/office/drawing/2014/chart" uri="{C3380CC4-5D6E-409C-BE32-E72D297353CC}">
              <c16:uniqueId val="{00000001-849E-4B65-AD28-3D8F52F330B2}"/>
            </c:ext>
          </c:extLst>
        </c:ser>
        <c:ser>
          <c:idx val="1"/>
          <c:order val="1"/>
          <c:tx>
            <c:strRef>
              <c:f>List1!$C$1</c:f>
              <c:strCache>
                <c:ptCount val="1"/>
                <c:pt idx="0">
                  <c:v>ostatní státy EU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4096050493688289E-2"/>
                  <c:y val="-2.6152008121626307E-2"/>
                </c:manualLayout>
              </c:layout>
              <c:tx>
                <c:rich>
                  <a:bodyPr/>
                  <a:lstStyle/>
                  <a:p>
                    <a:r>
                      <a:rPr lang="en-US" sz="900" b="0" i="0" u="none" strike="noStrike" baseline="0">
                        <a:effectLst/>
                      </a:rPr>
                      <a:t>3 187</a:t>
                    </a:r>
                    <a:endParaRPr lang="en-US"/>
                  </a:p>
                  <a:p>
                    <a:r>
                      <a:rPr lang="en-US" b="1"/>
                      <a:t>4,4 %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49E-4B65-AD28-3D8F52F330B2}"/>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List1!$C$2</c:f>
              <c:numCache>
                <c:formatCode>#,##0</c:formatCode>
                <c:ptCount val="1"/>
                <c:pt idx="0">
                  <c:v>3187</c:v>
                </c:pt>
              </c:numCache>
            </c:numRef>
          </c:val>
          <c:extLst>
            <c:ext xmlns:c16="http://schemas.microsoft.com/office/drawing/2014/chart" uri="{C3380CC4-5D6E-409C-BE32-E72D297353CC}">
              <c16:uniqueId val="{00000003-849E-4B65-AD28-3D8F52F330B2}"/>
            </c:ext>
          </c:extLst>
        </c:ser>
        <c:ser>
          <c:idx val="2"/>
          <c:order val="2"/>
          <c:tx>
            <c:strRef>
              <c:f>List1!$D$1</c:f>
              <c:strCache>
                <c:ptCount val="1"/>
                <c:pt idx="0">
                  <c:v>třetí země a nezjištěné</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001100110011002E-2"/>
                  <c:y val="-3.4013605442176874E-2"/>
                </c:manualLayout>
              </c:layout>
              <c:tx>
                <c:rich>
                  <a:bodyPr/>
                  <a:lstStyle/>
                  <a:p>
                    <a:r>
                      <a:rPr lang="en-US" sz="900" b="0" i="0" u="none" strike="noStrike" baseline="0">
                        <a:effectLst/>
                      </a:rPr>
                      <a:t>63 733</a:t>
                    </a:r>
                    <a:endParaRPr lang="en-US"/>
                  </a:p>
                  <a:p>
                    <a:r>
                      <a:rPr lang="en-US" b="1"/>
                      <a:t>87,6 %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49E-4B65-AD28-3D8F52F330B2}"/>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List1!$D$2</c:f>
              <c:numCache>
                <c:formatCode>General</c:formatCode>
                <c:ptCount val="1"/>
                <c:pt idx="0">
                  <c:v>63733</c:v>
                </c:pt>
              </c:numCache>
            </c:numRef>
          </c:val>
          <c:extLst>
            <c:ext xmlns:c16="http://schemas.microsoft.com/office/drawing/2014/chart" uri="{C3380CC4-5D6E-409C-BE32-E72D297353CC}">
              <c16:uniqueId val="{00000005-849E-4B65-AD28-3D8F52F330B2}"/>
            </c:ext>
          </c:extLst>
        </c:ser>
        <c:dLbls>
          <c:showLegendKey val="0"/>
          <c:showVal val="0"/>
          <c:showCatName val="0"/>
          <c:showSerName val="0"/>
          <c:showPercent val="0"/>
          <c:showBubbleSize val="0"/>
        </c:dLbls>
        <c:gapWidth val="96"/>
        <c:gapDepth val="0"/>
        <c:shape val="cylinder"/>
        <c:axId val="293909352"/>
        <c:axId val="293907000"/>
        <c:axId val="0"/>
      </c:bar3DChart>
      <c:catAx>
        <c:axId val="293909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crossAx val="293907000"/>
        <c:crosses val="autoZero"/>
        <c:auto val="1"/>
        <c:lblAlgn val="ctr"/>
        <c:lblOffset val="100"/>
        <c:noMultiLvlLbl val="0"/>
      </c:catAx>
      <c:valAx>
        <c:axId val="293907000"/>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3909352"/>
        <c:crosses val="autoZero"/>
        <c:crossBetween val="between"/>
      </c:valAx>
      <c:spPr>
        <a:noFill/>
        <a:ln>
          <a:noFill/>
        </a:ln>
        <a:effectLst/>
      </c:spPr>
    </c:plotArea>
    <c:legend>
      <c:legendPos val="b"/>
      <c:layout>
        <c:manualLayout>
          <c:xMode val="edge"/>
          <c:yMode val="edge"/>
          <c:x val="2.7185039370078747E-2"/>
          <c:y val="0.90788995125609295"/>
          <c:w val="0.92942603528725576"/>
          <c:h val="6.830052493438319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žáků ZŠ </a:t>
            </a:r>
            <a:r>
              <a:rPr lang="cs-CZ" sz="1000" b="1" i="0" u="none" strike="noStrike" cap="none" baseline="0">
                <a:effectLst/>
              </a:rPr>
              <a:t>s jinou než českou státní příslušností </a:t>
            </a:r>
            <a:r>
              <a:rPr lang="cs-CZ" sz="1000" b="1" cap="none" spc="0">
                <a:ln w="0"/>
                <a:solidFill>
                  <a:schemeClr val="tx1"/>
                </a:solidFill>
                <a:effectLst/>
              </a:rPr>
              <a:t>na celkovém počtu žáků</a:t>
            </a:r>
            <a:r>
              <a:rPr lang="cs-CZ" sz="1000" b="1" cap="none" spc="0" baseline="0">
                <a:ln w="0"/>
                <a:solidFill>
                  <a:schemeClr val="tx1"/>
                </a:solidFill>
                <a:effectLst/>
              </a:rPr>
              <a:t> v letech 2005-2022</a:t>
            </a:r>
            <a:r>
              <a:rPr lang="cs-CZ" sz="1000" b="1" cap="none" spc="0">
                <a:ln w="0"/>
                <a:solidFill>
                  <a:schemeClr val="tx1"/>
                </a:solidFill>
                <a:effectLst/>
              </a:rPr>
              <a:t> </a:t>
            </a:r>
          </a:p>
        </c:rich>
      </c:tx>
      <c:layout>
        <c:manualLayout>
          <c:xMode val="edge"/>
          <c:yMode val="edge"/>
          <c:x val="0.11984444444444445"/>
          <c:y val="2.6102745817905928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34033245844263E-2"/>
          <c:y val="7.8337145731827651E-2"/>
          <c:w val="0.86964374453193349"/>
          <c:h val="0.85665956068940019"/>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List1!$B$2:$B$19</c:f>
              <c:numCache>
                <c:formatCode>0.0%</c:formatCode>
                <c:ptCount val="18"/>
                <c:pt idx="0">
                  <c:v>1.2999999999999999E-2</c:v>
                </c:pt>
                <c:pt idx="1">
                  <c:v>1.4E-2</c:v>
                </c:pt>
                <c:pt idx="2">
                  <c:v>1.4999999999999999E-2</c:v>
                </c:pt>
                <c:pt idx="3">
                  <c:v>1.7000000000000001E-2</c:v>
                </c:pt>
                <c:pt idx="4">
                  <c:v>1.7000000000000001E-2</c:v>
                </c:pt>
                <c:pt idx="5">
                  <c:v>1.7999999999999999E-2</c:v>
                </c:pt>
                <c:pt idx="6">
                  <c:v>1.7999999999999999E-2</c:v>
                </c:pt>
                <c:pt idx="7">
                  <c:v>1.7999999999999999E-2</c:v>
                </c:pt>
                <c:pt idx="8">
                  <c:v>1.7999999999999999E-2</c:v>
                </c:pt>
                <c:pt idx="9">
                  <c:v>1.9E-2</c:v>
                </c:pt>
                <c:pt idx="10">
                  <c:v>2.1000000000000001E-2</c:v>
                </c:pt>
                <c:pt idx="11">
                  <c:v>2.1999999999999999E-2</c:v>
                </c:pt>
                <c:pt idx="12">
                  <c:v>2.3E-2</c:v>
                </c:pt>
                <c:pt idx="13">
                  <c:v>2.5999999999999999E-2</c:v>
                </c:pt>
                <c:pt idx="14">
                  <c:v>2.8000000000000001E-2</c:v>
                </c:pt>
                <c:pt idx="15">
                  <c:v>2.9000000000000001E-2</c:v>
                </c:pt>
                <c:pt idx="16">
                  <c:v>3.2000000000000001E-2</c:v>
                </c:pt>
                <c:pt idx="17">
                  <c:v>7.2186533145196657E-2</c:v>
                </c:pt>
              </c:numCache>
            </c:numRef>
          </c:val>
          <c:shape val="cylinder"/>
          <c:extLst>
            <c:ext xmlns:c16="http://schemas.microsoft.com/office/drawing/2014/chart" uri="{C3380CC4-5D6E-409C-BE32-E72D297353CC}">
              <c16:uniqueId val="{00000000-5CF9-4F18-B9D3-821BD3D72FAE}"/>
            </c:ext>
          </c:extLst>
        </c:ser>
        <c:dLbls>
          <c:showLegendKey val="0"/>
          <c:showVal val="0"/>
          <c:showCatName val="0"/>
          <c:showSerName val="0"/>
          <c:showPercent val="0"/>
          <c:showBubbleSize val="0"/>
        </c:dLbls>
        <c:gapWidth val="95"/>
        <c:shape val="box"/>
        <c:axId val="293908176"/>
        <c:axId val="434277680"/>
        <c:axId val="0"/>
      </c:bar3DChart>
      <c:catAx>
        <c:axId val="293908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4277680"/>
        <c:crosses val="autoZero"/>
        <c:auto val="1"/>
        <c:lblAlgn val="ctr"/>
        <c:lblOffset val="100"/>
        <c:noMultiLvlLbl val="0"/>
      </c:catAx>
      <c:valAx>
        <c:axId val="43427768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3908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a:t>
            </a:r>
            <a:r>
              <a:rPr lang="cs-CZ" sz="1000" b="1" cap="none" spc="0" baseline="0">
                <a:ln w="0"/>
                <a:solidFill>
                  <a:schemeClr val="tx1"/>
                </a:solidFill>
                <a:effectLst/>
              </a:rPr>
              <a:t> příslušnost</a:t>
            </a:r>
            <a:r>
              <a:rPr lang="cs-CZ" sz="1000" b="1" cap="none" spc="0">
                <a:ln w="0"/>
                <a:solidFill>
                  <a:schemeClr val="tx1"/>
                </a:solidFill>
                <a:effectLst/>
              </a:rPr>
              <a:t> žáků</a:t>
            </a:r>
            <a:r>
              <a:rPr lang="cs-CZ" sz="1000" b="1" cap="none" spc="0" baseline="0">
                <a:ln w="0"/>
                <a:solidFill>
                  <a:schemeClr val="tx1"/>
                </a:solidFill>
                <a:effectLst/>
              </a:rPr>
              <a:t> ZŠ </a:t>
            </a:r>
            <a:r>
              <a:rPr lang="cs-CZ" sz="1000" b="1" i="0" u="none" strike="noStrike" cap="none" baseline="0">
                <a:effectLst/>
              </a:rPr>
              <a:t>s jinou než českou státní příslušností </a:t>
            </a:r>
            <a:r>
              <a:rPr lang="cs-CZ" sz="1000" b="1" cap="none" spc="0" baseline="0">
                <a:ln w="0"/>
                <a:solidFill>
                  <a:schemeClr val="tx1"/>
                </a:solidFill>
                <a:effectLst/>
              </a:rPr>
              <a:t>ve školním roce 2022/2023</a:t>
            </a:r>
            <a:endParaRPr lang="cs-CZ" sz="1000" b="1" cap="none" spc="0">
              <a:ln w="0"/>
              <a:solidFill>
                <a:schemeClr val="tx1"/>
              </a:solidFill>
              <a:effectLst/>
            </a:endParaRPr>
          </a:p>
        </c:rich>
      </c:tx>
      <c:layout>
        <c:manualLayout>
          <c:xMode val="edge"/>
          <c:yMode val="edge"/>
          <c:x val="0.11998301183225885"/>
          <c:y val="5.4533060668029995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39027767160174"/>
          <c:y val="4.8181032585650714E-2"/>
          <c:w val="0.84260972232839826"/>
          <c:h val="0.93859255323145951"/>
        </c:manualLayout>
      </c:layout>
      <c:bar3DChart>
        <c:barDir val="bar"/>
        <c:grouping val="stacked"/>
        <c:varyColors val="0"/>
        <c:ser>
          <c:idx val="0"/>
          <c:order val="0"/>
          <c:tx>
            <c:strRef>
              <c:f>List1!$B$1</c:f>
              <c:strCache>
                <c:ptCount val="1"/>
                <c:pt idx="0">
                  <c:v>Chlapci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7"/>
              <c:layout>
                <c:manualLayout>
                  <c:x val="-1.5440083878404088E-2"/>
                  <c:y val="1.749781277340332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24-49CC-9A65-600E450B5E74}"/>
                </c:ext>
              </c:extLst>
            </c:dLbl>
            <c:dLbl>
              <c:idx val="18"/>
              <c:layout>
                <c:manualLayout>
                  <c:x val="-1.0982976386600809E-2"/>
                  <c:y val="-9.0548953027731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24-49CC-9A65-600E450B5E74}"/>
                </c:ext>
              </c:extLst>
            </c:dLbl>
            <c:dLbl>
              <c:idx val="19"/>
              <c:layout>
                <c:manualLayout>
                  <c:x val="4.3931905546402677E-3"/>
                  <c:y val="-1.131861912846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24-49CC-9A65-600E450B5E74}"/>
                </c:ext>
              </c:extLst>
            </c:dLbl>
            <c:dLbl>
              <c:idx val="20"/>
              <c:layout>
                <c:manualLayout>
                  <c:x val="4.3931905546403076E-3"/>
                  <c:y val="-1.8109790605546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24-49CC-9A65-600E450B5E74}"/>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List1!$A$2:$A$21</c:f>
              <c:strCache>
                <c:ptCount val="20"/>
                <c:pt idx="0">
                  <c:v>Sev. Makedonie</c:v>
                </c:pt>
                <c:pt idx="1">
                  <c:v>Itálie</c:v>
                </c:pt>
                <c:pt idx="2">
                  <c:v>Velká Británie</c:v>
                </c:pt>
                <c:pt idx="3">
                  <c:v>Indie</c:v>
                </c:pt>
                <c:pt idx="4">
                  <c:v>Arménie</c:v>
                </c:pt>
                <c:pt idx="5">
                  <c:v>Německo</c:v>
                </c:pt>
                <c:pt idx="6">
                  <c:v>Srbsko</c:v>
                </c:pt>
                <c:pt idx="7">
                  <c:v>Kazachstán</c:v>
                </c:pt>
                <c:pt idx="8">
                  <c:v>Bělorusko</c:v>
                </c:pt>
                <c:pt idx="9">
                  <c:v>Čína</c:v>
                </c:pt>
                <c:pt idx="10">
                  <c:v>Maďarsko</c:v>
                </c:pt>
                <c:pt idx="11">
                  <c:v>Polsko</c:v>
                </c:pt>
                <c:pt idx="12">
                  <c:v>Moldavsko</c:v>
                </c:pt>
                <c:pt idx="13">
                  <c:v>Bulharsko</c:v>
                </c:pt>
                <c:pt idx="14">
                  <c:v>Rumunsko</c:v>
                </c:pt>
                <c:pt idx="15">
                  <c:v>Mongolsko</c:v>
                </c:pt>
                <c:pt idx="16">
                  <c:v>Rusko</c:v>
                </c:pt>
                <c:pt idx="17">
                  <c:v>Slovensko</c:v>
                </c:pt>
                <c:pt idx="18">
                  <c:v>Vietnam</c:v>
                </c:pt>
                <c:pt idx="19">
                  <c:v>Ukrajina</c:v>
                </c:pt>
              </c:strCache>
            </c:strRef>
          </c:cat>
          <c:val>
            <c:numRef>
              <c:f>List1!$B$2:$B$21</c:f>
              <c:numCache>
                <c:formatCode>General</c:formatCode>
                <c:ptCount val="20"/>
                <c:pt idx="0">
                  <c:v>58</c:v>
                </c:pt>
                <c:pt idx="1">
                  <c:v>55</c:v>
                </c:pt>
                <c:pt idx="2">
                  <c:v>55</c:v>
                </c:pt>
                <c:pt idx="3">
                  <c:v>65</c:v>
                </c:pt>
                <c:pt idx="4">
                  <c:v>66</c:v>
                </c:pt>
                <c:pt idx="5">
                  <c:v>82</c:v>
                </c:pt>
                <c:pt idx="6">
                  <c:v>71</c:v>
                </c:pt>
                <c:pt idx="7">
                  <c:v>104</c:v>
                </c:pt>
                <c:pt idx="8">
                  <c:v>180</c:v>
                </c:pt>
                <c:pt idx="9">
                  <c:v>218</c:v>
                </c:pt>
                <c:pt idx="10">
                  <c:v>247</c:v>
                </c:pt>
                <c:pt idx="11">
                  <c:v>240</c:v>
                </c:pt>
                <c:pt idx="12">
                  <c:v>332</c:v>
                </c:pt>
                <c:pt idx="13">
                  <c:v>319</c:v>
                </c:pt>
                <c:pt idx="14">
                  <c:v>404</c:v>
                </c:pt>
                <c:pt idx="15">
                  <c:v>607</c:v>
                </c:pt>
                <c:pt idx="16">
                  <c:v>950</c:v>
                </c:pt>
                <c:pt idx="17">
                  <c:v>3033</c:v>
                </c:pt>
                <c:pt idx="18">
                  <c:v>3196</c:v>
                </c:pt>
                <c:pt idx="19">
                  <c:v>25663</c:v>
                </c:pt>
              </c:numCache>
            </c:numRef>
          </c:val>
          <c:extLst>
            <c:ext xmlns:c16="http://schemas.microsoft.com/office/drawing/2014/chart" uri="{C3380CC4-5D6E-409C-BE32-E72D297353CC}">
              <c16:uniqueId val="{00000004-7024-49CC-9A65-600E450B5E74}"/>
            </c:ext>
          </c:extLst>
        </c:ser>
        <c:ser>
          <c:idx val="1"/>
          <c:order val="1"/>
          <c:tx>
            <c:strRef>
              <c:f>List1!$C$1</c:f>
              <c:strCache>
                <c:ptCount val="1"/>
                <c:pt idx="0">
                  <c:v>Dívky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7"/>
              <c:layout>
                <c:manualLayout>
                  <c:x val="3.5257398380757921E-2"/>
                  <c:y val="1.39433981410630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24-49CC-9A65-600E450B5E74}"/>
                </c:ext>
              </c:extLst>
            </c:dLbl>
            <c:dLbl>
              <c:idx val="18"/>
              <c:layout>
                <c:manualLayout>
                  <c:x val="3.3068783068783067E-2"/>
                  <c:y val="-2.08876711727650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24-49CC-9A65-600E450B5E74}"/>
                </c:ext>
              </c:extLst>
            </c:dLbl>
            <c:dLbl>
              <c:idx val="19"/>
              <c:layout>
                <c:manualLayout>
                  <c:x val="4.3931905546402269E-3"/>
                  <c:y val="-9.0548953027730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24-49CC-9A65-600E450B5E74}"/>
                </c:ext>
              </c:extLst>
            </c:dLbl>
            <c:dLbl>
              <c:idx val="20"/>
              <c:layout>
                <c:manualLayout>
                  <c:x val="0"/>
                  <c:y val="-1.8109790605546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24-49CC-9A65-600E450B5E74}"/>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List1!$A$2:$A$21</c:f>
              <c:strCache>
                <c:ptCount val="20"/>
                <c:pt idx="0">
                  <c:v>Sev. Makedonie</c:v>
                </c:pt>
                <c:pt idx="1">
                  <c:v>Itálie</c:v>
                </c:pt>
                <c:pt idx="2">
                  <c:v>Velká Británie</c:v>
                </c:pt>
                <c:pt idx="3">
                  <c:v>Indie</c:v>
                </c:pt>
                <c:pt idx="4">
                  <c:v>Arménie</c:v>
                </c:pt>
                <c:pt idx="5">
                  <c:v>Německo</c:v>
                </c:pt>
                <c:pt idx="6">
                  <c:v>Srbsko</c:v>
                </c:pt>
                <c:pt idx="7">
                  <c:v>Kazachstán</c:v>
                </c:pt>
                <c:pt idx="8">
                  <c:v>Bělorusko</c:v>
                </c:pt>
                <c:pt idx="9">
                  <c:v>Čína</c:v>
                </c:pt>
                <c:pt idx="10">
                  <c:v>Maďarsko</c:v>
                </c:pt>
                <c:pt idx="11">
                  <c:v>Polsko</c:v>
                </c:pt>
                <c:pt idx="12">
                  <c:v>Moldavsko</c:v>
                </c:pt>
                <c:pt idx="13">
                  <c:v>Bulharsko</c:v>
                </c:pt>
                <c:pt idx="14">
                  <c:v>Rumunsko</c:v>
                </c:pt>
                <c:pt idx="15">
                  <c:v>Mongolsko</c:v>
                </c:pt>
                <c:pt idx="16">
                  <c:v>Rusko</c:v>
                </c:pt>
                <c:pt idx="17">
                  <c:v>Slovensko</c:v>
                </c:pt>
                <c:pt idx="18">
                  <c:v>Vietnam</c:v>
                </c:pt>
                <c:pt idx="19">
                  <c:v>Ukrajina</c:v>
                </c:pt>
              </c:strCache>
            </c:strRef>
          </c:cat>
          <c:val>
            <c:numRef>
              <c:f>List1!$C$2:$C$21</c:f>
              <c:numCache>
                <c:formatCode>General</c:formatCode>
                <c:ptCount val="20"/>
                <c:pt idx="0">
                  <c:v>52</c:v>
                </c:pt>
                <c:pt idx="1">
                  <c:v>57</c:v>
                </c:pt>
                <c:pt idx="2">
                  <c:v>67</c:v>
                </c:pt>
                <c:pt idx="3">
                  <c:v>63</c:v>
                </c:pt>
                <c:pt idx="4">
                  <c:v>64</c:v>
                </c:pt>
                <c:pt idx="5">
                  <c:v>61</c:v>
                </c:pt>
                <c:pt idx="6">
                  <c:v>83</c:v>
                </c:pt>
                <c:pt idx="7">
                  <c:v>87</c:v>
                </c:pt>
                <c:pt idx="8">
                  <c:v>188</c:v>
                </c:pt>
                <c:pt idx="9">
                  <c:v>192</c:v>
                </c:pt>
                <c:pt idx="10">
                  <c:v>246</c:v>
                </c:pt>
                <c:pt idx="11">
                  <c:v>270</c:v>
                </c:pt>
                <c:pt idx="12">
                  <c:v>280</c:v>
                </c:pt>
                <c:pt idx="13">
                  <c:v>326</c:v>
                </c:pt>
                <c:pt idx="14">
                  <c:v>408</c:v>
                </c:pt>
                <c:pt idx="15">
                  <c:v>603</c:v>
                </c:pt>
                <c:pt idx="16">
                  <c:v>880</c:v>
                </c:pt>
                <c:pt idx="17" formatCode="#,##0">
                  <c:v>2795</c:v>
                </c:pt>
                <c:pt idx="18" formatCode="#,##0">
                  <c:v>2835</c:v>
                </c:pt>
                <c:pt idx="19" formatCode="#,##0">
                  <c:v>25186</c:v>
                </c:pt>
              </c:numCache>
            </c:numRef>
          </c:val>
          <c:extLst>
            <c:ext xmlns:c16="http://schemas.microsoft.com/office/drawing/2014/chart" uri="{C3380CC4-5D6E-409C-BE32-E72D297353CC}">
              <c16:uniqueId val="{00000009-7024-49CC-9A65-600E450B5E74}"/>
            </c:ext>
          </c:extLst>
        </c:ser>
        <c:dLbls>
          <c:showLegendKey val="0"/>
          <c:showVal val="0"/>
          <c:showCatName val="0"/>
          <c:showSerName val="0"/>
          <c:showPercent val="0"/>
          <c:showBubbleSize val="0"/>
        </c:dLbls>
        <c:gapWidth val="38"/>
        <c:gapDepth val="126"/>
        <c:shape val="cylinder"/>
        <c:axId val="434279248"/>
        <c:axId val="434290224"/>
        <c:axId val="0"/>
      </c:bar3DChart>
      <c:catAx>
        <c:axId val="434279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4290224"/>
        <c:crosses val="autoZero"/>
        <c:auto val="1"/>
        <c:lblAlgn val="ctr"/>
        <c:lblOffset val="100"/>
        <c:noMultiLvlLbl val="0"/>
      </c:catAx>
      <c:valAx>
        <c:axId val="434290224"/>
        <c:scaling>
          <c:orientation val="minMax"/>
        </c:scaling>
        <c:delete val="1"/>
        <c:axPos val="b"/>
        <c:numFmt formatCode="General" sourceLinked="1"/>
        <c:majorTickMark val="none"/>
        <c:minorTickMark val="none"/>
        <c:tickLblPos val="nextTo"/>
        <c:crossAx val="43427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 příslušnost žáků</a:t>
            </a:r>
            <a:r>
              <a:rPr lang="cs-CZ" sz="1000" b="1" cap="none" spc="0" baseline="0">
                <a:ln w="0"/>
                <a:solidFill>
                  <a:schemeClr val="tx1"/>
                </a:solidFill>
                <a:effectLst/>
              </a:rPr>
              <a:t> SŠ</a:t>
            </a:r>
            <a:r>
              <a:rPr lang="cs-CZ" sz="1000" b="1" cap="none" spc="0">
                <a:ln w="0"/>
                <a:solidFill>
                  <a:schemeClr val="tx1"/>
                </a:solidFill>
                <a:effectLst/>
              </a:rPr>
              <a:t> </a:t>
            </a:r>
            <a:r>
              <a:rPr lang="cs-CZ" sz="1000" b="1" i="0" u="none" strike="noStrike" cap="none" baseline="0">
                <a:effectLst/>
              </a:rPr>
              <a:t>s jinou než českou státní příslušností </a:t>
            </a:r>
            <a:r>
              <a:rPr lang="cs-CZ" sz="1000" b="1" cap="none" spc="0">
                <a:ln w="0"/>
                <a:solidFill>
                  <a:schemeClr val="tx1"/>
                </a:solidFill>
                <a:effectLst/>
              </a:rPr>
              <a:t>ve školním roce 2022/2023</a:t>
            </a:r>
          </a:p>
        </c:rich>
      </c:tx>
      <c:layout>
        <c:manualLayout>
          <c:xMode val="edge"/>
          <c:yMode val="edge"/>
          <c:x val="0.12648148148148147"/>
          <c:y val="2.0408163265306121E-2"/>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61894867308253"/>
          <c:y val="0.12959139366838404"/>
          <c:w val="0.85064614319043452"/>
          <c:h val="0.56952788308868807"/>
        </c:manualLayout>
      </c:layout>
      <c:bar3DChart>
        <c:barDir val="bar"/>
        <c:grouping val="percentStacked"/>
        <c:varyColors val="0"/>
        <c:ser>
          <c:idx val="0"/>
          <c:order val="0"/>
          <c:tx>
            <c:strRef>
              <c:f>List1!$B$1</c:f>
              <c:strCache>
                <c:ptCount val="1"/>
                <c:pt idx="0">
                  <c:v>Slovenská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0816326530612242E-2"/>
                </c:manualLayout>
              </c:layout>
              <c:tx>
                <c:rich>
                  <a:bodyPr/>
                  <a:lstStyle/>
                  <a:p>
                    <a:r>
                      <a:rPr lang="en-US"/>
                      <a:t>2062</a:t>
                    </a:r>
                  </a:p>
                  <a:p>
                    <a:r>
                      <a:rPr lang="en-US" b="1"/>
                      <a:t>14,6 %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553-4629-A781-C5FEF43EE645}"/>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List1!$B$2</c:f>
              <c:numCache>
                <c:formatCode>General</c:formatCode>
                <c:ptCount val="1"/>
                <c:pt idx="0">
                  <c:v>2062</c:v>
                </c:pt>
              </c:numCache>
            </c:numRef>
          </c:val>
          <c:extLst>
            <c:ext xmlns:c16="http://schemas.microsoft.com/office/drawing/2014/chart" uri="{C3380CC4-5D6E-409C-BE32-E72D297353CC}">
              <c16:uniqueId val="{00000001-A553-4629-A781-C5FEF43EE645}"/>
            </c:ext>
          </c:extLst>
        </c:ser>
        <c:ser>
          <c:idx val="1"/>
          <c:order val="1"/>
          <c:tx>
            <c:strRef>
              <c:f>List1!$C$1</c:f>
              <c:strCache>
                <c:ptCount val="1"/>
                <c:pt idx="0">
                  <c:v>ostatní státy EU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002200220022404E-3"/>
                  <c:y val="-3.4013605442176874E-2"/>
                </c:manualLayout>
              </c:layout>
              <c:tx>
                <c:rich>
                  <a:bodyPr/>
                  <a:lstStyle/>
                  <a:p>
                    <a:r>
                      <a:rPr lang="en-US"/>
                      <a:t>913</a:t>
                    </a:r>
                  </a:p>
                  <a:p>
                    <a:r>
                      <a:rPr lang="en-US" b="1"/>
                      <a:t>6,5 %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553-4629-A781-C5FEF43EE645}"/>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List1!$C$2</c:f>
              <c:numCache>
                <c:formatCode>General</c:formatCode>
                <c:ptCount val="1"/>
                <c:pt idx="0">
                  <c:v>913</c:v>
                </c:pt>
              </c:numCache>
            </c:numRef>
          </c:val>
          <c:extLst>
            <c:ext xmlns:c16="http://schemas.microsoft.com/office/drawing/2014/chart" uri="{C3380CC4-5D6E-409C-BE32-E72D297353CC}">
              <c16:uniqueId val="{00000003-A553-4629-A781-C5FEF43EE645}"/>
            </c:ext>
          </c:extLst>
        </c:ser>
        <c:ser>
          <c:idx val="2"/>
          <c:order val="2"/>
          <c:tx>
            <c:strRef>
              <c:f>List1!$D$1</c:f>
              <c:strCache>
                <c:ptCount val="1"/>
                <c:pt idx="0">
                  <c:v>třetí země a nezjištěné</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001100110011002E-2"/>
                  <c:y val="-3.4013605442176874E-2"/>
                </c:manualLayout>
              </c:layout>
              <c:tx>
                <c:rich>
                  <a:bodyPr/>
                  <a:lstStyle/>
                  <a:p>
                    <a:r>
                      <a:rPr lang="en-US"/>
                      <a:t>11 153</a:t>
                    </a:r>
                  </a:p>
                  <a:p>
                    <a:r>
                      <a:rPr lang="en-US" b="1"/>
                      <a:t>78,9 %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553-4629-A781-C5FEF43EE645}"/>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List1!$D$2</c:f>
              <c:numCache>
                <c:formatCode>General</c:formatCode>
                <c:ptCount val="1"/>
                <c:pt idx="0">
                  <c:v>11153</c:v>
                </c:pt>
              </c:numCache>
            </c:numRef>
          </c:val>
          <c:extLst>
            <c:ext xmlns:c16="http://schemas.microsoft.com/office/drawing/2014/chart" uri="{C3380CC4-5D6E-409C-BE32-E72D297353CC}">
              <c16:uniqueId val="{00000005-A553-4629-A781-C5FEF43EE645}"/>
            </c:ext>
          </c:extLst>
        </c:ser>
        <c:dLbls>
          <c:showLegendKey val="0"/>
          <c:showVal val="0"/>
          <c:showCatName val="0"/>
          <c:showSerName val="0"/>
          <c:showPercent val="0"/>
          <c:showBubbleSize val="0"/>
        </c:dLbls>
        <c:gapWidth val="96"/>
        <c:gapDepth val="0"/>
        <c:shape val="cylinder"/>
        <c:axId val="434289440"/>
        <c:axId val="434287480"/>
        <c:axId val="0"/>
      </c:bar3DChart>
      <c:catAx>
        <c:axId val="434289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crossAx val="434287480"/>
        <c:crosses val="autoZero"/>
        <c:auto val="1"/>
        <c:lblAlgn val="ctr"/>
        <c:lblOffset val="100"/>
        <c:noMultiLvlLbl val="0"/>
      </c:catAx>
      <c:valAx>
        <c:axId val="434287480"/>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4289440"/>
        <c:crosses val="autoZero"/>
        <c:crossBetween val="between"/>
      </c:valAx>
      <c:spPr>
        <a:noFill/>
        <a:ln>
          <a:noFill/>
        </a:ln>
        <a:effectLst/>
      </c:spPr>
    </c:plotArea>
    <c:legend>
      <c:legendPos val="b"/>
      <c:layout>
        <c:manualLayout>
          <c:xMode val="edge"/>
          <c:yMode val="edge"/>
          <c:x val="2.9385237736372062E-2"/>
          <c:y val="0.88319885940183407"/>
          <c:w val="0.92942603528725576"/>
          <c:h val="0.1094527073004763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Arial Narrow" panose="020B0606020202030204" pitchFamily="34" charset="0"/>
                <a:ea typeface="+mn-ea"/>
                <a:cs typeface="+mn-cs"/>
              </a:defRPr>
            </a:pPr>
            <a:r>
              <a:rPr lang="cs-CZ" sz="1000" b="1" cap="none" spc="0">
                <a:ln w="0"/>
                <a:solidFill>
                  <a:schemeClr val="tx1"/>
                </a:solidFill>
                <a:effectLst/>
              </a:rPr>
              <a:t>Podíl žáků </a:t>
            </a:r>
            <a:r>
              <a:rPr lang="cs-CZ" sz="1000" b="1" i="0" u="none" strike="noStrike" cap="none" baseline="0">
                <a:effectLst/>
              </a:rPr>
              <a:t>s jinou než českou státní příslušností </a:t>
            </a:r>
            <a:r>
              <a:rPr lang="cs-CZ" sz="1000" b="1" cap="none" spc="0">
                <a:ln w="0"/>
                <a:solidFill>
                  <a:schemeClr val="tx1"/>
                </a:solidFill>
                <a:effectLst/>
              </a:rPr>
              <a:t>na celkovém počtu</a:t>
            </a:r>
            <a:r>
              <a:rPr lang="cs-CZ" sz="1000" b="1" cap="none" spc="0" baseline="0">
                <a:ln w="0"/>
                <a:solidFill>
                  <a:schemeClr val="tx1"/>
                </a:solidFill>
                <a:effectLst/>
              </a:rPr>
              <a:t> student</a:t>
            </a:r>
            <a:r>
              <a:rPr lang="cs-CZ" sz="1000" b="1" cap="none" spc="0">
                <a:ln w="0"/>
                <a:solidFill>
                  <a:schemeClr val="tx1"/>
                </a:solidFill>
                <a:effectLst/>
              </a:rPr>
              <a:t>ů SŠ </a:t>
            </a:r>
          </a:p>
        </c:rich>
      </c:tx>
      <c:layout>
        <c:manualLayout>
          <c:xMode val="edge"/>
          <c:yMode val="edge"/>
          <c:x val="0.14206666666666667"/>
          <c:y val="1.7159637645172675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77847769028871"/>
          <c:y val="4.9688023335830118E-2"/>
          <c:w val="0.86519930008748902"/>
          <c:h val="0.8917402610056574"/>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List1!$B$2:$B$19</c:f>
              <c:numCache>
                <c:formatCode>0.0%</c:formatCode>
                <c:ptCount val="18"/>
                <c:pt idx="0">
                  <c:v>8.9999999999999993E-3</c:v>
                </c:pt>
                <c:pt idx="1">
                  <c:v>8.9999999999999993E-3</c:v>
                </c:pt>
                <c:pt idx="2">
                  <c:v>1.0999999999999999E-2</c:v>
                </c:pt>
                <c:pt idx="3">
                  <c:v>1.2999999999999999E-2</c:v>
                </c:pt>
                <c:pt idx="4">
                  <c:v>1.4E-2</c:v>
                </c:pt>
                <c:pt idx="5">
                  <c:v>1.6E-2</c:v>
                </c:pt>
                <c:pt idx="6">
                  <c:v>1.7999999999999999E-2</c:v>
                </c:pt>
                <c:pt idx="7">
                  <c:v>1.9E-2</c:v>
                </c:pt>
                <c:pt idx="8">
                  <c:v>0.02</c:v>
                </c:pt>
                <c:pt idx="9">
                  <c:v>0.02</c:v>
                </c:pt>
                <c:pt idx="10">
                  <c:v>2.1000000000000001E-2</c:v>
                </c:pt>
                <c:pt idx="11">
                  <c:v>2.1000000000000001E-2</c:v>
                </c:pt>
                <c:pt idx="12">
                  <c:v>2.1999999999999999E-2</c:v>
                </c:pt>
                <c:pt idx="13">
                  <c:v>2.1999999999999999E-2</c:v>
                </c:pt>
                <c:pt idx="14">
                  <c:v>2.1999999999999999E-2</c:v>
                </c:pt>
                <c:pt idx="15">
                  <c:v>2.3E-2</c:v>
                </c:pt>
                <c:pt idx="16">
                  <c:v>2.3E-2</c:v>
                </c:pt>
                <c:pt idx="17">
                  <c:v>3.1E-2</c:v>
                </c:pt>
              </c:numCache>
            </c:numRef>
          </c:val>
          <c:shape val="cylinder"/>
          <c:extLst>
            <c:ext xmlns:c16="http://schemas.microsoft.com/office/drawing/2014/chart" uri="{C3380CC4-5D6E-409C-BE32-E72D297353CC}">
              <c16:uniqueId val="{00000000-75F0-49A6-80A0-17FFA8078CA9}"/>
            </c:ext>
          </c:extLst>
        </c:ser>
        <c:dLbls>
          <c:showLegendKey val="0"/>
          <c:showVal val="0"/>
          <c:showCatName val="0"/>
          <c:showSerName val="0"/>
          <c:showPercent val="0"/>
          <c:showBubbleSize val="0"/>
        </c:dLbls>
        <c:gapWidth val="95"/>
        <c:shape val="box"/>
        <c:axId val="434289048"/>
        <c:axId val="434288656"/>
        <c:axId val="0"/>
      </c:bar3DChart>
      <c:catAx>
        <c:axId val="434289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4288656"/>
        <c:crosses val="autoZero"/>
        <c:auto val="1"/>
        <c:lblAlgn val="ctr"/>
        <c:lblOffset val="100"/>
        <c:noMultiLvlLbl val="0"/>
      </c:catAx>
      <c:valAx>
        <c:axId val="434288656"/>
        <c:scaling>
          <c:orientation val="minMax"/>
          <c:max val="3.2000000000000008E-2"/>
          <c:min val="5.000000000000001E-3"/>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4289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 občanství žáků</a:t>
            </a:r>
            <a:r>
              <a:rPr lang="cs-CZ" sz="1000" b="1" cap="none" spc="0" baseline="0">
                <a:ln w="0"/>
                <a:solidFill>
                  <a:schemeClr val="tx1"/>
                </a:solidFill>
                <a:effectLst/>
              </a:rPr>
              <a:t> SŠ </a:t>
            </a:r>
            <a:r>
              <a:rPr lang="cs-CZ" sz="1000" b="1" i="0" u="none" strike="noStrike" cap="none" baseline="0">
                <a:effectLst/>
              </a:rPr>
              <a:t>s jinou než českou státní příslušností </a:t>
            </a:r>
            <a:r>
              <a:rPr lang="cs-CZ" sz="1000" b="1" cap="none" spc="0" baseline="0">
                <a:ln w="0"/>
                <a:solidFill>
                  <a:schemeClr val="tx1"/>
                </a:solidFill>
                <a:effectLst/>
              </a:rPr>
              <a:t>ve školním roce 2022/2023</a:t>
            </a:r>
            <a:endParaRPr lang="cs-CZ" sz="1000" b="1" cap="none" spc="0">
              <a:ln w="0"/>
              <a:solidFill>
                <a:schemeClr val="tx1"/>
              </a:solidFill>
              <a:effectLst/>
            </a:endParaRPr>
          </a:p>
        </c:rich>
      </c:tx>
      <c:layout>
        <c:manualLayout>
          <c:xMode val="edge"/>
          <c:yMode val="edge"/>
          <c:x val="0.14155798486354254"/>
          <c:y val="1.1054020013172453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39027767160174"/>
          <c:y val="4.6318959494121292E-2"/>
          <c:w val="0.84260972232839826"/>
          <c:h val="0.94045462632298904"/>
        </c:manualLayout>
      </c:layout>
      <c:bar3DChart>
        <c:barDir val="bar"/>
        <c:grouping val="stacked"/>
        <c:varyColors val="0"/>
        <c:ser>
          <c:idx val="0"/>
          <c:order val="0"/>
          <c:tx>
            <c:strRef>
              <c:f>List1!$B$1</c:f>
              <c:strCache>
                <c:ptCount val="1"/>
                <c:pt idx="0">
                  <c:v>Chlapci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6"/>
              <c:layout>
                <c:manualLayout>
                  <c:x val="0"/>
                  <c:y val="-6.7911714770798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D5-48B3-9277-E4EA718B17D8}"/>
                </c:ext>
              </c:extLst>
            </c:dLbl>
            <c:dLbl>
              <c:idx val="17"/>
              <c:layout>
                <c:manualLayout>
                  <c:x val="2.1965952773201538E-3"/>
                  <c:y val="-6.79117147707979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D5-48B3-9277-E4EA718B17D8}"/>
                </c:ext>
              </c:extLst>
            </c:dLbl>
            <c:dLbl>
              <c:idx val="18"/>
              <c:layout>
                <c:manualLayout>
                  <c:x val="-1.0982976386600809E-2"/>
                  <c:y val="-9.0548953027731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D5-48B3-9277-E4EA718B17D8}"/>
                </c:ext>
              </c:extLst>
            </c:dLbl>
            <c:dLbl>
              <c:idx val="19"/>
              <c:layout>
                <c:manualLayout>
                  <c:x val="4.3931905546402677E-3"/>
                  <c:y val="-1.131861912846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D5-48B3-9277-E4EA718B17D8}"/>
                </c:ext>
              </c:extLst>
            </c:dLbl>
            <c:dLbl>
              <c:idx val="20"/>
              <c:layout>
                <c:manualLayout>
                  <c:x val="4.3931905546403076E-3"/>
                  <c:y val="-1.8109790605546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D5-48B3-9277-E4EA718B17D8}"/>
                </c:ext>
              </c:extLst>
            </c:dLbl>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List1!$A$2:$A$21</c:f>
              <c:strCache>
                <c:ptCount val="20"/>
                <c:pt idx="0">
                  <c:v>Izrael</c:v>
                </c:pt>
                <c:pt idx="1">
                  <c:v>Arménie</c:v>
                </c:pt>
                <c:pt idx="2">
                  <c:v>Itálie</c:v>
                </c:pt>
                <c:pt idx="3">
                  <c:v>Uzbekistán</c:v>
                </c:pt>
                <c:pt idx="4">
                  <c:v>Sev. Makedonie</c:v>
                </c:pt>
                <c:pt idx="5">
                  <c:v>Srbsko</c:v>
                </c:pt>
                <c:pt idx="6">
                  <c:v>Německo</c:v>
                </c:pt>
                <c:pt idx="7">
                  <c:v>Bělorusko</c:v>
                </c:pt>
                <c:pt idx="8">
                  <c:v>Čína</c:v>
                </c:pt>
                <c:pt idx="9">
                  <c:v>Polsko</c:v>
                </c:pt>
                <c:pt idx="10">
                  <c:v>Kazachstán</c:v>
                </c:pt>
                <c:pt idx="11">
                  <c:v>Maďarsko</c:v>
                </c:pt>
                <c:pt idx="12">
                  <c:v>Rumunsko</c:v>
                </c:pt>
                <c:pt idx="13">
                  <c:v>Moldavsko</c:v>
                </c:pt>
                <c:pt idx="14">
                  <c:v>Mongolsko</c:v>
                </c:pt>
                <c:pt idx="15">
                  <c:v>Bulharsko</c:v>
                </c:pt>
                <c:pt idx="16">
                  <c:v>Rusko</c:v>
                </c:pt>
                <c:pt idx="17">
                  <c:v>Vietnam</c:v>
                </c:pt>
                <c:pt idx="18">
                  <c:v>Slovensko</c:v>
                </c:pt>
                <c:pt idx="19">
                  <c:v>Ukrajina</c:v>
                </c:pt>
              </c:strCache>
            </c:strRef>
          </c:cat>
          <c:val>
            <c:numRef>
              <c:f>List1!$B$2:$B$21</c:f>
              <c:numCache>
                <c:formatCode>General</c:formatCode>
                <c:ptCount val="20"/>
                <c:pt idx="0">
                  <c:v>9</c:v>
                </c:pt>
                <c:pt idx="1">
                  <c:v>20</c:v>
                </c:pt>
                <c:pt idx="2">
                  <c:v>12</c:v>
                </c:pt>
                <c:pt idx="3">
                  <c:v>22</c:v>
                </c:pt>
                <c:pt idx="4">
                  <c:v>30</c:v>
                </c:pt>
                <c:pt idx="5">
                  <c:v>28</c:v>
                </c:pt>
                <c:pt idx="6">
                  <c:v>28</c:v>
                </c:pt>
                <c:pt idx="7">
                  <c:v>45</c:v>
                </c:pt>
                <c:pt idx="8">
                  <c:v>67</c:v>
                </c:pt>
                <c:pt idx="9">
                  <c:v>79</c:v>
                </c:pt>
                <c:pt idx="10">
                  <c:v>68</c:v>
                </c:pt>
                <c:pt idx="11">
                  <c:v>68</c:v>
                </c:pt>
                <c:pt idx="12">
                  <c:v>80</c:v>
                </c:pt>
                <c:pt idx="13">
                  <c:v>104</c:v>
                </c:pt>
                <c:pt idx="14">
                  <c:v>104</c:v>
                </c:pt>
                <c:pt idx="15">
                  <c:v>102</c:v>
                </c:pt>
                <c:pt idx="16">
                  <c:v>446</c:v>
                </c:pt>
                <c:pt idx="17">
                  <c:v>962</c:v>
                </c:pt>
                <c:pt idx="18">
                  <c:v>1054</c:v>
                </c:pt>
                <c:pt idx="19">
                  <c:v>3718</c:v>
                </c:pt>
              </c:numCache>
            </c:numRef>
          </c:val>
          <c:extLst>
            <c:ext xmlns:c16="http://schemas.microsoft.com/office/drawing/2014/chart" uri="{C3380CC4-5D6E-409C-BE32-E72D297353CC}">
              <c16:uniqueId val="{00000005-57D5-48B3-9277-E4EA718B17D8}"/>
            </c:ext>
          </c:extLst>
        </c:ser>
        <c:ser>
          <c:idx val="1"/>
          <c:order val="1"/>
          <c:tx>
            <c:strRef>
              <c:f>List1!$C$1</c:f>
              <c:strCache>
                <c:ptCount val="1"/>
                <c:pt idx="0">
                  <c:v>Dívky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6"/>
              <c:layout>
                <c:manualLayout>
                  <c:x val="1.5432098765432098E-2"/>
                  <c:y val="-5.0220335259506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D5-48B3-9277-E4EA718B17D8}"/>
                </c:ext>
              </c:extLst>
            </c:dLbl>
            <c:dLbl>
              <c:idx val="17"/>
              <c:layout>
                <c:manualLayout>
                  <c:x val="4.3931905546402677E-3"/>
                  <c:y val="-9.0548953027731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D5-48B3-9277-E4EA718B17D8}"/>
                </c:ext>
              </c:extLst>
            </c:dLbl>
            <c:dLbl>
              <c:idx val="18"/>
              <c:layout>
                <c:manualLayout>
                  <c:x val="0"/>
                  <c:y val="-9.0548953027731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D5-48B3-9277-E4EA718B17D8}"/>
                </c:ext>
              </c:extLst>
            </c:dLbl>
            <c:dLbl>
              <c:idx val="19"/>
              <c:layout>
                <c:manualLayout>
                  <c:x val="4.3931905546402269E-3"/>
                  <c:y val="-9.05489530277306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D5-48B3-9277-E4EA718B17D8}"/>
                </c:ext>
              </c:extLst>
            </c:dLbl>
            <c:dLbl>
              <c:idx val="20"/>
              <c:layout>
                <c:manualLayout>
                  <c:x val="0"/>
                  <c:y val="-1.8109790605546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D5-48B3-9277-E4EA718B17D8}"/>
                </c:ext>
              </c:extLst>
            </c:dLbl>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List1!$A$2:$A$21</c:f>
              <c:strCache>
                <c:ptCount val="20"/>
                <c:pt idx="0">
                  <c:v>Izrael</c:v>
                </c:pt>
                <c:pt idx="1">
                  <c:v>Arménie</c:v>
                </c:pt>
                <c:pt idx="2">
                  <c:v>Itálie</c:v>
                </c:pt>
                <c:pt idx="3">
                  <c:v>Uzbekistán</c:v>
                </c:pt>
                <c:pt idx="4">
                  <c:v>Sev. Makedonie</c:v>
                </c:pt>
                <c:pt idx="5">
                  <c:v>Srbsko</c:v>
                </c:pt>
                <c:pt idx="6">
                  <c:v>Německo</c:v>
                </c:pt>
                <c:pt idx="7">
                  <c:v>Bělorusko</c:v>
                </c:pt>
                <c:pt idx="8">
                  <c:v>Čína</c:v>
                </c:pt>
                <c:pt idx="9">
                  <c:v>Polsko</c:v>
                </c:pt>
                <c:pt idx="10">
                  <c:v>Kazachstán</c:v>
                </c:pt>
                <c:pt idx="11">
                  <c:v>Maďarsko</c:v>
                </c:pt>
                <c:pt idx="12">
                  <c:v>Rumunsko</c:v>
                </c:pt>
                <c:pt idx="13">
                  <c:v>Moldavsko</c:v>
                </c:pt>
                <c:pt idx="14">
                  <c:v>Mongolsko</c:v>
                </c:pt>
                <c:pt idx="15">
                  <c:v>Bulharsko</c:v>
                </c:pt>
                <c:pt idx="16">
                  <c:v>Rusko</c:v>
                </c:pt>
                <c:pt idx="17">
                  <c:v>Vietnam</c:v>
                </c:pt>
                <c:pt idx="18">
                  <c:v>Slovensko</c:v>
                </c:pt>
                <c:pt idx="19">
                  <c:v>Ukrajina</c:v>
                </c:pt>
              </c:strCache>
            </c:strRef>
          </c:cat>
          <c:val>
            <c:numRef>
              <c:f>List1!$C$2:$C$21</c:f>
              <c:numCache>
                <c:formatCode>General</c:formatCode>
                <c:ptCount val="20"/>
                <c:pt idx="0">
                  <c:v>15</c:v>
                </c:pt>
                <c:pt idx="1">
                  <c:v>12</c:v>
                </c:pt>
                <c:pt idx="2">
                  <c:v>20</c:v>
                </c:pt>
                <c:pt idx="3">
                  <c:v>13</c:v>
                </c:pt>
                <c:pt idx="4">
                  <c:v>15</c:v>
                </c:pt>
                <c:pt idx="5">
                  <c:v>19</c:v>
                </c:pt>
                <c:pt idx="6">
                  <c:v>29</c:v>
                </c:pt>
                <c:pt idx="7">
                  <c:v>54</c:v>
                </c:pt>
                <c:pt idx="8">
                  <c:v>58</c:v>
                </c:pt>
                <c:pt idx="9">
                  <c:v>56</c:v>
                </c:pt>
                <c:pt idx="10">
                  <c:v>73</c:v>
                </c:pt>
                <c:pt idx="11">
                  <c:v>76</c:v>
                </c:pt>
                <c:pt idx="12">
                  <c:v>90</c:v>
                </c:pt>
                <c:pt idx="13">
                  <c:v>95</c:v>
                </c:pt>
                <c:pt idx="14">
                  <c:v>95</c:v>
                </c:pt>
                <c:pt idx="15">
                  <c:v>104</c:v>
                </c:pt>
                <c:pt idx="16">
                  <c:v>386</c:v>
                </c:pt>
                <c:pt idx="17">
                  <c:v>930</c:v>
                </c:pt>
                <c:pt idx="18">
                  <c:v>1008</c:v>
                </c:pt>
                <c:pt idx="19">
                  <c:v>3344</c:v>
                </c:pt>
              </c:numCache>
            </c:numRef>
          </c:val>
          <c:extLst>
            <c:ext xmlns:c16="http://schemas.microsoft.com/office/drawing/2014/chart" uri="{C3380CC4-5D6E-409C-BE32-E72D297353CC}">
              <c16:uniqueId val="{0000000B-57D5-48B3-9277-E4EA718B17D8}"/>
            </c:ext>
          </c:extLst>
        </c:ser>
        <c:dLbls>
          <c:showLegendKey val="0"/>
          <c:showVal val="0"/>
          <c:showCatName val="0"/>
          <c:showSerName val="0"/>
          <c:showPercent val="0"/>
          <c:showBubbleSize val="0"/>
        </c:dLbls>
        <c:gapWidth val="38"/>
        <c:gapDepth val="126"/>
        <c:shape val="cylinder"/>
        <c:axId val="433296752"/>
        <c:axId val="433299888"/>
        <c:axId val="0"/>
      </c:bar3DChart>
      <c:catAx>
        <c:axId val="433296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299888"/>
        <c:crosses val="autoZero"/>
        <c:auto val="1"/>
        <c:lblAlgn val="ctr"/>
        <c:lblOffset val="100"/>
        <c:noMultiLvlLbl val="0"/>
      </c:catAx>
      <c:valAx>
        <c:axId val="433299888"/>
        <c:scaling>
          <c:orientation val="minMax"/>
        </c:scaling>
        <c:delete val="1"/>
        <c:axPos val="b"/>
        <c:numFmt formatCode="General" sourceLinked="1"/>
        <c:majorTickMark val="none"/>
        <c:minorTickMark val="none"/>
        <c:tickLblPos val="nextTo"/>
        <c:crossAx val="43329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 příslušnost dětí</a:t>
            </a:r>
            <a:r>
              <a:rPr lang="cs-CZ" sz="1000" b="1" cap="none" spc="0" baseline="0">
                <a:ln w="0"/>
                <a:solidFill>
                  <a:schemeClr val="tx1"/>
                </a:solidFill>
                <a:effectLst/>
              </a:rPr>
              <a:t> v předškolních zařízeních</a:t>
            </a:r>
            <a:r>
              <a:rPr lang="cs-CZ" sz="1000" b="1" cap="none" spc="0">
                <a:ln w="0"/>
                <a:solidFill>
                  <a:schemeClr val="tx1"/>
                </a:solidFill>
                <a:effectLst/>
              </a:rPr>
              <a:t> </a:t>
            </a:r>
            <a:r>
              <a:rPr lang="cs-CZ" sz="1000" b="1" i="0" u="none" strike="noStrike" cap="none" baseline="0">
                <a:effectLst/>
              </a:rPr>
              <a:t>s jinou než českou státní příslušností </a:t>
            </a:r>
            <a:r>
              <a:rPr lang="cs-CZ" sz="1000" b="1" cap="none" spc="0">
                <a:ln w="0"/>
                <a:solidFill>
                  <a:schemeClr val="tx1"/>
                </a:solidFill>
                <a:effectLst/>
              </a:rPr>
              <a:t>ve školním roce 2022/2023 v Jihomoravském kraji</a:t>
            </a:r>
          </a:p>
        </c:rich>
      </c:tx>
      <c:layout>
        <c:manualLayout>
          <c:xMode val="edge"/>
          <c:yMode val="edge"/>
          <c:x val="0.12648149432862743"/>
          <c:y val="2.3362307908529065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553604410559797E-2"/>
          <c:y val="0.15022195469548555"/>
          <c:w val="0.8684131497451707"/>
          <c:h val="0.55242449171465502"/>
        </c:manualLayout>
      </c:layout>
      <c:bar3DChart>
        <c:barDir val="bar"/>
        <c:grouping val="percentStacked"/>
        <c:varyColors val="0"/>
        <c:ser>
          <c:idx val="0"/>
          <c:order val="0"/>
          <c:tx>
            <c:strRef>
              <c:f>List1!$B$1</c:f>
              <c:strCache>
                <c:ptCount val="1"/>
                <c:pt idx="0">
                  <c:v>Slovenská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0816326530612242E-2"/>
                </c:manualLayout>
              </c:layout>
              <c:tx>
                <c:rich>
                  <a:bodyPr/>
                  <a:lstStyle/>
                  <a:p>
                    <a:r>
                      <a:rPr lang="en-US" b="0"/>
                      <a:t>266</a:t>
                    </a:r>
                  </a:p>
                  <a:p>
                    <a:r>
                      <a:rPr lang="en-US" b="1"/>
                      <a:t>17,5 %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E3-4114-8484-DE6F57063D98}"/>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List1!$B$2</c:f>
              <c:numCache>
                <c:formatCode>General</c:formatCode>
                <c:ptCount val="1"/>
                <c:pt idx="0">
                  <c:v>266</c:v>
                </c:pt>
              </c:numCache>
            </c:numRef>
          </c:val>
          <c:extLst>
            <c:ext xmlns:c16="http://schemas.microsoft.com/office/drawing/2014/chart" uri="{C3380CC4-5D6E-409C-BE32-E72D297353CC}">
              <c16:uniqueId val="{00000001-81E3-4114-8484-DE6F57063D98}"/>
            </c:ext>
          </c:extLst>
        </c:ser>
        <c:ser>
          <c:idx val="1"/>
          <c:order val="1"/>
          <c:tx>
            <c:strRef>
              <c:f>List1!$C$1</c:f>
              <c:strCache>
                <c:ptCount val="1"/>
                <c:pt idx="0">
                  <c:v>ostatní státy EU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868537266175101E-2"/>
                  <c:y val="-3.4013552090849247E-2"/>
                </c:manualLayout>
              </c:layout>
              <c:tx>
                <c:rich>
                  <a:bodyPr/>
                  <a:lstStyle/>
                  <a:p>
                    <a:r>
                      <a:rPr lang="en-US" b="0" baseline="0"/>
                      <a:t>109</a:t>
                    </a:r>
                  </a:p>
                  <a:p>
                    <a:r>
                      <a:rPr lang="en-US" b="1" baseline="0"/>
                      <a:t>7,2 %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1E3-4114-8484-DE6F57063D98}"/>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List1!$C$2</c:f>
              <c:numCache>
                <c:formatCode>General</c:formatCode>
                <c:ptCount val="1"/>
                <c:pt idx="0">
                  <c:v>109</c:v>
                </c:pt>
              </c:numCache>
            </c:numRef>
          </c:val>
          <c:extLst>
            <c:ext xmlns:c16="http://schemas.microsoft.com/office/drawing/2014/chart" uri="{C3380CC4-5D6E-409C-BE32-E72D297353CC}">
              <c16:uniqueId val="{00000003-81E3-4114-8484-DE6F57063D98}"/>
            </c:ext>
          </c:extLst>
        </c:ser>
        <c:ser>
          <c:idx val="2"/>
          <c:order val="2"/>
          <c:tx>
            <c:strRef>
              <c:f>List1!$D$1</c:f>
              <c:strCache>
                <c:ptCount val="1"/>
                <c:pt idx="0">
                  <c:v>třetí země a nezjištěné</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001100110011002E-2"/>
                  <c:y val="-3.4013605442176874E-2"/>
                </c:manualLayout>
              </c:layout>
              <c:tx>
                <c:rich>
                  <a:bodyPr/>
                  <a:lstStyle/>
                  <a:p>
                    <a:r>
                      <a:rPr lang="en-US" b="0"/>
                      <a:t>1 143</a:t>
                    </a:r>
                  </a:p>
                  <a:p>
                    <a:r>
                      <a:rPr lang="en-US" b="1" baseline="0"/>
                      <a:t>75,3 %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1E3-4114-8484-DE6F57063D98}"/>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List1!$D$2</c:f>
              <c:numCache>
                <c:formatCode>#,##0</c:formatCode>
                <c:ptCount val="1"/>
                <c:pt idx="0">
                  <c:v>1143</c:v>
                </c:pt>
              </c:numCache>
            </c:numRef>
          </c:val>
          <c:extLst>
            <c:ext xmlns:c16="http://schemas.microsoft.com/office/drawing/2014/chart" uri="{C3380CC4-5D6E-409C-BE32-E72D297353CC}">
              <c16:uniqueId val="{00000005-81E3-4114-8484-DE6F57063D98}"/>
            </c:ext>
          </c:extLst>
        </c:ser>
        <c:dLbls>
          <c:showLegendKey val="0"/>
          <c:showVal val="0"/>
          <c:showCatName val="0"/>
          <c:showSerName val="0"/>
          <c:showPercent val="0"/>
          <c:showBubbleSize val="0"/>
        </c:dLbls>
        <c:gapWidth val="96"/>
        <c:gapDepth val="0"/>
        <c:shape val="cylinder"/>
        <c:axId val="433297144"/>
        <c:axId val="433295576"/>
        <c:axId val="0"/>
      </c:bar3DChart>
      <c:catAx>
        <c:axId val="433297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295576"/>
        <c:crosses val="autoZero"/>
        <c:auto val="1"/>
        <c:lblAlgn val="ctr"/>
        <c:lblOffset val="100"/>
        <c:noMultiLvlLbl val="0"/>
      </c:catAx>
      <c:valAx>
        <c:axId val="433295576"/>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297144"/>
        <c:crosses val="autoZero"/>
        <c:crossBetween val="between"/>
      </c:valAx>
      <c:spPr>
        <a:noFill/>
        <a:ln>
          <a:noFill/>
        </a:ln>
        <a:effectLst/>
      </c:spPr>
    </c:plotArea>
    <c:legend>
      <c:legendPos val="b"/>
      <c:layout>
        <c:manualLayout>
          <c:xMode val="edge"/>
          <c:yMode val="edge"/>
          <c:x val="3.1590412431926188E-2"/>
          <c:y val="0.87803893916245546"/>
          <c:w val="0.92942603528725576"/>
          <c:h val="6.830052493438319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dětí v předškolních zářízeních </a:t>
            </a:r>
            <a:r>
              <a:rPr lang="cs-CZ" sz="1000" b="1" i="0" u="none" strike="noStrike" cap="none" baseline="0">
                <a:effectLst/>
              </a:rPr>
              <a:t>s jinou než českou státní příslušností </a:t>
            </a:r>
            <a:r>
              <a:rPr lang="cs-CZ" sz="1000" b="1" cap="none" spc="0">
                <a:ln w="0"/>
                <a:solidFill>
                  <a:schemeClr val="tx1"/>
                </a:solidFill>
                <a:effectLst/>
              </a:rPr>
              <a:t>na celkovém počtu dětí</a:t>
            </a:r>
            <a:r>
              <a:rPr lang="cs-CZ" sz="1000" b="1" cap="none" spc="0" baseline="0">
                <a:ln w="0"/>
                <a:solidFill>
                  <a:schemeClr val="tx1"/>
                </a:solidFill>
                <a:effectLst/>
              </a:rPr>
              <a:t> v předškolních zařízeních</a:t>
            </a:r>
            <a:r>
              <a:rPr lang="cs-CZ" sz="1000" b="1" cap="none" spc="0">
                <a:ln w="0"/>
                <a:solidFill>
                  <a:schemeClr val="tx1"/>
                </a:solidFill>
                <a:effectLst/>
              </a:rPr>
              <a:t> </a:t>
            </a:r>
            <a:r>
              <a:rPr lang="cs-CZ" sz="1000" b="1" i="0" u="none" strike="noStrike" cap="none" baseline="0">
                <a:effectLst/>
              </a:rPr>
              <a:t>v Jihomoravském kraji </a:t>
            </a:r>
            <a:r>
              <a:rPr lang="cs-CZ" sz="1000" b="1" cap="none" spc="0">
                <a:ln w="0"/>
                <a:solidFill>
                  <a:schemeClr val="tx1"/>
                </a:solidFill>
                <a:effectLst/>
              </a:rPr>
              <a:t> </a:t>
            </a:r>
          </a:p>
        </c:rich>
      </c:tx>
      <c:layout>
        <c:manualLayout>
          <c:xMode val="edge"/>
          <c:yMode val="edge"/>
          <c:x val="0.12918474710311867"/>
          <c:y val="0"/>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55625546806649"/>
          <c:y val="0.1029303689979929"/>
          <c:w val="0.86742152230971126"/>
          <c:h val="0.82019453450671609"/>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List1!$B$2:$B$19</c:f>
              <c:numCache>
                <c:formatCode>0.0%</c:formatCode>
                <c:ptCount val="18"/>
                <c:pt idx="0">
                  <c:v>8.0000000000000002E-3</c:v>
                </c:pt>
                <c:pt idx="1">
                  <c:v>7.0000000000000001E-3</c:v>
                </c:pt>
                <c:pt idx="2">
                  <c:v>7.0000000000000001E-3</c:v>
                </c:pt>
                <c:pt idx="3">
                  <c:v>8.9999999999999993E-3</c:v>
                </c:pt>
                <c:pt idx="4">
                  <c:v>8.0000000000000002E-3</c:v>
                </c:pt>
                <c:pt idx="5">
                  <c:v>8.0000000000000002E-3</c:v>
                </c:pt>
                <c:pt idx="6">
                  <c:v>8.9999999999999993E-3</c:v>
                </c:pt>
                <c:pt idx="7">
                  <c:v>1.0999999999999999E-2</c:v>
                </c:pt>
                <c:pt idx="8">
                  <c:v>1.0999999999999999E-2</c:v>
                </c:pt>
                <c:pt idx="9">
                  <c:v>1.2999999999999999E-2</c:v>
                </c:pt>
                <c:pt idx="10">
                  <c:v>1.4999999999999999E-2</c:v>
                </c:pt>
                <c:pt idx="11">
                  <c:v>1.7000000000000001E-2</c:v>
                </c:pt>
                <c:pt idx="12">
                  <c:v>1.7999999999999999E-2</c:v>
                </c:pt>
                <c:pt idx="13">
                  <c:v>0.02</c:v>
                </c:pt>
                <c:pt idx="14">
                  <c:v>2.1999999999999999E-2</c:v>
                </c:pt>
                <c:pt idx="15">
                  <c:v>2.1999999999999999E-2</c:v>
                </c:pt>
                <c:pt idx="16">
                  <c:v>2.3E-2</c:v>
                </c:pt>
                <c:pt idx="17">
                  <c:v>3.5999999999999997E-2</c:v>
                </c:pt>
              </c:numCache>
            </c:numRef>
          </c:val>
          <c:shape val="cylinder"/>
          <c:extLst>
            <c:ext xmlns:c16="http://schemas.microsoft.com/office/drawing/2014/chart" uri="{C3380CC4-5D6E-409C-BE32-E72D297353CC}">
              <c16:uniqueId val="{00000000-9AE6-43CC-BEED-48F3FC390162}"/>
            </c:ext>
          </c:extLst>
        </c:ser>
        <c:dLbls>
          <c:showLegendKey val="0"/>
          <c:showVal val="0"/>
          <c:showCatName val="0"/>
          <c:showSerName val="0"/>
          <c:showPercent val="0"/>
          <c:showBubbleSize val="0"/>
        </c:dLbls>
        <c:gapWidth val="95"/>
        <c:shape val="box"/>
        <c:axId val="433299104"/>
        <c:axId val="433301064"/>
        <c:axId val="0"/>
      </c:bar3DChart>
      <c:catAx>
        <c:axId val="433299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301064"/>
        <c:crosses val="autoZero"/>
        <c:auto val="1"/>
        <c:lblAlgn val="ctr"/>
        <c:lblOffset val="100"/>
        <c:noMultiLvlLbl val="0"/>
      </c:catAx>
      <c:valAx>
        <c:axId val="43330106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299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 příslušnost žáků v Jihomoravském</a:t>
            </a:r>
            <a:r>
              <a:rPr lang="cs-CZ" sz="1000" b="1" cap="none" spc="0" baseline="0">
                <a:ln w="0"/>
                <a:solidFill>
                  <a:schemeClr val="tx1"/>
                </a:solidFill>
                <a:effectLst/>
              </a:rPr>
              <a:t> kraji</a:t>
            </a:r>
            <a:r>
              <a:rPr lang="cs-CZ" sz="1000" b="1" cap="none" spc="0">
                <a:ln w="0"/>
                <a:solidFill>
                  <a:schemeClr val="tx1"/>
                </a:solidFill>
                <a:effectLst/>
              </a:rPr>
              <a:t> </a:t>
            </a:r>
            <a:r>
              <a:rPr lang="cs-CZ" sz="1000" b="1" i="0" u="none" strike="noStrike" cap="none" baseline="0">
                <a:effectLst/>
              </a:rPr>
              <a:t>s jinou než českou státní příslušností </a:t>
            </a:r>
            <a:r>
              <a:rPr lang="cs-CZ" sz="1000" b="1" cap="none" spc="0">
                <a:ln w="0"/>
                <a:solidFill>
                  <a:schemeClr val="tx1"/>
                </a:solidFill>
                <a:effectLst/>
              </a:rPr>
              <a:t>ve školním roce 2022/2023</a:t>
            </a:r>
          </a:p>
        </c:rich>
      </c:tx>
      <c:layout>
        <c:manualLayout>
          <c:xMode val="edge"/>
          <c:yMode val="edge"/>
          <c:x val="0.12648146704434224"/>
          <c:y val="4.083989501312324E-4"/>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360428956281456E-2"/>
          <c:y val="0.20802729658792651"/>
          <c:w val="0.8686737177654773"/>
          <c:h val="0.51477744592270791"/>
        </c:manualLayout>
      </c:layout>
      <c:bar3DChart>
        <c:barDir val="bar"/>
        <c:grouping val="percentStacked"/>
        <c:varyColors val="0"/>
        <c:ser>
          <c:idx val="0"/>
          <c:order val="0"/>
          <c:tx>
            <c:strRef>
              <c:f>List1!$B$1</c:f>
              <c:strCache>
                <c:ptCount val="1"/>
                <c:pt idx="0">
                  <c:v>Slovenská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0816326530612242E-2"/>
                </c:manualLayout>
              </c:layout>
              <c:tx>
                <c:rich>
                  <a:bodyPr/>
                  <a:lstStyle/>
                  <a:p>
                    <a:r>
                      <a:rPr lang="en-US" b="0"/>
                      <a:t>600</a:t>
                    </a:r>
                  </a:p>
                  <a:p>
                    <a:r>
                      <a:rPr lang="en-US" b="1" baseline="0"/>
                      <a:t>9,4 %</a:t>
                    </a:r>
                    <a:endParaRPr lang="en-US"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E19-4D03-8B19-A3FA197EF354}"/>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List1!$B$2</c:f>
              <c:numCache>
                <c:formatCode>General</c:formatCode>
                <c:ptCount val="1"/>
                <c:pt idx="0">
                  <c:v>600</c:v>
                </c:pt>
              </c:numCache>
            </c:numRef>
          </c:val>
          <c:extLst>
            <c:ext xmlns:c16="http://schemas.microsoft.com/office/drawing/2014/chart" uri="{C3380CC4-5D6E-409C-BE32-E72D297353CC}">
              <c16:uniqueId val="{00000001-9E19-4D03-8B19-A3FA197EF354}"/>
            </c:ext>
          </c:extLst>
        </c:ser>
        <c:ser>
          <c:idx val="1"/>
          <c:order val="1"/>
          <c:tx>
            <c:strRef>
              <c:f>List1!$C$1</c:f>
              <c:strCache>
                <c:ptCount val="1"/>
                <c:pt idx="0">
                  <c:v>ostatní státy EU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9686879417850547E-2"/>
                  <c:y val="-3.4013570884284583E-2"/>
                </c:manualLayout>
              </c:layout>
              <c:tx>
                <c:rich>
                  <a:bodyPr/>
                  <a:lstStyle/>
                  <a:p>
                    <a:r>
                      <a:rPr lang="en-US" b="0"/>
                      <a:t>236</a:t>
                    </a:r>
                  </a:p>
                  <a:p>
                    <a:r>
                      <a:rPr lang="en-US" b="1" baseline="0"/>
                      <a:t>3,7 %</a:t>
                    </a:r>
                    <a:endParaRPr lang="en-US"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E19-4D03-8B19-A3FA197EF354}"/>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List1!$C$2</c:f>
              <c:numCache>
                <c:formatCode>General</c:formatCode>
                <c:ptCount val="1"/>
                <c:pt idx="0">
                  <c:v>236</c:v>
                </c:pt>
              </c:numCache>
            </c:numRef>
          </c:val>
          <c:extLst>
            <c:ext xmlns:c16="http://schemas.microsoft.com/office/drawing/2014/chart" uri="{C3380CC4-5D6E-409C-BE32-E72D297353CC}">
              <c16:uniqueId val="{00000003-9E19-4D03-8B19-A3FA197EF354}"/>
            </c:ext>
          </c:extLst>
        </c:ser>
        <c:ser>
          <c:idx val="2"/>
          <c:order val="2"/>
          <c:tx>
            <c:strRef>
              <c:f>List1!$D$1</c:f>
              <c:strCache>
                <c:ptCount val="1"/>
                <c:pt idx="0">
                  <c:v>třetí země a nezjištěné</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001100110011002E-2"/>
                  <c:y val="-3.4013605442176874E-2"/>
                </c:manualLayout>
              </c:layout>
              <c:tx>
                <c:rich>
                  <a:bodyPr/>
                  <a:lstStyle/>
                  <a:p>
                    <a:r>
                      <a:rPr lang="en-US"/>
                      <a:t>5 578</a:t>
                    </a:r>
                  </a:p>
                  <a:p>
                    <a:r>
                      <a:rPr lang="en-US" b="1"/>
                      <a:t>87,0 %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E19-4D03-8B19-A3FA197EF354}"/>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List1!$D$2</c:f>
              <c:numCache>
                <c:formatCode>#,##0</c:formatCode>
                <c:ptCount val="1"/>
                <c:pt idx="0">
                  <c:v>5578</c:v>
                </c:pt>
              </c:numCache>
            </c:numRef>
          </c:val>
          <c:extLst>
            <c:ext xmlns:c16="http://schemas.microsoft.com/office/drawing/2014/chart" uri="{C3380CC4-5D6E-409C-BE32-E72D297353CC}">
              <c16:uniqueId val="{00000005-9E19-4D03-8B19-A3FA197EF354}"/>
            </c:ext>
          </c:extLst>
        </c:ser>
        <c:dLbls>
          <c:showLegendKey val="0"/>
          <c:showVal val="0"/>
          <c:showCatName val="0"/>
          <c:showSerName val="0"/>
          <c:showPercent val="0"/>
          <c:showBubbleSize val="0"/>
        </c:dLbls>
        <c:gapWidth val="96"/>
        <c:gapDepth val="0"/>
        <c:shape val="cylinder"/>
        <c:axId val="433294008"/>
        <c:axId val="434892320"/>
        <c:axId val="0"/>
      </c:bar3DChart>
      <c:catAx>
        <c:axId val="433294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4892320"/>
        <c:crosses val="autoZero"/>
        <c:auto val="1"/>
        <c:lblAlgn val="ctr"/>
        <c:lblOffset val="100"/>
        <c:noMultiLvlLbl val="0"/>
      </c:catAx>
      <c:valAx>
        <c:axId val="434892320"/>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294008"/>
        <c:crosses val="autoZero"/>
        <c:crossBetween val="between"/>
      </c:valAx>
      <c:spPr>
        <a:noFill/>
        <a:ln>
          <a:noFill/>
        </a:ln>
        <a:effectLst/>
      </c:spPr>
    </c:plotArea>
    <c:legend>
      <c:legendPos val="b"/>
      <c:layout>
        <c:manualLayout>
          <c:xMode val="edge"/>
          <c:yMode val="edge"/>
          <c:x val="2.7185039370078747E-2"/>
          <c:y val="0.88030409991854464"/>
          <c:w val="0.92942603528725576"/>
          <c:h val="9.5887048601683414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r>
              <a:rPr lang="cs-CZ" sz="1000" b="1" cap="none" spc="0">
                <a:ln w="0"/>
                <a:solidFill>
                  <a:schemeClr val="tx1"/>
                </a:solidFill>
                <a:effectLst/>
              </a:rPr>
              <a:t>Územní</a:t>
            </a:r>
            <a:r>
              <a:rPr lang="cs-CZ" sz="1000" b="1" cap="none" spc="0" baseline="0">
                <a:ln w="0"/>
                <a:solidFill>
                  <a:schemeClr val="tx1"/>
                </a:solidFill>
                <a:effectLst/>
              </a:rPr>
              <a:t> srovnání rozložení </a:t>
            </a:r>
            <a:r>
              <a:rPr lang="cs-CZ" sz="1000" b="1" i="0" u="none" strike="noStrike" cap="none" spc="0" baseline="0">
                <a:ln w="0"/>
                <a:solidFill>
                  <a:schemeClr val="tx1"/>
                </a:solidFill>
                <a:effectLst/>
              </a:rPr>
              <a:t>osob s jinou než českou státní příslušností </a:t>
            </a:r>
            <a:r>
              <a:rPr lang="cs-CZ" sz="1000" b="1" cap="none" spc="0" baseline="0">
                <a:ln w="0"/>
                <a:solidFill>
                  <a:schemeClr val="tx1"/>
                </a:solidFill>
                <a:effectLst/>
              </a:rPr>
              <a:t> podle krajů </a:t>
            </a:r>
            <a:br>
              <a:rPr lang="cs-CZ" sz="1000" b="1" cap="none" spc="0" baseline="0">
                <a:ln w="0"/>
                <a:solidFill>
                  <a:schemeClr val="tx1"/>
                </a:solidFill>
                <a:effectLst/>
              </a:rPr>
            </a:br>
            <a:r>
              <a:rPr lang="cs-CZ" sz="1000" b="1" cap="none" spc="0" baseline="0">
                <a:ln w="0"/>
                <a:solidFill>
                  <a:schemeClr val="tx1"/>
                </a:solidFill>
                <a:effectLst/>
              </a:rPr>
              <a:t>k 31. 12. 2022</a:t>
            </a:r>
            <a:r>
              <a:rPr lang="cs-CZ" sz="1000" b="1" cap="none" spc="0">
                <a:ln w="0"/>
                <a:solidFill>
                  <a:schemeClr val="tx1"/>
                </a:solidFill>
                <a:effectLst/>
              </a:rPr>
              <a:t> </a:t>
            </a:r>
          </a:p>
        </c:rich>
      </c:tx>
      <c:layout>
        <c:manualLayout>
          <c:xMode val="edge"/>
          <c:yMode val="edge"/>
          <c:x val="0.11119213144757599"/>
          <c:y val="5.772005772005772E-3"/>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30491494287412"/>
          <c:y val="6.8173660337345607E-2"/>
          <c:w val="0.81398354856553601"/>
          <c:h val="0.87367984238877883"/>
        </c:manualLayout>
      </c:layout>
      <c:bar3DChart>
        <c:barDir val="bar"/>
        <c:grouping val="stacked"/>
        <c:varyColors val="0"/>
        <c:ser>
          <c:idx val="0"/>
          <c:order val="0"/>
          <c:tx>
            <c:strRef>
              <c:f>List1!$B$1</c:f>
              <c:strCache>
                <c:ptCount val="1"/>
                <c:pt idx="0">
                  <c:v>země EU</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0"/>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6767-409A-952B-8E922FCD1D2C}"/>
                </c:ext>
              </c:extLst>
            </c:dLbl>
            <c:dLbl>
              <c:idx val="11"/>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6767-409A-952B-8E922FCD1D2C}"/>
                </c:ext>
              </c:extLst>
            </c:dLbl>
            <c:dLbl>
              <c:idx val="12"/>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6767-409A-952B-8E922FCD1D2C}"/>
                </c:ext>
              </c:extLst>
            </c:dLbl>
            <c:dLbl>
              <c:idx val="13"/>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6767-409A-952B-8E922FCD1D2C}"/>
                </c:ext>
              </c:extLst>
            </c:dLbl>
            <c:dLbl>
              <c:idx val="14"/>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6767-409A-952B-8E922FCD1D2C}"/>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List1!$A$2:$A$16</c:f>
              <c:strCache>
                <c:ptCount val="15"/>
                <c:pt idx="0">
                  <c:v>Nezjištěno</c:v>
                </c:pt>
                <c:pt idx="1">
                  <c:v>Zlínský kraj </c:v>
                </c:pt>
                <c:pt idx="2">
                  <c:v>Olomoucký kraj </c:v>
                </c:pt>
                <c:pt idx="3">
                  <c:v>Kraj Vysočina </c:v>
                </c:pt>
                <c:pt idx="4">
                  <c:v>Karlovarský kraj </c:v>
                </c:pt>
                <c:pt idx="5">
                  <c:v>Královéhradecký kraj </c:v>
                </c:pt>
                <c:pt idx="6">
                  <c:v>Pardubický kraj </c:v>
                </c:pt>
                <c:pt idx="7">
                  <c:v>Liberecký kraj </c:v>
                </c:pt>
                <c:pt idx="8">
                  <c:v>Jihočeský kraj </c:v>
                </c:pt>
                <c:pt idx="9">
                  <c:v>Moravskoslezský kraj </c:v>
                </c:pt>
                <c:pt idx="10">
                  <c:v>Ústecký kraj </c:v>
                </c:pt>
                <c:pt idx="11">
                  <c:v>Plzeňský kraj</c:v>
                </c:pt>
                <c:pt idx="12">
                  <c:v>Jihomoravský kraj</c:v>
                </c:pt>
                <c:pt idx="13">
                  <c:v>Středočeský kraj </c:v>
                </c:pt>
                <c:pt idx="14">
                  <c:v>Hlavní město Praha</c:v>
                </c:pt>
              </c:strCache>
            </c:strRef>
          </c:cat>
          <c:val>
            <c:numRef>
              <c:f>List1!$B$2:$B$16</c:f>
              <c:numCache>
                <c:formatCode>General</c:formatCode>
                <c:ptCount val="15"/>
                <c:pt idx="0">
                  <c:v>171</c:v>
                </c:pt>
                <c:pt idx="1">
                  <c:v>6165</c:v>
                </c:pt>
                <c:pt idx="2">
                  <c:v>5402</c:v>
                </c:pt>
                <c:pt idx="3">
                  <c:v>4485</c:v>
                </c:pt>
                <c:pt idx="4">
                  <c:v>6266</c:v>
                </c:pt>
                <c:pt idx="5">
                  <c:v>6203</c:v>
                </c:pt>
                <c:pt idx="6">
                  <c:v>7946</c:v>
                </c:pt>
                <c:pt idx="7">
                  <c:v>8944</c:v>
                </c:pt>
                <c:pt idx="8">
                  <c:v>8383</c:v>
                </c:pt>
                <c:pt idx="9">
                  <c:v>15299</c:v>
                </c:pt>
                <c:pt idx="10">
                  <c:v>13227</c:v>
                </c:pt>
                <c:pt idx="11">
                  <c:v>17466</c:v>
                </c:pt>
                <c:pt idx="12">
                  <c:v>24100</c:v>
                </c:pt>
                <c:pt idx="13">
                  <c:v>34551</c:v>
                </c:pt>
                <c:pt idx="14">
                  <c:v>67818</c:v>
                </c:pt>
              </c:numCache>
            </c:numRef>
          </c:val>
          <c:extLst>
            <c:ext xmlns:c16="http://schemas.microsoft.com/office/drawing/2014/chart" uri="{C3380CC4-5D6E-409C-BE32-E72D297353CC}">
              <c16:uniqueId val="{00000005-6767-409A-952B-8E922FCD1D2C}"/>
            </c:ext>
          </c:extLst>
        </c:ser>
        <c:ser>
          <c:idx val="1"/>
          <c:order val="1"/>
          <c:tx>
            <c:strRef>
              <c:f>List1!$C$1</c:f>
              <c:strCache>
                <c:ptCount val="1"/>
                <c:pt idx="0">
                  <c:v>Třetí země</c:v>
                </c:pt>
              </c:strCache>
            </c:strRef>
          </c:tx>
          <c:spPr>
            <a:solidFill>
              <a:srgbClr val="C00000">
                <a:alpha val="94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0"/>
              <c:spPr>
                <a:solidFill>
                  <a:schemeClr val="lt1"/>
                </a:solidFill>
                <a:ln>
                  <a:noFill/>
                </a:ln>
                <a:effectLst/>
              </c:spPr>
              <c:txPr>
                <a:bodyPr rot="0" spcFirstLastPara="1" vertOverflow="clip" horzOverflow="clip" vert="horz" wrap="square" lIns="36000" tIns="0" rIns="36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6-6767-409A-952B-8E922FCD1D2C}"/>
                </c:ext>
              </c:extLst>
            </c:dLbl>
            <c:dLbl>
              <c:idx val="11"/>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6767-409A-952B-8E922FCD1D2C}"/>
                </c:ext>
              </c:extLst>
            </c:dLbl>
            <c:dLbl>
              <c:idx val="12"/>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8-6767-409A-952B-8E922FCD1D2C}"/>
                </c:ext>
              </c:extLst>
            </c:dLbl>
            <c:dLbl>
              <c:idx val="13"/>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6767-409A-952B-8E922FCD1D2C}"/>
                </c:ext>
              </c:extLst>
            </c:dLbl>
            <c:dLbl>
              <c:idx val="14"/>
              <c:spPr>
                <a:solidFill>
                  <a:schemeClr val="lt1"/>
                </a:solidFill>
                <a:ln>
                  <a:noFill/>
                </a:ln>
                <a:effectLst/>
              </c:spPr>
              <c:txPr>
                <a:bodyPr rot="0" spcFirstLastPara="1" vertOverflow="clip" horzOverflow="clip" vert="horz" wrap="square" lIns="18000" tIns="0" rIns="18000"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A-6767-409A-952B-8E922FCD1D2C}"/>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List1!$A$2:$A$16</c:f>
              <c:strCache>
                <c:ptCount val="15"/>
                <c:pt idx="0">
                  <c:v>Nezjištěno</c:v>
                </c:pt>
                <c:pt idx="1">
                  <c:v>Zlínský kraj </c:v>
                </c:pt>
                <c:pt idx="2">
                  <c:v>Olomoucký kraj </c:v>
                </c:pt>
                <c:pt idx="3">
                  <c:v>Kraj Vysočina </c:v>
                </c:pt>
                <c:pt idx="4">
                  <c:v>Karlovarský kraj </c:v>
                </c:pt>
                <c:pt idx="5">
                  <c:v>Královéhradecký kraj </c:v>
                </c:pt>
                <c:pt idx="6">
                  <c:v>Pardubický kraj </c:v>
                </c:pt>
                <c:pt idx="7">
                  <c:v>Liberecký kraj </c:v>
                </c:pt>
                <c:pt idx="8">
                  <c:v>Jihočeský kraj </c:v>
                </c:pt>
                <c:pt idx="9">
                  <c:v>Moravskoslezský kraj </c:v>
                </c:pt>
                <c:pt idx="10">
                  <c:v>Ústecký kraj </c:v>
                </c:pt>
                <c:pt idx="11">
                  <c:v>Plzeňský kraj</c:v>
                </c:pt>
                <c:pt idx="12">
                  <c:v>Jihomoravský kraj</c:v>
                </c:pt>
                <c:pt idx="13">
                  <c:v>Středočeský kraj </c:v>
                </c:pt>
                <c:pt idx="14">
                  <c:v>Hlavní město Praha</c:v>
                </c:pt>
              </c:strCache>
            </c:strRef>
          </c:cat>
          <c:val>
            <c:numRef>
              <c:f>List1!$C$2:$C$16</c:f>
              <c:numCache>
                <c:formatCode>General</c:formatCode>
                <c:ptCount val="15"/>
                <c:pt idx="0">
                  <c:v>3778</c:v>
                </c:pt>
                <c:pt idx="1">
                  <c:v>20390</c:v>
                </c:pt>
                <c:pt idx="2">
                  <c:v>23258</c:v>
                </c:pt>
                <c:pt idx="3">
                  <c:v>26355</c:v>
                </c:pt>
                <c:pt idx="4">
                  <c:v>32290</c:v>
                </c:pt>
                <c:pt idx="5">
                  <c:v>32751</c:v>
                </c:pt>
                <c:pt idx="6">
                  <c:v>34672</c:v>
                </c:pt>
                <c:pt idx="7">
                  <c:v>33717</c:v>
                </c:pt>
                <c:pt idx="8">
                  <c:v>39271</c:v>
                </c:pt>
                <c:pt idx="9">
                  <c:v>41136</c:v>
                </c:pt>
                <c:pt idx="10">
                  <c:v>48496</c:v>
                </c:pt>
                <c:pt idx="11">
                  <c:v>63451</c:v>
                </c:pt>
                <c:pt idx="12">
                  <c:v>87030</c:v>
                </c:pt>
                <c:pt idx="13">
                  <c:v>124645</c:v>
                </c:pt>
                <c:pt idx="14">
                  <c:v>278488</c:v>
                </c:pt>
              </c:numCache>
            </c:numRef>
          </c:val>
          <c:extLst>
            <c:ext xmlns:c16="http://schemas.microsoft.com/office/drawing/2014/chart" uri="{C3380CC4-5D6E-409C-BE32-E72D297353CC}">
              <c16:uniqueId val="{0000000B-6767-409A-952B-8E922FCD1D2C}"/>
            </c:ext>
          </c:extLst>
        </c:ser>
        <c:dLbls>
          <c:showLegendKey val="0"/>
          <c:showVal val="0"/>
          <c:showCatName val="0"/>
          <c:showSerName val="0"/>
          <c:showPercent val="0"/>
          <c:showBubbleSize val="0"/>
        </c:dLbls>
        <c:gapWidth val="87"/>
        <c:shape val="cylinder"/>
        <c:axId val="295104008"/>
        <c:axId val="295105184"/>
        <c:axId val="0"/>
      </c:bar3DChart>
      <c:catAx>
        <c:axId val="295104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5105184"/>
        <c:crosses val="autoZero"/>
        <c:auto val="1"/>
        <c:lblAlgn val="ctr"/>
        <c:lblOffset val="100"/>
        <c:noMultiLvlLbl val="0"/>
      </c:catAx>
      <c:valAx>
        <c:axId val="295105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5104008"/>
        <c:crosses val="autoZero"/>
        <c:crossBetween val="between"/>
      </c:valAx>
      <c:spPr>
        <a:noFill/>
        <a:ln>
          <a:noFill/>
        </a:ln>
        <a:effectLst/>
      </c:spPr>
    </c:plotArea>
    <c:legend>
      <c:legendPos val="b"/>
      <c:layout>
        <c:manualLayout>
          <c:xMode val="edge"/>
          <c:yMode val="edge"/>
          <c:x val="0.33497859059898522"/>
          <c:y val="0.87347202484376263"/>
          <c:w val="0.2549147721452425"/>
          <c:h val="4.5487950369840137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žáků v ZŠ </a:t>
            </a:r>
            <a:r>
              <a:rPr lang="cs-CZ" sz="1000" b="1" i="0" u="none" strike="noStrike" cap="none" baseline="0">
                <a:effectLst/>
              </a:rPr>
              <a:t>s jinou než českou státní příslušností </a:t>
            </a:r>
            <a:r>
              <a:rPr lang="cs-CZ" sz="1000" b="1" cap="none" spc="0">
                <a:ln w="0"/>
                <a:solidFill>
                  <a:schemeClr val="tx1"/>
                </a:solidFill>
                <a:effectLst/>
              </a:rPr>
              <a:t>na celkovém počtu žáků v</a:t>
            </a:r>
            <a:r>
              <a:rPr lang="cs-CZ" sz="1000" b="1" cap="none" spc="0" baseline="0">
                <a:ln w="0"/>
                <a:solidFill>
                  <a:schemeClr val="tx1"/>
                </a:solidFill>
                <a:effectLst/>
              </a:rPr>
              <a:t> Jihomoravském kraji</a:t>
            </a:r>
            <a:r>
              <a:rPr lang="cs-CZ" sz="1000" b="1" cap="none" spc="0">
                <a:ln w="0"/>
                <a:solidFill>
                  <a:schemeClr val="tx1"/>
                </a:solidFill>
                <a:effectLst/>
              </a:rPr>
              <a:t> </a:t>
            </a:r>
          </a:p>
        </c:rich>
      </c:tx>
      <c:layout>
        <c:manualLayout>
          <c:xMode val="edge"/>
          <c:yMode val="edge"/>
          <c:x val="0.11093711633153294"/>
          <c:y val="2.5220985307870991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34033245844263E-2"/>
          <c:y val="8.2035688935109541E-2"/>
          <c:w val="0.86964374453193349"/>
          <c:h val="0.84576305320325529"/>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List1!$B$2:$B$19</c:f>
              <c:numCache>
                <c:formatCode>0.0%</c:formatCode>
                <c:ptCount val="18"/>
                <c:pt idx="0">
                  <c:v>0.01</c:v>
                </c:pt>
                <c:pt idx="1">
                  <c:v>1.0999999999999999E-2</c:v>
                </c:pt>
                <c:pt idx="2">
                  <c:v>1.0999999999999999E-2</c:v>
                </c:pt>
                <c:pt idx="3">
                  <c:v>1.2E-2</c:v>
                </c:pt>
                <c:pt idx="4">
                  <c:v>1.2999999999999999E-2</c:v>
                </c:pt>
                <c:pt idx="5">
                  <c:v>1.2999999999999999E-2</c:v>
                </c:pt>
                <c:pt idx="6">
                  <c:v>1.4E-2</c:v>
                </c:pt>
                <c:pt idx="7">
                  <c:v>1.4E-2</c:v>
                </c:pt>
                <c:pt idx="8">
                  <c:v>1.2999999999999999E-2</c:v>
                </c:pt>
                <c:pt idx="9">
                  <c:v>1.4E-2</c:v>
                </c:pt>
                <c:pt idx="10">
                  <c:v>1.4999999999999999E-2</c:v>
                </c:pt>
                <c:pt idx="11">
                  <c:v>1.4999999999999999E-2</c:v>
                </c:pt>
                <c:pt idx="12">
                  <c:v>1.7000000000000001E-2</c:v>
                </c:pt>
                <c:pt idx="13">
                  <c:v>1.7999999999999999E-2</c:v>
                </c:pt>
                <c:pt idx="14">
                  <c:v>1.9E-2</c:v>
                </c:pt>
                <c:pt idx="15">
                  <c:v>2.1000000000000001E-2</c:v>
                </c:pt>
                <c:pt idx="16">
                  <c:v>2.1999999999999999E-2</c:v>
                </c:pt>
                <c:pt idx="17">
                  <c:v>5.7000000000000002E-2</c:v>
                </c:pt>
              </c:numCache>
            </c:numRef>
          </c:val>
          <c:shape val="cylinder"/>
          <c:extLst>
            <c:ext xmlns:c16="http://schemas.microsoft.com/office/drawing/2014/chart" uri="{C3380CC4-5D6E-409C-BE32-E72D297353CC}">
              <c16:uniqueId val="{00000000-8204-4C70-9C51-0789DB1A038B}"/>
            </c:ext>
          </c:extLst>
        </c:ser>
        <c:dLbls>
          <c:showLegendKey val="0"/>
          <c:showVal val="0"/>
          <c:showCatName val="0"/>
          <c:showSerName val="0"/>
          <c:showPercent val="0"/>
          <c:showBubbleSize val="0"/>
        </c:dLbls>
        <c:gapWidth val="95"/>
        <c:shape val="box"/>
        <c:axId val="433645072"/>
        <c:axId val="433647816"/>
        <c:axId val="0"/>
      </c:bar3DChart>
      <c:catAx>
        <c:axId val="433645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47816"/>
        <c:crosses val="autoZero"/>
        <c:auto val="1"/>
        <c:lblAlgn val="ctr"/>
        <c:lblOffset val="100"/>
        <c:noMultiLvlLbl val="0"/>
      </c:catAx>
      <c:valAx>
        <c:axId val="433647816"/>
        <c:scaling>
          <c:orientation val="minMax"/>
          <c:max val="6.0000000000000012E-2"/>
          <c:min val="5.000000000000001E-3"/>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4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Státní příslušnost žáků </a:t>
            </a:r>
            <a:r>
              <a:rPr lang="cs-CZ" sz="1000" b="1" i="0" u="none" strike="noStrike" cap="none" baseline="0">
                <a:effectLst/>
              </a:rPr>
              <a:t>s jinou než českou státní příslušností </a:t>
            </a:r>
            <a:r>
              <a:rPr lang="cs-CZ" sz="1000" b="1" cap="none" spc="0">
                <a:ln w="0"/>
                <a:solidFill>
                  <a:schemeClr val="tx1"/>
                </a:solidFill>
                <a:effectLst/>
              </a:rPr>
              <a:t>ve školním roce 2022/2023 v Jihomoravském kraji</a:t>
            </a:r>
          </a:p>
        </c:rich>
      </c:tx>
      <c:layout>
        <c:manualLayout>
          <c:xMode val="edge"/>
          <c:yMode val="edge"/>
          <c:x val="0.12648149432862743"/>
          <c:y val="2.3362307908529065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553604410559797E-2"/>
          <c:y val="0.15022195469548555"/>
          <c:w val="0.8684131497451707"/>
          <c:h val="0.55242449171465502"/>
        </c:manualLayout>
      </c:layout>
      <c:bar3DChart>
        <c:barDir val="bar"/>
        <c:grouping val="percentStacked"/>
        <c:varyColors val="0"/>
        <c:ser>
          <c:idx val="0"/>
          <c:order val="0"/>
          <c:tx>
            <c:strRef>
              <c:f>List1!$B$1</c:f>
              <c:strCache>
                <c:ptCount val="1"/>
                <c:pt idx="0">
                  <c:v>Slovenská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0816326530612242E-2"/>
                </c:manualLayout>
              </c:layout>
              <c:tx>
                <c:rich>
                  <a:bodyPr/>
                  <a:lstStyle/>
                  <a:p>
                    <a:r>
                      <a:rPr lang="en-US" b="0"/>
                      <a:t>268</a:t>
                    </a:r>
                    <a:r>
                      <a:rPr lang="en-US" b="0" baseline="0"/>
                      <a:t> </a:t>
                    </a:r>
                  </a:p>
                  <a:p>
                    <a:r>
                      <a:rPr lang="en-US" b="1" baseline="0"/>
                      <a:t>20,6 %</a:t>
                    </a:r>
                    <a:endParaRPr lang="en-US"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1A2-4E1B-923E-C590F7FD8DF1}"/>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List1!$B$2</c:f>
              <c:numCache>
                <c:formatCode>General</c:formatCode>
                <c:ptCount val="1"/>
                <c:pt idx="0">
                  <c:v>268</c:v>
                </c:pt>
              </c:numCache>
            </c:numRef>
          </c:val>
          <c:extLst>
            <c:ext xmlns:c16="http://schemas.microsoft.com/office/drawing/2014/chart" uri="{C3380CC4-5D6E-409C-BE32-E72D297353CC}">
              <c16:uniqueId val="{00000001-31A2-4E1B-923E-C590F7FD8DF1}"/>
            </c:ext>
          </c:extLst>
        </c:ser>
        <c:ser>
          <c:idx val="1"/>
          <c:order val="1"/>
          <c:tx>
            <c:strRef>
              <c:f>List1!$C$1</c:f>
              <c:strCache>
                <c:ptCount val="1"/>
                <c:pt idx="0">
                  <c:v>ostatní státy EU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9686879417850505E-2"/>
                  <c:y val="-3.4013552090849247E-2"/>
                </c:manualLayout>
              </c:layout>
              <c:tx>
                <c:rich>
                  <a:bodyPr/>
                  <a:lstStyle/>
                  <a:p>
                    <a:r>
                      <a:rPr lang="en-US" b="0"/>
                      <a:t>61</a:t>
                    </a:r>
                  </a:p>
                  <a:p>
                    <a:r>
                      <a:rPr lang="en-US" b="1" baseline="0"/>
                      <a:t>4,7 %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1A2-4E1B-923E-C590F7FD8DF1}"/>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List1!$C$2</c:f>
              <c:numCache>
                <c:formatCode>General</c:formatCode>
                <c:ptCount val="1"/>
                <c:pt idx="0">
                  <c:v>61</c:v>
                </c:pt>
              </c:numCache>
            </c:numRef>
          </c:val>
          <c:extLst>
            <c:ext xmlns:c16="http://schemas.microsoft.com/office/drawing/2014/chart" uri="{C3380CC4-5D6E-409C-BE32-E72D297353CC}">
              <c16:uniqueId val="{00000003-31A2-4E1B-923E-C590F7FD8DF1}"/>
            </c:ext>
          </c:extLst>
        </c:ser>
        <c:ser>
          <c:idx val="2"/>
          <c:order val="2"/>
          <c:tx>
            <c:strRef>
              <c:f>List1!$D$1</c:f>
              <c:strCache>
                <c:ptCount val="1"/>
                <c:pt idx="0">
                  <c:v>třetí země a nezjištěné</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001100110011002E-2"/>
                  <c:y val="-3.4013605442176874E-2"/>
                </c:manualLayout>
              </c:layout>
              <c:tx>
                <c:rich>
                  <a:bodyPr/>
                  <a:lstStyle/>
                  <a:p>
                    <a:fld id="{3A6B6875-835D-466A-B321-E765FD061C9B}" type="VALUE">
                      <a:rPr lang="en-US" b="0"/>
                      <a:pPr/>
                      <a:t>[HODNOTA]</a:t>
                    </a:fld>
                    <a:endParaRPr lang="en-US" b="0"/>
                  </a:p>
                  <a:p>
                    <a:r>
                      <a:rPr lang="en-US" b="1" baseline="0"/>
                      <a:t>74,8 %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1A2-4E1B-923E-C590F7FD8DF1}"/>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c:f>
              <c:strCache>
                <c:ptCount val="1"/>
                <c:pt idx="0">
                  <c:v>2022/2023</c:v>
                </c:pt>
              </c:strCache>
            </c:strRef>
          </c:cat>
          <c:val>
            <c:numRef>
              <c:f>List1!$D$2</c:f>
              <c:numCache>
                <c:formatCode>General</c:formatCode>
                <c:ptCount val="1"/>
                <c:pt idx="0">
                  <c:v>974</c:v>
                </c:pt>
              </c:numCache>
            </c:numRef>
          </c:val>
          <c:extLst>
            <c:ext xmlns:c16="http://schemas.microsoft.com/office/drawing/2014/chart" uri="{C3380CC4-5D6E-409C-BE32-E72D297353CC}">
              <c16:uniqueId val="{00000005-31A2-4E1B-923E-C590F7FD8DF1}"/>
            </c:ext>
          </c:extLst>
        </c:ser>
        <c:dLbls>
          <c:showLegendKey val="0"/>
          <c:showVal val="0"/>
          <c:showCatName val="0"/>
          <c:showSerName val="0"/>
          <c:showPercent val="0"/>
          <c:showBubbleSize val="0"/>
        </c:dLbls>
        <c:gapWidth val="96"/>
        <c:gapDepth val="0"/>
        <c:shape val="cylinder"/>
        <c:axId val="433650952"/>
        <c:axId val="433643896"/>
        <c:axId val="0"/>
      </c:bar3DChart>
      <c:catAx>
        <c:axId val="433650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43896"/>
        <c:crosses val="autoZero"/>
        <c:auto val="1"/>
        <c:lblAlgn val="ctr"/>
        <c:lblOffset val="100"/>
        <c:noMultiLvlLbl val="0"/>
      </c:catAx>
      <c:valAx>
        <c:axId val="433643896"/>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50952"/>
        <c:crosses val="autoZero"/>
        <c:crossBetween val="between"/>
      </c:valAx>
      <c:spPr>
        <a:noFill/>
        <a:ln>
          <a:noFill/>
        </a:ln>
        <a:effectLst/>
      </c:spPr>
    </c:plotArea>
    <c:legend>
      <c:legendPos val="b"/>
      <c:layout>
        <c:manualLayout>
          <c:xMode val="edge"/>
          <c:yMode val="edge"/>
          <c:x val="3.1590412431926188E-2"/>
          <c:y val="0.87803893916245546"/>
          <c:w val="0.92942603528725576"/>
          <c:h val="6.830052493438319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 žáků </a:t>
            </a:r>
            <a:r>
              <a:rPr lang="cs-CZ" sz="1000" b="1" i="0" u="none" strike="noStrike" cap="none" baseline="0">
                <a:effectLst/>
              </a:rPr>
              <a:t>s jinou než českou státní příslušností </a:t>
            </a:r>
            <a:r>
              <a:rPr lang="cs-CZ" sz="1000" b="1" cap="none" spc="0">
                <a:ln w="0"/>
                <a:solidFill>
                  <a:schemeClr val="tx1"/>
                </a:solidFill>
                <a:effectLst/>
              </a:rPr>
              <a:t>na celkovém počtu</a:t>
            </a:r>
            <a:r>
              <a:rPr lang="cs-CZ" sz="1000" b="1" cap="none" spc="0" baseline="0">
                <a:ln w="0"/>
                <a:solidFill>
                  <a:schemeClr val="tx1"/>
                </a:solidFill>
                <a:effectLst/>
              </a:rPr>
              <a:t> student</a:t>
            </a:r>
            <a:r>
              <a:rPr lang="cs-CZ" sz="1000" b="1" cap="none" spc="0">
                <a:ln w="0"/>
                <a:solidFill>
                  <a:schemeClr val="tx1"/>
                </a:solidFill>
                <a:effectLst/>
              </a:rPr>
              <a:t>ů SŠ v Jihomoravském kraji </a:t>
            </a:r>
          </a:p>
        </c:rich>
      </c:tx>
      <c:layout>
        <c:manualLayout>
          <c:xMode val="edge"/>
          <c:yMode val="edge"/>
          <c:x val="0.14651111111111112"/>
          <c:y val="1.7633985267970541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34033245844263E-2"/>
          <c:y val="8.4356458597249481E-2"/>
          <c:w val="0.86964374453193349"/>
          <c:h val="0.84321451932073155"/>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List1!$B$2:$B$19</c:f>
              <c:numCache>
                <c:formatCode>0.0%</c:formatCode>
                <c:ptCount val="18"/>
                <c:pt idx="0">
                  <c:v>5.0000000000000001E-3</c:v>
                </c:pt>
                <c:pt idx="1">
                  <c:v>7.0000000000000001E-3</c:v>
                </c:pt>
                <c:pt idx="2">
                  <c:v>8.0000000000000002E-3</c:v>
                </c:pt>
                <c:pt idx="3">
                  <c:v>8.9999999999999993E-3</c:v>
                </c:pt>
                <c:pt idx="4">
                  <c:v>0.01</c:v>
                </c:pt>
                <c:pt idx="5">
                  <c:v>1.2E-2</c:v>
                </c:pt>
                <c:pt idx="6">
                  <c:v>1.2999999999999999E-2</c:v>
                </c:pt>
                <c:pt idx="7">
                  <c:v>1.4E-2</c:v>
                </c:pt>
                <c:pt idx="8">
                  <c:v>1.6E-2</c:v>
                </c:pt>
                <c:pt idx="9">
                  <c:v>1.6E-2</c:v>
                </c:pt>
                <c:pt idx="10">
                  <c:v>1.6E-2</c:v>
                </c:pt>
                <c:pt idx="11">
                  <c:v>1.7000000000000001E-2</c:v>
                </c:pt>
                <c:pt idx="12">
                  <c:v>1.7999999999999999E-2</c:v>
                </c:pt>
                <c:pt idx="13">
                  <c:v>0.02</c:v>
                </c:pt>
                <c:pt idx="14">
                  <c:v>0.02</c:v>
                </c:pt>
                <c:pt idx="15">
                  <c:v>1.9E-2</c:v>
                </c:pt>
                <c:pt idx="16">
                  <c:v>1.9E-2</c:v>
                </c:pt>
                <c:pt idx="17">
                  <c:v>2.5999999999999999E-2</c:v>
                </c:pt>
              </c:numCache>
            </c:numRef>
          </c:val>
          <c:shape val="cylinder"/>
          <c:extLst>
            <c:ext xmlns:c16="http://schemas.microsoft.com/office/drawing/2014/chart" uri="{C3380CC4-5D6E-409C-BE32-E72D297353CC}">
              <c16:uniqueId val="{00000000-39B9-4497-97D5-8EACB1D3DBFF}"/>
            </c:ext>
          </c:extLst>
        </c:ser>
        <c:dLbls>
          <c:showLegendKey val="0"/>
          <c:showVal val="0"/>
          <c:showCatName val="0"/>
          <c:showSerName val="0"/>
          <c:showPercent val="0"/>
          <c:showBubbleSize val="0"/>
        </c:dLbls>
        <c:gapWidth val="95"/>
        <c:shape val="box"/>
        <c:axId val="433648208"/>
        <c:axId val="433649776"/>
        <c:axId val="0"/>
      </c:bar3DChart>
      <c:catAx>
        <c:axId val="433648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49776"/>
        <c:crosses val="autoZero"/>
        <c:auto val="1"/>
        <c:lblAlgn val="ctr"/>
        <c:lblOffset val="100"/>
        <c:noMultiLvlLbl val="0"/>
      </c:catAx>
      <c:valAx>
        <c:axId val="433649776"/>
        <c:scaling>
          <c:orientation val="minMax"/>
          <c:min val="3.0000000000000009E-3"/>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4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Struktura</a:t>
            </a:r>
            <a:r>
              <a:rPr lang="cs-CZ" sz="1000" b="1" baseline="0"/>
              <a:t> uchazečů o zaměstnání v Jihomoravském kraji podle věku</a:t>
            </a:r>
            <a:endParaRPr lang="cs-CZ" sz="1000" b="1"/>
          </a:p>
        </c:rich>
      </c:tx>
      <c:layout>
        <c:manualLayout>
          <c:xMode val="edge"/>
          <c:yMode val="edge"/>
          <c:x val="0.19922097779467091"/>
          <c:y val="7.9365079365079361E-3"/>
        </c:manualLayout>
      </c:layout>
      <c:overlay val="0"/>
      <c:spPr>
        <a:noFill/>
        <a:ln>
          <a:noFill/>
        </a:ln>
        <a:effectLst/>
      </c:spPr>
    </c:title>
    <c:autoTitleDeleted val="0"/>
    <c:plotArea>
      <c:layout>
        <c:manualLayout>
          <c:layoutTarget val="inner"/>
          <c:xMode val="edge"/>
          <c:yMode val="edge"/>
          <c:x val="7.0418838895823704E-2"/>
          <c:y val="6.1408886389201348E-2"/>
          <c:w val="0.90544512160883894"/>
          <c:h val="0.79659595409616346"/>
        </c:manualLayout>
      </c:layout>
      <c:lineChart>
        <c:grouping val="standard"/>
        <c:varyColors val="0"/>
        <c:ser>
          <c:idx val="0"/>
          <c:order val="0"/>
          <c:tx>
            <c:strRef>
              <c:f>List1!$B$1</c:f>
              <c:strCache>
                <c:ptCount val="1"/>
                <c:pt idx="0">
                  <c:v>15-24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List1!$B$2:$B$10</c:f>
              <c:numCache>
                <c:formatCode>0.0%</c:formatCode>
                <c:ptCount val="9"/>
                <c:pt idx="0">
                  <c:v>0.152</c:v>
                </c:pt>
                <c:pt idx="1">
                  <c:v>0.13900000000000001</c:v>
                </c:pt>
                <c:pt idx="2">
                  <c:v>0.126</c:v>
                </c:pt>
                <c:pt idx="3">
                  <c:v>0.111</c:v>
                </c:pt>
                <c:pt idx="4">
                  <c:v>0.11600000000000001</c:v>
                </c:pt>
                <c:pt idx="5">
                  <c:v>0.115</c:v>
                </c:pt>
                <c:pt idx="6">
                  <c:v>0.124</c:v>
                </c:pt>
                <c:pt idx="7">
                  <c:v>0.11700000000000001</c:v>
                </c:pt>
                <c:pt idx="8">
                  <c:v>0.126</c:v>
                </c:pt>
              </c:numCache>
            </c:numRef>
          </c:val>
          <c:smooth val="0"/>
          <c:extLst>
            <c:ext xmlns:c16="http://schemas.microsoft.com/office/drawing/2014/chart" uri="{C3380CC4-5D6E-409C-BE32-E72D297353CC}">
              <c16:uniqueId val="{00000000-9346-4E79-B4E0-E0131DA1C0CD}"/>
            </c:ext>
          </c:extLst>
        </c:ser>
        <c:ser>
          <c:idx val="1"/>
          <c:order val="1"/>
          <c:tx>
            <c:strRef>
              <c:f>List1!$C$1</c:f>
              <c:strCache>
                <c:ptCount val="1"/>
                <c:pt idx="0">
                  <c:v>25-39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13439817554347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46-4E79-B4E0-E0131DA1C0CD}"/>
                </c:ext>
              </c:extLst>
            </c:dLbl>
            <c:dLbl>
              <c:idx val="2"/>
              <c:layout>
                <c:manualLayout>
                  <c:x val="-4.1343981755434751E-2"/>
                  <c:y val="1.5873015873015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46-4E79-B4E0-E0131DA1C0CD}"/>
                </c:ext>
              </c:extLst>
            </c:dLbl>
            <c:spPr>
              <a:solidFill>
                <a:schemeClr val="accent2">
                  <a:lumMod val="20000"/>
                  <a:lumOff val="80000"/>
                  <a:alpha val="92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List1!$C$2:$C$10</c:f>
              <c:numCache>
                <c:formatCode>0.0%</c:formatCode>
                <c:ptCount val="9"/>
                <c:pt idx="0">
                  <c:v>0.35199999999999998</c:v>
                </c:pt>
                <c:pt idx="1">
                  <c:v>0.34100000000000003</c:v>
                </c:pt>
                <c:pt idx="2">
                  <c:v>0.33100000000000002</c:v>
                </c:pt>
                <c:pt idx="3">
                  <c:v>0.314</c:v>
                </c:pt>
                <c:pt idx="4">
                  <c:v>0.309</c:v>
                </c:pt>
                <c:pt idx="5">
                  <c:v>0.30599999999999999</c:v>
                </c:pt>
                <c:pt idx="6">
                  <c:v>0.31</c:v>
                </c:pt>
                <c:pt idx="7">
                  <c:v>0.28899999999999998</c:v>
                </c:pt>
                <c:pt idx="8">
                  <c:v>0.28699999999999998</c:v>
                </c:pt>
              </c:numCache>
            </c:numRef>
          </c:val>
          <c:smooth val="0"/>
          <c:extLst>
            <c:ext xmlns:c16="http://schemas.microsoft.com/office/drawing/2014/chart" uri="{C3380CC4-5D6E-409C-BE32-E72D297353CC}">
              <c16:uniqueId val="{00000003-9346-4E79-B4E0-E0131DA1C0CD}"/>
            </c:ext>
          </c:extLst>
        </c:ser>
        <c:ser>
          <c:idx val="2"/>
          <c:order val="2"/>
          <c:tx>
            <c:strRef>
              <c:f>List1!$D$1</c:f>
              <c:strCache>
                <c:ptCount val="1"/>
                <c:pt idx="0">
                  <c:v>40-54</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dLbls>
            <c:dLbl>
              <c:idx val="1"/>
              <c:layout>
                <c:manualLayout>
                  <c:x val="-3.7218913187140733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46-4E79-B4E0-E0131DA1C0CD}"/>
                </c:ext>
              </c:extLst>
            </c:dLbl>
            <c:dLbl>
              <c:idx val="2"/>
              <c:layout>
                <c:manualLayout>
                  <c:x val="-4.5995654821808819E-2"/>
                  <c:y val="-2.3809523809523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46-4E79-B4E0-E0131DA1C0CD}"/>
                </c:ext>
              </c:extLst>
            </c:dLbl>
            <c:dLbl>
              <c:idx val="3"/>
              <c:layout>
                <c:manualLayout>
                  <c:x val="-4.1607284004474838E-2"/>
                  <c:y val="-7.93650793650795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46-4E79-B4E0-E0131DA1C0CD}"/>
                </c:ext>
              </c:extLst>
            </c:dLbl>
            <c:dLbl>
              <c:idx val="4"/>
              <c:layout>
                <c:manualLayout>
                  <c:x val="-4.1607284004474755E-2"/>
                  <c:y val="-7.93650793650793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46-4E79-B4E0-E0131DA1C0CD}"/>
                </c:ext>
              </c:extLst>
            </c:dLbl>
            <c:spPr>
              <a:solidFill>
                <a:schemeClr val="accent6">
                  <a:lumMod val="20000"/>
                  <a:lumOff val="80000"/>
                  <a:alpha val="99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List1!$D$2:$D$10</c:f>
              <c:numCache>
                <c:formatCode>0.0%</c:formatCode>
                <c:ptCount val="9"/>
                <c:pt idx="0">
                  <c:v>0.32200000000000001</c:v>
                </c:pt>
                <c:pt idx="1">
                  <c:v>0.33100000000000002</c:v>
                </c:pt>
                <c:pt idx="2">
                  <c:v>0.34100000000000003</c:v>
                </c:pt>
                <c:pt idx="3">
                  <c:v>0.34699999999999998</c:v>
                </c:pt>
                <c:pt idx="4">
                  <c:v>0.33700000000000002</c:v>
                </c:pt>
                <c:pt idx="5">
                  <c:v>0.34300000000000003</c:v>
                </c:pt>
                <c:pt idx="6">
                  <c:v>0.33500000000000002</c:v>
                </c:pt>
                <c:pt idx="7">
                  <c:v>0.33600000000000002</c:v>
                </c:pt>
                <c:pt idx="8">
                  <c:v>0.33700000000000002</c:v>
                </c:pt>
              </c:numCache>
            </c:numRef>
          </c:val>
          <c:smooth val="0"/>
          <c:extLst>
            <c:ext xmlns:c16="http://schemas.microsoft.com/office/drawing/2014/chart" uri="{C3380CC4-5D6E-409C-BE32-E72D297353CC}">
              <c16:uniqueId val="{00000008-9346-4E79-B4E0-E0131DA1C0CD}"/>
            </c:ext>
          </c:extLst>
        </c:ser>
        <c:ser>
          <c:idx val="3"/>
          <c:order val="3"/>
          <c:tx>
            <c:strRef>
              <c:f>List1!$E$1</c:f>
              <c:strCache>
                <c:ptCount val="1"/>
                <c:pt idx="0">
                  <c:v>55 a více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alpha val="51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List1!$E$2:$E$10</c:f>
              <c:numCache>
                <c:formatCode>0.0%</c:formatCode>
                <c:ptCount val="9"/>
                <c:pt idx="0">
                  <c:v>0.17399999999999999</c:v>
                </c:pt>
                <c:pt idx="1">
                  <c:v>0.189</c:v>
                </c:pt>
                <c:pt idx="2">
                  <c:v>0.20200000000000001</c:v>
                </c:pt>
                <c:pt idx="3">
                  <c:v>0.22800000000000001</c:v>
                </c:pt>
                <c:pt idx="4">
                  <c:v>0.23799999999999999</c:v>
                </c:pt>
                <c:pt idx="5">
                  <c:v>0.23599999999999999</c:v>
                </c:pt>
                <c:pt idx="6">
                  <c:v>0.23100000000000001</c:v>
                </c:pt>
                <c:pt idx="7">
                  <c:v>0.25800000000000001</c:v>
                </c:pt>
                <c:pt idx="8">
                  <c:v>0.249</c:v>
                </c:pt>
              </c:numCache>
            </c:numRef>
          </c:val>
          <c:smooth val="0"/>
          <c:extLst>
            <c:ext xmlns:c16="http://schemas.microsoft.com/office/drawing/2014/chart" uri="{C3380CC4-5D6E-409C-BE32-E72D297353CC}">
              <c16:uniqueId val="{00000009-9346-4E79-B4E0-E0131DA1C0CD}"/>
            </c:ext>
          </c:extLst>
        </c:ser>
        <c:dLbls>
          <c:showLegendKey val="0"/>
          <c:showVal val="0"/>
          <c:showCatName val="0"/>
          <c:showSerName val="0"/>
          <c:showPercent val="0"/>
          <c:showBubbleSize val="0"/>
        </c:dLbls>
        <c:marker val="1"/>
        <c:smooth val="0"/>
        <c:axId val="433647032"/>
        <c:axId val="433650560"/>
      </c:lineChart>
      <c:catAx>
        <c:axId val="43364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50560"/>
        <c:crosses val="autoZero"/>
        <c:auto val="1"/>
        <c:lblAlgn val="ctr"/>
        <c:lblOffset val="100"/>
        <c:noMultiLvlLbl val="0"/>
      </c:catAx>
      <c:valAx>
        <c:axId val="433650560"/>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3647032"/>
        <c:crosses val="autoZero"/>
        <c:crossBetween val="between"/>
      </c:valAx>
      <c:spPr>
        <a:noFill/>
        <a:ln>
          <a:noFill/>
        </a:ln>
        <a:effectLst/>
      </c:spPr>
    </c:plotArea>
    <c:legend>
      <c:legendPos val="b"/>
      <c:layout>
        <c:manualLayout>
          <c:xMode val="edge"/>
          <c:yMode val="edge"/>
          <c:x val="0.24917394102478824"/>
          <c:y val="0.93169947506561679"/>
          <c:w val="0.50604048876775753"/>
          <c:h val="6.83005249343831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Struktura</a:t>
            </a:r>
            <a:r>
              <a:rPr lang="cs-CZ" sz="1000" b="1" baseline="0"/>
              <a:t> uchazečů o zaměstnání v Jihomoravském kraji podle délky nezaměstnanosti </a:t>
            </a:r>
          </a:p>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baseline="0"/>
              <a:t>(0-12 měsíců)</a:t>
            </a:r>
            <a:endParaRPr lang="cs-CZ" sz="1000" b="1"/>
          </a:p>
        </c:rich>
      </c:tx>
      <c:layout>
        <c:manualLayout>
          <c:xMode val="edge"/>
          <c:yMode val="edge"/>
          <c:x val="0.14410629226902191"/>
          <c:y val="7.9366183467349267E-3"/>
        </c:manualLayout>
      </c:layout>
      <c:overlay val="0"/>
      <c:spPr>
        <a:noFill/>
        <a:ln>
          <a:noFill/>
        </a:ln>
        <a:effectLst/>
      </c:spPr>
    </c:title>
    <c:autoTitleDeleted val="0"/>
    <c:plotArea>
      <c:layout>
        <c:manualLayout>
          <c:layoutTarget val="inner"/>
          <c:xMode val="edge"/>
          <c:yMode val="edge"/>
          <c:x val="7.0418838895823704E-2"/>
          <c:y val="7.1535182099769917E-2"/>
          <c:w val="0.90544512160883894"/>
          <c:h val="0.79240869104810407"/>
        </c:manualLayout>
      </c:layout>
      <c:lineChart>
        <c:grouping val="standard"/>
        <c:varyColors val="0"/>
        <c:ser>
          <c:idx val="0"/>
          <c:order val="0"/>
          <c:tx>
            <c:strRef>
              <c:f>List1!$B$1</c:f>
              <c:strCache>
                <c:ptCount val="1"/>
                <c:pt idx="0">
                  <c:v>0-3 měsíce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189840230475851E-2"/>
                  <c:y val="-1.6517935258092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7D-465F-A62D-8B96D882BC34}"/>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List1!$B$2:$B$10</c:f>
              <c:numCache>
                <c:formatCode>0.0%</c:formatCode>
                <c:ptCount val="9"/>
                <c:pt idx="0">
                  <c:v>0.246</c:v>
                </c:pt>
                <c:pt idx="1">
                  <c:v>0.27600000000000002</c:v>
                </c:pt>
                <c:pt idx="2">
                  <c:v>0.29299999999999998</c:v>
                </c:pt>
                <c:pt idx="3">
                  <c:v>0.33200000000000002</c:v>
                </c:pt>
                <c:pt idx="4">
                  <c:v>0.377</c:v>
                </c:pt>
                <c:pt idx="5">
                  <c:v>0.40200000000000002</c:v>
                </c:pt>
                <c:pt idx="6">
                  <c:v>0.307</c:v>
                </c:pt>
                <c:pt idx="7">
                  <c:v>0.29899999999999999</c:v>
                </c:pt>
                <c:pt idx="8">
                  <c:v>0.32600000000000001</c:v>
                </c:pt>
              </c:numCache>
            </c:numRef>
          </c:val>
          <c:smooth val="0"/>
          <c:extLst>
            <c:ext xmlns:c16="http://schemas.microsoft.com/office/drawing/2014/chart" uri="{C3380CC4-5D6E-409C-BE32-E72D297353CC}">
              <c16:uniqueId val="{00000001-DA7D-465F-A62D-8B96D882BC34}"/>
            </c:ext>
          </c:extLst>
        </c:ser>
        <c:ser>
          <c:idx val="1"/>
          <c:order val="1"/>
          <c:tx>
            <c:strRef>
              <c:f>List1!$C$1</c:f>
              <c:strCache>
                <c:ptCount val="1"/>
                <c:pt idx="0">
                  <c:v>3-6 měsíců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accent2">
                  <a:lumMod val="40000"/>
                  <a:lumOff val="6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List1!$C$2:$C$10</c:f>
              <c:numCache>
                <c:formatCode>0.0%</c:formatCode>
                <c:ptCount val="9"/>
                <c:pt idx="0">
                  <c:v>0.154</c:v>
                </c:pt>
                <c:pt idx="1">
                  <c:v>0.157</c:v>
                </c:pt>
                <c:pt idx="2">
                  <c:v>0.158</c:v>
                </c:pt>
                <c:pt idx="3">
                  <c:v>0.16500000000000001</c:v>
                </c:pt>
                <c:pt idx="4">
                  <c:v>0.17799999999999999</c:v>
                </c:pt>
                <c:pt idx="5">
                  <c:v>0.193</c:v>
                </c:pt>
                <c:pt idx="6">
                  <c:v>0.20599999999999999</c:v>
                </c:pt>
                <c:pt idx="7">
                  <c:v>0.17199999999999999</c:v>
                </c:pt>
                <c:pt idx="8">
                  <c:v>0.2</c:v>
                </c:pt>
              </c:numCache>
            </c:numRef>
          </c:val>
          <c:smooth val="0"/>
          <c:extLst>
            <c:ext xmlns:c16="http://schemas.microsoft.com/office/drawing/2014/chart" uri="{C3380CC4-5D6E-409C-BE32-E72D297353CC}">
              <c16:uniqueId val="{00000002-DA7D-465F-A62D-8B96D882BC34}"/>
            </c:ext>
          </c:extLst>
        </c:ser>
        <c:ser>
          <c:idx val="2"/>
          <c:order val="2"/>
          <c:tx>
            <c:strRef>
              <c:f>List1!$D$1</c:f>
              <c:strCache>
                <c:ptCount val="1"/>
                <c:pt idx="0">
                  <c:v>6-12 měsíců</c:v>
                </c:pt>
              </c:strCache>
            </c:strRef>
          </c:tx>
          <c:spPr>
            <a:ln w="28575" cap="rnd">
              <a:solidFill>
                <a:schemeClr val="accent6"/>
              </a:solidFill>
              <a:round/>
            </a:ln>
            <a:effectLst/>
          </c:spPr>
          <c:marker>
            <c:symbol val="circle"/>
            <c:size val="5"/>
            <c:spPr>
              <a:solidFill>
                <a:schemeClr val="accent6"/>
              </a:solidFill>
              <a:ln w="9525">
                <a:solidFill>
                  <a:schemeClr val="accent3"/>
                </a:solidFill>
              </a:ln>
              <a:effectLst/>
            </c:spPr>
          </c:marker>
          <c:dPt>
            <c:idx val="0"/>
            <c:bubble3D val="0"/>
            <c:extLst>
              <c:ext xmlns:c16="http://schemas.microsoft.com/office/drawing/2014/chart" uri="{C3380CC4-5D6E-409C-BE32-E72D297353CC}">
                <c16:uniqueId val="{00000003-DA7D-465F-A62D-8B96D882BC34}"/>
              </c:ext>
            </c:extLst>
          </c:dPt>
          <c:dLbls>
            <c:spPr>
              <a:solidFill>
                <a:schemeClr val="accent6">
                  <a:lumMod val="20000"/>
                  <a:lumOff val="80000"/>
                </a:schemeClr>
              </a:solidFill>
              <a:ln>
                <a:noFill/>
              </a:ln>
              <a:effectLst/>
            </c:spPr>
            <c:txPr>
              <a:bodyPr rot="0" spcFirstLastPara="1" vertOverflow="ellipsis" vert="horz" wrap="square" lIns="38100" tIns="0" rIns="3810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List1!$D$2:$D$10</c:f>
              <c:numCache>
                <c:formatCode>0.0%</c:formatCode>
                <c:ptCount val="9"/>
                <c:pt idx="0">
                  <c:v>0.158</c:v>
                </c:pt>
                <c:pt idx="1">
                  <c:v>0.14599999999999999</c:v>
                </c:pt>
                <c:pt idx="2">
                  <c:v>0.153</c:v>
                </c:pt>
                <c:pt idx="3">
                  <c:v>0.14499999999999999</c:v>
                </c:pt>
                <c:pt idx="4">
                  <c:v>0.14799999999999999</c:v>
                </c:pt>
                <c:pt idx="5">
                  <c:v>0.153</c:v>
                </c:pt>
                <c:pt idx="6">
                  <c:v>0.20699999999999999</c:v>
                </c:pt>
                <c:pt idx="7">
                  <c:v>0.16200000000000001</c:v>
                </c:pt>
                <c:pt idx="8">
                  <c:v>0.153</c:v>
                </c:pt>
              </c:numCache>
            </c:numRef>
          </c:val>
          <c:smooth val="0"/>
          <c:extLst>
            <c:ext xmlns:c16="http://schemas.microsoft.com/office/drawing/2014/chart" uri="{C3380CC4-5D6E-409C-BE32-E72D297353CC}">
              <c16:uniqueId val="{00000004-DA7D-465F-A62D-8B96D882BC34}"/>
            </c:ext>
          </c:extLst>
        </c:ser>
        <c:dLbls>
          <c:showLegendKey val="0"/>
          <c:showVal val="0"/>
          <c:showCatName val="0"/>
          <c:showSerName val="0"/>
          <c:showPercent val="0"/>
          <c:showBubbleSize val="0"/>
        </c:dLbls>
        <c:marker val="1"/>
        <c:smooth val="0"/>
        <c:axId val="433652128"/>
        <c:axId val="433645464"/>
      </c:lineChart>
      <c:catAx>
        <c:axId val="4336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45464"/>
        <c:crosses val="autoZero"/>
        <c:auto val="1"/>
        <c:lblAlgn val="ctr"/>
        <c:lblOffset val="100"/>
        <c:noMultiLvlLbl val="0"/>
      </c:catAx>
      <c:valAx>
        <c:axId val="433645464"/>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3652128"/>
        <c:crosses val="autoZero"/>
        <c:crossBetween val="between"/>
      </c:valAx>
      <c:spPr>
        <a:noFill/>
        <a:ln>
          <a:noFill/>
        </a:ln>
        <a:effectLst/>
      </c:spPr>
    </c:plotArea>
    <c:legend>
      <c:legendPos val="b"/>
      <c:layout>
        <c:manualLayout>
          <c:xMode val="edge"/>
          <c:yMode val="edge"/>
          <c:x val="0.24917394102478824"/>
          <c:y val="0.92376296712910899"/>
          <c:w val="0.52444434029079701"/>
          <c:h val="7.078647864883638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Struktura</a:t>
            </a:r>
            <a:r>
              <a:rPr lang="cs-CZ" sz="1000" b="1" baseline="0"/>
              <a:t> uchazečů o zaměstnání v Jihomoravském kraji podle délky nezaměstnanosti     (12 a více měsíců)</a:t>
            </a:r>
            <a:endParaRPr lang="cs-CZ" sz="1000" b="1"/>
          </a:p>
        </c:rich>
      </c:tx>
      <c:layout>
        <c:manualLayout>
          <c:xMode val="edge"/>
          <c:yMode val="edge"/>
          <c:x val="0.14410629226902191"/>
          <c:y val="7.9366183467349267E-3"/>
        </c:manualLayout>
      </c:layout>
      <c:overlay val="0"/>
      <c:spPr>
        <a:noFill/>
        <a:ln>
          <a:noFill/>
        </a:ln>
        <a:effectLst/>
      </c:spPr>
    </c:title>
    <c:autoTitleDeleted val="0"/>
    <c:plotArea>
      <c:layout>
        <c:manualLayout>
          <c:layoutTarget val="inner"/>
          <c:xMode val="edge"/>
          <c:yMode val="edge"/>
          <c:x val="7.0418838895823704E-2"/>
          <c:y val="0.14793013758329046"/>
          <c:w val="0.90544512160883894"/>
          <c:h val="0.68453652158994771"/>
        </c:manualLayout>
      </c:layout>
      <c:lineChart>
        <c:grouping val="standard"/>
        <c:varyColors val="0"/>
        <c:ser>
          <c:idx val="0"/>
          <c:order val="0"/>
          <c:tx>
            <c:strRef>
              <c:f>List1!$B$1</c:f>
              <c:strCache>
                <c:ptCount val="1"/>
                <c:pt idx="0">
                  <c:v>12-24 měsíců</c:v>
                </c:pt>
              </c:strCache>
            </c:strRef>
          </c:tx>
          <c:spPr>
            <a:ln w="28575" cap="rnd">
              <a:solidFill>
                <a:srgbClr val="C00000"/>
              </a:solidFill>
              <a:round/>
            </a:ln>
            <a:effectLst/>
          </c:spPr>
          <c:marker>
            <c:symbol val="circle"/>
            <c:size val="5"/>
            <c:spPr>
              <a:solidFill>
                <a:srgbClr val="C00000"/>
              </a:solidFill>
              <a:ln w="9525">
                <a:solidFill>
                  <a:schemeClr val="accent1"/>
                </a:solidFill>
              </a:ln>
              <a:effectLst/>
            </c:spPr>
          </c:marker>
          <c:dLbls>
            <c:dLbl>
              <c:idx val="5"/>
              <c:layout>
                <c:manualLayout>
                  <c:x val="-3.7279541446208111E-2"/>
                  <c:y val="-5.1796736417122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C5-4BE8-8DC9-51F3F82E9F22}"/>
                </c:ext>
              </c:extLst>
            </c:dLbl>
            <c:dLbl>
              <c:idx val="7"/>
              <c:layout>
                <c:manualLayout>
                  <c:x val="-3.519074004638325E-2"/>
                  <c:y val="6.0333742685833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C5-4BE8-8DC9-51F3F82E9F22}"/>
                </c:ext>
              </c:extLst>
            </c:dLbl>
            <c:spPr>
              <a:solidFill>
                <a:srgbClr val="C00000">
                  <a:alpha val="9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List1!$B$2:$B$10</c:f>
              <c:numCache>
                <c:formatCode>0.0%</c:formatCode>
                <c:ptCount val="9"/>
                <c:pt idx="0">
                  <c:v>0.17</c:v>
                </c:pt>
                <c:pt idx="1">
                  <c:v>0.13400000000000001</c:v>
                </c:pt>
                <c:pt idx="2">
                  <c:v>0.126</c:v>
                </c:pt>
                <c:pt idx="3">
                  <c:v>0.11</c:v>
                </c:pt>
                <c:pt idx="4">
                  <c:v>9.7000000000000003E-2</c:v>
                </c:pt>
                <c:pt idx="5">
                  <c:v>9.5000000000000001E-2</c:v>
                </c:pt>
                <c:pt idx="6">
                  <c:v>0.14299999999999999</c:v>
                </c:pt>
                <c:pt idx="7">
                  <c:v>0.17</c:v>
                </c:pt>
                <c:pt idx="8">
                  <c:v>0.11700000000000001</c:v>
                </c:pt>
              </c:numCache>
            </c:numRef>
          </c:val>
          <c:smooth val="0"/>
          <c:extLst>
            <c:ext xmlns:c16="http://schemas.microsoft.com/office/drawing/2014/chart" uri="{C3380CC4-5D6E-409C-BE32-E72D297353CC}">
              <c16:uniqueId val="{00000002-8CC5-4BE8-8DC9-51F3F82E9F22}"/>
            </c:ext>
          </c:extLst>
        </c:ser>
        <c:ser>
          <c:idx val="1"/>
          <c:order val="1"/>
          <c:tx>
            <c:strRef>
              <c:f>List1!$C$1</c:f>
              <c:strCache>
                <c:ptCount val="1"/>
                <c:pt idx="0">
                  <c:v>24 měsíců a více</c:v>
                </c:pt>
              </c:strCache>
            </c:strRef>
          </c:tx>
          <c:spPr>
            <a:ln w="28575" cap="rnd">
              <a:solidFill>
                <a:srgbClr val="7030A0"/>
              </a:solidFill>
              <a:round/>
            </a:ln>
            <a:effectLst/>
          </c:spPr>
          <c:marker>
            <c:symbol val="circle"/>
            <c:size val="5"/>
            <c:spPr>
              <a:solidFill>
                <a:srgbClr val="7030A0"/>
              </a:solidFill>
              <a:ln w="9525">
                <a:solidFill>
                  <a:schemeClr val="accent2"/>
                </a:solidFill>
              </a:ln>
              <a:effectLst/>
            </c:spPr>
          </c:marker>
          <c:dLbls>
            <c:dLbl>
              <c:idx val="7"/>
              <c:layout>
                <c:manualLayout>
                  <c:x val="-1.0940299129275508E-2"/>
                  <c:y val="-6.0333742685833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C5-4BE8-8DC9-51F3F82E9F22}"/>
                </c:ext>
              </c:extLst>
            </c:dLbl>
            <c:spPr>
              <a:solidFill>
                <a:srgbClr val="7030A0">
                  <a:alpha val="17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List1!$C$2:$C$10</c:f>
              <c:numCache>
                <c:formatCode>0.0%</c:formatCode>
                <c:ptCount val="9"/>
                <c:pt idx="0">
                  <c:v>0.27200000000000002</c:v>
                </c:pt>
                <c:pt idx="1">
                  <c:v>0.28699999999999998</c:v>
                </c:pt>
                <c:pt idx="2">
                  <c:v>0.27</c:v>
                </c:pt>
                <c:pt idx="3">
                  <c:v>0.248</c:v>
                </c:pt>
                <c:pt idx="4">
                  <c:v>0.2</c:v>
                </c:pt>
                <c:pt idx="5">
                  <c:v>0.157</c:v>
                </c:pt>
                <c:pt idx="6">
                  <c:v>0.13700000000000001</c:v>
                </c:pt>
                <c:pt idx="7">
                  <c:v>0.19700000000000001</c:v>
                </c:pt>
                <c:pt idx="8">
                  <c:v>0.20300000000000001</c:v>
                </c:pt>
              </c:numCache>
            </c:numRef>
          </c:val>
          <c:smooth val="0"/>
          <c:extLst>
            <c:ext xmlns:c16="http://schemas.microsoft.com/office/drawing/2014/chart" uri="{C3380CC4-5D6E-409C-BE32-E72D297353CC}">
              <c16:uniqueId val="{00000004-8CC5-4BE8-8DC9-51F3F82E9F22}"/>
            </c:ext>
          </c:extLst>
        </c:ser>
        <c:dLbls>
          <c:showLegendKey val="0"/>
          <c:showVal val="0"/>
          <c:showCatName val="0"/>
          <c:showSerName val="0"/>
          <c:showPercent val="0"/>
          <c:showBubbleSize val="0"/>
        </c:dLbls>
        <c:marker val="1"/>
        <c:smooth val="0"/>
        <c:axId val="433653696"/>
        <c:axId val="433644288"/>
      </c:lineChart>
      <c:catAx>
        <c:axId val="4336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44288"/>
        <c:crosses val="autoZero"/>
        <c:auto val="1"/>
        <c:lblAlgn val="ctr"/>
        <c:lblOffset val="100"/>
        <c:noMultiLvlLbl val="0"/>
      </c:catAx>
      <c:valAx>
        <c:axId val="433644288"/>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3653696"/>
        <c:crosses val="autoZero"/>
        <c:crossBetween val="between"/>
      </c:valAx>
      <c:spPr>
        <a:noFill/>
        <a:ln>
          <a:noFill/>
        </a:ln>
        <a:effectLst/>
      </c:spPr>
    </c:plotArea>
    <c:legend>
      <c:legendPos val="b"/>
      <c:layout>
        <c:manualLayout>
          <c:xMode val="edge"/>
          <c:yMode val="edge"/>
          <c:x val="0.14335378216611813"/>
          <c:y val="0.93378057269512982"/>
          <c:w val="0.75082611201377603"/>
          <c:h val="6.569719325624837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Struktura</a:t>
            </a:r>
            <a:r>
              <a:rPr lang="cs-CZ" sz="1000" b="1" baseline="0"/>
              <a:t> uchazečů o zaměstnání v Jihomoravském kraji v letech 2015-2022 podle dosaženého vzdělání</a:t>
            </a:r>
            <a:endParaRPr lang="cs-CZ" sz="1000" b="1"/>
          </a:p>
        </c:rich>
      </c:tx>
      <c:layout>
        <c:manualLayout>
          <c:xMode val="edge"/>
          <c:yMode val="edge"/>
          <c:x val="0.14410629226902194"/>
          <c:y val="9.7753960295672831E-4"/>
        </c:manualLayout>
      </c:layout>
      <c:overlay val="0"/>
      <c:spPr>
        <a:noFill/>
        <a:ln>
          <a:noFill/>
        </a:ln>
        <a:effectLst/>
      </c:spPr>
    </c:title>
    <c:autoTitleDeleted val="0"/>
    <c:plotArea>
      <c:layout>
        <c:manualLayout>
          <c:layoutTarget val="inner"/>
          <c:xMode val="edge"/>
          <c:yMode val="edge"/>
          <c:x val="7.0418838895823704E-2"/>
          <c:y val="5.746387651439186E-2"/>
          <c:w val="0.92958119818356044"/>
          <c:h val="0.79127447273683693"/>
        </c:manualLayout>
      </c:layout>
      <c:lineChart>
        <c:grouping val="standard"/>
        <c:varyColors val="0"/>
        <c:ser>
          <c:idx val="0"/>
          <c:order val="0"/>
          <c:tx>
            <c:strRef>
              <c:f>List1!$B$1</c:f>
              <c:strCache>
                <c:ptCount val="1"/>
                <c:pt idx="0">
                  <c:v>Základní vzdělání (vč.
neukončeného)</c:v>
                </c:pt>
              </c:strCache>
            </c:strRef>
          </c:tx>
          <c:spPr>
            <a:ln w="28575" cap="rnd">
              <a:solidFill>
                <a:srgbClr val="C00000"/>
              </a:solidFill>
              <a:round/>
            </a:ln>
            <a:effectLst/>
          </c:spPr>
          <c:marker>
            <c:symbol val="circle"/>
            <c:size val="5"/>
            <c:spPr>
              <a:solidFill>
                <a:srgbClr val="C00000"/>
              </a:solidFill>
              <a:ln w="9525">
                <a:noFill/>
              </a:ln>
              <a:effectLst/>
            </c:spPr>
          </c:marker>
          <c:dLbls>
            <c:dLbl>
              <c:idx val="0"/>
              <c:layout>
                <c:manualLayout>
                  <c:x val="-4.1539946395589437E-2"/>
                  <c:y val="-6.6860645189434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46-46C9-9DB2-1EA74B21F3FD}"/>
                </c:ext>
              </c:extLst>
            </c:dLbl>
            <c:spPr>
              <a:solidFill>
                <a:srgbClr val="C00000">
                  <a:alpha val="9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List1!$B$2:$B$9</c:f>
              <c:numCache>
                <c:formatCode>0.0%</c:formatCode>
                <c:ptCount val="8"/>
                <c:pt idx="0">
                  <c:v>0.23899999999999999</c:v>
                </c:pt>
                <c:pt idx="1">
                  <c:v>0.25</c:v>
                </c:pt>
                <c:pt idx="2">
                  <c:v>0.25600000000000001</c:v>
                </c:pt>
                <c:pt idx="3">
                  <c:v>0.25900000000000001</c:v>
                </c:pt>
                <c:pt idx="4">
                  <c:v>0.26100000000000001</c:v>
                </c:pt>
                <c:pt idx="5">
                  <c:v>0.254</c:v>
                </c:pt>
                <c:pt idx="6">
                  <c:v>0.26400000000000001</c:v>
                </c:pt>
                <c:pt idx="7">
                  <c:v>0.26400000000000001</c:v>
                </c:pt>
              </c:numCache>
            </c:numRef>
          </c:val>
          <c:smooth val="0"/>
          <c:extLst>
            <c:ext xmlns:c16="http://schemas.microsoft.com/office/drawing/2014/chart" uri="{C3380CC4-5D6E-409C-BE32-E72D297353CC}">
              <c16:uniqueId val="{00000001-D446-46C9-9DB2-1EA74B21F3FD}"/>
            </c:ext>
          </c:extLst>
        </c:ser>
        <c:ser>
          <c:idx val="1"/>
          <c:order val="1"/>
          <c:tx>
            <c:strRef>
              <c:f>List1!$C$1</c:f>
              <c:strCache>
                <c:ptCount val="1"/>
                <c:pt idx="0">
                  <c:v>Střední bez maturity</c:v>
                </c:pt>
              </c:strCache>
            </c:strRef>
          </c:tx>
          <c:spPr>
            <a:ln w="28575" cap="rnd">
              <a:solidFill>
                <a:srgbClr val="7030A0"/>
              </a:solidFill>
              <a:round/>
            </a:ln>
            <a:effectLst/>
          </c:spPr>
          <c:marker>
            <c:symbol val="circle"/>
            <c:size val="5"/>
            <c:spPr>
              <a:solidFill>
                <a:srgbClr val="7030A0"/>
              </a:solidFill>
              <a:ln w="9525">
                <a:noFill/>
              </a:ln>
              <a:effectLst/>
            </c:spPr>
          </c:marker>
          <c:dLbls>
            <c:spPr>
              <a:solidFill>
                <a:srgbClr val="7030A0">
                  <a:alpha val="26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List1!$C$2:$C$9</c:f>
              <c:numCache>
                <c:formatCode>0.0%</c:formatCode>
                <c:ptCount val="8"/>
                <c:pt idx="0">
                  <c:v>0.41599999999999998</c:v>
                </c:pt>
                <c:pt idx="1">
                  <c:v>0.41299999999999998</c:v>
                </c:pt>
                <c:pt idx="2">
                  <c:v>0.40400000000000003</c:v>
                </c:pt>
                <c:pt idx="3">
                  <c:v>0.39800000000000002</c:v>
                </c:pt>
                <c:pt idx="4">
                  <c:v>0.39200000000000002</c:v>
                </c:pt>
                <c:pt idx="5">
                  <c:v>0.38300000000000001</c:v>
                </c:pt>
                <c:pt idx="6">
                  <c:v>0.377</c:v>
                </c:pt>
                <c:pt idx="7">
                  <c:v>0.36699999999999999</c:v>
                </c:pt>
              </c:numCache>
            </c:numRef>
          </c:val>
          <c:smooth val="0"/>
          <c:extLst>
            <c:ext xmlns:c16="http://schemas.microsoft.com/office/drawing/2014/chart" uri="{C3380CC4-5D6E-409C-BE32-E72D297353CC}">
              <c16:uniqueId val="{00000002-D446-46C9-9DB2-1EA74B21F3FD}"/>
            </c:ext>
          </c:extLst>
        </c:ser>
        <c:ser>
          <c:idx val="2"/>
          <c:order val="2"/>
          <c:tx>
            <c:strRef>
              <c:f>List1!$D$1</c:f>
              <c:strCache>
                <c:ptCount val="1"/>
                <c:pt idx="0">
                  <c:v>Úplné střední</c:v>
                </c:pt>
              </c:strCache>
            </c:strRef>
          </c:tx>
          <c:spPr>
            <a:ln w="28575" cap="rnd">
              <a:solidFill>
                <a:srgbClr val="00B050"/>
              </a:solidFill>
              <a:round/>
            </a:ln>
            <a:effectLst/>
          </c:spPr>
          <c:marker>
            <c:symbol val="circle"/>
            <c:size val="5"/>
            <c:spPr>
              <a:solidFill>
                <a:srgbClr val="92D050"/>
              </a:solidFill>
              <a:ln w="9525">
                <a:solidFill>
                  <a:schemeClr val="accent3"/>
                </a:solidFill>
              </a:ln>
              <a:effectLst/>
            </c:spPr>
          </c:marker>
          <c:dLbls>
            <c:dLbl>
              <c:idx val="0"/>
              <c:layout>
                <c:manualLayout>
                  <c:x val="-4.1539946395589437E-2"/>
                  <c:y val="3.3240997229916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46-46C9-9DB2-1EA74B21F3FD}"/>
                </c:ext>
              </c:extLst>
            </c:dLbl>
            <c:spPr>
              <a:solidFill>
                <a:schemeClr val="accent6">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List1!$D$2:$D$9</c:f>
              <c:numCache>
                <c:formatCode>0.0%</c:formatCode>
                <c:ptCount val="8"/>
                <c:pt idx="0">
                  <c:v>0.252</c:v>
                </c:pt>
                <c:pt idx="1">
                  <c:v>0.245</c:v>
                </c:pt>
                <c:pt idx="2">
                  <c:v>0.24299999999999999</c:v>
                </c:pt>
                <c:pt idx="3">
                  <c:v>0.24299999999999999</c:v>
                </c:pt>
                <c:pt idx="4">
                  <c:v>0.24199999999999999</c:v>
                </c:pt>
                <c:pt idx="5">
                  <c:v>0.254</c:v>
                </c:pt>
                <c:pt idx="6">
                  <c:v>0.252</c:v>
                </c:pt>
                <c:pt idx="7">
                  <c:v>0.245</c:v>
                </c:pt>
              </c:numCache>
            </c:numRef>
          </c:val>
          <c:smooth val="0"/>
          <c:extLst>
            <c:ext xmlns:c16="http://schemas.microsoft.com/office/drawing/2014/chart" uri="{C3380CC4-5D6E-409C-BE32-E72D297353CC}">
              <c16:uniqueId val="{00000004-D446-46C9-9DB2-1EA74B21F3FD}"/>
            </c:ext>
          </c:extLst>
        </c:ser>
        <c:ser>
          <c:idx val="3"/>
          <c:order val="3"/>
          <c:tx>
            <c:strRef>
              <c:f>List1!$E$1</c:f>
              <c:strCache>
                <c:ptCount val="1"/>
                <c:pt idx="0">
                  <c:v>VOŠ/VŠ</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chemeClr val="accent4">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List1!$E$2:$E$9</c:f>
              <c:numCache>
                <c:formatCode>0.0%</c:formatCode>
                <c:ptCount val="8"/>
                <c:pt idx="0">
                  <c:v>9.2999999999999999E-2</c:v>
                </c:pt>
                <c:pt idx="1">
                  <c:v>9.1999999999999998E-2</c:v>
                </c:pt>
                <c:pt idx="2">
                  <c:v>9.6000000000000002E-2</c:v>
                </c:pt>
                <c:pt idx="3">
                  <c:v>0.1</c:v>
                </c:pt>
                <c:pt idx="4">
                  <c:v>0.104</c:v>
                </c:pt>
                <c:pt idx="5">
                  <c:v>0.109</c:v>
                </c:pt>
                <c:pt idx="6">
                  <c:v>0.107</c:v>
                </c:pt>
                <c:pt idx="7">
                  <c:v>0.11799999999999999</c:v>
                </c:pt>
              </c:numCache>
            </c:numRef>
          </c:val>
          <c:smooth val="0"/>
          <c:extLst>
            <c:ext xmlns:c16="http://schemas.microsoft.com/office/drawing/2014/chart" uri="{C3380CC4-5D6E-409C-BE32-E72D297353CC}">
              <c16:uniqueId val="{00000005-D446-46C9-9DB2-1EA74B21F3FD}"/>
            </c:ext>
          </c:extLst>
        </c:ser>
        <c:dLbls>
          <c:showLegendKey val="0"/>
          <c:showVal val="0"/>
          <c:showCatName val="0"/>
          <c:showSerName val="0"/>
          <c:showPercent val="0"/>
          <c:showBubbleSize val="0"/>
        </c:dLbls>
        <c:marker val="1"/>
        <c:smooth val="0"/>
        <c:axId val="433646248"/>
        <c:axId val="433651344"/>
      </c:lineChart>
      <c:catAx>
        <c:axId val="43364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51344"/>
        <c:crosses val="autoZero"/>
        <c:auto val="1"/>
        <c:lblAlgn val="ctr"/>
        <c:lblOffset val="100"/>
        <c:noMultiLvlLbl val="0"/>
      </c:catAx>
      <c:valAx>
        <c:axId val="433651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3646248"/>
        <c:crosses val="autoZero"/>
        <c:crossBetween val="between"/>
      </c:valAx>
      <c:spPr>
        <a:noFill/>
        <a:ln>
          <a:noFill/>
        </a:ln>
        <a:effectLst/>
      </c:spPr>
    </c:plotArea>
    <c:legend>
      <c:legendPos val="b"/>
      <c:layout>
        <c:manualLayout>
          <c:xMode val="edge"/>
          <c:yMode val="edge"/>
          <c:x val="2.2603077393103656E-3"/>
          <c:y val="0.91290390632277441"/>
          <c:w val="0.99773969226068959"/>
          <c:h val="8.709609367722562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u="none" strike="noStrike" baseline="0">
                <a:effectLst/>
              </a:rPr>
              <a:t>Struktura volných pracovních míst v Jihomoravském kraji v letech 2015-2022 podle zaměstnavatelem požadovaného vzdělání</a:t>
            </a:r>
            <a:endParaRPr lang="cs-CZ" sz="1000" b="1"/>
          </a:p>
        </c:rich>
      </c:tx>
      <c:layout>
        <c:manualLayout>
          <c:xMode val="edge"/>
          <c:yMode val="edge"/>
          <c:x val="0.14410629226902191"/>
          <c:y val="7.9366183467349267E-3"/>
        </c:manualLayout>
      </c:layout>
      <c:overlay val="0"/>
      <c:spPr>
        <a:noFill/>
        <a:ln>
          <a:noFill/>
        </a:ln>
        <a:effectLst/>
      </c:spPr>
    </c:title>
    <c:autoTitleDeleted val="0"/>
    <c:plotArea>
      <c:layout>
        <c:manualLayout>
          <c:layoutTarget val="inner"/>
          <c:xMode val="edge"/>
          <c:yMode val="edge"/>
          <c:x val="7.0418838895823704E-2"/>
          <c:y val="0.10582483768476308"/>
          <c:w val="0.9295811023622047"/>
          <c:h val="0.72112004420500064"/>
        </c:manualLayout>
      </c:layout>
      <c:lineChart>
        <c:grouping val="standard"/>
        <c:varyColors val="0"/>
        <c:ser>
          <c:idx val="0"/>
          <c:order val="0"/>
          <c:tx>
            <c:strRef>
              <c:f>List1!$B$1</c:f>
              <c:strCache>
                <c:ptCount val="1"/>
                <c:pt idx="0">
                  <c:v>Základní vzdělání (vč.
neukončeného)</c:v>
                </c:pt>
              </c:strCache>
            </c:strRef>
          </c:tx>
          <c:spPr>
            <a:ln w="28575" cap="rnd">
              <a:solidFill>
                <a:srgbClr val="C00000"/>
              </a:solidFill>
              <a:round/>
            </a:ln>
            <a:effectLst/>
          </c:spPr>
          <c:marker>
            <c:symbol val="circle"/>
            <c:size val="5"/>
            <c:spPr>
              <a:solidFill>
                <a:srgbClr val="C00000"/>
              </a:solidFill>
              <a:ln w="9525">
                <a:noFill/>
              </a:ln>
              <a:effectLst/>
            </c:spPr>
          </c:marker>
          <c:dLbls>
            <c:dLbl>
              <c:idx val="0"/>
              <c:layout>
                <c:manualLayout>
                  <c:x val="-4.8206649168853893E-2"/>
                  <c:y val="3.4588611206207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3B-41A4-9145-062F520D2940}"/>
                </c:ext>
              </c:extLst>
            </c:dLbl>
            <c:spPr>
              <a:solidFill>
                <a:srgbClr val="C00000">
                  <a:alpha val="9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List1!$B$2:$B$9</c:f>
              <c:numCache>
                <c:formatCode>0.0%</c:formatCode>
                <c:ptCount val="8"/>
                <c:pt idx="0">
                  <c:v>0.36299999999999999</c:v>
                </c:pt>
                <c:pt idx="1">
                  <c:v>0.496</c:v>
                </c:pt>
                <c:pt idx="2">
                  <c:v>0.56399999999999995</c:v>
                </c:pt>
                <c:pt idx="3">
                  <c:v>0.66</c:v>
                </c:pt>
                <c:pt idx="4">
                  <c:v>0.71599999999999997</c:v>
                </c:pt>
                <c:pt idx="5">
                  <c:v>0.71399999999999997</c:v>
                </c:pt>
                <c:pt idx="6">
                  <c:v>0.70599999999999996</c:v>
                </c:pt>
                <c:pt idx="7">
                  <c:v>0.73599999999999999</c:v>
                </c:pt>
              </c:numCache>
            </c:numRef>
          </c:val>
          <c:smooth val="0"/>
          <c:extLst>
            <c:ext xmlns:c16="http://schemas.microsoft.com/office/drawing/2014/chart" uri="{C3380CC4-5D6E-409C-BE32-E72D297353CC}">
              <c16:uniqueId val="{00000001-FE3B-41A4-9145-062F520D2940}"/>
            </c:ext>
          </c:extLst>
        </c:ser>
        <c:ser>
          <c:idx val="1"/>
          <c:order val="1"/>
          <c:tx>
            <c:strRef>
              <c:f>List1!$C$1</c:f>
              <c:strCache>
                <c:ptCount val="1"/>
                <c:pt idx="0">
                  <c:v>Střední bez maturity</c:v>
                </c:pt>
              </c:strCache>
            </c:strRef>
          </c:tx>
          <c:spPr>
            <a:ln w="28575" cap="rnd">
              <a:solidFill>
                <a:srgbClr val="7030A0"/>
              </a:solidFill>
              <a:round/>
            </a:ln>
            <a:effectLst/>
          </c:spPr>
          <c:marker>
            <c:symbol val="circle"/>
            <c:size val="5"/>
            <c:spPr>
              <a:solidFill>
                <a:srgbClr val="7030A0"/>
              </a:solidFill>
              <a:ln w="9525">
                <a:noFill/>
              </a:ln>
              <a:effectLst/>
            </c:spPr>
          </c:marker>
          <c:dLbls>
            <c:spPr>
              <a:solidFill>
                <a:srgbClr val="7030A0">
                  <a:alpha val="26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List1!$C$2:$C$9</c:f>
              <c:numCache>
                <c:formatCode>0.0%</c:formatCode>
                <c:ptCount val="8"/>
                <c:pt idx="0">
                  <c:v>0.41599999999999998</c:v>
                </c:pt>
                <c:pt idx="1">
                  <c:v>0.32900000000000001</c:v>
                </c:pt>
                <c:pt idx="2">
                  <c:v>0.29699999999999999</c:v>
                </c:pt>
                <c:pt idx="3">
                  <c:v>0.22600000000000001</c:v>
                </c:pt>
                <c:pt idx="4">
                  <c:v>0.16400000000000001</c:v>
                </c:pt>
                <c:pt idx="5">
                  <c:v>0.151</c:v>
                </c:pt>
                <c:pt idx="6">
                  <c:v>0.13300000000000001</c:v>
                </c:pt>
                <c:pt idx="7">
                  <c:v>0.127</c:v>
                </c:pt>
              </c:numCache>
            </c:numRef>
          </c:val>
          <c:smooth val="0"/>
          <c:extLst>
            <c:ext xmlns:c16="http://schemas.microsoft.com/office/drawing/2014/chart" uri="{C3380CC4-5D6E-409C-BE32-E72D297353CC}">
              <c16:uniqueId val="{00000002-FE3B-41A4-9145-062F520D2940}"/>
            </c:ext>
          </c:extLst>
        </c:ser>
        <c:ser>
          <c:idx val="2"/>
          <c:order val="2"/>
          <c:tx>
            <c:strRef>
              <c:f>List1!$D$1</c:f>
              <c:strCache>
                <c:ptCount val="1"/>
                <c:pt idx="0">
                  <c:v>Úplné střední</c:v>
                </c:pt>
              </c:strCache>
            </c:strRef>
          </c:tx>
          <c:spPr>
            <a:ln w="28575" cap="rnd">
              <a:solidFill>
                <a:srgbClr val="00B050"/>
              </a:solidFill>
              <a:round/>
            </a:ln>
            <a:effectLst/>
          </c:spPr>
          <c:marker>
            <c:symbol val="circle"/>
            <c:size val="5"/>
            <c:spPr>
              <a:solidFill>
                <a:srgbClr val="92D050"/>
              </a:solidFill>
              <a:ln w="9525">
                <a:solidFill>
                  <a:schemeClr val="accent3"/>
                </a:solidFill>
              </a:ln>
              <a:effectLst/>
            </c:spPr>
          </c:marker>
          <c:dLbls>
            <c:dLbl>
              <c:idx val="0"/>
              <c:layout>
                <c:manualLayout>
                  <c:x val="-4.1539946395589437E-2"/>
                  <c:y val="3.3240997229916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3B-41A4-9145-062F520D2940}"/>
                </c:ext>
              </c:extLst>
            </c:dLbl>
            <c:spPr>
              <a:solidFill>
                <a:schemeClr val="accent6">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List1!$D$2:$D$9</c:f>
              <c:numCache>
                <c:formatCode>0.0%</c:formatCode>
                <c:ptCount val="8"/>
                <c:pt idx="0">
                  <c:v>0.157</c:v>
                </c:pt>
                <c:pt idx="1">
                  <c:v>0.127</c:v>
                </c:pt>
                <c:pt idx="2">
                  <c:v>9.6000000000000002E-2</c:v>
                </c:pt>
                <c:pt idx="3">
                  <c:v>8.2000000000000003E-2</c:v>
                </c:pt>
                <c:pt idx="4">
                  <c:v>8.6999999999999994E-2</c:v>
                </c:pt>
                <c:pt idx="5">
                  <c:v>0.10299999999999999</c:v>
                </c:pt>
                <c:pt idx="6">
                  <c:v>0.128</c:v>
                </c:pt>
                <c:pt idx="7">
                  <c:v>0.105</c:v>
                </c:pt>
              </c:numCache>
            </c:numRef>
          </c:val>
          <c:smooth val="0"/>
          <c:extLst>
            <c:ext xmlns:c16="http://schemas.microsoft.com/office/drawing/2014/chart" uri="{C3380CC4-5D6E-409C-BE32-E72D297353CC}">
              <c16:uniqueId val="{00000004-FE3B-41A4-9145-062F520D2940}"/>
            </c:ext>
          </c:extLst>
        </c:ser>
        <c:ser>
          <c:idx val="3"/>
          <c:order val="3"/>
          <c:tx>
            <c:strRef>
              <c:f>List1!$E$1</c:f>
              <c:strCache>
                <c:ptCount val="1"/>
                <c:pt idx="0">
                  <c:v>VOŠ/VŠ</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chemeClr val="accent4">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List1!$E$2:$E$9</c:f>
              <c:numCache>
                <c:formatCode>0.0%</c:formatCode>
                <c:ptCount val="8"/>
                <c:pt idx="0">
                  <c:v>6.4000000000000001E-2</c:v>
                </c:pt>
                <c:pt idx="1">
                  <c:v>4.8000000000000001E-2</c:v>
                </c:pt>
                <c:pt idx="2">
                  <c:v>4.2999999999999997E-2</c:v>
                </c:pt>
                <c:pt idx="3">
                  <c:v>3.2000000000000001E-2</c:v>
                </c:pt>
                <c:pt idx="4">
                  <c:v>3.3000000000000002E-2</c:v>
                </c:pt>
                <c:pt idx="5">
                  <c:v>3.2000000000000001E-2</c:v>
                </c:pt>
                <c:pt idx="6">
                  <c:v>3.3000000000000002E-2</c:v>
                </c:pt>
                <c:pt idx="7">
                  <c:v>3.1E-2</c:v>
                </c:pt>
              </c:numCache>
            </c:numRef>
          </c:val>
          <c:smooth val="0"/>
          <c:extLst>
            <c:ext xmlns:c16="http://schemas.microsoft.com/office/drawing/2014/chart" uri="{C3380CC4-5D6E-409C-BE32-E72D297353CC}">
              <c16:uniqueId val="{00000005-FE3B-41A4-9145-062F520D2940}"/>
            </c:ext>
          </c:extLst>
        </c:ser>
        <c:dLbls>
          <c:showLegendKey val="0"/>
          <c:showVal val="0"/>
          <c:showCatName val="0"/>
          <c:showSerName val="0"/>
          <c:showPercent val="0"/>
          <c:showBubbleSize val="0"/>
        </c:dLbls>
        <c:marker val="1"/>
        <c:smooth val="0"/>
        <c:axId val="433646640"/>
        <c:axId val="433647424"/>
      </c:lineChart>
      <c:catAx>
        <c:axId val="43364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47424"/>
        <c:crosses val="autoZero"/>
        <c:auto val="1"/>
        <c:lblAlgn val="ctr"/>
        <c:lblOffset val="100"/>
        <c:noMultiLvlLbl val="0"/>
      </c:catAx>
      <c:valAx>
        <c:axId val="433647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3646640"/>
        <c:crosses val="autoZero"/>
        <c:crossBetween val="between"/>
      </c:valAx>
      <c:spPr>
        <a:noFill/>
        <a:ln>
          <a:noFill/>
        </a:ln>
        <a:effectLst/>
      </c:spPr>
    </c:plotArea>
    <c:legend>
      <c:legendPos val="b"/>
      <c:layout>
        <c:manualLayout>
          <c:xMode val="edge"/>
          <c:yMode val="edge"/>
          <c:x val="2.2603077393103656E-3"/>
          <c:y val="0.89167536952617765"/>
          <c:w val="0.99773969226068959"/>
          <c:h val="0.1083246304738223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sz="1000"/>
              <a:t>Vývoj počtu uchazečů z EU/EHP dle jednotlivých měsíců v roce 2022</a:t>
            </a:r>
          </a:p>
        </c:rich>
      </c:tx>
      <c:layout>
        <c:manualLayout>
          <c:xMode val="edge"/>
          <c:yMode val="edge"/>
          <c:x val="0.19739048366985623"/>
          <c:y val="4.9159713244799619E-3"/>
        </c:manualLayout>
      </c:layout>
      <c:overlay val="0"/>
      <c:spPr>
        <a:noFill/>
        <a:ln>
          <a:noFill/>
        </a:ln>
        <a:effectLst/>
      </c:spPr>
    </c:title>
    <c:autoTitleDeleted val="0"/>
    <c:plotArea>
      <c:layout>
        <c:manualLayout>
          <c:layoutTarget val="inner"/>
          <c:xMode val="edge"/>
          <c:yMode val="edge"/>
          <c:x val="6.3069383768889362E-2"/>
          <c:y val="0.12748660549662696"/>
          <c:w val="0.92819828555913264"/>
          <c:h val="0.69739373996160925"/>
        </c:manualLayout>
      </c:layout>
      <c:lineChart>
        <c:grouping val="standard"/>
        <c:varyColors val="0"/>
        <c:ser>
          <c:idx val="0"/>
          <c:order val="0"/>
          <c:tx>
            <c:strRef>
              <c:f>List1!$B$1</c:f>
              <c:strCache>
                <c:ptCount val="1"/>
                <c:pt idx="0">
                  <c:v>2022 JMK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1">
                  <a:lumMod val="20000"/>
                  <a:lumOff val="80000"/>
                  <a:alpha val="48000"/>
                </a:schemeClr>
              </a:solidFill>
              <a:ln>
                <a:noFill/>
              </a:ln>
              <a:effectLst/>
            </c:spPr>
            <c:txPr>
              <a:bodyPr rot="0" vert="horz"/>
              <a:lstStyle/>
              <a:p>
                <a:pPr>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List1!$B$2:$B$13</c:f>
              <c:numCache>
                <c:formatCode>General</c:formatCode>
                <c:ptCount val="12"/>
                <c:pt idx="0">
                  <c:v>778</c:v>
                </c:pt>
                <c:pt idx="1">
                  <c:v>752</c:v>
                </c:pt>
                <c:pt idx="2">
                  <c:v>721</c:v>
                </c:pt>
                <c:pt idx="3">
                  <c:v>712</c:v>
                </c:pt>
                <c:pt idx="4">
                  <c:v>719</c:v>
                </c:pt>
                <c:pt idx="5">
                  <c:v>710</c:v>
                </c:pt>
                <c:pt idx="6">
                  <c:v>747</c:v>
                </c:pt>
                <c:pt idx="7">
                  <c:v>761</c:v>
                </c:pt>
                <c:pt idx="8">
                  <c:v>741</c:v>
                </c:pt>
                <c:pt idx="9">
                  <c:v>743</c:v>
                </c:pt>
                <c:pt idx="10">
                  <c:v>775</c:v>
                </c:pt>
                <c:pt idx="11">
                  <c:v>831</c:v>
                </c:pt>
              </c:numCache>
            </c:numRef>
          </c:val>
          <c:smooth val="0"/>
          <c:extLst>
            <c:ext xmlns:c16="http://schemas.microsoft.com/office/drawing/2014/chart" uri="{C3380CC4-5D6E-409C-BE32-E72D297353CC}">
              <c16:uniqueId val="{00000000-4C25-498D-9265-88F516585F25}"/>
            </c:ext>
          </c:extLst>
        </c:ser>
        <c:ser>
          <c:idx val="1"/>
          <c:order val="1"/>
          <c:tx>
            <c:strRef>
              <c:f>List1!$C$1</c:f>
              <c:strCache>
                <c:ptCount val="1"/>
                <c:pt idx="0">
                  <c:v>2022 ČR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accent4">
                  <a:lumMod val="20000"/>
                  <a:lumOff val="80000"/>
                  <a:alpha val="48000"/>
                </a:schemeClr>
              </a:solidFill>
              <a:ln>
                <a:noFill/>
              </a:ln>
              <a:effectLst/>
            </c:spPr>
            <c:txPr>
              <a:bodyPr rot="0" vert="horz"/>
              <a:lstStyle/>
              <a:p>
                <a:pPr>
                  <a:defRPr sz="900"/>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List1!$C$2:$C$13</c:f>
              <c:numCache>
                <c:formatCode>General</c:formatCode>
                <c:ptCount val="12"/>
                <c:pt idx="0">
                  <c:v>6770</c:v>
                </c:pt>
                <c:pt idx="1">
                  <c:v>6659</c:v>
                </c:pt>
                <c:pt idx="2">
                  <c:v>6554</c:v>
                </c:pt>
                <c:pt idx="3">
                  <c:v>6524</c:v>
                </c:pt>
                <c:pt idx="4">
                  <c:v>6429</c:v>
                </c:pt>
                <c:pt idx="5">
                  <c:v>6309</c:v>
                </c:pt>
                <c:pt idx="6">
                  <c:v>6534</c:v>
                </c:pt>
                <c:pt idx="7">
                  <c:v>6631</c:v>
                </c:pt>
                <c:pt idx="8">
                  <c:v>6576</c:v>
                </c:pt>
                <c:pt idx="9">
                  <c:v>6611</c:v>
                </c:pt>
                <c:pt idx="10">
                  <c:v>6678</c:v>
                </c:pt>
                <c:pt idx="11">
                  <c:v>7057</c:v>
                </c:pt>
              </c:numCache>
            </c:numRef>
          </c:val>
          <c:smooth val="0"/>
          <c:extLst>
            <c:ext xmlns:c16="http://schemas.microsoft.com/office/drawing/2014/chart" uri="{C3380CC4-5D6E-409C-BE32-E72D297353CC}">
              <c16:uniqueId val="{00000001-4C25-498D-9265-88F516585F25}"/>
            </c:ext>
          </c:extLst>
        </c:ser>
        <c:dLbls>
          <c:showLegendKey val="0"/>
          <c:showVal val="0"/>
          <c:showCatName val="0"/>
          <c:showSerName val="0"/>
          <c:showPercent val="0"/>
          <c:showBubbleSize val="0"/>
        </c:dLbls>
        <c:marker val="1"/>
        <c:smooth val="0"/>
        <c:axId val="433653304"/>
        <c:axId val="433643504"/>
      </c:lineChart>
      <c:catAx>
        <c:axId val="43365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33643504"/>
        <c:crosses val="autoZero"/>
        <c:auto val="1"/>
        <c:lblAlgn val="ctr"/>
        <c:lblOffset val="100"/>
        <c:noMultiLvlLbl val="0"/>
      </c:catAx>
      <c:valAx>
        <c:axId val="433643504"/>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cs-CZ"/>
          </a:p>
        </c:txPr>
        <c:crossAx val="433653304"/>
        <c:crosses val="autoZero"/>
        <c:crossBetween val="between"/>
      </c:valAx>
      <c:spPr>
        <a:noFill/>
        <a:ln>
          <a:noFill/>
        </a:ln>
        <a:effectLst/>
      </c:spPr>
    </c:plotArea>
    <c:legend>
      <c:legendPos val="b"/>
      <c:layout>
        <c:manualLayout>
          <c:xMode val="edge"/>
          <c:yMode val="edge"/>
          <c:x val="0.33064078795706092"/>
          <c:y val="0.9213705407850914"/>
          <c:w val="0.33638243495425141"/>
          <c:h val="7.8629459214908645E-2"/>
        </c:manualLayout>
      </c:layout>
      <c:overlay val="0"/>
      <c:spPr>
        <a:noFill/>
        <a:ln>
          <a:noFill/>
        </a:ln>
        <a:effectLst/>
      </c:spPr>
      <c:txPr>
        <a:bodyPr rot="0" vert="horz"/>
        <a:lstStyle/>
        <a:p>
          <a:pPr>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Vývoj počtu uchazečů ze třetích zemí v ČR a JMK dle jednotlivých měsíců roce 2022</a:t>
            </a:r>
          </a:p>
        </c:rich>
      </c:tx>
      <c:layout>
        <c:manualLayout>
          <c:xMode val="edge"/>
          <c:yMode val="edge"/>
          <c:x val="0.17824636920384951"/>
          <c:y val="3.968253968253968E-3"/>
        </c:manualLayout>
      </c:layout>
      <c:overlay val="0"/>
      <c:spPr>
        <a:noFill/>
        <a:ln>
          <a:noFill/>
        </a:ln>
        <a:effectLst/>
      </c:spPr>
    </c:title>
    <c:autoTitleDeleted val="0"/>
    <c:plotArea>
      <c:layout>
        <c:manualLayout>
          <c:layoutTarget val="inner"/>
          <c:xMode val="edge"/>
          <c:yMode val="edge"/>
          <c:x val="6.8400349956255463E-2"/>
          <c:y val="0.13467286468709483"/>
          <c:w val="0.92506981627296592"/>
          <c:h val="0.68156468393258074"/>
        </c:manualLayout>
      </c:layout>
      <c:lineChart>
        <c:grouping val="standard"/>
        <c:varyColors val="0"/>
        <c:ser>
          <c:idx val="0"/>
          <c:order val="0"/>
          <c:tx>
            <c:strRef>
              <c:f>List1!$B$1</c:f>
              <c:strCache>
                <c:ptCount val="1"/>
                <c:pt idx="0">
                  <c:v>2022 JMK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List1!$B$2:$B$13</c:f>
              <c:numCache>
                <c:formatCode>General</c:formatCode>
                <c:ptCount val="12"/>
                <c:pt idx="0">
                  <c:v>495</c:v>
                </c:pt>
                <c:pt idx="1">
                  <c:v>504</c:v>
                </c:pt>
                <c:pt idx="2">
                  <c:v>508</c:v>
                </c:pt>
                <c:pt idx="3">
                  <c:v>495</c:v>
                </c:pt>
                <c:pt idx="4">
                  <c:v>466</c:v>
                </c:pt>
                <c:pt idx="5">
                  <c:v>463</c:v>
                </c:pt>
                <c:pt idx="6">
                  <c:v>531</c:v>
                </c:pt>
                <c:pt idx="7">
                  <c:v>1277</c:v>
                </c:pt>
                <c:pt idx="8">
                  <c:v>1586</c:v>
                </c:pt>
                <c:pt idx="9">
                  <c:v>1748</c:v>
                </c:pt>
                <c:pt idx="10">
                  <c:v>1844</c:v>
                </c:pt>
                <c:pt idx="11">
                  <c:v>1988</c:v>
                </c:pt>
              </c:numCache>
            </c:numRef>
          </c:val>
          <c:smooth val="0"/>
          <c:extLst>
            <c:ext xmlns:c16="http://schemas.microsoft.com/office/drawing/2014/chart" uri="{C3380CC4-5D6E-409C-BE32-E72D297353CC}">
              <c16:uniqueId val="{00000000-6629-4D93-9BA1-4A0A3A0699AE}"/>
            </c:ext>
          </c:extLst>
        </c:ser>
        <c:ser>
          <c:idx val="1"/>
          <c:order val="1"/>
          <c:tx>
            <c:strRef>
              <c:f>List1!$C$1</c:f>
              <c:strCache>
                <c:ptCount val="1"/>
                <c:pt idx="0">
                  <c:v>2022 ČR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List1!$C$2:$C$13</c:f>
              <c:numCache>
                <c:formatCode>General</c:formatCode>
                <c:ptCount val="12"/>
                <c:pt idx="0">
                  <c:v>4437</c:v>
                </c:pt>
                <c:pt idx="1">
                  <c:v>4374</c:v>
                </c:pt>
                <c:pt idx="2">
                  <c:v>4390</c:v>
                </c:pt>
                <c:pt idx="3">
                  <c:v>4350</c:v>
                </c:pt>
                <c:pt idx="4">
                  <c:v>4228</c:v>
                </c:pt>
                <c:pt idx="5">
                  <c:v>4172</c:v>
                </c:pt>
                <c:pt idx="6">
                  <c:v>4982</c:v>
                </c:pt>
                <c:pt idx="7">
                  <c:v>12543</c:v>
                </c:pt>
                <c:pt idx="8">
                  <c:v>15772</c:v>
                </c:pt>
                <c:pt idx="9">
                  <c:v>17088</c:v>
                </c:pt>
                <c:pt idx="10">
                  <c:v>17606</c:v>
                </c:pt>
                <c:pt idx="11">
                  <c:v>18414</c:v>
                </c:pt>
              </c:numCache>
            </c:numRef>
          </c:val>
          <c:smooth val="0"/>
          <c:extLst>
            <c:ext xmlns:c16="http://schemas.microsoft.com/office/drawing/2014/chart" uri="{C3380CC4-5D6E-409C-BE32-E72D297353CC}">
              <c16:uniqueId val="{00000001-6629-4D93-9BA1-4A0A3A0699AE}"/>
            </c:ext>
          </c:extLst>
        </c:ser>
        <c:dLbls>
          <c:showLegendKey val="0"/>
          <c:showVal val="0"/>
          <c:showCatName val="0"/>
          <c:showSerName val="0"/>
          <c:showPercent val="0"/>
          <c:showBubbleSize val="0"/>
        </c:dLbls>
        <c:marker val="1"/>
        <c:smooth val="0"/>
        <c:axId val="433654480"/>
        <c:axId val="433654872"/>
      </c:lineChart>
      <c:catAx>
        <c:axId val="4336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54872"/>
        <c:crosses val="autoZero"/>
        <c:auto val="1"/>
        <c:lblAlgn val="ctr"/>
        <c:lblOffset val="100"/>
        <c:noMultiLvlLbl val="0"/>
      </c:catAx>
      <c:valAx>
        <c:axId val="43365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54480"/>
        <c:crosses val="autoZero"/>
        <c:crossBetween val="between"/>
      </c:valAx>
      <c:spPr>
        <a:noFill/>
        <a:ln>
          <a:noFill/>
        </a:ln>
        <a:effectLst/>
      </c:spPr>
    </c:plotArea>
    <c:legend>
      <c:legendPos val="b"/>
      <c:layout>
        <c:manualLayout>
          <c:xMode val="edge"/>
          <c:yMode val="edge"/>
          <c:x val="0.35286614173228342"/>
          <c:y val="0.91385215402291586"/>
          <c:w val="0.29426771653543304"/>
          <c:h val="8.61478459770841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Srovnání počtu osob s jinou než českou státní příslušností v krajích mezi lety 2020 a 2022</a:t>
            </a:r>
          </a:p>
        </c:rich>
      </c:tx>
      <c:layout>
        <c:manualLayout>
          <c:xMode val="edge"/>
          <c:yMode val="edge"/>
          <c:x val="0.11934897026760546"/>
          <c:y val="3.001071811361200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159334249885431E-2"/>
          <c:y val="0.16841490558361055"/>
          <c:w val="0.92029628092205118"/>
          <c:h val="0.43840105352684572"/>
        </c:manualLayout>
      </c:layout>
      <c:bar3DChart>
        <c:barDir val="col"/>
        <c:grouping val="clustered"/>
        <c:varyColors val="0"/>
        <c:ser>
          <c:idx val="0"/>
          <c:order val="0"/>
          <c:tx>
            <c:strRef>
              <c:f>List1!$B$1</c:f>
              <c:strCache>
                <c:ptCount val="1"/>
                <c:pt idx="0">
                  <c:v>2020</c:v>
                </c:pt>
              </c:strCache>
            </c:strRef>
          </c:tx>
          <c:spPr>
            <a:solidFill>
              <a:srgbClr val="4472C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List1!$A$2:$A$15</c:f>
              <c:strCache>
                <c:ptCount val="14"/>
                <c:pt idx="0">
                  <c:v>Hlavní město Praha</c:v>
                </c:pt>
                <c:pt idx="1">
                  <c:v>Středočeský kraj </c:v>
                </c:pt>
                <c:pt idx="2">
                  <c:v>Jihomoravský kraj </c:v>
                </c:pt>
                <c:pt idx="3">
                  <c:v>Plzeňský kraj </c:v>
                </c:pt>
                <c:pt idx="4">
                  <c:v>Ústecký kraj </c:v>
                </c:pt>
                <c:pt idx="5">
                  <c:v>Moravskoslezský kraj </c:v>
                </c:pt>
                <c:pt idx="6">
                  <c:v>Jihočeský kraj </c:v>
                </c:pt>
                <c:pt idx="7">
                  <c:v>Liberecký kraj </c:v>
                </c:pt>
                <c:pt idx="8">
                  <c:v>Pardubický kraj </c:v>
                </c:pt>
                <c:pt idx="9">
                  <c:v>Královéhradecký kraj</c:v>
                </c:pt>
                <c:pt idx="10">
                  <c:v>Karlovarský kraj </c:v>
                </c:pt>
                <c:pt idx="11">
                  <c:v>Kraj Vysočina </c:v>
                </c:pt>
                <c:pt idx="12">
                  <c:v>Olomoucký kraj </c:v>
                </c:pt>
                <c:pt idx="13">
                  <c:v>Zlínský kraj </c:v>
                </c:pt>
              </c:strCache>
            </c:strRef>
          </c:cat>
          <c:val>
            <c:numRef>
              <c:f>List1!$B$2:$B$15</c:f>
              <c:numCache>
                <c:formatCode>#\ ##0_ ;[Red]\-#\ ##0\ </c:formatCode>
                <c:ptCount val="14"/>
                <c:pt idx="0">
                  <c:v>228532</c:v>
                </c:pt>
                <c:pt idx="1">
                  <c:v>90095</c:v>
                </c:pt>
                <c:pt idx="2">
                  <c:v>58549</c:v>
                </c:pt>
                <c:pt idx="3">
                  <c:v>42070</c:v>
                </c:pt>
                <c:pt idx="4">
                  <c:v>39038</c:v>
                </c:pt>
                <c:pt idx="5">
                  <c:v>27635</c:v>
                </c:pt>
                <c:pt idx="6">
                  <c:v>23601</c:v>
                </c:pt>
                <c:pt idx="7">
                  <c:v>22716</c:v>
                </c:pt>
                <c:pt idx="8">
                  <c:v>20551</c:v>
                </c:pt>
                <c:pt idx="9">
                  <c:v>18464</c:v>
                </c:pt>
                <c:pt idx="10">
                  <c:v>22032</c:v>
                </c:pt>
                <c:pt idx="11">
                  <c:v>12891</c:v>
                </c:pt>
                <c:pt idx="12">
                  <c:v>13686</c:v>
                </c:pt>
                <c:pt idx="13">
                  <c:v>11678</c:v>
                </c:pt>
              </c:numCache>
            </c:numRef>
          </c:val>
          <c:shape val="cylinder"/>
          <c:extLst>
            <c:ext xmlns:c16="http://schemas.microsoft.com/office/drawing/2014/chart" uri="{C3380CC4-5D6E-409C-BE32-E72D297353CC}">
              <c16:uniqueId val="{00000000-924D-4140-BEE3-450C0EE8C8DD}"/>
            </c:ext>
          </c:extLst>
        </c:ser>
        <c:ser>
          <c:idx val="1"/>
          <c:order val="1"/>
          <c:tx>
            <c:strRef>
              <c:f>List1!$C$1</c:f>
              <c:strCache>
                <c:ptCount val="1"/>
                <c:pt idx="0">
                  <c:v>2021</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List1!$A$2:$A$15</c:f>
              <c:strCache>
                <c:ptCount val="14"/>
                <c:pt idx="0">
                  <c:v>Hlavní město Praha</c:v>
                </c:pt>
                <c:pt idx="1">
                  <c:v>Středočeský kraj </c:v>
                </c:pt>
                <c:pt idx="2">
                  <c:v>Jihomoravský kraj </c:v>
                </c:pt>
                <c:pt idx="3">
                  <c:v>Plzeňský kraj </c:v>
                </c:pt>
                <c:pt idx="4">
                  <c:v>Ústecký kraj </c:v>
                </c:pt>
                <c:pt idx="5">
                  <c:v>Moravskoslezský kraj </c:v>
                </c:pt>
                <c:pt idx="6">
                  <c:v>Jihočeský kraj </c:v>
                </c:pt>
                <c:pt idx="7">
                  <c:v>Liberecký kraj </c:v>
                </c:pt>
                <c:pt idx="8">
                  <c:v>Pardubický kraj </c:v>
                </c:pt>
                <c:pt idx="9">
                  <c:v>Královéhradecký kraj</c:v>
                </c:pt>
                <c:pt idx="10">
                  <c:v>Karlovarský kraj </c:v>
                </c:pt>
                <c:pt idx="11">
                  <c:v>Kraj Vysočina </c:v>
                </c:pt>
                <c:pt idx="12">
                  <c:v>Olomoucký kraj </c:v>
                </c:pt>
                <c:pt idx="13">
                  <c:v>Zlínský kraj </c:v>
                </c:pt>
              </c:strCache>
            </c:strRef>
          </c:cat>
          <c:val>
            <c:numRef>
              <c:f>List1!$C$2:$C$15</c:f>
              <c:numCache>
                <c:formatCode>#\ ##0_ ;[Red]\-#\ ##0\ </c:formatCode>
                <c:ptCount val="14"/>
                <c:pt idx="0">
                  <c:v>236229</c:v>
                </c:pt>
                <c:pt idx="1">
                  <c:v>94539</c:v>
                </c:pt>
                <c:pt idx="2">
                  <c:v>63841</c:v>
                </c:pt>
                <c:pt idx="3">
                  <c:v>43600</c:v>
                </c:pt>
                <c:pt idx="4">
                  <c:v>37976</c:v>
                </c:pt>
                <c:pt idx="5">
                  <c:v>29147</c:v>
                </c:pt>
                <c:pt idx="6">
                  <c:v>25179</c:v>
                </c:pt>
                <c:pt idx="7">
                  <c:v>24554</c:v>
                </c:pt>
                <c:pt idx="8">
                  <c:v>22080</c:v>
                </c:pt>
                <c:pt idx="9">
                  <c:v>18626</c:v>
                </c:pt>
                <c:pt idx="10">
                  <c:v>21304</c:v>
                </c:pt>
                <c:pt idx="11">
                  <c:v>13941</c:v>
                </c:pt>
                <c:pt idx="12">
                  <c:v>13755</c:v>
                </c:pt>
                <c:pt idx="13">
                  <c:v>12868</c:v>
                </c:pt>
              </c:numCache>
            </c:numRef>
          </c:val>
          <c:shape val="cylinder"/>
          <c:extLst>
            <c:ext xmlns:c16="http://schemas.microsoft.com/office/drawing/2014/chart" uri="{C3380CC4-5D6E-409C-BE32-E72D297353CC}">
              <c16:uniqueId val="{00000001-924D-4140-BEE3-450C0EE8C8DD}"/>
            </c:ext>
          </c:extLst>
        </c:ser>
        <c:ser>
          <c:idx val="2"/>
          <c:order val="2"/>
          <c:tx>
            <c:strRef>
              <c:f>List1!$D$1</c:f>
              <c:strCache>
                <c:ptCount val="1"/>
                <c:pt idx="0">
                  <c:v>2022</c:v>
                </c:pt>
              </c:strCache>
            </c:strRef>
          </c:tx>
          <c:spPr>
            <a:solidFill>
              <a:srgbClr val="70AD4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List1!$A$2:$A$15</c:f>
              <c:strCache>
                <c:ptCount val="14"/>
                <c:pt idx="0">
                  <c:v>Hlavní město Praha</c:v>
                </c:pt>
                <c:pt idx="1">
                  <c:v>Středočeský kraj </c:v>
                </c:pt>
                <c:pt idx="2">
                  <c:v>Jihomoravský kraj </c:v>
                </c:pt>
                <c:pt idx="3">
                  <c:v>Plzeňský kraj </c:v>
                </c:pt>
                <c:pt idx="4">
                  <c:v>Ústecký kraj </c:v>
                </c:pt>
                <c:pt idx="5">
                  <c:v>Moravskoslezský kraj </c:v>
                </c:pt>
                <c:pt idx="6">
                  <c:v>Jihočeský kraj </c:v>
                </c:pt>
                <c:pt idx="7">
                  <c:v>Liberecký kraj </c:v>
                </c:pt>
                <c:pt idx="8">
                  <c:v>Pardubický kraj </c:v>
                </c:pt>
                <c:pt idx="9">
                  <c:v>Královéhradecký kraj</c:v>
                </c:pt>
                <c:pt idx="10">
                  <c:v>Karlovarský kraj </c:v>
                </c:pt>
                <c:pt idx="11">
                  <c:v>Kraj Vysočina </c:v>
                </c:pt>
                <c:pt idx="12">
                  <c:v>Olomoucký kraj </c:v>
                </c:pt>
                <c:pt idx="13">
                  <c:v>Zlínský kraj </c:v>
                </c:pt>
              </c:strCache>
            </c:strRef>
          </c:cat>
          <c:val>
            <c:numRef>
              <c:f>List1!$D$2:$D$15</c:f>
              <c:numCache>
                <c:formatCode>#,##0</c:formatCode>
                <c:ptCount val="14"/>
                <c:pt idx="0">
                  <c:v>346306</c:v>
                </c:pt>
                <c:pt idx="1">
                  <c:v>159196</c:v>
                </c:pt>
                <c:pt idx="2">
                  <c:v>111130</c:v>
                </c:pt>
                <c:pt idx="3">
                  <c:v>80917</c:v>
                </c:pt>
                <c:pt idx="4">
                  <c:v>61723</c:v>
                </c:pt>
                <c:pt idx="5">
                  <c:v>56435</c:v>
                </c:pt>
                <c:pt idx="6">
                  <c:v>47654</c:v>
                </c:pt>
                <c:pt idx="7">
                  <c:v>42661</c:v>
                </c:pt>
                <c:pt idx="8">
                  <c:v>42618</c:v>
                </c:pt>
                <c:pt idx="9">
                  <c:v>38954</c:v>
                </c:pt>
                <c:pt idx="10">
                  <c:v>38556</c:v>
                </c:pt>
                <c:pt idx="11">
                  <c:v>30840</c:v>
                </c:pt>
                <c:pt idx="12">
                  <c:v>28660</c:v>
                </c:pt>
                <c:pt idx="13">
                  <c:v>26555</c:v>
                </c:pt>
              </c:numCache>
            </c:numRef>
          </c:val>
          <c:shape val="cylinder"/>
          <c:extLst>
            <c:ext xmlns:c16="http://schemas.microsoft.com/office/drawing/2014/chart" uri="{C3380CC4-5D6E-409C-BE32-E72D297353CC}">
              <c16:uniqueId val="{00000002-924D-4140-BEE3-450C0EE8C8DD}"/>
            </c:ext>
          </c:extLst>
        </c:ser>
        <c:dLbls>
          <c:showLegendKey val="0"/>
          <c:showVal val="0"/>
          <c:showCatName val="0"/>
          <c:showSerName val="0"/>
          <c:showPercent val="0"/>
          <c:showBubbleSize val="0"/>
        </c:dLbls>
        <c:gapWidth val="150"/>
        <c:shape val="box"/>
        <c:axId val="297520360"/>
        <c:axId val="297520752"/>
        <c:axId val="0"/>
      </c:bar3DChart>
      <c:catAx>
        <c:axId val="297520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crossAx val="297520752"/>
        <c:crosses val="autoZero"/>
        <c:auto val="1"/>
        <c:lblAlgn val="ctr"/>
        <c:lblOffset val="100"/>
        <c:noMultiLvlLbl val="0"/>
      </c:catAx>
      <c:valAx>
        <c:axId val="297520752"/>
        <c:scaling>
          <c:orientation val="minMax"/>
        </c:scaling>
        <c:delete val="0"/>
        <c:axPos val="l"/>
        <c:majorGridlines/>
        <c:numFmt formatCode="#\ ##0_ ;[Red]\-#\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520360"/>
        <c:crosses val="autoZero"/>
        <c:crossBetween val="between"/>
      </c:valAx>
      <c:spPr>
        <a:noFill/>
        <a:ln>
          <a:noFill/>
        </a:ln>
        <a:effectLst/>
      </c:spPr>
    </c:plotArea>
    <c:legend>
      <c:legendPos val="b"/>
      <c:layout>
        <c:manualLayout>
          <c:xMode val="edge"/>
          <c:yMode val="edge"/>
          <c:x val="0.2396220148407375"/>
          <c:y val="0.9254545620821788"/>
          <c:w val="0.56246395126535109"/>
          <c:h val="7.138390689715704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Struktura</a:t>
            </a:r>
            <a:r>
              <a:rPr lang="cs-CZ" sz="1000" b="1" baseline="0"/>
              <a:t> uchazečů o zaměstnání  ze zemí EU/EHP v Jihomoravském kraji v letech 2014-2022 podle věku</a:t>
            </a:r>
            <a:endParaRPr lang="cs-CZ" sz="1000" b="1"/>
          </a:p>
        </c:rich>
      </c:tx>
      <c:layout>
        <c:manualLayout>
          <c:xMode val="edge"/>
          <c:yMode val="edge"/>
          <c:x val="0.15097544550352257"/>
          <c:y val="3.2939998099123409E-3"/>
        </c:manualLayout>
      </c:layout>
      <c:overlay val="0"/>
      <c:spPr>
        <a:noFill/>
        <a:ln>
          <a:noFill/>
        </a:ln>
        <a:effectLst/>
      </c:spPr>
    </c:title>
    <c:autoTitleDeleted val="0"/>
    <c:plotArea>
      <c:layout>
        <c:manualLayout>
          <c:layoutTarget val="inner"/>
          <c:xMode val="edge"/>
          <c:yMode val="edge"/>
          <c:x val="7.0418838895823704E-2"/>
          <c:y val="0.10465205362843158"/>
          <c:w val="0.90544512160883894"/>
          <c:h val="0.75335262821876992"/>
        </c:manualLayout>
      </c:layout>
      <c:lineChart>
        <c:grouping val="standard"/>
        <c:varyColors val="0"/>
        <c:ser>
          <c:idx val="0"/>
          <c:order val="0"/>
          <c:tx>
            <c:strRef>
              <c:f>List1!$B$1</c:f>
              <c:strCache>
                <c:ptCount val="1"/>
                <c:pt idx="0">
                  <c:v>15-24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List1!$B$2:$B$10</c:f>
              <c:numCache>
                <c:formatCode>0.0%</c:formatCode>
                <c:ptCount val="9"/>
                <c:pt idx="0">
                  <c:v>0.06</c:v>
                </c:pt>
                <c:pt idx="1">
                  <c:v>7.1999999999999995E-2</c:v>
                </c:pt>
                <c:pt idx="2">
                  <c:v>4.8000000000000001E-2</c:v>
                </c:pt>
                <c:pt idx="3">
                  <c:v>4.5999999999999999E-2</c:v>
                </c:pt>
                <c:pt idx="4">
                  <c:v>4.8000000000000001E-2</c:v>
                </c:pt>
                <c:pt idx="5">
                  <c:v>3.7999999999999999E-2</c:v>
                </c:pt>
                <c:pt idx="6">
                  <c:v>5.7000000000000002E-2</c:v>
                </c:pt>
                <c:pt idx="7">
                  <c:v>0.04</c:v>
                </c:pt>
                <c:pt idx="8">
                  <c:v>4.1000000000000002E-2</c:v>
                </c:pt>
              </c:numCache>
            </c:numRef>
          </c:val>
          <c:smooth val="0"/>
          <c:extLst>
            <c:ext xmlns:c16="http://schemas.microsoft.com/office/drawing/2014/chart" uri="{C3380CC4-5D6E-409C-BE32-E72D297353CC}">
              <c16:uniqueId val="{00000000-0894-4C90-8C1B-A3E774E12C41}"/>
            </c:ext>
          </c:extLst>
        </c:ser>
        <c:ser>
          <c:idx val="1"/>
          <c:order val="1"/>
          <c:tx>
            <c:strRef>
              <c:f>List1!$C$1</c:f>
              <c:strCache>
                <c:ptCount val="1"/>
                <c:pt idx="0">
                  <c:v>25-39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13439817554347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94-4C90-8C1B-A3E774E12C41}"/>
                </c:ext>
              </c:extLst>
            </c:dLbl>
            <c:dLbl>
              <c:idx val="2"/>
              <c:layout>
                <c:manualLayout>
                  <c:x val="-4.1343981755434751E-2"/>
                  <c:y val="1.5873015873015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94-4C90-8C1B-A3E774E12C41}"/>
                </c:ext>
              </c:extLst>
            </c:dLbl>
            <c:spPr>
              <a:solidFill>
                <a:schemeClr val="accent2">
                  <a:lumMod val="20000"/>
                  <a:lumOff val="80000"/>
                  <a:alpha val="92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List1!$C$2:$C$10</c:f>
              <c:numCache>
                <c:formatCode>0.0%</c:formatCode>
                <c:ptCount val="9"/>
                <c:pt idx="0">
                  <c:v>0.505</c:v>
                </c:pt>
                <c:pt idx="1">
                  <c:v>0.48</c:v>
                </c:pt>
                <c:pt idx="2">
                  <c:v>0.51</c:v>
                </c:pt>
                <c:pt idx="3">
                  <c:v>0.47099999999999997</c:v>
                </c:pt>
                <c:pt idx="4">
                  <c:v>0.47199999999999998</c:v>
                </c:pt>
                <c:pt idx="5">
                  <c:v>0.45</c:v>
                </c:pt>
                <c:pt idx="6">
                  <c:v>0.42699999999999999</c:v>
                </c:pt>
                <c:pt idx="7">
                  <c:v>0.44</c:v>
                </c:pt>
                <c:pt idx="8">
                  <c:v>0.46300000000000002</c:v>
                </c:pt>
              </c:numCache>
            </c:numRef>
          </c:val>
          <c:smooth val="0"/>
          <c:extLst>
            <c:ext xmlns:c16="http://schemas.microsoft.com/office/drawing/2014/chart" uri="{C3380CC4-5D6E-409C-BE32-E72D297353CC}">
              <c16:uniqueId val="{00000003-0894-4C90-8C1B-A3E774E12C41}"/>
            </c:ext>
          </c:extLst>
        </c:ser>
        <c:ser>
          <c:idx val="2"/>
          <c:order val="2"/>
          <c:tx>
            <c:strRef>
              <c:f>List1!$D$1</c:f>
              <c:strCache>
                <c:ptCount val="1"/>
                <c:pt idx="0">
                  <c:v>40-54</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dLbls>
            <c:dLbl>
              <c:idx val="1"/>
              <c:layout>
                <c:manualLayout>
                  <c:x val="-3.7218913187140733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94-4C90-8C1B-A3E774E12C41}"/>
                </c:ext>
              </c:extLst>
            </c:dLbl>
            <c:dLbl>
              <c:idx val="2"/>
              <c:layout>
                <c:manualLayout>
                  <c:x val="-4.5995654821808819E-2"/>
                  <c:y val="-2.3809523809523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94-4C90-8C1B-A3E774E12C41}"/>
                </c:ext>
              </c:extLst>
            </c:dLbl>
            <c:dLbl>
              <c:idx val="3"/>
              <c:layout>
                <c:manualLayout>
                  <c:x val="-4.1607284004474838E-2"/>
                  <c:y val="-7.93650793650795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94-4C90-8C1B-A3E774E12C41}"/>
                </c:ext>
              </c:extLst>
            </c:dLbl>
            <c:dLbl>
              <c:idx val="4"/>
              <c:layout>
                <c:manualLayout>
                  <c:x val="-4.1607284004474755E-2"/>
                  <c:y val="-7.93650793650793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94-4C90-8C1B-A3E774E12C41}"/>
                </c:ext>
              </c:extLst>
            </c:dLbl>
            <c:spPr>
              <a:solidFill>
                <a:schemeClr val="accent6">
                  <a:lumMod val="20000"/>
                  <a:lumOff val="80000"/>
                  <a:alpha val="99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List1!$D$2:$D$10</c:f>
              <c:numCache>
                <c:formatCode>0.0%</c:formatCode>
                <c:ptCount val="9"/>
                <c:pt idx="0">
                  <c:v>0.317</c:v>
                </c:pt>
                <c:pt idx="1">
                  <c:v>0.34399999999999997</c:v>
                </c:pt>
                <c:pt idx="2">
                  <c:v>0.33500000000000002</c:v>
                </c:pt>
                <c:pt idx="3">
                  <c:v>0.35899999999999999</c:v>
                </c:pt>
                <c:pt idx="4">
                  <c:v>0.33</c:v>
                </c:pt>
                <c:pt idx="5">
                  <c:v>0.34799999999999998</c:v>
                </c:pt>
                <c:pt idx="6">
                  <c:v>0.36</c:v>
                </c:pt>
                <c:pt idx="7">
                  <c:v>0.34799999999999998</c:v>
                </c:pt>
                <c:pt idx="8">
                  <c:v>0.33600000000000002</c:v>
                </c:pt>
              </c:numCache>
            </c:numRef>
          </c:val>
          <c:smooth val="0"/>
          <c:extLst>
            <c:ext xmlns:c16="http://schemas.microsoft.com/office/drawing/2014/chart" uri="{C3380CC4-5D6E-409C-BE32-E72D297353CC}">
              <c16:uniqueId val="{00000008-0894-4C90-8C1B-A3E774E12C41}"/>
            </c:ext>
          </c:extLst>
        </c:ser>
        <c:ser>
          <c:idx val="3"/>
          <c:order val="3"/>
          <c:tx>
            <c:strRef>
              <c:f>List1!$E$1</c:f>
              <c:strCache>
                <c:ptCount val="1"/>
                <c:pt idx="0">
                  <c:v>55 a více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alpha val="51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List1!$E$2:$E$10</c:f>
              <c:numCache>
                <c:formatCode>0.0%</c:formatCode>
                <c:ptCount val="9"/>
                <c:pt idx="0">
                  <c:v>0.11799999999999999</c:v>
                </c:pt>
                <c:pt idx="1">
                  <c:v>0.104</c:v>
                </c:pt>
                <c:pt idx="2">
                  <c:v>0.107</c:v>
                </c:pt>
                <c:pt idx="3">
                  <c:v>0.124</c:v>
                </c:pt>
                <c:pt idx="4">
                  <c:v>0.14899999999999999</c:v>
                </c:pt>
                <c:pt idx="5">
                  <c:v>0.16300000000000001</c:v>
                </c:pt>
                <c:pt idx="6">
                  <c:v>0.156</c:v>
                </c:pt>
                <c:pt idx="7">
                  <c:v>0.17199999999999999</c:v>
                </c:pt>
                <c:pt idx="8">
                  <c:v>0.159</c:v>
                </c:pt>
              </c:numCache>
            </c:numRef>
          </c:val>
          <c:smooth val="0"/>
          <c:extLst>
            <c:ext xmlns:c16="http://schemas.microsoft.com/office/drawing/2014/chart" uri="{C3380CC4-5D6E-409C-BE32-E72D297353CC}">
              <c16:uniqueId val="{00000009-0894-4C90-8C1B-A3E774E12C41}"/>
            </c:ext>
          </c:extLst>
        </c:ser>
        <c:dLbls>
          <c:showLegendKey val="0"/>
          <c:showVal val="0"/>
          <c:showCatName val="0"/>
          <c:showSerName val="0"/>
          <c:showPercent val="0"/>
          <c:showBubbleSize val="0"/>
        </c:dLbls>
        <c:marker val="1"/>
        <c:smooth val="0"/>
        <c:axId val="433656440"/>
        <c:axId val="433657616"/>
      </c:lineChart>
      <c:catAx>
        <c:axId val="43365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57616"/>
        <c:crosses val="autoZero"/>
        <c:auto val="1"/>
        <c:lblAlgn val="ctr"/>
        <c:lblOffset val="100"/>
        <c:noMultiLvlLbl val="0"/>
      </c:catAx>
      <c:valAx>
        <c:axId val="433657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3656440"/>
        <c:crosses val="autoZero"/>
        <c:crossBetween val="between"/>
      </c:valAx>
      <c:spPr>
        <a:noFill/>
        <a:ln>
          <a:noFill/>
        </a:ln>
        <a:effectLst/>
      </c:spPr>
    </c:plotArea>
    <c:legend>
      <c:legendPos val="b"/>
      <c:layout>
        <c:manualLayout>
          <c:xMode val="edge"/>
          <c:yMode val="edge"/>
          <c:x val="0.24917394102478824"/>
          <c:y val="0.93169947506561679"/>
          <c:w val="0.50604048876775753"/>
          <c:h val="6.83005249343831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Struktura</a:t>
            </a:r>
            <a:r>
              <a:rPr lang="cs-CZ" sz="1000" b="1" baseline="0"/>
              <a:t> uchazečů o zaměstnání ze zemí EU/EHP v Jihomoravském kraji podle délky nezaměstnanosti  (0-12 měsíců)</a:t>
            </a:r>
            <a:endParaRPr lang="cs-CZ" sz="1000" b="1"/>
          </a:p>
        </c:rich>
      </c:tx>
      <c:layout>
        <c:manualLayout>
          <c:xMode val="edge"/>
          <c:yMode val="edge"/>
          <c:x val="0.13749253565526531"/>
          <c:y val="3.5158072084490758E-3"/>
        </c:manualLayout>
      </c:layout>
      <c:overlay val="0"/>
      <c:spPr>
        <a:noFill/>
        <a:ln>
          <a:noFill/>
        </a:ln>
        <a:effectLst/>
      </c:spPr>
    </c:title>
    <c:autoTitleDeleted val="0"/>
    <c:plotArea>
      <c:layout>
        <c:manualLayout>
          <c:layoutTarget val="inner"/>
          <c:xMode val="edge"/>
          <c:yMode val="edge"/>
          <c:x val="7.0418838895823704E-2"/>
          <c:y val="0.12900645376887571"/>
          <c:w val="0.90544512160883894"/>
          <c:h val="0.73493737685972282"/>
        </c:manualLayout>
      </c:layout>
      <c:lineChart>
        <c:grouping val="standard"/>
        <c:varyColors val="0"/>
        <c:ser>
          <c:idx val="0"/>
          <c:order val="0"/>
          <c:tx>
            <c:strRef>
              <c:f>List1!$B$1</c:f>
              <c:strCache>
                <c:ptCount val="1"/>
                <c:pt idx="0">
                  <c:v>0-3 měsíce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189840230475851E-2"/>
                  <c:y val="-1.6517935258092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91-45A5-8D08-0C13545DF4DD}"/>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List1!$B$2:$B$10</c:f>
              <c:numCache>
                <c:formatCode>0.0%</c:formatCode>
                <c:ptCount val="9"/>
                <c:pt idx="0">
                  <c:v>0.26300000000000001</c:v>
                </c:pt>
                <c:pt idx="1">
                  <c:v>0.27900000000000003</c:v>
                </c:pt>
                <c:pt idx="2">
                  <c:v>0.32500000000000001</c:v>
                </c:pt>
                <c:pt idx="3">
                  <c:v>0.34399999999999997</c:v>
                </c:pt>
                <c:pt idx="4">
                  <c:v>0.42</c:v>
                </c:pt>
                <c:pt idx="5">
                  <c:v>0.41399999999999998</c:v>
                </c:pt>
                <c:pt idx="6">
                  <c:v>0.308</c:v>
                </c:pt>
                <c:pt idx="7">
                  <c:v>0.30499999999999999</c:v>
                </c:pt>
                <c:pt idx="8">
                  <c:v>0.36299999999999999</c:v>
                </c:pt>
              </c:numCache>
            </c:numRef>
          </c:val>
          <c:smooth val="0"/>
          <c:extLst>
            <c:ext xmlns:c16="http://schemas.microsoft.com/office/drawing/2014/chart" uri="{C3380CC4-5D6E-409C-BE32-E72D297353CC}">
              <c16:uniqueId val="{00000001-A691-45A5-8D08-0C13545DF4DD}"/>
            </c:ext>
          </c:extLst>
        </c:ser>
        <c:ser>
          <c:idx val="1"/>
          <c:order val="1"/>
          <c:tx>
            <c:strRef>
              <c:f>List1!$C$1</c:f>
              <c:strCache>
                <c:ptCount val="1"/>
                <c:pt idx="0">
                  <c:v>3-6 měsíců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accent2">
                  <a:lumMod val="40000"/>
                  <a:lumOff val="6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List1!$C$2:$C$10</c:f>
              <c:numCache>
                <c:formatCode>0.0%</c:formatCode>
                <c:ptCount val="9"/>
                <c:pt idx="0">
                  <c:v>0.151</c:v>
                </c:pt>
                <c:pt idx="1">
                  <c:v>0.16700000000000001</c:v>
                </c:pt>
                <c:pt idx="2">
                  <c:v>0.20100000000000001</c:v>
                </c:pt>
                <c:pt idx="3">
                  <c:v>0.17499999999999999</c:v>
                </c:pt>
                <c:pt idx="4">
                  <c:v>0.2</c:v>
                </c:pt>
                <c:pt idx="5">
                  <c:v>0.23100000000000001</c:v>
                </c:pt>
                <c:pt idx="6">
                  <c:v>0.246</c:v>
                </c:pt>
                <c:pt idx="7">
                  <c:v>0.20200000000000001</c:v>
                </c:pt>
                <c:pt idx="8">
                  <c:v>0.19500000000000001</c:v>
                </c:pt>
              </c:numCache>
            </c:numRef>
          </c:val>
          <c:smooth val="0"/>
          <c:extLst>
            <c:ext xmlns:c16="http://schemas.microsoft.com/office/drawing/2014/chart" uri="{C3380CC4-5D6E-409C-BE32-E72D297353CC}">
              <c16:uniqueId val="{00000002-A691-45A5-8D08-0C13545DF4DD}"/>
            </c:ext>
          </c:extLst>
        </c:ser>
        <c:ser>
          <c:idx val="2"/>
          <c:order val="2"/>
          <c:tx>
            <c:strRef>
              <c:f>List1!$D$1</c:f>
              <c:strCache>
                <c:ptCount val="1"/>
                <c:pt idx="0">
                  <c:v>6-12 měsíců</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dPt>
            <c:idx val="0"/>
            <c:marker>
              <c:spPr>
                <a:solidFill>
                  <a:srgbClr val="92D050">
                    <a:alpha val="93000"/>
                  </a:srgbClr>
                </a:solidFill>
                <a:ln w="9525">
                  <a:solidFill>
                    <a:schemeClr val="accent3"/>
                  </a:solidFill>
                </a:ln>
                <a:effectLst/>
              </c:spPr>
            </c:marker>
            <c:bubble3D val="0"/>
            <c:extLst>
              <c:ext xmlns:c16="http://schemas.microsoft.com/office/drawing/2014/chart" uri="{C3380CC4-5D6E-409C-BE32-E72D297353CC}">
                <c16:uniqueId val="{00000003-A691-45A5-8D08-0C13545DF4DD}"/>
              </c:ext>
            </c:extLst>
          </c:dPt>
          <c:dLbls>
            <c:spPr>
              <a:solidFill>
                <a:schemeClr val="accent6">
                  <a:lumMod val="20000"/>
                  <a:lumOff val="80000"/>
                </a:schemeClr>
              </a:solidFill>
              <a:ln>
                <a:noFill/>
              </a:ln>
              <a:effectLst/>
            </c:spPr>
            <c:txPr>
              <a:bodyPr rot="0" spcFirstLastPara="1" vertOverflow="ellipsis" vert="horz" wrap="square" lIns="38100" tIns="0" rIns="38100"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List1!$D$2:$D$10</c:f>
              <c:numCache>
                <c:formatCode>0.0%</c:formatCode>
                <c:ptCount val="9"/>
                <c:pt idx="0">
                  <c:v>0.151</c:v>
                </c:pt>
                <c:pt idx="1">
                  <c:v>0.185</c:v>
                </c:pt>
                <c:pt idx="2">
                  <c:v>0.153</c:v>
                </c:pt>
                <c:pt idx="3">
                  <c:v>0.157</c:v>
                </c:pt>
                <c:pt idx="4">
                  <c:v>0.14199999999999999</c:v>
                </c:pt>
                <c:pt idx="5">
                  <c:v>0.13600000000000001</c:v>
                </c:pt>
                <c:pt idx="6">
                  <c:v>0.2</c:v>
                </c:pt>
                <c:pt idx="7">
                  <c:v>0.17699999999999999</c:v>
                </c:pt>
                <c:pt idx="8">
                  <c:v>0.14799999999999999</c:v>
                </c:pt>
              </c:numCache>
            </c:numRef>
          </c:val>
          <c:smooth val="0"/>
          <c:extLst>
            <c:ext xmlns:c16="http://schemas.microsoft.com/office/drawing/2014/chart" uri="{C3380CC4-5D6E-409C-BE32-E72D297353CC}">
              <c16:uniqueId val="{00000004-A691-45A5-8D08-0C13545DF4DD}"/>
            </c:ext>
          </c:extLst>
        </c:ser>
        <c:dLbls>
          <c:showLegendKey val="0"/>
          <c:showVal val="0"/>
          <c:showCatName val="0"/>
          <c:showSerName val="0"/>
          <c:showPercent val="0"/>
          <c:showBubbleSize val="0"/>
        </c:dLbls>
        <c:marker val="1"/>
        <c:smooth val="0"/>
        <c:axId val="433658792"/>
        <c:axId val="433656048"/>
      </c:lineChart>
      <c:catAx>
        <c:axId val="43365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56048"/>
        <c:crosses val="autoZero"/>
        <c:auto val="1"/>
        <c:lblAlgn val="ctr"/>
        <c:lblOffset val="100"/>
        <c:noMultiLvlLbl val="0"/>
      </c:catAx>
      <c:valAx>
        <c:axId val="433656048"/>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3658792"/>
        <c:crosses val="autoZero"/>
        <c:crossBetween val="between"/>
      </c:valAx>
      <c:spPr>
        <a:noFill/>
        <a:ln>
          <a:noFill/>
        </a:ln>
        <a:effectLst/>
      </c:spPr>
    </c:plotArea>
    <c:legend>
      <c:legendPos val="b"/>
      <c:layout>
        <c:manualLayout>
          <c:xMode val="edge"/>
          <c:yMode val="edge"/>
          <c:x val="0.24917394102478824"/>
          <c:y val="0.92376296712910899"/>
          <c:w val="0.52444434029079701"/>
          <c:h val="7.078647864883638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Struktura</a:t>
            </a:r>
            <a:r>
              <a:rPr lang="cs-CZ" sz="1000" b="1" baseline="0"/>
              <a:t> uchazečů o zaměstnání ze zemí EU/EHP v Jihomoravském kraji podle délky nezaměstnanosti (12 a více měsíců)</a:t>
            </a:r>
            <a:endParaRPr lang="cs-CZ" sz="1000" b="1"/>
          </a:p>
        </c:rich>
      </c:tx>
      <c:layout>
        <c:manualLayout>
          <c:xMode val="edge"/>
          <c:yMode val="edge"/>
          <c:x val="0.14410629226902191"/>
          <c:y val="7.9366183467349267E-3"/>
        </c:manualLayout>
      </c:layout>
      <c:overlay val="0"/>
      <c:spPr>
        <a:noFill/>
        <a:ln>
          <a:noFill/>
        </a:ln>
        <a:effectLst/>
      </c:spPr>
    </c:title>
    <c:autoTitleDeleted val="0"/>
    <c:plotArea>
      <c:layout>
        <c:manualLayout>
          <c:layoutTarget val="inner"/>
          <c:xMode val="edge"/>
          <c:yMode val="edge"/>
          <c:x val="7.0418838895823704E-2"/>
          <c:y val="0.1122520808752117"/>
          <c:w val="0.90544512160883894"/>
          <c:h val="0.72021438833907225"/>
        </c:manualLayout>
      </c:layout>
      <c:lineChart>
        <c:grouping val="standard"/>
        <c:varyColors val="0"/>
        <c:ser>
          <c:idx val="0"/>
          <c:order val="0"/>
          <c:tx>
            <c:strRef>
              <c:f>List1!$B$1</c:f>
              <c:strCache>
                <c:ptCount val="1"/>
                <c:pt idx="0">
                  <c:v>12-24 měsíců</c:v>
                </c:pt>
              </c:strCache>
            </c:strRef>
          </c:tx>
          <c:spPr>
            <a:ln w="28575" cap="rnd">
              <a:solidFill>
                <a:srgbClr val="C00000"/>
              </a:solidFill>
              <a:round/>
            </a:ln>
            <a:effectLst/>
          </c:spPr>
          <c:marker>
            <c:symbol val="circle"/>
            <c:size val="5"/>
            <c:spPr>
              <a:solidFill>
                <a:srgbClr val="C00000"/>
              </a:solidFill>
              <a:ln w="9525">
                <a:solidFill>
                  <a:schemeClr val="accent1"/>
                </a:solidFill>
              </a:ln>
              <a:effectLst/>
            </c:spPr>
          </c:marker>
          <c:dLbls>
            <c:dLbl>
              <c:idx val="6"/>
              <c:layout>
                <c:manualLayout>
                  <c:x val="-3.9599911122220832E-2"/>
                  <c:y val="-2.975270293048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AB-4451-9604-D465D86969FA}"/>
                </c:ext>
              </c:extLst>
            </c:dLbl>
            <c:spPr>
              <a:solidFill>
                <a:srgbClr val="C00000">
                  <a:alpha val="9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List1!$B$2:$B$10</c:f>
              <c:numCache>
                <c:formatCode>0.0%</c:formatCode>
                <c:ptCount val="9"/>
                <c:pt idx="0">
                  <c:v>0.20100000000000001</c:v>
                </c:pt>
                <c:pt idx="1">
                  <c:v>0.111</c:v>
                </c:pt>
                <c:pt idx="2">
                  <c:v>0.124</c:v>
                </c:pt>
                <c:pt idx="3">
                  <c:v>0.13900000000000001</c:v>
                </c:pt>
                <c:pt idx="4">
                  <c:v>9.1999999999999998E-2</c:v>
                </c:pt>
                <c:pt idx="5">
                  <c:v>0.10299999999999999</c:v>
                </c:pt>
                <c:pt idx="6">
                  <c:v>0.14099999999999999</c:v>
                </c:pt>
                <c:pt idx="7">
                  <c:v>0.151</c:v>
                </c:pt>
                <c:pt idx="8">
                  <c:v>0.122</c:v>
                </c:pt>
              </c:numCache>
            </c:numRef>
          </c:val>
          <c:smooth val="0"/>
          <c:extLst>
            <c:ext xmlns:c16="http://schemas.microsoft.com/office/drawing/2014/chart" uri="{C3380CC4-5D6E-409C-BE32-E72D297353CC}">
              <c16:uniqueId val="{00000001-B5AB-4451-9604-D465D86969FA}"/>
            </c:ext>
          </c:extLst>
        </c:ser>
        <c:ser>
          <c:idx val="1"/>
          <c:order val="1"/>
          <c:tx>
            <c:strRef>
              <c:f>List1!$C$1</c:f>
              <c:strCache>
                <c:ptCount val="1"/>
                <c:pt idx="0">
                  <c:v>24 měsíců a více</c:v>
                </c:pt>
              </c:strCache>
            </c:strRef>
          </c:tx>
          <c:spPr>
            <a:ln w="28575" cap="rnd">
              <a:solidFill>
                <a:srgbClr val="7030A0"/>
              </a:solidFill>
              <a:round/>
            </a:ln>
            <a:effectLst/>
          </c:spPr>
          <c:marker>
            <c:symbol val="circle"/>
            <c:size val="5"/>
            <c:spPr>
              <a:solidFill>
                <a:srgbClr val="7030A0"/>
              </a:solidFill>
              <a:ln w="9525">
                <a:solidFill>
                  <a:schemeClr val="accent2"/>
                </a:solidFill>
              </a:ln>
              <a:effectLst/>
            </c:spPr>
          </c:marker>
          <c:dLbls>
            <c:dLbl>
              <c:idx val="6"/>
              <c:layout>
                <c:manualLayout>
                  <c:x val="-3.0781568970545348E-2"/>
                  <c:y val="2.975270293048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AB-4451-9604-D465D86969FA}"/>
                </c:ext>
              </c:extLst>
            </c:dLbl>
            <c:spPr>
              <a:solidFill>
                <a:srgbClr val="7030A0">
                  <a:alpha val="17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List1!$C$2:$C$10</c:f>
              <c:numCache>
                <c:formatCode>0.0%</c:formatCode>
                <c:ptCount val="9"/>
                <c:pt idx="0">
                  <c:v>0.23499999999999999</c:v>
                </c:pt>
                <c:pt idx="1">
                  <c:v>0.25800000000000001</c:v>
                </c:pt>
                <c:pt idx="2">
                  <c:v>0.19800000000000001</c:v>
                </c:pt>
                <c:pt idx="3">
                  <c:v>0.185</c:v>
                </c:pt>
                <c:pt idx="4">
                  <c:v>0.14599999999999999</c:v>
                </c:pt>
                <c:pt idx="5">
                  <c:v>0.11700000000000001</c:v>
                </c:pt>
                <c:pt idx="6">
                  <c:v>0.105</c:v>
                </c:pt>
                <c:pt idx="7">
                  <c:v>0.16500000000000001</c:v>
                </c:pt>
                <c:pt idx="8">
                  <c:v>0.17100000000000001</c:v>
                </c:pt>
              </c:numCache>
            </c:numRef>
          </c:val>
          <c:smooth val="0"/>
          <c:extLst>
            <c:ext xmlns:c16="http://schemas.microsoft.com/office/drawing/2014/chart" uri="{C3380CC4-5D6E-409C-BE32-E72D297353CC}">
              <c16:uniqueId val="{00000003-B5AB-4451-9604-D465D86969FA}"/>
            </c:ext>
          </c:extLst>
        </c:ser>
        <c:dLbls>
          <c:showLegendKey val="0"/>
          <c:showVal val="0"/>
          <c:showCatName val="0"/>
          <c:showSerName val="0"/>
          <c:showPercent val="0"/>
          <c:showBubbleSize val="0"/>
        </c:dLbls>
        <c:marker val="1"/>
        <c:smooth val="0"/>
        <c:axId val="433657224"/>
        <c:axId val="433658400"/>
      </c:lineChart>
      <c:catAx>
        <c:axId val="43365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3658400"/>
        <c:crosses val="autoZero"/>
        <c:auto val="1"/>
        <c:lblAlgn val="ctr"/>
        <c:lblOffset val="100"/>
        <c:noMultiLvlLbl val="0"/>
      </c:catAx>
      <c:valAx>
        <c:axId val="433658400"/>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3657224"/>
        <c:crosses val="autoZero"/>
        <c:crossBetween val="between"/>
      </c:valAx>
      <c:spPr>
        <a:noFill/>
        <a:ln>
          <a:noFill/>
        </a:ln>
        <a:effectLst/>
      </c:spPr>
    </c:plotArea>
    <c:legend>
      <c:legendPos val="b"/>
      <c:layout>
        <c:manualLayout>
          <c:xMode val="edge"/>
          <c:yMode val="edge"/>
          <c:x val="0.14335378216611813"/>
          <c:y val="0.93378057269512982"/>
          <c:w val="0.75082611201377603"/>
          <c:h val="6.569719325624837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t>Struktura</a:t>
            </a:r>
            <a:r>
              <a:rPr lang="cs-CZ" sz="1000" b="1" baseline="0"/>
              <a:t> uchazečů o zaměstnání ze zemí EU/EHP v Jihomoravském kraji v letech 2015-2022 podle dosaženého vzdělání</a:t>
            </a:r>
            <a:endParaRPr lang="cs-CZ" sz="1000" b="1"/>
          </a:p>
        </c:rich>
      </c:tx>
      <c:layout>
        <c:manualLayout>
          <c:xMode val="edge"/>
          <c:yMode val="edge"/>
          <c:x val="0.14410629226902191"/>
          <c:y val="7.9366183467349267E-3"/>
        </c:manualLayout>
      </c:layout>
      <c:overlay val="0"/>
      <c:spPr>
        <a:noFill/>
        <a:ln>
          <a:noFill/>
        </a:ln>
        <a:effectLst/>
      </c:spPr>
    </c:title>
    <c:autoTitleDeleted val="0"/>
    <c:plotArea>
      <c:layout>
        <c:manualLayout>
          <c:layoutTarget val="inner"/>
          <c:xMode val="edge"/>
          <c:yMode val="edge"/>
          <c:x val="7.0418838895823704E-2"/>
          <c:y val="5.746387651439186E-2"/>
          <c:w val="0.92958119818356044"/>
          <c:h val="0.83085387053890991"/>
        </c:manualLayout>
      </c:layout>
      <c:lineChart>
        <c:grouping val="standard"/>
        <c:varyColors val="0"/>
        <c:ser>
          <c:idx val="0"/>
          <c:order val="0"/>
          <c:tx>
            <c:strRef>
              <c:f>List1!$B$1</c:f>
              <c:strCache>
                <c:ptCount val="1"/>
                <c:pt idx="0">
                  <c:v>Základní vzdělání (vč.
neukončeného)</c:v>
                </c:pt>
              </c:strCache>
            </c:strRef>
          </c:tx>
          <c:spPr>
            <a:ln w="28575" cap="rnd">
              <a:solidFill>
                <a:srgbClr val="C00000"/>
              </a:solidFill>
              <a:round/>
            </a:ln>
            <a:effectLst/>
          </c:spPr>
          <c:marker>
            <c:symbol val="circle"/>
            <c:size val="5"/>
            <c:spPr>
              <a:solidFill>
                <a:srgbClr val="C00000"/>
              </a:solidFill>
              <a:ln w="9525">
                <a:noFill/>
              </a:ln>
              <a:effectLst/>
            </c:spPr>
          </c:marker>
          <c:dLbls>
            <c:dLbl>
              <c:idx val="0"/>
              <c:layout>
                <c:manualLayout>
                  <c:x val="-4.1539946395589437E-2"/>
                  <c:y val="-6.6860645189434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2C-4258-8CD6-FA26A91D61F0}"/>
                </c:ext>
              </c:extLst>
            </c:dLbl>
            <c:spPr>
              <a:solidFill>
                <a:srgbClr val="C00000">
                  <a:alpha val="9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List1!$B$2:$B$9</c:f>
              <c:numCache>
                <c:formatCode>0.0%</c:formatCode>
                <c:ptCount val="8"/>
                <c:pt idx="0">
                  <c:v>0.38100000000000001</c:v>
                </c:pt>
                <c:pt idx="1">
                  <c:v>0.432</c:v>
                </c:pt>
                <c:pt idx="2">
                  <c:v>0.42099999999999999</c:v>
                </c:pt>
                <c:pt idx="3">
                  <c:v>0.442</c:v>
                </c:pt>
                <c:pt idx="4">
                  <c:v>0.45100000000000001</c:v>
                </c:pt>
                <c:pt idx="5">
                  <c:v>0.41699999999999998</c:v>
                </c:pt>
                <c:pt idx="6">
                  <c:v>0.441</c:v>
                </c:pt>
                <c:pt idx="7">
                  <c:v>0.39400000000000002</c:v>
                </c:pt>
              </c:numCache>
            </c:numRef>
          </c:val>
          <c:smooth val="0"/>
          <c:extLst>
            <c:ext xmlns:c16="http://schemas.microsoft.com/office/drawing/2014/chart" uri="{C3380CC4-5D6E-409C-BE32-E72D297353CC}">
              <c16:uniqueId val="{00000001-ED2C-4258-8CD6-FA26A91D61F0}"/>
            </c:ext>
          </c:extLst>
        </c:ser>
        <c:ser>
          <c:idx val="1"/>
          <c:order val="1"/>
          <c:tx>
            <c:strRef>
              <c:f>List1!$C$1</c:f>
              <c:strCache>
                <c:ptCount val="1"/>
                <c:pt idx="0">
                  <c:v>Střední bez maturity</c:v>
                </c:pt>
              </c:strCache>
            </c:strRef>
          </c:tx>
          <c:spPr>
            <a:ln w="28575" cap="rnd">
              <a:solidFill>
                <a:srgbClr val="7030A0"/>
              </a:solidFill>
              <a:round/>
            </a:ln>
            <a:effectLst/>
          </c:spPr>
          <c:marker>
            <c:symbol val="circle"/>
            <c:size val="5"/>
            <c:spPr>
              <a:solidFill>
                <a:srgbClr val="7030A0"/>
              </a:solidFill>
              <a:ln w="9525">
                <a:noFill/>
              </a:ln>
              <a:effectLst/>
            </c:spPr>
          </c:marker>
          <c:dLbls>
            <c:dLbl>
              <c:idx val="0"/>
              <c:layout>
                <c:manualLayout>
                  <c:x val="-4.6213667735977446E-2"/>
                  <c:y val="-7.52442479136871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2C-4258-8CD6-FA26A91D61F0}"/>
                </c:ext>
              </c:extLst>
            </c:dLbl>
            <c:dLbl>
              <c:idx val="2"/>
              <c:layout>
                <c:manualLayout>
                  <c:x val="-3.9599911122220832E-2"/>
                  <c:y val="-1.100389591175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2C-4258-8CD6-FA26A91D61F0}"/>
                </c:ext>
              </c:extLst>
            </c:dLbl>
            <c:dLbl>
              <c:idx val="3"/>
              <c:layout>
                <c:manualLayout>
                  <c:x val="-3.9599911122220832E-2"/>
                  <c:y val="1.3352401930969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2C-4258-8CD6-FA26A91D61F0}"/>
                </c:ext>
              </c:extLst>
            </c:dLbl>
            <c:dLbl>
              <c:idx val="5"/>
              <c:layout>
                <c:manualLayout>
                  <c:x val="-4.1804496660139703E-2"/>
                  <c:y val="6.393459690190082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2C-4258-8CD6-FA26A91D61F0}"/>
                </c:ext>
              </c:extLst>
            </c:dLbl>
            <c:dLbl>
              <c:idx val="6"/>
              <c:layout>
                <c:manualLayout>
                  <c:x val="-3.6719542001694236E-2"/>
                  <c:y val="-5.654825505893183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2C-4258-8CD6-FA26A91D61F0}"/>
                </c:ext>
              </c:extLst>
            </c:dLbl>
            <c:dLbl>
              <c:idx val="7"/>
              <c:layout>
                <c:manualLayout>
                  <c:x val="-2.8406672306457721E-2"/>
                  <c:y val="2.1850320657969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D2C-4258-8CD6-FA26A91D61F0}"/>
                </c:ext>
              </c:extLst>
            </c:dLbl>
            <c:spPr>
              <a:solidFill>
                <a:srgbClr val="7030A0">
                  <a:alpha val="40000"/>
                </a:srgb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List1!$C$2:$C$9</c:f>
              <c:numCache>
                <c:formatCode>0.0%</c:formatCode>
                <c:ptCount val="8"/>
                <c:pt idx="0">
                  <c:v>0.21299999999999999</c:v>
                </c:pt>
                <c:pt idx="1">
                  <c:v>0.19900000000000001</c:v>
                </c:pt>
                <c:pt idx="2">
                  <c:v>0.19</c:v>
                </c:pt>
                <c:pt idx="3">
                  <c:v>0.17100000000000001</c:v>
                </c:pt>
                <c:pt idx="4">
                  <c:v>0.191</c:v>
                </c:pt>
                <c:pt idx="5">
                  <c:v>0.16800000000000001</c:v>
                </c:pt>
                <c:pt idx="6">
                  <c:v>0.16400000000000001</c:v>
                </c:pt>
                <c:pt idx="7">
                  <c:v>0.17799999999999999</c:v>
                </c:pt>
              </c:numCache>
            </c:numRef>
          </c:val>
          <c:smooth val="0"/>
          <c:extLst>
            <c:ext xmlns:c16="http://schemas.microsoft.com/office/drawing/2014/chart" uri="{C3380CC4-5D6E-409C-BE32-E72D297353CC}">
              <c16:uniqueId val="{00000007-ED2C-4258-8CD6-FA26A91D61F0}"/>
            </c:ext>
          </c:extLst>
        </c:ser>
        <c:ser>
          <c:idx val="2"/>
          <c:order val="2"/>
          <c:tx>
            <c:strRef>
              <c:f>List1!$D$1</c:f>
              <c:strCache>
                <c:ptCount val="1"/>
                <c:pt idx="0">
                  <c:v>Úplné střední</c:v>
                </c:pt>
              </c:strCache>
            </c:strRef>
          </c:tx>
          <c:spPr>
            <a:ln w="28575" cap="rnd">
              <a:solidFill>
                <a:srgbClr val="00B050"/>
              </a:solidFill>
              <a:round/>
            </a:ln>
            <a:effectLst/>
          </c:spPr>
          <c:marker>
            <c:symbol val="circle"/>
            <c:size val="5"/>
            <c:spPr>
              <a:solidFill>
                <a:srgbClr val="92D050"/>
              </a:solidFill>
              <a:ln w="9525">
                <a:solidFill>
                  <a:schemeClr val="accent3"/>
                </a:solidFill>
              </a:ln>
              <a:effectLst/>
            </c:spPr>
          </c:marker>
          <c:dLbls>
            <c:dLbl>
              <c:idx val="0"/>
              <c:layout>
                <c:manualLayout>
                  <c:x val="-4.8153703009346051E-2"/>
                  <c:y val="-1.895106274554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2C-4258-8CD6-FA26A91D61F0}"/>
                </c:ext>
              </c:extLst>
            </c:dLbl>
            <c:dLbl>
              <c:idx val="1"/>
              <c:layout>
                <c:manualLayout>
                  <c:x val="-4.1804496660139703E-2"/>
                  <c:y val="-1.3917884481558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2C-4258-8CD6-FA26A91D61F0}"/>
                </c:ext>
              </c:extLst>
            </c:dLbl>
            <c:dLbl>
              <c:idx val="2"/>
              <c:layout>
                <c:manualLayout>
                  <c:x val="-4.1804496660139703E-2"/>
                  <c:y val="-1.3917884481558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2C-4258-8CD6-FA26A91D61F0}"/>
                </c:ext>
              </c:extLst>
            </c:dLbl>
            <c:dLbl>
              <c:idx val="3"/>
              <c:layout>
                <c:manualLayout>
                  <c:x val="-4.1804496660139703E-2"/>
                  <c:y val="-1.3917884481558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2C-4258-8CD6-FA26A91D61F0}"/>
                </c:ext>
              </c:extLst>
            </c:dLbl>
            <c:spPr>
              <a:solidFill>
                <a:schemeClr val="accent6">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List1!$D$2:$D$9</c:f>
              <c:numCache>
                <c:formatCode>0.0%</c:formatCode>
                <c:ptCount val="8"/>
                <c:pt idx="0">
                  <c:v>0.24199999999999999</c:v>
                </c:pt>
                <c:pt idx="1">
                  <c:v>0.189</c:v>
                </c:pt>
                <c:pt idx="2">
                  <c:v>0.218</c:v>
                </c:pt>
                <c:pt idx="3">
                  <c:v>0.2</c:v>
                </c:pt>
                <c:pt idx="4">
                  <c:v>0.191</c:v>
                </c:pt>
                <c:pt idx="5">
                  <c:v>0.218</c:v>
                </c:pt>
                <c:pt idx="6">
                  <c:v>0.22</c:v>
                </c:pt>
                <c:pt idx="7">
                  <c:v>0.22500000000000001</c:v>
                </c:pt>
              </c:numCache>
            </c:numRef>
          </c:val>
          <c:smooth val="0"/>
          <c:extLst>
            <c:ext xmlns:c16="http://schemas.microsoft.com/office/drawing/2014/chart" uri="{C3380CC4-5D6E-409C-BE32-E72D297353CC}">
              <c16:uniqueId val="{0000000C-ED2C-4258-8CD6-FA26A91D61F0}"/>
            </c:ext>
          </c:extLst>
        </c:ser>
        <c:ser>
          <c:idx val="3"/>
          <c:order val="3"/>
          <c:tx>
            <c:strRef>
              <c:f>List1!$E$1</c:f>
              <c:strCache>
                <c:ptCount val="1"/>
                <c:pt idx="0">
                  <c:v>VOŠ/VŠ</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4.1804496660139703E-2"/>
                  <c:y val="1.0438413361169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D2C-4258-8CD6-FA26A91D61F0}"/>
                </c:ext>
              </c:extLst>
            </c:dLbl>
            <c:dLbl>
              <c:idx val="3"/>
              <c:layout>
                <c:manualLayout>
                  <c:x val="-4.1804496660139703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D2C-4258-8CD6-FA26A91D61F0}"/>
                </c:ext>
              </c:extLst>
            </c:dLbl>
            <c:dLbl>
              <c:idx val="6"/>
              <c:layout>
                <c:manualLayout>
                  <c:x val="-3.4514956463775365E-2"/>
                  <c:y val="-2.7835768963117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2C-4258-8CD6-FA26A91D61F0}"/>
                </c:ext>
              </c:extLst>
            </c:dLbl>
            <c:spPr>
              <a:solidFill>
                <a:schemeClr val="accent4">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List1!$E$2:$E$9</c:f>
              <c:numCache>
                <c:formatCode>0.0%</c:formatCode>
                <c:ptCount val="8"/>
                <c:pt idx="0">
                  <c:v>0.16500000000000001</c:v>
                </c:pt>
                <c:pt idx="1">
                  <c:v>0.18</c:v>
                </c:pt>
                <c:pt idx="2">
                  <c:v>0.17</c:v>
                </c:pt>
                <c:pt idx="3">
                  <c:v>0.187</c:v>
                </c:pt>
                <c:pt idx="4">
                  <c:v>0.16700000000000001</c:v>
                </c:pt>
                <c:pt idx="5">
                  <c:v>0.19700000000000001</c:v>
                </c:pt>
                <c:pt idx="6">
                  <c:v>0.17499999999999999</c:v>
                </c:pt>
                <c:pt idx="7">
                  <c:v>0.20100000000000001</c:v>
                </c:pt>
              </c:numCache>
            </c:numRef>
          </c:val>
          <c:smooth val="0"/>
          <c:extLst>
            <c:ext xmlns:c16="http://schemas.microsoft.com/office/drawing/2014/chart" uri="{C3380CC4-5D6E-409C-BE32-E72D297353CC}">
              <c16:uniqueId val="{00000010-ED2C-4258-8CD6-FA26A91D61F0}"/>
            </c:ext>
          </c:extLst>
        </c:ser>
        <c:dLbls>
          <c:showLegendKey val="0"/>
          <c:showVal val="0"/>
          <c:showCatName val="0"/>
          <c:showSerName val="0"/>
          <c:showPercent val="0"/>
          <c:showBubbleSize val="0"/>
        </c:dLbls>
        <c:marker val="1"/>
        <c:smooth val="0"/>
        <c:axId val="438028976"/>
        <c:axId val="438027800"/>
      </c:lineChart>
      <c:catAx>
        <c:axId val="43802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27800"/>
        <c:crosses val="autoZero"/>
        <c:auto val="1"/>
        <c:lblAlgn val="ctr"/>
        <c:lblOffset val="100"/>
        <c:noMultiLvlLbl val="0"/>
      </c:catAx>
      <c:valAx>
        <c:axId val="438027800"/>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8028976"/>
        <c:crosses val="autoZero"/>
        <c:crossBetween val="between"/>
      </c:valAx>
      <c:spPr>
        <a:noFill/>
        <a:ln>
          <a:noFill/>
        </a:ln>
        <a:effectLst/>
      </c:spPr>
    </c:plotArea>
    <c:legend>
      <c:legendPos val="b"/>
      <c:layout>
        <c:manualLayout>
          <c:xMode val="edge"/>
          <c:yMode val="edge"/>
          <c:x val="2.2602546582503632E-3"/>
          <c:y val="0.92527252275283767"/>
          <c:w val="0.99773969226068959"/>
          <c:h val="7.472747724716229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latin typeface="Arial Narrow" panose="020B0606020202030204" pitchFamily="34" charset="0"/>
                <a:ea typeface="+mn-ea"/>
                <a:cs typeface="+mn-cs"/>
              </a:defRPr>
            </a:pPr>
            <a:r>
              <a:rPr lang="cs-CZ" sz="1000" b="1" cap="none"/>
              <a:t>Míra z</a:t>
            </a:r>
            <a:r>
              <a:rPr lang="en-US" sz="1000" b="1" cap="none"/>
              <a:t>aměstnanost</a:t>
            </a:r>
            <a:r>
              <a:rPr lang="cs-CZ" sz="1000" b="1" cap="none"/>
              <a:t>i</a:t>
            </a:r>
            <a:r>
              <a:rPr lang="en-US" sz="1000" b="1" cap="none"/>
              <a:t> </a:t>
            </a:r>
            <a:r>
              <a:rPr lang="cs-CZ" sz="1000" b="1" cap="none"/>
              <a:t>ve státech střední Evropy k 31. 12. 2021</a:t>
            </a:r>
            <a:endParaRPr lang="en-US" sz="1000" b="1" cap="none"/>
          </a:p>
        </c:rich>
      </c:tx>
      <c:layout>
        <c:manualLayout>
          <c:xMode val="edge"/>
          <c:yMode val="edge"/>
          <c:x val="0.23917492871530593"/>
          <c:y val="7.4903990037247497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86340370244415"/>
          <c:y val="2.384399936585108E-2"/>
          <c:w val="0.88946660737175298"/>
          <c:h val="0.90347751413623645"/>
        </c:manualLayout>
      </c:layout>
      <c:bar3DChart>
        <c:barDir val="bar"/>
        <c:grouping val="clustered"/>
        <c:varyColors val="0"/>
        <c:ser>
          <c:idx val="0"/>
          <c:order val="0"/>
          <c:tx>
            <c:strRef>
              <c:f>List1!$B$1</c:f>
              <c:strCache>
                <c:ptCount val="1"/>
                <c:pt idx="0">
                  <c:v>Třetí země</c:v>
                </c:pt>
              </c:strCache>
            </c:strRef>
          </c:tx>
          <c:spPr>
            <a:solidFill>
              <a:schemeClr val="accent2"/>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4"/>
            <c:invertIfNegative val="0"/>
            <c:bubble3D val="0"/>
            <c:extLst>
              <c:ext xmlns:c16="http://schemas.microsoft.com/office/drawing/2014/chart" uri="{C3380CC4-5D6E-409C-BE32-E72D297353CC}">
                <c16:uniqueId val="{00000000-A888-4B82-AE17-126953845AD1}"/>
              </c:ext>
            </c:extLst>
          </c:dPt>
          <c:dLbls>
            <c:spPr>
              <a:solidFill>
                <a:schemeClr val="bg1"/>
              </a:solidFill>
              <a:ln>
                <a:solidFill>
                  <a:schemeClr val="lt1">
                    <a:alpha val="50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List1!$A$2:$A$6</c:f>
              <c:strCache>
                <c:ptCount val="5"/>
                <c:pt idx="0">
                  <c:v>Slovensko</c:v>
                </c:pt>
                <c:pt idx="1">
                  <c:v>Německo</c:v>
                </c:pt>
                <c:pt idx="2">
                  <c:v>Rakousko</c:v>
                </c:pt>
                <c:pt idx="3">
                  <c:v>Polsko</c:v>
                </c:pt>
                <c:pt idx="4">
                  <c:v>Česko</c:v>
                </c:pt>
              </c:strCache>
            </c:strRef>
          </c:cat>
          <c:val>
            <c:numRef>
              <c:f>List1!$B$2:$B$6</c:f>
              <c:numCache>
                <c:formatCode>0.0%</c:formatCode>
                <c:ptCount val="5"/>
                <c:pt idx="0">
                  <c:v>0.81799999999999995</c:v>
                </c:pt>
                <c:pt idx="1">
                  <c:v>0.64500000000000002</c:v>
                </c:pt>
                <c:pt idx="2">
                  <c:v>0.61299999999999999</c:v>
                </c:pt>
                <c:pt idx="3">
                  <c:v>0.81499999999999995</c:v>
                </c:pt>
                <c:pt idx="4">
                  <c:v>0.80500000000000005</c:v>
                </c:pt>
              </c:numCache>
            </c:numRef>
          </c:val>
          <c:shape val="cylinder"/>
          <c:extLst>
            <c:ext xmlns:c16="http://schemas.microsoft.com/office/drawing/2014/chart" uri="{C3380CC4-5D6E-409C-BE32-E72D297353CC}">
              <c16:uniqueId val="{00000001-A888-4B82-AE17-126953845AD1}"/>
            </c:ext>
          </c:extLst>
        </c:ser>
        <c:ser>
          <c:idx val="1"/>
          <c:order val="1"/>
          <c:tx>
            <c:strRef>
              <c:f>List1!$C$1</c:f>
              <c:strCache>
                <c:ptCount val="1"/>
                <c:pt idx="0">
                  <c:v>EU27</c:v>
                </c:pt>
              </c:strCache>
            </c:strRef>
          </c:tx>
          <c:spPr>
            <a:solidFill>
              <a:schemeClr val="accent1"/>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4"/>
            <c:invertIfNegative val="0"/>
            <c:bubble3D val="0"/>
            <c:extLst>
              <c:ext xmlns:c16="http://schemas.microsoft.com/office/drawing/2014/chart" uri="{C3380CC4-5D6E-409C-BE32-E72D297353CC}">
                <c16:uniqueId val="{00000002-A888-4B82-AE17-126953845AD1}"/>
              </c:ext>
            </c:extLst>
          </c:dPt>
          <c:dLbls>
            <c:spPr>
              <a:solidFill>
                <a:schemeClr val="bg1"/>
              </a:solidFill>
              <a:ln>
                <a:solidFill>
                  <a:schemeClr val="lt1">
                    <a:alpha val="50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List1!$A$2:$A$6</c:f>
              <c:strCache>
                <c:ptCount val="5"/>
                <c:pt idx="0">
                  <c:v>Slovensko</c:v>
                </c:pt>
                <c:pt idx="1">
                  <c:v>Německo</c:v>
                </c:pt>
                <c:pt idx="2">
                  <c:v>Rakousko</c:v>
                </c:pt>
                <c:pt idx="3">
                  <c:v>Polsko</c:v>
                </c:pt>
                <c:pt idx="4">
                  <c:v>Česko</c:v>
                </c:pt>
              </c:strCache>
            </c:strRef>
          </c:cat>
          <c:val>
            <c:numRef>
              <c:f>List1!$C$2:$C$6</c:f>
              <c:numCache>
                <c:formatCode>0.0%</c:formatCode>
                <c:ptCount val="5"/>
                <c:pt idx="1">
                  <c:v>0.76200000000000001</c:v>
                </c:pt>
                <c:pt idx="2">
                  <c:v>0.73099999999999998</c:v>
                </c:pt>
                <c:pt idx="3">
                  <c:v>0.83099999999999996</c:v>
                </c:pt>
                <c:pt idx="4">
                  <c:v>0.83899999999999997</c:v>
                </c:pt>
              </c:numCache>
            </c:numRef>
          </c:val>
          <c:shape val="cylinder"/>
          <c:extLst>
            <c:ext xmlns:c16="http://schemas.microsoft.com/office/drawing/2014/chart" uri="{C3380CC4-5D6E-409C-BE32-E72D297353CC}">
              <c16:uniqueId val="{00000003-A888-4B82-AE17-126953845AD1}"/>
            </c:ext>
          </c:extLst>
        </c:ser>
        <c:ser>
          <c:idx val="2"/>
          <c:order val="2"/>
          <c:tx>
            <c:strRef>
              <c:f>List1!$D$1</c:f>
              <c:strCache>
                <c:ptCount val="1"/>
                <c:pt idx="0">
                  <c:v>občané daného státu</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Pt>
            <c:idx val="4"/>
            <c:invertIfNegative val="0"/>
            <c:bubble3D val="0"/>
            <c:extLst>
              <c:ext xmlns:c16="http://schemas.microsoft.com/office/drawing/2014/chart" uri="{C3380CC4-5D6E-409C-BE32-E72D297353CC}">
                <c16:uniqueId val="{00000004-A888-4B82-AE17-126953845AD1}"/>
              </c:ext>
            </c:extLst>
          </c:dPt>
          <c:dLbls>
            <c:spPr>
              <a:solidFill>
                <a:schemeClr val="bg1"/>
              </a:solidFill>
              <a:ln>
                <a:solidFill>
                  <a:schemeClr val="lt1">
                    <a:alpha val="50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List1!$A$2:$A$6</c:f>
              <c:strCache>
                <c:ptCount val="5"/>
                <c:pt idx="0">
                  <c:v>Slovensko</c:v>
                </c:pt>
                <c:pt idx="1">
                  <c:v>Německo</c:v>
                </c:pt>
                <c:pt idx="2">
                  <c:v>Rakousko</c:v>
                </c:pt>
                <c:pt idx="3">
                  <c:v>Polsko</c:v>
                </c:pt>
                <c:pt idx="4">
                  <c:v>Česko</c:v>
                </c:pt>
              </c:strCache>
            </c:strRef>
          </c:cat>
          <c:val>
            <c:numRef>
              <c:f>List1!$D$2:$D$6</c:f>
              <c:numCache>
                <c:formatCode>0.0%</c:formatCode>
                <c:ptCount val="5"/>
                <c:pt idx="0">
                  <c:v>0.69399999999999995</c:v>
                </c:pt>
                <c:pt idx="1">
                  <c:v>0.77900000000000003</c:v>
                </c:pt>
                <c:pt idx="2">
                  <c:v>0.73799999999999999</c:v>
                </c:pt>
                <c:pt idx="3">
                  <c:v>0.70199999999999996</c:v>
                </c:pt>
                <c:pt idx="4">
                  <c:v>0.74199999999999999</c:v>
                </c:pt>
              </c:numCache>
            </c:numRef>
          </c:val>
          <c:shape val="cylinder"/>
          <c:extLst>
            <c:ext xmlns:c16="http://schemas.microsoft.com/office/drawing/2014/chart" uri="{C3380CC4-5D6E-409C-BE32-E72D297353CC}">
              <c16:uniqueId val="{00000005-A888-4B82-AE17-126953845AD1}"/>
            </c:ext>
          </c:extLst>
        </c:ser>
        <c:dLbls>
          <c:showLegendKey val="0"/>
          <c:showVal val="1"/>
          <c:showCatName val="0"/>
          <c:showSerName val="0"/>
          <c:showPercent val="0"/>
          <c:showBubbleSize val="0"/>
        </c:dLbls>
        <c:gapWidth val="96"/>
        <c:gapDepth val="53"/>
        <c:shape val="box"/>
        <c:axId val="438020352"/>
        <c:axId val="438025448"/>
        <c:axId val="0"/>
      </c:bar3DChart>
      <c:catAx>
        <c:axId val="438020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25448"/>
        <c:crosses val="autoZero"/>
        <c:auto val="1"/>
        <c:lblAlgn val="ctr"/>
        <c:lblOffset val="100"/>
        <c:noMultiLvlLbl val="0"/>
      </c:catAx>
      <c:valAx>
        <c:axId val="438025448"/>
        <c:scaling>
          <c:orientation val="minMax"/>
        </c:scaling>
        <c:delete val="1"/>
        <c:axPos val="b"/>
        <c:numFmt formatCode="0.0%" sourceLinked="1"/>
        <c:majorTickMark val="out"/>
        <c:minorTickMark val="none"/>
        <c:tickLblPos val="nextTo"/>
        <c:crossAx val="438020352"/>
        <c:crosses val="autoZero"/>
        <c:crossBetween val="between"/>
      </c:valAx>
      <c:spPr>
        <a:noFill/>
        <a:ln>
          <a:noFill/>
        </a:ln>
        <a:effectLst/>
      </c:spPr>
    </c:plotArea>
    <c:legend>
      <c:legendPos val="t"/>
      <c:layout>
        <c:manualLayout>
          <c:xMode val="edge"/>
          <c:yMode val="edge"/>
          <c:x val="0.25833817284467347"/>
          <c:y val="0.92878973148238253"/>
          <c:w val="0.48339550579433382"/>
          <c:h val="5.543051660027213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latin typeface="Arial Narrow" panose="020B0606020202030204" pitchFamily="34" charset="0"/>
                <a:ea typeface="+mn-ea"/>
                <a:cs typeface="+mn-cs"/>
              </a:defRPr>
            </a:pPr>
            <a:r>
              <a:rPr lang="cs-CZ" sz="1000" b="1" cap="none"/>
              <a:t>Úroveň</a:t>
            </a:r>
            <a:r>
              <a:rPr lang="cs-CZ" sz="1000" b="1" cap="none" baseline="0"/>
              <a:t> z</a:t>
            </a:r>
            <a:r>
              <a:rPr lang="cs-CZ" sz="1000" b="1" cap="none"/>
              <a:t>aměstnanosti z</a:t>
            </a:r>
            <a:r>
              <a:rPr lang="cs-CZ" sz="1000" b="1" cap="none" baseline="0"/>
              <a:t> hlediska </a:t>
            </a:r>
            <a:r>
              <a:rPr lang="cs-CZ" sz="1000" b="1" cap="none"/>
              <a:t>regionálních oblasti ČR</a:t>
            </a:r>
          </a:p>
        </c:rich>
      </c:tx>
      <c:layout>
        <c:manualLayout>
          <c:xMode val="edge"/>
          <c:yMode val="edge"/>
          <c:x val="0.23698981084553444"/>
          <c:y val="6.2730116850576913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30065001971687"/>
          <c:y val="2.4449565946793626E-2"/>
          <c:w val="0.82964639721144207"/>
          <c:h val="0.95053687540514176"/>
        </c:manualLayout>
      </c:layout>
      <c:bar3DChart>
        <c:barDir val="bar"/>
        <c:grouping val="clustered"/>
        <c:varyColors val="0"/>
        <c:ser>
          <c:idx val="0"/>
          <c:order val="0"/>
          <c:tx>
            <c:strRef>
              <c:f>List1!$B$2</c:f>
              <c:strCache>
                <c:ptCount val="1"/>
                <c:pt idx="0">
                  <c:v>non-EU27</c:v>
                </c:pt>
              </c:strCache>
            </c:strRef>
          </c:tx>
          <c:spPr>
            <a:solidFill>
              <a:schemeClr val="accent2"/>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5">
                  <a:lumMod val="20000"/>
                  <a:lumOff val="80000"/>
                </a:schemeClr>
              </a:solidFill>
              <a:ln>
                <a:solidFill>
                  <a:schemeClr val="lt1">
                    <a:alpha val="50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List1!$A$3:$A$10</c:f>
              <c:strCache>
                <c:ptCount val="8"/>
                <c:pt idx="0">
                  <c:v>Praha</c:v>
                </c:pt>
                <c:pt idx="1">
                  <c:v>Střední čechy</c:v>
                </c:pt>
                <c:pt idx="2">
                  <c:v>Jihozápad</c:v>
                </c:pt>
                <c:pt idx="3">
                  <c:v>Severozápad</c:v>
                </c:pt>
                <c:pt idx="4">
                  <c:v>Severovýchod</c:v>
                </c:pt>
                <c:pt idx="5">
                  <c:v>Jihovýchod</c:v>
                </c:pt>
                <c:pt idx="6">
                  <c:v>Střední Morava</c:v>
                </c:pt>
                <c:pt idx="7">
                  <c:v>Moravskoslezsko</c:v>
                </c:pt>
              </c:strCache>
            </c:strRef>
          </c:cat>
          <c:val>
            <c:numRef>
              <c:f>List1!$B$3:$B$10</c:f>
              <c:numCache>
                <c:formatCode>0.0%</c:formatCode>
                <c:ptCount val="8"/>
                <c:pt idx="0">
                  <c:v>0.753</c:v>
                </c:pt>
                <c:pt idx="1">
                  <c:v>0.83799999999999997</c:v>
                </c:pt>
                <c:pt idx="2">
                  <c:v>0.89800000000000002</c:v>
                </c:pt>
                <c:pt idx="3">
                  <c:v>0.753</c:v>
                </c:pt>
                <c:pt idx="4">
                  <c:v>0.85699999999999998</c:v>
                </c:pt>
                <c:pt idx="5">
                  <c:v>0.80800000000000005</c:v>
                </c:pt>
                <c:pt idx="6">
                  <c:v>0.81399999999999995</c:v>
                </c:pt>
                <c:pt idx="7">
                  <c:v>0.79600000000000004</c:v>
                </c:pt>
              </c:numCache>
            </c:numRef>
          </c:val>
          <c:shape val="cylinder"/>
          <c:extLst>
            <c:ext xmlns:c16="http://schemas.microsoft.com/office/drawing/2014/chart" uri="{C3380CC4-5D6E-409C-BE32-E72D297353CC}">
              <c16:uniqueId val="{00000000-6B80-411F-916A-065A69CCEF4C}"/>
            </c:ext>
          </c:extLst>
        </c:ser>
        <c:ser>
          <c:idx val="1"/>
          <c:order val="1"/>
          <c:tx>
            <c:strRef>
              <c:f>List1!$C$2</c:f>
              <c:strCache>
                <c:ptCount val="1"/>
                <c:pt idx="0">
                  <c:v>EU27</c:v>
                </c:pt>
              </c:strCache>
            </c:strRef>
          </c:tx>
          <c:spPr>
            <a:solidFill>
              <a:schemeClr val="accent1"/>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6"/>
              <c:layout>
                <c:manualLayout>
                  <c:x val="-4.4091710758379045E-3"/>
                  <c:y val="-1.2676279511963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A8-4958-89C7-E94A2C429345}"/>
                </c:ext>
              </c:extLst>
            </c:dLbl>
            <c:spPr>
              <a:solidFill>
                <a:schemeClr val="accent2">
                  <a:lumMod val="20000"/>
                  <a:lumOff val="80000"/>
                </a:schemeClr>
              </a:solidFill>
              <a:ln>
                <a:solidFill>
                  <a:schemeClr val="lt1">
                    <a:alpha val="50000"/>
                  </a:schemeClr>
                </a:solidFill>
                <a:round/>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List1!$A$3:$A$10</c:f>
              <c:strCache>
                <c:ptCount val="8"/>
                <c:pt idx="0">
                  <c:v>Praha</c:v>
                </c:pt>
                <c:pt idx="1">
                  <c:v>Střední čechy</c:v>
                </c:pt>
                <c:pt idx="2">
                  <c:v>Jihozápad</c:v>
                </c:pt>
                <c:pt idx="3">
                  <c:v>Severozápad</c:v>
                </c:pt>
                <c:pt idx="4">
                  <c:v>Severovýchod</c:v>
                </c:pt>
                <c:pt idx="5">
                  <c:v>Jihovýchod</c:v>
                </c:pt>
                <c:pt idx="6">
                  <c:v>Střední Morava</c:v>
                </c:pt>
                <c:pt idx="7">
                  <c:v>Moravskoslezsko</c:v>
                </c:pt>
              </c:strCache>
            </c:strRef>
          </c:cat>
          <c:val>
            <c:numRef>
              <c:f>List1!$C$3:$C$10</c:f>
              <c:numCache>
                <c:formatCode>0.0%</c:formatCode>
                <c:ptCount val="8"/>
                <c:pt idx="0">
                  <c:v>0.84299999999999997</c:v>
                </c:pt>
                <c:pt idx="1">
                  <c:v>0.85599999999999998</c:v>
                </c:pt>
                <c:pt idx="2">
                  <c:v>0.90900000000000003</c:v>
                </c:pt>
                <c:pt idx="3">
                  <c:v>0.63800000000000001</c:v>
                </c:pt>
                <c:pt idx="4">
                  <c:v>0.85099999999999998</c:v>
                </c:pt>
                <c:pt idx="5">
                  <c:v>0.83099999999999996</c:v>
                </c:pt>
                <c:pt idx="6">
                  <c:v>0.85899999999999999</c:v>
                </c:pt>
                <c:pt idx="7">
                  <c:v>0.754</c:v>
                </c:pt>
              </c:numCache>
            </c:numRef>
          </c:val>
          <c:shape val="cylinder"/>
          <c:extLst>
            <c:ext xmlns:c16="http://schemas.microsoft.com/office/drawing/2014/chart" uri="{C3380CC4-5D6E-409C-BE32-E72D297353CC}">
              <c16:uniqueId val="{00000001-6B80-411F-916A-065A69CCEF4C}"/>
            </c:ext>
          </c:extLst>
        </c:ser>
        <c:ser>
          <c:idx val="2"/>
          <c:order val="2"/>
          <c:tx>
            <c:strRef>
              <c:f>List1!$D$2</c:f>
              <c:strCache>
                <c:ptCount val="1"/>
                <c:pt idx="0">
                  <c:v>občané</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7"/>
              <c:layout>
                <c:manualLayout>
                  <c:x val="-6.6137566137566134E-3"/>
                  <c:y val="-1.5845349389954057E-2"/>
                </c:manualLayout>
              </c:layout>
              <c:showLegendKey val="0"/>
              <c:showVal val="1"/>
              <c:showCatName val="0"/>
              <c:showSerName val="0"/>
              <c:showPercent val="0"/>
              <c:showBubbleSize val="0"/>
              <c:extLst>
                <c:ext xmlns:c15="http://schemas.microsoft.com/office/drawing/2012/chart" uri="{CE6537A1-D6FC-4f65-9D91-7224C49458BB}">
                  <c15:layout>
                    <c:manualLayout>
                      <c:w val="6.1562964351678261E-2"/>
                      <c:h val="4.5397050768748975E-2"/>
                    </c:manualLayout>
                  </c15:layout>
                </c:ext>
                <c:ext xmlns:c16="http://schemas.microsoft.com/office/drawing/2014/chart" uri="{C3380CC4-5D6E-409C-BE32-E72D297353CC}">
                  <c16:uniqueId val="{00000001-1CA8-4958-89C7-E94A2C429345}"/>
                </c:ext>
              </c:extLst>
            </c:dLbl>
            <c:spPr>
              <a:solidFill>
                <a:schemeClr val="accent3">
                  <a:lumMod val="20000"/>
                  <a:lumOff val="80000"/>
                </a:schemeClr>
              </a:solidFill>
              <a:ln>
                <a:solidFill>
                  <a:schemeClr val="lt1">
                    <a:alpha val="50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List1!$A$3:$A$10</c:f>
              <c:strCache>
                <c:ptCount val="8"/>
                <c:pt idx="0">
                  <c:v>Praha</c:v>
                </c:pt>
                <c:pt idx="1">
                  <c:v>Střední čechy</c:v>
                </c:pt>
                <c:pt idx="2">
                  <c:v>Jihozápad</c:v>
                </c:pt>
                <c:pt idx="3">
                  <c:v>Severozápad</c:v>
                </c:pt>
                <c:pt idx="4">
                  <c:v>Severovýchod</c:v>
                </c:pt>
                <c:pt idx="5">
                  <c:v>Jihovýchod</c:v>
                </c:pt>
                <c:pt idx="6">
                  <c:v>Střední Morava</c:v>
                </c:pt>
                <c:pt idx="7">
                  <c:v>Moravskoslezsko</c:v>
                </c:pt>
              </c:strCache>
            </c:strRef>
          </c:cat>
          <c:val>
            <c:numRef>
              <c:f>List1!$D$3:$D$10</c:f>
              <c:numCache>
                <c:formatCode>0.0%</c:formatCode>
                <c:ptCount val="8"/>
                <c:pt idx="0">
                  <c:v>0.77800000000000002</c:v>
                </c:pt>
                <c:pt idx="1">
                  <c:v>0.75600000000000001</c:v>
                </c:pt>
                <c:pt idx="2">
                  <c:v>0.751</c:v>
                </c:pt>
                <c:pt idx="3">
                  <c:v>0.71699999999999997</c:v>
                </c:pt>
                <c:pt idx="4">
                  <c:v>0.74</c:v>
                </c:pt>
                <c:pt idx="5">
                  <c:v>0.74399999999999999</c:v>
                </c:pt>
                <c:pt idx="6">
                  <c:v>0.73099999999999998</c:v>
                </c:pt>
                <c:pt idx="7">
                  <c:v>0.71299999999999997</c:v>
                </c:pt>
              </c:numCache>
            </c:numRef>
          </c:val>
          <c:shape val="cylinder"/>
          <c:extLst>
            <c:ext xmlns:c16="http://schemas.microsoft.com/office/drawing/2014/chart" uri="{C3380CC4-5D6E-409C-BE32-E72D297353CC}">
              <c16:uniqueId val="{00000002-6B80-411F-916A-065A69CCEF4C}"/>
            </c:ext>
          </c:extLst>
        </c:ser>
        <c:dLbls>
          <c:showLegendKey val="0"/>
          <c:showVal val="1"/>
          <c:showCatName val="0"/>
          <c:showSerName val="0"/>
          <c:showPercent val="0"/>
          <c:showBubbleSize val="0"/>
        </c:dLbls>
        <c:gapWidth val="84"/>
        <c:gapDepth val="53"/>
        <c:shape val="box"/>
        <c:axId val="438030544"/>
        <c:axId val="438024664"/>
        <c:axId val="0"/>
      </c:bar3DChart>
      <c:catAx>
        <c:axId val="438030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24664"/>
        <c:crosses val="autoZero"/>
        <c:auto val="1"/>
        <c:lblAlgn val="ctr"/>
        <c:lblOffset val="100"/>
        <c:noMultiLvlLbl val="0"/>
      </c:catAx>
      <c:valAx>
        <c:axId val="438024664"/>
        <c:scaling>
          <c:orientation val="minMax"/>
        </c:scaling>
        <c:delete val="1"/>
        <c:axPos val="b"/>
        <c:numFmt formatCode="0.0%" sourceLinked="1"/>
        <c:majorTickMark val="out"/>
        <c:minorTickMark val="none"/>
        <c:tickLblPos val="nextTo"/>
        <c:crossAx val="438030544"/>
        <c:crosses val="autoZero"/>
        <c:crossBetween val="between"/>
      </c:valAx>
      <c:spPr>
        <a:noFill/>
        <a:ln>
          <a:noFill/>
        </a:ln>
        <a:effectLst/>
      </c:spPr>
    </c:plotArea>
    <c:legend>
      <c:legendPos val="t"/>
      <c:layout>
        <c:manualLayout>
          <c:xMode val="edge"/>
          <c:yMode val="edge"/>
          <c:x val="0.35342975504475505"/>
          <c:y val="0.9581617219313554"/>
          <c:w val="0.2970146583050301"/>
          <c:h val="4.0050569595030991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r>
              <a:rPr lang="cs-CZ" sz="1200" b="1" i="0" baseline="0">
                <a:effectLst/>
              </a:rPr>
              <a:t>Úroveň vzdělanosti osob s jinou státní příslušností</a:t>
            </a:r>
          </a:p>
        </c:rich>
      </c:tx>
      <c:layout>
        <c:manualLayout>
          <c:xMode val="edge"/>
          <c:yMode val="edge"/>
          <c:x val="0.23245420638209696"/>
          <c:y val="1.2695608994821594E-2"/>
        </c:manualLayout>
      </c:layout>
      <c:overlay val="0"/>
      <c:spPr>
        <a:noFill/>
        <a:ln>
          <a:noFill/>
        </a:ln>
        <a:effectLst/>
      </c:spPr>
    </c:title>
    <c:autoTitleDeleted val="0"/>
    <c:plotArea>
      <c:layout>
        <c:manualLayout>
          <c:layoutTarget val="inner"/>
          <c:xMode val="edge"/>
          <c:yMode val="edge"/>
          <c:x val="1.9818265099134078E-2"/>
          <c:y val="8.4792626728110596E-2"/>
          <c:w val="0.9559313368377429"/>
          <c:h val="0.60293094397683045"/>
        </c:manualLayout>
      </c:layout>
      <c:barChart>
        <c:barDir val="col"/>
        <c:grouping val="percentStacked"/>
        <c:varyColors val="0"/>
        <c:ser>
          <c:idx val="0"/>
          <c:order val="0"/>
          <c:tx>
            <c:strRef>
              <c:f>List1!$B$1</c:f>
              <c:strCache>
                <c:ptCount val="1"/>
                <c:pt idx="0">
                  <c:v>vzdělání základní nebo střední bez maturity</c:v>
                </c:pt>
              </c:strCache>
            </c:strRef>
          </c:tx>
          <c:spPr>
            <a:solidFill>
              <a:schemeClr val="accent1"/>
            </a:solidFill>
            <a:ln w="9525" cap="flat" cmpd="sng" algn="ctr">
              <a:solidFill>
                <a:schemeClr val="lt1">
                  <a:alpha val="50000"/>
                </a:schemeClr>
              </a:solidFill>
              <a:round/>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0-6EFC-44FD-92C9-C5555102A985}"/>
                </c:ext>
              </c:extLst>
            </c:dLbl>
            <c:dLbl>
              <c:idx val="10"/>
              <c:delete val="1"/>
              <c:extLst>
                <c:ext xmlns:c15="http://schemas.microsoft.com/office/drawing/2012/chart" uri="{CE6537A1-D6FC-4f65-9D91-7224C49458BB}"/>
                <c:ext xmlns:c16="http://schemas.microsoft.com/office/drawing/2014/chart" uri="{C3380CC4-5D6E-409C-BE32-E72D297353CC}">
                  <c16:uniqueId val="{00000001-6EFC-44FD-92C9-C5555102A985}"/>
                </c:ext>
              </c:extLst>
            </c:dLbl>
            <c:dLbl>
              <c:idx val="12"/>
              <c:delete val="1"/>
              <c:extLst>
                <c:ext xmlns:c15="http://schemas.microsoft.com/office/drawing/2012/chart" uri="{CE6537A1-D6FC-4f65-9D91-7224C49458BB}"/>
                <c:ext xmlns:c16="http://schemas.microsoft.com/office/drawing/2014/chart" uri="{C3380CC4-5D6E-409C-BE32-E72D297353CC}">
                  <c16:uniqueId val="{00000002-6EFC-44FD-92C9-C5555102A985}"/>
                </c:ext>
              </c:extLst>
            </c:dLbl>
            <c:dLbl>
              <c:idx val="13"/>
              <c:delete val="1"/>
              <c:extLst>
                <c:ext xmlns:c15="http://schemas.microsoft.com/office/drawing/2012/chart" uri="{CE6537A1-D6FC-4f65-9D91-7224C49458BB}"/>
                <c:ext xmlns:c16="http://schemas.microsoft.com/office/drawing/2014/chart" uri="{C3380CC4-5D6E-409C-BE32-E72D297353CC}">
                  <c16:uniqueId val="{00000003-6EFC-44FD-92C9-C5555102A985}"/>
                </c:ext>
              </c:extLst>
            </c:dLbl>
            <c:dLbl>
              <c:idx val="14"/>
              <c:layout>
                <c:manualLayout>
                  <c:x val="-1.6161429463403891E-16"/>
                  <c:y val="-1.34228187919463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FC-44FD-92C9-C5555102A985}"/>
                </c:ext>
              </c:extLst>
            </c:dLbl>
            <c:spPr>
              <a:solidFill>
                <a:schemeClr val="bg1"/>
              </a:solidFill>
              <a:ln>
                <a:solidFill>
                  <a:schemeClr val="bg2">
                    <a:lumMod val="90000"/>
                  </a:schemeClr>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List1!$A$2:$A$16</c:f>
              <c:strCache>
                <c:ptCount val="15"/>
                <c:pt idx="0">
                  <c:v>EU</c:v>
                </c:pt>
                <c:pt idx="1">
                  <c:v>Non-EU</c:v>
                </c:pt>
                <c:pt idx="2">
                  <c:v>Občané</c:v>
                </c:pt>
                <c:pt idx="3">
                  <c:v>EU</c:v>
                </c:pt>
                <c:pt idx="4">
                  <c:v>Non-EU</c:v>
                </c:pt>
                <c:pt idx="5">
                  <c:v>Občané</c:v>
                </c:pt>
                <c:pt idx="6">
                  <c:v>EU</c:v>
                </c:pt>
                <c:pt idx="7">
                  <c:v>Non-EU</c:v>
                </c:pt>
                <c:pt idx="8">
                  <c:v>Občané</c:v>
                </c:pt>
                <c:pt idx="9">
                  <c:v>EU</c:v>
                </c:pt>
                <c:pt idx="10">
                  <c:v>Non-EU</c:v>
                </c:pt>
                <c:pt idx="11">
                  <c:v>Občané</c:v>
                </c:pt>
                <c:pt idx="12">
                  <c:v>EU</c:v>
                </c:pt>
                <c:pt idx="13">
                  <c:v>Non-EU</c:v>
                </c:pt>
                <c:pt idx="14">
                  <c:v>Občané</c:v>
                </c:pt>
              </c:strCache>
            </c:strRef>
          </c:cat>
          <c:val>
            <c:numRef>
              <c:f>List1!$B$2:$B$16</c:f>
              <c:numCache>
                <c:formatCode>0.0%</c:formatCode>
                <c:ptCount val="15"/>
                <c:pt idx="0">
                  <c:v>9.7000000000000003E-2</c:v>
                </c:pt>
                <c:pt idx="1">
                  <c:v>0.13500000000000001</c:v>
                </c:pt>
                <c:pt idx="2">
                  <c:v>0.12</c:v>
                </c:pt>
                <c:pt idx="3">
                  <c:v>0.35099999999999998</c:v>
                </c:pt>
                <c:pt idx="4">
                  <c:v>0.433</c:v>
                </c:pt>
                <c:pt idx="5">
                  <c:v>0.17</c:v>
                </c:pt>
                <c:pt idx="6">
                  <c:v>0.16900000000000001</c:v>
                </c:pt>
                <c:pt idx="7">
                  <c:v>0.27800000000000002</c:v>
                </c:pt>
                <c:pt idx="8">
                  <c:v>0.16200000000000001</c:v>
                </c:pt>
                <c:pt idx="9">
                  <c:v>0</c:v>
                </c:pt>
                <c:pt idx="10">
                  <c:v>4.2000000000000037E-2</c:v>
                </c:pt>
                <c:pt idx="11">
                  <c:v>0.13100000000000001</c:v>
                </c:pt>
                <c:pt idx="12">
                  <c:v>0</c:v>
                </c:pt>
                <c:pt idx="13">
                  <c:v>0</c:v>
                </c:pt>
                <c:pt idx="14">
                  <c:v>0.13200000000000001</c:v>
                </c:pt>
              </c:numCache>
            </c:numRef>
          </c:val>
          <c:extLst>
            <c:ext xmlns:c16="http://schemas.microsoft.com/office/drawing/2014/chart" uri="{C3380CC4-5D6E-409C-BE32-E72D297353CC}">
              <c16:uniqueId val="{00000005-6EFC-44FD-92C9-C5555102A985}"/>
            </c:ext>
          </c:extLst>
        </c:ser>
        <c:ser>
          <c:idx val="1"/>
          <c:order val="1"/>
          <c:tx>
            <c:strRef>
              <c:f>List1!$C$1</c:f>
              <c:strCache>
                <c:ptCount val="1"/>
                <c:pt idx="0">
                  <c:v>vzdělání střední s maturitou nebo nástavba</c:v>
                </c:pt>
              </c:strCache>
            </c:strRef>
          </c:tx>
          <c:spPr>
            <a:solidFill>
              <a:schemeClr val="accent2"/>
            </a:solidFill>
            <a:ln w="9525" cap="flat" cmpd="sng" algn="ctr">
              <a:solidFill>
                <a:schemeClr val="lt1">
                  <a:alpha val="50000"/>
                </a:schemeClr>
              </a:solidFill>
              <a:round/>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6-6EFC-44FD-92C9-C5555102A985}"/>
                </c:ext>
              </c:extLst>
            </c:dLbl>
            <c:dLbl>
              <c:idx val="12"/>
              <c:delete val="1"/>
              <c:extLst>
                <c:ext xmlns:c15="http://schemas.microsoft.com/office/drawing/2012/chart" uri="{CE6537A1-D6FC-4f65-9D91-7224C49458BB}"/>
                <c:ext xmlns:c16="http://schemas.microsoft.com/office/drawing/2014/chart" uri="{C3380CC4-5D6E-409C-BE32-E72D297353CC}">
                  <c16:uniqueId val="{00000007-6EFC-44FD-92C9-C5555102A985}"/>
                </c:ext>
              </c:extLst>
            </c:dLbl>
            <c:dLbl>
              <c:idx val="13"/>
              <c:delete val="1"/>
              <c:extLst>
                <c:ext xmlns:c15="http://schemas.microsoft.com/office/drawing/2012/chart" uri="{CE6537A1-D6FC-4f65-9D91-7224C49458BB}"/>
                <c:ext xmlns:c16="http://schemas.microsoft.com/office/drawing/2014/chart" uri="{C3380CC4-5D6E-409C-BE32-E72D297353CC}">
                  <c16:uniqueId val="{00000008-6EFC-44FD-92C9-C5555102A985}"/>
                </c:ext>
              </c:extLst>
            </c:dLbl>
            <c:spPr>
              <a:solidFill>
                <a:schemeClr val="bg1"/>
              </a:solidFill>
              <a:ln>
                <a:solidFill>
                  <a:schemeClr val="bg2">
                    <a:lumMod val="90000"/>
                  </a:schemeClr>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List1!$A$2:$A$16</c:f>
              <c:strCache>
                <c:ptCount val="15"/>
                <c:pt idx="0">
                  <c:v>EU</c:v>
                </c:pt>
                <c:pt idx="1">
                  <c:v>Non-EU</c:v>
                </c:pt>
                <c:pt idx="2">
                  <c:v>Občané</c:v>
                </c:pt>
                <c:pt idx="3">
                  <c:v>EU</c:v>
                </c:pt>
                <c:pt idx="4">
                  <c:v>Non-EU</c:v>
                </c:pt>
                <c:pt idx="5">
                  <c:v>Občané</c:v>
                </c:pt>
                <c:pt idx="6">
                  <c:v>EU</c:v>
                </c:pt>
                <c:pt idx="7">
                  <c:v>Non-EU</c:v>
                </c:pt>
                <c:pt idx="8">
                  <c:v>Občané</c:v>
                </c:pt>
                <c:pt idx="9">
                  <c:v>EU</c:v>
                </c:pt>
                <c:pt idx="10">
                  <c:v>Non-EU</c:v>
                </c:pt>
                <c:pt idx="11">
                  <c:v>Občané</c:v>
                </c:pt>
                <c:pt idx="12">
                  <c:v>EU</c:v>
                </c:pt>
                <c:pt idx="13">
                  <c:v>Non-EU</c:v>
                </c:pt>
                <c:pt idx="14">
                  <c:v>Občané</c:v>
                </c:pt>
              </c:strCache>
            </c:strRef>
          </c:cat>
          <c:val>
            <c:numRef>
              <c:f>List1!$C$2:$C$16</c:f>
              <c:numCache>
                <c:formatCode>0.0%</c:formatCode>
                <c:ptCount val="15"/>
                <c:pt idx="0">
                  <c:v>0.505</c:v>
                </c:pt>
                <c:pt idx="1">
                  <c:v>0.48899999999999999</c:v>
                </c:pt>
                <c:pt idx="2">
                  <c:v>0.65</c:v>
                </c:pt>
                <c:pt idx="3">
                  <c:v>0.40400000000000003</c:v>
                </c:pt>
                <c:pt idx="4">
                  <c:v>0.33400000000000002</c:v>
                </c:pt>
                <c:pt idx="5">
                  <c:v>0.55400000000000005</c:v>
                </c:pt>
                <c:pt idx="6">
                  <c:v>0.44700000000000001</c:v>
                </c:pt>
                <c:pt idx="7">
                  <c:v>0.40600000000000003</c:v>
                </c:pt>
                <c:pt idx="8">
                  <c:v>0.51900000000000002</c:v>
                </c:pt>
                <c:pt idx="9">
                  <c:v>0</c:v>
                </c:pt>
                <c:pt idx="10">
                  <c:v>0.42399999999999999</c:v>
                </c:pt>
                <c:pt idx="11">
                  <c:v>0.57999999999999996</c:v>
                </c:pt>
                <c:pt idx="12">
                  <c:v>0</c:v>
                </c:pt>
                <c:pt idx="13">
                  <c:v>0</c:v>
                </c:pt>
                <c:pt idx="14">
                  <c:v>0.621</c:v>
                </c:pt>
              </c:numCache>
            </c:numRef>
          </c:val>
          <c:extLst>
            <c:ext xmlns:c16="http://schemas.microsoft.com/office/drawing/2014/chart" uri="{C3380CC4-5D6E-409C-BE32-E72D297353CC}">
              <c16:uniqueId val="{00000009-6EFC-44FD-92C9-C5555102A985}"/>
            </c:ext>
          </c:extLst>
        </c:ser>
        <c:ser>
          <c:idx val="2"/>
          <c:order val="2"/>
          <c:tx>
            <c:strRef>
              <c:f>List1!$D$1</c:f>
              <c:strCache>
                <c:ptCount val="1"/>
                <c:pt idx="0">
                  <c:v>vzdělání vysokoškolské</c:v>
                </c:pt>
              </c:strCache>
            </c:strRef>
          </c:tx>
          <c:spPr>
            <a:solidFill>
              <a:srgbClr val="C00000"/>
            </a:solidFill>
            <a:ln w="9525" cap="flat" cmpd="sng" algn="ctr">
              <a:solidFill>
                <a:schemeClr val="lt1">
                  <a:alpha val="50000"/>
                </a:schemeClr>
              </a:solidFill>
              <a:round/>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A-6EFC-44FD-92C9-C5555102A985}"/>
                </c:ext>
              </c:extLst>
            </c:dLbl>
            <c:dLbl>
              <c:idx val="12"/>
              <c:delete val="1"/>
              <c:extLst>
                <c:ext xmlns:c15="http://schemas.microsoft.com/office/drawing/2012/chart" uri="{CE6537A1-D6FC-4f65-9D91-7224C49458BB}"/>
                <c:ext xmlns:c16="http://schemas.microsoft.com/office/drawing/2014/chart" uri="{C3380CC4-5D6E-409C-BE32-E72D297353CC}">
                  <c16:uniqueId val="{0000000B-6EFC-44FD-92C9-C5555102A985}"/>
                </c:ext>
              </c:extLst>
            </c:dLbl>
            <c:dLbl>
              <c:idx val="13"/>
              <c:delete val="1"/>
              <c:extLst>
                <c:ext xmlns:c15="http://schemas.microsoft.com/office/drawing/2012/chart" uri="{CE6537A1-D6FC-4f65-9D91-7224C49458BB}"/>
                <c:ext xmlns:c16="http://schemas.microsoft.com/office/drawing/2014/chart" uri="{C3380CC4-5D6E-409C-BE32-E72D297353CC}">
                  <c16:uniqueId val="{0000000C-6EFC-44FD-92C9-C5555102A985}"/>
                </c:ext>
              </c:extLst>
            </c:dLbl>
            <c:spPr>
              <a:solidFill>
                <a:schemeClr val="bg1"/>
              </a:solidFill>
              <a:ln>
                <a:solidFill>
                  <a:schemeClr val="bg2">
                    <a:lumMod val="90000"/>
                  </a:schemeClr>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List1!$A$2:$A$16</c:f>
              <c:strCache>
                <c:ptCount val="15"/>
                <c:pt idx="0">
                  <c:v>EU</c:v>
                </c:pt>
                <c:pt idx="1">
                  <c:v>Non-EU</c:v>
                </c:pt>
                <c:pt idx="2">
                  <c:v>Občané</c:v>
                </c:pt>
                <c:pt idx="3">
                  <c:v>EU</c:v>
                </c:pt>
                <c:pt idx="4">
                  <c:v>Non-EU</c:v>
                </c:pt>
                <c:pt idx="5">
                  <c:v>Občané</c:v>
                </c:pt>
                <c:pt idx="6">
                  <c:v>EU</c:v>
                </c:pt>
                <c:pt idx="7">
                  <c:v>Non-EU</c:v>
                </c:pt>
                <c:pt idx="8">
                  <c:v>Občané</c:v>
                </c:pt>
                <c:pt idx="9">
                  <c:v>EU</c:v>
                </c:pt>
                <c:pt idx="10">
                  <c:v>Non-EU</c:v>
                </c:pt>
                <c:pt idx="11">
                  <c:v>Občané</c:v>
                </c:pt>
                <c:pt idx="12">
                  <c:v>EU</c:v>
                </c:pt>
                <c:pt idx="13">
                  <c:v>Non-EU</c:v>
                </c:pt>
                <c:pt idx="14">
                  <c:v>Občané</c:v>
                </c:pt>
              </c:strCache>
            </c:strRef>
          </c:cat>
          <c:val>
            <c:numRef>
              <c:f>List1!$D$2:$D$16</c:f>
              <c:numCache>
                <c:formatCode>0.0%</c:formatCode>
                <c:ptCount val="15"/>
                <c:pt idx="0">
                  <c:v>0.39800000000000002</c:v>
                </c:pt>
                <c:pt idx="1">
                  <c:v>0.375</c:v>
                </c:pt>
                <c:pt idx="2">
                  <c:v>0.23</c:v>
                </c:pt>
                <c:pt idx="3">
                  <c:v>0.245</c:v>
                </c:pt>
                <c:pt idx="4">
                  <c:v>0.23300000000000001</c:v>
                </c:pt>
                <c:pt idx="5">
                  <c:v>0.27600000000000002</c:v>
                </c:pt>
                <c:pt idx="6">
                  <c:v>0.38400000000000001</c:v>
                </c:pt>
                <c:pt idx="7">
                  <c:v>0.316</c:v>
                </c:pt>
                <c:pt idx="8">
                  <c:v>0.31900000000000001</c:v>
                </c:pt>
                <c:pt idx="9">
                  <c:v>0</c:v>
                </c:pt>
                <c:pt idx="10">
                  <c:v>0.53400000000000003</c:v>
                </c:pt>
                <c:pt idx="11">
                  <c:v>0.28999999999999998</c:v>
                </c:pt>
                <c:pt idx="12">
                  <c:v>0</c:v>
                </c:pt>
                <c:pt idx="13">
                  <c:v>0</c:v>
                </c:pt>
                <c:pt idx="14">
                  <c:v>0.247</c:v>
                </c:pt>
              </c:numCache>
            </c:numRef>
          </c:val>
          <c:extLst>
            <c:ext xmlns:c16="http://schemas.microsoft.com/office/drawing/2014/chart" uri="{C3380CC4-5D6E-409C-BE32-E72D297353CC}">
              <c16:uniqueId val="{0000000D-6EFC-44FD-92C9-C5555102A985}"/>
            </c:ext>
          </c:extLst>
        </c:ser>
        <c:dLbls>
          <c:dLblPos val="ctr"/>
          <c:showLegendKey val="0"/>
          <c:showVal val="1"/>
          <c:showCatName val="0"/>
          <c:showSerName val="0"/>
          <c:showPercent val="0"/>
          <c:showBubbleSize val="0"/>
        </c:dLbls>
        <c:gapWidth val="150"/>
        <c:overlap val="100"/>
        <c:axId val="438022312"/>
        <c:axId val="438019568"/>
      </c:barChart>
      <c:catAx>
        <c:axId val="438022312"/>
        <c:scaling>
          <c:orientation val="minMax"/>
        </c:scaling>
        <c:delete val="0"/>
        <c:axPos val="b"/>
        <c:numFmt formatCode="General" sourceLinked="1"/>
        <c:majorTickMark val="none"/>
        <c:minorTickMark val="out"/>
        <c:tickLblPos val="low"/>
        <c:spPr>
          <a:noFill/>
          <a:ln w="19050" cap="flat" cmpd="sng" algn="ctr">
            <a:solidFill>
              <a:sysClr val="windowText" lastClr="000000">
                <a:lumMod val="75000"/>
                <a:lumOff val="25000"/>
              </a:sysClr>
            </a:solidFill>
            <a:round/>
          </a:ln>
          <a:effectLst/>
        </c:spPr>
        <c:txPr>
          <a:bodyPr rot="-5400000" spcFirstLastPara="1" vertOverflow="ellipsis" vert="horz" wrap="square" anchor="ctr" anchorCtr="0"/>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cs-CZ"/>
          </a:p>
        </c:txPr>
        <c:crossAx val="438019568"/>
        <c:crosses val="autoZero"/>
        <c:auto val="1"/>
        <c:lblAlgn val="ctr"/>
        <c:lblOffset val="200"/>
        <c:noMultiLvlLbl val="0"/>
      </c:catAx>
      <c:valAx>
        <c:axId val="438019568"/>
        <c:scaling>
          <c:orientation val="minMax"/>
        </c:scaling>
        <c:delete val="1"/>
        <c:axPos val="l"/>
        <c:numFmt formatCode="0%" sourceLinked="1"/>
        <c:majorTickMark val="none"/>
        <c:minorTickMark val="none"/>
        <c:tickLblPos val="nextTo"/>
        <c:crossAx val="438022312"/>
        <c:crosses val="autoZero"/>
        <c:crossBetween val="between"/>
      </c:valAx>
      <c:spPr>
        <a:noFill/>
        <a:ln>
          <a:noFill/>
        </a:ln>
        <a:effectLst/>
      </c:spPr>
    </c:plotArea>
    <c:legend>
      <c:legendPos val="b"/>
      <c:layout>
        <c:manualLayout>
          <c:xMode val="edge"/>
          <c:yMode val="edge"/>
          <c:x val="5.285103250982516E-2"/>
          <c:y val="0.90731455865314148"/>
          <c:w val="0.78371976356141082"/>
          <c:h val="9.268544134685867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showDLblsOverMax val="0"/>
    <c:extLst/>
  </c:chart>
  <c:spPr>
    <a:solidFill>
      <a:schemeClr val="bg1">
        <a:lumMod val="95000"/>
      </a:schemeClr>
    </a:solidFill>
    <a:ln w="9525" cap="flat" cmpd="sng" algn="ctr">
      <a:solidFill>
        <a:schemeClr val="dk1">
          <a:lumMod val="25000"/>
          <a:lumOff val="75000"/>
        </a:schemeClr>
      </a:solidFill>
      <a:round/>
    </a:ln>
    <a:effectLst/>
  </c:spPr>
  <c:txPr>
    <a:bodyPr/>
    <a:lstStyle/>
    <a:p>
      <a:pPr>
        <a:defRPr sz="1000">
          <a:solidFill>
            <a:sysClr val="windowText" lastClr="000000"/>
          </a:solidFill>
          <a:latin typeface="Arial Narrow" panose="020B0606020202030204" pitchFamily="34" charset="0"/>
        </a:defRPr>
      </a:pPr>
      <a:endParaRPr lang="cs-CZ"/>
    </a:p>
  </c:tx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r>
              <a:rPr lang="cs-CZ"/>
              <a:t>Subjektivní a</a:t>
            </a:r>
            <a:r>
              <a:rPr lang="cs-CZ" baseline="0"/>
              <a:t> objektivní míra p</a:t>
            </a:r>
            <a:r>
              <a:rPr lang="cs-CZ"/>
              <a:t>řekvalifikovanosti </a:t>
            </a:r>
          </a:p>
        </c:rich>
      </c:tx>
      <c:overlay val="0"/>
      <c:spPr>
        <a:noFill/>
        <a:ln>
          <a:noFill/>
        </a:ln>
        <a:effectLst/>
      </c:spPr>
    </c:title>
    <c:autoTitleDeleted val="0"/>
    <c:plotArea>
      <c:layout>
        <c:manualLayout>
          <c:layoutTarget val="inner"/>
          <c:xMode val="edge"/>
          <c:yMode val="edge"/>
          <c:x val="2.4197096348438186E-2"/>
          <c:y val="3.0296010296010294E-2"/>
          <c:w val="0.95160580730312361"/>
          <c:h val="0.77297297297297296"/>
        </c:manualLayout>
      </c:layout>
      <c:barChart>
        <c:barDir val="col"/>
        <c:grouping val="clustered"/>
        <c:varyColors val="0"/>
        <c:ser>
          <c:idx val="0"/>
          <c:order val="0"/>
          <c:tx>
            <c:strRef>
              <c:f>List1!$C$1</c:f>
              <c:strCache>
                <c:ptCount val="1"/>
                <c:pt idx="0">
                  <c:v>Česká republika</c:v>
                </c:pt>
              </c:strCache>
            </c:strRef>
          </c:tx>
          <c:spPr>
            <a:solidFill>
              <a:srgbClr val="C00000"/>
            </a:solidFill>
            <a:ln w="9525" cap="flat" cmpd="sng" algn="ctr">
              <a:solidFill>
                <a:schemeClr val="lt1">
                  <a:alpha val="50000"/>
                </a:schemeClr>
              </a:solidFill>
              <a:round/>
            </a:ln>
            <a:effectLst/>
          </c:spPr>
          <c:invertIfNegative val="0"/>
          <c:dLbls>
            <c:spPr>
              <a:solidFill>
                <a:schemeClr val="bg1"/>
              </a:solidFill>
              <a:ln>
                <a:solidFill>
                  <a:schemeClr val="bg2">
                    <a:lumMod val="9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List1!$A$2:$B$7</c:f>
              <c:multiLvlStrCache>
                <c:ptCount val="6"/>
                <c:lvl>
                  <c:pt idx="0">
                    <c:v>1. generace přistěhovalců</c:v>
                  </c:pt>
                  <c:pt idx="1">
                    <c:v>2. generace přistěhovalců</c:v>
                  </c:pt>
                  <c:pt idx="2">
                    <c:v>rodilí občané</c:v>
                  </c:pt>
                  <c:pt idx="3">
                    <c:v>1. generace přistěhovalců</c:v>
                  </c:pt>
                  <c:pt idx="4">
                    <c:v>2. generace přistěhovalců</c:v>
                  </c:pt>
                  <c:pt idx="5">
                    <c:v>rodilí občané</c:v>
                  </c:pt>
                </c:lvl>
                <c:lvl>
                  <c:pt idx="0">
                    <c:v>subjektivní překvalifikovanost</c:v>
                  </c:pt>
                  <c:pt idx="3">
                    <c:v>objektivní překvalifikovanost</c:v>
                  </c:pt>
                </c:lvl>
              </c:multiLvlStrCache>
            </c:multiLvlStrRef>
          </c:cat>
          <c:val>
            <c:numRef>
              <c:f>List1!$C$2:$C$7</c:f>
              <c:numCache>
                <c:formatCode>0.0</c:formatCode>
                <c:ptCount val="6"/>
                <c:pt idx="0">
                  <c:v>18.8</c:v>
                </c:pt>
                <c:pt idx="1">
                  <c:v>10.6</c:v>
                </c:pt>
                <c:pt idx="2">
                  <c:v>21.1</c:v>
                </c:pt>
                <c:pt idx="3">
                  <c:v>10.701508929970542</c:v>
                </c:pt>
                <c:pt idx="4">
                  <c:v>9.4668871609646441</c:v>
                </c:pt>
                <c:pt idx="5">
                  <c:v>13.205392411304635</c:v>
                </c:pt>
              </c:numCache>
            </c:numRef>
          </c:val>
          <c:extLst>
            <c:ext xmlns:c16="http://schemas.microsoft.com/office/drawing/2014/chart" uri="{C3380CC4-5D6E-409C-BE32-E72D297353CC}">
              <c16:uniqueId val="{00000000-EC4B-4BD3-830D-76D5DDBC2989}"/>
            </c:ext>
          </c:extLst>
        </c:ser>
        <c:ser>
          <c:idx val="1"/>
          <c:order val="1"/>
          <c:tx>
            <c:strRef>
              <c:f>List1!$D$1</c:f>
              <c:strCache>
                <c:ptCount val="1"/>
                <c:pt idx="0">
                  <c:v>Španělsko</c:v>
                </c:pt>
              </c:strCache>
            </c:strRef>
          </c:tx>
          <c:spPr>
            <a:solidFill>
              <a:schemeClr val="accent1"/>
            </a:solidFill>
            <a:ln w="9525" cap="flat" cmpd="sng" algn="ctr">
              <a:solidFill>
                <a:schemeClr val="lt1">
                  <a:alpha val="50000"/>
                </a:schemeClr>
              </a:solidFill>
              <a:round/>
            </a:ln>
            <a:effectLst/>
          </c:spPr>
          <c:invertIfNegative val="0"/>
          <c:dLbls>
            <c:spPr>
              <a:solidFill>
                <a:schemeClr val="bg1"/>
              </a:solidFill>
              <a:ln>
                <a:solidFill>
                  <a:schemeClr val="bg2">
                    <a:lumMod val="9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List1!$A$2:$B$7</c:f>
              <c:multiLvlStrCache>
                <c:ptCount val="6"/>
                <c:lvl>
                  <c:pt idx="0">
                    <c:v>1. generace přistěhovalců</c:v>
                  </c:pt>
                  <c:pt idx="1">
                    <c:v>2. generace přistěhovalců</c:v>
                  </c:pt>
                  <c:pt idx="2">
                    <c:v>rodilí občané</c:v>
                  </c:pt>
                  <c:pt idx="3">
                    <c:v>1. generace přistěhovalců</c:v>
                  </c:pt>
                  <c:pt idx="4">
                    <c:v>2. generace přistěhovalců</c:v>
                  </c:pt>
                  <c:pt idx="5">
                    <c:v>rodilí občané</c:v>
                  </c:pt>
                </c:lvl>
                <c:lvl>
                  <c:pt idx="0">
                    <c:v>subjektivní překvalifikovanost</c:v>
                  </c:pt>
                  <c:pt idx="3">
                    <c:v>objektivní překvalifikovanost</c:v>
                  </c:pt>
                </c:lvl>
              </c:multiLvlStrCache>
            </c:multiLvlStrRef>
          </c:cat>
          <c:val>
            <c:numRef>
              <c:f>List1!$D$2:$D$7</c:f>
              <c:numCache>
                <c:formatCode>0.0</c:formatCode>
                <c:ptCount val="6"/>
                <c:pt idx="0">
                  <c:v>55.6</c:v>
                </c:pt>
                <c:pt idx="1">
                  <c:v>54.3</c:v>
                </c:pt>
                <c:pt idx="2">
                  <c:v>51.7</c:v>
                </c:pt>
                <c:pt idx="3">
                  <c:v>53.002513935637218</c:v>
                </c:pt>
                <c:pt idx="4">
                  <c:v>34.351126799214484</c:v>
                </c:pt>
                <c:pt idx="5">
                  <c:v>34.746974493749306</c:v>
                </c:pt>
              </c:numCache>
            </c:numRef>
          </c:val>
          <c:extLst>
            <c:ext xmlns:c16="http://schemas.microsoft.com/office/drawing/2014/chart" uri="{C3380CC4-5D6E-409C-BE32-E72D297353CC}">
              <c16:uniqueId val="{00000001-EC4B-4BD3-830D-76D5DDBC2989}"/>
            </c:ext>
          </c:extLst>
        </c:ser>
        <c:ser>
          <c:idx val="2"/>
          <c:order val="2"/>
          <c:tx>
            <c:strRef>
              <c:f>List1!$E$1</c:f>
              <c:strCache>
                <c:ptCount val="1"/>
                <c:pt idx="0">
                  <c:v>Rakousko</c:v>
                </c:pt>
              </c:strCache>
            </c:strRef>
          </c:tx>
          <c:spPr>
            <a:solidFill>
              <a:schemeClr val="accent3">
                <a:alpha val="85000"/>
              </a:schemeClr>
            </a:solidFill>
            <a:ln w="9525" cap="flat" cmpd="sng" algn="ctr">
              <a:solidFill>
                <a:schemeClr val="lt1">
                  <a:alpha val="50000"/>
                </a:schemeClr>
              </a:solidFill>
              <a:round/>
            </a:ln>
            <a:effectLst/>
          </c:spPr>
          <c:invertIfNegative val="0"/>
          <c:dLbls>
            <c:spPr>
              <a:solidFill>
                <a:schemeClr val="bg1"/>
              </a:solidFill>
              <a:ln>
                <a:solidFill>
                  <a:schemeClr val="bg2">
                    <a:lumMod val="9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List1!$A$2:$B$7</c:f>
              <c:multiLvlStrCache>
                <c:ptCount val="6"/>
                <c:lvl>
                  <c:pt idx="0">
                    <c:v>1. generace přistěhovalců</c:v>
                  </c:pt>
                  <c:pt idx="1">
                    <c:v>2. generace přistěhovalců</c:v>
                  </c:pt>
                  <c:pt idx="2">
                    <c:v>rodilí občané</c:v>
                  </c:pt>
                  <c:pt idx="3">
                    <c:v>1. generace přistěhovalců</c:v>
                  </c:pt>
                  <c:pt idx="4">
                    <c:v>2. generace přistěhovalců</c:v>
                  </c:pt>
                  <c:pt idx="5">
                    <c:v>rodilí občané</c:v>
                  </c:pt>
                </c:lvl>
                <c:lvl>
                  <c:pt idx="0">
                    <c:v>subjektivní překvalifikovanost</c:v>
                  </c:pt>
                  <c:pt idx="3">
                    <c:v>objektivní překvalifikovanost</c:v>
                  </c:pt>
                </c:lvl>
              </c:multiLvlStrCache>
            </c:multiLvlStrRef>
          </c:cat>
          <c:val>
            <c:numRef>
              <c:f>List1!$E$2:$E$7</c:f>
              <c:numCache>
                <c:formatCode>0.0</c:formatCode>
                <c:ptCount val="6"/>
                <c:pt idx="0">
                  <c:v>24</c:v>
                </c:pt>
                <c:pt idx="1">
                  <c:v>11.5</c:v>
                </c:pt>
                <c:pt idx="2">
                  <c:v>9.1</c:v>
                </c:pt>
                <c:pt idx="3">
                  <c:v>39.539182558795197</c:v>
                </c:pt>
                <c:pt idx="4">
                  <c:v>19.64683443243856</c:v>
                </c:pt>
                <c:pt idx="5">
                  <c:v>24.884474110378306</c:v>
                </c:pt>
              </c:numCache>
            </c:numRef>
          </c:val>
          <c:extLst>
            <c:ext xmlns:c16="http://schemas.microsoft.com/office/drawing/2014/chart" uri="{C3380CC4-5D6E-409C-BE32-E72D297353CC}">
              <c16:uniqueId val="{00000002-EC4B-4BD3-830D-76D5DDBC2989}"/>
            </c:ext>
          </c:extLst>
        </c:ser>
        <c:ser>
          <c:idx val="3"/>
          <c:order val="3"/>
          <c:tx>
            <c:strRef>
              <c:f>List1!$F$1</c:f>
              <c:strCache>
                <c:ptCount val="1"/>
                <c:pt idx="0">
                  <c:v>Slovensko</c:v>
                </c:pt>
              </c:strCache>
            </c:strRef>
          </c:tx>
          <c:spPr>
            <a:solidFill>
              <a:schemeClr val="accent4">
                <a:alpha val="85000"/>
              </a:schemeClr>
            </a:solidFill>
            <a:ln w="9525" cap="flat" cmpd="sng" algn="ctr">
              <a:solidFill>
                <a:schemeClr val="lt1">
                  <a:alpha val="50000"/>
                </a:schemeClr>
              </a:solidFill>
              <a:round/>
            </a:ln>
            <a:effectLst/>
          </c:spPr>
          <c:invertIfNegative val="0"/>
          <c:dLbls>
            <c:dLbl>
              <c:idx val="4"/>
              <c:layout>
                <c:manualLayout>
                  <c:x val="-4.14722654224987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4B-4BD3-830D-76D5DDBC2989}"/>
                </c:ext>
              </c:extLst>
            </c:dLbl>
            <c:spPr>
              <a:solidFill>
                <a:schemeClr val="bg1"/>
              </a:solidFill>
              <a:ln>
                <a:solidFill>
                  <a:schemeClr val="bg2">
                    <a:lumMod val="9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List1!$A$2:$B$7</c:f>
              <c:multiLvlStrCache>
                <c:ptCount val="6"/>
                <c:lvl>
                  <c:pt idx="0">
                    <c:v>1. generace přistěhovalců</c:v>
                  </c:pt>
                  <c:pt idx="1">
                    <c:v>2. generace přistěhovalců</c:v>
                  </c:pt>
                  <c:pt idx="2">
                    <c:v>rodilí občané</c:v>
                  </c:pt>
                  <c:pt idx="3">
                    <c:v>1. generace přistěhovalců</c:v>
                  </c:pt>
                  <c:pt idx="4">
                    <c:v>2. generace přistěhovalců</c:v>
                  </c:pt>
                  <c:pt idx="5">
                    <c:v>rodilí občané</c:v>
                  </c:pt>
                </c:lvl>
                <c:lvl>
                  <c:pt idx="0">
                    <c:v>subjektivní překvalifikovanost</c:v>
                  </c:pt>
                  <c:pt idx="3">
                    <c:v>objektivní překvalifikovanost</c:v>
                  </c:pt>
                </c:lvl>
              </c:multiLvlStrCache>
            </c:multiLvlStrRef>
          </c:cat>
          <c:val>
            <c:numRef>
              <c:f>List1!$F$2:$F$7</c:f>
              <c:numCache>
                <c:formatCode>0.0</c:formatCode>
                <c:ptCount val="6"/>
                <c:pt idx="0">
                  <c:v>36.1</c:v>
                </c:pt>
                <c:pt idx="1">
                  <c:v>39.9</c:v>
                </c:pt>
                <c:pt idx="2">
                  <c:v>43.6</c:v>
                </c:pt>
                <c:pt idx="3">
                  <c:v>0</c:v>
                </c:pt>
                <c:pt idx="4">
                  <c:v>0</c:v>
                </c:pt>
                <c:pt idx="5">
                  <c:v>19.355780892311351</c:v>
                </c:pt>
              </c:numCache>
            </c:numRef>
          </c:val>
          <c:extLst>
            <c:ext xmlns:c16="http://schemas.microsoft.com/office/drawing/2014/chart" uri="{C3380CC4-5D6E-409C-BE32-E72D297353CC}">
              <c16:uniqueId val="{00000004-EC4B-4BD3-830D-76D5DDBC2989}"/>
            </c:ext>
          </c:extLst>
        </c:ser>
        <c:ser>
          <c:idx val="4"/>
          <c:order val="4"/>
          <c:tx>
            <c:strRef>
              <c:f>List1!$G$1</c:f>
              <c:strCache>
                <c:ptCount val="1"/>
                <c:pt idx="0">
                  <c:v>Maďarsko</c:v>
                </c:pt>
              </c:strCache>
            </c:strRef>
          </c:tx>
          <c:spPr>
            <a:solidFill>
              <a:schemeClr val="accent6">
                <a:alpha val="85000"/>
              </a:schemeClr>
            </a:solidFill>
            <a:ln w="9525" cap="flat" cmpd="sng" algn="ctr">
              <a:solidFill>
                <a:schemeClr val="lt1">
                  <a:alpha val="50000"/>
                </a:schemeClr>
              </a:solidFill>
              <a:round/>
            </a:ln>
            <a:effectLst/>
          </c:spPr>
          <c:invertIfNegative val="0"/>
          <c:dLbls>
            <c:dLbl>
              <c:idx val="4"/>
              <c:layout>
                <c:manualLayout>
                  <c:x val="4.14722654224987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4B-4BD3-830D-76D5DDBC2989}"/>
                </c:ext>
              </c:extLst>
            </c:dLbl>
            <c:spPr>
              <a:solidFill>
                <a:schemeClr val="bg1"/>
              </a:solidFill>
              <a:ln>
                <a:solidFill>
                  <a:schemeClr val="bg2">
                    <a:lumMod val="9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List1!$A$2:$B$7</c:f>
              <c:multiLvlStrCache>
                <c:ptCount val="6"/>
                <c:lvl>
                  <c:pt idx="0">
                    <c:v>1. generace přistěhovalců</c:v>
                  </c:pt>
                  <c:pt idx="1">
                    <c:v>2. generace přistěhovalců</c:v>
                  </c:pt>
                  <c:pt idx="2">
                    <c:v>rodilí občané</c:v>
                  </c:pt>
                  <c:pt idx="3">
                    <c:v>1. generace přistěhovalců</c:v>
                  </c:pt>
                  <c:pt idx="4">
                    <c:v>2. generace přistěhovalců</c:v>
                  </c:pt>
                  <c:pt idx="5">
                    <c:v>rodilí občané</c:v>
                  </c:pt>
                </c:lvl>
                <c:lvl>
                  <c:pt idx="0">
                    <c:v>subjektivní překvalifikovanost</c:v>
                  </c:pt>
                  <c:pt idx="3">
                    <c:v>objektivní překvalifikovanost</c:v>
                  </c:pt>
                </c:lvl>
              </c:multiLvlStrCache>
            </c:multiLvlStrRef>
          </c:cat>
          <c:val>
            <c:numRef>
              <c:f>List1!$G$2:$G$7</c:f>
              <c:numCache>
                <c:formatCode>0.0</c:formatCode>
                <c:ptCount val="6"/>
                <c:pt idx="0">
                  <c:v>10.4</c:v>
                </c:pt>
                <c:pt idx="1">
                  <c:v>10.5</c:v>
                </c:pt>
                <c:pt idx="2">
                  <c:v>8.5</c:v>
                </c:pt>
                <c:pt idx="3">
                  <c:v>14.519182170725131</c:v>
                </c:pt>
                <c:pt idx="4">
                  <c:v>0</c:v>
                </c:pt>
                <c:pt idx="5">
                  <c:v>13.679705844939438</c:v>
                </c:pt>
              </c:numCache>
            </c:numRef>
          </c:val>
          <c:extLst>
            <c:ext xmlns:c16="http://schemas.microsoft.com/office/drawing/2014/chart" uri="{C3380CC4-5D6E-409C-BE32-E72D297353CC}">
              <c16:uniqueId val="{00000006-EC4B-4BD3-830D-76D5DDBC2989}"/>
            </c:ext>
          </c:extLst>
        </c:ser>
        <c:dLbls>
          <c:dLblPos val="inEnd"/>
          <c:showLegendKey val="0"/>
          <c:showVal val="1"/>
          <c:showCatName val="0"/>
          <c:showSerName val="0"/>
          <c:showPercent val="0"/>
          <c:showBubbleSize val="0"/>
        </c:dLbls>
        <c:gapWidth val="65"/>
        <c:axId val="438018392"/>
        <c:axId val="438025840"/>
      </c:barChart>
      <c:catAx>
        <c:axId val="438018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cs-CZ"/>
          </a:p>
        </c:txPr>
        <c:crossAx val="438025840"/>
        <c:crosses val="autoZero"/>
        <c:auto val="1"/>
        <c:lblAlgn val="ctr"/>
        <c:lblOffset val="100"/>
        <c:noMultiLvlLbl val="0"/>
      </c:catAx>
      <c:valAx>
        <c:axId val="438025840"/>
        <c:scaling>
          <c:orientation val="minMax"/>
        </c:scaling>
        <c:delete val="1"/>
        <c:axPos val="l"/>
        <c:numFmt formatCode="0.0" sourceLinked="1"/>
        <c:majorTickMark val="none"/>
        <c:minorTickMark val="none"/>
        <c:tickLblPos val="nextTo"/>
        <c:crossAx val="438018392"/>
        <c:crosses val="autoZero"/>
        <c:crossBetween val="between"/>
      </c:valAx>
      <c:spPr>
        <a:noFill/>
        <a:ln>
          <a:noFill/>
        </a:ln>
        <a:effectLst/>
      </c:spPr>
    </c:plotArea>
    <c:legend>
      <c:legendPos val="b"/>
      <c:layout>
        <c:manualLayout>
          <c:xMode val="edge"/>
          <c:yMode val="edge"/>
          <c:x val="0.14804690475695814"/>
          <c:y val="0.95695010005945358"/>
          <c:w val="0.71709880262328685"/>
          <c:h val="4.3049960324726848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95000"/>
        </a:schemeClr>
      </a:solidFill>
      <a:round/>
    </a:ln>
    <a:effectLst/>
  </c:spPr>
  <c:txPr>
    <a:bodyPr/>
    <a:lstStyle/>
    <a:p>
      <a:pPr>
        <a:defRPr sz="1000">
          <a:solidFill>
            <a:sysClr val="windowText" lastClr="000000"/>
          </a:solidFill>
          <a:latin typeface="Arial Narrow" panose="020B0606020202030204" pitchFamily="34" charset="0"/>
        </a:defRPr>
      </a:pPr>
      <a:endParaRPr lang="cs-CZ"/>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1" i="0" u="none" strike="noStrike" kern="1200" cap="none" baseline="0">
                <a:solidFill>
                  <a:sysClr val="windowText" lastClr="000000"/>
                </a:solidFill>
                <a:latin typeface="Arial Narrow" panose="020B0606020202030204" pitchFamily="34" charset="0"/>
                <a:ea typeface="+mn-ea"/>
                <a:cs typeface="+mn-cs"/>
              </a:defRPr>
            </a:pPr>
            <a:r>
              <a:rPr lang="cs-CZ" sz="1050" b="1" i="0" u="none" strike="noStrike" cap="none" baseline="0">
                <a:effectLst/>
              </a:rPr>
              <a:t>Jazykové schopnosti osob s jinou státní příslušností ve vybraných evropských státech </a:t>
            </a:r>
            <a:endParaRPr lang="cs-CZ" sz="1050" b="1" cap="none"/>
          </a:p>
        </c:rich>
      </c:tx>
      <c:layout>
        <c:manualLayout>
          <c:xMode val="edge"/>
          <c:yMode val="edge"/>
          <c:x val="0.13757099169943207"/>
          <c:y val="1.0853643294588178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42663341337168"/>
          <c:y val="1.8225641642122984E-2"/>
          <c:w val="0.84638972208395324"/>
          <c:h val="0.97187984612610445"/>
        </c:manualLayout>
      </c:layout>
      <c:bar3DChart>
        <c:barDir val="bar"/>
        <c:grouping val="clustered"/>
        <c:varyColors val="0"/>
        <c:ser>
          <c:idx val="0"/>
          <c:order val="0"/>
          <c:tx>
            <c:strRef>
              <c:f>List2!$B$1</c:f>
              <c:strCache>
                <c:ptCount val="1"/>
                <c:pt idx="0">
                  <c:v> rodilý mluvčí</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4"/>
            <c:invertIfNegative val="0"/>
            <c:bubble3D val="0"/>
            <c:extLst>
              <c:ext xmlns:c16="http://schemas.microsoft.com/office/drawing/2014/chart" uri="{C3380CC4-5D6E-409C-BE32-E72D297353CC}">
                <c16:uniqueId val="{00000001-8E19-47DD-B389-C2EBB3DDD786}"/>
              </c:ext>
            </c:extLst>
          </c:dPt>
          <c:dLbls>
            <c:spPr>
              <a:solidFill>
                <a:schemeClr val="accent1">
                  <a:lumMod val="20000"/>
                  <a:lumOff val="80000"/>
                </a:schemeClr>
              </a:solidFill>
              <a:ln>
                <a:solidFill>
                  <a:schemeClr val="lt1">
                    <a:alpha val="50000"/>
                  </a:schemeClr>
                </a:solidFill>
                <a:round/>
              </a:ln>
              <a:effectLst/>
            </c:spPr>
            <c:txPr>
              <a:bodyPr rot="0" spcFirstLastPara="1" vertOverflow="ellipsis" vert="horz" wrap="square" tIns="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List2!$A$2:$A$10</c:f>
              <c:strCache>
                <c:ptCount val="9"/>
                <c:pt idx="0">
                  <c:v>Německo</c:v>
                </c:pt>
                <c:pt idx="1">
                  <c:v>Polsko</c:v>
                </c:pt>
                <c:pt idx="2">
                  <c:v>Itálie</c:v>
                </c:pt>
                <c:pt idx="3">
                  <c:v>Rakousko</c:v>
                </c:pt>
                <c:pt idx="4">
                  <c:v>Česká republika</c:v>
                </c:pt>
                <c:pt idx="5">
                  <c:v>Španělsko</c:v>
                </c:pt>
                <c:pt idx="6">
                  <c:v>Slovensko</c:v>
                </c:pt>
                <c:pt idx="7">
                  <c:v>Maďarsko</c:v>
                </c:pt>
                <c:pt idx="8">
                  <c:v>Chorvatsko</c:v>
                </c:pt>
              </c:strCache>
            </c:strRef>
          </c:cat>
          <c:val>
            <c:numRef>
              <c:f>List2!$B$2:$B$10</c:f>
              <c:numCache>
                <c:formatCode>0.0</c:formatCode>
                <c:ptCount val="9"/>
                <c:pt idx="0">
                  <c:v>13.1</c:v>
                </c:pt>
                <c:pt idx="1">
                  <c:v>20.9</c:v>
                </c:pt>
                <c:pt idx="2">
                  <c:v>29.1</c:v>
                </c:pt>
                <c:pt idx="3">
                  <c:v>37.799999999999997</c:v>
                </c:pt>
                <c:pt idx="4">
                  <c:v>43.7</c:v>
                </c:pt>
                <c:pt idx="5">
                  <c:v>49.5</c:v>
                </c:pt>
                <c:pt idx="6">
                  <c:v>51</c:v>
                </c:pt>
                <c:pt idx="7">
                  <c:v>79.5</c:v>
                </c:pt>
                <c:pt idx="8">
                  <c:v>89.2</c:v>
                </c:pt>
              </c:numCache>
            </c:numRef>
          </c:val>
          <c:shape val="cylinder"/>
          <c:extLst>
            <c:ext xmlns:c16="http://schemas.microsoft.com/office/drawing/2014/chart" uri="{C3380CC4-5D6E-409C-BE32-E72D297353CC}">
              <c16:uniqueId val="{00000002-8E19-47DD-B389-C2EBB3DDD786}"/>
            </c:ext>
          </c:extLst>
        </c:ser>
        <c:ser>
          <c:idx val="1"/>
          <c:order val="1"/>
          <c:tx>
            <c:strRef>
              <c:f>List2!$C$1</c:f>
              <c:strCache>
                <c:ptCount val="1"/>
                <c:pt idx="0">
                  <c:v>komunikativní </c:v>
                </c:pt>
              </c:strCache>
            </c:strRef>
          </c:tx>
          <c:spPr>
            <a:solidFill>
              <a:schemeClr val="accent2"/>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4"/>
            <c:invertIfNegative val="0"/>
            <c:bubble3D val="0"/>
            <c:extLst>
              <c:ext xmlns:c16="http://schemas.microsoft.com/office/drawing/2014/chart" uri="{C3380CC4-5D6E-409C-BE32-E72D297353CC}">
                <c16:uniqueId val="{00000004-8E19-47DD-B389-C2EBB3DDD786}"/>
              </c:ext>
            </c:extLst>
          </c:dPt>
          <c:dLbls>
            <c:spPr>
              <a:solidFill>
                <a:schemeClr val="accent2">
                  <a:lumMod val="20000"/>
                  <a:lumOff val="80000"/>
                  <a:alpha val="77000"/>
                </a:schemeClr>
              </a:solidFill>
              <a:ln>
                <a:solidFill>
                  <a:schemeClr val="lt1">
                    <a:alpha val="50000"/>
                  </a:schemeClr>
                </a:solidFill>
                <a:round/>
              </a:ln>
              <a:effectLst/>
            </c:spPr>
            <c:txPr>
              <a:bodyPr rot="0" spcFirstLastPara="1" vertOverflow="ellipsis" vert="horz" wrap="square" tIns="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List2!$A$2:$A$10</c:f>
              <c:strCache>
                <c:ptCount val="9"/>
                <c:pt idx="0">
                  <c:v>Německo</c:v>
                </c:pt>
                <c:pt idx="1">
                  <c:v>Polsko</c:v>
                </c:pt>
                <c:pt idx="2">
                  <c:v>Itálie</c:v>
                </c:pt>
                <c:pt idx="3">
                  <c:v>Rakousko</c:v>
                </c:pt>
                <c:pt idx="4">
                  <c:v>Česká republika</c:v>
                </c:pt>
                <c:pt idx="5">
                  <c:v>Španělsko</c:v>
                </c:pt>
                <c:pt idx="6">
                  <c:v>Slovensko</c:v>
                </c:pt>
                <c:pt idx="7">
                  <c:v>Maďarsko</c:v>
                </c:pt>
                <c:pt idx="8">
                  <c:v>Chorvatsko</c:v>
                </c:pt>
              </c:strCache>
            </c:strRef>
          </c:cat>
          <c:val>
            <c:numRef>
              <c:f>List2!$C$2:$C$10</c:f>
              <c:numCache>
                <c:formatCode>0.0</c:formatCode>
                <c:ptCount val="9"/>
                <c:pt idx="0">
                  <c:v>42.2</c:v>
                </c:pt>
                <c:pt idx="1">
                  <c:v>49.2</c:v>
                </c:pt>
                <c:pt idx="2">
                  <c:v>36.9</c:v>
                </c:pt>
                <c:pt idx="3">
                  <c:v>25.4</c:v>
                </c:pt>
                <c:pt idx="4">
                  <c:v>31.8</c:v>
                </c:pt>
                <c:pt idx="5">
                  <c:v>25.5</c:v>
                </c:pt>
                <c:pt idx="6">
                  <c:v>33.299999999999997</c:v>
                </c:pt>
                <c:pt idx="7">
                  <c:v>10.4</c:v>
                </c:pt>
                <c:pt idx="8">
                  <c:v>6.9</c:v>
                </c:pt>
              </c:numCache>
            </c:numRef>
          </c:val>
          <c:shape val="cylinder"/>
          <c:extLst>
            <c:ext xmlns:c16="http://schemas.microsoft.com/office/drawing/2014/chart" uri="{C3380CC4-5D6E-409C-BE32-E72D297353CC}">
              <c16:uniqueId val="{00000005-8E19-47DD-B389-C2EBB3DDD786}"/>
            </c:ext>
          </c:extLst>
        </c:ser>
        <c:ser>
          <c:idx val="2"/>
          <c:order val="2"/>
          <c:tx>
            <c:strRef>
              <c:f>List2!$D$1</c:f>
              <c:strCache>
                <c:ptCount val="1"/>
                <c:pt idx="0">
                  <c:v>průměrné </c:v>
                </c:pt>
              </c:strCache>
            </c:strRef>
          </c:tx>
          <c:spPr>
            <a:solidFill>
              <a:srgbClr val="C00000"/>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Pt>
            <c:idx val="4"/>
            <c:invertIfNegative val="0"/>
            <c:bubble3D val="0"/>
            <c:extLst>
              <c:ext xmlns:c16="http://schemas.microsoft.com/office/drawing/2014/chart" uri="{C3380CC4-5D6E-409C-BE32-E72D297353CC}">
                <c16:uniqueId val="{00000007-8E19-47DD-B389-C2EBB3DDD786}"/>
              </c:ext>
            </c:extLst>
          </c:dPt>
          <c:dLbls>
            <c:dLbl>
              <c:idx val="6"/>
              <c:delete val="1"/>
              <c:extLst>
                <c:ext xmlns:c15="http://schemas.microsoft.com/office/drawing/2012/chart" uri="{CE6537A1-D6FC-4f65-9D91-7224C49458BB}"/>
                <c:ext xmlns:c16="http://schemas.microsoft.com/office/drawing/2014/chart" uri="{C3380CC4-5D6E-409C-BE32-E72D297353CC}">
                  <c16:uniqueId val="{00000008-8E19-47DD-B389-C2EBB3DDD786}"/>
                </c:ext>
              </c:extLst>
            </c:dLbl>
            <c:spPr>
              <a:solidFill>
                <a:schemeClr val="accent3">
                  <a:lumMod val="20000"/>
                  <a:lumOff val="80000"/>
                  <a:alpha val="30000"/>
                </a:schemeClr>
              </a:solidFill>
              <a:ln>
                <a:solidFill>
                  <a:schemeClr val="lt1">
                    <a:alpha val="50000"/>
                  </a:schemeClr>
                </a:solidFill>
                <a:round/>
              </a:ln>
              <a:effectLst/>
            </c:spPr>
            <c:txPr>
              <a:bodyPr rot="0" spcFirstLastPara="1" vertOverflow="ellipsis" vert="horz" wrap="square" tIns="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List2!$A$2:$A$10</c:f>
              <c:strCache>
                <c:ptCount val="9"/>
                <c:pt idx="0">
                  <c:v>Německo</c:v>
                </c:pt>
                <c:pt idx="1">
                  <c:v>Polsko</c:v>
                </c:pt>
                <c:pt idx="2">
                  <c:v>Itálie</c:v>
                </c:pt>
                <c:pt idx="3">
                  <c:v>Rakousko</c:v>
                </c:pt>
                <c:pt idx="4">
                  <c:v>Česká republika</c:v>
                </c:pt>
                <c:pt idx="5">
                  <c:v>Španělsko</c:v>
                </c:pt>
                <c:pt idx="6">
                  <c:v>Slovensko</c:v>
                </c:pt>
                <c:pt idx="7">
                  <c:v>Maďarsko</c:v>
                </c:pt>
                <c:pt idx="8">
                  <c:v>Chorvatsko</c:v>
                </c:pt>
              </c:strCache>
            </c:strRef>
          </c:cat>
          <c:val>
            <c:numRef>
              <c:f>List2!$D$2:$D$10</c:f>
              <c:numCache>
                <c:formatCode>0.0</c:formatCode>
                <c:ptCount val="9"/>
                <c:pt idx="0">
                  <c:v>24.7</c:v>
                </c:pt>
                <c:pt idx="1">
                  <c:v>24.9</c:v>
                </c:pt>
                <c:pt idx="2">
                  <c:v>22.6</c:v>
                </c:pt>
                <c:pt idx="3">
                  <c:v>23.3</c:v>
                </c:pt>
                <c:pt idx="4">
                  <c:v>18.100000000000001</c:v>
                </c:pt>
                <c:pt idx="5">
                  <c:v>16.2</c:v>
                </c:pt>
                <c:pt idx="6">
                  <c:v>0</c:v>
                </c:pt>
                <c:pt idx="7">
                  <c:v>3.3</c:v>
                </c:pt>
                <c:pt idx="8">
                  <c:v>2.8</c:v>
                </c:pt>
              </c:numCache>
            </c:numRef>
          </c:val>
          <c:shape val="cylinder"/>
          <c:extLst>
            <c:ext xmlns:c16="http://schemas.microsoft.com/office/drawing/2014/chart" uri="{C3380CC4-5D6E-409C-BE32-E72D297353CC}">
              <c16:uniqueId val="{00000009-8E19-47DD-B389-C2EBB3DDD786}"/>
            </c:ext>
          </c:extLst>
        </c:ser>
        <c:ser>
          <c:idx val="3"/>
          <c:order val="3"/>
          <c:tx>
            <c:strRef>
              <c:f>List2!$E$1</c:f>
              <c:strCache>
                <c:ptCount val="1"/>
                <c:pt idx="0">
                  <c:v>základní</c:v>
                </c:pt>
              </c:strCache>
            </c:strRef>
          </c:tx>
          <c:spPr>
            <a:solidFill>
              <a:schemeClr val="accent6"/>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Pt>
            <c:idx val="4"/>
            <c:invertIfNegative val="0"/>
            <c:bubble3D val="0"/>
            <c:extLst>
              <c:ext xmlns:c16="http://schemas.microsoft.com/office/drawing/2014/chart" uri="{C3380CC4-5D6E-409C-BE32-E72D297353CC}">
                <c16:uniqueId val="{0000000B-8E19-47DD-B389-C2EBB3DDD786}"/>
              </c:ext>
            </c:extLst>
          </c:dPt>
          <c:dLbls>
            <c:dLbl>
              <c:idx val="1"/>
              <c:delete val="1"/>
              <c:extLst>
                <c:ext xmlns:c15="http://schemas.microsoft.com/office/drawing/2012/chart" uri="{CE6537A1-D6FC-4f65-9D91-7224C49458BB}"/>
                <c:ext xmlns:c16="http://schemas.microsoft.com/office/drawing/2014/chart" uri="{C3380CC4-5D6E-409C-BE32-E72D297353CC}">
                  <c16:uniqueId val="{0000000C-8E19-47DD-B389-C2EBB3DDD786}"/>
                </c:ext>
              </c:extLst>
            </c:dLbl>
            <c:dLbl>
              <c:idx val="6"/>
              <c:delete val="1"/>
              <c:extLst>
                <c:ext xmlns:c15="http://schemas.microsoft.com/office/drawing/2012/chart" uri="{CE6537A1-D6FC-4f65-9D91-7224C49458BB}"/>
                <c:ext xmlns:c16="http://schemas.microsoft.com/office/drawing/2014/chart" uri="{C3380CC4-5D6E-409C-BE32-E72D297353CC}">
                  <c16:uniqueId val="{0000000D-8E19-47DD-B389-C2EBB3DDD786}"/>
                </c:ext>
              </c:extLst>
            </c:dLbl>
            <c:dLbl>
              <c:idx val="8"/>
              <c:delete val="1"/>
              <c:extLst>
                <c:ext xmlns:c15="http://schemas.microsoft.com/office/drawing/2012/chart" uri="{CE6537A1-D6FC-4f65-9D91-7224C49458BB}"/>
                <c:ext xmlns:c16="http://schemas.microsoft.com/office/drawing/2014/chart" uri="{C3380CC4-5D6E-409C-BE32-E72D297353CC}">
                  <c16:uniqueId val="{0000000E-8E19-47DD-B389-C2EBB3DDD786}"/>
                </c:ext>
              </c:extLst>
            </c:dLbl>
            <c:spPr>
              <a:solidFill>
                <a:schemeClr val="accent4">
                  <a:lumMod val="20000"/>
                  <a:lumOff val="8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tIns="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List2!$A$2:$A$10</c:f>
              <c:strCache>
                <c:ptCount val="9"/>
                <c:pt idx="0">
                  <c:v>Německo</c:v>
                </c:pt>
                <c:pt idx="1">
                  <c:v>Polsko</c:v>
                </c:pt>
                <c:pt idx="2">
                  <c:v>Itálie</c:v>
                </c:pt>
                <c:pt idx="3">
                  <c:v>Rakousko</c:v>
                </c:pt>
                <c:pt idx="4">
                  <c:v>Česká republika</c:v>
                </c:pt>
                <c:pt idx="5">
                  <c:v>Španělsko</c:v>
                </c:pt>
                <c:pt idx="6">
                  <c:v>Slovensko</c:v>
                </c:pt>
                <c:pt idx="7">
                  <c:v>Maďarsko</c:v>
                </c:pt>
                <c:pt idx="8">
                  <c:v>Chorvatsko</c:v>
                </c:pt>
              </c:strCache>
            </c:strRef>
          </c:cat>
          <c:val>
            <c:numRef>
              <c:f>List2!$E$2:$E$10</c:f>
              <c:numCache>
                <c:formatCode>0.0</c:formatCode>
                <c:ptCount val="9"/>
                <c:pt idx="0">
                  <c:v>14.7</c:v>
                </c:pt>
                <c:pt idx="1">
                  <c:v>0</c:v>
                </c:pt>
                <c:pt idx="2">
                  <c:v>11.2</c:v>
                </c:pt>
                <c:pt idx="3">
                  <c:v>13.5</c:v>
                </c:pt>
                <c:pt idx="4">
                  <c:v>5.9</c:v>
                </c:pt>
                <c:pt idx="5">
                  <c:v>7.4</c:v>
                </c:pt>
                <c:pt idx="6">
                  <c:v>0</c:v>
                </c:pt>
                <c:pt idx="7">
                  <c:v>4.0999999999999996</c:v>
                </c:pt>
                <c:pt idx="8">
                  <c:v>0</c:v>
                </c:pt>
              </c:numCache>
            </c:numRef>
          </c:val>
          <c:shape val="cylinder"/>
          <c:extLst>
            <c:ext xmlns:c16="http://schemas.microsoft.com/office/drawing/2014/chart" uri="{C3380CC4-5D6E-409C-BE32-E72D297353CC}">
              <c16:uniqueId val="{0000000F-8E19-47DD-B389-C2EBB3DDD786}"/>
            </c:ext>
          </c:extLst>
        </c:ser>
        <c:dLbls>
          <c:showLegendKey val="0"/>
          <c:showVal val="1"/>
          <c:showCatName val="0"/>
          <c:showSerName val="0"/>
          <c:showPercent val="0"/>
          <c:showBubbleSize val="0"/>
        </c:dLbls>
        <c:gapWidth val="84"/>
        <c:gapDepth val="53"/>
        <c:shape val="box"/>
        <c:axId val="438029368"/>
        <c:axId val="438019176"/>
        <c:axId val="0"/>
      </c:bar3DChart>
      <c:catAx>
        <c:axId val="438029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crossAx val="438019176"/>
        <c:crosses val="autoZero"/>
        <c:auto val="1"/>
        <c:lblAlgn val="ctr"/>
        <c:lblOffset val="100"/>
        <c:noMultiLvlLbl val="0"/>
      </c:catAx>
      <c:valAx>
        <c:axId val="438019176"/>
        <c:scaling>
          <c:orientation val="minMax"/>
        </c:scaling>
        <c:delete val="1"/>
        <c:axPos val="b"/>
        <c:numFmt formatCode="0.0" sourceLinked="1"/>
        <c:majorTickMark val="out"/>
        <c:minorTickMark val="none"/>
        <c:tickLblPos val="nextTo"/>
        <c:crossAx val="438029368"/>
        <c:crosses val="autoZero"/>
        <c:crossBetween val="between"/>
      </c:valAx>
      <c:spPr>
        <a:noFill/>
        <a:ln>
          <a:noFill/>
        </a:ln>
        <a:effectLst/>
      </c:spPr>
    </c:plotArea>
    <c:legend>
      <c:legendPos val="t"/>
      <c:layout>
        <c:manualLayout>
          <c:xMode val="edge"/>
          <c:yMode val="edge"/>
          <c:x val="0.48290868325376785"/>
          <c:y val="0.96115094595587602"/>
          <c:w val="0.5170913167462321"/>
          <c:h val="3.2012699743646851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effectLst/>
                <a:latin typeface="Arial Narrow" panose="020B0606020202030204" pitchFamily="34" charset="0"/>
                <a:ea typeface="+mn-ea"/>
                <a:cs typeface="+mn-cs"/>
              </a:defRPr>
            </a:pPr>
            <a:r>
              <a:rPr lang="cs-CZ" sz="1000" b="1" cap="none">
                <a:effectLst/>
              </a:rPr>
              <a:t>Počet zaměstnaných </a:t>
            </a:r>
            <a:r>
              <a:rPr lang="cs-CZ" sz="1000" b="1" i="0" u="none" strike="noStrike" cap="none" baseline="0">
                <a:effectLst/>
              </a:rPr>
              <a:t>osob s jinou než českou státní příslušností</a:t>
            </a:r>
            <a:r>
              <a:rPr lang="cs-CZ" sz="1000" b="1" cap="none">
                <a:effectLst/>
              </a:rPr>
              <a:t> v jednotlivých krajích ČR v roce 2022</a:t>
            </a:r>
          </a:p>
        </c:rich>
      </c:tx>
      <c:layout>
        <c:manualLayout>
          <c:xMode val="edge"/>
          <c:yMode val="edge"/>
          <c:x val="0.12748007193545252"/>
          <c:y val="0"/>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46806649168853"/>
          <c:y val="0.10462936451125428"/>
          <c:w val="0.7879181768945549"/>
          <c:h val="0.870842938110997"/>
        </c:manualLayout>
      </c:layout>
      <c:bar3DChart>
        <c:barDir val="bar"/>
        <c:grouping val="clustered"/>
        <c:varyColors val="0"/>
        <c:ser>
          <c:idx val="0"/>
          <c:order val="0"/>
          <c:tx>
            <c:strRef>
              <c:f>List1!$B$1</c:f>
              <c:strCache>
                <c:ptCount val="1"/>
                <c:pt idx="0">
                  <c:v>Řada 1</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11"/>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CD40-4C2B-9DF1-30389E371767}"/>
              </c:ext>
            </c:extLst>
          </c:dPt>
          <c:dLbls>
            <c:spPr>
              <a:solidFill>
                <a:schemeClr val="bg1"/>
              </a:solidFill>
              <a:ln>
                <a:solidFill>
                  <a:schemeClr val="lt1">
                    <a:alpha val="50000"/>
                  </a:schemeClr>
                </a:solidFill>
                <a:round/>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List1!$A$2:$A$15</c:f>
              <c:strCache>
                <c:ptCount val="14"/>
                <c:pt idx="0">
                  <c:v>Olomoucký kraj</c:v>
                </c:pt>
                <c:pt idx="1">
                  <c:v>Karlovarský kraj</c:v>
                </c:pt>
                <c:pt idx="2">
                  <c:v>Zlínský kraj</c:v>
                </c:pt>
                <c:pt idx="3">
                  <c:v>Kraj Vysočina</c:v>
                </c:pt>
                <c:pt idx="4">
                  <c:v>Liberecký kraj</c:v>
                </c:pt>
                <c:pt idx="5">
                  <c:v>Ústecký kraj</c:v>
                </c:pt>
                <c:pt idx="6">
                  <c:v>Pardubický kraj</c:v>
                </c:pt>
                <c:pt idx="7">
                  <c:v>Královéhradecký kraj</c:v>
                </c:pt>
                <c:pt idx="8">
                  <c:v>Jihočeský kraj</c:v>
                </c:pt>
                <c:pt idx="9">
                  <c:v>Moravskoslezský kraj</c:v>
                </c:pt>
                <c:pt idx="10">
                  <c:v>Plzeňský kraj</c:v>
                </c:pt>
                <c:pt idx="11">
                  <c:v>Jihomoravský kraj</c:v>
                </c:pt>
                <c:pt idx="12">
                  <c:v>Středočeský kraj</c:v>
                </c:pt>
                <c:pt idx="13">
                  <c:v>Hlavní město Praha</c:v>
                </c:pt>
              </c:strCache>
            </c:strRef>
          </c:cat>
          <c:val>
            <c:numRef>
              <c:f>List1!$B$2:$B$15</c:f>
              <c:numCache>
                <c:formatCode>#,##0</c:formatCode>
                <c:ptCount val="14"/>
                <c:pt idx="0">
                  <c:v>15895</c:v>
                </c:pt>
                <c:pt idx="1">
                  <c:v>18804</c:v>
                </c:pt>
                <c:pt idx="2">
                  <c:v>18972</c:v>
                </c:pt>
                <c:pt idx="3">
                  <c:v>19339</c:v>
                </c:pt>
                <c:pt idx="4">
                  <c:v>24627</c:v>
                </c:pt>
                <c:pt idx="5">
                  <c:v>26971</c:v>
                </c:pt>
                <c:pt idx="6">
                  <c:v>29395</c:v>
                </c:pt>
                <c:pt idx="7">
                  <c:v>29560</c:v>
                </c:pt>
                <c:pt idx="8">
                  <c:v>31202</c:v>
                </c:pt>
                <c:pt idx="9">
                  <c:v>38062</c:v>
                </c:pt>
                <c:pt idx="10">
                  <c:v>77289</c:v>
                </c:pt>
                <c:pt idx="11">
                  <c:v>91375</c:v>
                </c:pt>
                <c:pt idx="12">
                  <c:v>135134</c:v>
                </c:pt>
                <c:pt idx="13">
                  <c:v>236665</c:v>
                </c:pt>
              </c:numCache>
            </c:numRef>
          </c:val>
          <c:shape val="cylinder"/>
          <c:extLst>
            <c:ext xmlns:c16="http://schemas.microsoft.com/office/drawing/2014/chart" uri="{C3380CC4-5D6E-409C-BE32-E72D297353CC}">
              <c16:uniqueId val="{00000002-CD40-4C2B-9DF1-30389E371767}"/>
            </c:ext>
          </c:extLst>
        </c:ser>
        <c:dLbls>
          <c:showLegendKey val="0"/>
          <c:showVal val="1"/>
          <c:showCatName val="0"/>
          <c:showSerName val="0"/>
          <c:showPercent val="0"/>
          <c:showBubbleSize val="0"/>
        </c:dLbls>
        <c:gapWidth val="84"/>
        <c:gapDepth val="53"/>
        <c:shape val="box"/>
        <c:axId val="438023096"/>
        <c:axId val="438022704"/>
        <c:axId val="0"/>
      </c:bar3DChart>
      <c:catAx>
        <c:axId val="438023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22704"/>
        <c:crosses val="autoZero"/>
        <c:auto val="1"/>
        <c:lblAlgn val="ctr"/>
        <c:lblOffset val="100"/>
        <c:noMultiLvlLbl val="0"/>
      </c:catAx>
      <c:valAx>
        <c:axId val="438022704"/>
        <c:scaling>
          <c:orientation val="minMax"/>
          <c:max val="250000"/>
        </c:scaling>
        <c:delete val="1"/>
        <c:axPos val="b"/>
        <c:numFmt formatCode="#,##0" sourceLinked="1"/>
        <c:majorTickMark val="out"/>
        <c:minorTickMark val="none"/>
        <c:tickLblPos val="nextTo"/>
        <c:crossAx val="438023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Arial Narrow" panose="020B0606020202030204" pitchFamily="34" charset="0"/>
                <a:ea typeface="+mn-ea"/>
                <a:cs typeface="+mn-cs"/>
              </a:defRPr>
            </a:pPr>
            <a:r>
              <a:rPr lang="cs-CZ" sz="1000" b="1" cap="none" spc="0">
                <a:ln w="0"/>
                <a:solidFill>
                  <a:schemeClr val="tx1"/>
                </a:solidFill>
                <a:effectLst/>
              </a:rPr>
              <a:t>Podíl </a:t>
            </a:r>
            <a:r>
              <a:rPr lang="cs-CZ" sz="1000" b="1" i="0" u="none" strike="noStrike" cap="none" baseline="0">
                <a:effectLst/>
              </a:rPr>
              <a:t>osob s jinou než českou státní příslušností</a:t>
            </a:r>
            <a:r>
              <a:rPr lang="cs-CZ" sz="1000" b="1" cap="none" spc="0">
                <a:ln w="0"/>
                <a:solidFill>
                  <a:schemeClr val="tx1"/>
                </a:solidFill>
                <a:effectLst/>
              </a:rPr>
              <a:t> v</a:t>
            </a:r>
            <a:r>
              <a:rPr lang="cs-CZ" sz="1000" b="1" cap="none" spc="0" baseline="0">
                <a:ln w="0"/>
                <a:solidFill>
                  <a:schemeClr val="tx1"/>
                </a:solidFill>
                <a:effectLst/>
              </a:rPr>
              <a:t> JMK na celkovém počtu obyvatel</a:t>
            </a:r>
            <a:endParaRPr lang="cs-CZ" sz="1000" b="1" cap="none" spc="0">
              <a:ln w="0"/>
              <a:solidFill>
                <a:schemeClr val="tx1"/>
              </a:solidFill>
              <a:effectLst/>
            </a:endParaRPr>
          </a:p>
        </c:rich>
      </c:tx>
      <c:layout>
        <c:manualLayout>
          <c:xMode val="edge"/>
          <c:yMode val="edge"/>
          <c:x val="0.13446151961862474"/>
          <c:y val="7.5171358975811477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479696528239587E-2"/>
          <c:y val="5.7140706874006339E-2"/>
          <c:w val="0.9119505806105489"/>
          <c:h val="0.8605653863159578"/>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4"/>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7EB-4AFF-949D-CC5226209F14}"/>
              </c:ext>
            </c:extLst>
          </c:dPt>
          <c:dPt>
            <c:idx val="16"/>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7EB-4AFF-949D-CC5226209F14}"/>
              </c:ext>
            </c:extLst>
          </c:dPt>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List1!$A$2:$A$18</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List1!$B$2:$B$18</c:f>
              <c:numCache>
                <c:formatCode>0.0%</c:formatCode>
                <c:ptCount val="17"/>
                <c:pt idx="0">
                  <c:v>2.5000000000000001E-2</c:v>
                </c:pt>
                <c:pt idx="1">
                  <c:v>2.9000000000000001E-2</c:v>
                </c:pt>
                <c:pt idx="2">
                  <c:v>3.1E-2</c:v>
                </c:pt>
                <c:pt idx="3">
                  <c:v>3.2000000000000001E-2</c:v>
                </c:pt>
                <c:pt idx="4">
                  <c:v>3.1E-2</c:v>
                </c:pt>
                <c:pt idx="5">
                  <c:v>3.1E-2</c:v>
                </c:pt>
                <c:pt idx="6">
                  <c:v>3.1E-2</c:v>
                </c:pt>
                <c:pt idx="7">
                  <c:v>3.2000000000000001E-2</c:v>
                </c:pt>
                <c:pt idx="8">
                  <c:v>3.3000000000000002E-2</c:v>
                </c:pt>
                <c:pt idx="9">
                  <c:v>3.4000000000000002E-2</c:v>
                </c:pt>
                <c:pt idx="10">
                  <c:v>3.6999999999999998E-2</c:v>
                </c:pt>
                <c:pt idx="11">
                  <c:v>3.9E-2</c:v>
                </c:pt>
                <c:pt idx="12">
                  <c:v>4.2000000000000003E-2</c:v>
                </c:pt>
                <c:pt idx="13">
                  <c:v>4.3999999999999997E-2</c:v>
                </c:pt>
                <c:pt idx="14">
                  <c:v>4.9000000000000002E-2</c:v>
                </c:pt>
                <c:pt idx="15">
                  <c:v>5.2999999999999999E-2</c:v>
                </c:pt>
                <c:pt idx="16">
                  <c:v>9.4E-2</c:v>
                </c:pt>
              </c:numCache>
            </c:numRef>
          </c:val>
          <c:shape val="cylinder"/>
          <c:extLst>
            <c:ext xmlns:c16="http://schemas.microsoft.com/office/drawing/2014/chart" uri="{C3380CC4-5D6E-409C-BE32-E72D297353CC}">
              <c16:uniqueId val="{00000002-77EB-4AFF-949D-CC5226209F14}"/>
            </c:ext>
          </c:extLst>
        </c:ser>
        <c:dLbls>
          <c:showLegendKey val="0"/>
          <c:showVal val="0"/>
          <c:showCatName val="0"/>
          <c:showSerName val="0"/>
          <c:showPercent val="0"/>
          <c:showBubbleSize val="0"/>
        </c:dLbls>
        <c:gapWidth val="95"/>
        <c:shape val="box"/>
        <c:axId val="297519576"/>
        <c:axId val="297517616"/>
        <c:axId val="0"/>
      </c:bar3DChart>
      <c:catAx>
        <c:axId val="297519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517616"/>
        <c:crosses val="autoZero"/>
        <c:auto val="1"/>
        <c:lblAlgn val="ctr"/>
        <c:lblOffset val="100"/>
        <c:noMultiLvlLbl val="0"/>
      </c:catAx>
      <c:valAx>
        <c:axId val="297517616"/>
        <c:scaling>
          <c:orientation val="minMax"/>
          <c:min val="2.0000000000000004E-2"/>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7519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Počet zaměstnaných </a:t>
            </a:r>
            <a:r>
              <a:rPr lang="cs-CZ" sz="1000" b="1" i="0" u="none" strike="noStrike" cap="none" spc="0" baseline="0">
                <a:ln w="0"/>
                <a:solidFill>
                  <a:schemeClr val="tx1"/>
                </a:solidFill>
                <a:effectLst/>
              </a:rPr>
              <a:t>osob s jinou než českou státní příslušností</a:t>
            </a:r>
            <a:r>
              <a:rPr lang="cs-CZ" sz="1000" b="1" cap="none" spc="0">
                <a:ln w="0"/>
                <a:solidFill>
                  <a:schemeClr val="tx1"/>
                </a:solidFill>
                <a:effectLst/>
              </a:rPr>
              <a:t> v Jihomoravském kraji v roce 2022</a:t>
            </a:r>
          </a:p>
        </c:rich>
      </c:tx>
      <c:layout>
        <c:manualLayout>
          <c:xMode val="edge"/>
          <c:yMode val="edge"/>
          <c:x val="0.12352483717313113"/>
          <c:y val="0"/>
        </c:manualLayout>
      </c:layout>
      <c:overlay val="0"/>
      <c:spPr>
        <a:noFill/>
        <a:ln>
          <a:noFill/>
        </a:ln>
        <a:effectLst/>
      </c:spPr>
    </c:title>
    <c:autoTitleDeleted val="0"/>
    <c:plotArea>
      <c:layout>
        <c:manualLayout>
          <c:layoutTarget val="inner"/>
          <c:xMode val="edge"/>
          <c:yMode val="edge"/>
          <c:x val="8.6039088089195456E-2"/>
          <c:y val="5.3393750309513197E-2"/>
          <c:w val="0.91304255309794813"/>
          <c:h val="0.73981528252364681"/>
        </c:manualLayout>
      </c:layout>
      <c:barChart>
        <c:barDir val="col"/>
        <c:grouping val="stacked"/>
        <c:varyColors val="0"/>
        <c:ser>
          <c:idx val="0"/>
          <c:order val="0"/>
          <c:tx>
            <c:strRef>
              <c:f>List1!$B$1</c:f>
              <c:strCache>
                <c:ptCount val="1"/>
                <c:pt idx="0">
                  <c:v>Evidovaní na úřadech práce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2018</c:v>
                </c:pt>
                <c:pt idx="1">
                  <c:v>2019</c:v>
                </c:pt>
                <c:pt idx="2">
                  <c:v>2020</c:v>
                </c:pt>
                <c:pt idx="3">
                  <c:v>2021</c:v>
                </c:pt>
                <c:pt idx="4">
                  <c:v>2022</c:v>
                </c:pt>
              </c:numCache>
            </c:numRef>
          </c:cat>
          <c:val>
            <c:numRef>
              <c:f>List1!$B$2:$B$6</c:f>
              <c:numCache>
                <c:formatCode>0</c:formatCode>
                <c:ptCount val="5"/>
                <c:pt idx="0" formatCode="#,##0">
                  <c:v>59867</c:v>
                </c:pt>
                <c:pt idx="1">
                  <c:v>64363</c:v>
                </c:pt>
                <c:pt idx="2">
                  <c:v>69867</c:v>
                </c:pt>
                <c:pt idx="3" formatCode="General">
                  <c:v>77201</c:v>
                </c:pt>
                <c:pt idx="4" formatCode="General">
                  <c:v>91375</c:v>
                </c:pt>
              </c:numCache>
            </c:numRef>
          </c:val>
          <c:extLst>
            <c:ext xmlns:c16="http://schemas.microsoft.com/office/drawing/2014/chart" uri="{C3380CC4-5D6E-409C-BE32-E72D297353CC}">
              <c16:uniqueId val="{00000000-F6C4-4142-B71D-686DB077CF11}"/>
            </c:ext>
          </c:extLst>
        </c:ser>
        <c:ser>
          <c:idx val="1"/>
          <c:order val="1"/>
          <c:tx>
            <c:strRef>
              <c:f>List1!$C$1</c:f>
              <c:strCache>
                <c:ptCount val="1"/>
                <c:pt idx="0">
                  <c:v>S platným živnostenským oprávněním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7.93650793650797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C4-4142-B71D-686DB077CF11}"/>
                </c:ext>
              </c:extLst>
            </c:dLbl>
            <c:dLbl>
              <c:idx val="1"/>
              <c:layout>
                <c:manualLayout>
                  <c:x val="0"/>
                  <c:y val="7.93650793650793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C4-4142-B71D-686DB077CF11}"/>
                </c:ext>
              </c:extLst>
            </c:dLbl>
            <c:dLbl>
              <c:idx val="2"/>
              <c:layout>
                <c:manualLayout>
                  <c:x val="0"/>
                  <c:y val="7.93650793650793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C4-4142-B71D-686DB077CF11}"/>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2018</c:v>
                </c:pt>
                <c:pt idx="1">
                  <c:v>2019</c:v>
                </c:pt>
                <c:pt idx="2">
                  <c:v>2020</c:v>
                </c:pt>
                <c:pt idx="3">
                  <c:v>2021</c:v>
                </c:pt>
                <c:pt idx="4">
                  <c:v>2022</c:v>
                </c:pt>
              </c:numCache>
            </c:numRef>
          </c:cat>
          <c:val>
            <c:numRef>
              <c:f>List1!$C$2:$C$6</c:f>
              <c:numCache>
                <c:formatCode>0</c:formatCode>
                <c:ptCount val="5"/>
                <c:pt idx="0" formatCode="#,##0">
                  <c:v>7764</c:v>
                </c:pt>
                <c:pt idx="1">
                  <c:v>7527</c:v>
                </c:pt>
                <c:pt idx="2">
                  <c:v>7764</c:v>
                </c:pt>
                <c:pt idx="3" formatCode="General">
                  <c:v>8317</c:v>
                </c:pt>
                <c:pt idx="4" formatCode="General">
                  <c:v>9042</c:v>
                </c:pt>
              </c:numCache>
            </c:numRef>
          </c:val>
          <c:extLst>
            <c:ext xmlns:c16="http://schemas.microsoft.com/office/drawing/2014/chart" uri="{C3380CC4-5D6E-409C-BE32-E72D297353CC}">
              <c16:uniqueId val="{00000004-F6C4-4142-B71D-686DB077CF11}"/>
            </c:ext>
          </c:extLst>
        </c:ser>
        <c:dLbls>
          <c:showLegendKey val="0"/>
          <c:showVal val="0"/>
          <c:showCatName val="0"/>
          <c:showSerName val="0"/>
          <c:showPercent val="0"/>
          <c:showBubbleSize val="0"/>
        </c:dLbls>
        <c:gapWidth val="150"/>
        <c:overlap val="100"/>
        <c:axId val="438028584"/>
        <c:axId val="438026624"/>
      </c:barChart>
      <c:lineChart>
        <c:grouping val="stacked"/>
        <c:varyColors val="0"/>
        <c:ser>
          <c:idx val="2"/>
          <c:order val="2"/>
          <c:tx>
            <c:strRef>
              <c:f>List1!$D$1</c:f>
              <c:strCache>
                <c:ptCount val="1"/>
                <c:pt idx="0">
                  <c:v>Celkem</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List1!$A$2:$A$6</c:f>
              <c:numCache>
                <c:formatCode>General</c:formatCode>
                <c:ptCount val="5"/>
                <c:pt idx="0">
                  <c:v>2018</c:v>
                </c:pt>
                <c:pt idx="1">
                  <c:v>2019</c:v>
                </c:pt>
                <c:pt idx="2">
                  <c:v>2020</c:v>
                </c:pt>
                <c:pt idx="3">
                  <c:v>2021</c:v>
                </c:pt>
                <c:pt idx="4">
                  <c:v>2022</c:v>
                </c:pt>
              </c:numCache>
            </c:numRef>
          </c:cat>
          <c:val>
            <c:numRef>
              <c:f>List1!$D$2:$D$6</c:f>
              <c:numCache>
                <c:formatCode>#,##0</c:formatCode>
                <c:ptCount val="5"/>
                <c:pt idx="0">
                  <c:v>67631</c:v>
                </c:pt>
                <c:pt idx="1">
                  <c:v>71890</c:v>
                </c:pt>
                <c:pt idx="2">
                  <c:v>77631</c:v>
                </c:pt>
                <c:pt idx="3">
                  <c:v>85518</c:v>
                </c:pt>
                <c:pt idx="4">
                  <c:v>100417</c:v>
                </c:pt>
              </c:numCache>
            </c:numRef>
          </c:val>
          <c:smooth val="0"/>
          <c:extLst>
            <c:ext xmlns:c16="http://schemas.microsoft.com/office/drawing/2014/chart" uri="{C3380CC4-5D6E-409C-BE32-E72D297353CC}">
              <c16:uniqueId val="{00000005-F6C4-4142-B71D-686DB077CF11}"/>
            </c:ext>
          </c:extLst>
        </c:ser>
        <c:dLbls>
          <c:showLegendKey val="0"/>
          <c:showVal val="0"/>
          <c:showCatName val="0"/>
          <c:showSerName val="0"/>
          <c:showPercent val="0"/>
          <c:showBubbleSize val="0"/>
        </c:dLbls>
        <c:marker val="1"/>
        <c:smooth val="0"/>
        <c:axId val="438028584"/>
        <c:axId val="438026624"/>
      </c:lineChart>
      <c:catAx>
        <c:axId val="4380285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crossAx val="438026624"/>
        <c:crosses val="autoZero"/>
        <c:auto val="1"/>
        <c:lblAlgn val="ctr"/>
        <c:lblOffset val="100"/>
        <c:noMultiLvlLbl val="0"/>
      </c:catAx>
      <c:valAx>
        <c:axId val="438026624"/>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28584"/>
        <c:crosses val="autoZero"/>
        <c:crossBetween val="between"/>
      </c:valAx>
      <c:spPr>
        <a:noFill/>
        <a:ln>
          <a:noFill/>
        </a:ln>
        <a:effectLst/>
      </c:spPr>
    </c:plotArea>
    <c:legend>
      <c:legendPos val="b"/>
      <c:layout>
        <c:manualLayout>
          <c:xMode val="edge"/>
          <c:yMode val="edge"/>
          <c:x val="9.9909521360081244E-2"/>
          <c:y val="0.91979471316085493"/>
          <c:w val="0.78847056254851944"/>
          <c:h val="6.8300524934383197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50" b="1">
                <a:effectLst/>
              </a:rPr>
              <a:t>Zaměstnávání osob s jinou než českou státní příslušností v Jihomoravském kraji v jednotlivých měsících roku 2020,</a:t>
            </a:r>
            <a:r>
              <a:rPr lang="cs-CZ" sz="1050" b="1" baseline="0">
                <a:effectLst/>
              </a:rPr>
              <a:t> </a:t>
            </a:r>
            <a:r>
              <a:rPr lang="cs-CZ" sz="1050" b="1">
                <a:effectLst/>
              </a:rPr>
              <a:t>2021 a 2022 </a:t>
            </a:r>
            <a:endParaRPr lang="cs-CZ" sz="1050">
              <a:effectLst/>
            </a:endParaRPr>
          </a:p>
        </c:rich>
      </c:tx>
      <c:layout>
        <c:manualLayout>
          <c:xMode val="edge"/>
          <c:yMode val="edge"/>
          <c:x val="0.1154466802760766"/>
          <c:y val="0"/>
        </c:manualLayout>
      </c:layout>
      <c:overlay val="0"/>
      <c:spPr>
        <a:noFill/>
        <a:ln>
          <a:noFill/>
        </a:ln>
        <a:effectLst/>
      </c:spPr>
    </c:title>
    <c:autoTitleDeleted val="0"/>
    <c:plotArea>
      <c:layout>
        <c:manualLayout>
          <c:layoutTarget val="inner"/>
          <c:xMode val="edge"/>
          <c:yMode val="edge"/>
          <c:x val="7.0418838895823704E-2"/>
          <c:y val="0.14082278481012658"/>
          <c:w val="0.91646808037884153"/>
          <c:h val="0.70202373833017706"/>
        </c:manualLayout>
      </c:layout>
      <c:lineChart>
        <c:grouping val="standard"/>
        <c:varyColors val="0"/>
        <c:ser>
          <c:idx val="0"/>
          <c:order val="0"/>
          <c:tx>
            <c:strRef>
              <c:f>List1!$B$1</c:f>
              <c:strCache>
                <c:ptCount val="1"/>
                <c:pt idx="0">
                  <c:v>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189840230475851E-2"/>
                  <c:y val="-1.6517935258092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AD-49D1-B911-5FD2BC6CAF74}"/>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List1!$B$2:$B$13</c:f>
              <c:numCache>
                <c:formatCode>0</c:formatCode>
                <c:ptCount val="12"/>
                <c:pt idx="0">
                  <c:v>61328</c:v>
                </c:pt>
                <c:pt idx="1">
                  <c:v>63835</c:v>
                </c:pt>
                <c:pt idx="2">
                  <c:v>64969</c:v>
                </c:pt>
                <c:pt idx="3">
                  <c:v>64275</c:v>
                </c:pt>
                <c:pt idx="4">
                  <c:v>63511</c:v>
                </c:pt>
                <c:pt idx="5">
                  <c:v>64271</c:v>
                </c:pt>
                <c:pt idx="6">
                  <c:v>65921</c:v>
                </c:pt>
                <c:pt idx="7">
                  <c:v>67853</c:v>
                </c:pt>
                <c:pt idx="8">
                  <c:v>69738</c:v>
                </c:pt>
                <c:pt idx="9">
                  <c:v>70057</c:v>
                </c:pt>
                <c:pt idx="10">
                  <c:v>71595</c:v>
                </c:pt>
                <c:pt idx="11">
                  <c:v>69867</c:v>
                </c:pt>
              </c:numCache>
            </c:numRef>
          </c:val>
          <c:smooth val="0"/>
          <c:extLst>
            <c:ext xmlns:c16="http://schemas.microsoft.com/office/drawing/2014/chart" uri="{C3380CC4-5D6E-409C-BE32-E72D297353CC}">
              <c16:uniqueId val="{00000001-24AD-49D1-B911-5FD2BC6CAF74}"/>
            </c:ext>
          </c:extLst>
        </c:ser>
        <c:ser>
          <c:idx val="1"/>
          <c:order val="1"/>
          <c:tx>
            <c:strRef>
              <c:f>List1!$C$1</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24AD-49D1-B911-5FD2BC6CAF74}"/>
                </c:ext>
              </c:extLst>
            </c:dLbl>
            <c:spPr>
              <a:solidFill>
                <a:schemeClr val="accent2">
                  <a:lumMod val="40000"/>
                  <a:lumOff val="6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List1!$C$2:$C$13</c:f>
              <c:numCache>
                <c:formatCode>0</c:formatCode>
                <c:ptCount val="12"/>
                <c:pt idx="0">
                  <c:v>68647</c:v>
                </c:pt>
                <c:pt idx="1">
                  <c:v>68647</c:v>
                </c:pt>
                <c:pt idx="2">
                  <c:v>70602</c:v>
                </c:pt>
                <c:pt idx="3">
                  <c:v>71907</c:v>
                </c:pt>
                <c:pt idx="4">
                  <c:v>72875</c:v>
                </c:pt>
                <c:pt idx="5">
                  <c:v>74417</c:v>
                </c:pt>
                <c:pt idx="6">
                  <c:v>75435</c:v>
                </c:pt>
                <c:pt idx="7">
                  <c:v>75915</c:v>
                </c:pt>
                <c:pt idx="8">
                  <c:v>77563</c:v>
                </c:pt>
                <c:pt idx="9">
                  <c:v>78344</c:v>
                </c:pt>
                <c:pt idx="10">
                  <c:v>78788</c:v>
                </c:pt>
                <c:pt idx="11">
                  <c:v>77201</c:v>
                </c:pt>
              </c:numCache>
            </c:numRef>
          </c:val>
          <c:smooth val="0"/>
          <c:extLst>
            <c:ext xmlns:c16="http://schemas.microsoft.com/office/drawing/2014/chart" uri="{C3380CC4-5D6E-409C-BE32-E72D297353CC}">
              <c16:uniqueId val="{00000003-24AD-49D1-B911-5FD2BC6CAF74}"/>
            </c:ext>
          </c:extLst>
        </c:ser>
        <c:ser>
          <c:idx val="2"/>
          <c:order val="2"/>
          <c:tx>
            <c:strRef>
              <c:f>List1!$D$1</c:f>
              <c:strCache>
                <c:ptCount val="1"/>
                <c:pt idx="0">
                  <c:v>2022</c:v>
                </c:pt>
              </c:strCache>
            </c:strRef>
          </c:tx>
          <c:spPr>
            <a:ln w="28575"/>
          </c:spPr>
          <c:marker>
            <c:symbol val="circle"/>
            <c:size val="5"/>
          </c:marker>
          <c:dLbls>
            <c:spPr>
              <a:solidFill>
                <a:schemeClr val="bg1">
                  <a:lumMod val="85000"/>
                </a:schemeClr>
              </a:solidFill>
              <a:ln w="3175">
                <a:solidFill>
                  <a:schemeClr val="tx1">
                    <a:lumMod val="50000"/>
                    <a:lumOff val="50000"/>
                  </a:schemeClr>
                </a:solidFill>
              </a:ln>
              <a:effectLst/>
            </c:spPr>
            <c:txPr>
              <a:bodyPr wrap="square" lIns="38100" tIns="19050" rIns="38100" bIns="19050" anchor="ctr">
                <a:spAutoFit/>
              </a:bodyPr>
              <a:lstStyle/>
              <a:p>
                <a:pPr>
                  <a:defRPr sz="900"/>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List1!$D$2:$D$13</c:f>
              <c:numCache>
                <c:formatCode>General</c:formatCode>
                <c:ptCount val="12"/>
                <c:pt idx="0">
                  <c:v>75664</c:v>
                </c:pt>
                <c:pt idx="1">
                  <c:v>78160</c:v>
                </c:pt>
                <c:pt idx="2">
                  <c:v>82320</c:v>
                </c:pt>
                <c:pt idx="3">
                  <c:v>84965</c:v>
                </c:pt>
                <c:pt idx="4">
                  <c:v>86688</c:v>
                </c:pt>
                <c:pt idx="5">
                  <c:v>87440</c:v>
                </c:pt>
                <c:pt idx="6">
                  <c:v>87721</c:v>
                </c:pt>
                <c:pt idx="7">
                  <c:v>88436</c:v>
                </c:pt>
                <c:pt idx="8">
                  <c:v>89188</c:v>
                </c:pt>
                <c:pt idx="9">
                  <c:v>90430</c:v>
                </c:pt>
                <c:pt idx="10">
                  <c:v>91830</c:v>
                </c:pt>
                <c:pt idx="11">
                  <c:v>91375</c:v>
                </c:pt>
              </c:numCache>
            </c:numRef>
          </c:val>
          <c:smooth val="0"/>
          <c:extLst>
            <c:ext xmlns:c16="http://schemas.microsoft.com/office/drawing/2014/chart" uri="{C3380CC4-5D6E-409C-BE32-E72D297353CC}">
              <c16:uniqueId val="{00000004-24AD-49D1-B911-5FD2BC6CAF74}"/>
            </c:ext>
          </c:extLst>
        </c:ser>
        <c:dLbls>
          <c:showLegendKey val="0"/>
          <c:showVal val="0"/>
          <c:showCatName val="0"/>
          <c:showSerName val="0"/>
          <c:showPercent val="0"/>
          <c:showBubbleSize val="0"/>
        </c:dLbls>
        <c:marker val="1"/>
        <c:smooth val="0"/>
        <c:axId val="438030152"/>
        <c:axId val="438023880"/>
      </c:lineChart>
      <c:catAx>
        <c:axId val="4380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23880"/>
        <c:crosses val="autoZero"/>
        <c:auto val="1"/>
        <c:lblAlgn val="ctr"/>
        <c:lblOffset val="100"/>
        <c:noMultiLvlLbl val="0"/>
      </c:catAx>
      <c:valAx>
        <c:axId val="438023880"/>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8030152"/>
        <c:crosses val="autoZero"/>
        <c:crossBetween val="between"/>
      </c:valAx>
      <c:spPr>
        <a:noFill/>
        <a:ln>
          <a:noFill/>
        </a:ln>
        <a:effectLst/>
      </c:spPr>
    </c:plotArea>
    <c:legend>
      <c:legendPos val="b"/>
      <c:layout>
        <c:manualLayout>
          <c:xMode val="edge"/>
          <c:yMode val="edge"/>
          <c:x val="0.3594031648821675"/>
          <c:y val="0.92841830525374269"/>
          <c:w val="0.33512713390165078"/>
          <c:h val="7.158188559763363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i="0" u="none" strike="noStrike" cap="none" spc="0" baseline="0">
                <a:ln w="0"/>
                <a:solidFill>
                  <a:schemeClr val="tx1"/>
                </a:solidFill>
                <a:effectLst/>
              </a:rPr>
              <a:t>Osoby s jinou než českou státní příslušností </a:t>
            </a:r>
            <a:r>
              <a:rPr lang="cs-CZ" sz="1000" b="1" cap="none" spc="0">
                <a:ln w="0"/>
                <a:solidFill>
                  <a:schemeClr val="tx1"/>
                </a:solidFill>
                <a:effectLst/>
              </a:rPr>
              <a:t>v postavení zaměstnanců podle typu registrace k 31. 12. 2022</a:t>
            </a:r>
          </a:p>
        </c:rich>
      </c:tx>
      <c:layout>
        <c:manualLayout>
          <c:xMode val="edge"/>
          <c:yMode val="edge"/>
          <c:x val="0.1264814120457165"/>
          <c:y val="3.8104573027956576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590399840876562E-2"/>
          <c:y val="0.23030387868183144"/>
          <c:w val="0.94098324514991183"/>
          <c:h val="0.38856926726953883"/>
        </c:manualLayout>
      </c:layout>
      <c:bar3DChart>
        <c:barDir val="bar"/>
        <c:grouping val="percentStacked"/>
        <c:varyColors val="0"/>
        <c:ser>
          <c:idx val="0"/>
          <c:order val="0"/>
          <c:tx>
            <c:strRef>
              <c:f>List1!$B$1</c:f>
              <c:strCache>
                <c:ptCount val="1"/>
                <c:pt idx="0">
                  <c:v>Informace - občané 
EU/EHP+Švýcarska 
v postavení 
zaměstnanců</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0816326530612242E-2"/>
                </c:manualLayout>
              </c:layout>
              <c:tx>
                <c:rich>
                  <a:bodyPr/>
                  <a:lstStyle/>
                  <a:p>
                    <a:r>
                      <a:rPr lang="en-US"/>
                      <a:t>50 893</a:t>
                    </a:r>
                  </a:p>
                  <a:p>
                    <a:r>
                      <a:rPr lang="en-US" b="1"/>
                      <a:t>55,7</a:t>
                    </a:r>
                    <a:r>
                      <a:rPr lang="en-US" b="1" baseline="0"/>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3B9-4D08-A350-7702A15C6F15}"/>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c:f>
              <c:strCache>
                <c:ptCount val="1"/>
                <c:pt idx="0">
                  <c:v>počet </c:v>
                </c:pt>
              </c:strCache>
            </c:strRef>
          </c:cat>
          <c:val>
            <c:numRef>
              <c:f>List1!$B$2</c:f>
              <c:numCache>
                <c:formatCode>General</c:formatCode>
                <c:ptCount val="1"/>
                <c:pt idx="0">
                  <c:v>50893</c:v>
                </c:pt>
              </c:numCache>
            </c:numRef>
          </c:val>
          <c:extLst>
            <c:ext xmlns:c16="http://schemas.microsoft.com/office/drawing/2014/chart" uri="{C3380CC4-5D6E-409C-BE32-E72D297353CC}">
              <c16:uniqueId val="{00000001-63B9-4D08-A350-7702A15C6F15}"/>
            </c:ext>
          </c:extLst>
        </c:ser>
        <c:ser>
          <c:idx val="1"/>
          <c:order val="1"/>
          <c:tx>
            <c:strRef>
              <c:f>List1!$C$1</c:f>
              <c:strCache>
                <c:ptCount val="1"/>
                <c:pt idx="0">
                  <c:v>Cizinci, kteří
nepotřebují povolení k 
zaměstnání</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00245802608088E-3"/>
                  <c:y val="-3.8889578636695309E-2"/>
                </c:manualLayout>
              </c:layout>
              <c:tx>
                <c:rich>
                  <a:bodyPr/>
                  <a:lstStyle/>
                  <a:p>
                    <a:r>
                      <a:rPr lang="en-US"/>
                      <a:t>28 035</a:t>
                    </a:r>
                  </a:p>
                  <a:p>
                    <a:r>
                      <a:rPr lang="en-US" b="1"/>
                      <a:t>30,7 %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3B9-4D08-A350-7702A15C6F15}"/>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c:f>
              <c:strCache>
                <c:ptCount val="1"/>
                <c:pt idx="0">
                  <c:v>počet </c:v>
                </c:pt>
              </c:strCache>
            </c:strRef>
          </c:cat>
          <c:val>
            <c:numRef>
              <c:f>List1!$C$2</c:f>
              <c:numCache>
                <c:formatCode>General</c:formatCode>
                <c:ptCount val="1"/>
                <c:pt idx="0">
                  <c:v>28035</c:v>
                </c:pt>
              </c:numCache>
            </c:numRef>
          </c:val>
          <c:extLst>
            <c:ext xmlns:c16="http://schemas.microsoft.com/office/drawing/2014/chart" uri="{C3380CC4-5D6E-409C-BE32-E72D297353CC}">
              <c16:uniqueId val="{00000003-63B9-4D08-A350-7702A15C6F15}"/>
            </c:ext>
          </c:extLst>
        </c:ser>
        <c:ser>
          <c:idx val="2"/>
          <c:order val="2"/>
          <c:tx>
            <c:strRef>
              <c:f>List1!$D$1</c:f>
              <c:strCache>
                <c:ptCount val="1"/>
                <c:pt idx="0">
                  <c:v>Platné povolení 
k zaměstnání</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410226499465345E-2"/>
                  <c:y val="-0.21928922707187198"/>
                </c:manualLayout>
              </c:layout>
              <c:tx>
                <c:rich>
                  <a:bodyPr/>
                  <a:lstStyle/>
                  <a:p>
                    <a:r>
                      <a:rPr lang="en-US"/>
                      <a:t>509</a:t>
                    </a:r>
                  </a:p>
                  <a:p>
                    <a:r>
                      <a:rPr lang="en-US" b="1"/>
                      <a:t>0,5 %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3B9-4D08-A350-7702A15C6F15}"/>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c:f>
              <c:strCache>
                <c:ptCount val="1"/>
                <c:pt idx="0">
                  <c:v>počet </c:v>
                </c:pt>
              </c:strCache>
            </c:strRef>
          </c:cat>
          <c:val>
            <c:numRef>
              <c:f>List1!$D$2</c:f>
              <c:numCache>
                <c:formatCode>General</c:formatCode>
                <c:ptCount val="1"/>
                <c:pt idx="0">
                  <c:v>509</c:v>
                </c:pt>
              </c:numCache>
            </c:numRef>
          </c:val>
          <c:extLst>
            <c:ext xmlns:c16="http://schemas.microsoft.com/office/drawing/2014/chart" uri="{C3380CC4-5D6E-409C-BE32-E72D297353CC}">
              <c16:uniqueId val="{00000005-63B9-4D08-A350-7702A15C6F15}"/>
            </c:ext>
          </c:extLst>
        </c:ser>
        <c:ser>
          <c:idx val="3"/>
          <c:order val="3"/>
          <c:tx>
            <c:strRef>
              <c:f>List1!$E$1</c:f>
              <c:strCache>
                <c:ptCount val="1"/>
                <c:pt idx="0">
                  <c:v>Zaměstnanecké karty</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7482293879931676E-2"/>
                  <c:y val="-0.21928922707187198"/>
                </c:manualLayout>
              </c:layout>
              <c:tx>
                <c:rich>
                  <a:bodyPr/>
                  <a:lstStyle/>
                  <a:p>
                    <a:r>
                      <a:rPr lang="en-US"/>
                      <a:t>11</a:t>
                    </a:r>
                    <a:r>
                      <a:rPr lang="en-US" baseline="0"/>
                      <a:t> 860</a:t>
                    </a:r>
                    <a:endParaRPr lang="en-US"/>
                  </a:p>
                  <a:p>
                    <a:r>
                      <a:rPr lang="en-US" b="1"/>
                      <a:t>13 %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3B9-4D08-A350-7702A15C6F15}"/>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c:f>
              <c:strCache>
                <c:ptCount val="1"/>
                <c:pt idx="0">
                  <c:v>počet </c:v>
                </c:pt>
              </c:strCache>
            </c:strRef>
          </c:cat>
          <c:val>
            <c:numRef>
              <c:f>List1!$E$2</c:f>
              <c:numCache>
                <c:formatCode>General</c:formatCode>
                <c:ptCount val="1"/>
                <c:pt idx="0">
                  <c:v>11860</c:v>
                </c:pt>
              </c:numCache>
            </c:numRef>
          </c:val>
          <c:extLst>
            <c:ext xmlns:c16="http://schemas.microsoft.com/office/drawing/2014/chart" uri="{C3380CC4-5D6E-409C-BE32-E72D297353CC}">
              <c16:uniqueId val="{00000007-63B9-4D08-A350-7702A15C6F15}"/>
            </c:ext>
          </c:extLst>
        </c:ser>
        <c:ser>
          <c:idx val="4"/>
          <c:order val="4"/>
          <c:tx>
            <c:strRef>
              <c:f>List1!$F$1</c:f>
              <c:strCache>
                <c:ptCount val="1"/>
                <c:pt idx="0">
                  <c:v>Modré karty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3932980599647263E-2"/>
                  <c:y val="-2.4378352023403261E-2"/>
                </c:manualLayout>
              </c:layout>
              <c:tx>
                <c:rich>
                  <a:bodyPr/>
                  <a:lstStyle/>
                  <a:p>
                    <a:r>
                      <a:rPr lang="en-US"/>
                      <a:t>78</a:t>
                    </a:r>
                  </a:p>
                  <a:p>
                    <a:r>
                      <a:rPr lang="en-US" b="1"/>
                      <a:t>0,1 %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3B9-4D08-A350-7702A15C6F15}"/>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c:f>
              <c:strCache>
                <c:ptCount val="1"/>
                <c:pt idx="0">
                  <c:v>počet </c:v>
                </c:pt>
              </c:strCache>
            </c:strRef>
          </c:cat>
          <c:val>
            <c:numRef>
              <c:f>List1!$F$2</c:f>
              <c:numCache>
                <c:formatCode>General</c:formatCode>
                <c:ptCount val="1"/>
                <c:pt idx="0">
                  <c:v>78</c:v>
                </c:pt>
              </c:numCache>
            </c:numRef>
          </c:val>
          <c:extLst>
            <c:ext xmlns:c16="http://schemas.microsoft.com/office/drawing/2014/chart" uri="{C3380CC4-5D6E-409C-BE32-E72D297353CC}">
              <c16:uniqueId val="{00000009-63B9-4D08-A350-7702A15C6F15}"/>
            </c:ext>
          </c:extLst>
        </c:ser>
        <c:dLbls>
          <c:showLegendKey val="0"/>
          <c:showVal val="0"/>
          <c:showCatName val="0"/>
          <c:showSerName val="0"/>
          <c:showPercent val="0"/>
          <c:showBubbleSize val="0"/>
        </c:dLbls>
        <c:gapWidth val="96"/>
        <c:gapDepth val="0"/>
        <c:shape val="cylinder"/>
        <c:axId val="438021136"/>
        <c:axId val="438027016"/>
        <c:axId val="0"/>
      </c:bar3DChart>
      <c:catAx>
        <c:axId val="438021136"/>
        <c:scaling>
          <c:orientation val="minMax"/>
        </c:scaling>
        <c:delete val="1"/>
        <c:axPos val="l"/>
        <c:numFmt formatCode="General" sourceLinked="1"/>
        <c:majorTickMark val="none"/>
        <c:minorTickMark val="none"/>
        <c:tickLblPos val="nextTo"/>
        <c:crossAx val="438027016"/>
        <c:crosses val="autoZero"/>
        <c:auto val="1"/>
        <c:lblAlgn val="ctr"/>
        <c:lblOffset val="100"/>
        <c:noMultiLvlLbl val="0"/>
      </c:catAx>
      <c:valAx>
        <c:axId val="438027016"/>
        <c:scaling>
          <c:orientation val="minMax"/>
        </c:scaling>
        <c:delete val="1"/>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crossAx val="438021136"/>
        <c:crosses val="autoZero"/>
        <c:crossBetween val="between"/>
      </c:valAx>
      <c:spPr>
        <a:noFill/>
        <a:ln>
          <a:noFill/>
        </a:ln>
        <a:effectLst/>
      </c:spPr>
    </c:plotArea>
    <c:legend>
      <c:legendPos val="b"/>
      <c:layout>
        <c:manualLayout>
          <c:xMode val="edge"/>
          <c:yMode val="edge"/>
          <c:x val="2.9344437381900574E-3"/>
          <c:y val="0.64652610090405371"/>
          <c:w val="0.99006049285025532"/>
          <c:h val="0.3465844269466316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i="0" u="none" strike="noStrike" cap="none" baseline="0">
                <a:effectLst/>
              </a:rPr>
              <a:t>Osoby s jinou než českou státní příslušností </a:t>
            </a:r>
            <a:r>
              <a:rPr lang="cs-CZ" sz="1000" b="1" cap="none" spc="0">
                <a:ln w="0"/>
                <a:solidFill>
                  <a:schemeClr val="tx1"/>
                </a:solidFill>
                <a:effectLst/>
              </a:rPr>
              <a:t>v postavení zaměstnanců </a:t>
            </a:r>
            <a:br>
              <a:rPr lang="cs-CZ" sz="1000" b="1" cap="none" spc="0">
                <a:ln w="0"/>
                <a:solidFill>
                  <a:schemeClr val="tx1"/>
                </a:solidFill>
                <a:effectLst/>
              </a:rPr>
            </a:br>
            <a:r>
              <a:rPr lang="cs-CZ" sz="1000" b="1" cap="none" spc="0">
                <a:ln w="0"/>
                <a:solidFill>
                  <a:schemeClr val="tx1"/>
                </a:solidFill>
                <a:effectLst/>
              </a:rPr>
              <a:t>podle krajů v roce 2022</a:t>
            </a:r>
          </a:p>
        </c:rich>
      </c:tx>
      <c:layout>
        <c:manualLayout>
          <c:xMode val="edge"/>
          <c:yMode val="edge"/>
          <c:x val="0.23590909525793424"/>
          <c:y val="1.7949147518589636E-3"/>
        </c:manualLayout>
      </c:layout>
      <c:overlay val="0"/>
      <c:spPr>
        <a:noFill/>
        <a:ln>
          <a:noFill/>
        </a:ln>
        <a:effectLst/>
      </c:spPr>
    </c:title>
    <c:autoTitleDeleted val="0"/>
    <c:plotArea>
      <c:layout>
        <c:manualLayout>
          <c:layoutTarget val="inner"/>
          <c:xMode val="edge"/>
          <c:yMode val="edge"/>
          <c:x val="0.12974147865892108"/>
          <c:y val="0.10187816539299199"/>
          <c:w val="0.8537315250262888"/>
          <c:h val="0.54182790571800454"/>
        </c:manualLayout>
      </c:layout>
      <c:barChart>
        <c:barDir val="col"/>
        <c:grouping val="stacked"/>
        <c:varyColors val="0"/>
        <c:ser>
          <c:idx val="0"/>
          <c:order val="0"/>
          <c:tx>
            <c:strRef>
              <c:f>List1!$B$1</c:f>
              <c:strCache>
                <c:ptCount val="1"/>
                <c:pt idx="0">
                  <c:v>Informační karty občanů EU/EHP a Švýcarska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1"/>
            <c:invertIfNegative val="0"/>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143-409B-9A48-D583329FBE01}"/>
              </c:ext>
            </c:extLst>
          </c:dPt>
          <c:cat>
            <c:strRef>
              <c:f>List1!$A$2:$A$15</c:f>
              <c:strCache>
                <c:ptCount val="14"/>
                <c:pt idx="0">
                  <c:v>Olomoucký kraj</c:v>
                </c:pt>
                <c:pt idx="1">
                  <c:v>Karlovarský kraj</c:v>
                </c:pt>
                <c:pt idx="2">
                  <c:v>Zlínský kraj</c:v>
                </c:pt>
                <c:pt idx="3">
                  <c:v>Kraj Vysočina</c:v>
                </c:pt>
                <c:pt idx="4">
                  <c:v>Liberecký kraj</c:v>
                </c:pt>
                <c:pt idx="5">
                  <c:v>Ústecký kraj</c:v>
                </c:pt>
                <c:pt idx="6">
                  <c:v>Pardubický kraj</c:v>
                </c:pt>
                <c:pt idx="7">
                  <c:v>Královéhradecký kraj</c:v>
                </c:pt>
                <c:pt idx="8">
                  <c:v>Jihočeský kraj</c:v>
                </c:pt>
                <c:pt idx="9">
                  <c:v>Moravskoslezský kraj</c:v>
                </c:pt>
                <c:pt idx="10">
                  <c:v>Plzeňský kraj</c:v>
                </c:pt>
                <c:pt idx="11">
                  <c:v>Jihomoravský kraj</c:v>
                </c:pt>
                <c:pt idx="12">
                  <c:v>Středočeský kraj</c:v>
                </c:pt>
                <c:pt idx="13">
                  <c:v>Hlavní město Praha</c:v>
                </c:pt>
              </c:strCache>
            </c:strRef>
          </c:cat>
          <c:val>
            <c:numRef>
              <c:f>List1!$B$2:$B$15</c:f>
              <c:numCache>
                <c:formatCode>General</c:formatCode>
                <c:ptCount val="14"/>
                <c:pt idx="0">
                  <c:v>8149</c:v>
                </c:pt>
                <c:pt idx="1">
                  <c:v>6496</c:v>
                </c:pt>
                <c:pt idx="2">
                  <c:v>9867</c:v>
                </c:pt>
                <c:pt idx="3">
                  <c:v>8471</c:v>
                </c:pt>
                <c:pt idx="4">
                  <c:v>11038</c:v>
                </c:pt>
                <c:pt idx="5">
                  <c:v>10280</c:v>
                </c:pt>
                <c:pt idx="6">
                  <c:v>12896</c:v>
                </c:pt>
                <c:pt idx="7">
                  <c:v>17083</c:v>
                </c:pt>
                <c:pt idx="8">
                  <c:v>13637</c:v>
                </c:pt>
                <c:pt idx="9">
                  <c:v>26126</c:v>
                </c:pt>
                <c:pt idx="10">
                  <c:v>38781</c:v>
                </c:pt>
                <c:pt idx="11">
                  <c:v>50893</c:v>
                </c:pt>
                <c:pt idx="12">
                  <c:v>74564</c:v>
                </c:pt>
                <c:pt idx="13">
                  <c:v>118976</c:v>
                </c:pt>
              </c:numCache>
            </c:numRef>
          </c:val>
          <c:extLst>
            <c:ext xmlns:c16="http://schemas.microsoft.com/office/drawing/2014/chart" uri="{C3380CC4-5D6E-409C-BE32-E72D297353CC}">
              <c16:uniqueId val="{00000002-0143-409B-9A48-D583329FBE01}"/>
            </c:ext>
          </c:extLst>
        </c:ser>
        <c:ser>
          <c:idx val="1"/>
          <c:order val="1"/>
          <c:tx>
            <c:strRef>
              <c:f>List1!$C$1</c:f>
              <c:strCache>
                <c:ptCount val="1"/>
                <c:pt idx="0">
                  <c:v>Informační karty cizinců, kteří nepotřebují pracovní oprávnění</c:v>
                </c:pt>
              </c:strCache>
            </c:strRef>
          </c:tx>
          <c:spPr>
            <a:gradFill rotWithShape="1">
              <a:gsLst>
                <a:gs pos="40000">
                  <a:srgbClr val="E26610"/>
                </a:gs>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1"/>
            <c:invertIfNegative val="0"/>
            <c:bubble3D val="0"/>
            <c:spPr>
              <a:gradFill>
                <a:gsLst>
                  <a:gs pos="40000">
                    <a:srgbClr val="E26610"/>
                  </a:gs>
                  <a:gs pos="0">
                    <a:schemeClr val="accent2">
                      <a:shade val="51000"/>
                      <a:satMod val="130000"/>
                    </a:schemeClr>
                  </a:gs>
                  <a:gs pos="80000">
                    <a:schemeClr val="accent2">
                      <a:shade val="93000"/>
                      <a:satMod val="130000"/>
                    </a:schemeClr>
                  </a:gs>
                  <a:gs pos="100000">
                    <a:schemeClr val="accent2">
                      <a:shade val="94000"/>
                      <a:satMod val="135000"/>
                    </a:schemeClr>
                  </a:gs>
                </a:gsLs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0143-409B-9A48-D583329FBE01}"/>
              </c:ext>
            </c:extLst>
          </c:dPt>
          <c:cat>
            <c:strRef>
              <c:f>List1!$A$2:$A$15</c:f>
              <c:strCache>
                <c:ptCount val="14"/>
                <c:pt idx="0">
                  <c:v>Olomoucký kraj</c:v>
                </c:pt>
                <c:pt idx="1">
                  <c:v>Karlovarský kraj</c:v>
                </c:pt>
                <c:pt idx="2">
                  <c:v>Zlínský kraj</c:v>
                </c:pt>
                <c:pt idx="3">
                  <c:v>Kraj Vysočina</c:v>
                </c:pt>
                <c:pt idx="4">
                  <c:v>Liberecký kraj</c:v>
                </c:pt>
                <c:pt idx="5">
                  <c:v>Ústecký kraj</c:v>
                </c:pt>
                <c:pt idx="6">
                  <c:v>Pardubický kraj</c:v>
                </c:pt>
                <c:pt idx="7">
                  <c:v>Královéhradecký kraj</c:v>
                </c:pt>
                <c:pt idx="8">
                  <c:v>Jihočeský kraj</c:v>
                </c:pt>
                <c:pt idx="9">
                  <c:v>Moravskoslezský kraj</c:v>
                </c:pt>
                <c:pt idx="10">
                  <c:v>Plzeňský kraj</c:v>
                </c:pt>
                <c:pt idx="11">
                  <c:v>Jihomoravský kraj</c:v>
                </c:pt>
                <c:pt idx="12">
                  <c:v>Středočeský kraj</c:v>
                </c:pt>
                <c:pt idx="13">
                  <c:v>Hlavní město Praha</c:v>
                </c:pt>
              </c:strCache>
            </c:strRef>
          </c:cat>
          <c:val>
            <c:numRef>
              <c:f>List1!$C$2:$C$15</c:f>
              <c:numCache>
                <c:formatCode>General</c:formatCode>
                <c:ptCount val="14"/>
                <c:pt idx="0">
                  <c:v>5626</c:v>
                </c:pt>
                <c:pt idx="1">
                  <c:v>9606</c:v>
                </c:pt>
                <c:pt idx="2">
                  <c:v>5959</c:v>
                </c:pt>
                <c:pt idx="3">
                  <c:v>6730</c:v>
                </c:pt>
                <c:pt idx="4">
                  <c:v>9344</c:v>
                </c:pt>
                <c:pt idx="5">
                  <c:v>10744</c:v>
                </c:pt>
                <c:pt idx="6">
                  <c:v>10014</c:v>
                </c:pt>
                <c:pt idx="7">
                  <c:v>8906</c:v>
                </c:pt>
                <c:pt idx="8">
                  <c:v>11593</c:v>
                </c:pt>
                <c:pt idx="9">
                  <c:v>8290</c:v>
                </c:pt>
                <c:pt idx="10">
                  <c:v>26368</c:v>
                </c:pt>
                <c:pt idx="11">
                  <c:v>28035</c:v>
                </c:pt>
                <c:pt idx="12">
                  <c:v>40698</c:v>
                </c:pt>
                <c:pt idx="13">
                  <c:v>83301</c:v>
                </c:pt>
              </c:numCache>
            </c:numRef>
          </c:val>
          <c:extLst>
            <c:ext xmlns:c16="http://schemas.microsoft.com/office/drawing/2014/chart" uri="{C3380CC4-5D6E-409C-BE32-E72D297353CC}">
              <c16:uniqueId val="{00000005-0143-409B-9A48-D583329FBE01}"/>
            </c:ext>
          </c:extLst>
        </c:ser>
        <c:ser>
          <c:idx val="2"/>
          <c:order val="2"/>
          <c:tx>
            <c:strRef>
              <c:f>List1!$D$1</c:f>
              <c:strCache>
                <c:ptCount val="1"/>
                <c:pt idx="0">
                  <c:v>Pracovní oprávnění (povolení k zaměstnání, modré a zaměstnanecké karty)</c:v>
                </c:pt>
              </c:strCache>
            </c:strRef>
          </c:tx>
          <c:spPr>
            <a:gradFill rotWithShape="1">
              <a:gsLst>
                <a:gs pos="40000">
                  <a:srgbClr val="8D8D8D"/>
                </a:gs>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1"/>
            <c:invertIfNegative val="0"/>
            <c:bubble3D val="0"/>
            <c:spPr>
              <a:gradFill>
                <a:gsLst>
                  <a:gs pos="40000">
                    <a:srgbClr val="8D8D8D"/>
                  </a:gs>
                  <a:gs pos="0">
                    <a:schemeClr val="accent3">
                      <a:shade val="51000"/>
                      <a:satMod val="130000"/>
                    </a:schemeClr>
                  </a:gs>
                  <a:gs pos="80000">
                    <a:schemeClr val="accent3">
                      <a:shade val="93000"/>
                      <a:satMod val="130000"/>
                    </a:schemeClr>
                  </a:gs>
                  <a:gs pos="100000">
                    <a:schemeClr val="accent3">
                      <a:shade val="94000"/>
                      <a:satMod val="135000"/>
                    </a:schemeClr>
                  </a:gs>
                </a:gsLs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143-409B-9A48-D583329FBE01}"/>
              </c:ext>
            </c:extLst>
          </c:dPt>
          <c:cat>
            <c:strRef>
              <c:f>List1!$A$2:$A$15</c:f>
              <c:strCache>
                <c:ptCount val="14"/>
                <c:pt idx="0">
                  <c:v>Olomoucký kraj</c:v>
                </c:pt>
                <c:pt idx="1">
                  <c:v>Karlovarský kraj</c:v>
                </c:pt>
                <c:pt idx="2">
                  <c:v>Zlínský kraj</c:v>
                </c:pt>
                <c:pt idx="3">
                  <c:v>Kraj Vysočina</c:v>
                </c:pt>
                <c:pt idx="4">
                  <c:v>Liberecký kraj</c:v>
                </c:pt>
                <c:pt idx="5">
                  <c:v>Ústecký kraj</c:v>
                </c:pt>
                <c:pt idx="6">
                  <c:v>Pardubický kraj</c:v>
                </c:pt>
                <c:pt idx="7">
                  <c:v>Královéhradecký kraj</c:v>
                </c:pt>
                <c:pt idx="8">
                  <c:v>Jihočeský kraj</c:v>
                </c:pt>
                <c:pt idx="9">
                  <c:v>Moravskoslezský kraj</c:v>
                </c:pt>
                <c:pt idx="10">
                  <c:v>Plzeňský kraj</c:v>
                </c:pt>
                <c:pt idx="11">
                  <c:v>Jihomoravský kraj</c:v>
                </c:pt>
                <c:pt idx="12">
                  <c:v>Středočeský kraj</c:v>
                </c:pt>
                <c:pt idx="13">
                  <c:v>Hlavní město Praha</c:v>
                </c:pt>
              </c:strCache>
            </c:strRef>
          </c:cat>
          <c:val>
            <c:numRef>
              <c:f>List1!$D$2:$D$15</c:f>
              <c:numCache>
                <c:formatCode>General</c:formatCode>
                <c:ptCount val="14"/>
                <c:pt idx="0">
                  <c:v>2120</c:v>
                </c:pt>
                <c:pt idx="1">
                  <c:v>2702</c:v>
                </c:pt>
                <c:pt idx="2">
                  <c:v>3146</c:v>
                </c:pt>
                <c:pt idx="3">
                  <c:v>4138</c:v>
                </c:pt>
                <c:pt idx="4">
                  <c:v>4245</c:v>
                </c:pt>
                <c:pt idx="5">
                  <c:v>5947</c:v>
                </c:pt>
                <c:pt idx="6">
                  <c:v>6485</c:v>
                </c:pt>
                <c:pt idx="7">
                  <c:v>3571</c:v>
                </c:pt>
                <c:pt idx="8">
                  <c:v>5972</c:v>
                </c:pt>
                <c:pt idx="9">
                  <c:v>3644</c:v>
                </c:pt>
                <c:pt idx="10">
                  <c:v>12140</c:v>
                </c:pt>
                <c:pt idx="11">
                  <c:v>12447</c:v>
                </c:pt>
                <c:pt idx="12">
                  <c:v>19872</c:v>
                </c:pt>
                <c:pt idx="13">
                  <c:v>34388</c:v>
                </c:pt>
              </c:numCache>
            </c:numRef>
          </c:val>
          <c:extLst>
            <c:ext xmlns:c16="http://schemas.microsoft.com/office/drawing/2014/chart" uri="{C3380CC4-5D6E-409C-BE32-E72D297353CC}">
              <c16:uniqueId val="{00000008-0143-409B-9A48-D583329FBE01}"/>
            </c:ext>
          </c:extLst>
        </c:ser>
        <c:dLbls>
          <c:showLegendKey val="0"/>
          <c:showVal val="0"/>
          <c:showCatName val="0"/>
          <c:showSerName val="0"/>
          <c:showPercent val="0"/>
          <c:showBubbleSize val="0"/>
        </c:dLbls>
        <c:gapWidth val="150"/>
        <c:overlap val="100"/>
        <c:axId val="602838288"/>
        <c:axId val="602833584"/>
      </c:barChart>
      <c:lineChart>
        <c:grouping val="standard"/>
        <c:varyColors val="0"/>
        <c:ser>
          <c:idx val="3"/>
          <c:order val="3"/>
          <c:tx>
            <c:strRef>
              <c:f>List1!$E$1</c:f>
              <c:strCache>
                <c:ptCount val="1"/>
                <c:pt idx="0">
                  <c:v>Celkem</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dLbls>
            <c:dLbl>
              <c:idx val="0"/>
              <c:layout>
                <c:manualLayout>
                  <c:x val="-4.5796344422464455E-2"/>
                  <c:y val="-5.4761118146944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43-409B-9A48-D583329FBE01}"/>
                </c:ext>
              </c:extLst>
            </c:dLbl>
            <c:dLbl>
              <c:idx val="2"/>
              <c:layout>
                <c:manualLayout>
                  <c:x val="-4.5796344422464434E-2"/>
                  <c:y val="-5.2430115815942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43-409B-9A48-D583329FBE01}"/>
                </c:ext>
              </c:extLst>
            </c:dLbl>
            <c:dLbl>
              <c:idx val="3"/>
              <c:layout>
                <c:manualLayout>
                  <c:x val="-4.5796344422464476E-2"/>
                  <c:y val="-2.678909017491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43-409B-9A48-D583329FBE01}"/>
                </c:ext>
              </c:extLst>
            </c:dLbl>
            <c:dLbl>
              <c:idx val="5"/>
              <c:layout>
                <c:manualLayout>
                  <c:x val="-4.5796344422464434E-2"/>
                  <c:y val="-5.4761118146944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43-409B-9A48-D583329FBE01}"/>
                </c:ext>
              </c:extLst>
            </c:dLbl>
            <c:dLbl>
              <c:idx val="7"/>
              <c:layout>
                <c:manualLayout>
                  <c:x val="-4.5796344422464434E-2"/>
                  <c:y val="-6.1754125139951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43-409B-9A48-D583329FBE01}"/>
                </c:ext>
              </c:extLst>
            </c:dLbl>
            <c:dLbl>
              <c:idx val="9"/>
              <c:layout>
                <c:manualLayout>
                  <c:x val="-4.5796344422464434E-2"/>
                  <c:y val="-4.3106106491933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143-409B-9A48-D583329FBE01}"/>
                </c:ext>
              </c:extLst>
            </c:dLbl>
            <c:dLbl>
              <c:idx val="11"/>
              <c:layout>
                <c:manualLayout>
                  <c:x val="-4.8005489979830063E-2"/>
                  <c:y val="-4.310604791422349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Arial Narrow" panose="020B0606020202030204" pitchFamily="34" charset="0"/>
                        <a:ea typeface="+mn-ea"/>
                        <a:cs typeface="+mn-cs"/>
                      </a:defRPr>
                    </a:pPr>
                    <a:fld id="{288E9B5F-A553-4F40-BA32-37A81DE6E5CF}" type="VALUE">
                      <a:rPr lang="en-US" sz="900">
                        <a:ln>
                          <a:noFill/>
                        </a:ln>
                      </a:rPr>
                      <a:pPr>
                        <a:defRPr sz="1000" b="1" i="0" u="none" strike="noStrike" kern="1200" baseline="0">
                          <a:solidFill>
                            <a:sysClr val="windowText" lastClr="000000"/>
                          </a:solidFill>
                          <a:latin typeface="Arial Narrow" panose="020B0606020202030204" pitchFamily="34" charset="0"/>
                          <a:ea typeface="+mn-ea"/>
                          <a:cs typeface="+mn-cs"/>
                        </a:defRPr>
                      </a:pPr>
                      <a:t>[HODNOTA]</a:t>
                    </a:fld>
                    <a:endParaRPr lang="cs-CZ"/>
                  </a:p>
                </c:rich>
              </c:tx>
              <c:spPr>
                <a:solidFill>
                  <a:schemeClr val="lt1"/>
                </a:solidFill>
                <a:ln>
                  <a:solidFill>
                    <a:srgbClr val="C00000"/>
                  </a:solid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F-0143-409B-9A48-D583329FBE01}"/>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List1!$A$2:$A$15</c:f>
              <c:strCache>
                <c:ptCount val="14"/>
                <c:pt idx="0">
                  <c:v>Olomoucký kraj</c:v>
                </c:pt>
                <c:pt idx="1">
                  <c:v>Karlovarský kraj</c:v>
                </c:pt>
                <c:pt idx="2">
                  <c:v>Zlínský kraj</c:v>
                </c:pt>
                <c:pt idx="3">
                  <c:v>Kraj Vysočina</c:v>
                </c:pt>
                <c:pt idx="4">
                  <c:v>Liberecký kraj</c:v>
                </c:pt>
                <c:pt idx="5">
                  <c:v>Ústecký kraj</c:v>
                </c:pt>
                <c:pt idx="6">
                  <c:v>Pardubický kraj</c:v>
                </c:pt>
                <c:pt idx="7">
                  <c:v>Královéhradecký kraj</c:v>
                </c:pt>
                <c:pt idx="8">
                  <c:v>Jihočeský kraj</c:v>
                </c:pt>
                <c:pt idx="9">
                  <c:v>Moravskoslezský kraj</c:v>
                </c:pt>
                <c:pt idx="10">
                  <c:v>Plzeňský kraj</c:v>
                </c:pt>
                <c:pt idx="11">
                  <c:v>Jihomoravský kraj</c:v>
                </c:pt>
                <c:pt idx="12">
                  <c:v>Středočeský kraj</c:v>
                </c:pt>
                <c:pt idx="13">
                  <c:v>Hlavní město Praha</c:v>
                </c:pt>
              </c:strCache>
            </c:strRef>
          </c:cat>
          <c:val>
            <c:numRef>
              <c:f>List1!$E$2:$E$15</c:f>
              <c:numCache>
                <c:formatCode>General</c:formatCode>
                <c:ptCount val="14"/>
                <c:pt idx="0">
                  <c:v>15895</c:v>
                </c:pt>
                <c:pt idx="1">
                  <c:v>18804</c:v>
                </c:pt>
                <c:pt idx="2">
                  <c:v>18972</c:v>
                </c:pt>
                <c:pt idx="3">
                  <c:v>19339</c:v>
                </c:pt>
                <c:pt idx="4">
                  <c:v>24627</c:v>
                </c:pt>
                <c:pt idx="5">
                  <c:v>26971</c:v>
                </c:pt>
                <c:pt idx="6">
                  <c:v>29395</c:v>
                </c:pt>
                <c:pt idx="7">
                  <c:v>29560</c:v>
                </c:pt>
                <c:pt idx="8">
                  <c:v>31202</c:v>
                </c:pt>
                <c:pt idx="9">
                  <c:v>38060</c:v>
                </c:pt>
                <c:pt idx="10">
                  <c:v>77289</c:v>
                </c:pt>
                <c:pt idx="11">
                  <c:v>91375</c:v>
                </c:pt>
                <c:pt idx="12">
                  <c:v>135134</c:v>
                </c:pt>
                <c:pt idx="13">
                  <c:v>236665</c:v>
                </c:pt>
              </c:numCache>
            </c:numRef>
          </c:val>
          <c:smooth val="0"/>
          <c:extLst>
            <c:ext xmlns:c16="http://schemas.microsoft.com/office/drawing/2014/chart" uri="{C3380CC4-5D6E-409C-BE32-E72D297353CC}">
              <c16:uniqueId val="{00000010-0143-409B-9A48-D583329FBE01}"/>
            </c:ext>
          </c:extLst>
        </c:ser>
        <c:dLbls>
          <c:showLegendKey val="0"/>
          <c:showVal val="0"/>
          <c:showCatName val="0"/>
          <c:showSerName val="0"/>
          <c:showPercent val="0"/>
          <c:showBubbleSize val="0"/>
        </c:dLbls>
        <c:marker val="1"/>
        <c:smooth val="0"/>
        <c:axId val="602838288"/>
        <c:axId val="602833584"/>
      </c:lineChart>
      <c:catAx>
        <c:axId val="6028382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602833584"/>
        <c:crosses val="autoZero"/>
        <c:auto val="1"/>
        <c:lblAlgn val="ctr"/>
        <c:lblOffset val="100"/>
        <c:noMultiLvlLbl val="0"/>
      </c:catAx>
      <c:valAx>
        <c:axId val="602833584"/>
        <c:scaling>
          <c:orientation val="minMax"/>
          <c:max val="240000"/>
          <c:min val="0"/>
        </c:scaling>
        <c:delete val="0"/>
        <c:axPos val="l"/>
        <c:majorGridlines>
          <c:spPr>
            <a:ln w="9525" cap="flat" cmpd="sng" algn="ctr">
              <a:solidFill>
                <a:schemeClr val="lt1">
                  <a:lumMod val="95000"/>
                  <a:alpha val="1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602838288"/>
        <c:crosses val="autoZero"/>
        <c:crossBetween val="between"/>
        <c:majorUnit val="20000"/>
      </c:valAx>
      <c:spPr>
        <a:noFill/>
        <a:ln>
          <a:noFill/>
        </a:ln>
        <a:effectLst/>
      </c:spPr>
    </c:plotArea>
    <c:legend>
      <c:legendPos val="b"/>
      <c:layout>
        <c:manualLayout>
          <c:xMode val="edge"/>
          <c:yMode val="edge"/>
          <c:x val="0"/>
          <c:y val="0.87046122917123081"/>
          <c:w val="1"/>
          <c:h val="0.118894936403842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all" baseline="0">
                <a:solidFill>
                  <a:sysClr val="windowText" lastClr="000000"/>
                </a:solidFill>
                <a:effectLst/>
                <a:latin typeface="Arial Narrow" panose="020B0606020202030204" pitchFamily="34" charset="0"/>
                <a:ea typeface="+mn-ea"/>
                <a:cs typeface="+mn-cs"/>
              </a:defRPr>
            </a:pPr>
            <a:r>
              <a:rPr lang="cs-CZ" sz="1000" b="1" cap="none">
                <a:effectLst/>
              </a:rPr>
              <a:t>Zaměstnanost</a:t>
            </a:r>
            <a:r>
              <a:rPr lang="cs-CZ" sz="1000" b="1" cap="none" baseline="0">
                <a:effectLst/>
              </a:rPr>
              <a:t> </a:t>
            </a:r>
            <a:r>
              <a:rPr lang="cs-CZ" sz="1000" b="1" i="0" u="none" strike="noStrike" cap="none" baseline="0">
                <a:effectLst/>
              </a:rPr>
              <a:t>osob s jinou než českou státní příslušností  v Jihomoravském kraji</a:t>
            </a:r>
            <a:r>
              <a:rPr lang="cs-CZ" sz="1000" b="1" cap="none" baseline="0">
                <a:effectLst/>
              </a:rPr>
              <a:t> dle okresů k 31. 12. 2022</a:t>
            </a:r>
            <a:endParaRPr lang="cs-CZ" sz="1000" b="1" cap="none">
              <a:effectLst/>
            </a:endParaRPr>
          </a:p>
        </c:rich>
      </c:tx>
      <c:layout>
        <c:manualLayout>
          <c:xMode val="edge"/>
          <c:yMode val="edge"/>
          <c:x val="0.14126940258295528"/>
          <c:y val="2.0991055296558186E-2"/>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53645860492604"/>
          <c:y val="6.4312771714346503E-2"/>
          <c:w val="0.85700057360379622"/>
          <c:h val="0.92996726760506288"/>
        </c:manualLayout>
      </c:layout>
      <c:bar3DChart>
        <c:barDir val="bar"/>
        <c:grouping val="clustered"/>
        <c:varyColors val="0"/>
        <c:ser>
          <c:idx val="0"/>
          <c:order val="0"/>
          <c:tx>
            <c:strRef>
              <c:f>List1!$B$1</c:f>
              <c:strCache>
                <c:ptCount val="1"/>
                <c:pt idx="0">
                  <c:v>evidovaní na úřadech práce </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bg1"/>
              </a:solidFill>
              <a:ln>
                <a:solidFill>
                  <a:schemeClr val="lt1">
                    <a:alpha val="50000"/>
                  </a:schemeClr>
                </a:solidFill>
                <a:round/>
              </a:ln>
              <a:effectLst/>
            </c:spPr>
            <c:txPr>
              <a:bodyPr rot="0" spcFirstLastPara="1" vertOverflow="ellipsis" vert="horz" wrap="square" lIns="36000" tIns="0" rIns="3600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List1!$A$2:$A$8</c:f>
              <c:strCache>
                <c:ptCount val="7"/>
                <c:pt idx="0">
                  <c:v>Znojmo</c:v>
                </c:pt>
                <c:pt idx="1">
                  <c:v>Vyškov</c:v>
                </c:pt>
                <c:pt idx="2">
                  <c:v>Blansko</c:v>
                </c:pt>
                <c:pt idx="3">
                  <c:v>Hodonín</c:v>
                </c:pt>
                <c:pt idx="4">
                  <c:v>Břeclav</c:v>
                </c:pt>
                <c:pt idx="5">
                  <c:v>Brno-venkov</c:v>
                </c:pt>
                <c:pt idx="6">
                  <c:v>Brno-město</c:v>
                </c:pt>
              </c:strCache>
            </c:strRef>
          </c:cat>
          <c:val>
            <c:numRef>
              <c:f>List1!$B$2:$B$8</c:f>
              <c:numCache>
                <c:formatCode>#\ ##0_ ;\-#\ ##0\ ;\-\ </c:formatCode>
                <c:ptCount val="7"/>
                <c:pt idx="0">
                  <c:v>2110</c:v>
                </c:pt>
                <c:pt idx="1">
                  <c:v>2634</c:v>
                </c:pt>
                <c:pt idx="2">
                  <c:v>2990</c:v>
                </c:pt>
                <c:pt idx="3">
                  <c:v>3935</c:v>
                </c:pt>
                <c:pt idx="4">
                  <c:v>6441</c:v>
                </c:pt>
                <c:pt idx="5">
                  <c:v>13851</c:v>
                </c:pt>
                <c:pt idx="6">
                  <c:v>59414</c:v>
                </c:pt>
              </c:numCache>
            </c:numRef>
          </c:val>
          <c:shape val="cylinder"/>
          <c:extLst>
            <c:ext xmlns:c16="http://schemas.microsoft.com/office/drawing/2014/chart" uri="{C3380CC4-5D6E-409C-BE32-E72D297353CC}">
              <c16:uniqueId val="{00000000-8718-495B-84A2-239CA26E918F}"/>
            </c:ext>
          </c:extLst>
        </c:ser>
        <c:ser>
          <c:idx val="1"/>
          <c:order val="1"/>
          <c:tx>
            <c:strRef>
              <c:f>List1!$C$1</c:f>
              <c:strCache>
                <c:ptCount val="1"/>
                <c:pt idx="0">
                  <c:v>s platným živnostenským oprávněním</c:v>
                </c:pt>
              </c:strCache>
            </c:strRef>
          </c:tx>
          <c:spPr>
            <a:solidFill>
              <a:schemeClr val="accent2"/>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bg1"/>
              </a:solidFill>
              <a:ln>
                <a:solidFill>
                  <a:schemeClr val="lt1">
                    <a:alpha val="50000"/>
                  </a:schemeClr>
                </a:solidFill>
                <a:round/>
              </a:ln>
              <a:effectLst/>
            </c:spPr>
            <c:txPr>
              <a:bodyPr rot="0" spcFirstLastPara="1" vertOverflow="ellipsis" vert="horz" wrap="square" lIns="36000" tIns="0" rIns="3600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List1!$A$2:$A$8</c:f>
              <c:strCache>
                <c:ptCount val="7"/>
                <c:pt idx="0">
                  <c:v>Znojmo</c:v>
                </c:pt>
                <c:pt idx="1">
                  <c:v>Vyškov</c:v>
                </c:pt>
                <c:pt idx="2">
                  <c:v>Blansko</c:v>
                </c:pt>
                <c:pt idx="3">
                  <c:v>Hodonín</c:v>
                </c:pt>
                <c:pt idx="4">
                  <c:v>Břeclav</c:v>
                </c:pt>
                <c:pt idx="5">
                  <c:v>Brno-venkov</c:v>
                </c:pt>
                <c:pt idx="6">
                  <c:v>Brno-město</c:v>
                </c:pt>
              </c:strCache>
            </c:strRef>
          </c:cat>
          <c:val>
            <c:numRef>
              <c:f>List1!$C$2:$C$8</c:f>
              <c:numCache>
                <c:formatCode>#\ ##0_ ;\-#\ ##0\ </c:formatCode>
                <c:ptCount val="7"/>
                <c:pt idx="0">
                  <c:v>535</c:v>
                </c:pt>
                <c:pt idx="1">
                  <c:v>456</c:v>
                </c:pt>
                <c:pt idx="2">
                  <c:v>435</c:v>
                </c:pt>
                <c:pt idx="3">
                  <c:v>532</c:v>
                </c:pt>
                <c:pt idx="4">
                  <c:v>582</c:v>
                </c:pt>
                <c:pt idx="5">
                  <c:v>889</c:v>
                </c:pt>
                <c:pt idx="6">
                  <c:v>5613</c:v>
                </c:pt>
              </c:numCache>
            </c:numRef>
          </c:val>
          <c:shape val="cylinder"/>
          <c:extLst>
            <c:ext xmlns:c16="http://schemas.microsoft.com/office/drawing/2014/chart" uri="{C3380CC4-5D6E-409C-BE32-E72D297353CC}">
              <c16:uniqueId val="{00000001-8718-495B-84A2-239CA26E918F}"/>
            </c:ext>
          </c:extLst>
        </c:ser>
        <c:dLbls>
          <c:showLegendKey val="0"/>
          <c:showVal val="1"/>
          <c:showCatName val="0"/>
          <c:showSerName val="0"/>
          <c:showPercent val="0"/>
          <c:showBubbleSize val="0"/>
        </c:dLbls>
        <c:gapWidth val="84"/>
        <c:gapDepth val="53"/>
        <c:shape val="box"/>
        <c:axId val="438032896"/>
        <c:axId val="438034856"/>
        <c:axId val="0"/>
      </c:bar3DChart>
      <c:catAx>
        <c:axId val="43803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34856"/>
        <c:crosses val="autoZero"/>
        <c:auto val="1"/>
        <c:lblAlgn val="ctr"/>
        <c:lblOffset val="100"/>
        <c:noMultiLvlLbl val="0"/>
      </c:catAx>
      <c:valAx>
        <c:axId val="438034856"/>
        <c:scaling>
          <c:orientation val="minMax"/>
        </c:scaling>
        <c:delete val="1"/>
        <c:axPos val="b"/>
        <c:numFmt formatCode="#\ ##0_ ;\-#\ ##0\ ;\-\ " sourceLinked="1"/>
        <c:majorTickMark val="out"/>
        <c:minorTickMark val="none"/>
        <c:tickLblPos val="nextTo"/>
        <c:crossAx val="438032896"/>
        <c:crosses val="autoZero"/>
        <c:crossBetween val="between"/>
      </c:valAx>
      <c:spPr>
        <a:noFill/>
        <a:ln>
          <a:noFill/>
        </a:ln>
        <a:effectLst/>
      </c:spPr>
    </c:plotArea>
    <c:legend>
      <c:legendPos val="t"/>
      <c:layout>
        <c:manualLayout>
          <c:xMode val="edge"/>
          <c:yMode val="edge"/>
          <c:x val="0.26539114902303879"/>
          <c:y val="0.91178571428571431"/>
          <c:w val="0.73460882197266586"/>
          <c:h val="6.1279391800162911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sz="1000">
          <a:solidFill>
            <a:sysClr val="windowText" lastClr="000000"/>
          </a:solidFill>
          <a:latin typeface="Arial Narrow" panose="020B0606020202030204" pitchFamily="34" charset="0"/>
        </a:defRPr>
      </a:pPr>
      <a:endParaRPr lang="cs-CZ"/>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a:effectLst/>
              </a:rPr>
              <a:t>Vývoj počtu osob</a:t>
            </a:r>
            <a:r>
              <a:rPr lang="cs-CZ" sz="1000" b="1" baseline="0">
                <a:effectLst/>
              </a:rPr>
              <a:t> s jinou než českou státní příslušností v JMK evidovaných na úřadech práce podle typu pracovního oprávnění v letech 2014-2022</a:t>
            </a:r>
            <a:endParaRPr lang="cs-CZ" sz="1000">
              <a:effectLst/>
            </a:endParaRPr>
          </a:p>
        </c:rich>
      </c:tx>
      <c:layout>
        <c:manualLayout>
          <c:xMode val="edge"/>
          <c:yMode val="edge"/>
          <c:x val="0.11765126581399547"/>
          <c:y val="0"/>
        </c:manualLayout>
      </c:layout>
      <c:overlay val="0"/>
      <c:spPr>
        <a:noFill/>
        <a:ln>
          <a:noFill/>
        </a:ln>
        <a:effectLst/>
      </c:spPr>
    </c:title>
    <c:autoTitleDeleted val="0"/>
    <c:plotArea>
      <c:layout>
        <c:manualLayout>
          <c:layoutTarget val="inner"/>
          <c:xMode val="edge"/>
          <c:yMode val="edge"/>
          <c:x val="5.8946971906289489E-2"/>
          <c:y val="0.12376778326438011"/>
          <c:w val="0.9410530280937105"/>
          <c:h val="0.6113926776102141"/>
        </c:manualLayout>
      </c:layout>
      <c:lineChart>
        <c:grouping val="standard"/>
        <c:varyColors val="0"/>
        <c:ser>
          <c:idx val="0"/>
          <c:order val="0"/>
          <c:tx>
            <c:strRef>
              <c:f>List1!$B$1</c:f>
              <c:strCache>
                <c:ptCount val="1"/>
                <c:pt idx="0">
                  <c:v>Oprávnění (zaměstnanecké karty, modré karty, povolení k zaměstnání)</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5">
                  <a:lumMod val="20000"/>
                  <a:lumOff val="80000"/>
                </a:schemeClr>
              </a:solidFill>
            </c:spPr>
            <c:txPr>
              <a:bodyPr/>
              <a:lstStyle/>
              <a:p>
                <a:pPr>
                  <a:defRPr sz="900"/>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List1!$B$2:$B$9</c:f>
              <c:numCache>
                <c:formatCode>0</c:formatCode>
                <c:ptCount val="8"/>
                <c:pt idx="0">
                  <c:v>1275</c:v>
                </c:pt>
                <c:pt idx="1">
                  <c:v>2470</c:v>
                </c:pt>
                <c:pt idx="2">
                  <c:v>4319</c:v>
                </c:pt>
                <c:pt idx="3">
                  <c:v>7018</c:v>
                </c:pt>
                <c:pt idx="4">
                  <c:v>8703</c:v>
                </c:pt>
                <c:pt idx="5">
                  <c:v>10720</c:v>
                </c:pt>
                <c:pt idx="6">
                  <c:v>13727</c:v>
                </c:pt>
                <c:pt idx="7" formatCode="General">
                  <c:v>12447</c:v>
                </c:pt>
              </c:numCache>
            </c:numRef>
          </c:val>
          <c:smooth val="0"/>
          <c:extLst>
            <c:ext xmlns:c16="http://schemas.microsoft.com/office/drawing/2014/chart" uri="{C3380CC4-5D6E-409C-BE32-E72D297353CC}">
              <c16:uniqueId val="{00000000-D642-42E6-A62E-2834DA80B7B5}"/>
            </c:ext>
          </c:extLst>
        </c:ser>
        <c:ser>
          <c:idx val="1"/>
          <c:order val="1"/>
          <c:tx>
            <c:strRef>
              <c:f>List1!$C$1</c:f>
              <c:strCache>
                <c:ptCount val="1"/>
                <c:pt idx="0">
                  <c:v>Informace - občané EU/EHP a Švýcarska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spPr>
                <a:solidFill>
                  <a:schemeClr val="accent2">
                    <a:lumMod val="20000"/>
                    <a:lumOff val="80000"/>
                  </a:schemeClr>
                </a:solidFill>
              </c:spPr>
              <c:txPr>
                <a:bodyPr/>
                <a:lstStyle/>
                <a:p>
                  <a:pPr>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36DC-4E6C-96E9-4358F2AA18EB}"/>
                </c:ext>
              </c:extLst>
            </c:dLbl>
            <c:spPr>
              <a:solidFill>
                <a:schemeClr val="accent2">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List1!$C$2:$C$9</c:f>
              <c:numCache>
                <c:formatCode>0</c:formatCode>
                <c:ptCount val="8"/>
                <c:pt idx="0">
                  <c:v>30125</c:v>
                </c:pt>
                <c:pt idx="1">
                  <c:v>34514</c:v>
                </c:pt>
                <c:pt idx="2">
                  <c:v>37701</c:v>
                </c:pt>
                <c:pt idx="3">
                  <c:v>41075</c:v>
                </c:pt>
                <c:pt idx="4">
                  <c:v>43488</c:v>
                </c:pt>
                <c:pt idx="5">
                  <c:v>45655</c:v>
                </c:pt>
                <c:pt idx="6">
                  <c:v>48318</c:v>
                </c:pt>
                <c:pt idx="7" formatCode="General">
                  <c:v>50893</c:v>
                </c:pt>
              </c:numCache>
            </c:numRef>
          </c:val>
          <c:smooth val="0"/>
          <c:extLst>
            <c:ext xmlns:c16="http://schemas.microsoft.com/office/drawing/2014/chart" uri="{C3380CC4-5D6E-409C-BE32-E72D297353CC}">
              <c16:uniqueId val="{00000002-D642-42E6-A62E-2834DA80B7B5}"/>
            </c:ext>
          </c:extLst>
        </c:ser>
        <c:ser>
          <c:idx val="2"/>
          <c:order val="2"/>
          <c:tx>
            <c:strRef>
              <c:f>List1!$D$1</c:f>
              <c:strCache>
                <c:ptCount val="1"/>
                <c:pt idx="0">
                  <c:v>Informace - občané třetích zemí, kteří nepotřebují povolení</c:v>
                </c:pt>
              </c:strCache>
            </c:strRef>
          </c:tx>
          <c:spPr>
            <a:ln w="28575">
              <a:solidFill>
                <a:schemeClr val="accent6"/>
              </a:solidFill>
            </a:ln>
          </c:spPr>
          <c:marker>
            <c:symbol val="circle"/>
            <c:size val="5"/>
            <c:spPr>
              <a:solidFill>
                <a:schemeClr val="accent6"/>
              </a:solidFill>
              <a:ln>
                <a:solidFill>
                  <a:schemeClr val="accent6"/>
                </a:solidFill>
              </a:ln>
            </c:spPr>
          </c:marker>
          <c:dLbls>
            <c:spPr>
              <a:solidFill>
                <a:schemeClr val="accent6">
                  <a:lumMod val="20000"/>
                  <a:lumOff val="80000"/>
                </a:schemeClr>
              </a:solidFill>
            </c:spPr>
            <c:txPr>
              <a:bodyPr/>
              <a:lstStyle/>
              <a:p>
                <a:pPr>
                  <a:defRPr sz="900"/>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List1!$A$2:$A$9</c:f>
              <c:numCache>
                <c:formatCode>General</c:formatCode>
                <c:ptCount val="8"/>
                <c:pt idx="0">
                  <c:v>2015</c:v>
                </c:pt>
                <c:pt idx="1">
                  <c:v>2016</c:v>
                </c:pt>
                <c:pt idx="2">
                  <c:v>2017</c:v>
                </c:pt>
                <c:pt idx="3">
                  <c:v>2018</c:v>
                </c:pt>
                <c:pt idx="4">
                  <c:v>2019</c:v>
                </c:pt>
                <c:pt idx="5">
                  <c:v>2020</c:v>
                </c:pt>
                <c:pt idx="6">
                  <c:v>2021</c:v>
                </c:pt>
                <c:pt idx="7">
                  <c:v>2022</c:v>
                </c:pt>
              </c:numCache>
            </c:numRef>
          </c:cat>
          <c:val>
            <c:numRef>
              <c:f>List1!$D$2:$D$9</c:f>
              <c:numCache>
                <c:formatCode>0</c:formatCode>
                <c:ptCount val="8"/>
                <c:pt idx="0">
                  <c:v>6316</c:v>
                </c:pt>
                <c:pt idx="1">
                  <c:v>8042</c:v>
                </c:pt>
                <c:pt idx="2">
                  <c:v>9876</c:v>
                </c:pt>
                <c:pt idx="3">
                  <c:v>11052</c:v>
                </c:pt>
                <c:pt idx="4">
                  <c:v>12172</c:v>
                </c:pt>
                <c:pt idx="5">
                  <c:v>13492</c:v>
                </c:pt>
                <c:pt idx="6">
                  <c:v>15156</c:v>
                </c:pt>
                <c:pt idx="7" formatCode="General">
                  <c:v>28035</c:v>
                </c:pt>
              </c:numCache>
            </c:numRef>
          </c:val>
          <c:smooth val="0"/>
          <c:extLst>
            <c:ext xmlns:c16="http://schemas.microsoft.com/office/drawing/2014/chart" uri="{C3380CC4-5D6E-409C-BE32-E72D297353CC}">
              <c16:uniqueId val="{00000003-D642-42E6-A62E-2834DA80B7B5}"/>
            </c:ext>
          </c:extLst>
        </c:ser>
        <c:dLbls>
          <c:showLegendKey val="0"/>
          <c:showVal val="0"/>
          <c:showCatName val="0"/>
          <c:showSerName val="0"/>
          <c:showPercent val="0"/>
          <c:showBubbleSize val="0"/>
        </c:dLbls>
        <c:marker val="1"/>
        <c:smooth val="0"/>
        <c:axId val="438035640"/>
        <c:axId val="438036032"/>
      </c:lineChart>
      <c:catAx>
        <c:axId val="438035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36032"/>
        <c:crosses val="autoZero"/>
        <c:auto val="1"/>
        <c:lblAlgn val="ctr"/>
        <c:lblOffset val="100"/>
        <c:noMultiLvlLbl val="0"/>
      </c:catAx>
      <c:valAx>
        <c:axId val="438036032"/>
        <c:scaling>
          <c:orientation val="minMax"/>
          <c:max val="55000"/>
          <c:min val="1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38035640"/>
        <c:crosses val="autoZero"/>
        <c:crossBetween val="between"/>
      </c:valAx>
      <c:spPr>
        <a:noFill/>
        <a:ln>
          <a:noFill/>
        </a:ln>
        <a:effectLst/>
      </c:spPr>
    </c:plotArea>
    <c:legend>
      <c:legendPos val="b"/>
      <c:layout>
        <c:manualLayout>
          <c:xMode val="edge"/>
          <c:yMode val="edge"/>
          <c:x val="1.1078649890985849E-2"/>
          <c:y val="0.81869121289416291"/>
          <c:w val="0.96840828924162237"/>
          <c:h val="0.180104247532438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Osoby s jinou než českou státní příslušností evidovaní na úřadech práce podle typu registrace v okrese BLANSKO k 31. 12. 2022</a:t>
            </a:r>
          </a:p>
        </c:rich>
      </c:tx>
      <c:layout>
        <c:manualLayout>
          <c:xMode val="edge"/>
          <c:yMode val="edge"/>
          <c:x val="0.14905309250136833"/>
          <c:y val="4.8661800486618006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184185310169566E-2"/>
          <c:y val="0.20455957498066366"/>
          <c:w val="0.94874703162104723"/>
          <c:h val="0.62646785093892254"/>
        </c:manualLayout>
      </c:layout>
      <c:pie3DChart>
        <c:varyColors val="1"/>
        <c:ser>
          <c:idx val="0"/>
          <c:order val="0"/>
          <c:tx>
            <c:strRef>
              <c:f>List1!$B$1</c:f>
              <c:strCache>
                <c:ptCount val="1"/>
                <c:pt idx="0">
                  <c:v>Okres Blansko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AB-499B-8D8D-2DA9E37C02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AB-499B-8D8D-2DA9E37C02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AB-499B-8D8D-2DA9E37C021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5AB-499B-8D8D-2DA9E37C0215}"/>
              </c:ext>
            </c:extLst>
          </c:dPt>
          <c:dLbls>
            <c:dLbl>
              <c:idx val="0"/>
              <c:layout>
                <c:manualLayout>
                  <c:x val="-0.13252533088536347"/>
                  <c:y val="-0.12540529149184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AB-499B-8D8D-2DA9E37C0215}"/>
                </c:ext>
              </c:extLst>
            </c:dLbl>
            <c:dLbl>
              <c:idx val="1"/>
              <c:layout>
                <c:manualLayout>
                  <c:x val="0.1008953741893374"/>
                  <c:y val="5.25589104106412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AB-499B-8D8D-2DA9E37C0215}"/>
                </c:ext>
              </c:extLst>
            </c:dLbl>
            <c:dLbl>
              <c:idx val="2"/>
              <c:layout>
                <c:manualLayout>
                  <c:x val="3.5164007276868171E-2"/>
                  <c:y val="5.345556443125768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AB-499B-8D8D-2DA9E37C0215}"/>
                </c:ext>
              </c:extLst>
            </c:dLbl>
            <c:dLbl>
              <c:idx val="3"/>
              <c:layout>
                <c:manualLayout>
                  <c:x val="1.6235296976766792E-2"/>
                  <c:y val="2.62202216146652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AB-499B-8D8D-2DA9E37C021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4"/>
                <c:pt idx="0">
                  <c:v>Občané EU/EHP + Švýcarska v postavení zaměstnanců</c:v>
                </c:pt>
                <c:pt idx="1">
                  <c:v>Cizinci, kteří nepotřebují povolení k zaměstnání</c:v>
                </c:pt>
                <c:pt idx="2">
                  <c:v>Zaměstnanecké karty</c:v>
                </c:pt>
                <c:pt idx="3">
                  <c:v>Platné povolení k zaměstnání</c:v>
                </c:pt>
              </c:strCache>
            </c:strRef>
          </c:cat>
          <c:val>
            <c:numRef>
              <c:f>List1!$B$2:$B$5</c:f>
              <c:numCache>
                <c:formatCode>General</c:formatCode>
                <c:ptCount val="4"/>
                <c:pt idx="0">
                  <c:v>1497</c:v>
                </c:pt>
                <c:pt idx="1">
                  <c:v>1111</c:v>
                </c:pt>
                <c:pt idx="2">
                  <c:v>364</c:v>
                </c:pt>
                <c:pt idx="3">
                  <c:v>16</c:v>
                </c:pt>
              </c:numCache>
            </c:numRef>
          </c:val>
          <c:extLst>
            <c:ext xmlns:c16="http://schemas.microsoft.com/office/drawing/2014/chart" uri="{C3380CC4-5D6E-409C-BE32-E72D297353CC}">
              <c16:uniqueId val="{00000008-35AB-499B-8D8D-2DA9E37C0215}"/>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5.4050535349747944E-3"/>
          <c:y val="0.84860576977234059"/>
          <c:w val="0.9928732866724993"/>
          <c:h val="0.146973066134973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cs-CZ"/>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Osoby s jinou než českou státní příslušností evidovaní na úřadech práce podle typu registrace v okrese BŘECLAV k 31. 12. 2022</a:t>
            </a:r>
          </a:p>
        </c:rich>
      </c:tx>
      <c:layout>
        <c:manualLayout>
          <c:xMode val="edge"/>
          <c:yMode val="edge"/>
          <c:x val="0.14905309250136833"/>
          <c:y val="4.8661800486618006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388770848088437E-2"/>
          <c:y val="0.17976274619215904"/>
          <c:w val="0.96638371592439831"/>
          <c:h val="0.64554198441730215"/>
        </c:manualLayout>
      </c:layout>
      <c:pie3DChart>
        <c:varyColors val="1"/>
        <c:ser>
          <c:idx val="0"/>
          <c:order val="0"/>
          <c:tx>
            <c:strRef>
              <c:f>List1!$B$1</c:f>
              <c:strCache>
                <c:ptCount val="1"/>
                <c:pt idx="0">
                  <c:v>Okres Břeclav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60-4260-9375-62FF9CAC59A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60-4260-9375-62FF9CAC59A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60-4260-9375-62FF9CAC59A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60-4260-9375-62FF9CAC59A6}"/>
              </c:ext>
            </c:extLst>
          </c:dPt>
          <c:dLbls>
            <c:dLbl>
              <c:idx val="0"/>
              <c:layout>
                <c:manualLayout>
                  <c:x val="-0.13252533088536347"/>
                  <c:y val="-0.12540529149184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60-4260-9375-62FF9CAC59A6}"/>
                </c:ext>
              </c:extLst>
            </c:dLbl>
            <c:dLbl>
              <c:idx val="1"/>
              <c:layout>
                <c:manualLayout>
                  <c:x val="0.1008953741893374"/>
                  <c:y val="5.25589104106412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60-4260-9375-62FF9CAC59A6}"/>
                </c:ext>
              </c:extLst>
            </c:dLbl>
            <c:dLbl>
              <c:idx val="2"/>
              <c:layout>
                <c:manualLayout>
                  <c:x val="4.8391520504381398E-2"/>
                  <c:y val="5.345532494544526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60-4260-9375-62FF9CAC59A6}"/>
                </c:ext>
              </c:extLst>
            </c:dLbl>
            <c:dLbl>
              <c:idx val="3"/>
              <c:layout>
                <c:manualLayout>
                  <c:x val="4.0485737893874378E-2"/>
                  <c:y val="4.399790026246719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60-4260-9375-62FF9CAC59A6}"/>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4"/>
                <c:pt idx="0">
                  <c:v>Občané EU/EHP + Švýcarska v postavení zaměstnanců</c:v>
                </c:pt>
                <c:pt idx="1">
                  <c:v>Cizinci, kteří nepotřebují povolení k zaměstnání</c:v>
                </c:pt>
                <c:pt idx="2">
                  <c:v>Zaměstnanecké karty</c:v>
                </c:pt>
                <c:pt idx="3">
                  <c:v>Platné povolení k zaměstnání</c:v>
                </c:pt>
              </c:strCache>
            </c:strRef>
          </c:cat>
          <c:val>
            <c:numRef>
              <c:f>List1!$B$2:$B$5</c:f>
              <c:numCache>
                <c:formatCode>General</c:formatCode>
                <c:ptCount val="4"/>
                <c:pt idx="0">
                  <c:v>4224</c:v>
                </c:pt>
                <c:pt idx="1">
                  <c:v>1523</c:v>
                </c:pt>
                <c:pt idx="2">
                  <c:v>665</c:v>
                </c:pt>
                <c:pt idx="3">
                  <c:v>29</c:v>
                </c:pt>
              </c:numCache>
            </c:numRef>
          </c:val>
          <c:extLst>
            <c:ext xmlns:c16="http://schemas.microsoft.com/office/drawing/2014/chart" uri="{C3380CC4-5D6E-409C-BE32-E72D297353CC}">
              <c16:uniqueId val="{00000008-4760-4260-9375-62FF9CAC59A6}"/>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1.422339568665028E-2"/>
          <c:y val="0.81999355569404597"/>
          <c:w val="0.97303204989284597"/>
          <c:h val="0.1755853491286562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cs-CZ"/>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Osoby s jinou než českou státní příslušností evidovaní na úřadech práce podle typu registrace v okrese BRNO-MĚSTO k 31. 12. 2022</a:t>
            </a:r>
          </a:p>
        </c:rich>
      </c:tx>
      <c:layout>
        <c:manualLayout>
          <c:xMode val="edge"/>
          <c:yMode val="edge"/>
          <c:x val="0.14905309250136833"/>
          <c:y val="4.8661800486618006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979599772250691E-2"/>
          <c:y val="0.18686973338858962"/>
          <c:w val="0.97520205807607385"/>
          <c:h val="0.6555918971667003"/>
        </c:manualLayout>
      </c:layout>
      <c:pie3DChart>
        <c:varyColors val="1"/>
        <c:ser>
          <c:idx val="0"/>
          <c:order val="0"/>
          <c:tx>
            <c:strRef>
              <c:f>List1!$B$1</c:f>
              <c:strCache>
                <c:ptCount val="1"/>
                <c:pt idx="0">
                  <c:v>Okres BRNO-MĚSTO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45-41F0-AA61-E0A9EA52F1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45-41F0-AA61-E0A9EA52F19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45-41F0-AA61-E0A9EA52F19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45-41F0-AA61-E0A9EA52F195}"/>
              </c:ext>
            </c:extLst>
          </c:dPt>
          <c:dLbls>
            <c:dLbl>
              <c:idx val="0"/>
              <c:layout>
                <c:manualLayout>
                  <c:x val="-0.13252533088536347"/>
                  <c:y val="-0.12540529149184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45-41F0-AA61-E0A9EA52F195}"/>
                </c:ext>
              </c:extLst>
            </c:dLbl>
            <c:dLbl>
              <c:idx val="1"/>
              <c:layout>
                <c:manualLayout>
                  <c:x val="0.1008953741893374"/>
                  <c:y val="5.25589104106412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45-41F0-AA61-E0A9EA52F195}"/>
                </c:ext>
              </c:extLst>
            </c:dLbl>
            <c:dLbl>
              <c:idx val="2"/>
              <c:layout>
                <c:manualLayout>
                  <c:x val="4.8391520504381398E-2"/>
                  <c:y val="5.345532494544526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45-41F0-AA61-E0A9EA52F195}"/>
                </c:ext>
              </c:extLst>
            </c:dLbl>
            <c:dLbl>
              <c:idx val="3"/>
              <c:layout>
                <c:manualLayout>
                  <c:x val="1.6235296976766792E-2"/>
                  <c:y val="2.62202216146652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C45-41F0-AA61-E0A9EA52F19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4"/>
                <c:pt idx="0">
                  <c:v>Občané EU/EHP + Švýcarska v postavení zaměstnanců</c:v>
                </c:pt>
                <c:pt idx="1">
                  <c:v>Cizinci, kteří nepotřebují povolení k zaměstnání</c:v>
                </c:pt>
                <c:pt idx="2">
                  <c:v>Zaměstnanecké karty</c:v>
                </c:pt>
                <c:pt idx="3">
                  <c:v>Platné povolení k zaměstnání</c:v>
                </c:pt>
              </c:strCache>
            </c:strRef>
          </c:cat>
          <c:val>
            <c:numRef>
              <c:f>List1!$B$2:$B$5</c:f>
              <c:numCache>
                <c:formatCode>General</c:formatCode>
                <c:ptCount val="4"/>
                <c:pt idx="0">
                  <c:v>34214</c:v>
                </c:pt>
                <c:pt idx="1">
                  <c:v>17782</c:v>
                </c:pt>
                <c:pt idx="2">
                  <c:v>7197</c:v>
                </c:pt>
                <c:pt idx="3">
                  <c:v>155</c:v>
                </c:pt>
              </c:numCache>
            </c:numRef>
          </c:val>
          <c:extLst>
            <c:ext xmlns:c16="http://schemas.microsoft.com/office/drawing/2014/chart" uri="{C3380CC4-5D6E-409C-BE32-E72D297353CC}">
              <c16:uniqueId val="{00000008-BC45-41F0-AA61-E0A9EA52F195}"/>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1.422339568665028E-2"/>
          <c:y val="0.84848374722390463"/>
          <c:w val="0.97303204989284597"/>
          <c:h val="0.147095138748682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cs-CZ"/>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Osoby s jinou než českou státní příslušností evidovaní na úřadech práce podle typu registrace v okrese BRNO-VENKOV k 31. 12. 2022</a:t>
            </a:r>
          </a:p>
        </c:rich>
      </c:tx>
      <c:layout>
        <c:manualLayout>
          <c:xMode val="edge"/>
          <c:yMode val="edge"/>
          <c:x val="0.14905309250136833"/>
          <c:y val="4.8661800486618006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520865447374638E-3"/>
          <c:y val="0.18785444192357309"/>
          <c:w val="0.99063415684150591"/>
          <c:h val="0.66128998026190122"/>
        </c:manualLayout>
      </c:layout>
      <c:pie3DChart>
        <c:varyColors val="1"/>
        <c:ser>
          <c:idx val="0"/>
          <c:order val="0"/>
          <c:tx>
            <c:strRef>
              <c:f>List1!$B$1</c:f>
              <c:strCache>
                <c:ptCount val="1"/>
                <c:pt idx="0">
                  <c:v>Okres BRNO-VENKOV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B4-4D5F-A9D8-F9E9F9DBABB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B4-4D5F-A9D8-F9E9F9DBABB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B4-4D5F-A9D8-F9E9F9DBABB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B4-4D5F-A9D8-F9E9F9DBABBD}"/>
              </c:ext>
            </c:extLst>
          </c:dPt>
          <c:dLbls>
            <c:dLbl>
              <c:idx val="0"/>
              <c:layout>
                <c:manualLayout>
                  <c:x val="-0.13252533088536347"/>
                  <c:y val="-0.12540529149184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B4-4D5F-A9D8-F9E9F9DBABBD}"/>
                </c:ext>
              </c:extLst>
            </c:dLbl>
            <c:dLbl>
              <c:idx val="1"/>
              <c:layout>
                <c:manualLayout>
                  <c:x val="0.1008953741893374"/>
                  <c:y val="5.25589104106412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B4-4D5F-A9D8-F9E9F9DBABBD}"/>
                </c:ext>
              </c:extLst>
            </c:dLbl>
            <c:dLbl>
              <c:idx val="2"/>
              <c:layout>
                <c:manualLayout>
                  <c:x val="4.8391520504381398E-2"/>
                  <c:y val="5.345532494544526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B4-4D5F-A9D8-F9E9F9DBABBD}"/>
                </c:ext>
              </c:extLst>
            </c:dLbl>
            <c:dLbl>
              <c:idx val="3"/>
              <c:layout>
                <c:manualLayout>
                  <c:x val="1.6235296976766792E-2"/>
                  <c:y val="2.62202216146652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B4-4D5F-A9D8-F9E9F9DBABB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4"/>
                <c:pt idx="0">
                  <c:v>Občané EU/EHP + Švýcarska v postavení zaměstnanců</c:v>
                </c:pt>
                <c:pt idx="1">
                  <c:v>Cizinci, kteří nepotřebují povolení k zaměstnání</c:v>
                </c:pt>
                <c:pt idx="2">
                  <c:v>Zaměstnanecké karty</c:v>
                </c:pt>
                <c:pt idx="3">
                  <c:v>Platné povolení k zaměstnání</c:v>
                </c:pt>
              </c:strCache>
            </c:strRef>
          </c:cat>
          <c:val>
            <c:numRef>
              <c:f>List1!$B$2:$B$5</c:f>
              <c:numCache>
                <c:formatCode>General</c:formatCode>
                <c:ptCount val="4"/>
                <c:pt idx="0">
                  <c:v>5926</c:v>
                </c:pt>
                <c:pt idx="1">
                  <c:v>5057</c:v>
                </c:pt>
                <c:pt idx="2">
                  <c:v>2819</c:v>
                </c:pt>
                <c:pt idx="3">
                  <c:v>40</c:v>
                </c:pt>
              </c:numCache>
            </c:numRef>
          </c:val>
          <c:extLst>
            <c:ext xmlns:c16="http://schemas.microsoft.com/office/drawing/2014/chart" uri="{C3380CC4-5D6E-409C-BE32-E72D297353CC}">
              <c16:uniqueId val="{00000008-ACB4-4D5F-A9D8-F9E9F9DBABBD}"/>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1.422339568665028E-2"/>
          <c:y val="0.86022354964250158"/>
          <c:w val="0.97303204989284597"/>
          <c:h val="0.135355688297583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effectLst/>
                <a:latin typeface="Arial Narrow" panose="020B0606020202030204" pitchFamily="34" charset="0"/>
                <a:ea typeface="+mn-ea"/>
                <a:cs typeface="+mn-cs"/>
              </a:defRPr>
            </a:pPr>
            <a:r>
              <a:rPr lang="cs-CZ" sz="1000" b="1" cap="none">
                <a:effectLst/>
              </a:rPr>
              <a:t>Podíl osob s jinou než českou státní příslušností pocházejících ze třetích</a:t>
            </a:r>
            <a:r>
              <a:rPr lang="cs-CZ" sz="1000" b="1" cap="none" baseline="0">
                <a:effectLst/>
              </a:rPr>
              <a:t> zemí </a:t>
            </a:r>
            <a:r>
              <a:rPr lang="cs-CZ" sz="1000" b="1" cap="none">
                <a:effectLst/>
              </a:rPr>
              <a:t>zemí na celkovém počtu k 31. 12. </a:t>
            </a:r>
            <a:endParaRPr lang="en-US" sz="1000" b="1" cap="none">
              <a:effectLst/>
            </a:endParaRPr>
          </a:p>
        </c:rich>
      </c:tx>
      <c:layout>
        <c:manualLayout>
          <c:xMode val="edge"/>
          <c:yMode val="edge"/>
          <c:x val="0.11803541918371314"/>
          <c:y val="2.9333646726994946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834562346373373E-2"/>
          <c:y val="7.6611587730638156E-2"/>
          <c:w val="0.94316543765362659"/>
          <c:h val="0.91521667254279782"/>
        </c:manualLayout>
      </c:layout>
      <c:bar3DChart>
        <c:barDir val="bar"/>
        <c:grouping val="clustered"/>
        <c:varyColors val="0"/>
        <c:ser>
          <c:idx val="0"/>
          <c:order val="0"/>
          <c:tx>
            <c:strRef>
              <c:f>List1!$B$1</c:f>
              <c:strCache>
                <c:ptCount val="1"/>
                <c:pt idx="0">
                  <c:v>Řada 1</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15"/>
            <c:invertIfNegative val="0"/>
            <c:bubble3D val="0"/>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C749-40A7-8A7E-9FB6FE5CA1B4}"/>
              </c:ext>
            </c:extLst>
          </c:dPt>
          <c:dPt>
            <c:idx val="17"/>
            <c:invertIfNegative val="0"/>
            <c:bubble3D val="0"/>
            <c:spPr>
              <a:solidFill>
                <a:srgbClr val="C00000"/>
              </a:solidFill>
              <a:ln>
                <a:no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3-C749-40A7-8A7E-9FB6FE5CA1B4}"/>
              </c:ext>
            </c:extLst>
          </c:dPt>
          <c:dLbls>
            <c:spPr>
              <a:solidFill>
                <a:schemeClr val="bg1"/>
              </a:solidFill>
              <a:ln>
                <a:noFill/>
                <a:round/>
              </a:ln>
              <a:effectLst/>
            </c:spPr>
            <c:txPr>
              <a:bodyPr rot="0" spcFirstLastPara="1" vertOverflow="ellipsis" vert="horz" wrap="square" tIns="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List1!$B$2:$B$19</c:f>
              <c:numCache>
                <c:formatCode>0.0%</c:formatCode>
                <c:ptCount val="18"/>
                <c:pt idx="0">
                  <c:v>0.68899999999999995</c:v>
                </c:pt>
                <c:pt idx="1">
                  <c:v>0.68200000000000005</c:v>
                </c:pt>
                <c:pt idx="2">
                  <c:v>0.66800000000000004</c:v>
                </c:pt>
                <c:pt idx="3">
                  <c:v>0.66800000000000004</c:v>
                </c:pt>
                <c:pt idx="4">
                  <c:v>0.68400000000000005</c:v>
                </c:pt>
                <c:pt idx="5">
                  <c:v>0.68200000000000005</c:v>
                </c:pt>
                <c:pt idx="6">
                  <c:v>0.65300000000000002</c:v>
                </c:pt>
                <c:pt idx="7">
                  <c:v>0.63300000000000001</c:v>
                </c:pt>
                <c:pt idx="8">
                  <c:v>0.60699999999999998</c:v>
                </c:pt>
                <c:pt idx="9">
                  <c:v>0.59199999999999997</c:v>
                </c:pt>
                <c:pt idx="10">
                  <c:v>0.58199999999999996</c:v>
                </c:pt>
                <c:pt idx="11">
                  <c:v>0.58099999999999996</c:v>
                </c:pt>
                <c:pt idx="12">
                  <c:v>0.58299999999999996</c:v>
                </c:pt>
                <c:pt idx="13">
                  <c:v>0.59</c:v>
                </c:pt>
                <c:pt idx="14">
                  <c:v>0.58799999999999997</c:v>
                </c:pt>
                <c:pt idx="15">
                  <c:v>0.61599999999999999</c:v>
                </c:pt>
                <c:pt idx="16">
                  <c:v>0.66400000000000003</c:v>
                </c:pt>
                <c:pt idx="17">
                  <c:v>0.79700000000000004</c:v>
                </c:pt>
              </c:numCache>
            </c:numRef>
          </c:val>
          <c:shape val="cylinder"/>
          <c:extLst>
            <c:ext xmlns:c16="http://schemas.microsoft.com/office/drawing/2014/chart" uri="{C3380CC4-5D6E-409C-BE32-E72D297353CC}">
              <c16:uniqueId val="{00000004-C749-40A7-8A7E-9FB6FE5CA1B4}"/>
            </c:ext>
          </c:extLst>
        </c:ser>
        <c:dLbls>
          <c:showLegendKey val="0"/>
          <c:showVal val="1"/>
          <c:showCatName val="0"/>
          <c:showSerName val="0"/>
          <c:showPercent val="0"/>
          <c:showBubbleSize val="0"/>
        </c:dLbls>
        <c:gapWidth val="135"/>
        <c:gapDepth val="51"/>
        <c:shape val="box"/>
        <c:axId val="296433536"/>
        <c:axId val="296434320"/>
        <c:axId val="0"/>
      </c:bar3DChart>
      <c:catAx>
        <c:axId val="296433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6434320"/>
        <c:crosses val="autoZero"/>
        <c:auto val="1"/>
        <c:lblAlgn val="ctr"/>
        <c:lblOffset val="100"/>
        <c:noMultiLvlLbl val="0"/>
      </c:catAx>
      <c:valAx>
        <c:axId val="296434320"/>
        <c:scaling>
          <c:orientation val="minMax"/>
        </c:scaling>
        <c:delete val="1"/>
        <c:axPos val="b"/>
        <c:numFmt formatCode="0.0%" sourceLinked="1"/>
        <c:majorTickMark val="out"/>
        <c:minorTickMark val="none"/>
        <c:tickLblPos val="nextTo"/>
        <c:crossAx val="296433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Osoby s jinou než českou státní příslušností evidovaní na úřadech práce podle typu registrace v okrese HODONÍN k 31. 12. 2022</a:t>
            </a:r>
          </a:p>
        </c:rich>
      </c:tx>
      <c:layout>
        <c:manualLayout>
          <c:xMode val="edge"/>
          <c:yMode val="edge"/>
          <c:x val="0.14905309250136833"/>
          <c:y val="4.8661800486618006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775014234331816E-2"/>
          <c:y val="0.19718247665393757"/>
          <c:w val="0.96638371592439831"/>
          <c:h val="0.64529007874015754"/>
        </c:manualLayout>
      </c:layout>
      <c:pie3DChart>
        <c:varyColors val="1"/>
        <c:ser>
          <c:idx val="0"/>
          <c:order val="0"/>
          <c:tx>
            <c:strRef>
              <c:f>List1!$B$1</c:f>
              <c:strCache>
                <c:ptCount val="1"/>
                <c:pt idx="0">
                  <c:v>Okres HODONÍN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E99-46AC-81F7-E757AE6E4D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E99-46AC-81F7-E757AE6E4DB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E99-46AC-81F7-E757AE6E4DB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E99-46AC-81F7-E757AE6E4DB0}"/>
              </c:ext>
            </c:extLst>
          </c:dPt>
          <c:dLbls>
            <c:dLbl>
              <c:idx val="0"/>
              <c:layout>
                <c:manualLayout>
                  <c:x val="-0.13252533088536347"/>
                  <c:y val="-0.12540529149184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99-46AC-81F7-E757AE6E4DB0}"/>
                </c:ext>
              </c:extLst>
            </c:dLbl>
            <c:dLbl>
              <c:idx val="1"/>
              <c:layout>
                <c:manualLayout>
                  <c:x val="0.1008953741893374"/>
                  <c:y val="5.25589104106412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99-46AC-81F7-E757AE6E4DB0}"/>
                </c:ext>
              </c:extLst>
            </c:dLbl>
            <c:dLbl>
              <c:idx val="2"/>
              <c:layout>
                <c:manualLayout>
                  <c:x val="4.8391520504381398E-2"/>
                  <c:y val="5.345532494544526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99-46AC-81F7-E757AE6E4DB0}"/>
                </c:ext>
              </c:extLst>
            </c:dLbl>
            <c:dLbl>
              <c:idx val="3"/>
              <c:layout>
                <c:manualLayout>
                  <c:x val="1.6235296976766792E-2"/>
                  <c:y val="2.62202216146652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E99-46AC-81F7-E757AE6E4DB0}"/>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4"/>
                <c:pt idx="0">
                  <c:v>Občané EU/EHP + Švýcarska v postavení zaměstnanců</c:v>
                </c:pt>
                <c:pt idx="1">
                  <c:v>Cizinci, kteří nepotřebují povolení k zaměstnání</c:v>
                </c:pt>
                <c:pt idx="2">
                  <c:v>Zaměstnanecké karty</c:v>
                </c:pt>
                <c:pt idx="3">
                  <c:v>Platné povolení k zaměstnání</c:v>
                </c:pt>
              </c:strCache>
            </c:strRef>
          </c:cat>
          <c:val>
            <c:numRef>
              <c:f>List1!$B$2:$B$5</c:f>
              <c:numCache>
                <c:formatCode>General</c:formatCode>
                <c:ptCount val="4"/>
                <c:pt idx="0">
                  <c:v>2560</c:v>
                </c:pt>
                <c:pt idx="1">
                  <c:v>826</c:v>
                </c:pt>
                <c:pt idx="2">
                  <c:v>481</c:v>
                </c:pt>
                <c:pt idx="3">
                  <c:v>68</c:v>
                </c:pt>
              </c:numCache>
            </c:numRef>
          </c:val>
          <c:extLst>
            <c:ext xmlns:c16="http://schemas.microsoft.com/office/drawing/2014/chart" uri="{C3380CC4-5D6E-409C-BE32-E72D297353CC}">
              <c16:uniqueId val="{00000008-5E99-46AC-81F7-E757AE6E4DB0}"/>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5.4050535349747944E-3"/>
          <c:y val="0.84210514458224917"/>
          <c:w val="0.98185035898290496"/>
          <c:h val="0.153474141912518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cs-CZ"/>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Osoby s jinou než českou státní příslušností evidovaní na úřadech práce podle typu registrace v okrese VYŠKOV k 31. 12. 2022</a:t>
            </a:r>
          </a:p>
        </c:rich>
      </c:tx>
      <c:layout>
        <c:manualLayout>
          <c:xMode val="edge"/>
          <c:yMode val="edge"/>
          <c:x val="0.14905309250136833"/>
          <c:y val="4.8661800486618006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77501423433182E-2"/>
          <c:y val="0.19806664791901013"/>
          <c:w val="0.97079288700023603"/>
          <c:h val="0.65049358708703919"/>
        </c:manualLayout>
      </c:layout>
      <c:pie3DChart>
        <c:varyColors val="1"/>
        <c:ser>
          <c:idx val="0"/>
          <c:order val="0"/>
          <c:tx>
            <c:strRef>
              <c:f>List1!$B$1</c:f>
              <c:strCache>
                <c:ptCount val="1"/>
                <c:pt idx="0">
                  <c:v>Okres VYŠKOV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D30-4D19-83E2-A9C1D86E9BB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D30-4D19-83E2-A9C1D86E9BB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D30-4D19-83E2-A9C1D86E9BB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D30-4D19-83E2-A9C1D86E9BB5}"/>
              </c:ext>
            </c:extLst>
          </c:dPt>
          <c:dLbls>
            <c:dLbl>
              <c:idx val="0"/>
              <c:layout>
                <c:manualLayout>
                  <c:x val="-0.13252533088536347"/>
                  <c:y val="-0.12540529149184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30-4D19-83E2-A9C1D86E9BB5}"/>
                </c:ext>
              </c:extLst>
            </c:dLbl>
            <c:dLbl>
              <c:idx val="1"/>
              <c:layout>
                <c:manualLayout>
                  <c:x val="0.1008953741893374"/>
                  <c:y val="5.25589104106412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30-4D19-83E2-A9C1D86E9BB5}"/>
                </c:ext>
              </c:extLst>
            </c:dLbl>
            <c:dLbl>
              <c:idx val="2"/>
              <c:layout>
                <c:manualLayout>
                  <c:x val="4.8391520504381398E-2"/>
                  <c:y val="5.345532494544526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30-4D19-83E2-A9C1D86E9BB5}"/>
                </c:ext>
              </c:extLst>
            </c:dLbl>
            <c:dLbl>
              <c:idx val="3"/>
              <c:layout>
                <c:manualLayout>
                  <c:x val="1.6235296976766792E-2"/>
                  <c:y val="2.62202216146652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30-4D19-83E2-A9C1D86E9BB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4"/>
                <c:pt idx="0">
                  <c:v>Občané EU/EHP + Švýcarska v postavení zaměstnanců</c:v>
                </c:pt>
                <c:pt idx="1">
                  <c:v>Cizinci, kteří nepotřebují povolení k zaměstnání</c:v>
                </c:pt>
                <c:pt idx="2">
                  <c:v>Zaměstnanecké karty</c:v>
                </c:pt>
                <c:pt idx="3">
                  <c:v>Platné povolení k zaměstnání</c:v>
                </c:pt>
              </c:strCache>
            </c:strRef>
          </c:cat>
          <c:val>
            <c:numRef>
              <c:f>List1!$B$2:$B$5</c:f>
              <c:numCache>
                <c:formatCode>General</c:formatCode>
                <c:ptCount val="4"/>
                <c:pt idx="0">
                  <c:v>1338</c:v>
                </c:pt>
                <c:pt idx="1">
                  <c:v>902</c:v>
                </c:pt>
                <c:pt idx="2">
                  <c:v>265</c:v>
                </c:pt>
                <c:pt idx="3">
                  <c:v>128</c:v>
                </c:pt>
              </c:numCache>
            </c:numRef>
          </c:val>
          <c:extLst>
            <c:ext xmlns:c16="http://schemas.microsoft.com/office/drawing/2014/chart" uri="{C3380CC4-5D6E-409C-BE32-E72D297353CC}">
              <c16:uniqueId val="{00000008-BD30-4D19-83E2-A9C1D86E9BB5}"/>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1.422339568665028E-2"/>
          <c:y val="0.83618774373851046"/>
          <c:w val="0.97303204989284597"/>
          <c:h val="0.159390906096252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cs-CZ"/>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Osoby s jinou než českou státní příslušností evidovaní na úřadech práce podle typu registrace v okrese ZNOJMO k 31. 12. 2022</a:t>
            </a:r>
          </a:p>
        </c:rich>
      </c:tx>
      <c:layout>
        <c:manualLayout>
          <c:xMode val="edge"/>
          <c:yMode val="edge"/>
          <c:x val="0.15343185550082103"/>
          <c:y val="1.5706207455775344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775002262648203E-2"/>
          <c:y val="0.16222995730683878"/>
          <c:w val="0.98622499773735184"/>
          <c:h val="0.65638906450562295"/>
        </c:manualLayout>
      </c:layout>
      <c:pie3DChart>
        <c:varyColors val="1"/>
        <c:ser>
          <c:idx val="0"/>
          <c:order val="0"/>
          <c:tx>
            <c:strRef>
              <c:f>List1!$B$1</c:f>
              <c:strCache>
                <c:ptCount val="1"/>
                <c:pt idx="0">
                  <c:v>Okres Znojmo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42-4676-A891-1E417CDC94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42-4676-A891-1E417CDC944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42-4676-A891-1E417CDC944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42-4676-A891-1E417CDC9440}"/>
              </c:ext>
            </c:extLst>
          </c:dPt>
          <c:dLbls>
            <c:dLbl>
              <c:idx val="0"/>
              <c:layout>
                <c:manualLayout>
                  <c:x val="-0.13252533088536347"/>
                  <c:y val="-0.125405291491848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42-4676-A891-1E417CDC9440}"/>
                </c:ext>
              </c:extLst>
            </c:dLbl>
            <c:dLbl>
              <c:idx val="1"/>
              <c:layout>
                <c:manualLayout>
                  <c:x val="0.10750914756345108"/>
                  <c:y val="-0.1581738414085101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42-4676-A891-1E417CDC9440}"/>
                </c:ext>
              </c:extLst>
            </c:dLbl>
            <c:dLbl>
              <c:idx val="2"/>
              <c:layout>
                <c:manualLayout>
                  <c:x val="2.4703636183408109E-2"/>
                  <c:y val="5.756389893323420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42-4676-A891-1E417CDC9440}"/>
                </c:ext>
              </c:extLst>
            </c:dLbl>
            <c:dLbl>
              <c:idx val="3"/>
              <c:layout>
                <c:manualLayout>
                  <c:x val="4.9562597778725938E-2"/>
                  <c:y val="5.967445056492404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842-4676-A891-1E417CDC9440}"/>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4"/>
                <c:pt idx="0">
                  <c:v>Občané EU/EHP + Švýcarska v postavení zaměstnanců</c:v>
                </c:pt>
                <c:pt idx="1">
                  <c:v>Cizinci, kteří nepotřebují povolení k zaměstnání</c:v>
                </c:pt>
                <c:pt idx="2">
                  <c:v>Zaměstnanecké karty</c:v>
                </c:pt>
                <c:pt idx="3">
                  <c:v>Platné povolení k zaměstnání</c:v>
                </c:pt>
              </c:strCache>
            </c:strRef>
          </c:cat>
          <c:val>
            <c:numRef>
              <c:f>List1!$B$2:$B$5</c:f>
              <c:numCache>
                <c:formatCode>General</c:formatCode>
                <c:ptCount val="4"/>
                <c:pt idx="0">
                  <c:v>1134</c:v>
                </c:pt>
                <c:pt idx="1">
                  <c:v>834</c:v>
                </c:pt>
                <c:pt idx="2">
                  <c:v>69</c:v>
                </c:pt>
                <c:pt idx="3">
                  <c:v>73</c:v>
                </c:pt>
              </c:numCache>
            </c:numRef>
          </c:val>
          <c:extLst>
            <c:ext xmlns:c16="http://schemas.microsoft.com/office/drawing/2014/chart" uri="{C3380CC4-5D6E-409C-BE32-E72D297353CC}">
              <c16:uniqueId val="{00000008-A842-4676-A891-1E417CDC9440}"/>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1.0567644561671175E-3"/>
          <c:y val="0.843750933572328"/>
          <c:w val="0.9817895176895991"/>
          <c:h val="0.1539052130678787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cs-CZ"/>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effectLst/>
                <a:latin typeface="Arial Narrow" panose="020B0606020202030204" pitchFamily="34" charset="0"/>
                <a:ea typeface="+mn-ea"/>
                <a:cs typeface="+mn-cs"/>
              </a:defRPr>
            </a:pPr>
            <a:r>
              <a:rPr lang="cs-CZ" sz="1000" b="1" cap="none">
                <a:effectLst/>
              </a:rPr>
              <a:t>Věková struktura zaměstnaných </a:t>
            </a:r>
            <a:r>
              <a:rPr lang="cs-CZ" sz="1000" b="1" i="0" u="none" strike="noStrike" cap="none" baseline="0">
                <a:effectLst/>
              </a:rPr>
              <a:t>osob s jinou než českou státní příslušností</a:t>
            </a:r>
            <a:r>
              <a:rPr lang="cs-CZ" sz="1000" b="1" cap="none">
                <a:effectLst/>
              </a:rPr>
              <a:t> evidovaných na úřadech práce v Jihomoravském kraji k 31. 12. 2022</a:t>
            </a:r>
            <a:endParaRPr lang="en-US" sz="1000" b="1" cap="none">
              <a:effectLst/>
            </a:endParaRPr>
          </a:p>
        </c:rich>
      </c:tx>
      <c:layout>
        <c:manualLayout>
          <c:xMode val="edge"/>
          <c:yMode val="edge"/>
          <c:x val="0.11764501659514782"/>
          <c:y val="8.1345946864555593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47E-3"/>
          <c:y val="0.10777318302838047"/>
          <c:w val="0.99768518518518523"/>
          <c:h val="0.70850204875469702"/>
        </c:manualLayout>
      </c:layout>
      <c:bar3DChart>
        <c:barDir val="col"/>
        <c:grouping val="clustered"/>
        <c:varyColors val="0"/>
        <c:ser>
          <c:idx val="0"/>
          <c:order val="0"/>
          <c:tx>
            <c:strRef>
              <c:f>List1!$B$1</c:f>
              <c:strCache>
                <c:ptCount val="1"/>
                <c:pt idx="0">
                  <c:v>2022</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bg1"/>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List1!$A$2:$A$7</c:f>
              <c:strCache>
                <c:ptCount val="6"/>
                <c:pt idx="0">
                  <c:v>do 19 let</c:v>
                </c:pt>
                <c:pt idx="1">
                  <c:v>20-29 let</c:v>
                </c:pt>
                <c:pt idx="2">
                  <c:v>30-39let</c:v>
                </c:pt>
                <c:pt idx="3">
                  <c:v>40-49 let</c:v>
                </c:pt>
                <c:pt idx="4">
                  <c:v>50-59 let</c:v>
                </c:pt>
                <c:pt idx="5">
                  <c:v>60 let a váce </c:v>
                </c:pt>
              </c:strCache>
            </c:strRef>
          </c:cat>
          <c:val>
            <c:numRef>
              <c:f>List1!$B$2:$B$7</c:f>
              <c:numCache>
                <c:formatCode>General</c:formatCode>
                <c:ptCount val="6"/>
                <c:pt idx="0">
                  <c:v>1736</c:v>
                </c:pt>
                <c:pt idx="1">
                  <c:v>23575</c:v>
                </c:pt>
                <c:pt idx="2">
                  <c:v>28144</c:v>
                </c:pt>
                <c:pt idx="3">
                  <c:v>20834</c:v>
                </c:pt>
                <c:pt idx="4">
                  <c:v>11331</c:v>
                </c:pt>
                <c:pt idx="5">
                  <c:v>5757</c:v>
                </c:pt>
              </c:numCache>
            </c:numRef>
          </c:val>
          <c:shape val="cylinder"/>
          <c:extLst>
            <c:ext xmlns:c16="http://schemas.microsoft.com/office/drawing/2014/chart" uri="{C3380CC4-5D6E-409C-BE32-E72D297353CC}">
              <c16:uniqueId val="{00000000-ACDA-4262-96BA-93EAE71ACFED}"/>
            </c:ext>
          </c:extLst>
        </c:ser>
        <c:dLbls>
          <c:showLegendKey val="0"/>
          <c:showVal val="1"/>
          <c:showCatName val="0"/>
          <c:showSerName val="0"/>
          <c:showPercent val="0"/>
          <c:showBubbleSize val="0"/>
        </c:dLbls>
        <c:gapWidth val="66"/>
        <c:gapDepth val="25"/>
        <c:shape val="box"/>
        <c:axId val="438034464"/>
        <c:axId val="438033680"/>
        <c:axId val="0"/>
      </c:bar3DChart>
      <c:catAx>
        <c:axId val="438034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crossAx val="438033680"/>
        <c:crosses val="autoZero"/>
        <c:auto val="1"/>
        <c:lblAlgn val="ctr"/>
        <c:lblOffset val="100"/>
        <c:noMultiLvlLbl val="0"/>
      </c:catAx>
      <c:valAx>
        <c:axId val="438033680"/>
        <c:scaling>
          <c:orientation val="minMax"/>
        </c:scaling>
        <c:delete val="1"/>
        <c:axPos val="l"/>
        <c:numFmt formatCode="General" sourceLinked="1"/>
        <c:majorTickMark val="out"/>
        <c:minorTickMark val="none"/>
        <c:tickLblPos val="nextTo"/>
        <c:crossAx val="43803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Věková struktura</a:t>
            </a:r>
            <a:r>
              <a:rPr lang="cs-CZ" sz="1000" b="1" cap="none" spc="0" baseline="0">
                <a:ln w="0"/>
                <a:solidFill>
                  <a:schemeClr val="tx1"/>
                </a:solidFill>
                <a:effectLst/>
              </a:rPr>
              <a:t> zaměstnaných </a:t>
            </a:r>
            <a:r>
              <a:rPr lang="cs-CZ" sz="1000" b="1" i="0" u="none" strike="noStrike" cap="none" spc="0" baseline="0">
                <a:ln w="0"/>
                <a:solidFill>
                  <a:schemeClr val="tx1"/>
                </a:solidFill>
                <a:effectLst/>
              </a:rPr>
              <a:t>osob s jinou než českou státní příslušností</a:t>
            </a:r>
            <a:r>
              <a:rPr lang="cs-CZ" sz="1000" b="1" cap="none" spc="0">
                <a:ln w="0"/>
                <a:solidFill>
                  <a:schemeClr val="tx1"/>
                </a:solidFill>
                <a:effectLst/>
              </a:rPr>
              <a:t> evidovaných na úřadech práce v Jihomoravském kraji v letech 2008–2022</a:t>
            </a:r>
          </a:p>
        </c:rich>
      </c:tx>
      <c:layout>
        <c:manualLayout>
          <c:xMode val="edge"/>
          <c:yMode val="edge"/>
          <c:x val="0.12651295423308628"/>
          <c:y val="3.9273901951067305E-3"/>
        </c:manualLayout>
      </c:layout>
      <c:overlay val="0"/>
      <c:spPr>
        <a:noFill/>
        <a:ln>
          <a:noFill/>
        </a:ln>
        <a:effectLst/>
      </c:spPr>
    </c:title>
    <c:autoTitleDeleted val="0"/>
    <c:view3D>
      <c:rotX val="15"/>
      <c:rotY val="20"/>
      <c:depthPercent val="100"/>
      <c:rAngAx val="1"/>
    </c:view3D>
    <c:floor>
      <c:thickness val="0"/>
      <c:spPr>
        <a:solidFill>
          <a:schemeClr val="bg1">
            <a:lumMod val="95000"/>
            <a:alpha val="73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654945469045068E-2"/>
          <c:y val="7.3067282252369053E-2"/>
          <c:w val="0.87214578978963186"/>
          <c:h val="0.88082830007694812"/>
        </c:manualLayout>
      </c:layout>
      <c:bar3DChart>
        <c:barDir val="bar"/>
        <c:grouping val="stacked"/>
        <c:varyColors val="0"/>
        <c:ser>
          <c:idx val="0"/>
          <c:order val="0"/>
          <c:tx>
            <c:strRef>
              <c:f>List1!$B$1</c:f>
              <c:strCache>
                <c:ptCount val="1"/>
                <c:pt idx="0">
                  <c:v>do 19 let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A0C6-4F82-94CB-BE64696DAAC3}"/>
                </c:ext>
              </c:extLst>
            </c:dLbl>
            <c:spPr>
              <a:solidFill>
                <a:sysClr val="window" lastClr="FFFFFF"/>
              </a:solidFill>
              <a:ln>
                <a:solidFill>
                  <a:sysClr val="windowText" lastClr="000000">
                    <a:lumMod val="65000"/>
                    <a:lumOff val="35000"/>
                  </a:sysClr>
                </a:solidFill>
              </a:ln>
              <a:effectLst/>
            </c:spPr>
            <c:txPr>
              <a:bodyPr lIns="18000" tIns="0" rIns="18000" bIns="0"/>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List1!$B$2:$B$16</c:f>
              <c:numCache>
                <c:formatCode>0</c:formatCode>
                <c:ptCount val="15"/>
                <c:pt idx="0">
                  <c:v>609</c:v>
                </c:pt>
                <c:pt idx="1">
                  <c:v>176</c:v>
                </c:pt>
                <c:pt idx="2">
                  <c:v>173</c:v>
                </c:pt>
                <c:pt idx="3">
                  <c:v>120</c:v>
                </c:pt>
                <c:pt idx="4">
                  <c:v>990</c:v>
                </c:pt>
                <c:pt idx="5">
                  <c:v>1</c:v>
                </c:pt>
                <c:pt idx="6">
                  <c:v>263</c:v>
                </c:pt>
                <c:pt idx="7">
                  <c:v>586</c:v>
                </c:pt>
                <c:pt idx="8">
                  <c:v>801</c:v>
                </c:pt>
                <c:pt idx="9">
                  <c:v>2222</c:v>
                </c:pt>
                <c:pt idx="10">
                  <c:v>983</c:v>
                </c:pt>
                <c:pt idx="11">
                  <c:v>851</c:v>
                </c:pt>
                <c:pt idx="12">
                  <c:v>927</c:v>
                </c:pt>
                <c:pt idx="13">
                  <c:v>564</c:v>
                </c:pt>
                <c:pt idx="14">
                  <c:v>1736</c:v>
                </c:pt>
              </c:numCache>
            </c:numRef>
          </c:val>
          <c:extLst>
            <c:ext xmlns:c16="http://schemas.microsoft.com/office/drawing/2014/chart" uri="{C3380CC4-5D6E-409C-BE32-E72D297353CC}">
              <c16:uniqueId val="{00000001-A0C6-4F82-94CB-BE64696DAAC3}"/>
            </c:ext>
          </c:extLst>
        </c:ser>
        <c:ser>
          <c:idx val="1"/>
          <c:order val="1"/>
          <c:tx>
            <c:strRef>
              <c:f>List1!$C$1</c:f>
              <c:strCache>
                <c:ptCount val="1"/>
                <c:pt idx="0">
                  <c:v>20–29 let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2-A0C6-4F82-94CB-BE64696DAAC3}"/>
                </c:ext>
              </c:extLst>
            </c:dLbl>
            <c:spPr>
              <a:solidFill>
                <a:schemeClr val="lt1"/>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List1!$C$2:$C$16</c:f>
              <c:numCache>
                <c:formatCode>0</c:formatCode>
                <c:ptCount val="15"/>
                <c:pt idx="0">
                  <c:v>11990</c:v>
                </c:pt>
                <c:pt idx="1">
                  <c:v>9707</c:v>
                </c:pt>
                <c:pt idx="2">
                  <c:v>9139</c:v>
                </c:pt>
                <c:pt idx="3">
                  <c:v>6815</c:v>
                </c:pt>
                <c:pt idx="4">
                  <c:v>4677</c:v>
                </c:pt>
                <c:pt idx="5">
                  <c:v>553</c:v>
                </c:pt>
                <c:pt idx="6">
                  <c:v>7567</c:v>
                </c:pt>
                <c:pt idx="7">
                  <c:v>11619</c:v>
                </c:pt>
                <c:pt idx="8">
                  <c:v>13867</c:v>
                </c:pt>
                <c:pt idx="9">
                  <c:v>16371</c:v>
                </c:pt>
                <c:pt idx="10">
                  <c:v>18050</c:v>
                </c:pt>
                <c:pt idx="11">
                  <c:v>19069</c:v>
                </c:pt>
                <c:pt idx="12">
                  <c:v>19557</c:v>
                </c:pt>
                <c:pt idx="13">
                  <c:v>19205</c:v>
                </c:pt>
                <c:pt idx="14">
                  <c:v>23575</c:v>
                </c:pt>
              </c:numCache>
            </c:numRef>
          </c:val>
          <c:extLst>
            <c:ext xmlns:c16="http://schemas.microsoft.com/office/drawing/2014/chart" uri="{C3380CC4-5D6E-409C-BE32-E72D297353CC}">
              <c16:uniqueId val="{00000003-A0C6-4F82-94CB-BE64696DAAC3}"/>
            </c:ext>
          </c:extLst>
        </c:ser>
        <c:ser>
          <c:idx val="2"/>
          <c:order val="2"/>
          <c:tx>
            <c:strRef>
              <c:f>List1!$D$1</c:f>
              <c:strCache>
                <c:ptCount val="1"/>
                <c:pt idx="0">
                  <c:v>30–39 let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4-A0C6-4F82-94CB-BE64696DAAC3}"/>
                </c:ext>
              </c:extLst>
            </c:dLbl>
            <c:spPr>
              <a:solidFill>
                <a:schemeClr val="lt1"/>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List1!$D$2:$D$16</c:f>
              <c:numCache>
                <c:formatCode>0</c:formatCode>
                <c:ptCount val="15"/>
                <c:pt idx="0">
                  <c:v>8116</c:v>
                </c:pt>
                <c:pt idx="1">
                  <c:v>7877</c:v>
                </c:pt>
                <c:pt idx="2">
                  <c:v>8427</c:v>
                </c:pt>
                <c:pt idx="3">
                  <c:v>6847</c:v>
                </c:pt>
                <c:pt idx="4">
                  <c:v>6253</c:v>
                </c:pt>
                <c:pt idx="5">
                  <c:v>1256</c:v>
                </c:pt>
                <c:pt idx="6">
                  <c:v>8947</c:v>
                </c:pt>
                <c:pt idx="7">
                  <c:v>12614</c:v>
                </c:pt>
                <c:pt idx="8">
                  <c:v>14637</c:v>
                </c:pt>
                <c:pt idx="9">
                  <c:v>16200</c:v>
                </c:pt>
                <c:pt idx="10">
                  <c:v>18409</c:v>
                </c:pt>
                <c:pt idx="11">
                  <c:v>19849</c:v>
                </c:pt>
                <c:pt idx="12">
                  <c:v>21773</c:v>
                </c:pt>
                <c:pt idx="13">
                  <c:v>23766</c:v>
                </c:pt>
                <c:pt idx="14">
                  <c:v>28144</c:v>
                </c:pt>
              </c:numCache>
            </c:numRef>
          </c:val>
          <c:extLst>
            <c:ext xmlns:c16="http://schemas.microsoft.com/office/drawing/2014/chart" uri="{C3380CC4-5D6E-409C-BE32-E72D297353CC}">
              <c16:uniqueId val="{00000005-A0C6-4F82-94CB-BE64696DAAC3}"/>
            </c:ext>
          </c:extLst>
        </c:ser>
        <c:ser>
          <c:idx val="3"/>
          <c:order val="3"/>
          <c:tx>
            <c:strRef>
              <c:f>List1!$E$1</c:f>
              <c:strCache>
                <c:ptCount val="1"/>
                <c:pt idx="0">
                  <c:v>40–49 let</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6-A0C6-4F82-94CB-BE64696DAAC3}"/>
                </c:ext>
              </c:extLst>
            </c:dLbl>
            <c:spPr>
              <a:solidFill>
                <a:schemeClr val="lt1"/>
              </a:solidFill>
              <a:ln>
                <a:noFill/>
              </a:ln>
              <a:effectLst/>
            </c:spPr>
            <c:txPr>
              <a:bodyPr rot="0" spcFirstLastPara="1" vertOverflow="clip" horzOverflow="clip" vert="horz" wrap="square" lIns="36576" tIns="0" rIns="36576" bIns="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List1!$E$2:$E$16</c:f>
              <c:numCache>
                <c:formatCode>0</c:formatCode>
                <c:ptCount val="15"/>
                <c:pt idx="0">
                  <c:v>5299</c:v>
                </c:pt>
                <c:pt idx="1">
                  <c:v>4917</c:v>
                </c:pt>
                <c:pt idx="2">
                  <c:v>4825</c:v>
                </c:pt>
                <c:pt idx="3">
                  <c:v>3418</c:v>
                </c:pt>
                <c:pt idx="4">
                  <c:v>2871</c:v>
                </c:pt>
                <c:pt idx="5">
                  <c:v>783</c:v>
                </c:pt>
                <c:pt idx="6">
                  <c:v>4720</c:v>
                </c:pt>
                <c:pt idx="7">
                  <c:v>6962</c:v>
                </c:pt>
                <c:pt idx="8">
                  <c:v>8564</c:v>
                </c:pt>
                <c:pt idx="9">
                  <c:v>9516</c:v>
                </c:pt>
                <c:pt idx="10">
                  <c:v>11814</c:v>
                </c:pt>
                <c:pt idx="11">
                  <c:v>13483</c:v>
                </c:pt>
                <c:pt idx="12">
                  <c:v>15058</c:v>
                </c:pt>
                <c:pt idx="13">
                  <c:v>16720</c:v>
                </c:pt>
                <c:pt idx="14">
                  <c:v>20834</c:v>
                </c:pt>
              </c:numCache>
            </c:numRef>
          </c:val>
          <c:extLst>
            <c:ext xmlns:c16="http://schemas.microsoft.com/office/drawing/2014/chart" uri="{C3380CC4-5D6E-409C-BE32-E72D297353CC}">
              <c16:uniqueId val="{00000007-A0C6-4F82-94CB-BE64696DAAC3}"/>
            </c:ext>
          </c:extLst>
        </c:ser>
        <c:ser>
          <c:idx val="4"/>
          <c:order val="4"/>
          <c:tx>
            <c:strRef>
              <c:f>List1!$F$1</c:f>
              <c:strCache>
                <c:ptCount val="1"/>
                <c:pt idx="0">
                  <c:v>50–59 let</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A0C6-4F82-94CB-BE64696DAAC3}"/>
                </c:ext>
              </c:extLst>
            </c:dLbl>
            <c:dLbl>
              <c:idx val="5"/>
              <c:delete val="1"/>
              <c:extLst>
                <c:ext xmlns:c15="http://schemas.microsoft.com/office/drawing/2012/chart" uri="{CE6537A1-D6FC-4f65-9D91-7224C49458BB}"/>
                <c:ext xmlns:c16="http://schemas.microsoft.com/office/drawing/2014/chart" uri="{C3380CC4-5D6E-409C-BE32-E72D297353CC}">
                  <c16:uniqueId val="{00000009-A0C6-4F82-94CB-BE64696DAAC3}"/>
                </c:ext>
              </c:extLst>
            </c:dLbl>
            <c:spPr>
              <a:solidFill>
                <a:sysClr val="window" lastClr="FFFFFF"/>
              </a:solidFill>
              <a:ln>
                <a:noFill/>
              </a:ln>
              <a:effectLst/>
            </c:spPr>
            <c:txPr>
              <a:bodyPr wrap="square" lIns="0" tIns="0" rIns="0" bIns="0" anchor="ctr">
                <a:spAutoFit/>
              </a:bodyPr>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List1!$F$2:$F$16</c:f>
              <c:numCache>
                <c:formatCode>0</c:formatCode>
                <c:ptCount val="15"/>
                <c:pt idx="0">
                  <c:v>3049</c:v>
                </c:pt>
                <c:pt idx="1">
                  <c:v>3022</c:v>
                </c:pt>
                <c:pt idx="2">
                  <c:v>3155</c:v>
                </c:pt>
                <c:pt idx="3">
                  <c:v>2371</c:v>
                </c:pt>
                <c:pt idx="4">
                  <c:v>2055</c:v>
                </c:pt>
                <c:pt idx="5">
                  <c:v>634</c:v>
                </c:pt>
                <c:pt idx="6">
                  <c:v>3290</c:v>
                </c:pt>
                <c:pt idx="7">
                  <c:v>4491</c:v>
                </c:pt>
                <c:pt idx="8">
                  <c:v>5240</c:v>
                </c:pt>
                <c:pt idx="9">
                  <c:v>5436</c:v>
                </c:pt>
                <c:pt idx="10">
                  <c:v>7000</c:v>
                </c:pt>
                <c:pt idx="11">
                  <c:v>7704</c:v>
                </c:pt>
                <c:pt idx="12">
                  <c:v>8618</c:v>
                </c:pt>
                <c:pt idx="13">
                  <c:v>9596</c:v>
                </c:pt>
                <c:pt idx="14">
                  <c:v>11331</c:v>
                </c:pt>
              </c:numCache>
            </c:numRef>
          </c:val>
          <c:extLst>
            <c:ext xmlns:c16="http://schemas.microsoft.com/office/drawing/2014/chart" uri="{C3380CC4-5D6E-409C-BE32-E72D297353CC}">
              <c16:uniqueId val="{0000000A-A0C6-4F82-94CB-BE64696DAAC3}"/>
            </c:ext>
          </c:extLst>
        </c:ser>
        <c:ser>
          <c:idx val="5"/>
          <c:order val="5"/>
          <c:tx>
            <c:strRef>
              <c:f>List1!$G$1</c:f>
              <c:strCache>
                <c:ptCount val="1"/>
                <c:pt idx="0">
                  <c:v>60 a více let</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432098765432018E-2"/>
                  <c:y val="1.074941163737835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C6-4F82-94CB-BE64696DAAC3}"/>
                </c:ext>
              </c:extLst>
            </c:dLbl>
            <c:dLbl>
              <c:idx val="1"/>
              <c:layout>
                <c:manualLayout>
                  <c:x val="3.52733686067019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C6-4F82-94CB-BE64696DAAC3}"/>
                </c:ext>
              </c:extLst>
            </c:dLbl>
            <c:dLbl>
              <c:idx val="2"/>
              <c:layout>
                <c:manualLayout>
                  <c:x val="2.86596119929453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C6-4F82-94CB-BE64696DAAC3}"/>
                </c:ext>
              </c:extLst>
            </c:dLbl>
            <c:dLbl>
              <c:idx val="3"/>
              <c:layout>
                <c:manualLayout>
                  <c:x val="1.7636684303350969E-2"/>
                  <c:y val="-1.074941163737835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C6-4F82-94CB-BE64696DAAC3}"/>
                </c:ext>
              </c:extLst>
            </c:dLbl>
            <c:dLbl>
              <c:idx val="4"/>
              <c:layout>
                <c:manualLayout>
                  <c:x val="2.4250440917107582E-2"/>
                  <c:y val="-1.074941163737835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0C6-4F82-94CB-BE64696DAAC3}"/>
                </c:ext>
              </c:extLst>
            </c:dLbl>
            <c:dLbl>
              <c:idx val="5"/>
              <c:delete val="1"/>
              <c:extLst>
                <c:ext xmlns:c15="http://schemas.microsoft.com/office/drawing/2012/chart" uri="{CE6537A1-D6FC-4f65-9D91-7224C49458BB}"/>
                <c:ext xmlns:c16="http://schemas.microsoft.com/office/drawing/2014/chart" uri="{C3380CC4-5D6E-409C-BE32-E72D297353CC}">
                  <c16:uniqueId val="{00000010-A0C6-4F82-94CB-BE64696DAAC3}"/>
                </c:ext>
              </c:extLst>
            </c:dLbl>
            <c:dLbl>
              <c:idx val="6"/>
              <c:layout>
                <c:manualLayout>
                  <c:x val="2.64550264550264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0C6-4F82-94CB-BE64696DAAC3}"/>
                </c:ext>
              </c:extLst>
            </c:dLbl>
            <c:dLbl>
              <c:idx val="7"/>
              <c:layout>
                <c:manualLayout>
                  <c:x val="2.8659611992945325E-2"/>
                  <c:y val="-5.37470581868917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0C6-4F82-94CB-BE64696DAAC3}"/>
                </c:ext>
              </c:extLst>
            </c:dLbl>
            <c:dLbl>
              <c:idx val="8"/>
              <c:layout>
                <c:manualLayout>
                  <c:x val="1.984126984126984E-2"/>
                  <c:y val="-5.37470581868917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0C6-4F82-94CB-BE64696DAAC3}"/>
                </c:ext>
              </c:extLst>
            </c:dLbl>
            <c:dLbl>
              <c:idx val="9"/>
              <c:layout>
                <c:manualLayout>
                  <c:x val="1.984126984126984E-2"/>
                  <c:y val="2.9316915860451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0C6-4F82-94CB-BE64696DAAC3}"/>
                </c:ext>
              </c:extLst>
            </c:dLbl>
            <c:spPr>
              <a:solidFill>
                <a:sysClr val="window" lastClr="FFFFFF"/>
              </a:solidFill>
              <a:ln>
                <a:solidFill>
                  <a:sysClr val="windowText" lastClr="000000">
                    <a:lumMod val="65000"/>
                    <a:lumOff val="35000"/>
                  </a:sysClr>
                </a:solidFill>
              </a:ln>
              <a:effectLst/>
            </c:spPr>
            <c:txPr>
              <a:bodyPr lIns="18000" tIns="0" rIns="18000" bIns="0"/>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List1!$G$2:$G$16</c:f>
              <c:numCache>
                <c:formatCode>0</c:formatCode>
                <c:ptCount val="15"/>
                <c:pt idx="0">
                  <c:v>461</c:v>
                </c:pt>
                <c:pt idx="1">
                  <c:v>582</c:v>
                </c:pt>
                <c:pt idx="2">
                  <c:v>679</c:v>
                </c:pt>
                <c:pt idx="3">
                  <c:v>634</c:v>
                </c:pt>
                <c:pt idx="4">
                  <c:v>677</c:v>
                </c:pt>
                <c:pt idx="5">
                  <c:v>254</c:v>
                </c:pt>
                <c:pt idx="6">
                  <c:v>1166</c:v>
                </c:pt>
                <c:pt idx="7">
                  <c:v>1567</c:v>
                </c:pt>
                <c:pt idx="8">
                  <c:v>1921</c:v>
                </c:pt>
                <c:pt idx="9">
                  <c:v>1875</c:v>
                </c:pt>
                <c:pt idx="10">
                  <c:v>2890</c:v>
                </c:pt>
                <c:pt idx="11">
                  <c:v>3408</c:v>
                </c:pt>
                <c:pt idx="12">
                  <c:v>3935</c:v>
                </c:pt>
                <c:pt idx="13">
                  <c:v>4567</c:v>
                </c:pt>
                <c:pt idx="14">
                  <c:v>5757</c:v>
                </c:pt>
              </c:numCache>
            </c:numRef>
          </c:val>
          <c:extLst>
            <c:ext xmlns:c16="http://schemas.microsoft.com/office/drawing/2014/chart" uri="{C3380CC4-5D6E-409C-BE32-E72D297353CC}">
              <c16:uniqueId val="{00000015-A0C6-4F82-94CB-BE64696DAAC3}"/>
            </c:ext>
          </c:extLst>
        </c:ser>
        <c:dLbls>
          <c:showLegendKey val="0"/>
          <c:showVal val="0"/>
          <c:showCatName val="0"/>
          <c:showSerName val="0"/>
          <c:showPercent val="0"/>
          <c:showBubbleSize val="0"/>
        </c:dLbls>
        <c:gapWidth val="150"/>
        <c:shape val="cylinder"/>
        <c:axId val="438030936"/>
        <c:axId val="438007024"/>
        <c:axId val="0"/>
      </c:bar3DChart>
      <c:catAx>
        <c:axId val="438030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07024"/>
        <c:crosses val="autoZero"/>
        <c:auto val="1"/>
        <c:lblAlgn val="ctr"/>
        <c:lblOffset val="100"/>
        <c:noMultiLvlLbl val="0"/>
      </c:catAx>
      <c:valAx>
        <c:axId val="438007024"/>
        <c:scaling>
          <c:orientation val="minMax"/>
          <c:max val="95000"/>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30936"/>
        <c:crosses val="autoZero"/>
        <c:crossBetween val="between"/>
      </c:valAx>
      <c:spPr>
        <a:noFill/>
        <a:ln>
          <a:noFill/>
        </a:ln>
        <a:effectLst/>
      </c:spPr>
    </c:plotArea>
    <c:legend>
      <c:legendPos val="b"/>
      <c:layout>
        <c:manualLayout>
          <c:xMode val="edge"/>
          <c:yMode val="edge"/>
          <c:x val="0.77466099771786279"/>
          <c:y val="0.58251109520400868"/>
          <c:w val="0.20108566363951652"/>
          <c:h val="0.329066094010975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sz="1000"/>
              <a:t>Procentuální zastoupení věkové struktury osob s jinou než českou státní příslušností evidovaných na úřadech práce v Jihomoravském kraji v letech 2008–2022</a:t>
            </a:r>
          </a:p>
        </c:rich>
      </c:tx>
      <c:layout>
        <c:manualLayout>
          <c:xMode val="edge"/>
          <c:yMode val="edge"/>
          <c:x val="0.14847704847704848"/>
          <c:y val="0"/>
        </c:manualLayout>
      </c:layout>
      <c:overlay val="0"/>
      <c:spPr>
        <a:noFill/>
        <a:ln>
          <a:noFill/>
        </a:ln>
        <a:effectLst/>
      </c:spPr>
    </c:title>
    <c:autoTitleDeleted val="0"/>
    <c:view3D>
      <c:rotX val="10"/>
      <c:rotY val="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5.5351921589511459E-2"/>
          <c:y val="4.061206042190784E-2"/>
          <c:w val="0.90731467745275785"/>
          <c:h val="0.88874788991625009"/>
        </c:manualLayout>
      </c:layout>
      <c:bar3DChart>
        <c:barDir val="bar"/>
        <c:grouping val="percentStacked"/>
        <c:varyColors val="0"/>
        <c:ser>
          <c:idx val="0"/>
          <c:order val="0"/>
          <c:tx>
            <c:strRef>
              <c:f>List1!$B$1</c:f>
              <c:strCache>
                <c:ptCount val="1"/>
                <c:pt idx="0">
                  <c:v>do 19 let</c:v>
                </c:pt>
              </c:strCache>
            </c:strRef>
          </c:tx>
          <c:spPr>
            <a:solidFill>
              <a:srgbClr val="7030A0"/>
            </a:solidFill>
            <a:ln>
              <a:noFill/>
            </a:ln>
            <a:effectLst/>
          </c:spPr>
          <c:invertIfNegative val="0"/>
          <c:dLbls>
            <c:dLbl>
              <c:idx val="5"/>
              <c:layout>
                <c:manualLayout>
                  <c:x val="1.7176596886741814E-2"/>
                  <c:y val="-2.76625172890733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92-49A0-B295-F049D2348DE4}"/>
                </c:ext>
              </c:extLst>
            </c:dLbl>
            <c:spPr>
              <a:solidFill>
                <a:schemeClr val="bg1"/>
              </a:solidFill>
              <a:ln>
                <a:noFill/>
              </a:ln>
              <a:effectLst/>
            </c:spPr>
            <c:txPr>
              <a:bodyPr rot="0" vert="horz" lIns="36000" tIns="0" rIns="36000" bIns="0"/>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List1!$B$2:$B$16</c:f>
              <c:numCache>
                <c:formatCode>0.0%</c:formatCode>
                <c:ptCount val="15"/>
                <c:pt idx="0">
                  <c:v>2.0627286275572417E-2</c:v>
                </c:pt>
                <c:pt idx="1">
                  <c:v>6.6968532399832581E-3</c:v>
                </c:pt>
                <c:pt idx="2">
                  <c:v>6.5535267823319948E-3</c:v>
                </c:pt>
                <c:pt idx="3">
                  <c:v>5.9391239792130658E-3</c:v>
                </c:pt>
                <c:pt idx="4">
                  <c:v>5.6497175141242938E-2</c:v>
                </c:pt>
                <c:pt idx="5">
                  <c:v>2.8727377190462512E-4</c:v>
                </c:pt>
                <c:pt idx="6">
                  <c:v>1.0133703232766925E-2</c:v>
                </c:pt>
                <c:pt idx="7">
                  <c:v>1.548666719522186E-2</c:v>
                </c:pt>
                <c:pt idx="8">
                  <c:v>1.7788141239173882E-2</c:v>
                </c:pt>
                <c:pt idx="9">
                  <c:v>4.3045331266950794E-2</c:v>
                </c:pt>
                <c:pt idx="10">
                  <c:v>1.6619889764312043E-2</c:v>
                </c:pt>
                <c:pt idx="11">
                  <c:v>1.3221676713690882E-2</c:v>
                </c:pt>
                <c:pt idx="12">
                  <c:v>1.3267876567241084E-2</c:v>
                </c:pt>
                <c:pt idx="13">
                  <c:v>7.5788115778440699E-3</c:v>
                </c:pt>
                <c:pt idx="14">
                  <c:v>1.9E-2</c:v>
                </c:pt>
              </c:numCache>
            </c:numRef>
          </c:val>
          <c:extLst>
            <c:ext xmlns:c16="http://schemas.microsoft.com/office/drawing/2014/chart" uri="{C3380CC4-5D6E-409C-BE32-E72D297353CC}">
              <c16:uniqueId val="{00000000-59E9-4C23-87A6-12CBA66EE41F}"/>
            </c:ext>
          </c:extLst>
        </c:ser>
        <c:ser>
          <c:idx val="1"/>
          <c:order val="1"/>
          <c:tx>
            <c:strRef>
              <c:f>List1!$C$1</c:f>
              <c:strCache>
                <c:ptCount val="1"/>
                <c:pt idx="0">
                  <c:v>20–29 let</c:v>
                </c:pt>
              </c:strCache>
            </c:strRef>
          </c:tx>
          <c:spPr>
            <a:solidFill>
              <a:schemeClr val="accent1"/>
            </a:solidFill>
            <a:ln>
              <a:noFill/>
            </a:ln>
            <a:effectLst/>
          </c:spPr>
          <c:invertIfNegative val="0"/>
          <c:dLbls>
            <c:dLbl>
              <c:idx val="5"/>
              <c:layout>
                <c:manualLayout>
                  <c:x val="3.4722222222222224E-2"/>
                  <c:y val="-1.086407202817706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E9-4C23-87A6-12CBA66EE41F}"/>
                </c:ext>
              </c:extLst>
            </c:dLbl>
            <c:spPr>
              <a:solidFill>
                <a:schemeClr val="bg1"/>
              </a:solidFill>
              <a:ln>
                <a:noFill/>
              </a:ln>
              <a:effectLst/>
            </c:spPr>
            <c:txPr>
              <a:bodyPr rot="0" vert="horz" lIns="36000" tIns="0" rIns="36000" bIns="0"/>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List1!$C$2:$C$16</c:f>
              <c:numCache>
                <c:formatCode>0.0%</c:formatCode>
                <c:ptCount val="15"/>
                <c:pt idx="0">
                  <c:v>0.40611028315946351</c:v>
                </c:pt>
                <c:pt idx="1">
                  <c:v>0.36935428636657663</c:v>
                </c:pt>
                <c:pt idx="2">
                  <c:v>0.34620046973255547</c:v>
                </c:pt>
                <c:pt idx="3">
                  <c:v>0.33729274931947539</c:v>
                </c:pt>
                <c:pt idx="4">
                  <c:v>0.26690635165211435</c:v>
                </c:pt>
                <c:pt idx="5">
                  <c:v>0.15886239586325768</c:v>
                </c:pt>
                <c:pt idx="6">
                  <c:v>0.29156552229029398</c:v>
                </c:pt>
                <c:pt idx="7">
                  <c:v>0.30706414017283756</c:v>
                </c:pt>
                <c:pt idx="8">
                  <c:v>0.30795025538529869</c:v>
                </c:pt>
                <c:pt idx="9">
                  <c:v>0.31714451762882606</c:v>
                </c:pt>
                <c:pt idx="10">
                  <c:v>0.30517701957866972</c:v>
                </c:pt>
                <c:pt idx="11">
                  <c:v>0.29626810018022498</c:v>
                </c:pt>
                <c:pt idx="12">
                  <c:v>0.27991355126810558</c:v>
                </c:pt>
                <c:pt idx="13">
                  <c:v>0.25806928431293502</c:v>
                </c:pt>
                <c:pt idx="14">
                  <c:v>0.25800000000000001</c:v>
                </c:pt>
              </c:numCache>
            </c:numRef>
          </c:val>
          <c:extLst>
            <c:ext xmlns:c16="http://schemas.microsoft.com/office/drawing/2014/chart" uri="{C3380CC4-5D6E-409C-BE32-E72D297353CC}">
              <c16:uniqueId val="{00000002-59E9-4C23-87A6-12CBA66EE41F}"/>
            </c:ext>
          </c:extLst>
        </c:ser>
        <c:ser>
          <c:idx val="2"/>
          <c:order val="2"/>
          <c:tx>
            <c:strRef>
              <c:f>List1!$D$1</c:f>
              <c:strCache>
                <c:ptCount val="1"/>
                <c:pt idx="0">
                  <c:v>30–39 let</c:v>
                </c:pt>
              </c:strCache>
            </c:strRef>
          </c:tx>
          <c:spPr>
            <a:solidFill>
              <a:srgbClr val="C00000"/>
            </a:solidFill>
            <a:ln>
              <a:noFill/>
            </a:ln>
            <a:effectLst/>
          </c:spPr>
          <c:invertIfNegative val="0"/>
          <c:dLbls>
            <c:spPr>
              <a:solidFill>
                <a:schemeClr val="bg1"/>
              </a:solidFill>
              <a:ln>
                <a:noFill/>
              </a:ln>
              <a:effectLst/>
            </c:spPr>
            <c:txPr>
              <a:bodyPr rot="0" vert="horz" lIns="36000" tIns="0" rIns="36000" bIns="0"/>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List1!$D$2:$D$16</c:f>
              <c:numCache>
                <c:formatCode>0.0%</c:formatCode>
                <c:ptCount val="15"/>
                <c:pt idx="0">
                  <c:v>0.27489500067741496</c:v>
                </c:pt>
                <c:pt idx="1">
                  <c:v>0.2997222327917507</c:v>
                </c:pt>
                <c:pt idx="2">
                  <c:v>0.31922872944920072</c:v>
                </c:pt>
                <c:pt idx="3">
                  <c:v>0.33887651571393218</c:v>
                </c:pt>
                <c:pt idx="4">
                  <c:v>0.3568452890486789</c:v>
                </c:pt>
                <c:pt idx="5">
                  <c:v>0.36081585751220913</c:v>
                </c:pt>
                <c:pt idx="6">
                  <c:v>0.34473856586907103</c:v>
                </c:pt>
                <c:pt idx="7">
                  <c:v>0.33335976109305215</c:v>
                </c:pt>
                <c:pt idx="8">
                  <c:v>0.32504996668887409</c:v>
                </c:pt>
                <c:pt idx="9">
                  <c:v>0.31383184812088338</c:v>
                </c:pt>
                <c:pt idx="10">
                  <c:v>0.31124674534203495</c:v>
                </c:pt>
                <c:pt idx="11">
                  <c:v>0.30838667578149276</c:v>
                </c:pt>
                <c:pt idx="12">
                  <c:v>0.31163050323467112</c:v>
                </c:pt>
                <c:pt idx="13">
                  <c:v>0.31935821978553575</c:v>
                </c:pt>
                <c:pt idx="14">
                  <c:v>0.308</c:v>
                </c:pt>
              </c:numCache>
            </c:numRef>
          </c:val>
          <c:extLst>
            <c:ext xmlns:c16="http://schemas.microsoft.com/office/drawing/2014/chart" uri="{C3380CC4-5D6E-409C-BE32-E72D297353CC}">
              <c16:uniqueId val="{00000003-59E9-4C23-87A6-12CBA66EE41F}"/>
            </c:ext>
          </c:extLst>
        </c:ser>
        <c:ser>
          <c:idx val="3"/>
          <c:order val="3"/>
          <c:tx>
            <c:strRef>
              <c:f>List1!$E$1</c:f>
              <c:strCache>
                <c:ptCount val="1"/>
                <c:pt idx="0">
                  <c:v>40–49 let</c:v>
                </c:pt>
              </c:strCache>
            </c:strRef>
          </c:tx>
          <c:spPr>
            <a:solidFill>
              <a:schemeClr val="accent6"/>
            </a:solidFill>
            <a:ln>
              <a:noFill/>
            </a:ln>
            <a:effectLst/>
          </c:spPr>
          <c:invertIfNegative val="0"/>
          <c:dLbls>
            <c:spPr>
              <a:solidFill>
                <a:schemeClr val="bg1"/>
              </a:solidFill>
              <a:ln>
                <a:noFill/>
              </a:ln>
              <a:effectLst/>
            </c:spPr>
            <c:txPr>
              <a:bodyPr rot="0" vert="horz" lIns="36000" tIns="0" rIns="36000" bIns="0"/>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List1!$E$2:$E$16</c:f>
              <c:numCache>
                <c:formatCode>0.0%</c:formatCode>
                <c:ptCount val="15"/>
                <c:pt idx="0">
                  <c:v>0.17948110012193469</c:v>
                </c:pt>
                <c:pt idx="1">
                  <c:v>0.18709333739203227</c:v>
                </c:pt>
                <c:pt idx="2">
                  <c:v>0.18277899840897038</c:v>
                </c:pt>
                <c:pt idx="3">
                  <c:v>0.16916604800791885</c:v>
                </c:pt>
                <c:pt idx="4">
                  <c:v>0.16384180790960451</c:v>
                </c:pt>
                <c:pt idx="5">
                  <c:v>0.22493536340132145</c:v>
                </c:pt>
                <c:pt idx="6">
                  <c:v>0.18186722151581705</c:v>
                </c:pt>
                <c:pt idx="7">
                  <c:v>0.18399006316234573</c:v>
                </c:pt>
                <c:pt idx="8">
                  <c:v>0.19018432156340218</c:v>
                </c:pt>
                <c:pt idx="9">
                  <c:v>0.18434715226656334</c:v>
                </c:pt>
                <c:pt idx="10">
                  <c:v>0.19974300882561796</c:v>
                </c:pt>
                <c:pt idx="11">
                  <c:v>0.20948045491268411</c:v>
                </c:pt>
                <c:pt idx="12">
                  <c:v>0.21552069616992042</c:v>
                </c:pt>
                <c:pt idx="13">
                  <c:v>0.22467682549920717</c:v>
                </c:pt>
                <c:pt idx="14">
                  <c:v>0.22800000000000001</c:v>
                </c:pt>
              </c:numCache>
            </c:numRef>
          </c:val>
          <c:extLst>
            <c:ext xmlns:c16="http://schemas.microsoft.com/office/drawing/2014/chart" uri="{C3380CC4-5D6E-409C-BE32-E72D297353CC}">
              <c16:uniqueId val="{00000004-59E9-4C23-87A6-12CBA66EE41F}"/>
            </c:ext>
          </c:extLst>
        </c:ser>
        <c:ser>
          <c:idx val="4"/>
          <c:order val="4"/>
          <c:tx>
            <c:strRef>
              <c:f>List1!$F$1</c:f>
              <c:strCache>
                <c:ptCount val="1"/>
                <c:pt idx="0">
                  <c:v>50–59 let</c:v>
                </c:pt>
              </c:strCache>
            </c:strRef>
          </c:tx>
          <c:spPr>
            <a:solidFill>
              <a:schemeClr val="accent2"/>
            </a:solidFill>
            <a:ln>
              <a:noFill/>
            </a:ln>
            <a:effectLst/>
          </c:spPr>
          <c:invertIfNegative val="0"/>
          <c:dLbls>
            <c:spPr>
              <a:solidFill>
                <a:schemeClr val="bg1"/>
              </a:solidFill>
              <a:ln>
                <a:noFill/>
              </a:ln>
              <a:effectLst/>
            </c:spPr>
            <c:txPr>
              <a:bodyPr rot="0" vert="horz" lIns="36000" tIns="0" rIns="36000" bIns="0"/>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List1!$F$2:$F$16</c:f>
              <c:numCache>
                <c:formatCode>0.0%</c:formatCode>
                <c:ptCount val="15"/>
                <c:pt idx="0">
                  <c:v>0.10327191437474596</c:v>
                </c:pt>
                <c:pt idx="1">
                  <c:v>0.11498801415471253</c:v>
                </c:pt>
                <c:pt idx="2">
                  <c:v>0.11951663004773089</c:v>
                </c:pt>
                <c:pt idx="3">
                  <c:v>0.11734719128928484</c:v>
                </c:pt>
                <c:pt idx="4">
                  <c:v>0.11727443930833761</c:v>
                </c:pt>
                <c:pt idx="5">
                  <c:v>0.18213157138753233</c:v>
                </c:pt>
                <c:pt idx="6">
                  <c:v>0.12676761838708434</c:v>
                </c:pt>
                <c:pt idx="7">
                  <c:v>0.11868706889716958</c:v>
                </c:pt>
                <c:pt idx="8">
                  <c:v>0.11636686653342217</c:v>
                </c:pt>
                <c:pt idx="9">
                  <c:v>0.10530802014722976</c:v>
                </c:pt>
                <c:pt idx="10">
                  <c:v>0.11835119872856997</c:v>
                </c:pt>
                <c:pt idx="11">
                  <c:v>0.11969423901559878</c:v>
                </c:pt>
                <c:pt idx="12">
                  <c:v>0.12334688269307838</c:v>
                </c:pt>
                <c:pt idx="13">
                  <c:v>0.12894729769679378</c:v>
                </c:pt>
                <c:pt idx="14">
                  <c:v>0.124</c:v>
                </c:pt>
              </c:numCache>
            </c:numRef>
          </c:val>
          <c:extLst>
            <c:ext xmlns:c16="http://schemas.microsoft.com/office/drawing/2014/chart" uri="{C3380CC4-5D6E-409C-BE32-E72D297353CC}">
              <c16:uniqueId val="{00000005-59E9-4C23-87A6-12CBA66EE41F}"/>
            </c:ext>
          </c:extLst>
        </c:ser>
        <c:ser>
          <c:idx val="5"/>
          <c:order val="5"/>
          <c:tx>
            <c:strRef>
              <c:f>List1!$G$1</c:f>
              <c:strCache>
                <c:ptCount val="1"/>
                <c:pt idx="0">
                  <c:v>60 a více let</c:v>
                </c:pt>
              </c:strCache>
            </c:strRef>
          </c:tx>
          <c:spPr>
            <a:solidFill>
              <a:schemeClr val="tx2"/>
            </a:solidFill>
            <a:ln>
              <a:noFill/>
            </a:ln>
            <a:effectLst/>
          </c:spPr>
          <c:invertIfNegative val="0"/>
          <c:dLbls>
            <c:spPr>
              <a:solidFill>
                <a:schemeClr val="bg1"/>
              </a:solidFill>
              <a:ln>
                <a:noFill/>
              </a:ln>
              <a:effectLst/>
            </c:spPr>
            <c:txPr>
              <a:bodyPr rot="0" vert="horz" lIns="36000" tIns="0" rIns="36000" bIns="0"/>
              <a:lstStyle/>
              <a:p>
                <a:pPr>
                  <a:defRPr sz="8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List1!$G$2:$G$16</c:f>
              <c:numCache>
                <c:formatCode>0.0%</c:formatCode>
                <c:ptCount val="15"/>
                <c:pt idx="0">
                  <c:v>1.5614415390868447E-2</c:v>
                </c:pt>
                <c:pt idx="1">
                  <c:v>2.2145276054944638E-2</c:v>
                </c:pt>
                <c:pt idx="2">
                  <c:v>2.5721645579210545E-2</c:v>
                </c:pt>
                <c:pt idx="3">
                  <c:v>3.1378371690175696E-2</c:v>
                </c:pt>
                <c:pt idx="4">
                  <c:v>3.8634936940021687E-2</c:v>
                </c:pt>
                <c:pt idx="5">
                  <c:v>7.2967538063774776E-2</c:v>
                </c:pt>
                <c:pt idx="6">
                  <c:v>4.4927368704966671E-2</c:v>
                </c:pt>
                <c:pt idx="7">
                  <c:v>4.1412299479373131E-2</c:v>
                </c:pt>
                <c:pt idx="8">
                  <c:v>4.2660448589829002E-2</c:v>
                </c:pt>
                <c:pt idx="9">
                  <c:v>3.632313056954669E-2</c:v>
                </c:pt>
                <c:pt idx="10">
                  <c:v>4.8862137760795323E-2</c:v>
                </c:pt>
                <c:pt idx="11">
                  <c:v>5.2948853396308497E-2</c:v>
                </c:pt>
                <c:pt idx="12">
                  <c:v>5.6320490066983454E-2</c:v>
                </c:pt>
                <c:pt idx="13">
                  <c:v>6.1369561127684165E-2</c:v>
                </c:pt>
                <c:pt idx="14">
                  <c:v>6.3E-2</c:v>
                </c:pt>
              </c:numCache>
            </c:numRef>
          </c:val>
          <c:extLst>
            <c:ext xmlns:c16="http://schemas.microsoft.com/office/drawing/2014/chart" uri="{C3380CC4-5D6E-409C-BE32-E72D297353CC}">
              <c16:uniqueId val="{00000006-59E9-4C23-87A6-12CBA66EE41F}"/>
            </c:ext>
          </c:extLst>
        </c:ser>
        <c:dLbls>
          <c:showLegendKey val="0"/>
          <c:showVal val="1"/>
          <c:showCatName val="0"/>
          <c:showSerName val="0"/>
          <c:showPercent val="0"/>
          <c:showBubbleSize val="0"/>
        </c:dLbls>
        <c:gapWidth val="150"/>
        <c:shape val="cylinder"/>
        <c:axId val="438006240"/>
        <c:axId val="438006632"/>
        <c:axId val="0"/>
      </c:bar3DChart>
      <c:catAx>
        <c:axId val="43800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38006632"/>
        <c:crosses val="autoZero"/>
        <c:auto val="1"/>
        <c:lblAlgn val="ctr"/>
        <c:lblOffset val="100"/>
        <c:noMultiLvlLbl val="0"/>
      </c:catAx>
      <c:valAx>
        <c:axId val="438006632"/>
        <c:scaling>
          <c:orientation val="minMax"/>
          <c:max val="1"/>
        </c:scaling>
        <c:delete val="0"/>
        <c:axPos val="b"/>
        <c:numFmt formatCode="0%" sourceLinked="0"/>
        <c:majorTickMark val="none"/>
        <c:minorTickMark val="none"/>
        <c:tickLblPos val="nextTo"/>
        <c:spPr>
          <a:noFill/>
          <a:ln>
            <a:noFill/>
          </a:ln>
          <a:effectLst/>
        </c:spPr>
        <c:txPr>
          <a:bodyPr rot="-60000000" vert="horz"/>
          <a:lstStyle/>
          <a:p>
            <a:pPr>
              <a:defRPr/>
            </a:pPr>
            <a:endParaRPr lang="cs-CZ"/>
          </a:p>
        </c:txPr>
        <c:crossAx val="438006240"/>
        <c:crosses val="autoZero"/>
        <c:crossBetween val="between"/>
      </c:valAx>
    </c:plotArea>
    <c:legend>
      <c:legendPos val="b"/>
      <c:layout>
        <c:manualLayout>
          <c:xMode val="edge"/>
          <c:yMode val="edge"/>
          <c:x val="7.9667287965815875E-2"/>
          <c:y val="0.96304103553320897"/>
          <c:w val="0.82992988195316164"/>
          <c:h val="3.6958964466791047E-2"/>
        </c:manualLayout>
      </c:layout>
      <c:overlay val="0"/>
      <c:spPr>
        <a:noFill/>
        <a:ln>
          <a:noFill/>
        </a:ln>
        <a:effectLst/>
      </c:spPr>
      <c:txPr>
        <a:bodyPr rot="0" vert="horz"/>
        <a:lstStyle/>
        <a:p>
          <a:pPr>
            <a:defRPr sz="1000"/>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cs-CZ"/>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effectLst/>
                <a:latin typeface="Arial Narrow" panose="020B0606020202030204" pitchFamily="34" charset="0"/>
                <a:ea typeface="+mn-ea"/>
                <a:cs typeface="+mn-cs"/>
              </a:defRPr>
            </a:pPr>
            <a:r>
              <a:rPr lang="cs-CZ" sz="1000" b="1" cap="none">
                <a:effectLst/>
              </a:rPr>
              <a:t>Délka trvání zaměstnání osob s jinou než českou státní příslušností evidovaných na úřadech práce k 30. 6. 2021</a:t>
            </a:r>
            <a:endParaRPr lang="en-US" sz="1000" b="1" cap="none">
              <a:effectLst/>
            </a:endParaRPr>
          </a:p>
        </c:rich>
      </c:tx>
      <c:layout>
        <c:manualLayout>
          <c:xMode val="edge"/>
          <c:yMode val="edge"/>
          <c:x val="0.14195648446563836"/>
          <c:y val="4.2017909526015128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47E-3"/>
          <c:y val="8.147753589624826E-2"/>
          <c:w val="0.99768518518518523"/>
          <c:h val="0.72214528331017458"/>
        </c:manualLayout>
      </c:layout>
      <c:bar3DChart>
        <c:barDir val="col"/>
        <c:grouping val="clustered"/>
        <c:varyColors val="0"/>
        <c:ser>
          <c:idx val="0"/>
          <c:order val="0"/>
          <c:tx>
            <c:strRef>
              <c:f>List1!$B$1</c:f>
              <c:strCache>
                <c:ptCount val="1"/>
                <c:pt idx="0">
                  <c:v>Řada 1</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3"/>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4E59-436E-AD81-6B8FACB86E5C}"/>
              </c:ext>
            </c:extLst>
          </c:dPt>
          <c:dLbls>
            <c:dLbl>
              <c:idx val="0"/>
              <c:layout>
                <c:manualLayout>
                  <c:x val="1.5474743008732176E-2"/>
                  <c:y val="-2.0356234096692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59-436E-AD81-6B8FACB86E5C}"/>
                </c:ext>
              </c:extLst>
            </c:dLbl>
            <c:dLbl>
              <c:idx val="1"/>
              <c:layout>
                <c:manualLayout>
                  <c:x val="1.3264065436056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59-436E-AD81-6B8FACB86E5C}"/>
                </c:ext>
              </c:extLst>
            </c:dLbl>
            <c:dLbl>
              <c:idx val="2"/>
              <c:layout>
                <c:manualLayout>
                  <c:x val="1.5474743008732096E-2"/>
                  <c:y val="-3.0534351145038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59-436E-AD81-6B8FACB86E5C}"/>
                </c:ext>
              </c:extLst>
            </c:dLbl>
            <c:dLbl>
              <c:idx val="3"/>
              <c:layout>
                <c:manualLayout>
                  <c:x val="1.7685420581408203E-2"/>
                  <c:y val="-2.0356234096692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59-436E-AD81-6B8FACB86E5C}"/>
                </c:ext>
              </c:extLst>
            </c:dLbl>
            <c:spPr>
              <a:solidFill>
                <a:schemeClr val="bg1"/>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List1!$A$2:$A$5</c:f>
              <c:strCache>
                <c:ptCount val="4"/>
                <c:pt idx="0">
                  <c:v>do 3 měsíců</c:v>
                </c:pt>
                <c:pt idx="1">
                  <c:v>3-6 měsíců</c:v>
                </c:pt>
                <c:pt idx="2">
                  <c:v>7-12 měsíců</c:v>
                </c:pt>
                <c:pt idx="3">
                  <c:v>nad 12 měsíců</c:v>
                </c:pt>
              </c:strCache>
            </c:strRef>
          </c:cat>
          <c:val>
            <c:numRef>
              <c:f>List1!$B$2:$B$5</c:f>
              <c:numCache>
                <c:formatCode>General</c:formatCode>
                <c:ptCount val="4"/>
                <c:pt idx="0">
                  <c:v>5159</c:v>
                </c:pt>
                <c:pt idx="1">
                  <c:v>594</c:v>
                </c:pt>
                <c:pt idx="2">
                  <c:v>3183</c:v>
                </c:pt>
                <c:pt idx="3">
                  <c:v>56563</c:v>
                </c:pt>
              </c:numCache>
            </c:numRef>
          </c:val>
          <c:shape val="cylinder"/>
          <c:extLst>
            <c:ext xmlns:c16="http://schemas.microsoft.com/office/drawing/2014/chart" uri="{C3380CC4-5D6E-409C-BE32-E72D297353CC}">
              <c16:uniqueId val="{00000005-4E59-436E-AD81-6B8FACB86E5C}"/>
            </c:ext>
          </c:extLst>
        </c:ser>
        <c:dLbls>
          <c:showLegendKey val="0"/>
          <c:showVal val="1"/>
          <c:showCatName val="0"/>
          <c:showSerName val="0"/>
          <c:showPercent val="0"/>
          <c:showBubbleSize val="0"/>
        </c:dLbls>
        <c:gapWidth val="87"/>
        <c:gapDepth val="0"/>
        <c:shape val="box"/>
        <c:axId val="438008592"/>
        <c:axId val="438011336"/>
        <c:axId val="0"/>
      </c:bar3DChart>
      <c:catAx>
        <c:axId val="438008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cs-CZ"/>
          </a:p>
        </c:txPr>
        <c:crossAx val="438011336"/>
        <c:crosses val="autoZero"/>
        <c:auto val="1"/>
        <c:lblAlgn val="ctr"/>
        <c:lblOffset val="100"/>
        <c:noMultiLvlLbl val="0"/>
      </c:catAx>
      <c:valAx>
        <c:axId val="438011336"/>
        <c:scaling>
          <c:orientation val="minMax"/>
        </c:scaling>
        <c:delete val="1"/>
        <c:axPos val="l"/>
        <c:numFmt formatCode="General" sourceLinked="1"/>
        <c:majorTickMark val="out"/>
        <c:minorTickMark val="none"/>
        <c:tickLblPos val="nextTo"/>
        <c:crossAx val="438008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Doba zaměstnání osob</a:t>
            </a:r>
            <a:r>
              <a:rPr lang="cs-CZ" sz="1000" b="1" cap="none" spc="0" baseline="0">
                <a:ln w="0"/>
                <a:solidFill>
                  <a:schemeClr val="tx1"/>
                </a:solidFill>
                <a:effectLst/>
              </a:rPr>
              <a:t> s jinou než českou státní příslušností</a:t>
            </a:r>
            <a:r>
              <a:rPr lang="cs-CZ" sz="1000" b="1" cap="none" spc="0">
                <a:ln w="0"/>
                <a:solidFill>
                  <a:schemeClr val="tx1"/>
                </a:solidFill>
                <a:effectLst/>
              </a:rPr>
              <a:t> evidovaných na úřadech práce v Jihomoravském kraji v letech 2008–2021</a:t>
            </a:r>
          </a:p>
        </c:rich>
      </c:tx>
      <c:layout>
        <c:manualLayout>
          <c:xMode val="edge"/>
          <c:yMode val="edge"/>
          <c:x val="0.10631229235880399"/>
          <c:y val="7.0921985815602835E-3"/>
        </c:manualLayout>
      </c:layout>
      <c:overlay val="0"/>
      <c:spPr>
        <a:noFill/>
        <a:ln>
          <a:noFill/>
        </a:ln>
        <a:effectLst/>
      </c:spPr>
    </c:title>
    <c:autoTitleDeleted val="0"/>
    <c:view3D>
      <c:rotX val="15"/>
      <c:rotY val="20"/>
      <c:depthPercent val="100"/>
      <c:rAngAx val="1"/>
    </c:view3D>
    <c:floor>
      <c:thickness val="0"/>
      <c:spPr>
        <a:noFill/>
        <a:ln w="25400">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7452302030321319E-2"/>
          <c:y val="5.2569950495318526E-2"/>
          <c:w val="0.90624096870520288"/>
          <c:h val="0.8950583350994169"/>
        </c:manualLayout>
      </c:layout>
      <c:bar3DChart>
        <c:barDir val="bar"/>
        <c:grouping val="stacked"/>
        <c:varyColors val="0"/>
        <c:ser>
          <c:idx val="0"/>
          <c:order val="0"/>
          <c:tx>
            <c:strRef>
              <c:f>List1!$B$1</c:f>
              <c:strCache>
                <c:ptCount val="1"/>
                <c:pt idx="0">
                  <c:v>do 3 měsíců</c:v>
                </c:pt>
              </c:strCache>
            </c:strRef>
          </c:tx>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List1!$B$2:$B$15</c:f>
              <c:numCache>
                <c:formatCode>0</c:formatCode>
                <c:ptCount val="14"/>
                <c:pt idx="0">
                  <c:v>443</c:v>
                </c:pt>
                <c:pt idx="1">
                  <c:v>281</c:v>
                </c:pt>
                <c:pt idx="2">
                  <c:v>452</c:v>
                </c:pt>
                <c:pt idx="3">
                  <c:v>267</c:v>
                </c:pt>
                <c:pt idx="4">
                  <c:v>0</c:v>
                </c:pt>
                <c:pt idx="5">
                  <c:v>0</c:v>
                </c:pt>
                <c:pt idx="6">
                  <c:v>832</c:v>
                </c:pt>
                <c:pt idx="7">
                  <c:v>906</c:v>
                </c:pt>
                <c:pt idx="8">
                  <c:v>1614</c:v>
                </c:pt>
                <c:pt idx="9">
                  <c:v>2503</c:v>
                </c:pt>
                <c:pt idx="10">
                  <c:v>3292</c:v>
                </c:pt>
                <c:pt idx="11">
                  <c:v>3499</c:v>
                </c:pt>
                <c:pt idx="12" formatCode="#,##0">
                  <c:v>3257</c:v>
                </c:pt>
                <c:pt idx="13">
                  <c:v>5159</c:v>
                </c:pt>
              </c:numCache>
            </c:numRef>
          </c:val>
          <c:extLst>
            <c:ext xmlns:c16="http://schemas.microsoft.com/office/drawing/2014/chart" uri="{C3380CC4-5D6E-409C-BE32-E72D297353CC}">
              <c16:uniqueId val="{00000000-F1A2-41AD-99D0-03708CE7919E}"/>
            </c:ext>
          </c:extLst>
        </c:ser>
        <c:ser>
          <c:idx val="1"/>
          <c:order val="1"/>
          <c:tx>
            <c:strRef>
              <c:f>List1!$C$1</c:f>
              <c:strCache>
                <c:ptCount val="1"/>
                <c:pt idx="0">
                  <c:v>3–6 měsíců</c:v>
                </c:pt>
              </c:strCache>
            </c:strRef>
          </c:tx>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List1!$C$2:$C$15</c:f>
              <c:numCache>
                <c:formatCode>0</c:formatCode>
                <c:ptCount val="14"/>
                <c:pt idx="0">
                  <c:v>556</c:v>
                </c:pt>
                <c:pt idx="1">
                  <c:v>274</c:v>
                </c:pt>
                <c:pt idx="2">
                  <c:v>296</c:v>
                </c:pt>
                <c:pt idx="3">
                  <c:v>315</c:v>
                </c:pt>
                <c:pt idx="4">
                  <c:v>2</c:v>
                </c:pt>
                <c:pt idx="5">
                  <c:v>0</c:v>
                </c:pt>
                <c:pt idx="6">
                  <c:v>720</c:v>
                </c:pt>
                <c:pt idx="7">
                  <c:v>947</c:v>
                </c:pt>
                <c:pt idx="8">
                  <c:v>1087</c:v>
                </c:pt>
                <c:pt idx="9">
                  <c:v>1070</c:v>
                </c:pt>
                <c:pt idx="10">
                  <c:v>1054</c:v>
                </c:pt>
                <c:pt idx="11">
                  <c:v>1334</c:v>
                </c:pt>
                <c:pt idx="12">
                  <c:v>1345</c:v>
                </c:pt>
                <c:pt idx="13">
                  <c:v>594</c:v>
                </c:pt>
              </c:numCache>
            </c:numRef>
          </c:val>
          <c:extLst>
            <c:ext xmlns:c16="http://schemas.microsoft.com/office/drawing/2014/chart" uri="{C3380CC4-5D6E-409C-BE32-E72D297353CC}">
              <c16:uniqueId val="{00000001-F1A2-41AD-99D0-03708CE7919E}"/>
            </c:ext>
          </c:extLst>
        </c:ser>
        <c:ser>
          <c:idx val="2"/>
          <c:order val="2"/>
          <c:tx>
            <c:strRef>
              <c:f>List1!$D$1</c:f>
              <c:strCache>
                <c:ptCount val="1"/>
                <c:pt idx="0">
                  <c:v>7–12 měsíců</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List1!$D$2:$D$15</c:f>
              <c:numCache>
                <c:formatCode>0</c:formatCode>
                <c:ptCount val="14"/>
                <c:pt idx="0">
                  <c:v>11708</c:v>
                </c:pt>
                <c:pt idx="1">
                  <c:v>3121</c:v>
                </c:pt>
                <c:pt idx="2">
                  <c:v>2949</c:v>
                </c:pt>
                <c:pt idx="3">
                  <c:v>1403</c:v>
                </c:pt>
                <c:pt idx="4">
                  <c:v>147</c:v>
                </c:pt>
                <c:pt idx="5">
                  <c:v>3</c:v>
                </c:pt>
                <c:pt idx="6">
                  <c:v>2444</c:v>
                </c:pt>
                <c:pt idx="7">
                  <c:v>2137</c:v>
                </c:pt>
                <c:pt idx="8">
                  <c:v>2448</c:v>
                </c:pt>
                <c:pt idx="9">
                  <c:v>2817</c:v>
                </c:pt>
                <c:pt idx="10">
                  <c:v>3071</c:v>
                </c:pt>
                <c:pt idx="11">
                  <c:v>2815</c:v>
                </c:pt>
                <c:pt idx="12">
                  <c:v>2965</c:v>
                </c:pt>
                <c:pt idx="13">
                  <c:v>3183</c:v>
                </c:pt>
              </c:numCache>
            </c:numRef>
          </c:val>
          <c:extLst>
            <c:ext xmlns:c16="http://schemas.microsoft.com/office/drawing/2014/chart" uri="{C3380CC4-5D6E-409C-BE32-E72D297353CC}">
              <c16:uniqueId val="{00000002-F1A2-41AD-99D0-03708CE7919E}"/>
            </c:ext>
          </c:extLst>
        </c:ser>
        <c:ser>
          <c:idx val="3"/>
          <c:order val="3"/>
          <c:tx>
            <c:strRef>
              <c:f>List1!$E$1</c:f>
              <c:strCache>
                <c:ptCount val="1"/>
                <c:pt idx="0">
                  <c:v>nad 12 měsíců</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16817, 57,0 %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A2-41AD-99D0-03708CE7919E}"/>
                </c:ext>
              </c:extLst>
            </c:dLbl>
            <c:dLbl>
              <c:idx val="1"/>
              <c:tx>
                <c:rich>
                  <a:bodyPr/>
                  <a:lstStyle/>
                  <a:p>
                    <a:r>
                      <a:rPr lang="en-US"/>
                      <a:t>22606, 86,0 %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A2-41AD-99D0-03708CE7919E}"/>
                </c:ext>
              </c:extLst>
            </c:dLbl>
            <c:dLbl>
              <c:idx val="2"/>
              <c:tx>
                <c:rich>
                  <a:bodyPr/>
                  <a:lstStyle/>
                  <a:p>
                    <a:r>
                      <a:rPr lang="en-US"/>
                      <a:t>22684, 86,0 %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1A2-41AD-99D0-03708CE7919E}"/>
                </c:ext>
              </c:extLst>
            </c:dLbl>
            <c:dLbl>
              <c:idx val="3"/>
              <c:tx>
                <c:rich>
                  <a:bodyPr/>
                  <a:lstStyle/>
                  <a:p>
                    <a:r>
                      <a:rPr lang="en-US"/>
                      <a:t>18207, 90,2 %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1A2-41AD-99D0-03708CE7919E}"/>
                </c:ext>
              </c:extLst>
            </c:dLbl>
            <c:dLbl>
              <c:idx val="4"/>
              <c:tx>
                <c:rich>
                  <a:bodyPr/>
                  <a:lstStyle/>
                  <a:p>
                    <a:r>
                      <a:rPr lang="en-US"/>
                      <a:t>16393, 99,1 %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1A2-41AD-99D0-03708CE7919E}"/>
                </c:ext>
              </c:extLst>
            </c:dLbl>
            <c:dLbl>
              <c:idx val="5"/>
              <c:layout>
                <c:manualLayout>
                  <c:x val="8.7636932707355245E-2"/>
                  <c:y val="-2.7605244996549345E-3"/>
                </c:manualLayout>
              </c:layout>
              <c:tx>
                <c:rich>
                  <a:bodyPr/>
                  <a:lstStyle/>
                  <a:p>
                    <a:r>
                      <a:rPr lang="en-US"/>
                      <a:t>3474, 99,9 %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1A2-41AD-99D0-03708CE7919E}"/>
                </c:ext>
              </c:extLst>
            </c:dLbl>
            <c:dLbl>
              <c:idx val="6"/>
              <c:tx>
                <c:rich>
                  <a:bodyPr/>
                  <a:lstStyle/>
                  <a:p>
                    <a:r>
                      <a:rPr lang="en-US"/>
                      <a:t>21713, 84,5 %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1A2-41AD-99D0-03708CE7919E}"/>
                </c:ext>
              </c:extLst>
            </c:dLbl>
            <c:dLbl>
              <c:idx val="7"/>
              <c:tx>
                <c:rich>
                  <a:bodyPr/>
                  <a:lstStyle/>
                  <a:p>
                    <a:r>
                      <a:rPr lang="en-US"/>
                      <a:t>33004, 89,2 %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1A2-41AD-99D0-03708CE7919E}"/>
                </c:ext>
              </c:extLst>
            </c:dLbl>
            <c:dLbl>
              <c:idx val="8"/>
              <c:tx>
                <c:rich>
                  <a:bodyPr/>
                  <a:lstStyle/>
                  <a:p>
                    <a:r>
                      <a:rPr lang="en-US"/>
                      <a:t>38326, 88,2 %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1A2-41AD-99D0-03708CE7919E}"/>
                </c:ext>
              </c:extLst>
            </c:dLbl>
            <c:dLbl>
              <c:idx val="9"/>
              <c:tx>
                <c:rich>
                  <a:bodyPr/>
                  <a:lstStyle/>
                  <a:p>
                    <a:r>
                      <a:rPr lang="en-US"/>
                      <a:t>42799, 87,0 %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1A2-41AD-99D0-03708CE7919E}"/>
                </c:ext>
              </c:extLst>
            </c:dLbl>
            <c:dLbl>
              <c:idx val="10"/>
              <c:tx>
                <c:rich>
                  <a:bodyPr/>
                  <a:lstStyle/>
                  <a:p>
                    <a:r>
                      <a:rPr lang="en-US"/>
                      <a:t>47273, 86,4 %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1A2-41AD-99D0-03708CE7919E}"/>
                </c:ext>
              </c:extLst>
            </c:dLbl>
            <c:dLbl>
              <c:idx val="11"/>
              <c:tx>
                <c:rich>
                  <a:bodyPr/>
                  <a:lstStyle/>
                  <a:p>
                    <a:r>
                      <a:rPr lang="en-US"/>
                      <a:t>50769, 86,9 %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1A2-41AD-99D0-03708CE7919E}"/>
                </c:ext>
              </c:extLst>
            </c:dLbl>
            <c:dLbl>
              <c:idx val="12"/>
              <c:tx>
                <c:rich>
                  <a:bodyPr/>
                  <a:lstStyle/>
                  <a:p>
                    <a:r>
                      <a:rPr lang="en-US"/>
                      <a:t>54244, 87,8 %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1A2-41AD-99D0-03708CE7919E}"/>
                </c:ext>
              </c:extLst>
            </c:dLbl>
            <c:dLbl>
              <c:idx val="13"/>
              <c:tx>
                <c:rich>
                  <a:bodyPr/>
                  <a:lstStyle/>
                  <a:p>
                    <a:fld id="{9C34EE07-A1D0-466C-92D7-E211A4B1DD2A}" type="VALUE">
                      <a:rPr lang="en-US"/>
                      <a:pPr/>
                      <a:t>[HODNOTA]</a:t>
                    </a:fld>
                    <a:r>
                      <a:rPr lang="en-US"/>
                      <a:t>, 86,3 %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1A2-41AD-99D0-03708CE7919E}"/>
                </c:ext>
              </c:extLst>
            </c:dLbl>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List1!$E$2:$E$15</c:f>
              <c:numCache>
                <c:formatCode>0</c:formatCode>
                <c:ptCount val="14"/>
                <c:pt idx="0">
                  <c:v>16817</c:v>
                </c:pt>
                <c:pt idx="1">
                  <c:v>22606</c:v>
                </c:pt>
                <c:pt idx="2">
                  <c:v>22684</c:v>
                </c:pt>
                <c:pt idx="3">
                  <c:v>18207</c:v>
                </c:pt>
                <c:pt idx="4">
                  <c:v>16393</c:v>
                </c:pt>
                <c:pt idx="5">
                  <c:v>3474</c:v>
                </c:pt>
                <c:pt idx="6">
                  <c:v>21713</c:v>
                </c:pt>
                <c:pt idx="7">
                  <c:v>33004</c:v>
                </c:pt>
                <c:pt idx="8">
                  <c:v>38326</c:v>
                </c:pt>
                <c:pt idx="9">
                  <c:v>42799</c:v>
                </c:pt>
                <c:pt idx="10">
                  <c:v>47273</c:v>
                </c:pt>
                <c:pt idx="11">
                  <c:v>50769</c:v>
                </c:pt>
                <c:pt idx="12">
                  <c:v>54244</c:v>
                </c:pt>
                <c:pt idx="13">
                  <c:v>56563</c:v>
                </c:pt>
              </c:numCache>
            </c:numRef>
          </c:val>
          <c:extLst>
            <c:ext xmlns:c16="http://schemas.microsoft.com/office/drawing/2014/chart" uri="{C3380CC4-5D6E-409C-BE32-E72D297353CC}">
              <c16:uniqueId val="{00000011-F1A2-41AD-99D0-03708CE7919E}"/>
            </c:ext>
          </c:extLst>
        </c:ser>
        <c:dLbls>
          <c:showLegendKey val="0"/>
          <c:showVal val="0"/>
          <c:showCatName val="0"/>
          <c:showSerName val="0"/>
          <c:showPercent val="0"/>
          <c:showBubbleSize val="0"/>
        </c:dLbls>
        <c:gapWidth val="150"/>
        <c:shape val="cylinder"/>
        <c:axId val="438008984"/>
        <c:axId val="438012120"/>
        <c:axId val="0"/>
      </c:bar3DChart>
      <c:catAx>
        <c:axId val="438008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12120"/>
        <c:crosses val="autoZero"/>
        <c:auto val="1"/>
        <c:lblAlgn val="ctr"/>
        <c:lblOffset val="100"/>
        <c:noMultiLvlLbl val="0"/>
      </c:catAx>
      <c:valAx>
        <c:axId val="438012120"/>
        <c:scaling>
          <c:orientation val="minMax"/>
          <c:max val="6000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crossAx val="438008984"/>
        <c:crosses val="autoZero"/>
        <c:crossBetween val="between"/>
      </c:valAx>
      <c:spPr>
        <a:noFill/>
        <a:ln>
          <a:noFill/>
        </a:ln>
        <a:effectLst/>
      </c:spPr>
    </c:plotArea>
    <c:legend>
      <c:legendPos val="b"/>
      <c:layout>
        <c:manualLayout>
          <c:xMode val="edge"/>
          <c:yMode val="edge"/>
          <c:x val="0.72740872179709926"/>
          <c:y val="0.55155236030278831"/>
          <c:w val="0.25681202995165509"/>
          <c:h val="0.2754203550643126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effectLst/>
                <a:latin typeface="Arial Narrow" panose="020B0606020202030204" pitchFamily="34" charset="0"/>
                <a:ea typeface="+mn-ea"/>
                <a:cs typeface="+mn-cs"/>
              </a:defRPr>
            </a:pPr>
            <a:r>
              <a:rPr lang="cs-CZ" sz="1000" b="1" cap="none">
                <a:effectLst/>
              </a:rPr>
              <a:t>Nejvyšší dosažené</a:t>
            </a:r>
            <a:r>
              <a:rPr lang="cs-CZ" sz="1000" b="1" cap="none" baseline="0">
                <a:effectLst/>
              </a:rPr>
              <a:t> vzdělání </a:t>
            </a:r>
            <a:r>
              <a:rPr lang="cs-CZ" sz="1000" b="1" i="0" u="none" strike="noStrike" cap="none" baseline="0">
                <a:effectLst/>
              </a:rPr>
              <a:t>osob s jinou než českou státní příslušností</a:t>
            </a:r>
            <a:r>
              <a:rPr lang="cs-CZ" sz="1000" b="1" cap="none">
                <a:effectLst/>
              </a:rPr>
              <a:t> evidovaných na úřadech práce k 30. 6. 2021</a:t>
            </a:r>
            <a:endParaRPr lang="en-US" sz="1000" b="1" cap="none">
              <a:effectLst/>
            </a:endParaRPr>
          </a:p>
        </c:rich>
      </c:tx>
      <c:layout>
        <c:manualLayout>
          <c:xMode val="edge"/>
          <c:yMode val="edge"/>
          <c:x val="0.11544039474705613"/>
          <c:y val="1.0874198428944153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141656328328735"/>
          <c:y val="7.088569582904132E-2"/>
          <c:w val="0.52858343671671271"/>
          <c:h val="0.92703892562628754"/>
        </c:manualLayout>
      </c:layout>
      <c:bar3DChart>
        <c:barDir val="bar"/>
        <c:grouping val="clustered"/>
        <c:varyColors val="0"/>
        <c:ser>
          <c:idx val="0"/>
          <c:order val="0"/>
          <c:tx>
            <c:strRef>
              <c:f>List1!$B$1</c:f>
              <c:strCache>
                <c:ptCount val="1"/>
                <c:pt idx="0">
                  <c:v>Řada 1</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2"/>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4555-49A2-AE2E-B1334ECA02D0}"/>
              </c:ext>
            </c:extLst>
          </c:dPt>
          <c:dPt>
            <c:idx val="9"/>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3-4555-49A2-AE2E-B1334ECA02D0}"/>
              </c:ext>
            </c:extLst>
          </c:dPt>
          <c:dLbls>
            <c:spPr>
              <a:solidFill>
                <a:schemeClr val="bg1"/>
              </a:solidFill>
              <a:ln>
                <a:solidFill>
                  <a:schemeClr val="lt1">
                    <a:alpha val="50000"/>
                  </a:schemeClr>
                </a:solidFill>
                <a:round/>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List1!$A$2:$A$12</c:f>
              <c:strCache>
                <c:ptCount val="11"/>
                <c:pt idx="0">
                  <c:v>Nezjištěno</c:v>
                </c:pt>
                <c:pt idx="1">
                  <c:v>bez vzdělání + neúplné základní</c:v>
                </c:pt>
                <c:pt idx="2">
                  <c:v>Základní, praktická škola</c:v>
                </c:pt>
                <c:pt idx="3">
                  <c:v>Nižší střední + nižší střední odborné</c:v>
                </c:pt>
                <c:pt idx="4">
                  <c:v>Střední nebo střední odborné bez maturity i výučního listu</c:v>
                </c:pt>
                <c:pt idx="5">
                  <c:v>Střední odborné s výučním listem</c:v>
                </c:pt>
                <c:pt idx="6">
                  <c:v>Úplné střední vzdělání</c:v>
                </c:pt>
                <c:pt idx="7">
                  <c:v>Úplné střední odborné s vyučením a maturitou/s maturitou bez vyučení</c:v>
                </c:pt>
                <c:pt idx="8">
                  <c:v>Vyšší odborné</c:v>
                </c:pt>
                <c:pt idx="9">
                  <c:v>Vysokoškolské</c:v>
                </c:pt>
                <c:pt idx="10">
                  <c:v>Doktorské</c:v>
                </c:pt>
              </c:strCache>
            </c:strRef>
          </c:cat>
          <c:val>
            <c:numRef>
              <c:f>List1!$B$2:$B$12</c:f>
              <c:numCache>
                <c:formatCode>General</c:formatCode>
                <c:ptCount val="11"/>
                <c:pt idx="0">
                  <c:v>812</c:v>
                </c:pt>
                <c:pt idx="1">
                  <c:v>245</c:v>
                </c:pt>
                <c:pt idx="2">
                  <c:v>21744</c:v>
                </c:pt>
                <c:pt idx="3">
                  <c:v>1315</c:v>
                </c:pt>
                <c:pt idx="4">
                  <c:v>695</c:v>
                </c:pt>
                <c:pt idx="5">
                  <c:v>11826</c:v>
                </c:pt>
                <c:pt idx="6">
                  <c:v>8616</c:v>
                </c:pt>
                <c:pt idx="7">
                  <c:v>10192</c:v>
                </c:pt>
                <c:pt idx="8">
                  <c:v>653</c:v>
                </c:pt>
                <c:pt idx="9">
                  <c:v>17581</c:v>
                </c:pt>
                <c:pt idx="10">
                  <c:v>710</c:v>
                </c:pt>
              </c:numCache>
            </c:numRef>
          </c:val>
          <c:shape val="cylinder"/>
          <c:extLst>
            <c:ext xmlns:c16="http://schemas.microsoft.com/office/drawing/2014/chart" uri="{C3380CC4-5D6E-409C-BE32-E72D297353CC}">
              <c16:uniqueId val="{00000004-4555-49A2-AE2E-B1334ECA02D0}"/>
            </c:ext>
          </c:extLst>
        </c:ser>
        <c:dLbls>
          <c:showLegendKey val="0"/>
          <c:showVal val="1"/>
          <c:showCatName val="0"/>
          <c:showSerName val="0"/>
          <c:showPercent val="0"/>
          <c:showBubbleSize val="0"/>
        </c:dLbls>
        <c:gapWidth val="66"/>
        <c:gapDepth val="25"/>
        <c:shape val="box"/>
        <c:axId val="438012904"/>
        <c:axId val="438015256"/>
        <c:axId val="0"/>
      </c:bar3DChart>
      <c:catAx>
        <c:axId val="438012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15256"/>
        <c:crosses val="autoZero"/>
        <c:auto val="1"/>
        <c:lblAlgn val="ctr"/>
        <c:lblOffset val="100"/>
        <c:noMultiLvlLbl val="0"/>
      </c:catAx>
      <c:valAx>
        <c:axId val="438015256"/>
        <c:scaling>
          <c:orientation val="minMax"/>
        </c:scaling>
        <c:delete val="1"/>
        <c:axPos val="b"/>
        <c:numFmt formatCode="General" sourceLinked="1"/>
        <c:majorTickMark val="out"/>
        <c:minorTickMark val="none"/>
        <c:tickLblPos val="nextTo"/>
        <c:crossAx val="438012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Počty zaměstnaných </a:t>
            </a:r>
            <a:r>
              <a:rPr lang="cs-CZ" sz="1000" b="1" i="0" u="none" strike="noStrike" cap="none" spc="0" baseline="0">
                <a:ln w="0"/>
                <a:solidFill>
                  <a:schemeClr val="tx1"/>
                </a:solidFill>
                <a:effectLst/>
              </a:rPr>
              <a:t>osob s jinou než českou státní příslušností</a:t>
            </a:r>
            <a:r>
              <a:rPr lang="cs-CZ" sz="1000" b="1" cap="none" spc="0">
                <a:ln w="0"/>
                <a:solidFill>
                  <a:schemeClr val="tx1"/>
                </a:solidFill>
                <a:effectLst/>
              </a:rPr>
              <a:t> v Jihomoravském kraji dle nejvyššího dosaženého vzdělání v letech 2008–2021</a:t>
            </a:r>
          </a:p>
        </c:rich>
      </c:tx>
      <c:layout>
        <c:manualLayout>
          <c:xMode val="edge"/>
          <c:yMode val="edge"/>
          <c:x val="0.1151957760341577"/>
          <c:y val="5.9523809523809521E-3"/>
        </c:manualLayout>
      </c:layout>
      <c:overlay val="0"/>
      <c:spPr>
        <a:noFill/>
        <a:ln>
          <a:noFill/>
        </a:ln>
        <a:effectLst/>
      </c:spPr>
    </c:title>
    <c:autoTitleDeleted val="0"/>
    <c:plotArea>
      <c:layout>
        <c:manualLayout>
          <c:layoutTarget val="inner"/>
          <c:xMode val="edge"/>
          <c:yMode val="edge"/>
          <c:x val="7.0169887434845299E-2"/>
          <c:y val="7.9301237864298102E-2"/>
          <c:w val="0.92762940833980256"/>
          <c:h val="0.72985723263465307"/>
        </c:manualLayout>
      </c:layout>
      <c:barChart>
        <c:barDir val="col"/>
        <c:grouping val="stacked"/>
        <c:varyColors val="0"/>
        <c:ser>
          <c:idx val="0"/>
          <c:order val="0"/>
          <c:tx>
            <c:strRef>
              <c:f>List1!$B$1</c:f>
              <c:strCache>
                <c:ptCount val="1"/>
                <c:pt idx="0">
                  <c:v>Vysokoškolské a vyší odborné</c:v>
                </c:pt>
              </c:strCache>
            </c:strRef>
          </c:tx>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List1!$B$2:$B$15</c:f>
              <c:numCache>
                <c:formatCode>General</c:formatCode>
                <c:ptCount val="14"/>
                <c:pt idx="0">
                  <c:v>4338</c:v>
                </c:pt>
                <c:pt idx="1">
                  <c:v>4656</c:v>
                </c:pt>
                <c:pt idx="2">
                  <c:v>5375</c:v>
                </c:pt>
                <c:pt idx="3">
                  <c:v>5956</c:v>
                </c:pt>
                <c:pt idx="4">
                  <c:v>4917</c:v>
                </c:pt>
                <c:pt idx="5">
                  <c:v>536</c:v>
                </c:pt>
                <c:pt idx="6">
                  <c:v>7171</c:v>
                </c:pt>
                <c:pt idx="7">
                  <c:v>10183</c:v>
                </c:pt>
                <c:pt idx="8">
                  <c:v>11970</c:v>
                </c:pt>
                <c:pt idx="9">
                  <c:v>13868</c:v>
                </c:pt>
                <c:pt idx="10">
                  <c:v>15894</c:v>
                </c:pt>
                <c:pt idx="11">
                  <c:v>17463</c:v>
                </c:pt>
                <c:pt idx="12">
                  <c:v>18439</c:v>
                </c:pt>
                <c:pt idx="13">
                  <c:v>18944</c:v>
                </c:pt>
              </c:numCache>
            </c:numRef>
          </c:val>
          <c:extLst>
            <c:ext xmlns:c16="http://schemas.microsoft.com/office/drawing/2014/chart" uri="{C3380CC4-5D6E-409C-BE32-E72D297353CC}">
              <c16:uniqueId val="{00000000-B942-4226-A77A-20BD04AB0AC0}"/>
            </c:ext>
          </c:extLst>
        </c:ser>
        <c:ser>
          <c:idx val="1"/>
          <c:order val="1"/>
          <c:tx>
            <c:strRef>
              <c:f>List1!$C$1</c:f>
              <c:strCache>
                <c:ptCount val="1"/>
                <c:pt idx="0">
                  <c:v>Střední odborné s maturitou</c:v>
                </c:pt>
              </c:strCache>
            </c:strRef>
          </c:tx>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List1!$C$2:$C$15</c:f>
              <c:numCache>
                <c:formatCode>General</c:formatCode>
                <c:ptCount val="14"/>
                <c:pt idx="0">
                  <c:v>4985</c:v>
                </c:pt>
                <c:pt idx="1">
                  <c:v>4434</c:v>
                </c:pt>
                <c:pt idx="2">
                  <c:v>4955</c:v>
                </c:pt>
                <c:pt idx="3">
                  <c:v>5056</c:v>
                </c:pt>
                <c:pt idx="4">
                  <c:v>4385</c:v>
                </c:pt>
                <c:pt idx="5">
                  <c:v>613</c:v>
                </c:pt>
                <c:pt idx="6">
                  <c:v>7533</c:v>
                </c:pt>
                <c:pt idx="7">
                  <c:v>10161</c:v>
                </c:pt>
                <c:pt idx="8">
                  <c:v>12344</c:v>
                </c:pt>
                <c:pt idx="9">
                  <c:v>13957</c:v>
                </c:pt>
                <c:pt idx="10">
                  <c:v>15586</c:v>
                </c:pt>
                <c:pt idx="11">
                  <c:v>16722</c:v>
                </c:pt>
                <c:pt idx="12">
                  <c:v>18829</c:v>
                </c:pt>
                <c:pt idx="13">
                  <c:v>18808</c:v>
                </c:pt>
              </c:numCache>
            </c:numRef>
          </c:val>
          <c:extLst>
            <c:ext xmlns:c16="http://schemas.microsoft.com/office/drawing/2014/chart" uri="{C3380CC4-5D6E-409C-BE32-E72D297353CC}">
              <c16:uniqueId val="{00000001-B942-4226-A77A-20BD04AB0AC0}"/>
            </c:ext>
          </c:extLst>
        </c:ser>
        <c:ser>
          <c:idx val="2"/>
          <c:order val="2"/>
          <c:tx>
            <c:strRef>
              <c:f>List1!$D$1</c:f>
              <c:strCache>
                <c:ptCount val="1"/>
                <c:pt idx="0">
                  <c:v>Střední bez maturity</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List1!$D$2:$D$15</c:f>
              <c:numCache>
                <c:formatCode>General</c:formatCode>
                <c:ptCount val="14"/>
                <c:pt idx="0">
                  <c:v>7360</c:v>
                </c:pt>
                <c:pt idx="1">
                  <c:v>6358</c:v>
                </c:pt>
                <c:pt idx="2">
                  <c:v>5987</c:v>
                </c:pt>
                <c:pt idx="3">
                  <c:v>5396</c:v>
                </c:pt>
                <c:pt idx="4">
                  <c:v>4521</c:v>
                </c:pt>
                <c:pt idx="5">
                  <c:v>1036</c:v>
                </c:pt>
                <c:pt idx="6">
                  <c:v>5791</c:v>
                </c:pt>
                <c:pt idx="7">
                  <c:v>7875</c:v>
                </c:pt>
                <c:pt idx="8">
                  <c:v>9157</c:v>
                </c:pt>
                <c:pt idx="9">
                  <c:v>10135</c:v>
                </c:pt>
                <c:pt idx="10">
                  <c:v>11503</c:v>
                </c:pt>
                <c:pt idx="11">
                  <c:v>11658</c:v>
                </c:pt>
                <c:pt idx="12">
                  <c:v>13241</c:v>
                </c:pt>
                <c:pt idx="13">
                  <c:v>13836</c:v>
                </c:pt>
              </c:numCache>
            </c:numRef>
          </c:val>
          <c:extLst>
            <c:ext xmlns:c16="http://schemas.microsoft.com/office/drawing/2014/chart" uri="{C3380CC4-5D6E-409C-BE32-E72D297353CC}">
              <c16:uniqueId val="{00000002-B942-4226-A77A-20BD04AB0AC0}"/>
            </c:ext>
          </c:extLst>
        </c:ser>
        <c:ser>
          <c:idx val="3"/>
          <c:order val="3"/>
          <c:tx>
            <c:strRef>
              <c:f>List1!$E$1</c:f>
              <c:strCache>
                <c:ptCount val="1"/>
                <c:pt idx="0">
                  <c:v>Základní</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List1!$E$2:$E$15</c:f>
              <c:numCache>
                <c:formatCode>General</c:formatCode>
                <c:ptCount val="14"/>
                <c:pt idx="0">
                  <c:v>11726</c:v>
                </c:pt>
                <c:pt idx="1">
                  <c:v>9752</c:v>
                </c:pt>
                <c:pt idx="2">
                  <c:v>9092</c:v>
                </c:pt>
                <c:pt idx="3">
                  <c:v>2906</c:v>
                </c:pt>
                <c:pt idx="4">
                  <c:v>1860</c:v>
                </c:pt>
                <c:pt idx="5">
                  <c:v>712</c:v>
                </c:pt>
                <c:pt idx="6">
                  <c:v>4513</c:v>
                </c:pt>
                <c:pt idx="7">
                  <c:v>8731</c:v>
                </c:pt>
                <c:pt idx="8">
                  <c:v>10658</c:v>
                </c:pt>
                <c:pt idx="9">
                  <c:v>8343</c:v>
                </c:pt>
                <c:pt idx="10">
                  <c:v>15258</c:v>
                </c:pt>
                <c:pt idx="11">
                  <c:v>17024</c:v>
                </c:pt>
                <c:pt idx="12">
                  <c:v>18215</c:v>
                </c:pt>
                <c:pt idx="13">
                  <c:v>21744</c:v>
                </c:pt>
              </c:numCache>
            </c:numRef>
          </c:val>
          <c:extLst>
            <c:ext xmlns:c16="http://schemas.microsoft.com/office/drawing/2014/chart" uri="{C3380CC4-5D6E-409C-BE32-E72D297353CC}">
              <c16:uniqueId val="{00000003-B942-4226-A77A-20BD04AB0AC0}"/>
            </c:ext>
          </c:extLst>
        </c:ser>
        <c:ser>
          <c:idx val="4"/>
          <c:order val="4"/>
          <c:tx>
            <c:strRef>
              <c:f>List1!$F$1</c:f>
              <c:strCache>
                <c:ptCount val="1"/>
                <c:pt idx="0">
                  <c:v>Bez vzdělání</c:v>
                </c:pt>
              </c:strCache>
            </c:strRef>
          </c:tx>
          <c:spPr>
            <a:solidFill>
              <a:sysClr val="windowText" lastClr="0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List1!$F$2:$F$15</c:f>
              <c:numCache>
                <c:formatCode>General</c:formatCode>
                <c:ptCount val="14"/>
                <c:pt idx="0">
                  <c:v>9</c:v>
                </c:pt>
                <c:pt idx="1">
                  <c:v>11</c:v>
                </c:pt>
                <c:pt idx="2">
                  <c:v>13</c:v>
                </c:pt>
                <c:pt idx="3">
                  <c:v>12</c:v>
                </c:pt>
                <c:pt idx="4">
                  <c:v>11</c:v>
                </c:pt>
                <c:pt idx="5">
                  <c:v>3</c:v>
                </c:pt>
                <c:pt idx="6">
                  <c:v>19</c:v>
                </c:pt>
                <c:pt idx="7">
                  <c:v>24</c:v>
                </c:pt>
                <c:pt idx="8">
                  <c:v>41</c:v>
                </c:pt>
                <c:pt idx="9">
                  <c:v>5018</c:v>
                </c:pt>
                <c:pt idx="10">
                  <c:v>83</c:v>
                </c:pt>
                <c:pt idx="11">
                  <c:v>63</c:v>
                </c:pt>
                <c:pt idx="12">
                  <c:v>307</c:v>
                </c:pt>
                <c:pt idx="13">
                  <c:v>245</c:v>
                </c:pt>
              </c:numCache>
            </c:numRef>
          </c:val>
          <c:extLst>
            <c:ext xmlns:c16="http://schemas.microsoft.com/office/drawing/2014/chart" uri="{C3380CC4-5D6E-409C-BE32-E72D297353CC}">
              <c16:uniqueId val="{00000004-B942-4226-A77A-20BD04AB0AC0}"/>
            </c:ext>
          </c:extLst>
        </c:ser>
        <c:ser>
          <c:idx val="5"/>
          <c:order val="5"/>
          <c:tx>
            <c:strRef>
              <c:f>List1!$G$1</c:f>
              <c:strCache>
                <c:ptCount val="1"/>
                <c:pt idx="0">
                  <c:v>Nezjištěno</c:v>
                </c:pt>
              </c:strCache>
            </c:strRef>
          </c:tx>
          <c:spPr>
            <a:solidFill>
              <a:schemeClr val="bg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List1!$G$2:$G$15</c:f>
              <c:numCache>
                <c:formatCode>General</c:formatCode>
                <c:ptCount val="14"/>
                <c:pt idx="0">
                  <c:v>1106</c:v>
                </c:pt>
                <c:pt idx="1">
                  <c:v>1070</c:v>
                </c:pt>
                <c:pt idx="2">
                  <c:v>976</c:v>
                </c:pt>
                <c:pt idx="3">
                  <c:v>876</c:v>
                </c:pt>
                <c:pt idx="4">
                  <c:v>861</c:v>
                </c:pt>
                <c:pt idx="5">
                  <c:v>160</c:v>
                </c:pt>
                <c:pt idx="6">
                  <c:v>903</c:v>
                </c:pt>
                <c:pt idx="7">
                  <c:v>854</c:v>
                </c:pt>
                <c:pt idx="8">
                  <c:v>848</c:v>
                </c:pt>
                <c:pt idx="9">
                  <c:v>738</c:v>
                </c:pt>
                <c:pt idx="10">
                  <c:v>800</c:v>
                </c:pt>
                <c:pt idx="11">
                  <c:v>809</c:v>
                </c:pt>
                <c:pt idx="12">
                  <c:v>807</c:v>
                </c:pt>
                <c:pt idx="13">
                  <c:v>812</c:v>
                </c:pt>
              </c:numCache>
            </c:numRef>
          </c:val>
          <c:extLst>
            <c:ext xmlns:c16="http://schemas.microsoft.com/office/drawing/2014/chart" uri="{C3380CC4-5D6E-409C-BE32-E72D297353CC}">
              <c16:uniqueId val="{00000005-B942-4226-A77A-20BD04AB0AC0}"/>
            </c:ext>
          </c:extLst>
        </c:ser>
        <c:dLbls>
          <c:showLegendKey val="0"/>
          <c:showVal val="0"/>
          <c:showCatName val="0"/>
          <c:showSerName val="0"/>
          <c:showPercent val="0"/>
          <c:showBubbleSize val="0"/>
        </c:dLbls>
        <c:gapWidth val="150"/>
        <c:overlap val="100"/>
        <c:axId val="438017216"/>
        <c:axId val="438009768"/>
      </c:barChart>
      <c:lineChart>
        <c:grouping val="standard"/>
        <c:varyColors val="0"/>
        <c:ser>
          <c:idx val="6"/>
          <c:order val="6"/>
          <c:tx>
            <c:strRef>
              <c:f>List1!$H$1</c:f>
              <c:strCache>
                <c:ptCount val="1"/>
                <c:pt idx="0">
                  <c:v>celkem</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List1!$H$2:$H$15</c:f>
              <c:numCache>
                <c:formatCode>General</c:formatCode>
                <c:ptCount val="14"/>
                <c:pt idx="0">
                  <c:v>29524</c:v>
                </c:pt>
                <c:pt idx="1">
                  <c:v>26281</c:v>
                </c:pt>
                <c:pt idx="2">
                  <c:v>26398</c:v>
                </c:pt>
                <c:pt idx="3">
                  <c:v>20202</c:v>
                </c:pt>
                <c:pt idx="4">
                  <c:v>16555</c:v>
                </c:pt>
                <c:pt idx="5">
                  <c:v>3060</c:v>
                </c:pt>
                <c:pt idx="6">
                  <c:v>25930</c:v>
                </c:pt>
                <c:pt idx="7">
                  <c:v>37828</c:v>
                </c:pt>
                <c:pt idx="8">
                  <c:v>45018</c:v>
                </c:pt>
                <c:pt idx="9">
                  <c:v>52059</c:v>
                </c:pt>
                <c:pt idx="10">
                  <c:v>59124</c:v>
                </c:pt>
                <c:pt idx="11">
                  <c:v>63739</c:v>
                </c:pt>
                <c:pt idx="12">
                  <c:v>69838</c:v>
                </c:pt>
                <c:pt idx="13">
                  <c:v>74389</c:v>
                </c:pt>
              </c:numCache>
            </c:numRef>
          </c:val>
          <c:smooth val="0"/>
          <c:extLst>
            <c:ext xmlns:c16="http://schemas.microsoft.com/office/drawing/2014/chart" uri="{C3380CC4-5D6E-409C-BE32-E72D297353CC}">
              <c16:uniqueId val="{00000006-B942-4226-A77A-20BD04AB0AC0}"/>
            </c:ext>
          </c:extLst>
        </c:ser>
        <c:dLbls>
          <c:showLegendKey val="0"/>
          <c:showVal val="0"/>
          <c:showCatName val="0"/>
          <c:showSerName val="0"/>
          <c:showPercent val="0"/>
          <c:showBubbleSize val="0"/>
        </c:dLbls>
        <c:marker val="1"/>
        <c:smooth val="0"/>
        <c:axId val="438017216"/>
        <c:axId val="438009768"/>
      </c:lineChart>
      <c:catAx>
        <c:axId val="4380172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crossAx val="438009768"/>
        <c:crosses val="autoZero"/>
        <c:auto val="1"/>
        <c:lblAlgn val="ctr"/>
        <c:lblOffset val="100"/>
        <c:noMultiLvlLbl val="0"/>
      </c:catAx>
      <c:valAx>
        <c:axId val="438009768"/>
        <c:scaling>
          <c:orientation val="minMax"/>
          <c:max val="8000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17216"/>
        <c:crosses val="autoZero"/>
        <c:crossBetween val="between"/>
      </c:valAx>
      <c:spPr>
        <a:noFill/>
        <a:ln>
          <a:noFill/>
        </a:ln>
        <a:effectLst/>
      </c:spPr>
    </c:plotArea>
    <c:legend>
      <c:legendPos val="b"/>
      <c:layout>
        <c:manualLayout>
          <c:xMode val="edge"/>
          <c:yMode val="edge"/>
          <c:x val="8.2526408450704219E-3"/>
          <c:y val="0.89461733373293739"/>
          <c:w val="0.87207792207792212"/>
          <c:h val="0.10538287977160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i="0" u="none" strike="noStrike" cap="none" baseline="0">
                <a:effectLst/>
              </a:rPr>
              <a:t>Osoby s jinou než </a:t>
            </a:r>
            <a:r>
              <a:rPr lang="cs-CZ" sz="1000" b="1" i="0" u="none" strike="noStrike" cap="none" spc="0" baseline="0">
                <a:ln w="0"/>
                <a:solidFill>
                  <a:schemeClr val="tx1"/>
                </a:solidFill>
                <a:effectLst/>
              </a:rPr>
              <a:t>českou státní příslušností</a:t>
            </a:r>
            <a:r>
              <a:rPr lang="cs-CZ" sz="1000" b="1" cap="none" spc="0">
                <a:ln w="0"/>
                <a:solidFill>
                  <a:schemeClr val="tx1"/>
                </a:solidFill>
                <a:effectLst/>
              </a:rPr>
              <a:t> v JMK dle</a:t>
            </a:r>
            <a:r>
              <a:rPr lang="cs-CZ" sz="1000" b="1" cap="none" spc="0" baseline="0">
                <a:ln w="0"/>
                <a:solidFill>
                  <a:schemeClr val="tx1"/>
                </a:solidFill>
                <a:effectLst/>
              </a:rPr>
              <a:t> kategorie země původu</a:t>
            </a:r>
            <a:endParaRPr lang="cs-CZ" sz="1000" b="1" cap="none" spc="0">
              <a:ln w="0"/>
              <a:solidFill>
                <a:schemeClr val="tx1"/>
              </a:solidFill>
              <a:effectLst/>
            </a:endParaRPr>
          </a:p>
        </c:rich>
      </c:tx>
      <c:layout>
        <c:manualLayout>
          <c:xMode val="edge"/>
          <c:yMode val="edge"/>
          <c:x val="0.15318779596994819"/>
          <c:y val="1.638507498120524E-3"/>
        </c:manualLayout>
      </c:layout>
      <c:overlay val="0"/>
      <c:spPr>
        <a:noFill/>
        <a:ln>
          <a:noFill/>
        </a:ln>
        <a:effectLst/>
      </c:spPr>
      <c:txPr>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6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834562346373373E-2"/>
          <c:y val="2.6306306306306305E-2"/>
          <c:w val="0.90953253392345568"/>
          <c:h val="0.89333333333333331"/>
        </c:manualLayout>
      </c:layout>
      <c:bar3DChart>
        <c:barDir val="bar"/>
        <c:grouping val="percentStacked"/>
        <c:varyColors val="0"/>
        <c:ser>
          <c:idx val="0"/>
          <c:order val="0"/>
          <c:tx>
            <c:strRef>
              <c:f>List1!$B$1</c:f>
              <c:strCache>
                <c:ptCount val="1"/>
                <c:pt idx="0">
                  <c:v>Občané třetích zemí</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List1!$B$2:$B$19</c:f>
              <c:numCache>
                <c:formatCode>General</c:formatCode>
                <c:ptCount val="18"/>
                <c:pt idx="0">
                  <c:v>17679</c:v>
                </c:pt>
                <c:pt idx="1">
                  <c:v>20302</c:v>
                </c:pt>
                <c:pt idx="2">
                  <c:v>23067</c:v>
                </c:pt>
                <c:pt idx="3">
                  <c:v>24741</c:v>
                </c:pt>
                <c:pt idx="4">
                  <c:v>25530</c:v>
                </c:pt>
                <c:pt idx="5">
                  <c:v>24325</c:v>
                </c:pt>
                <c:pt idx="6">
                  <c:v>23674</c:v>
                </c:pt>
                <c:pt idx="7">
                  <c:v>23077</c:v>
                </c:pt>
                <c:pt idx="8">
                  <c:v>22690</c:v>
                </c:pt>
                <c:pt idx="9">
                  <c:v>22362</c:v>
                </c:pt>
                <c:pt idx="10">
                  <c:v>22919</c:v>
                </c:pt>
                <c:pt idx="11">
                  <c:v>24754</c:v>
                </c:pt>
                <c:pt idx="12">
                  <c:v>26580</c:v>
                </c:pt>
                <c:pt idx="13">
                  <c:v>29117</c:v>
                </c:pt>
                <c:pt idx="14">
                  <c:v>30233</c:v>
                </c:pt>
                <c:pt idx="15">
                  <c:v>34725</c:v>
                </c:pt>
                <c:pt idx="16" formatCode="0">
                  <c:v>40356</c:v>
                </c:pt>
                <c:pt idx="17" formatCode="0">
                  <c:v>87030</c:v>
                </c:pt>
              </c:numCache>
            </c:numRef>
          </c:val>
          <c:extLst>
            <c:ext xmlns:c16="http://schemas.microsoft.com/office/drawing/2014/chart" uri="{C3380CC4-5D6E-409C-BE32-E72D297353CC}">
              <c16:uniqueId val="{00000000-BE53-4462-8C64-978DF8702F21}"/>
            </c:ext>
          </c:extLst>
        </c:ser>
        <c:ser>
          <c:idx val="1"/>
          <c:order val="1"/>
          <c:tx>
            <c:strRef>
              <c:f>List1!$C$1</c:f>
              <c:strCache>
                <c:ptCount val="1"/>
                <c:pt idx="0">
                  <c:v>Občané EU</c:v>
                </c:pt>
              </c:strCache>
            </c:strRef>
          </c:tx>
          <c:spPr>
            <a:solidFill>
              <a:srgbClr val="C00000">
                <a:alpha val="82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List1!$C$2:$C$19</c:f>
              <c:numCache>
                <c:formatCode>General</c:formatCode>
                <c:ptCount val="18"/>
                <c:pt idx="0">
                  <c:v>6555</c:v>
                </c:pt>
                <c:pt idx="1">
                  <c:v>7681</c:v>
                </c:pt>
                <c:pt idx="2">
                  <c:v>9539</c:v>
                </c:pt>
                <c:pt idx="3">
                  <c:v>10878</c:v>
                </c:pt>
                <c:pt idx="4">
                  <c:v>11377</c:v>
                </c:pt>
                <c:pt idx="5">
                  <c:v>11628</c:v>
                </c:pt>
                <c:pt idx="6">
                  <c:v>12712</c:v>
                </c:pt>
                <c:pt idx="7">
                  <c:v>13613</c:v>
                </c:pt>
                <c:pt idx="8">
                  <c:v>15114</c:v>
                </c:pt>
                <c:pt idx="9">
                  <c:v>16226</c:v>
                </c:pt>
                <c:pt idx="10">
                  <c:v>17447</c:v>
                </c:pt>
                <c:pt idx="11">
                  <c:v>18693</c:v>
                </c:pt>
                <c:pt idx="12">
                  <c:v>19994</c:v>
                </c:pt>
                <c:pt idx="13">
                  <c:v>21234</c:v>
                </c:pt>
                <c:pt idx="14">
                  <c:v>22508</c:v>
                </c:pt>
                <c:pt idx="15">
                  <c:v>23824</c:v>
                </c:pt>
                <c:pt idx="16" formatCode="0">
                  <c:v>23841</c:v>
                </c:pt>
                <c:pt idx="17" formatCode="0">
                  <c:v>24100</c:v>
                </c:pt>
              </c:numCache>
            </c:numRef>
          </c:val>
          <c:extLst>
            <c:ext xmlns:c16="http://schemas.microsoft.com/office/drawing/2014/chart" uri="{C3380CC4-5D6E-409C-BE32-E72D297353CC}">
              <c16:uniqueId val="{00000001-BE53-4462-8C64-978DF8702F21}"/>
            </c:ext>
          </c:extLst>
        </c:ser>
        <c:dLbls>
          <c:showLegendKey val="0"/>
          <c:showVal val="0"/>
          <c:showCatName val="0"/>
          <c:showSerName val="0"/>
          <c:showPercent val="0"/>
          <c:showBubbleSize val="0"/>
        </c:dLbls>
        <c:gapWidth val="86"/>
        <c:gapDepth val="192"/>
        <c:shape val="cylinder"/>
        <c:axId val="298472712"/>
        <c:axId val="298473104"/>
        <c:axId val="0"/>
      </c:bar3DChart>
      <c:catAx>
        <c:axId val="298472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73104"/>
        <c:crosses val="autoZero"/>
        <c:auto val="1"/>
        <c:lblAlgn val="ctr"/>
        <c:lblOffset val="100"/>
        <c:noMultiLvlLbl val="0"/>
      </c:catAx>
      <c:valAx>
        <c:axId val="298473104"/>
        <c:scaling>
          <c:orientation val="minMax"/>
          <c:max val="1"/>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72712"/>
        <c:crosses val="autoZero"/>
        <c:crossBetween val="between"/>
      </c:valAx>
      <c:spPr>
        <a:noFill/>
        <a:ln>
          <a:noFill/>
        </a:ln>
        <a:effectLst/>
      </c:spPr>
    </c:plotArea>
    <c:legend>
      <c:legendPos val="b"/>
      <c:layout>
        <c:manualLayout>
          <c:xMode val="edge"/>
          <c:yMode val="edge"/>
          <c:x val="0.31274372566174324"/>
          <c:y val="0.96478232131671682"/>
          <c:w val="0.39287461616317571"/>
          <c:h val="3.52179338238457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alpha val="50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latin typeface="Arial Narrow" panose="020B0606020202030204" pitchFamily="34" charset="0"/>
                <a:ea typeface="+mn-ea"/>
                <a:cs typeface="+mn-cs"/>
              </a:defRPr>
            </a:pPr>
            <a:r>
              <a:rPr lang="cs-CZ" sz="1000" b="1" cap="none"/>
              <a:t>Procentuální zastoupení zastoupených </a:t>
            </a:r>
            <a:r>
              <a:rPr lang="cs-CZ" sz="1000" b="1" i="0" u="none" strike="noStrike" cap="none" baseline="0">
                <a:effectLst/>
              </a:rPr>
              <a:t>osob s jinou než českou státní příslušností</a:t>
            </a:r>
            <a:r>
              <a:rPr lang="cs-CZ" sz="1000" b="1" cap="none"/>
              <a:t> v JMK dle nejvyššího dosaženého vzdělání v letech 2008–2021</a:t>
            </a:r>
          </a:p>
        </c:rich>
      </c:tx>
      <c:layout>
        <c:manualLayout>
          <c:xMode val="edge"/>
          <c:yMode val="edge"/>
          <c:x val="0.13112160450099447"/>
          <c:y val="0"/>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250732819737623E-2"/>
          <c:y val="3.2250890601818814E-2"/>
          <c:w val="0.92237681773137392"/>
          <c:h val="0.90967269087603242"/>
        </c:manualLayout>
      </c:layout>
      <c:bar3DChart>
        <c:barDir val="bar"/>
        <c:grouping val="stacked"/>
        <c:varyColors val="0"/>
        <c:ser>
          <c:idx val="0"/>
          <c:order val="0"/>
          <c:tx>
            <c:strRef>
              <c:f>List1!$B$1</c:f>
              <c:strCache>
                <c:ptCount val="1"/>
                <c:pt idx="0">
                  <c:v>Vysokoškolské a vyší odborné</c:v>
                </c:pt>
              </c:strCache>
            </c:strRef>
          </c:tx>
          <c:spPr>
            <a:solidFill>
              <a:srgbClr val="7030A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bg1">
                  <a:alpha val="97000"/>
                </a:schemeClr>
              </a:solidFill>
              <a:ln>
                <a:solidFill>
                  <a:schemeClr val="lt1">
                    <a:alpha val="50000"/>
                  </a:schemeClr>
                </a:solidFill>
                <a:round/>
              </a:ln>
              <a:effectLst/>
            </c:spPr>
            <c:txPr>
              <a:bodyPr rot="0" spcFirstLastPara="1" vertOverflow="clip" horzOverflow="clip" vert="horz" wrap="square" lIns="36576" tIns="0" rIns="36576" bIns="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List1!$B$2:$B$15</c:f>
              <c:numCache>
                <c:formatCode>0.0%</c:formatCode>
                <c:ptCount val="14"/>
                <c:pt idx="0">
                  <c:v>0.14699999999999999</c:v>
                </c:pt>
                <c:pt idx="1">
                  <c:v>0.17699999999999999</c:v>
                </c:pt>
                <c:pt idx="2">
                  <c:v>0.20399999999999999</c:v>
                </c:pt>
                <c:pt idx="3">
                  <c:v>0.29499999999999998</c:v>
                </c:pt>
                <c:pt idx="4">
                  <c:v>0.29699999999999999</c:v>
                </c:pt>
                <c:pt idx="5">
                  <c:v>0.154</c:v>
                </c:pt>
                <c:pt idx="6">
                  <c:v>0.27700000000000002</c:v>
                </c:pt>
                <c:pt idx="7">
                  <c:v>0.26900000000000002</c:v>
                </c:pt>
                <c:pt idx="8">
                  <c:v>0.26600000000000001</c:v>
                </c:pt>
                <c:pt idx="9">
                  <c:v>0.26700000000000002</c:v>
                </c:pt>
                <c:pt idx="10">
                  <c:v>0.26900000000000002</c:v>
                </c:pt>
                <c:pt idx="11">
                  <c:v>0.27100000000000002</c:v>
                </c:pt>
                <c:pt idx="12">
                  <c:v>0.26400000000000001</c:v>
                </c:pt>
                <c:pt idx="13">
                  <c:v>0.255</c:v>
                </c:pt>
              </c:numCache>
            </c:numRef>
          </c:val>
          <c:extLst>
            <c:ext xmlns:c16="http://schemas.microsoft.com/office/drawing/2014/chart" uri="{C3380CC4-5D6E-409C-BE32-E72D297353CC}">
              <c16:uniqueId val="{00000000-7777-4ED9-925F-98783B3B0812}"/>
            </c:ext>
          </c:extLst>
        </c:ser>
        <c:ser>
          <c:idx val="1"/>
          <c:order val="1"/>
          <c:tx>
            <c:strRef>
              <c:f>List1!$C$1</c:f>
              <c:strCache>
                <c:ptCount val="1"/>
                <c:pt idx="0">
                  <c:v>Střední odborné s maturitou</c:v>
                </c:pt>
              </c:strCache>
            </c:strRef>
          </c:tx>
          <c:spPr>
            <a:solidFill>
              <a:schemeClr val="accent6"/>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bg1"/>
              </a:solidFill>
              <a:ln>
                <a:solidFill>
                  <a:schemeClr val="lt1">
                    <a:alpha val="50000"/>
                  </a:schemeClr>
                </a:solidFill>
                <a:round/>
              </a:ln>
              <a:effectLst/>
            </c:spPr>
            <c:txPr>
              <a:bodyPr rot="0" spcFirstLastPara="1" vertOverflow="clip" horzOverflow="clip" vert="horz" wrap="square" lIns="36576" tIns="0" rIns="36576" bIns="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List1!$C$2:$C$15</c:f>
              <c:numCache>
                <c:formatCode>0.0%</c:formatCode>
                <c:ptCount val="14"/>
                <c:pt idx="0">
                  <c:v>0.16900000000000001</c:v>
                </c:pt>
                <c:pt idx="1">
                  <c:v>0.16900000000000001</c:v>
                </c:pt>
                <c:pt idx="2">
                  <c:v>0.188</c:v>
                </c:pt>
                <c:pt idx="3">
                  <c:v>0.25</c:v>
                </c:pt>
                <c:pt idx="4">
                  <c:v>0.26500000000000001</c:v>
                </c:pt>
                <c:pt idx="5">
                  <c:v>0.2</c:v>
                </c:pt>
                <c:pt idx="6">
                  <c:v>0.29099999999999998</c:v>
                </c:pt>
                <c:pt idx="7">
                  <c:v>0.26900000000000002</c:v>
                </c:pt>
                <c:pt idx="8">
                  <c:v>0.27400000000000002</c:v>
                </c:pt>
                <c:pt idx="9">
                  <c:v>0.26800000000000002</c:v>
                </c:pt>
                <c:pt idx="10">
                  <c:v>0.26400000000000001</c:v>
                </c:pt>
                <c:pt idx="11">
                  <c:v>0.26200000000000001</c:v>
                </c:pt>
                <c:pt idx="12">
                  <c:v>0.27</c:v>
                </c:pt>
                <c:pt idx="13">
                  <c:v>0.253</c:v>
                </c:pt>
              </c:numCache>
            </c:numRef>
          </c:val>
          <c:extLst>
            <c:ext xmlns:c16="http://schemas.microsoft.com/office/drawing/2014/chart" uri="{C3380CC4-5D6E-409C-BE32-E72D297353CC}">
              <c16:uniqueId val="{00000001-7777-4ED9-925F-98783B3B0812}"/>
            </c:ext>
          </c:extLst>
        </c:ser>
        <c:ser>
          <c:idx val="2"/>
          <c:order val="2"/>
          <c:tx>
            <c:strRef>
              <c:f>List1!$D$1</c:f>
              <c:strCache>
                <c:ptCount val="1"/>
                <c:pt idx="0">
                  <c:v>Střední bez maturity</c:v>
                </c:pt>
              </c:strCache>
            </c:strRef>
          </c:tx>
          <c:spPr>
            <a:solidFill>
              <a:schemeClr val="accent1"/>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chemeClr val="bg1">
                  <a:alpha val="97000"/>
                </a:schemeClr>
              </a:solidFill>
              <a:ln>
                <a:solidFill>
                  <a:schemeClr val="lt1">
                    <a:alpha val="50000"/>
                  </a:schemeClr>
                </a:solidFill>
                <a:round/>
              </a:ln>
              <a:effectLst/>
            </c:spPr>
            <c:txPr>
              <a:bodyPr rot="0" spcFirstLastPara="1" vertOverflow="clip" horzOverflow="clip" vert="horz" wrap="square" lIns="36576" tIns="0" rIns="36576" bIns="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List1!$D$2:$D$15</c:f>
              <c:numCache>
                <c:formatCode>0.0%</c:formatCode>
                <c:ptCount val="14"/>
                <c:pt idx="0">
                  <c:v>0.249</c:v>
                </c:pt>
                <c:pt idx="1">
                  <c:v>0.24199999999999999</c:v>
                </c:pt>
                <c:pt idx="2">
                  <c:v>0.22700000000000001</c:v>
                </c:pt>
                <c:pt idx="3">
                  <c:v>0.26700000000000002</c:v>
                </c:pt>
                <c:pt idx="4">
                  <c:v>0.27300000000000002</c:v>
                </c:pt>
                <c:pt idx="5">
                  <c:v>0.33900000000000002</c:v>
                </c:pt>
                <c:pt idx="6">
                  <c:v>0.223</c:v>
                </c:pt>
                <c:pt idx="7">
                  <c:v>0.20799999999999999</c:v>
                </c:pt>
                <c:pt idx="8">
                  <c:v>0.20300000000000001</c:v>
                </c:pt>
                <c:pt idx="9">
                  <c:v>0.19500000000000001</c:v>
                </c:pt>
                <c:pt idx="10">
                  <c:v>0.19500000000000001</c:v>
                </c:pt>
                <c:pt idx="11">
                  <c:v>0.183</c:v>
                </c:pt>
                <c:pt idx="12">
                  <c:v>0.19</c:v>
                </c:pt>
                <c:pt idx="13">
                  <c:v>0.186</c:v>
                </c:pt>
              </c:numCache>
            </c:numRef>
          </c:val>
          <c:extLst>
            <c:ext xmlns:c16="http://schemas.microsoft.com/office/drawing/2014/chart" uri="{C3380CC4-5D6E-409C-BE32-E72D297353CC}">
              <c16:uniqueId val="{00000002-7777-4ED9-925F-98783B3B0812}"/>
            </c:ext>
          </c:extLst>
        </c:ser>
        <c:ser>
          <c:idx val="3"/>
          <c:order val="3"/>
          <c:tx>
            <c:strRef>
              <c:f>List1!$E$1</c:f>
              <c:strCache>
                <c:ptCount val="1"/>
                <c:pt idx="0">
                  <c:v>Základní</c:v>
                </c:pt>
              </c:strCache>
            </c:strRef>
          </c:tx>
          <c:spPr>
            <a:solidFill>
              <a:srgbClr val="C00000"/>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chemeClr val="bg1">
                  <a:alpha val="99000"/>
                </a:schemeClr>
              </a:solidFill>
              <a:ln>
                <a:solidFill>
                  <a:schemeClr val="lt1">
                    <a:alpha val="50000"/>
                  </a:schemeClr>
                </a:solidFill>
                <a:round/>
              </a:ln>
              <a:effectLst/>
            </c:spPr>
            <c:txPr>
              <a:bodyPr rot="0" spcFirstLastPara="1" vertOverflow="clip" horzOverflow="clip" vert="horz" wrap="square" lIns="36576" tIns="0" rIns="36576" bIns="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List1!$E$2:$E$15</c:f>
              <c:numCache>
                <c:formatCode>0.0%</c:formatCode>
                <c:ptCount val="14"/>
                <c:pt idx="0">
                  <c:v>0.39700000000000002</c:v>
                </c:pt>
                <c:pt idx="1">
                  <c:v>0.371</c:v>
                </c:pt>
                <c:pt idx="2">
                  <c:v>0.34399999999999997</c:v>
                </c:pt>
                <c:pt idx="3">
                  <c:v>0.14399999999999999</c:v>
                </c:pt>
                <c:pt idx="4">
                  <c:v>0.112</c:v>
                </c:pt>
                <c:pt idx="5">
                  <c:v>0.20499999999999999</c:v>
                </c:pt>
                <c:pt idx="6">
                  <c:v>0.17399999999999999</c:v>
                </c:pt>
                <c:pt idx="7">
                  <c:v>0.23100000000000001</c:v>
                </c:pt>
                <c:pt idx="8">
                  <c:v>0.23699999999999999</c:v>
                </c:pt>
                <c:pt idx="9">
                  <c:v>0.161</c:v>
                </c:pt>
                <c:pt idx="10">
                  <c:v>0.25800000000000001</c:v>
                </c:pt>
                <c:pt idx="11">
                  <c:v>0.26500000000000001</c:v>
                </c:pt>
                <c:pt idx="12">
                  <c:v>0.26100000000000001</c:v>
                </c:pt>
                <c:pt idx="13">
                  <c:v>0.29199999999999998</c:v>
                </c:pt>
              </c:numCache>
            </c:numRef>
          </c:val>
          <c:extLst>
            <c:ext xmlns:c16="http://schemas.microsoft.com/office/drawing/2014/chart" uri="{C3380CC4-5D6E-409C-BE32-E72D297353CC}">
              <c16:uniqueId val="{00000003-7777-4ED9-925F-98783B3B0812}"/>
            </c:ext>
          </c:extLst>
        </c:ser>
        <c:ser>
          <c:idx val="4"/>
          <c:order val="4"/>
          <c:tx>
            <c:strRef>
              <c:f>List1!$F$1</c:f>
              <c:strCache>
                <c:ptCount val="1"/>
                <c:pt idx="0">
                  <c:v>Bez vzdělání</c:v>
                </c:pt>
              </c:strCache>
            </c:strRef>
          </c:tx>
          <c:spPr>
            <a:solidFill>
              <a:schemeClr val="tx1">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77-4ED9-925F-98783B3B0812}"/>
                </c:ext>
              </c:extLst>
            </c:dLbl>
            <c:spPr>
              <a:solidFill>
                <a:schemeClr val="bg1"/>
              </a:solidFill>
              <a:ln>
                <a:solidFill>
                  <a:schemeClr val="lt1">
                    <a:alpha val="50000"/>
                  </a:schemeClr>
                </a:solidFill>
                <a:round/>
              </a:ln>
              <a:effectLst/>
            </c:spPr>
            <c:txPr>
              <a:bodyPr rot="0" spcFirstLastPara="1" vertOverflow="clip" horzOverflow="clip" vert="horz" wrap="square" lIns="36576" tIns="0" rIns="36576" bIns="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List1!$F$2:$F$15</c:f>
              <c:numCache>
                <c:formatCode>0.0%</c:formatCode>
                <c:ptCount val="14"/>
                <c:pt idx="0">
                  <c:v>1E-3</c:v>
                </c:pt>
                <c:pt idx="1">
                  <c:v>1E-3</c:v>
                </c:pt>
                <c:pt idx="2">
                  <c:v>1E-3</c:v>
                </c:pt>
                <c:pt idx="3">
                  <c:v>1E-3</c:v>
                </c:pt>
                <c:pt idx="4">
                  <c:v>1E-3</c:v>
                </c:pt>
                <c:pt idx="5">
                  <c:v>1E-3</c:v>
                </c:pt>
                <c:pt idx="6">
                  <c:v>1E-3</c:v>
                </c:pt>
                <c:pt idx="7">
                  <c:v>1E-3</c:v>
                </c:pt>
                <c:pt idx="8">
                  <c:v>1E-3</c:v>
                </c:pt>
                <c:pt idx="9">
                  <c:v>9.7000000000000003E-2</c:v>
                </c:pt>
                <c:pt idx="10">
                  <c:v>1E-3</c:v>
                </c:pt>
                <c:pt idx="11">
                  <c:v>1E-3</c:v>
                </c:pt>
                <c:pt idx="12">
                  <c:v>4.0000000000000001E-3</c:v>
                </c:pt>
                <c:pt idx="13">
                  <c:v>3.0000000000000001E-3</c:v>
                </c:pt>
              </c:numCache>
            </c:numRef>
          </c:val>
          <c:extLst>
            <c:ext xmlns:c16="http://schemas.microsoft.com/office/drawing/2014/chart" uri="{C3380CC4-5D6E-409C-BE32-E72D297353CC}">
              <c16:uniqueId val="{00000005-7777-4ED9-925F-98783B3B0812}"/>
            </c:ext>
          </c:extLst>
        </c:ser>
        <c:ser>
          <c:idx val="5"/>
          <c:order val="5"/>
          <c:tx>
            <c:strRef>
              <c:f>List1!$G$1</c:f>
              <c:strCache>
                <c:ptCount val="1"/>
                <c:pt idx="0">
                  <c:v>Nezjištěno</c:v>
                </c:pt>
              </c:strCache>
            </c:strRef>
          </c:tx>
          <c:spPr>
            <a:solidFill>
              <a:schemeClr val="bg2">
                <a:lumMod val="50000"/>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chemeClr val="bg1"/>
              </a:solidFill>
              <a:ln>
                <a:solidFill>
                  <a:schemeClr val="lt1">
                    <a:alpha val="50000"/>
                  </a:schemeClr>
                </a:solidFill>
                <a:round/>
              </a:ln>
              <a:effectLst/>
            </c:spPr>
            <c:txPr>
              <a:bodyPr rot="0" spcFirstLastPara="1" vertOverflow="clip" horzOverflow="clip" vert="horz" wrap="square" lIns="36576" tIns="0" rIns="36576" bIns="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List1!$G$2:$G$15</c:f>
              <c:numCache>
                <c:formatCode>0.0%</c:formatCode>
                <c:ptCount val="14"/>
                <c:pt idx="0">
                  <c:v>3.6999999999999998E-2</c:v>
                </c:pt>
                <c:pt idx="1">
                  <c:v>4.1000000000000002E-2</c:v>
                </c:pt>
                <c:pt idx="2">
                  <c:v>3.6999999999999998E-2</c:v>
                </c:pt>
                <c:pt idx="3">
                  <c:v>4.2999999999999997E-2</c:v>
                </c:pt>
                <c:pt idx="4">
                  <c:v>5.1999999999999998E-2</c:v>
                </c:pt>
                <c:pt idx="5">
                  <c:v>4.4999999999999998E-2</c:v>
                </c:pt>
                <c:pt idx="6">
                  <c:v>3.4000000000000002E-2</c:v>
                </c:pt>
                <c:pt idx="7">
                  <c:v>2.3E-2</c:v>
                </c:pt>
                <c:pt idx="8">
                  <c:v>1.9E-2</c:v>
                </c:pt>
                <c:pt idx="9">
                  <c:v>1.4E-2</c:v>
                </c:pt>
                <c:pt idx="10">
                  <c:v>1.4E-2</c:v>
                </c:pt>
                <c:pt idx="11">
                  <c:v>1.2999999999999999E-2</c:v>
                </c:pt>
                <c:pt idx="12">
                  <c:v>1.0999999999999999E-2</c:v>
                </c:pt>
                <c:pt idx="13">
                  <c:v>1.0999999999999999E-2</c:v>
                </c:pt>
              </c:numCache>
            </c:numRef>
          </c:val>
          <c:extLst>
            <c:ext xmlns:c16="http://schemas.microsoft.com/office/drawing/2014/chart" uri="{C3380CC4-5D6E-409C-BE32-E72D297353CC}">
              <c16:uniqueId val="{00000006-7777-4ED9-925F-98783B3B0812}"/>
            </c:ext>
          </c:extLst>
        </c:ser>
        <c:dLbls>
          <c:showLegendKey val="0"/>
          <c:showVal val="1"/>
          <c:showCatName val="0"/>
          <c:showSerName val="0"/>
          <c:showPercent val="0"/>
          <c:showBubbleSize val="0"/>
        </c:dLbls>
        <c:gapWidth val="84"/>
        <c:gapDepth val="53"/>
        <c:shape val="cylinder"/>
        <c:axId val="438013296"/>
        <c:axId val="438014472"/>
        <c:axId val="0"/>
      </c:bar3DChart>
      <c:catAx>
        <c:axId val="43801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14472"/>
        <c:crosses val="autoZero"/>
        <c:auto val="1"/>
        <c:lblAlgn val="ctr"/>
        <c:lblOffset val="100"/>
        <c:noMultiLvlLbl val="0"/>
      </c:catAx>
      <c:valAx>
        <c:axId val="438014472"/>
        <c:scaling>
          <c:orientation val="minMax"/>
          <c:max val="1"/>
        </c:scaling>
        <c:delete val="1"/>
        <c:axPos val="b"/>
        <c:numFmt formatCode="0%" sourceLinked="0"/>
        <c:majorTickMark val="out"/>
        <c:minorTickMark val="none"/>
        <c:tickLblPos val="nextTo"/>
        <c:crossAx val="438013296"/>
        <c:crosses val="autoZero"/>
        <c:crossBetween val="between"/>
      </c:valAx>
      <c:spPr>
        <a:noFill/>
        <a:ln>
          <a:noFill/>
        </a:ln>
        <a:effectLst/>
      </c:spPr>
    </c:plotArea>
    <c:legend>
      <c:legendPos val="t"/>
      <c:layout>
        <c:manualLayout>
          <c:xMode val="edge"/>
          <c:yMode val="edge"/>
          <c:x val="1.3814839410133974E-2"/>
          <c:y val="0.93253398362518136"/>
          <c:w val="0.98618513862237811"/>
          <c:h val="6.332497268228834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latin typeface="Arial Narrow" panose="020B0606020202030204" pitchFamily="34" charset="0"/>
                <a:ea typeface="+mn-ea"/>
                <a:cs typeface="+mn-cs"/>
              </a:defRPr>
            </a:pPr>
            <a:r>
              <a:rPr lang="cs-CZ" sz="1000" b="1" i="0" u="none" strike="noStrike" cap="none" baseline="0">
                <a:effectLst/>
              </a:rPr>
              <a:t>Osoby s jinou než českou státní příslušností </a:t>
            </a:r>
            <a:r>
              <a:rPr lang="cs-CZ" sz="1000" b="1" cap="none"/>
              <a:t>evidované na úřadech práce k 30. 6. 2021 – Počty osob s n</a:t>
            </a:r>
            <a:r>
              <a:rPr lang="cs-CZ" sz="1000" b="1" i="0" u="none" strike="noStrike" cap="none" baseline="0">
                <a:effectLst/>
              </a:rPr>
              <a:t>ejvyšším dosaženým vzděláním a počty obsazených pozic s požadavkem na vzdělání </a:t>
            </a:r>
            <a:endParaRPr lang="en-US" sz="1000" b="1" cap="none"/>
          </a:p>
        </c:rich>
      </c:tx>
      <c:layout>
        <c:manualLayout>
          <c:xMode val="edge"/>
          <c:yMode val="edge"/>
          <c:x val="0.11544043105722895"/>
          <c:y val="8.9490105550784943E-4"/>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405004929939311"/>
          <c:y val="7.6330764852315075E-2"/>
          <c:w val="0.49965039092335678"/>
          <c:h val="0.92052438290070815"/>
        </c:manualLayout>
      </c:layout>
      <c:bar3DChart>
        <c:barDir val="bar"/>
        <c:grouping val="clustered"/>
        <c:varyColors val="0"/>
        <c:ser>
          <c:idx val="0"/>
          <c:order val="0"/>
          <c:tx>
            <c:strRef>
              <c:f>List1!$B$1</c:f>
              <c:strCache>
                <c:ptCount val="1"/>
                <c:pt idx="0">
                  <c:v>Nejvyšší dosažené vzdělání</c:v>
                </c:pt>
              </c:strCache>
            </c:strRef>
          </c:tx>
          <c:spPr>
            <a:solidFill>
              <a:srgbClr val="C00000"/>
            </a:solidFill>
            <a:ln>
              <a:noFill/>
            </a:ln>
            <a:effectLst/>
            <a:scene3d>
              <a:camera prst="orthographicFront"/>
              <a:lightRig rig="threePt" dir="t"/>
            </a:scene3d>
            <a:sp3d prstMaterial="flat">
              <a:contourClr>
                <a:schemeClr val="accent1">
                  <a:lumMod val="50000"/>
                </a:schemeClr>
              </a:contourClr>
            </a:sp3d>
          </c:spPr>
          <c:invertIfNegative val="0"/>
          <c:dPt>
            <c:idx val="2"/>
            <c:invertIfNegative val="0"/>
            <c:bubble3D val="0"/>
            <c:extLst>
              <c:ext xmlns:c16="http://schemas.microsoft.com/office/drawing/2014/chart" uri="{C3380CC4-5D6E-409C-BE32-E72D297353CC}">
                <c16:uniqueId val="{00000000-2F22-451B-A350-901857287184}"/>
              </c:ext>
            </c:extLst>
          </c:dPt>
          <c:dPt>
            <c:idx val="5"/>
            <c:invertIfNegative val="0"/>
            <c:bubble3D val="0"/>
            <c:extLst>
              <c:ext xmlns:c16="http://schemas.microsoft.com/office/drawing/2014/chart" uri="{C3380CC4-5D6E-409C-BE32-E72D297353CC}">
                <c16:uniqueId val="{00000001-2F22-451B-A350-901857287184}"/>
              </c:ext>
            </c:extLst>
          </c:dPt>
          <c:dPt>
            <c:idx val="9"/>
            <c:invertIfNegative val="0"/>
            <c:bubble3D val="0"/>
            <c:extLst>
              <c:ext xmlns:c16="http://schemas.microsoft.com/office/drawing/2014/chart" uri="{C3380CC4-5D6E-409C-BE32-E72D297353CC}">
                <c16:uniqueId val="{00000002-2F22-451B-A350-901857287184}"/>
              </c:ext>
            </c:extLst>
          </c:dPt>
          <c:dLbls>
            <c:spPr>
              <a:solidFill>
                <a:schemeClr val="bg1"/>
              </a:solidFill>
              <a:ln>
                <a:solidFill>
                  <a:schemeClr val="lt1">
                    <a:alpha val="50000"/>
                  </a:schemeClr>
                </a:solidFill>
                <a:round/>
              </a:ln>
              <a:effectLst/>
            </c:spPr>
            <c:txPr>
              <a:bodyPr rot="0" spcFirstLastPara="1" vertOverflow="ellipsis" vert="horz" wrap="square" tIns="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List1!$A$2:$A$12</c:f>
              <c:strCache>
                <c:ptCount val="11"/>
                <c:pt idx="0">
                  <c:v>Nezjištěno</c:v>
                </c:pt>
                <c:pt idx="1">
                  <c:v>bez vzdělání + neúplné základní</c:v>
                </c:pt>
                <c:pt idx="2">
                  <c:v>Základní, praktická škola</c:v>
                </c:pt>
                <c:pt idx="3">
                  <c:v>Nižší střední + nižší střední odborné</c:v>
                </c:pt>
                <c:pt idx="4">
                  <c:v>Střední nebo střední odborné bez maturity i výučního listu</c:v>
                </c:pt>
                <c:pt idx="5">
                  <c:v>Střední odborné s výučním listem</c:v>
                </c:pt>
                <c:pt idx="6">
                  <c:v>Úplné střední vzdělání</c:v>
                </c:pt>
                <c:pt idx="7">
                  <c:v>Úplné střední odborné s vyučením a maturitou/s maturitou bez vyučení</c:v>
                </c:pt>
                <c:pt idx="8">
                  <c:v>Vyšší odborné</c:v>
                </c:pt>
                <c:pt idx="9">
                  <c:v>Vysokoškolské</c:v>
                </c:pt>
                <c:pt idx="10">
                  <c:v>Doktorské</c:v>
                </c:pt>
              </c:strCache>
            </c:strRef>
          </c:cat>
          <c:val>
            <c:numRef>
              <c:f>List1!$B$2:$B$12</c:f>
              <c:numCache>
                <c:formatCode>General</c:formatCode>
                <c:ptCount val="11"/>
                <c:pt idx="0">
                  <c:v>812</c:v>
                </c:pt>
                <c:pt idx="1">
                  <c:v>245</c:v>
                </c:pt>
                <c:pt idx="2">
                  <c:v>21744</c:v>
                </c:pt>
                <c:pt idx="3">
                  <c:v>1315</c:v>
                </c:pt>
                <c:pt idx="4">
                  <c:v>695</c:v>
                </c:pt>
                <c:pt idx="5">
                  <c:v>11826</c:v>
                </c:pt>
                <c:pt idx="6">
                  <c:v>8616</c:v>
                </c:pt>
                <c:pt idx="7">
                  <c:v>10192</c:v>
                </c:pt>
                <c:pt idx="8">
                  <c:v>653</c:v>
                </c:pt>
                <c:pt idx="9">
                  <c:v>17581</c:v>
                </c:pt>
                <c:pt idx="10">
                  <c:v>710</c:v>
                </c:pt>
              </c:numCache>
            </c:numRef>
          </c:val>
          <c:shape val="cylinder"/>
          <c:extLst>
            <c:ext xmlns:c16="http://schemas.microsoft.com/office/drawing/2014/chart" uri="{C3380CC4-5D6E-409C-BE32-E72D297353CC}">
              <c16:uniqueId val="{00000003-2F22-451B-A350-901857287184}"/>
            </c:ext>
          </c:extLst>
        </c:ser>
        <c:ser>
          <c:idx val="1"/>
          <c:order val="1"/>
          <c:tx>
            <c:strRef>
              <c:f>List1!$C$1</c:f>
              <c:strCache>
                <c:ptCount val="1"/>
                <c:pt idx="0">
                  <c:v>Požadované vzdělání</c:v>
                </c:pt>
              </c:strCache>
            </c:strRef>
          </c:tx>
          <c:spPr>
            <a:solidFill>
              <a:srgbClr val="0070C0"/>
            </a:solidFill>
            <a:ln>
              <a:noFill/>
            </a:ln>
          </c:spPr>
          <c:invertIfNegative val="0"/>
          <c:dLbls>
            <c:spPr>
              <a:solidFill>
                <a:schemeClr val="bg1"/>
              </a:solidFill>
              <a:ln>
                <a:noFill/>
              </a:ln>
              <a:effectLst/>
            </c:spPr>
            <c:txPr>
              <a:bodyPr wrap="square" lIns="38100" tIns="19050" rIns="38100" bIns="19050" anchor="ctr">
                <a:spAutoFit/>
              </a:bodyPr>
              <a:lstStyle/>
              <a:p>
                <a:pPr>
                  <a:defRPr sz="900" b="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List1!$A$2:$A$12</c:f>
              <c:strCache>
                <c:ptCount val="11"/>
                <c:pt idx="0">
                  <c:v>Nezjištěno</c:v>
                </c:pt>
                <c:pt idx="1">
                  <c:v>bez vzdělání + neúplné základní</c:v>
                </c:pt>
                <c:pt idx="2">
                  <c:v>Základní, praktická škola</c:v>
                </c:pt>
                <c:pt idx="3">
                  <c:v>Nižší střední + nižší střední odborné</c:v>
                </c:pt>
                <c:pt idx="4">
                  <c:v>Střední nebo střední odborné bez maturity i výučního listu</c:v>
                </c:pt>
                <c:pt idx="5">
                  <c:v>Střední odborné s výučním listem</c:v>
                </c:pt>
                <c:pt idx="6">
                  <c:v>Úplné střední vzdělání</c:v>
                </c:pt>
                <c:pt idx="7">
                  <c:v>Úplné střední odborné s vyučením a maturitou/s maturitou bez vyučení</c:v>
                </c:pt>
                <c:pt idx="8">
                  <c:v>Vyšší odborné</c:v>
                </c:pt>
                <c:pt idx="9">
                  <c:v>Vysokoškolské</c:v>
                </c:pt>
                <c:pt idx="10">
                  <c:v>Doktorské</c:v>
                </c:pt>
              </c:strCache>
            </c:strRef>
          </c:cat>
          <c:val>
            <c:numRef>
              <c:f>List1!$C$2:$C$12</c:f>
              <c:numCache>
                <c:formatCode>General</c:formatCode>
                <c:ptCount val="11"/>
                <c:pt idx="0">
                  <c:v>998</c:v>
                </c:pt>
                <c:pt idx="1">
                  <c:v>472</c:v>
                </c:pt>
                <c:pt idx="2">
                  <c:v>34021</c:v>
                </c:pt>
                <c:pt idx="3">
                  <c:v>2025</c:v>
                </c:pt>
                <c:pt idx="4">
                  <c:v>796</c:v>
                </c:pt>
                <c:pt idx="5">
                  <c:v>9678</c:v>
                </c:pt>
                <c:pt idx="6">
                  <c:v>8300</c:v>
                </c:pt>
                <c:pt idx="7">
                  <c:v>7503</c:v>
                </c:pt>
                <c:pt idx="8">
                  <c:v>359</c:v>
                </c:pt>
                <c:pt idx="9">
                  <c:v>9709</c:v>
                </c:pt>
                <c:pt idx="10">
                  <c:v>532</c:v>
                </c:pt>
              </c:numCache>
            </c:numRef>
          </c:val>
          <c:shape val="cylinder"/>
          <c:extLst>
            <c:ext xmlns:c16="http://schemas.microsoft.com/office/drawing/2014/chart" uri="{C3380CC4-5D6E-409C-BE32-E72D297353CC}">
              <c16:uniqueId val="{00000004-2F22-451B-A350-901857287184}"/>
            </c:ext>
          </c:extLst>
        </c:ser>
        <c:dLbls>
          <c:showLegendKey val="0"/>
          <c:showVal val="1"/>
          <c:showCatName val="0"/>
          <c:showSerName val="0"/>
          <c:showPercent val="0"/>
          <c:showBubbleSize val="0"/>
        </c:dLbls>
        <c:gapWidth val="66"/>
        <c:gapDepth val="25"/>
        <c:shape val="box"/>
        <c:axId val="438013688"/>
        <c:axId val="438014080"/>
        <c:axId val="0"/>
      </c:bar3DChart>
      <c:catAx>
        <c:axId val="438013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14080"/>
        <c:crosses val="autoZero"/>
        <c:auto val="1"/>
        <c:lblAlgn val="ctr"/>
        <c:lblOffset val="100"/>
        <c:noMultiLvlLbl val="0"/>
      </c:catAx>
      <c:valAx>
        <c:axId val="438014080"/>
        <c:scaling>
          <c:orientation val="minMax"/>
        </c:scaling>
        <c:delete val="1"/>
        <c:axPos val="b"/>
        <c:numFmt formatCode="General" sourceLinked="1"/>
        <c:majorTickMark val="out"/>
        <c:minorTickMark val="none"/>
        <c:tickLblPos val="nextTo"/>
        <c:crossAx val="438013688"/>
        <c:crosses val="autoZero"/>
        <c:crossBetween val="between"/>
      </c:valAx>
      <c:spPr>
        <a:noFill/>
        <a:ln>
          <a:noFill/>
        </a:ln>
        <a:effectLst/>
      </c:spPr>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Počty pracovních pozic obsazených </a:t>
            </a:r>
            <a:r>
              <a:rPr lang="cs-CZ" sz="1000" b="1" i="0" u="none" strike="noStrike" cap="none" baseline="0">
                <a:effectLst/>
              </a:rPr>
              <a:t>osobami s jinou než českou státní příslušností</a:t>
            </a:r>
            <a:r>
              <a:rPr lang="cs-CZ" sz="1000" b="1" cap="none" spc="0">
                <a:ln w="0"/>
                <a:solidFill>
                  <a:schemeClr val="tx1"/>
                </a:solidFill>
                <a:effectLst/>
              </a:rPr>
              <a:t> v Jihomoravském kraji dle požadavku na vzdělání v letech 2008–2021</a:t>
            </a:r>
          </a:p>
        </c:rich>
      </c:tx>
      <c:layout>
        <c:manualLayout>
          <c:xMode val="edge"/>
          <c:yMode val="edge"/>
          <c:x val="0.12558276887042075"/>
          <c:y val="7.874015748031496E-3"/>
        </c:manualLayout>
      </c:layout>
      <c:overlay val="0"/>
      <c:spPr>
        <a:noFill/>
        <a:ln>
          <a:noFill/>
        </a:ln>
        <a:effectLst/>
      </c:spPr>
    </c:title>
    <c:autoTitleDeleted val="0"/>
    <c:plotArea>
      <c:layout>
        <c:manualLayout>
          <c:layoutTarget val="inner"/>
          <c:xMode val="edge"/>
          <c:yMode val="edge"/>
          <c:x val="7.4548983546091893E-2"/>
          <c:y val="1.8468183603033875E-2"/>
          <c:w val="0.90233225334492129"/>
          <c:h val="0.82336412672825343"/>
        </c:manualLayout>
      </c:layout>
      <c:barChart>
        <c:barDir val="col"/>
        <c:grouping val="stacked"/>
        <c:varyColors val="0"/>
        <c:ser>
          <c:idx val="0"/>
          <c:order val="0"/>
          <c:tx>
            <c:strRef>
              <c:f>List1!$B$1</c:f>
              <c:strCache>
                <c:ptCount val="1"/>
                <c:pt idx="0">
                  <c:v>Vysokoškolské a vyší odborné</c:v>
                </c:pt>
              </c:strCache>
            </c:strRef>
          </c:tx>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List1!$B$2:$B$15</c:f>
              <c:numCache>
                <c:formatCode>General</c:formatCode>
                <c:ptCount val="14"/>
                <c:pt idx="0">
                  <c:v>2664</c:v>
                </c:pt>
                <c:pt idx="1">
                  <c:v>3133</c:v>
                </c:pt>
                <c:pt idx="2">
                  <c:v>3492</c:v>
                </c:pt>
                <c:pt idx="3">
                  <c:v>3935</c:v>
                </c:pt>
                <c:pt idx="4">
                  <c:v>3196</c:v>
                </c:pt>
                <c:pt idx="5">
                  <c:v>385</c:v>
                </c:pt>
                <c:pt idx="6">
                  <c:v>4997</c:v>
                </c:pt>
                <c:pt idx="7">
                  <c:v>6798</c:v>
                </c:pt>
                <c:pt idx="8">
                  <c:v>7601</c:v>
                </c:pt>
                <c:pt idx="9">
                  <c:v>8590</c:v>
                </c:pt>
                <c:pt idx="10">
                  <c:v>9087</c:v>
                </c:pt>
                <c:pt idx="11">
                  <c:v>10073</c:v>
                </c:pt>
                <c:pt idx="12">
                  <c:v>10466</c:v>
                </c:pt>
                <c:pt idx="13">
                  <c:v>10600</c:v>
                </c:pt>
              </c:numCache>
            </c:numRef>
          </c:val>
          <c:extLst>
            <c:ext xmlns:c16="http://schemas.microsoft.com/office/drawing/2014/chart" uri="{C3380CC4-5D6E-409C-BE32-E72D297353CC}">
              <c16:uniqueId val="{00000000-1D48-4B2A-BD60-580A208C9E0E}"/>
            </c:ext>
          </c:extLst>
        </c:ser>
        <c:ser>
          <c:idx val="1"/>
          <c:order val="1"/>
          <c:tx>
            <c:strRef>
              <c:f>List1!$C$1</c:f>
              <c:strCache>
                <c:ptCount val="1"/>
                <c:pt idx="0">
                  <c:v>Střední odborné s maturitou</c:v>
                </c:pt>
              </c:strCache>
            </c:strRef>
          </c:tx>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List1!$C$2:$C$15</c:f>
              <c:numCache>
                <c:formatCode>General</c:formatCode>
                <c:ptCount val="14"/>
                <c:pt idx="0">
                  <c:v>3747</c:v>
                </c:pt>
                <c:pt idx="1">
                  <c:v>4110</c:v>
                </c:pt>
                <c:pt idx="2">
                  <c:v>4845</c:v>
                </c:pt>
                <c:pt idx="3">
                  <c:v>5360</c:v>
                </c:pt>
                <c:pt idx="4">
                  <c:v>4573</c:v>
                </c:pt>
                <c:pt idx="5">
                  <c:v>487</c:v>
                </c:pt>
                <c:pt idx="6">
                  <c:v>6114</c:v>
                </c:pt>
                <c:pt idx="7">
                  <c:v>9010</c:v>
                </c:pt>
                <c:pt idx="8">
                  <c:v>10559</c:v>
                </c:pt>
                <c:pt idx="9">
                  <c:v>12227</c:v>
                </c:pt>
                <c:pt idx="10">
                  <c:v>13455</c:v>
                </c:pt>
                <c:pt idx="11">
                  <c:v>14561</c:v>
                </c:pt>
                <c:pt idx="12">
                  <c:v>15405</c:v>
                </c:pt>
                <c:pt idx="13">
                  <c:v>15803</c:v>
                </c:pt>
              </c:numCache>
            </c:numRef>
          </c:val>
          <c:extLst>
            <c:ext xmlns:c16="http://schemas.microsoft.com/office/drawing/2014/chart" uri="{C3380CC4-5D6E-409C-BE32-E72D297353CC}">
              <c16:uniqueId val="{00000001-1D48-4B2A-BD60-580A208C9E0E}"/>
            </c:ext>
          </c:extLst>
        </c:ser>
        <c:ser>
          <c:idx val="2"/>
          <c:order val="2"/>
          <c:tx>
            <c:strRef>
              <c:f>List1!$D$1</c:f>
              <c:strCache>
                <c:ptCount val="1"/>
                <c:pt idx="0">
                  <c:v>Střední bez maturity</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List1!$D$2:$D$15</c:f>
              <c:numCache>
                <c:formatCode>General</c:formatCode>
                <c:ptCount val="14"/>
                <c:pt idx="0">
                  <c:v>6113</c:v>
                </c:pt>
                <c:pt idx="1">
                  <c:v>5214</c:v>
                </c:pt>
                <c:pt idx="2">
                  <c:v>5147</c:v>
                </c:pt>
                <c:pt idx="3">
                  <c:v>5417</c:v>
                </c:pt>
                <c:pt idx="4">
                  <c:v>4552</c:v>
                </c:pt>
                <c:pt idx="5">
                  <c:v>1259</c:v>
                </c:pt>
                <c:pt idx="6">
                  <c:v>5916</c:v>
                </c:pt>
                <c:pt idx="7">
                  <c:v>7731</c:v>
                </c:pt>
                <c:pt idx="8">
                  <c:v>8589</c:v>
                </c:pt>
                <c:pt idx="9">
                  <c:v>9575</c:v>
                </c:pt>
                <c:pt idx="10">
                  <c:v>11092</c:v>
                </c:pt>
                <c:pt idx="11">
                  <c:v>11795</c:v>
                </c:pt>
                <c:pt idx="12">
                  <c:v>12477</c:v>
                </c:pt>
                <c:pt idx="13">
                  <c:v>12499</c:v>
                </c:pt>
              </c:numCache>
            </c:numRef>
          </c:val>
          <c:extLst>
            <c:ext xmlns:c16="http://schemas.microsoft.com/office/drawing/2014/chart" uri="{C3380CC4-5D6E-409C-BE32-E72D297353CC}">
              <c16:uniqueId val="{00000002-1D48-4B2A-BD60-580A208C9E0E}"/>
            </c:ext>
          </c:extLst>
        </c:ser>
        <c:ser>
          <c:idx val="3"/>
          <c:order val="3"/>
          <c:tx>
            <c:strRef>
              <c:f>List1!$E$1</c:f>
              <c:strCache>
                <c:ptCount val="1"/>
                <c:pt idx="0">
                  <c:v>Základní</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List1!$E$2:$E$15</c:f>
              <c:numCache>
                <c:formatCode>General</c:formatCode>
                <c:ptCount val="14"/>
                <c:pt idx="0">
                  <c:v>15543</c:v>
                </c:pt>
                <c:pt idx="1">
                  <c:v>12442</c:v>
                </c:pt>
                <c:pt idx="2">
                  <c:v>11640</c:v>
                </c:pt>
                <c:pt idx="3">
                  <c:v>4332</c:v>
                </c:pt>
                <c:pt idx="4">
                  <c:v>3090</c:v>
                </c:pt>
                <c:pt idx="5">
                  <c:v>1029</c:v>
                </c:pt>
                <c:pt idx="6">
                  <c:v>7765</c:v>
                </c:pt>
                <c:pt idx="7">
                  <c:v>13094</c:v>
                </c:pt>
                <c:pt idx="8">
                  <c:v>17131</c:v>
                </c:pt>
                <c:pt idx="9">
                  <c:v>13583</c:v>
                </c:pt>
                <c:pt idx="10">
                  <c:v>24174</c:v>
                </c:pt>
                <c:pt idx="11">
                  <c:v>26584</c:v>
                </c:pt>
                <c:pt idx="12">
                  <c:v>30100</c:v>
                </c:pt>
                <c:pt idx="13">
                  <c:v>34021</c:v>
                </c:pt>
              </c:numCache>
            </c:numRef>
          </c:val>
          <c:extLst>
            <c:ext xmlns:c16="http://schemas.microsoft.com/office/drawing/2014/chart" uri="{C3380CC4-5D6E-409C-BE32-E72D297353CC}">
              <c16:uniqueId val="{00000003-1D48-4B2A-BD60-580A208C9E0E}"/>
            </c:ext>
          </c:extLst>
        </c:ser>
        <c:ser>
          <c:idx val="4"/>
          <c:order val="4"/>
          <c:tx>
            <c:strRef>
              <c:f>List1!$F$1</c:f>
              <c:strCache>
                <c:ptCount val="1"/>
                <c:pt idx="0">
                  <c:v>Bez vzdělání</c:v>
                </c:pt>
              </c:strCache>
            </c:strRef>
          </c:tx>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List1!$F$2:$F$15</c:f>
              <c:numCache>
                <c:formatCode>General</c:formatCode>
                <c:ptCount val="14"/>
                <c:pt idx="0">
                  <c:v>51</c:v>
                </c:pt>
                <c:pt idx="1">
                  <c:v>46</c:v>
                </c:pt>
                <c:pt idx="2">
                  <c:v>37</c:v>
                </c:pt>
                <c:pt idx="3">
                  <c:v>37</c:v>
                </c:pt>
                <c:pt idx="4">
                  <c:v>32</c:v>
                </c:pt>
                <c:pt idx="5">
                  <c:v>9</c:v>
                </c:pt>
                <c:pt idx="6">
                  <c:v>64</c:v>
                </c:pt>
                <c:pt idx="7">
                  <c:v>117</c:v>
                </c:pt>
                <c:pt idx="8">
                  <c:v>140</c:v>
                </c:pt>
                <c:pt idx="9">
                  <c:v>7384</c:v>
                </c:pt>
                <c:pt idx="10">
                  <c:v>291</c:v>
                </c:pt>
                <c:pt idx="11">
                  <c:v>319</c:v>
                </c:pt>
                <c:pt idx="12">
                  <c:v>391</c:v>
                </c:pt>
                <c:pt idx="13">
                  <c:v>472</c:v>
                </c:pt>
              </c:numCache>
            </c:numRef>
          </c:val>
          <c:extLst>
            <c:ext xmlns:c16="http://schemas.microsoft.com/office/drawing/2014/chart" uri="{C3380CC4-5D6E-409C-BE32-E72D297353CC}">
              <c16:uniqueId val="{00000004-1D48-4B2A-BD60-580A208C9E0E}"/>
            </c:ext>
          </c:extLst>
        </c:ser>
        <c:ser>
          <c:idx val="5"/>
          <c:order val="5"/>
          <c:tx>
            <c:strRef>
              <c:f>List1!$G$1</c:f>
              <c:strCache>
                <c:ptCount val="1"/>
                <c:pt idx="0">
                  <c:v>Nezjištěno</c:v>
                </c:pt>
              </c:strCache>
            </c:strRef>
          </c:tx>
          <c:spPr>
            <a:solidFill>
              <a:schemeClr val="bg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List1!$G$2:$G$15</c:f>
              <c:numCache>
                <c:formatCode>General</c:formatCode>
                <c:ptCount val="14"/>
                <c:pt idx="0">
                  <c:v>1406</c:v>
                </c:pt>
                <c:pt idx="1">
                  <c:v>1336</c:v>
                </c:pt>
                <c:pt idx="2">
                  <c:v>1237</c:v>
                </c:pt>
                <c:pt idx="3">
                  <c:v>1123</c:v>
                </c:pt>
                <c:pt idx="4">
                  <c:v>1114</c:v>
                </c:pt>
                <c:pt idx="5">
                  <c:v>312</c:v>
                </c:pt>
                <c:pt idx="6">
                  <c:v>1092</c:v>
                </c:pt>
                <c:pt idx="7">
                  <c:v>1081</c:v>
                </c:pt>
                <c:pt idx="8">
                  <c:v>1057</c:v>
                </c:pt>
                <c:pt idx="9">
                  <c:v>731</c:v>
                </c:pt>
                <c:pt idx="10">
                  <c:v>1026</c:v>
                </c:pt>
                <c:pt idx="11">
                  <c:v>1008</c:v>
                </c:pt>
                <c:pt idx="12">
                  <c:v>999</c:v>
                </c:pt>
                <c:pt idx="13">
                  <c:v>998</c:v>
                </c:pt>
              </c:numCache>
            </c:numRef>
          </c:val>
          <c:extLst>
            <c:ext xmlns:c16="http://schemas.microsoft.com/office/drawing/2014/chart" uri="{C3380CC4-5D6E-409C-BE32-E72D297353CC}">
              <c16:uniqueId val="{00000005-1D48-4B2A-BD60-580A208C9E0E}"/>
            </c:ext>
          </c:extLst>
        </c:ser>
        <c:dLbls>
          <c:showLegendKey val="0"/>
          <c:showVal val="0"/>
          <c:showCatName val="0"/>
          <c:showSerName val="0"/>
          <c:showPercent val="0"/>
          <c:showBubbleSize val="0"/>
        </c:dLbls>
        <c:gapWidth val="150"/>
        <c:overlap val="100"/>
        <c:axId val="438016824"/>
        <c:axId val="438007808"/>
      </c:barChart>
      <c:lineChart>
        <c:grouping val="standard"/>
        <c:varyColors val="0"/>
        <c:ser>
          <c:idx val="6"/>
          <c:order val="6"/>
          <c:tx>
            <c:strRef>
              <c:f>List1!$H$1</c:f>
              <c:strCache>
                <c:ptCount val="1"/>
                <c:pt idx="0">
                  <c:v>celkem</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List1!$H$2:$H$15</c:f>
              <c:numCache>
                <c:formatCode>General</c:formatCode>
                <c:ptCount val="14"/>
                <c:pt idx="0">
                  <c:v>29524</c:v>
                </c:pt>
                <c:pt idx="1">
                  <c:v>26281</c:v>
                </c:pt>
                <c:pt idx="2">
                  <c:v>26398</c:v>
                </c:pt>
                <c:pt idx="3">
                  <c:v>20204</c:v>
                </c:pt>
                <c:pt idx="4">
                  <c:v>16557</c:v>
                </c:pt>
                <c:pt idx="5">
                  <c:v>3481</c:v>
                </c:pt>
                <c:pt idx="6">
                  <c:v>25948</c:v>
                </c:pt>
                <c:pt idx="7">
                  <c:v>37831</c:v>
                </c:pt>
                <c:pt idx="8">
                  <c:v>45077</c:v>
                </c:pt>
                <c:pt idx="9">
                  <c:v>52090</c:v>
                </c:pt>
                <c:pt idx="10">
                  <c:v>59125</c:v>
                </c:pt>
                <c:pt idx="11">
                  <c:v>64340</c:v>
                </c:pt>
                <c:pt idx="12">
                  <c:v>69838</c:v>
                </c:pt>
                <c:pt idx="13">
                  <c:v>74393</c:v>
                </c:pt>
              </c:numCache>
            </c:numRef>
          </c:val>
          <c:smooth val="0"/>
          <c:extLst>
            <c:ext xmlns:c16="http://schemas.microsoft.com/office/drawing/2014/chart" uri="{C3380CC4-5D6E-409C-BE32-E72D297353CC}">
              <c16:uniqueId val="{00000006-1D48-4B2A-BD60-580A208C9E0E}"/>
            </c:ext>
          </c:extLst>
        </c:ser>
        <c:dLbls>
          <c:showLegendKey val="0"/>
          <c:showVal val="0"/>
          <c:showCatName val="0"/>
          <c:showSerName val="0"/>
          <c:showPercent val="0"/>
          <c:showBubbleSize val="0"/>
        </c:dLbls>
        <c:marker val="1"/>
        <c:smooth val="0"/>
        <c:axId val="438016824"/>
        <c:axId val="438007808"/>
      </c:lineChart>
      <c:catAx>
        <c:axId val="4380168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07808"/>
        <c:crosses val="autoZero"/>
        <c:auto val="1"/>
        <c:lblAlgn val="ctr"/>
        <c:lblOffset val="100"/>
        <c:noMultiLvlLbl val="0"/>
      </c:catAx>
      <c:valAx>
        <c:axId val="4380078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16824"/>
        <c:crosses val="autoZero"/>
        <c:crossBetween val="between"/>
      </c:valAx>
      <c:spPr>
        <a:noFill/>
        <a:ln>
          <a:noFill/>
        </a:ln>
        <a:effectLst/>
      </c:spPr>
    </c:plotArea>
    <c:legend>
      <c:legendPos val="b"/>
      <c:layout>
        <c:manualLayout>
          <c:xMode val="edge"/>
          <c:yMode val="edge"/>
          <c:x val="9.477435112277631E-3"/>
          <c:y val="0.88981379296091923"/>
          <c:w val="0.97873013269174691"/>
          <c:h val="0.110186207039080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Procentuální zastoupení pracovních pozic obsazených</a:t>
            </a:r>
            <a:r>
              <a:rPr lang="cs-CZ" sz="1000" b="1" cap="none" spc="0" baseline="0">
                <a:ln w="0"/>
                <a:solidFill>
                  <a:schemeClr val="tx1"/>
                </a:solidFill>
                <a:effectLst/>
              </a:rPr>
              <a:t> osobami s jinou než českou státní příslušností </a:t>
            </a:r>
            <a:r>
              <a:rPr lang="cs-CZ" sz="1000" b="1" cap="none" spc="0">
                <a:ln w="0"/>
                <a:solidFill>
                  <a:schemeClr val="tx1"/>
                </a:solidFill>
                <a:effectLst/>
              </a:rPr>
              <a:t>v JMK dle požadavku na vzdělání v letech 2008–2021</a:t>
            </a:r>
          </a:p>
        </c:rich>
      </c:tx>
      <c:layout>
        <c:manualLayout>
          <c:xMode val="edge"/>
          <c:yMode val="edge"/>
          <c:x val="0.11284722222222222"/>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250364537766106E-2"/>
          <c:y val="3.1068325322268421E-2"/>
          <c:w val="0.88144065325167686"/>
          <c:h val="0.85443430701358136"/>
        </c:manualLayout>
      </c:layout>
      <c:bar3DChart>
        <c:barDir val="bar"/>
        <c:grouping val="stacked"/>
        <c:varyColors val="0"/>
        <c:ser>
          <c:idx val="0"/>
          <c:order val="0"/>
          <c:tx>
            <c:strRef>
              <c:f>List1!$B$1</c:f>
              <c:strCache>
                <c:ptCount val="1"/>
                <c:pt idx="0">
                  <c:v>Vysokoškolské a vyší odborné</c:v>
                </c:pt>
              </c:strCache>
            </c:strRef>
          </c:tx>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List1!$B$2:$B$15</c:f>
              <c:numCache>
                <c:formatCode>0.0%</c:formatCode>
                <c:ptCount val="14"/>
                <c:pt idx="0">
                  <c:v>0.09</c:v>
                </c:pt>
                <c:pt idx="1">
                  <c:v>0.11899999999999999</c:v>
                </c:pt>
                <c:pt idx="2">
                  <c:v>0.13200000000000001</c:v>
                </c:pt>
                <c:pt idx="3">
                  <c:v>0.19500000000000001</c:v>
                </c:pt>
                <c:pt idx="4">
                  <c:v>0.193</c:v>
                </c:pt>
                <c:pt idx="5">
                  <c:v>0.111</c:v>
                </c:pt>
                <c:pt idx="6">
                  <c:v>0.193</c:v>
                </c:pt>
                <c:pt idx="7">
                  <c:v>0.18</c:v>
                </c:pt>
                <c:pt idx="8">
                  <c:v>0.16900000000000001</c:v>
                </c:pt>
                <c:pt idx="9">
                  <c:v>0.16600000000000001</c:v>
                </c:pt>
                <c:pt idx="10">
                  <c:v>0.154</c:v>
                </c:pt>
                <c:pt idx="11">
                  <c:v>0.157</c:v>
                </c:pt>
                <c:pt idx="12">
                  <c:v>0.15</c:v>
                </c:pt>
                <c:pt idx="13">
                  <c:v>0.14199999999999999</c:v>
                </c:pt>
              </c:numCache>
            </c:numRef>
          </c:val>
          <c:extLst>
            <c:ext xmlns:c16="http://schemas.microsoft.com/office/drawing/2014/chart" uri="{C3380CC4-5D6E-409C-BE32-E72D297353CC}">
              <c16:uniqueId val="{00000000-FBEC-4F66-83C3-BC2FCE001D1D}"/>
            </c:ext>
          </c:extLst>
        </c:ser>
        <c:ser>
          <c:idx val="1"/>
          <c:order val="1"/>
          <c:tx>
            <c:strRef>
              <c:f>List1!$C$1</c:f>
              <c:strCache>
                <c:ptCount val="1"/>
                <c:pt idx="0">
                  <c:v>Střední odborné s maturitou</c:v>
                </c:pt>
              </c:strCache>
            </c:strRef>
          </c:tx>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List1!$C$2:$C$15</c:f>
              <c:numCache>
                <c:formatCode>0.0%</c:formatCode>
                <c:ptCount val="14"/>
                <c:pt idx="0">
                  <c:v>0.127</c:v>
                </c:pt>
                <c:pt idx="1">
                  <c:v>0.156</c:v>
                </c:pt>
                <c:pt idx="2">
                  <c:v>0.184</c:v>
                </c:pt>
                <c:pt idx="3">
                  <c:v>0.26500000000000001</c:v>
                </c:pt>
                <c:pt idx="4">
                  <c:v>0.27600000000000002</c:v>
                </c:pt>
                <c:pt idx="5">
                  <c:v>0.14000000000000001</c:v>
                </c:pt>
                <c:pt idx="6">
                  <c:v>0.23599999999999999</c:v>
                </c:pt>
                <c:pt idx="7">
                  <c:v>0.23799999999999999</c:v>
                </c:pt>
                <c:pt idx="8">
                  <c:v>0.23499999999999999</c:v>
                </c:pt>
                <c:pt idx="9">
                  <c:v>0.23599999999999999</c:v>
                </c:pt>
                <c:pt idx="10">
                  <c:v>0.22800000000000001</c:v>
                </c:pt>
                <c:pt idx="11">
                  <c:v>0.22600000000000001</c:v>
                </c:pt>
                <c:pt idx="12">
                  <c:v>0.221</c:v>
                </c:pt>
                <c:pt idx="13">
                  <c:v>0.21199999999999999</c:v>
                </c:pt>
              </c:numCache>
            </c:numRef>
          </c:val>
          <c:extLst>
            <c:ext xmlns:c16="http://schemas.microsoft.com/office/drawing/2014/chart" uri="{C3380CC4-5D6E-409C-BE32-E72D297353CC}">
              <c16:uniqueId val="{00000001-FBEC-4F66-83C3-BC2FCE001D1D}"/>
            </c:ext>
          </c:extLst>
        </c:ser>
        <c:ser>
          <c:idx val="2"/>
          <c:order val="2"/>
          <c:tx>
            <c:strRef>
              <c:f>List1!$D$1</c:f>
              <c:strCache>
                <c:ptCount val="1"/>
                <c:pt idx="0">
                  <c:v>Střední bez maturity</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List1!$D$2:$D$15</c:f>
              <c:numCache>
                <c:formatCode>0.0%</c:formatCode>
                <c:ptCount val="14"/>
                <c:pt idx="0">
                  <c:v>0.20699999999999999</c:v>
                </c:pt>
                <c:pt idx="1">
                  <c:v>0.19800000000000001</c:v>
                </c:pt>
                <c:pt idx="2">
                  <c:v>0.19500000000000001</c:v>
                </c:pt>
                <c:pt idx="3">
                  <c:v>0.26800000000000002</c:v>
                </c:pt>
                <c:pt idx="4">
                  <c:v>0.27500000000000002</c:v>
                </c:pt>
                <c:pt idx="5">
                  <c:v>0.36199999999999999</c:v>
                </c:pt>
                <c:pt idx="6">
                  <c:v>0.22800000000000001</c:v>
                </c:pt>
                <c:pt idx="7">
                  <c:v>0.20399999999999999</c:v>
                </c:pt>
                <c:pt idx="8">
                  <c:v>0.191</c:v>
                </c:pt>
                <c:pt idx="9">
                  <c:v>0.185</c:v>
                </c:pt>
                <c:pt idx="10">
                  <c:v>0.188</c:v>
                </c:pt>
                <c:pt idx="11">
                  <c:v>0.183</c:v>
                </c:pt>
                <c:pt idx="12">
                  <c:v>0.17899999999999999</c:v>
                </c:pt>
                <c:pt idx="13">
                  <c:v>0.16800000000000001</c:v>
                </c:pt>
              </c:numCache>
            </c:numRef>
          </c:val>
          <c:extLst>
            <c:ext xmlns:c16="http://schemas.microsoft.com/office/drawing/2014/chart" uri="{C3380CC4-5D6E-409C-BE32-E72D297353CC}">
              <c16:uniqueId val="{00000002-FBEC-4F66-83C3-BC2FCE001D1D}"/>
            </c:ext>
          </c:extLst>
        </c:ser>
        <c:ser>
          <c:idx val="3"/>
          <c:order val="3"/>
          <c:tx>
            <c:strRef>
              <c:f>List1!$E$1</c:f>
              <c:strCache>
                <c:ptCount val="1"/>
                <c:pt idx="0">
                  <c:v>Základní</c:v>
                </c:pt>
              </c:strCache>
            </c:strRef>
          </c:tx>
          <c:spPr>
            <a:solidFill>
              <a:srgbClr val="C00000"/>
            </a:solidFill>
            <a:ln>
              <a:noFill/>
            </a:ln>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List1!$E$2:$E$15</c:f>
              <c:numCache>
                <c:formatCode>0.0%</c:formatCode>
                <c:ptCount val="14"/>
                <c:pt idx="0">
                  <c:v>0.52600000000000002</c:v>
                </c:pt>
                <c:pt idx="1">
                  <c:v>0.47299999999999998</c:v>
                </c:pt>
                <c:pt idx="2">
                  <c:v>0.441</c:v>
                </c:pt>
                <c:pt idx="3">
                  <c:v>0.214</c:v>
                </c:pt>
                <c:pt idx="4">
                  <c:v>0.187</c:v>
                </c:pt>
                <c:pt idx="5">
                  <c:v>0.29499999999999998</c:v>
                </c:pt>
                <c:pt idx="6">
                  <c:v>0.29899999999999999</c:v>
                </c:pt>
                <c:pt idx="7">
                  <c:v>0.34599999999999997</c:v>
                </c:pt>
                <c:pt idx="8">
                  <c:v>0.38</c:v>
                </c:pt>
                <c:pt idx="9">
                  <c:v>0.26200000000000001</c:v>
                </c:pt>
                <c:pt idx="10">
                  <c:v>0.40899999999999997</c:v>
                </c:pt>
                <c:pt idx="11">
                  <c:v>0.41299999999999998</c:v>
                </c:pt>
                <c:pt idx="12">
                  <c:v>0.43099999999999999</c:v>
                </c:pt>
                <c:pt idx="13">
                  <c:v>0.45700000000000002</c:v>
                </c:pt>
              </c:numCache>
            </c:numRef>
          </c:val>
          <c:extLst>
            <c:ext xmlns:c16="http://schemas.microsoft.com/office/drawing/2014/chart" uri="{C3380CC4-5D6E-409C-BE32-E72D297353CC}">
              <c16:uniqueId val="{00000003-FBEC-4F66-83C3-BC2FCE001D1D}"/>
            </c:ext>
          </c:extLst>
        </c:ser>
        <c:ser>
          <c:idx val="4"/>
          <c:order val="4"/>
          <c:tx>
            <c:strRef>
              <c:f>List1!$F$1</c:f>
              <c:strCache>
                <c:ptCount val="1"/>
                <c:pt idx="0">
                  <c:v>Bez vzdělání</c:v>
                </c:pt>
              </c:strCache>
            </c:strRef>
          </c:tx>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List1!$F$2:$F$15</c:f>
              <c:numCache>
                <c:formatCode>0.0%</c:formatCode>
                <c:ptCount val="14"/>
                <c:pt idx="0">
                  <c:v>2E-3</c:v>
                </c:pt>
                <c:pt idx="1">
                  <c:v>2E-3</c:v>
                </c:pt>
                <c:pt idx="2">
                  <c:v>1E-3</c:v>
                </c:pt>
                <c:pt idx="3">
                  <c:v>2E-3</c:v>
                </c:pt>
                <c:pt idx="4">
                  <c:v>2E-3</c:v>
                </c:pt>
                <c:pt idx="5">
                  <c:v>3.0000000000000001E-3</c:v>
                </c:pt>
                <c:pt idx="6">
                  <c:v>2E-3</c:v>
                </c:pt>
                <c:pt idx="7">
                  <c:v>3.0000000000000001E-3</c:v>
                </c:pt>
                <c:pt idx="8">
                  <c:v>3.0000000000000001E-3</c:v>
                </c:pt>
                <c:pt idx="9">
                  <c:v>0.14199999999999999</c:v>
                </c:pt>
                <c:pt idx="10">
                  <c:v>5.0000000000000001E-3</c:v>
                </c:pt>
                <c:pt idx="11">
                  <c:v>5.0000000000000001E-3</c:v>
                </c:pt>
                <c:pt idx="12">
                  <c:v>6.0000000000000001E-3</c:v>
                </c:pt>
                <c:pt idx="13">
                  <c:v>6.0000000000000001E-3</c:v>
                </c:pt>
              </c:numCache>
            </c:numRef>
          </c:val>
          <c:extLst>
            <c:ext xmlns:c16="http://schemas.microsoft.com/office/drawing/2014/chart" uri="{C3380CC4-5D6E-409C-BE32-E72D297353CC}">
              <c16:uniqueId val="{00000004-FBEC-4F66-83C3-BC2FCE001D1D}"/>
            </c:ext>
          </c:extLst>
        </c:ser>
        <c:ser>
          <c:idx val="5"/>
          <c:order val="5"/>
          <c:tx>
            <c:strRef>
              <c:f>List1!$G$1</c:f>
              <c:strCache>
                <c:ptCount val="1"/>
                <c:pt idx="0">
                  <c:v>Nezjištěno</c:v>
                </c:pt>
              </c:strCache>
            </c:strRef>
          </c:tx>
          <c:spPr>
            <a:solidFill>
              <a:schemeClr val="bg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numRef>
              <c:f>List1!$A$2:$A$15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List1!$G$2:$G$15</c:f>
              <c:numCache>
                <c:formatCode>0.0%</c:formatCode>
                <c:ptCount val="14"/>
                <c:pt idx="0">
                  <c:v>4.8000000000000001E-2</c:v>
                </c:pt>
                <c:pt idx="1">
                  <c:v>5.0999999999999997E-2</c:v>
                </c:pt>
                <c:pt idx="2">
                  <c:v>4.7E-2</c:v>
                </c:pt>
                <c:pt idx="3">
                  <c:v>5.6000000000000001E-2</c:v>
                </c:pt>
                <c:pt idx="4">
                  <c:v>6.6000000000000003E-2</c:v>
                </c:pt>
                <c:pt idx="5">
                  <c:v>0.09</c:v>
                </c:pt>
                <c:pt idx="6">
                  <c:v>4.2999999999999997E-2</c:v>
                </c:pt>
                <c:pt idx="7">
                  <c:v>2.9000000000000001E-2</c:v>
                </c:pt>
                <c:pt idx="8">
                  <c:v>2.4E-2</c:v>
                </c:pt>
                <c:pt idx="9">
                  <c:v>1.4E-2</c:v>
                </c:pt>
                <c:pt idx="10">
                  <c:v>1.7000000000000001E-2</c:v>
                </c:pt>
                <c:pt idx="11">
                  <c:v>1.4999999999999999E-2</c:v>
                </c:pt>
                <c:pt idx="12">
                  <c:v>1.4E-2</c:v>
                </c:pt>
                <c:pt idx="13">
                  <c:v>1.2999999999999999E-2</c:v>
                </c:pt>
              </c:numCache>
            </c:numRef>
          </c:val>
          <c:extLst>
            <c:ext xmlns:c16="http://schemas.microsoft.com/office/drawing/2014/chart" uri="{C3380CC4-5D6E-409C-BE32-E72D297353CC}">
              <c16:uniqueId val="{00000005-FBEC-4F66-83C3-BC2FCE001D1D}"/>
            </c:ext>
          </c:extLst>
        </c:ser>
        <c:dLbls>
          <c:showLegendKey val="0"/>
          <c:showVal val="1"/>
          <c:showCatName val="0"/>
          <c:showSerName val="0"/>
          <c:showPercent val="0"/>
          <c:showBubbleSize val="0"/>
        </c:dLbls>
        <c:gapWidth val="70"/>
        <c:shape val="cylinder"/>
        <c:axId val="438018000"/>
        <c:axId val="438010160"/>
        <c:axId val="0"/>
      </c:bar3DChart>
      <c:catAx>
        <c:axId val="438018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10160"/>
        <c:crosses val="autoZero"/>
        <c:auto val="1"/>
        <c:lblAlgn val="ctr"/>
        <c:lblOffset val="100"/>
        <c:noMultiLvlLbl val="0"/>
      </c:catAx>
      <c:valAx>
        <c:axId val="438010160"/>
        <c:scaling>
          <c:orientation val="minMax"/>
          <c:max val="1"/>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018000"/>
        <c:crosses val="autoZero"/>
        <c:crossBetween val="between"/>
      </c:valAx>
      <c:spPr>
        <a:noFill/>
        <a:ln>
          <a:noFill/>
        </a:ln>
        <a:effectLst/>
      </c:spPr>
    </c:plotArea>
    <c:legend>
      <c:legendPos val="b"/>
      <c:layout>
        <c:manualLayout>
          <c:xMode val="edge"/>
          <c:yMode val="edge"/>
          <c:x val="5.2711198292114897E-3"/>
          <c:y val="0.92326510161612985"/>
          <c:w val="0.98725705611622494"/>
          <c:h val="7.6734898383870168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latin typeface="Arial Narrow" panose="020B0606020202030204" pitchFamily="34" charset="0"/>
                <a:ea typeface="+mn-ea"/>
                <a:cs typeface="+mn-cs"/>
              </a:defRPr>
            </a:pPr>
            <a:r>
              <a:rPr lang="cs-CZ" sz="1000" b="1" i="0" baseline="0">
                <a:effectLst/>
              </a:rPr>
              <a:t>Pozice obsazené </a:t>
            </a:r>
            <a:r>
              <a:rPr lang="cs-CZ" sz="1000" b="1" i="0" u="none" strike="noStrike" cap="none" baseline="0">
                <a:effectLst/>
              </a:rPr>
              <a:t>osobami s jinou než českou státní příslušností v JMK</a:t>
            </a:r>
            <a:r>
              <a:rPr lang="cs-CZ" sz="1000" b="1" i="0" baseline="0">
                <a:effectLst/>
              </a:rPr>
              <a:t> evidovanými na úřadech práce podle CZ-NACE k 30. 6. 2021</a:t>
            </a:r>
          </a:p>
        </c:rich>
      </c:tx>
      <c:layout>
        <c:manualLayout>
          <c:xMode val="edge"/>
          <c:yMode val="edge"/>
          <c:x val="0.12425877320890444"/>
          <c:y val="1.7748724805625711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1688955547223266"/>
          <c:y val="5.5800163825513671E-2"/>
          <c:w val="0.58122005582635494"/>
          <c:h val="0.92753369121184459"/>
        </c:manualLayout>
      </c:layout>
      <c:bar3DChart>
        <c:barDir val="bar"/>
        <c:grouping val="clustered"/>
        <c:varyColors val="0"/>
        <c:ser>
          <c:idx val="0"/>
          <c:order val="0"/>
          <c:tx>
            <c:strRef>
              <c:f>List1!$B$1</c:f>
              <c:strCache>
                <c:ptCount val="1"/>
                <c:pt idx="0">
                  <c:v>Řada 1</c:v>
                </c:pt>
              </c:strCache>
            </c:strRef>
          </c:tx>
          <c:spPr>
            <a:solidFill>
              <a:schemeClr val="tx2"/>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2"/>
            <c:invertIfNegative val="0"/>
            <c:bubble3D val="0"/>
            <c:extLst>
              <c:ext xmlns:c16="http://schemas.microsoft.com/office/drawing/2014/chart" uri="{C3380CC4-5D6E-409C-BE32-E72D297353CC}">
                <c16:uniqueId val="{00000000-E942-4E8F-B4A7-AA5DAC6327B0}"/>
              </c:ext>
            </c:extLst>
          </c:dPt>
          <c:dPt>
            <c:idx val="9"/>
            <c:invertIfNegative val="0"/>
            <c:bubble3D val="0"/>
            <c:extLst>
              <c:ext xmlns:c16="http://schemas.microsoft.com/office/drawing/2014/chart" uri="{C3380CC4-5D6E-409C-BE32-E72D297353CC}">
                <c16:uniqueId val="{00000001-E942-4E8F-B4A7-AA5DAC6327B0}"/>
              </c:ext>
            </c:extLst>
          </c:dPt>
          <c:dPt>
            <c:idx val="19"/>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3-E942-4E8F-B4A7-AA5DAC6327B0}"/>
              </c:ext>
            </c:extLst>
          </c:dPt>
          <c:dPt>
            <c:idx val="20"/>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5-E942-4E8F-B4A7-AA5DAC6327B0}"/>
              </c:ext>
            </c:extLst>
          </c:dPt>
          <c:dPt>
            <c:idx val="21"/>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7-E942-4E8F-B4A7-AA5DAC6327B0}"/>
              </c:ext>
            </c:extLst>
          </c:dPt>
          <c:dPt>
            <c:idx val="22"/>
            <c:invertIfNegative val="0"/>
            <c:bubble3D val="0"/>
            <c:spPr>
              <a:solidFill>
                <a:srgbClr val="C0000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9-E942-4E8F-B4A7-AA5DAC6327B0}"/>
              </c:ext>
            </c:extLst>
          </c:dPt>
          <c:dLbls>
            <c:spPr>
              <a:solidFill>
                <a:schemeClr val="bg1"/>
              </a:solidFill>
              <a:ln>
                <a:solidFill>
                  <a:schemeClr val="lt1">
                    <a:alpha val="50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List1!$A$2:$A$24</c:f>
              <c:strCache>
                <c:ptCount val="23"/>
                <c:pt idx="0">
                  <c:v>T  domácnosti zaměstnávající personál</c:v>
                </c:pt>
                <c:pt idx="1">
                  <c:v>A02, A03  lesnictví, rybářství</c:v>
                </c:pt>
                <c:pt idx="2">
                  <c:v>B  těžba, dobývání</c:v>
                </c:pt>
                <c:pt idx="3">
                  <c:v>O  veřejná správa, obrana, sociální zabezpečení</c:v>
                </c:pt>
                <c:pt idx="4">
                  <c:v>U  exteritoriální organizace a instituce</c:v>
                </c:pt>
                <c:pt idx="5">
                  <c:v>E  zásobování vodou, odpadní vody, odpady</c:v>
                </c:pt>
                <c:pt idx="6">
                  <c:v>S  ostatní činnosti</c:v>
                </c:pt>
                <c:pt idx="7">
                  <c:v>R  kultura, zábava, rekreace</c:v>
                </c:pt>
                <c:pt idx="8">
                  <c:v>D  výroba elektřiny, plynu, tepla, klim. vzduchu</c:v>
                </c:pt>
                <c:pt idx="9">
                  <c:v>K   peněžnictví a pojišťovnictví</c:v>
                </c:pt>
                <c:pt idx="10">
                  <c:v>L  nemovitosti</c:v>
                </c:pt>
                <c:pt idx="11">
                  <c:v>nezjištěno</c:v>
                </c:pt>
                <c:pt idx="12">
                  <c:v>A01  zemědělství, myslivost</c:v>
                </c:pt>
                <c:pt idx="13">
                  <c:v>Q  zdravotní a sociální péče</c:v>
                </c:pt>
                <c:pt idx="14">
                  <c:v>H  doprava a skladování</c:v>
                </c:pt>
                <c:pt idx="15">
                  <c:v>I  ubytování, stravování a pohostinství</c:v>
                </c:pt>
                <c:pt idx="16">
                  <c:v>P  vzdělávání</c:v>
                </c:pt>
                <c:pt idx="17">
                  <c:v>M  věda, výzkum, technika</c:v>
                </c:pt>
                <c:pt idx="18">
                  <c:v>F  stavebnictví</c:v>
                </c:pt>
                <c:pt idx="19">
                  <c:v>J  informace a komunikace</c:v>
                </c:pt>
                <c:pt idx="20">
                  <c:v>G  obchod, opravy spotřebičů, mot. vozidel</c:v>
                </c:pt>
                <c:pt idx="21">
                  <c:v>N  administrativa</c:v>
                </c:pt>
                <c:pt idx="22">
                  <c:v>C  zpracovatelský průmysl</c:v>
                </c:pt>
              </c:strCache>
            </c:strRef>
          </c:cat>
          <c:val>
            <c:numRef>
              <c:f>List1!$B$2:$B$24</c:f>
              <c:numCache>
                <c:formatCode>General</c:formatCode>
                <c:ptCount val="23"/>
                <c:pt idx="0">
                  <c:v>3</c:v>
                </c:pt>
                <c:pt idx="1">
                  <c:v>92</c:v>
                </c:pt>
                <c:pt idx="2">
                  <c:v>172</c:v>
                </c:pt>
                <c:pt idx="3">
                  <c:v>177</c:v>
                </c:pt>
                <c:pt idx="4">
                  <c:v>257</c:v>
                </c:pt>
                <c:pt idx="5">
                  <c:v>264</c:v>
                </c:pt>
                <c:pt idx="6">
                  <c:v>540</c:v>
                </c:pt>
                <c:pt idx="7">
                  <c:v>583</c:v>
                </c:pt>
                <c:pt idx="8">
                  <c:v>702</c:v>
                </c:pt>
                <c:pt idx="9">
                  <c:v>716</c:v>
                </c:pt>
                <c:pt idx="10">
                  <c:v>1176</c:v>
                </c:pt>
                <c:pt idx="11">
                  <c:v>1665</c:v>
                </c:pt>
                <c:pt idx="12">
                  <c:v>2204</c:v>
                </c:pt>
                <c:pt idx="13">
                  <c:v>2389</c:v>
                </c:pt>
                <c:pt idx="14">
                  <c:v>2457</c:v>
                </c:pt>
                <c:pt idx="15">
                  <c:v>2631</c:v>
                </c:pt>
                <c:pt idx="16">
                  <c:v>2933</c:v>
                </c:pt>
                <c:pt idx="17">
                  <c:v>4985</c:v>
                </c:pt>
                <c:pt idx="18">
                  <c:v>6791</c:v>
                </c:pt>
                <c:pt idx="19">
                  <c:v>7565</c:v>
                </c:pt>
                <c:pt idx="20">
                  <c:v>7794</c:v>
                </c:pt>
                <c:pt idx="21">
                  <c:v>10295</c:v>
                </c:pt>
                <c:pt idx="22">
                  <c:v>18027</c:v>
                </c:pt>
              </c:numCache>
            </c:numRef>
          </c:val>
          <c:shape val="cylinder"/>
          <c:extLst>
            <c:ext xmlns:c16="http://schemas.microsoft.com/office/drawing/2014/chart" uri="{C3380CC4-5D6E-409C-BE32-E72D297353CC}">
              <c16:uniqueId val="{0000000A-E942-4E8F-B4A7-AA5DAC6327B0}"/>
            </c:ext>
          </c:extLst>
        </c:ser>
        <c:dLbls>
          <c:showLegendKey val="0"/>
          <c:showVal val="1"/>
          <c:showCatName val="0"/>
          <c:showSerName val="0"/>
          <c:showPercent val="0"/>
          <c:showBubbleSize val="0"/>
        </c:dLbls>
        <c:gapWidth val="66"/>
        <c:gapDepth val="25"/>
        <c:shape val="box"/>
        <c:axId val="441803232"/>
        <c:axId val="441807152"/>
        <c:axId val="0"/>
      </c:bar3DChart>
      <c:catAx>
        <c:axId val="441803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crossAx val="441807152"/>
        <c:crosses val="autoZero"/>
        <c:auto val="1"/>
        <c:lblAlgn val="ctr"/>
        <c:lblOffset val="100"/>
        <c:noMultiLvlLbl val="0"/>
      </c:catAx>
      <c:valAx>
        <c:axId val="441807152"/>
        <c:scaling>
          <c:orientation val="minMax"/>
        </c:scaling>
        <c:delete val="1"/>
        <c:axPos val="b"/>
        <c:numFmt formatCode="General" sourceLinked="1"/>
        <c:majorTickMark val="out"/>
        <c:minorTickMark val="none"/>
        <c:tickLblPos val="nextTo"/>
        <c:crossAx val="441803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Pozice obsazené osobami s jinou než českou státní příslušností v Jihomoravském kraji evidovanými na úřadech práce podle CZ-NACE - 3 nejčastější oblasti v letech 2008-2021</a:t>
            </a:r>
            <a:endParaRPr lang="cs-CZ" sz="400">
              <a:effectLst/>
            </a:endParaRPr>
          </a:p>
        </c:rich>
      </c:tx>
      <c:layout>
        <c:manualLayout>
          <c:xMode val="edge"/>
          <c:yMode val="edge"/>
          <c:x val="0.13528795011734646"/>
          <c:y val="9.6899224806201549E-3"/>
        </c:manualLayout>
      </c:layout>
      <c:overlay val="0"/>
      <c:spPr>
        <a:noFill/>
        <a:ln>
          <a:noFill/>
        </a:ln>
        <a:effectLst/>
      </c:spPr>
    </c:title>
    <c:autoTitleDeleted val="0"/>
    <c:plotArea>
      <c:layout>
        <c:manualLayout>
          <c:layoutTarget val="inner"/>
          <c:xMode val="edge"/>
          <c:yMode val="edge"/>
          <c:x val="6.1600459664764115E-2"/>
          <c:y val="6.1408929988402618E-2"/>
          <c:w val="0.93630935022011141"/>
          <c:h val="0.81597590998799574"/>
        </c:manualLayout>
      </c:layout>
      <c:lineChart>
        <c:grouping val="standard"/>
        <c:varyColors val="0"/>
        <c:ser>
          <c:idx val="0"/>
          <c:order val="0"/>
          <c:tx>
            <c:strRef>
              <c:f>List1!$B$1</c:f>
              <c:strCache>
                <c:ptCount val="1"/>
                <c:pt idx="0">
                  <c:v>Zpracovatelský průmysl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List1!$B$2:$B$14</c:f>
              <c:numCache>
                <c:formatCode>0.0%</c:formatCode>
                <c:ptCount val="13"/>
                <c:pt idx="0">
                  <c:v>0.30399999999999999</c:v>
                </c:pt>
                <c:pt idx="1">
                  <c:v>0.23400000000000001</c:v>
                </c:pt>
                <c:pt idx="2">
                  <c:v>0.23300000000000001</c:v>
                </c:pt>
                <c:pt idx="3">
                  <c:v>0.28100000000000003</c:v>
                </c:pt>
                <c:pt idx="4">
                  <c:v>0.29099999999999998</c:v>
                </c:pt>
                <c:pt idx="5">
                  <c:v>0.24399999999999999</c:v>
                </c:pt>
                <c:pt idx="6">
                  <c:v>0.23599999999999999</c:v>
                </c:pt>
                <c:pt idx="7">
                  <c:v>0.23599999999999999</c:v>
                </c:pt>
                <c:pt idx="8">
                  <c:v>0.23899999999999999</c:v>
                </c:pt>
                <c:pt idx="9">
                  <c:v>0.24199999999999999</c:v>
                </c:pt>
                <c:pt idx="10">
                  <c:v>0.23799999999999999</c:v>
                </c:pt>
                <c:pt idx="11">
                  <c:v>0.26300000000000001</c:v>
                </c:pt>
                <c:pt idx="12">
                  <c:v>0.24199999999999999</c:v>
                </c:pt>
              </c:numCache>
            </c:numRef>
          </c:val>
          <c:smooth val="0"/>
          <c:extLst>
            <c:ext xmlns:c16="http://schemas.microsoft.com/office/drawing/2014/chart" uri="{C3380CC4-5D6E-409C-BE32-E72D297353CC}">
              <c16:uniqueId val="{00000000-01DB-4C68-B7D9-4C76BFDAACA5}"/>
            </c:ext>
          </c:extLst>
        </c:ser>
        <c:ser>
          <c:idx val="1"/>
          <c:order val="1"/>
          <c:tx>
            <c:strRef>
              <c:f>List1!$C$1</c:f>
              <c:strCache>
                <c:ptCount val="1"/>
                <c:pt idx="0">
                  <c:v>Administrativa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13439817554347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DB-4C68-B7D9-4C76BFDAACA5}"/>
                </c:ext>
              </c:extLst>
            </c:dLbl>
            <c:dLbl>
              <c:idx val="2"/>
              <c:layout>
                <c:manualLayout>
                  <c:x val="-4.1343981755434751E-2"/>
                  <c:y val="1.5873015873015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DB-4C68-B7D9-4C76BFDAACA5}"/>
                </c:ext>
              </c:extLst>
            </c:dLbl>
            <c:spPr>
              <a:solidFill>
                <a:schemeClr val="accent2">
                  <a:lumMod val="20000"/>
                  <a:lumOff val="80000"/>
                  <a:alpha val="92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List1!$C$2:$C$14</c:f>
              <c:numCache>
                <c:formatCode>0.0%</c:formatCode>
                <c:ptCount val="13"/>
                <c:pt idx="0">
                  <c:v>6.2E-2</c:v>
                </c:pt>
                <c:pt idx="1">
                  <c:v>4.9000000000000002E-2</c:v>
                </c:pt>
                <c:pt idx="2">
                  <c:v>0.05</c:v>
                </c:pt>
                <c:pt idx="3">
                  <c:v>4.7E-2</c:v>
                </c:pt>
                <c:pt idx="4">
                  <c:v>4.3999999999999997E-2</c:v>
                </c:pt>
                <c:pt idx="5">
                  <c:v>0.122</c:v>
                </c:pt>
                <c:pt idx="6">
                  <c:v>0.13900000000000001</c:v>
                </c:pt>
                <c:pt idx="7">
                  <c:v>0.14899999999999999</c:v>
                </c:pt>
                <c:pt idx="8">
                  <c:v>0.153</c:v>
                </c:pt>
                <c:pt idx="9">
                  <c:v>0.14299999999999999</c:v>
                </c:pt>
                <c:pt idx="10">
                  <c:v>0.14199999999999999</c:v>
                </c:pt>
                <c:pt idx="11">
                  <c:v>0.14799999999999999</c:v>
                </c:pt>
                <c:pt idx="12">
                  <c:v>0.13800000000000001</c:v>
                </c:pt>
              </c:numCache>
            </c:numRef>
          </c:val>
          <c:smooth val="0"/>
          <c:extLst>
            <c:ext xmlns:c16="http://schemas.microsoft.com/office/drawing/2014/chart" uri="{C3380CC4-5D6E-409C-BE32-E72D297353CC}">
              <c16:uniqueId val="{00000003-01DB-4C68-B7D9-4C76BFDAACA5}"/>
            </c:ext>
          </c:extLst>
        </c:ser>
        <c:ser>
          <c:idx val="2"/>
          <c:order val="2"/>
          <c:tx>
            <c:strRef>
              <c:f>List1!$D$1</c:f>
              <c:strCache>
                <c:ptCount val="1"/>
                <c:pt idx="0">
                  <c:v>Informace a komunikace</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dLbls>
            <c:dLbl>
              <c:idx val="1"/>
              <c:layout>
                <c:manualLayout>
                  <c:x val="-3.7218913187140733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DB-4C68-B7D9-4C76BFDAACA5}"/>
                </c:ext>
              </c:extLst>
            </c:dLbl>
            <c:dLbl>
              <c:idx val="2"/>
              <c:layout>
                <c:manualLayout>
                  <c:x val="-4.5995654821808819E-2"/>
                  <c:y val="-2.3809523809523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DB-4C68-B7D9-4C76BFDAACA5}"/>
                </c:ext>
              </c:extLst>
            </c:dLbl>
            <c:dLbl>
              <c:idx val="3"/>
              <c:layout>
                <c:manualLayout>
                  <c:x val="-4.1607284004474838E-2"/>
                  <c:y val="-7.93650793650795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DB-4C68-B7D9-4C76BFDAACA5}"/>
                </c:ext>
              </c:extLst>
            </c:dLbl>
            <c:dLbl>
              <c:idx val="4"/>
              <c:layout>
                <c:manualLayout>
                  <c:x val="-4.1607284004474755E-2"/>
                  <c:y val="-7.93650793650793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DB-4C68-B7D9-4C76BFDAACA5}"/>
                </c:ext>
              </c:extLst>
            </c:dLbl>
            <c:dLbl>
              <c:idx val="5"/>
              <c:layout>
                <c:manualLayout>
                  <c:x val="-3.9599911122220832E-2"/>
                  <c:y val="1.4094432699083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DB-4C68-B7D9-4C76BFDAACA5}"/>
                </c:ext>
              </c:extLst>
            </c:dLbl>
            <c:spPr>
              <a:solidFill>
                <a:schemeClr val="accent6">
                  <a:lumMod val="20000"/>
                  <a:lumOff val="80000"/>
                  <a:alpha val="99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List1!$D$2:$D$14</c:f>
              <c:numCache>
                <c:formatCode>0.0%</c:formatCode>
                <c:ptCount val="13"/>
                <c:pt idx="0">
                  <c:v>4.4999999999999998E-2</c:v>
                </c:pt>
                <c:pt idx="1">
                  <c:v>7.4999999999999997E-2</c:v>
                </c:pt>
                <c:pt idx="2">
                  <c:v>0.10100000000000001</c:v>
                </c:pt>
                <c:pt idx="3">
                  <c:v>0.14099999999999999</c:v>
                </c:pt>
                <c:pt idx="4">
                  <c:v>0.14399999999999999</c:v>
                </c:pt>
                <c:pt idx="5">
                  <c:v>0.111</c:v>
                </c:pt>
                <c:pt idx="6">
                  <c:v>0.12</c:v>
                </c:pt>
                <c:pt idx="7">
                  <c:v>0.11899999999999999</c:v>
                </c:pt>
                <c:pt idx="8">
                  <c:v>0.112</c:v>
                </c:pt>
                <c:pt idx="9">
                  <c:v>0.105</c:v>
                </c:pt>
                <c:pt idx="10">
                  <c:v>0.106</c:v>
                </c:pt>
                <c:pt idx="11">
                  <c:v>0.106</c:v>
                </c:pt>
                <c:pt idx="12">
                  <c:v>0.10199999999999999</c:v>
                </c:pt>
              </c:numCache>
            </c:numRef>
          </c:val>
          <c:smooth val="0"/>
          <c:extLst>
            <c:ext xmlns:c16="http://schemas.microsoft.com/office/drawing/2014/chart" uri="{C3380CC4-5D6E-409C-BE32-E72D297353CC}">
              <c16:uniqueId val="{00000009-01DB-4C68-B7D9-4C76BFDAACA5}"/>
            </c:ext>
          </c:extLst>
        </c:ser>
        <c:dLbls>
          <c:showLegendKey val="0"/>
          <c:showVal val="0"/>
          <c:showCatName val="0"/>
          <c:showSerName val="0"/>
          <c:showPercent val="0"/>
          <c:showBubbleSize val="0"/>
        </c:dLbls>
        <c:marker val="1"/>
        <c:smooth val="0"/>
        <c:axId val="441804016"/>
        <c:axId val="441807936"/>
      </c:lineChart>
      <c:catAx>
        <c:axId val="44180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1807936"/>
        <c:crosses val="autoZero"/>
        <c:auto val="1"/>
        <c:lblAlgn val="ctr"/>
        <c:lblOffset val="100"/>
        <c:noMultiLvlLbl val="0"/>
      </c:catAx>
      <c:valAx>
        <c:axId val="441807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41804016"/>
        <c:crosses val="autoZero"/>
        <c:crossBetween val="between"/>
      </c:valAx>
      <c:spPr>
        <a:noFill/>
        <a:ln>
          <a:noFill/>
        </a:ln>
        <a:effectLst/>
      </c:spPr>
    </c:plotArea>
    <c:legend>
      <c:legendPos val="b"/>
      <c:layout>
        <c:manualLayout>
          <c:xMode val="edge"/>
          <c:yMode val="edge"/>
          <c:x val="0.1742179796969823"/>
          <c:y val="0.93169952593135164"/>
          <c:w val="0.79145714893746388"/>
          <c:h val="6.400792965215532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baseline="0">
                <a:effectLst/>
              </a:rPr>
              <a:t>Pozice obsazené osobami s jinou než českou státní příslušností v Jihomoravském kraji evidovanými na úřadech práce podle CZ-NACE - 4. a 5. nejčastější činnost v letech 2008-2021</a:t>
            </a:r>
            <a:endParaRPr lang="cs-CZ" sz="1000">
              <a:effectLst/>
            </a:endParaRPr>
          </a:p>
        </c:rich>
      </c:tx>
      <c:layout>
        <c:manualLayout>
          <c:xMode val="edge"/>
          <c:yMode val="edge"/>
          <c:x val="0.14188802941482534"/>
          <c:y val="0"/>
        </c:manualLayout>
      </c:layout>
      <c:overlay val="0"/>
      <c:spPr>
        <a:noFill/>
        <a:ln>
          <a:noFill/>
        </a:ln>
        <a:effectLst/>
      </c:spPr>
    </c:title>
    <c:autoTitleDeleted val="0"/>
    <c:plotArea>
      <c:layout>
        <c:manualLayout>
          <c:layoutTarget val="inner"/>
          <c:xMode val="edge"/>
          <c:yMode val="edge"/>
          <c:x val="7.0418838895823704E-2"/>
          <c:y val="8.0940114419291345E-2"/>
          <c:w val="0.92958119818356044"/>
          <c:h val="0.78457207207207202"/>
        </c:manualLayout>
      </c:layout>
      <c:lineChart>
        <c:grouping val="standard"/>
        <c:varyColors val="0"/>
        <c:ser>
          <c:idx val="0"/>
          <c:order val="0"/>
          <c:tx>
            <c:strRef>
              <c:f>List1!$B$1</c:f>
              <c:strCache>
                <c:ptCount val="1"/>
                <c:pt idx="0">
                  <c:v>Obchod, opravy spotřebičů, mot. Vozidel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List1!$B$2:$B$14</c:f>
              <c:numCache>
                <c:formatCode>0.0%</c:formatCode>
                <c:ptCount val="13"/>
                <c:pt idx="0">
                  <c:v>5.3999999999999999E-2</c:v>
                </c:pt>
                <c:pt idx="1">
                  <c:v>6.5000000000000002E-2</c:v>
                </c:pt>
                <c:pt idx="2">
                  <c:v>7.0999999999999994E-2</c:v>
                </c:pt>
                <c:pt idx="3">
                  <c:v>9.7000000000000003E-2</c:v>
                </c:pt>
                <c:pt idx="4">
                  <c:v>0.10199999999999999</c:v>
                </c:pt>
                <c:pt idx="5">
                  <c:v>9.4E-2</c:v>
                </c:pt>
                <c:pt idx="6">
                  <c:v>9.2999999999999999E-2</c:v>
                </c:pt>
                <c:pt idx="7">
                  <c:v>9.4E-2</c:v>
                </c:pt>
                <c:pt idx="8">
                  <c:v>9.8000000000000004E-2</c:v>
                </c:pt>
                <c:pt idx="9">
                  <c:v>0.10299999999999999</c:v>
                </c:pt>
                <c:pt idx="10">
                  <c:v>0.10199999999999999</c:v>
                </c:pt>
                <c:pt idx="11">
                  <c:v>0.109</c:v>
                </c:pt>
                <c:pt idx="12">
                  <c:v>0.105</c:v>
                </c:pt>
              </c:numCache>
            </c:numRef>
          </c:val>
          <c:smooth val="0"/>
          <c:extLst>
            <c:ext xmlns:c16="http://schemas.microsoft.com/office/drawing/2014/chart" uri="{C3380CC4-5D6E-409C-BE32-E72D297353CC}">
              <c16:uniqueId val="{00000000-B40D-4984-A6A4-70B85482EDD4}"/>
            </c:ext>
          </c:extLst>
        </c:ser>
        <c:ser>
          <c:idx val="1"/>
          <c:order val="1"/>
          <c:tx>
            <c:strRef>
              <c:f>List1!$C$1</c:f>
              <c:strCache>
                <c:ptCount val="1"/>
                <c:pt idx="0">
                  <c:v>Stavebnictví</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accent2">
                  <a:lumMod val="20000"/>
                  <a:lumOff val="80000"/>
                  <a:alpha val="92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List1!$C$2:$C$14</c:f>
              <c:numCache>
                <c:formatCode>0.0%</c:formatCode>
                <c:ptCount val="13"/>
                <c:pt idx="0">
                  <c:v>0.29899999999999999</c:v>
                </c:pt>
                <c:pt idx="1">
                  <c:v>0.32800000000000001</c:v>
                </c:pt>
                <c:pt idx="2">
                  <c:v>0.29299999999999998</c:v>
                </c:pt>
                <c:pt idx="3">
                  <c:v>0.12</c:v>
                </c:pt>
                <c:pt idx="4">
                  <c:v>0.107</c:v>
                </c:pt>
                <c:pt idx="5">
                  <c:v>0.106</c:v>
                </c:pt>
                <c:pt idx="6">
                  <c:v>9.2999999999999999E-2</c:v>
                </c:pt>
                <c:pt idx="7">
                  <c:v>9.5000000000000001E-2</c:v>
                </c:pt>
                <c:pt idx="8">
                  <c:v>9.2999999999999999E-2</c:v>
                </c:pt>
                <c:pt idx="9">
                  <c:v>0.09</c:v>
                </c:pt>
                <c:pt idx="10">
                  <c:v>8.6999999999999994E-2</c:v>
                </c:pt>
                <c:pt idx="11">
                  <c:v>8.3000000000000004E-2</c:v>
                </c:pt>
                <c:pt idx="12">
                  <c:v>9.0999999999999998E-2</c:v>
                </c:pt>
              </c:numCache>
            </c:numRef>
          </c:val>
          <c:smooth val="0"/>
          <c:extLst>
            <c:ext xmlns:c16="http://schemas.microsoft.com/office/drawing/2014/chart" uri="{C3380CC4-5D6E-409C-BE32-E72D297353CC}">
              <c16:uniqueId val="{00000001-B40D-4984-A6A4-70B85482EDD4}"/>
            </c:ext>
          </c:extLst>
        </c:ser>
        <c:dLbls>
          <c:showLegendKey val="0"/>
          <c:showVal val="0"/>
          <c:showCatName val="0"/>
          <c:showSerName val="0"/>
          <c:showPercent val="0"/>
          <c:showBubbleSize val="0"/>
        </c:dLbls>
        <c:marker val="1"/>
        <c:smooth val="0"/>
        <c:axId val="441808328"/>
        <c:axId val="441804800"/>
      </c:lineChart>
      <c:catAx>
        <c:axId val="44180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1804800"/>
        <c:crosses val="autoZero"/>
        <c:auto val="1"/>
        <c:lblAlgn val="ctr"/>
        <c:lblOffset val="100"/>
        <c:noMultiLvlLbl val="0"/>
      </c:catAx>
      <c:valAx>
        <c:axId val="441804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41808328"/>
        <c:crosses val="autoZero"/>
        <c:crossBetween val="between"/>
      </c:valAx>
      <c:spPr>
        <a:noFill/>
        <a:ln>
          <a:noFill/>
        </a:ln>
        <a:effectLst/>
      </c:spPr>
    </c:plotArea>
    <c:legend>
      <c:legendPos val="b"/>
      <c:layout>
        <c:manualLayout>
          <c:xMode val="edge"/>
          <c:yMode val="edge"/>
          <c:x val="0.24917394102478824"/>
          <c:y val="0.93169947506561679"/>
          <c:w val="0.75082611201377603"/>
          <c:h val="6.83004538692591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effectLst/>
                <a:latin typeface="Arial Narrow" panose="020B0606020202030204" pitchFamily="34" charset="0"/>
                <a:ea typeface="+mn-ea"/>
                <a:cs typeface="+mn-cs"/>
              </a:defRPr>
            </a:pPr>
            <a:r>
              <a:rPr lang="cs-CZ" sz="1000" b="1" cap="none" spc="0" baseline="0">
                <a:ln w="0"/>
                <a:solidFill>
                  <a:schemeClr val="tx1"/>
                </a:solidFill>
                <a:effectLst/>
              </a:rPr>
              <a:t>Pozice obsazené </a:t>
            </a:r>
            <a:r>
              <a:rPr lang="cs-CZ" sz="1000" b="1" i="0" u="none" strike="noStrike" cap="none" spc="0" baseline="0">
                <a:ln w="0"/>
                <a:solidFill>
                  <a:schemeClr val="tx1"/>
                </a:solidFill>
                <a:effectLst/>
              </a:rPr>
              <a:t>osobami s jinou než českou státní příslušností</a:t>
            </a:r>
            <a:r>
              <a:rPr lang="cs-CZ" sz="1000" b="1" cap="none" spc="0">
                <a:ln w="0"/>
                <a:solidFill>
                  <a:schemeClr val="tx1"/>
                </a:solidFill>
                <a:effectLst/>
              </a:rPr>
              <a:t> v Jihomoravském kraji evidovanými na úřadech práce podle CZ-ISCO k 30. 6. 2021</a:t>
            </a:r>
            <a:endParaRPr lang="en-US" sz="1000" b="1" cap="none" spc="0">
              <a:ln w="0"/>
              <a:solidFill>
                <a:schemeClr val="tx1"/>
              </a:solidFill>
              <a:effectLst/>
            </a:endParaRPr>
          </a:p>
        </c:rich>
      </c:tx>
      <c:layout>
        <c:manualLayout>
          <c:xMode val="edge"/>
          <c:yMode val="edge"/>
          <c:x val="0.11323421402072487"/>
          <c:y val="4.0618541673034378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0586662778263827"/>
          <c:y val="0.11057572715324589"/>
          <c:w val="0.58342464136427385"/>
          <c:h val="0.88942441523657623"/>
        </c:manualLayout>
      </c:layout>
      <c:bar3DChart>
        <c:barDir val="bar"/>
        <c:grouping val="clustered"/>
        <c:varyColors val="0"/>
        <c:ser>
          <c:idx val="0"/>
          <c:order val="0"/>
          <c:tx>
            <c:strRef>
              <c:f>List1!$B$1</c:f>
              <c:strCache>
                <c:ptCount val="1"/>
                <c:pt idx="0">
                  <c:v>Řada 1</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2"/>
            <c:invertIfNegative val="0"/>
            <c:bubble3D val="0"/>
            <c:extLst>
              <c:ext xmlns:c16="http://schemas.microsoft.com/office/drawing/2014/chart" uri="{C3380CC4-5D6E-409C-BE32-E72D297353CC}">
                <c16:uniqueId val="{00000000-7DCB-496F-90BD-0B808001ADCD}"/>
              </c:ext>
            </c:extLst>
          </c:dPt>
          <c:dPt>
            <c:idx val="9"/>
            <c:invertIfNegative val="0"/>
            <c:bubble3D val="0"/>
            <c:extLst>
              <c:ext xmlns:c16="http://schemas.microsoft.com/office/drawing/2014/chart" uri="{C3380CC4-5D6E-409C-BE32-E72D297353CC}">
                <c16:uniqueId val="{00000001-7DCB-496F-90BD-0B808001ADCD}"/>
              </c:ext>
            </c:extLst>
          </c:dPt>
          <c:dLbls>
            <c:spPr>
              <a:solidFill>
                <a:schemeClr val="bg1"/>
              </a:solidFill>
              <a:ln w="3175">
                <a:solidFill>
                  <a:schemeClr val="lt1">
                    <a:alpha val="50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List1!$A$2:$A$11</c:f>
              <c:strCache>
                <c:ptCount val="10"/>
                <c:pt idx="0">
                  <c:v>Tř. 0  zaměstnanci v ozbrojených službách</c:v>
                </c:pt>
                <c:pt idx="1">
                  <c:v>Tř. 6  kvalifikovaní pracovníci v zem., les. a ryb.</c:v>
                </c:pt>
                <c:pt idx="2">
                  <c:v>Tř. 1  zákonodárci a řídící pracovníci</c:v>
                </c:pt>
                <c:pt idx="3">
                  <c:v>Tř. 5  pracovníci ve službách a prodeji</c:v>
                </c:pt>
                <c:pt idx="4">
                  <c:v>Tř. 4  úředníci</c:v>
                </c:pt>
                <c:pt idx="5">
                  <c:v>Tř. 3  techničtí a odborní pracovníci</c:v>
                </c:pt>
                <c:pt idx="6">
                  <c:v>Tř. 7  řemeslníci a opraváři</c:v>
                </c:pt>
                <c:pt idx="7">
                  <c:v>Tř. 8  obsluha strojů a zařízení, montéři</c:v>
                </c:pt>
                <c:pt idx="8">
                  <c:v>Tř. 2  specialisté</c:v>
                </c:pt>
                <c:pt idx="9">
                  <c:v>Tř. 9  pomocní a nekvalifikovaní pracovníci</c:v>
                </c:pt>
              </c:strCache>
            </c:strRef>
          </c:cat>
          <c:val>
            <c:numRef>
              <c:f>List1!$B$2:$B$11</c:f>
              <c:numCache>
                <c:formatCode>General</c:formatCode>
                <c:ptCount val="10"/>
                <c:pt idx="0">
                  <c:v>6</c:v>
                </c:pt>
                <c:pt idx="1">
                  <c:v>578</c:v>
                </c:pt>
                <c:pt idx="2">
                  <c:v>1309</c:v>
                </c:pt>
                <c:pt idx="3">
                  <c:v>5634</c:v>
                </c:pt>
                <c:pt idx="4">
                  <c:v>5732</c:v>
                </c:pt>
                <c:pt idx="5">
                  <c:v>6451</c:v>
                </c:pt>
                <c:pt idx="6">
                  <c:v>8480</c:v>
                </c:pt>
                <c:pt idx="7">
                  <c:v>12955</c:v>
                </c:pt>
                <c:pt idx="8">
                  <c:v>13456</c:v>
                </c:pt>
                <c:pt idx="9">
                  <c:v>19817</c:v>
                </c:pt>
              </c:numCache>
            </c:numRef>
          </c:val>
          <c:shape val="cylinder"/>
          <c:extLst>
            <c:ext xmlns:c16="http://schemas.microsoft.com/office/drawing/2014/chart" uri="{C3380CC4-5D6E-409C-BE32-E72D297353CC}">
              <c16:uniqueId val="{00000002-7DCB-496F-90BD-0B808001ADCD}"/>
            </c:ext>
          </c:extLst>
        </c:ser>
        <c:dLbls>
          <c:showLegendKey val="0"/>
          <c:showVal val="1"/>
          <c:showCatName val="0"/>
          <c:showSerName val="0"/>
          <c:showPercent val="0"/>
          <c:showBubbleSize val="0"/>
        </c:dLbls>
        <c:gapWidth val="66"/>
        <c:gapDepth val="25"/>
        <c:shape val="box"/>
        <c:axId val="441809896"/>
        <c:axId val="441810680"/>
        <c:axId val="0"/>
      </c:bar3DChart>
      <c:catAx>
        <c:axId val="441809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crossAx val="441810680"/>
        <c:crosses val="autoZero"/>
        <c:auto val="1"/>
        <c:lblAlgn val="ctr"/>
        <c:lblOffset val="100"/>
        <c:noMultiLvlLbl val="0"/>
      </c:catAx>
      <c:valAx>
        <c:axId val="441810680"/>
        <c:scaling>
          <c:orientation val="minMax"/>
        </c:scaling>
        <c:delete val="1"/>
        <c:axPos val="b"/>
        <c:numFmt formatCode="General" sourceLinked="1"/>
        <c:majorTickMark val="out"/>
        <c:minorTickMark val="none"/>
        <c:tickLblPos val="nextTo"/>
        <c:crossAx val="441809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u="none" strike="noStrike" baseline="0">
                <a:effectLst/>
              </a:rPr>
              <a:t>Pozice obsazené osobami s jinou než českou státní příslušností evidovanými na úřadech práce podle CZ-ISCO – 2 nejčastější pozice v letech 2008-2021</a:t>
            </a:r>
            <a:endParaRPr lang="cs-CZ" sz="400">
              <a:effectLst/>
            </a:endParaRPr>
          </a:p>
        </c:rich>
      </c:tx>
      <c:layout>
        <c:manualLayout>
          <c:xMode val="edge"/>
          <c:yMode val="edge"/>
          <c:x val="0.13308336457942757"/>
          <c:y val="2.814865533112644E-5"/>
        </c:manualLayout>
      </c:layout>
      <c:overlay val="0"/>
      <c:spPr>
        <a:noFill/>
        <a:ln>
          <a:noFill/>
        </a:ln>
        <a:effectLst/>
      </c:spPr>
    </c:title>
    <c:autoTitleDeleted val="0"/>
    <c:plotArea>
      <c:layout>
        <c:manualLayout>
          <c:layoutTarget val="inner"/>
          <c:xMode val="edge"/>
          <c:yMode val="edge"/>
          <c:x val="6.1600459664764115E-2"/>
          <c:y val="0.10620332675133876"/>
          <c:w val="0.93630935022011141"/>
          <c:h val="0.74219586715747221"/>
        </c:manualLayout>
      </c:layout>
      <c:lineChart>
        <c:grouping val="standard"/>
        <c:varyColors val="0"/>
        <c:ser>
          <c:idx val="0"/>
          <c:order val="0"/>
          <c:tx>
            <c:strRef>
              <c:f>List1!$B$1</c:f>
              <c:strCache>
                <c:ptCount val="1"/>
                <c:pt idx="0">
                  <c:v>pomocní a nekvalifikovaní pracovníci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List1!$B$2:$B$14</c:f>
              <c:numCache>
                <c:formatCode>0.0%</c:formatCode>
                <c:ptCount val="13"/>
                <c:pt idx="0">
                  <c:v>0.38800000000000001</c:v>
                </c:pt>
                <c:pt idx="1">
                  <c:v>0.39</c:v>
                </c:pt>
                <c:pt idx="2">
                  <c:v>0.36199999999999999</c:v>
                </c:pt>
                <c:pt idx="3">
                  <c:v>0.14899999999999999</c:v>
                </c:pt>
                <c:pt idx="4">
                  <c:v>0.125</c:v>
                </c:pt>
                <c:pt idx="5">
                  <c:v>0.22800000000000001</c:v>
                </c:pt>
                <c:pt idx="6">
                  <c:v>0.27700000000000002</c:v>
                </c:pt>
                <c:pt idx="7">
                  <c:v>0.28899999999999998</c:v>
                </c:pt>
                <c:pt idx="8">
                  <c:v>0.28599999999999998</c:v>
                </c:pt>
                <c:pt idx="9">
                  <c:v>0.28899999999999998</c:v>
                </c:pt>
                <c:pt idx="10">
                  <c:v>0.27300000000000002</c:v>
                </c:pt>
                <c:pt idx="11">
                  <c:v>0.26800000000000002</c:v>
                </c:pt>
                <c:pt idx="12">
                  <c:v>0.26600000000000001</c:v>
                </c:pt>
              </c:numCache>
            </c:numRef>
          </c:val>
          <c:smooth val="0"/>
          <c:extLst>
            <c:ext xmlns:c16="http://schemas.microsoft.com/office/drawing/2014/chart" uri="{C3380CC4-5D6E-409C-BE32-E72D297353CC}">
              <c16:uniqueId val="{00000000-996B-4393-83B4-379F2B3A7A97}"/>
            </c:ext>
          </c:extLst>
        </c:ser>
        <c:ser>
          <c:idx val="1"/>
          <c:order val="1"/>
          <c:tx>
            <c:strRef>
              <c:f>List1!$C$1</c:f>
              <c:strCache>
                <c:ptCount val="1"/>
                <c:pt idx="0">
                  <c:v>specialisté</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13439817554347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6B-4393-83B4-379F2B3A7A97}"/>
                </c:ext>
              </c:extLst>
            </c:dLbl>
            <c:dLbl>
              <c:idx val="2"/>
              <c:layout>
                <c:manualLayout>
                  <c:x val="-4.1343981755434751E-2"/>
                  <c:y val="1.5873015873015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6B-4393-83B4-379F2B3A7A97}"/>
                </c:ext>
              </c:extLst>
            </c:dLbl>
            <c:spPr>
              <a:solidFill>
                <a:schemeClr val="accent2">
                  <a:lumMod val="20000"/>
                  <a:lumOff val="80000"/>
                  <a:alpha val="92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List1!$C$2:$C$14</c:f>
              <c:numCache>
                <c:formatCode>0.0%</c:formatCode>
                <c:ptCount val="13"/>
                <c:pt idx="0">
                  <c:v>0.109</c:v>
                </c:pt>
                <c:pt idx="1">
                  <c:v>0.14099999999999999</c:v>
                </c:pt>
                <c:pt idx="2">
                  <c:v>0.16700000000000001</c:v>
                </c:pt>
                <c:pt idx="3">
                  <c:v>0.24</c:v>
                </c:pt>
                <c:pt idx="4">
                  <c:v>0.24399999999999999</c:v>
                </c:pt>
                <c:pt idx="5">
                  <c:v>0.219</c:v>
                </c:pt>
                <c:pt idx="6">
                  <c:v>0.221</c:v>
                </c:pt>
                <c:pt idx="7">
                  <c:v>0.21199999999999999</c:v>
                </c:pt>
                <c:pt idx="8">
                  <c:v>0.20100000000000001</c:v>
                </c:pt>
                <c:pt idx="9">
                  <c:v>0.193</c:v>
                </c:pt>
                <c:pt idx="10">
                  <c:v>0.19400000000000001</c:v>
                </c:pt>
                <c:pt idx="11">
                  <c:v>0.188</c:v>
                </c:pt>
                <c:pt idx="12">
                  <c:v>0.18099999999999999</c:v>
                </c:pt>
              </c:numCache>
            </c:numRef>
          </c:val>
          <c:smooth val="0"/>
          <c:extLst>
            <c:ext xmlns:c16="http://schemas.microsoft.com/office/drawing/2014/chart" uri="{C3380CC4-5D6E-409C-BE32-E72D297353CC}">
              <c16:uniqueId val="{00000003-996B-4393-83B4-379F2B3A7A97}"/>
            </c:ext>
          </c:extLst>
        </c:ser>
        <c:dLbls>
          <c:showLegendKey val="0"/>
          <c:showVal val="0"/>
          <c:showCatName val="0"/>
          <c:showSerName val="0"/>
          <c:showPercent val="0"/>
          <c:showBubbleSize val="0"/>
        </c:dLbls>
        <c:marker val="1"/>
        <c:smooth val="0"/>
        <c:axId val="441812248"/>
        <c:axId val="441814208"/>
      </c:lineChart>
      <c:catAx>
        <c:axId val="44181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1814208"/>
        <c:crosses val="autoZero"/>
        <c:auto val="1"/>
        <c:lblAlgn val="ctr"/>
        <c:lblOffset val="100"/>
        <c:noMultiLvlLbl val="0"/>
      </c:catAx>
      <c:valAx>
        <c:axId val="441814208"/>
        <c:scaling>
          <c:orientation val="minMax"/>
          <c:min val="7.0000000000000007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41812248"/>
        <c:crosses val="autoZero"/>
        <c:crossBetween val="between"/>
      </c:valAx>
      <c:spPr>
        <a:noFill/>
        <a:ln>
          <a:noFill/>
        </a:ln>
        <a:effectLst/>
      </c:spPr>
    </c:plotArea>
    <c:legend>
      <c:legendPos val="b"/>
      <c:layout>
        <c:manualLayout>
          <c:xMode val="edge"/>
          <c:yMode val="edge"/>
          <c:x val="0.17421804899870141"/>
          <c:y val="0.93169957511354218"/>
          <c:w val="0.69664902998236333"/>
          <c:h val="6.830034917510310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cs-CZ" sz="1000" b="1" i="0" u="none" strike="noStrike" baseline="0">
                <a:effectLst/>
              </a:rPr>
              <a:t>Pozice obsazené osobami s jinou než českou státní příslušností evidovanými na úřadech práce podle CZ-ISCO – 3. a 4. nejčastější pozice v letech 2008-2021</a:t>
            </a:r>
            <a:endParaRPr lang="cs-CZ" sz="400">
              <a:effectLst/>
            </a:endParaRPr>
          </a:p>
        </c:rich>
      </c:tx>
      <c:layout>
        <c:manualLayout>
          <c:xMode val="edge"/>
          <c:yMode val="edge"/>
          <c:x val="0.13528795011734646"/>
          <c:y val="9.6899224806201549E-3"/>
        </c:manualLayout>
      </c:layout>
      <c:overlay val="0"/>
      <c:spPr>
        <a:noFill/>
        <a:ln>
          <a:noFill/>
        </a:ln>
        <a:effectLst/>
      </c:spPr>
    </c:title>
    <c:autoTitleDeleted val="0"/>
    <c:plotArea>
      <c:layout>
        <c:manualLayout>
          <c:layoutTarget val="inner"/>
          <c:xMode val="edge"/>
          <c:yMode val="edge"/>
          <c:x val="6.1600459664764115E-2"/>
          <c:y val="6.1408929988402618E-2"/>
          <c:w val="0.93630935022011141"/>
          <c:h val="0.78764731249953535"/>
        </c:manualLayout>
      </c:layout>
      <c:lineChart>
        <c:grouping val="standard"/>
        <c:varyColors val="0"/>
        <c:ser>
          <c:idx val="0"/>
          <c:order val="0"/>
          <c:tx>
            <c:strRef>
              <c:f>List1!$B$1</c:f>
              <c:strCache>
                <c:ptCount val="1"/>
                <c:pt idx="0">
                  <c:v>obsluha strojů a zařízení, montéři</c:v>
                </c:pt>
              </c:strCache>
            </c:strRef>
          </c:tx>
          <c:spPr>
            <a:ln w="28575" cap="rnd">
              <a:solidFill>
                <a:srgbClr val="7030A0"/>
              </a:solidFill>
              <a:round/>
            </a:ln>
            <a:effectLst/>
          </c:spPr>
          <c:marker>
            <c:symbol val="circle"/>
            <c:size val="5"/>
            <c:spPr>
              <a:solidFill>
                <a:schemeClr val="accent1"/>
              </a:solidFill>
              <a:ln w="9525">
                <a:solidFill>
                  <a:schemeClr val="accent1"/>
                </a:solidFill>
              </a:ln>
              <a:effectLst/>
            </c:spPr>
          </c:marker>
          <c:dLbls>
            <c:spPr>
              <a:solidFill>
                <a:srgbClr val="7030A0">
                  <a:alpha val="12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List1!$B$2:$B$14</c:f>
              <c:numCache>
                <c:formatCode>0.0%</c:formatCode>
                <c:ptCount val="13"/>
                <c:pt idx="0">
                  <c:v>0.129</c:v>
                </c:pt>
                <c:pt idx="1">
                  <c:v>0.10100000000000001</c:v>
                </c:pt>
                <c:pt idx="2">
                  <c:v>9.9000000000000005E-2</c:v>
                </c:pt>
                <c:pt idx="3">
                  <c:v>0.11799999999999999</c:v>
                </c:pt>
                <c:pt idx="4">
                  <c:v>0.128</c:v>
                </c:pt>
                <c:pt idx="5">
                  <c:v>9.9000000000000005E-2</c:v>
                </c:pt>
                <c:pt idx="6">
                  <c:v>0.1</c:v>
                </c:pt>
                <c:pt idx="7">
                  <c:v>0.107</c:v>
                </c:pt>
                <c:pt idx="8">
                  <c:v>0.123</c:v>
                </c:pt>
                <c:pt idx="9">
                  <c:v>0.13300000000000001</c:v>
                </c:pt>
                <c:pt idx="10">
                  <c:v>0.14000000000000001</c:v>
                </c:pt>
                <c:pt idx="11">
                  <c:v>0.155</c:v>
                </c:pt>
                <c:pt idx="12">
                  <c:v>0.17399999999999999</c:v>
                </c:pt>
              </c:numCache>
            </c:numRef>
          </c:val>
          <c:smooth val="0"/>
          <c:extLst>
            <c:ext xmlns:c16="http://schemas.microsoft.com/office/drawing/2014/chart" uri="{C3380CC4-5D6E-409C-BE32-E72D297353CC}">
              <c16:uniqueId val="{00000000-6EF5-46A7-8681-99A245BEF37E}"/>
            </c:ext>
          </c:extLst>
        </c:ser>
        <c:ser>
          <c:idx val="1"/>
          <c:order val="1"/>
          <c:tx>
            <c:strRef>
              <c:f>List1!$C$1</c:f>
              <c:strCache>
                <c:ptCount val="1"/>
                <c:pt idx="0">
                  <c:v>řemeslníci a opraváři</c:v>
                </c:pt>
              </c:strCache>
            </c:strRef>
          </c:tx>
          <c:spPr>
            <a:ln w="28575" cap="rnd">
              <a:solidFill>
                <a:srgbClr val="92D050"/>
              </a:solidFill>
              <a:round/>
            </a:ln>
            <a:effectLst/>
          </c:spPr>
          <c:marker>
            <c:symbol val="circle"/>
            <c:size val="5"/>
            <c:spPr>
              <a:solidFill>
                <a:schemeClr val="accent6"/>
              </a:solidFill>
              <a:ln w="9525">
                <a:solidFill>
                  <a:schemeClr val="accent2"/>
                </a:solidFill>
              </a:ln>
              <a:effectLst/>
            </c:spPr>
          </c:marker>
          <c:dLbls>
            <c:dLbl>
              <c:idx val="1"/>
              <c:layout>
                <c:manualLayout>
                  <c:x val="-4.13439817554347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F5-46A7-8681-99A245BEF37E}"/>
                </c:ext>
              </c:extLst>
            </c:dLbl>
            <c:dLbl>
              <c:idx val="2"/>
              <c:layout>
                <c:manualLayout>
                  <c:x val="-4.1343981755434751E-2"/>
                  <c:y val="1.5873015873015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F5-46A7-8681-99A245BEF37E}"/>
                </c:ext>
              </c:extLst>
            </c:dLbl>
            <c:spPr>
              <a:solidFill>
                <a:schemeClr val="accent6">
                  <a:lumMod val="20000"/>
                  <a:lumOff val="80000"/>
                  <a:alpha val="92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List1!$A$2:$A$14</c:f>
              <c:numCache>
                <c:formatCode>General</c:formatCode>
                <c:ptCount val="13"/>
                <c:pt idx="0">
                  <c:v>2008</c:v>
                </c:pt>
                <c:pt idx="1">
                  <c:v>2009</c:v>
                </c:pt>
                <c:pt idx="2">
                  <c:v>2010</c:v>
                </c:pt>
                <c:pt idx="3">
                  <c:v>2011</c:v>
                </c:pt>
                <c:pt idx="4">
                  <c:v>2012</c:v>
                </c:pt>
                <c:pt idx="5">
                  <c:v>2014</c:v>
                </c:pt>
                <c:pt idx="6">
                  <c:v>2015</c:v>
                </c:pt>
                <c:pt idx="7">
                  <c:v>2016</c:v>
                </c:pt>
                <c:pt idx="8">
                  <c:v>2017</c:v>
                </c:pt>
                <c:pt idx="9">
                  <c:v>2018</c:v>
                </c:pt>
                <c:pt idx="10">
                  <c:v>2019</c:v>
                </c:pt>
                <c:pt idx="11">
                  <c:v>2020</c:v>
                </c:pt>
                <c:pt idx="12">
                  <c:v>2021</c:v>
                </c:pt>
              </c:numCache>
            </c:numRef>
          </c:cat>
          <c:val>
            <c:numRef>
              <c:f>List1!$C$2:$C$14</c:f>
              <c:numCache>
                <c:formatCode>0.0%</c:formatCode>
                <c:ptCount val="13"/>
                <c:pt idx="0">
                  <c:v>0.191</c:v>
                </c:pt>
                <c:pt idx="1">
                  <c:v>0.14799999999999999</c:v>
                </c:pt>
                <c:pt idx="2">
                  <c:v>0.14399999999999999</c:v>
                </c:pt>
                <c:pt idx="3">
                  <c:v>0.17899999999999999</c:v>
                </c:pt>
                <c:pt idx="4">
                  <c:v>0.17599999999999999</c:v>
                </c:pt>
                <c:pt idx="5">
                  <c:v>0.15</c:v>
                </c:pt>
                <c:pt idx="6">
                  <c:v>0.13</c:v>
                </c:pt>
                <c:pt idx="7">
                  <c:v>0.123</c:v>
                </c:pt>
                <c:pt idx="8">
                  <c:v>0.114</c:v>
                </c:pt>
                <c:pt idx="9">
                  <c:v>0.107</c:v>
                </c:pt>
                <c:pt idx="10">
                  <c:v>0.107</c:v>
                </c:pt>
                <c:pt idx="11">
                  <c:v>0.113</c:v>
                </c:pt>
                <c:pt idx="12">
                  <c:v>0.114</c:v>
                </c:pt>
              </c:numCache>
            </c:numRef>
          </c:val>
          <c:smooth val="0"/>
          <c:extLst>
            <c:ext xmlns:c16="http://schemas.microsoft.com/office/drawing/2014/chart" uri="{C3380CC4-5D6E-409C-BE32-E72D297353CC}">
              <c16:uniqueId val="{00000003-6EF5-46A7-8681-99A245BEF37E}"/>
            </c:ext>
          </c:extLst>
        </c:ser>
        <c:dLbls>
          <c:showLegendKey val="0"/>
          <c:showVal val="0"/>
          <c:showCatName val="0"/>
          <c:showSerName val="0"/>
          <c:showPercent val="0"/>
          <c:showBubbleSize val="0"/>
        </c:dLbls>
        <c:marker val="1"/>
        <c:smooth val="0"/>
        <c:axId val="441814600"/>
        <c:axId val="441812640"/>
      </c:lineChart>
      <c:catAx>
        <c:axId val="44181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1812640"/>
        <c:crosses val="autoZero"/>
        <c:auto val="1"/>
        <c:lblAlgn val="ctr"/>
        <c:lblOffset val="100"/>
        <c:noMultiLvlLbl val="0"/>
      </c:catAx>
      <c:valAx>
        <c:axId val="441812640"/>
        <c:scaling>
          <c:orientation val="minMax"/>
          <c:min val="7.0000000000000007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cs-CZ"/>
          </a:p>
        </c:txPr>
        <c:crossAx val="441814600"/>
        <c:crosses val="autoZero"/>
        <c:crossBetween val="between"/>
      </c:valAx>
      <c:spPr>
        <a:noFill/>
        <a:ln>
          <a:noFill/>
        </a:ln>
        <a:effectLst/>
      </c:spPr>
    </c:plotArea>
    <c:legend>
      <c:legendPos val="b"/>
      <c:layout>
        <c:manualLayout>
          <c:xMode val="edge"/>
          <c:yMode val="edge"/>
          <c:x val="0.17421804899870141"/>
          <c:y val="0.93169957511354218"/>
          <c:w val="0.69664902998236333"/>
          <c:h val="6.830034917510310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r>
              <a:rPr lang="cs-CZ" sz="1000" b="1" cap="none" spc="0">
                <a:ln w="0"/>
                <a:solidFill>
                  <a:schemeClr val="tx1"/>
                </a:solidFill>
                <a:effectLst/>
              </a:rPr>
              <a:t>Podíl nejčastějších 10 národností na celkovém počtu </a:t>
            </a:r>
            <a:r>
              <a:rPr lang="cs-CZ" sz="1000" b="1" i="0" u="none" strike="noStrike" cap="none" spc="0" baseline="0">
                <a:ln w="0"/>
                <a:solidFill>
                  <a:schemeClr val="tx1"/>
                </a:solidFill>
                <a:effectLst/>
              </a:rPr>
              <a:t>osob s jinou než českou státní příslušností</a:t>
            </a:r>
            <a:r>
              <a:rPr lang="cs-CZ" sz="1000" b="1" cap="none" spc="0">
                <a:ln w="0"/>
                <a:solidFill>
                  <a:schemeClr val="tx1"/>
                </a:solidFill>
                <a:effectLst/>
              </a:rPr>
              <a:t> k 31. 12. 2022</a:t>
            </a:r>
            <a:endParaRPr lang="en-US" sz="1000" b="1" cap="none" spc="0">
              <a:ln w="0"/>
              <a:solidFill>
                <a:schemeClr val="tx1"/>
              </a:solidFill>
              <a:effectLst/>
            </a:endParaRPr>
          </a:p>
        </c:rich>
      </c:tx>
      <c:layout>
        <c:manualLayout>
          <c:xMode val="edge"/>
          <c:yMode val="edge"/>
          <c:x val="0.13923088110028461"/>
          <c:y val="3.9715693935204665E-3"/>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ysClr val="windowText" lastClr="000000"/>
              </a:solidFill>
              <a:effectLst/>
              <a:latin typeface="Arial Narrow" panose="020B0606020202030204" pitchFamily="34" charset="0"/>
              <a:ea typeface="+mn-ea"/>
              <a:cs typeface="+mn-cs"/>
            </a:defRPr>
          </a:pPr>
          <a:endParaRPr lang="cs-CZ"/>
        </a:p>
      </c:txPr>
    </c:title>
    <c:autoTitleDeleted val="0"/>
    <c:view3D>
      <c:rotX val="15"/>
      <c:rotY val="20"/>
      <c:depthPercent val="100"/>
      <c:rAngAx val="1"/>
    </c:view3D>
    <c:floor>
      <c:thickness val="0"/>
      <c:spPr>
        <a:solidFill>
          <a:schemeClr val="bg1">
            <a:lumMod val="95000"/>
            <a:alpha val="68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43523810792687"/>
          <c:y val="0.11845034160806235"/>
          <c:w val="0.83542427754906268"/>
          <c:h val="0.77200767365911327"/>
        </c:manualLayout>
      </c:layout>
      <c:bar3DChart>
        <c:barDir val="bar"/>
        <c:grouping val="clustered"/>
        <c:varyColors val="0"/>
        <c:ser>
          <c:idx val="0"/>
          <c:order val="0"/>
          <c:tx>
            <c:strRef>
              <c:f>List1!$B$1</c:f>
              <c:strCache>
                <c:ptCount val="1"/>
                <c:pt idx="0">
                  <c:v>Řada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359-4A96-BEF0-0E1429045A3D}"/>
              </c:ext>
            </c:extLst>
          </c:dPt>
          <c:dPt>
            <c:idx val="2"/>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359-4A96-BEF0-0E1429045A3D}"/>
              </c:ext>
            </c:extLst>
          </c:dPt>
          <c:dPt>
            <c:idx val="3"/>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359-4A96-BEF0-0E1429045A3D}"/>
              </c:ext>
            </c:extLst>
          </c:dPt>
          <c:dPt>
            <c:idx val="4"/>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359-4A96-BEF0-0E1429045A3D}"/>
              </c:ext>
            </c:extLst>
          </c:dPt>
          <c:dPt>
            <c:idx val="5"/>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359-4A96-BEF0-0E1429045A3D}"/>
              </c:ext>
            </c:extLst>
          </c:dPt>
          <c:dPt>
            <c:idx val="8"/>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359-4A96-BEF0-0E1429045A3D}"/>
              </c:ext>
            </c:extLst>
          </c:dPt>
          <c:dLbls>
            <c:spPr>
              <a:solidFill>
                <a:schemeClr val="bg1"/>
              </a:solidFill>
              <a:ln>
                <a:noFill/>
              </a:ln>
              <a:effectLst/>
            </c:spPr>
            <c:txPr>
              <a:bodyPr rot="0" spcFirstLastPara="1" vertOverflow="clip" horzOverflow="clip" vert="horz" wrap="square" lIns="36576" tIns="0" rIns="36576" bIns="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List1!$A$2:$A$11</c:f>
              <c:strCache>
                <c:ptCount val="10"/>
                <c:pt idx="0">
                  <c:v>Maďarsko</c:v>
                </c:pt>
                <c:pt idx="1">
                  <c:v>Mongolsko</c:v>
                </c:pt>
                <c:pt idx="2">
                  <c:v>Německo</c:v>
                </c:pt>
                <c:pt idx="3">
                  <c:v>Bulharsko</c:v>
                </c:pt>
                <c:pt idx="4">
                  <c:v>Polsko</c:v>
                </c:pt>
                <c:pt idx="5">
                  <c:v>Rumunsko</c:v>
                </c:pt>
                <c:pt idx="6">
                  <c:v>Rusko</c:v>
                </c:pt>
                <c:pt idx="7">
                  <c:v>Vietnam</c:v>
                </c:pt>
                <c:pt idx="8">
                  <c:v>Slovensko</c:v>
                </c:pt>
                <c:pt idx="9">
                  <c:v>Ukrajina</c:v>
                </c:pt>
              </c:strCache>
            </c:strRef>
          </c:cat>
          <c:val>
            <c:numRef>
              <c:f>List1!$B$2:$B$11</c:f>
              <c:numCache>
                <c:formatCode>0.0%</c:formatCode>
                <c:ptCount val="10"/>
                <c:pt idx="0">
                  <c:v>8.9999999999999993E-3</c:v>
                </c:pt>
                <c:pt idx="1">
                  <c:v>1.0999999999999999E-2</c:v>
                </c:pt>
                <c:pt idx="2">
                  <c:v>1.2999999999999999E-2</c:v>
                </c:pt>
                <c:pt idx="3">
                  <c:v>1.6E-2</c:v>
                </c:pt>
                <c:pt idx="4">
                  <c:v>1.6E-2</c:v>
                </c:pt>
                <c:pt idx="5">
                  <c:v>1.7999999999999999E-2</c:v>
                </c:pt>
                <c:pt idx="6">
                  <c:v>3.9E-2</c:v>
                </c:pt>
                <c:pt idx="7">
                  <c:v>5.8999999999999997E-2</c:v>
                </c:pt>
                <c:pt idx="8">
                  <c:v>0.105</c:v>
                </c:pt>
                <c:pt idx="9">
                  <c:v>0.57499999999999996</c:v>
                </c:pt>
              </c:numCache>
            </c:numRef>
          </c:val>
          <c:shape val="cylinder"/>
          <c:extLst>
            <c:ext xmlns:c16="http://schemas.microsoft.com/office/drawing/2014/chart" uri="{C3380CC4-5D6E-409C-BE32-E72D297353CC}">
              <c16:uniqueId val="{0000000C-6359-4A96-BEF0-0E1429045A3D}"/>
            </c:ext>
          </c:extLst>
        </c:ser>
        <c:dLbls>
          <c:showLegendKey val="0"/>
          <c:showVal val="0"/>
          <c:showCatName val="0"/>
          <c:showSerName val="0"/>
          <c:showPercent val="0"/>
          <c:showBubbleSize val="0"/>
        </c:dLbls>
        <c:gapWidth val="68"/>
        <c:shape val="box"/>
        <c:axId val="298468400"/>
        <c:axId val="298468792"/>
        <c:axId val="0"/>
      </c:bar3DChart>
      <c:catAx>
        <c:axId val="298468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68792"/>
        <c:crosses val="autoZero"/>
        <c:auto val="1"/>
        <c:lblAlgn val="ctr"/>
        <c:lblOffset val="100"/>
        <c:noMultiLvlLbl val="0"/>
      </c:catAx>
      <c:valAx>
        <c:axId val="29846879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29846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ysClr val="windowText" lastClr="000000"/>
                </a:solidFill>
                <a:effectLst/>
                <a:latin typeface="Arial Narrow" panose="020B0606020202030204" pitchFamily="34" charset="0"/>
                <a:ea typeface="+mn-ea"/>
                <a:cs typeface="+mn-cs"/>
              </a:defRPr>
            </a:pPr>
            <a:r>
              <a:rPr lang="cs-CZ" sz="1000" b="1" cap="none" spc="0">
                <a:ln w="0"/>
                <a:solidFill>
                  <a:sysClr val="windowText" lastClr="000000"/>
                </a:solidFill>
                <a:effectLst/>
              </a:rPr>
              <a:t>Podíl </a:t>
            </a:r>
            <a:r>
              <a:rPr lang="cs-CZ" sz="1000" b="1" i="0" u="none" strike="noStrike" cap="none" baseline="0">
                <a:effectLst/>
              </a:rPr>
              <a:t>podnikatelů s jinou než českou státní příslušností </a:t>
            </a:r>
            <a:r>
              <a:rPr lang="cs-CZ" sz="1000" b="1" cap="none" spc="0" baseline="0">
                <a:ln w="0"/>
                <a:solidFill>
                  <a:sysClr val="windowText" lastClr="000000"/>
                </a:solidFill>
                <a:effectLst/>
              </a:rPr>
              <a:t>na celkovém počtu podnikatelů v krajích ČR</a:t>
            </a:r>
            <a:endParaRPr lang="cs-CZ" sz="1000" b="1" cap="none" spc="0">
              <a:ln w="0"/>
              <a:solidFill>
                <a:sysClr val="windowText" lastClr="000000"/>
              </a:solidFill>
              <a:effectLst/>
            </a:endParaRPr>
          </a:p>
        </c:rich>
      </c:tx>
      <c:layout>
        <c:manualLayout>
          <c:xMode val="edge"/>
          <c:yMode val="edge"/>
          <c:x val="0.12873333333333334"/>
          <c:y val="1.5974854994977477E-3"/>
        </c:manualLayout>
      </c:layout>
      <c:overlay val="0"/>
      <c:spPr>
        <a:noFill/>
        <a:ln>
          <a:noFill/>
        </a:ln>
        <a:effectLst/>
      </c:sp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55625546806649"/>
          <c:y val="8.3235945064389069E-2"/>
          <c:w val="0.84742152230971124"/>
          <c:h val="0.83893407129418562"/>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8"/>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AB9-4315-8DE9-6A926ACBC034}"/>
              </c:ext>
            </c:extLst>
          </c:dPt>
          <c:dPt>
            <c:idx val="11"/>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AB9-4315-8DE9-6A926ACBC034}"/>
              </c:ext>
            </c:extLst>
          </c:dPt>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List1!$A$2:$A$15</c:f>
              <c:strCache>
                <c:ptCount val="14"/>
                <c:pt idx="0">
                  <c:v>Kraj Vysočina</c:v>
                </c:pt>
                <c:pt idx="1">
                  <c:v>Zlínský kraj</c:v>
                </c:pt>
                <c:pt idx="2">
                  <c:v>Olomoucký kraj</c:v>
                </c:pt>
                <c:pt idx="3">
                  <c:v>Pardubický kraj</c:v>
                </c:pt>
                <c:pt idx="4">
                  <c:v>Královéhradecký kraj</c:v>
                </c:pt>
                <c:pt idx="5">
                  <c:v>Liberecký kraj</c:v>
                </c:pt>
                <c:pt idx="6">
                  <c:v>Jihočeský kraj</c:v>
                </c:pt>
                <c:pt idx="7">
                  <c:v>Karlovarský kraj</c:v>
                </c:pt>
                <c:pt idx="8">
                  <c:v>Moravskoslezský kraj</c:v>
                </c:pt>
                <c:pt idx="9">
                  <c:v>Plzeňský kraj</c:v>
                </c:pt>
                <c:pt idx="10">
                  <c:v>Ústecký kraj</c:v>
                </c:pt>
                <c:pt idx="11">
                  <c:v>Jihomoravský kraj</c:v>
                </c:pt>
                <c:pt idx="12">
                  <c:v>Středočeský kraj</c:v>
                </c:pt>
                <c:pt idx="13">
                  <c:v>Hlavní město Praha</c:v>
                </c:pt>
              </c:strCache>
            </c:strRef>
          </c:cat>
          <c:val>
            <c:numRef>
              <c:f>List1!$B$2:$B$15</c:f>
              <c:numCache>
                <c:formatCode>0.0%</c:formatCode>
                <c:ptCount val="14"/>
                <c:pt idx="0">
                  <c:v>1.6E-2</c:v>
                </c:pt>
                <c:pt idx="1">
                  <c:v>1.9E-2</c:v>
                </c:pt>
                <c:pt idx="2">
                  <c:v>2.3E-2</c:v>
                </c:pt>
                <c:pt idx="3">
                  <c:v>2.5000000000000001E-2</c:v>
                </c:pt>
                <c:pt idx="4">
                  <c:v>2.5000000000000001E-2</c:v>
                </c:pt>
                <c:pt idx="5">
                  <c:v>2.5000000000000001E-2</c:v>
                </c:pt>
                <c:pt idx="6">
                  <c:v>2.8000000000000001E-2</c:v>
                </c:pt>
                <c:pt idx="7">
                  <c:v>4.3999999999999997E-2</c:v>
                </c:pt>
                <c:pt idx="8">
                  <c:v>4.4999999999999998E-2</c:v>
                </c:pt>
                <c:pt idx="9">
                  <c:v>5.8000000000000003E-2</c:v>
                </c:pt>
                <c:pt idx="10">
                  <c:v>7.3999999999999996E-2</c:v>
                </c:pt>
                <c:pt idx="11">
                  <c:v>8.1000000000000003E-2</c:v>
                </c:pt>
                <c:pt idx="12">
                  <c:v>0.121</c:v>
                </c:pt>
                <c:pt idx="13">
                  <c:v>0.41699999999999998</c:v>
                </c:pt>
              </c:numCache>
            </c:numRef>
          </c:val>
          <c:shape val="cylinder"/>
          <c:extLst>
            <c:ext xmlns:c16="http://schemas.microsoft.com/office/drawing/2014/chart" uri="{C3380CC4-5D6E-409C-BE32-E72D297353CC}">
              <c16:uniqueId val="{00000004-0AB9-4315-8DE9-6A926ACBC034}"/>
            </c:ext>
          </c:extLst>
        </c:ser>
        <c:dLbls>
          <c:showLegendKey val="0"/>
          <c:showVal val="0"/>
          <c:showCatName val="0"/>
          <c:showSerName val="0"/>
          <c:showPercent val="0"/>
          <c:showBubbleSize val="0"/>
        </c:dLbls>
        <c:gapWidth val="95"/>
        <c:shape val="box"/>
        <c:axId val="441813032"/>
        <c:axId val="441813424"/>
        <c:axId val="0"/>
      </c:bar3DChart>
      <c:catAx>
        <c:axId val="441813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1813424"/>
        <c:crosses val="autoZero"/>
        <c:auto val="1"/>
        <c:lblAlgn val="ctr"/>
        <c:lblOffset val="100"/>
        <c:noMultiLvlLbl val="0"/>
      </c:catAx>
      <c:valAx>
        <c:axId val="441813424"/>
        <c:scaling>
          <c:orientation val="minMax"/>
          <c:min val="3.0000000000000009E-3"/>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41813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ysClr val="windowText" lastClr="000000"/>
                </a:solidFill>
                <a:latin typeface="Arial Narrow" panose="020B0606020202030204" pitchFamily="34" charset="0"/>
                <a:ea typeface="+mn-ea"/>
                <a:cs typeface="+mn-cs"/>
              </a:defRPr>
            </a:pPr>
            <a:r>
              <a:rPr lang="cs-CZ" sz="1000" b="1" cap="none"/>
              <a:t>Počet samostatně</a:t>
            </a:r>
            <a:r>
              <a:rPr lang="cs-CZ" sz="1000" b="1" cap="none" baseline="0"/>
              <a:t> výdělečných osob </a:t>
            </a:r>
            <a:r>
              <a:rPr lang="cs-CZ" sz="1000" b="1" i="0" u="none" strike="noStrike" cap="none" baseline="0">
                <a:effectLst/>
              </a:rPr>
              <a:t>s jinou než českou státní příslušnosti </a:t>
            </a:r>
            <a:r>
              <a:rPr lang="cs-CZ" sz="1000" b="1" cap="none"/>
              <a:t>dle pohlaví a krajů k</a:t>
            </a:r>
            <a:r>
              <a:rPr lang="cs-CZ" sz="1000" b="1" cap="none" baseline="0"/>
              <a:t> 31. 12. </a:t>
            </a:r>
            <a:r>
              <a:rPr lang="cs-CZ" sz="1000" b="1" cap="none"/>
              <a:t> 2020</a:t>
            </a:r>
          </a:p>
        </c:rich>
      </c:tx>
      <c:layout>
        <c:manualLayout>
          <c:xMode val="edge"/>
          <c:yMode val="edge"/>
          <c:x val="0.1288962472406181"/>
          <c:y val="1.8545447045052569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650171212042202"/>
          <c:y val="7.5714140101419358E-2"/>
          <c:w val="0.78921572717317623"/>
          <c:h val="0.86288892286522434"/>
        </c:manualLayout>
      </c:layout>
      <c:bar3DChart>
        <c:barDir val="bar"/>
        <c:grouping val="clustered"/>
        <c:varyColors val="0"/>
        <c:ser>
          <c:idx val="0"/>
          <c:order val="0"/>
          <c:tx>
            <c:strRef>
              <c:f>List1!$B$1</c:f>
              <c:strCache>
                <c:ptCount val="1"/>
                <c:pt idx="0">
                  <c:v>muži</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Pt>
            <c:idx val="10"/>
            <c:invertIfNegative val="0"/>
            <c:bubble3D val="0"/>
            <c:spPr>
              <a:solidFill>
                <a:srgbClr val="0070C0"/>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extLst>
              <c:ext xmlns:c16="http://schemas.microsoft.com/office/drawing/2014/chart" uri="{C3380CC4-5D6E-409C-BE32-E72D297353CC}">
                <c16:uniqueId val="{00000001-CDC5-499B-99AA-6C70DA3E12D2}"/>
              </c:ext>
            </c:extLst>
          </c:dPt>
          <c:dLbls>
            <c:spPr>
              <a:solidFill>
                <a:schemeClr val="accent1">
                  <a:lumMod val="20000"/>
                  <a:lumOff val="80000"/>
                </a:schemeClr>
              </a:solidFill>
              <a:ln w="3175">
                <a:noFill/>
                <a:round/>
              </a:ln>
              <a:effectLst/>
            </c:spPr>
            <c:txPr>
              <a:bodyPr rot="0" spcFirstLastPara="1" vertOverflow="ellipsis" vert="horz" wrap="square" lIns="36000" tIns="0" rIns="36000" bIns="0"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List1!$A$2:$A$15</c:f>
              <c:strCache>
                <c:ptCount val="14"/>
                <c:pt idx="0">
                  <c:v>Kraj Vysočina</c:v>
                </c:pt>
                <c:pt idx="1">
                  <c:v>Zlínský kraj</c:v>
                </c:pt>
                <c:pt idx="2">
                  <c:v>Pardubický kraj</c:v>
                </c:pt>
                <c:pt idx="3">
                  <c:v>Olomoucký kraj</c:v>
                </c:pt>
                <c:pt idx="4">
                  <c:v>Královéhradecký kraj</c:v>
                </c:pt>
                <c:pt idx="5">
                  <c:v>Liberecký kraj</c:v>
                </c:pt>
                <c:pt idx="6">
                  <c:v>Jihočeský kraj</c:v>
                </c:pt>
                <c:pt idx="7">
                  <c:v>Moravskoslezský kraj</c:v>
                </c:pt>
                <c:pt idx="8">
                  <c:v>Karlovarský kraj</c:v>
                </c:pt>
                <c:pt idx="9">
                  <c:v>Plzeňský kraj</c:v>
                </c:pt>
                <c:pt idx="10">
                  <c:v>Jihomoravský kraj</c:v>
                </c:pt>
                <c:pt idx="11">
                  <c:v>Ústecký kraj</c:v>
                </c:pt>
                <c:pt idx="12">
                  <c:v>Středočeský kraj</c:v>
                </c:pt>
                <c:pt idx="13">
                  <c:v>Hlavní město Praha</c:v>
                </c:pt>
              </c:strCache>
            </c:strRef>
          </c:cat>
          <c:val>
            <c:numRef>
              <c:f>List1!$B$2:$B$15</c:f>
              <c:numCache>
                <c:formatCode>General</c:formatCode>
                <c:ptCount val="14"/>
                <c:pt idx="0">
                  <c:v>1089</c:v>
                </c:pt>
                <c:pt idx="1">
                  <c:v>1396</c:v>
                </c:pt>
                <c:pt idx="2">
                  <c:v>1675</c:v>
                </c:pt>
                <c:pt idx="3">
                  <c:v>1700</c:v>
                </c:pt>
                <c:pt idx="4">
                  <c:v>1852</c:v>
                </c:pt>
                <c:pt idx="5">
                  <c:v>1941</c:v>
                </c:pt>
                <c:pt idx="6">
                  <c:v>1976</c:v>
                </c:pt>
                <c:pt idx="7">
                  <c:v>3387</c:v>
                </c:pt>
                <c:pt idx="8">
                  <c:v>2828</c:v>
                </c:pt>
                <c:pt idx="9">
                  <c:v>3902</c:v>
                </c:pt>
                <c:pt idx="10">
                  <c:v>5542</c:v>
                </c:pt>
                <c:pt idx="11">
                  <c:v>5688</c:v>
                </c:pt>
                <c:pt idx="12">
                  <c:v>7701</c:v>
                </c:pt>
                <c:pt idx="13">
                  <c:v>25733</c:v>
                </c:pt>
              </c:numCache>
            </c:numRef>
          </c:val>
          <c:shape val="cylinder"/>
          <c:extLst>
            <c:ext xmlns:c16="http://schemas.microsoft.com/office/drawing/2014/chart" uri="{C3380CC4-5D6E-409C-BE32-E72D297353CC}">
              <c16:uniqueId val="{00000002-CDC5-499B-99AA-6C70DA3E12D2}"/>
            </c:ext>
          </c:extLst>
        </c:ser>
        <c:ser>
          <c:idx val="1"/>
          <c:order val="1"/>
          <c:tx>
            <c:strRef>
              <c:f>List1!$C$1</c:f>
              <c:strCache>
                <c:ptCount val="1"/>
                <c:pt idx="0">
                  <c:v>ženy</c:v>
                </c:pt>
              </c:strCache>
            </c:strRef>
          </c:tx>
          <c:spPr>
            <a:solidFill>
              <a:srgbClr val="C0000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Pt>
            <c:idx val="10"/>
            <c:invertIfNegative val="0"/>
            <c:bubble3D val="0"/>
            <c:extLst>
              <c:ext xmlns:c16="http://schemas.microsoft.com/office/drawing/2014/chart" uri="{C3380CC4-5D6E-409C-BE32-E72D297353CC}">
                <c16:uniqueId val="{00000004-CDC5-499B-99AA-6C70DA3E12D2}"/>
              </c:ext>
            </c:extLst>
          </c:dPt>
          <c:dLbls>
            <c:spPr>
              <a:solidFill>
                <a:schemeClr val="accent2">
                  <a:lumMod val="20000"/>
                  <a:lumOff val="80000"/>
                </a:schemeClr>
              </a:solidFill>
              <a:ln>
                <a:noFill/>
              </a:ln>
            </c:spPr>
            <c:txPr>
              <a:bodyPr lIns="18000" tIns="0" rIns="18000" bIns="0"/>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List1!$A$2:$A$15</c:f>
              <c:strCache>
                <c:ptCount val="14"/>
                <c:pt idx="0">
                  <c:v>Kraj Vysočina</c:v>
                </c:pt>
                <c:pt idx="1">
                  <c:v>Zlínský kraj</c:v>
                </c:pt>
                <c:pt idx="2">
                  <c:v>Pardubický kraj</c:v>
                </c:pt>
                <c:pt idx="3">
                  <c:v>Olomoucký kraj</c:v>
                </c:pt>
                <c:pt idx="4">
                  <c:v>Královéhradecký kraj</c:v>
                </c:pt>
                <c:pt idx="5">
                  <c:v>Liberecký kraj</c:v>
                </c:pt>
                <c:pt idx="6">
                  <c:v>Jihočeský kraj</c:v>
                </c:pt>
                <c:pt idx="7">
                  <c:v>Moravskoslezský kraj</c:v>
                </c:pt>
                <c:pt idx="8">
                  <c:v>Karlovarský kraj</c:v>
                </c:pt>
                <c:pt idx="9">
                  <c:v>Plzeňský kraj</c:v>
                </c:pt>
                <c:pt idx="10">
                  <c:v>Jihomoravský kraj</c:v>
                </c:pt>
                <c:pt idx="11">
                  <c:v>Ústecký kraj</c:v>
                </c:pt>
                <c:pt idx="12">
                  <c:v>Středočeský kraj</c:v>
                </c:pt>
                <c:pt idx="13">
                  <c:v>Hlavní město Praha</c:v>
                </c:pt>
              </c:strCache>
            </c:strRef>
          </c:cat>
          <c:val>
            <c:numRef>
              <c:f>List1!$C$2:$C$15</c:f>
              <c:numCache>
                <c:formatCode>General</c:formatCode>
                <c:ptCount val="14"/>
                <c:pt idx="0">
                  <c:v>444</c:v>
                </c:pt>
                <c:pt idx="1">
                  <c:v>542</c:v>
                </c:pt>
                <c:pt idx="2">
                  <c:v>622</c:v>
                </c:pt>
                <c:pt idx="3">
                  <c:v>653</c:v>
                </c:pt>
                <c:pt idx="4">
                  <c:v>739</c:v>
                </c:pt>
                <c:pt idx="5">
                  <c:v>756</c:v>
                </c:pt>
                <c:pt idx="6">
                  <c:v>890</c:v>
                </c:pt>
                <c:pt idx="7">
                  <c:v>1112</c:v>
                </c:pt>
                <c:pt idx="8">
                  <c:v>1821</c:v>
                </c:pt>
                <c:pt idx="9">
                  <c:v>1867</c:v>
                </c:pt>
                <c:pt idx="10">
                  <c:v>2222</c:v>
                </c:pt>
                <c:pt idx="11">
                  <c:v>2191</c:v>
                </c:pt>
                <c:pt idx="12">
                  <c:v>3615</c:v>
                </c:pt>
                <c:pt idx="13">
                  <c:v>13919</c:v>
                </c:pt>
              </c:numCache>
            </c:numRef>
          </c:val>
          <c:shape val="cylinder"/>
          <c:extLst>
            <c:ext xmlns:c16="http://schemas.microsoft.com/office/drawing/2014/chart" uri="{C3380CC4-5D6E-409C-BE32-E72D297353CC}">
              <c16:uniqueId val="{00000005-CDC5-499B-99AA-6C70DA3E12D2}"/>
            </c:ext>
          </c:extLst>
        </c:ser>
        <c:dLbls>
          <c:showLegendKey val="0"/>
          <c:showVal val="1"/>
          <c:showCatName val="0"/>
          <c:showSerName val="0"/>
          <c:showPercent val="0"/>
          <c:showBubbleSize val="0"/>
        </c:dLbls>
        <c:gapWidth val="84"/>
        <c:gapDepth val="53"/>
        <c:shape val="box"/>
        <c:axId val="438011728"/>
        <c:axId val="438151792"/>
        <c:axId val="0"/>
      </c:bar3DChart>
      <c:catAx>
        <c:axId val="438011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51792"/>
        <c:crosses val="autoZero"/>
        <c:auto val="1"/>
        <c:lblAlgn val="ctr"/>
        <c:lblOffset val="100"/>
        <c:noMultiLvlLbl val="0"/>
      </c:catAx>
      <c:valAx>
        <c:axId val="438151792"/>
        <c:scaling>
          <c:orientation val="minMax"/>
          <c:max val="27000"/>
        </c:scaling>
        <c:delete val="0"/>
        <c:axPos val="b"/>
        <c:numFmt formatCode="General" sourceLinked="1"/>
        <c:majorTickMark val="out"/>
        <c:minorTickMark val="none"/>
        <c:tickLblPos val="nextTo"/>
        <c:crossAx val="438011728"/>
        <c:crosses val="autoZero"/>
        <c:crossBetween val="between"/>
        <c:majorUnit val="3000"/>
      </c:valAx>
      <c:spPr>
        <a:noFill/>
        <a:ln>
          <a:noFill/>
        </a:ln>
        <a:effectLst/>
      </c:spPr>
    </c:plotArea>
    <c:legend>
      <c:legendPos val="t"/>
      <c:layout>
        <c:manualLayout>
          <c:xMode val="edge"/>
          <c:yMode val="edge"/>
          <c:x val="0.84501034225026506"/>
          <c:y val="0.78065856522033106"/>
          <c:w val="0.1243409640020163"/>
          <c:h val="0.1125080676390860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r>
              <a:rPr lang="cs-CZ" sz="1000" b="1" cap="none" baseline="0"/>
              <a:t>Samostatně výdělečné osoby s jinou než českou státní příslušností dle okresů k 31. 12. 2022</a:t>
            </a:r>
            <a:endParaRPr lang="cs-CZ" sz="1000" b="1" cap="none"/>
          </a:p>
        </c:rich>
      </c:tx>
      <c:layout>
        <c:manualLayout>
          <c:xMode val="edge"/>
          <c:yMode val="edge"/>
          <c:x val="0.12207056677596997"/>
          <c:y val="3.6525063996630061E-3"/>
        </c:manualLayout>
      </c:layout>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29469450647027"/>
          <c:y val="0.11304349643866343"/>
          <c:w val="0.88770530549352977"/>
          <c:h val="0.86097305377484967"/>
        </c:manualLayout>
      </c:layout>
      <c:bar3DChart>
        <c:barDir val="bar"/>
        <c:grouping val="clustered"/>
        <c:varyColors val="0"/>
        <c:ser>
          <c:idx val="0"/>
          <c:order val="0"/>
          <c:tx>
            <c:strRef>
              <c:f>List1!$B$1</c:f>
              <c:strCache>
                <c:ptCount val="1"/>
                <c:pt idx="0">
                  <c:v>Počet cizinců s platným živnostenským oprávněním</c:v>
                </c:pt>
              </c:strCache>
            </c:strRef>
          </c:tx>
          <c:spPr>
            <a:solidFill>
              <a:schemeClr val="accent1"/>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bg1"/>
              </a:solidFill>
              <a:ln>
                <a:solidFill>
                  <a:schemeClr val="lt1">
                    <a:alpha val="50000"/>
                  </a:schemeClr>
                </a:solidFill>
                <a:round/>
              </a:ln>
              <a:effectLst/>
            </c:spPr>
            <c:txPr>
              <a:bodyPr rot="0" spcFirstLastPara="1" vertOverflow="ellipsis" vert="horz" wrap="square" lIns="36000" tIns="0" rIns="36000" bIns="0"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List1!$A$2:$A$8</c:f>
              <c:strCache>
                <c:ptCount val="7"/>
                <c:pt idx="0">
                  <c:v>Blansko</c:v>
                </c:pt>
                <c:pt idx="1">
                  <c:v>Vyškov</c:v>
                </c:pt>
                <c:pt idx="2">
                  <c:v>Hodonín</c:v>
                </c:pt>
                <c:pt idx="3">
                  <c:v>Znojmo</c:v>
                </c:pt>
                <c:pt idx="4">
                  <c:v>Břeclav</c:v>
                </c:pt>
                <c:pt idx="5">
                  <c:v>Brno-venkov</c:v>
                </c:pt>
                <c:pt idx="6">
                  <c:v>Brno-město</c:v>
                </c:pt>
              </c:strCache>
            </c:strRef>
          </c:cat>
          <c:val>
            <c:numRef>
              <c:f>List1!$B$2:$B$8</c:f>
              <c:numCache>
                <c:formatCode>#\ ##0_ ;\-#\ ##0\ ;\-\ </c:formatCode>
                <c:ptCount val="7"/>
                <c:pt idx="0">
                  <c:v>435</c:v>
                </c:pt>
                <c:pt idx="1">
                  <c:v>456</c:v>
                </c:pt>
                <c:pt idx="2">
                  <c:v>532</c:v>
                </c:pt>
                <c:pt idx="3">
                  <c:v>535</c:v>
                </c:pt>
                <c:pt idx="4">
                  <c:v>582</c:v>
                </c:pt>
                <c:pt idx="5">
                  <c:v>889</c:v>
                </c:pt>
                <c:pt idx="6">
                  <c:v>5613</c:v>
                </c:pt>
              </c:numCache>
            </c:numRef>
          </c:val>
          <c:shape val="cylinder"/>
          <c:extLst>
            <c:ext xmlns:c16="http://schemas.microsoft.com/office/drawing/2014/chart" uri="{C3380CC4-5D6E-409C-BE32-E72D297353CC}">
              <c16:uniqueId val="{00000000-ED19-4365-821C-D3133C843B91}"/>
            </c:ext>
          </c:extLst>
        </c:ser>
        <c:dLbls>
          <c:showLegendKey val="0"/>
          <c:showVal val="1"/>
          <c:showCatName val="0"/>
          <c:showSerName val="0"/>
          <c:showPercent val="0"/>
          <c:showBubbleSize val="0"/>
        </c:dLbls>
        <c:gapWidth val="84"/>
        <c:gapDepth val="53"/>
        <c:shape val="box"/>
        <c:axId val="438149832"/>
        <c:axId val="438152576"/>
        <c:axId val="0"/>
      </c:bar3DChart>
      <c:catAx>
        <c:axId val="438149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52576"/>
        <c:crosses val="autoZero"/>
        <c:auto val="1"/>
        <c:lblAlgn val="ctr"/>
        <c:lblOffset val="100"/>
        <c:noMultiLvlLbl val="0"/>
      </c:catAx>
      <c:valAx>
        <c:axId val="438152576"/>
        <c:scaling>
          <c:orientation val="minMax"/>
        </c:scaling>
        <c:delete val="1"/>
        <c:axPos val="b"/>
        <c:numFmt formatCode="#\ ##0_ ;\-#\ ##0\ ;\-\ " sourceLinked="1"/>
        <c:majorTickMark val="out"/>
        <c:minorTickMark val="none"/>
        <c:tickLblPos val="nextTo"/>
        <c:crossAx val="438149832"/>
        <c:crosses val="autoZero"/>
        <c:crossBetween val="between"/>
      </c:valAx>
      <c:spPr>
        <a:noFill/>
        <a:ln>
          <a:noFill/>
        </a:ln>
        <a:effectLst/>
      </c:spPr>
    </c:plotArea>
    <c:legend>
      <c:legendPos val="t"/>
      <c:layout>
        <c:manualLayout>
          <c:xMode val="edge"/>
          <c:yMode val="edge"/>
          <c:x val="0.47102962875909177"/>
          <c:y val="0.82125076957972842"/>
          <c:w val="0.51570337289928314"/>
          <c:h val="0.1435838112828489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dk1">
          <a:tint val="75000"/>
        </a:schemeClr>
      </a:solidFill>
      <a:round/>
    </a:ln>
    <a:effectLst/>
  </c:spPr>
  <c:txPr>
    <a:bodyPr/>
    <a:lstStyle/>
    <a:p>
      <a:pPr>
        <a:defRPr sz="1000">
          <a:solidFill>
            <a:sysClr val="windowText" lastClr="000000"/>
          </a:solidFill>
          <a:latin typeface="Arial Narrow" panose="020B0606020202030204" pitchFamily="34" charset="0"/>
        </a:defRPr>
      </a:pPr>
      <a:endParaRPr lang="cs-CZ"/>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ysClr val="windowText" lastClr="000000"/>
                </a:solidFill>
                <a:effectLst/>
                <a:latin typeface="Arial Narrow" panose="020B0606020202030204" pitchFamily="34" charset="0"/>
                <a:ea typeface="+mn-ea"/>
                <a:cs typeface="+mn-cs"/>
              </a:defRPr>
            </a:pPr>
            <a:r>
              <a:rPr lang="cs-CZ" sz="1000" b="1" i="0" u="none" strike="noStrike" cap="none" baseline="0">
                <a:effectLst/>
              </a:rPr>
              <a:t>Struktura osob s jinou než českou státní příslušností v postavení samostatně výdělečných osob v Jihomoravském kraji dle občanství k 31. 12. 2022</a:t>
            </a:r>
            <a:endParaRPr lang="cs-CZ" sz="1000" b="1" cap="none" spc="0">
              <a:ln w="0"/>
              <a:solidFill>
                <a:sysClr val="windowText" lastClr="000000"/>
              </a:solidFill>
              <a:effectLst/>
            </a:endParaRPr>
          </a:p>
        </c:rich>
      </c:tx>
      <c:layout>
        <c:manualLayout>
          <c:xMode val="edge"/>
          <c:yMode val="edge"/>
          <c:x val="0.12873333333333334"/>
          <c:y val="1.5974854994977477E-3"/>
        </c:manualLayout>
      </c:layout>
      <c:overlay val="0"/>
      <c:spPr>
        <a:noFill/>
        <a:ln>
          <a:noFill/>
        </a:ln>
        <a:effectLst/>
      </c:sp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57921232068215"/>
          <c:y val="0.11442765399005975"/>
          <c:w val="0.83639857517810279"/>
          <c:h val="0.78787021835036575"/>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8"/>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AF1-494B-A768-C9222171949A}"/>
              </c:ext>
            </c:extLst>
          </c:dPt>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strRef>
              <c:f>List1!$A$2:$A$11</c:f>
              <c:strCache>
                <c:ptCount val="10"/>
                <c:pt idx="0">
                  <c:v>Rakousko</c:v>
                </c:pt>
                <c:pt idx="1">
                  <c:v>Velká Británie</c:v>
                </c:pt>
                <c:pt idx="2">
                  <c:v>Bulharsko</c:v>
                </c:pt>
                <c:pt idx="3">
                  <c:v>Maďarsko</c:v>
                </c:pt>
                <c:pt idx="4">
                  <c:v>Polsko</c:v>
                </c:pt>
                <c:pt idx="5">
                  <c:v>Rumunsko</c:v>
                </c:pt>
                <c:pt idx="6">
                  <c:v>Rusko</c:v>
                </c:pt>
                <c:pt idx="7">
                  <c:v>Vietnam</c:v>
                </c:pt>
                <c:pt idx="8">
                  <c:v>Ukrajina</c:v>
                </c:pt>
                <c:pt idx="9">
                  <c:v>Slovensko</c:v>
                </c:pt>
              </c:strCache>
            </c:strRef>
          </c:cat>
          <c:val>
            <c:numRef>
              <c:f>List1!$B$2:$B$11</c:f>
              <c:numCache>
                <c:formatCode>0</c:formatCode>
                <c:ptCount val="10"/>
                <c:pt idx="0">
                  <c:v>116</c:v>
                </c:pt>
                <c:pt idx="1">
                  <c:v>130</c:v>
                </c:pt>
                <c:pt idx="2">
                  <c:v>130</c:v>
                </c:pt>
                <c:pt idx="3">
                  <c:v>136</c:v>
                </c:pt>
                <c:pt idx="4">
                  <c:v>137</c:v>
                </c:pt>
                <c:pt idx="5">
                  <c:v>182</c:v>
                </c:pt>
                <c:pt idx="6">
                  <c:v>192</c:v>
                </c:pt>
                <c:pt idx="7">
                  <c:v>1322</c:v>
                </c:pt>
                <c:pt idx="8">
                  <c:v>2018</c:v>
                </c:pt>
                <c:pt idx="9">
                  <c:v>3432</c:v>
                </c:pt>
              </c:numCache>
            </c:numRef>
          </c:val>
          <c:shape val="cylinder"/>
          <c:extLst>
            <c:ext xmlns:c16="http://schemas.microsoft.com/office/drawing/2014/chart" uri="{C3380CC4-5D6E-409C-BE32-E72D297353CC}">
              <c16:uniqueId val="{00000002-3AF1-494B-A768-C9222171949A}"/>
            </c:ext>
          </c:extLst>
        </c:ser>
        <c:dLbls>
          <c:showLegendKey val="0"/>
          <c:showVal val="0"/>
          <c:showCatName val="0"/>
          <c:showSerName val="0"/>
          <c:showPercent val="0"/>
          <c:showBubbleSize val="0"/>
        </c:dLbls>
        <c:gapWidth val="95"/>
        <c:shape val="box"/>
        <c:axId val="438151400"/>
        <c:axId val="438149440"/>
        <c:axId val="0"/>
      </c:bar3DChart>
      <c:catAx>
        <c:axId val="438151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49440"/>
        <c:crosses val="autoZero"/>
        <c:auto val="1"/>
        <c:lblAlgn val="ctr"/>
        <c:lblOffset val="100"/>
        <c:noMultiLvlLbl val="0"/>
      </c:catAx>
      <c:valAx>
        <c:axId val="438149440"/>
        <c:scaling>
          <c:orientation val="minMax"/>
          <c:min val="3.0000000000000009E-3"/>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51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Podíl</a:t>
            </a:r>
            <a:r>
              <a:rPr lang="cs-CZ" sz="1000" b="1" cap="none" spc="0" baseline="0">
                <a:ln w="0"/>
                <a:solidFill>
                  <a:schemeClr val="tx1"/>
                </a:solidFill>
                <a:effectLst/>
              </a:rPr>
              <a:t> osob s jinou než českou státní příslušností</a:t>
            </a:r>
            <a:r>
              <a:rPr lang="cs-CZ" sz="1000" b="1" cap="none" spc="0">
                <a:ln w="0"/>
                <a:solidFill>
                  <a:schemeClr val="tx1"/>
                </a:solidFill>
                <a:effectLst/>
              </a:rPr>
              <a:t> na celkovém</a:t>
            </a:r>
            <a:r>
              <a:rPr lang="cs-CZ" sz="1000" b="1" cap="none" spc="0" baseline="0">
                <a:ln w="0"/>
                <a:solidFill>
                  <a:schemeClr val="tx1"/>
                </a:solidFill>
                <a:effectLst/>
              </a:rPr>
              <a:t> počtu obyvatel ORP </a:t>
            </a:r>
            <a:r>
              <a:rPr lang="cs-CZ" sz="1000" b="1" i="0" u="none" strike="noStrike" kern="1200" cap="none" spc="0" baseline="0">
                <a:ln w="0"/>
                <a:solidFill>
                  <a:schemeClr val="tx1"/>
                </a:solidFill>
                <a:effectLst/>
                <a:latin typeface="Arial Narrow" panose="020B0606020202030204" pitchFamily="34" charset="0"/>
                <a:ea typeface="+mn-ea"/>
                <a:cs typeface="+mn-cs"/>
              </a:rPr>
              <a:t>Blansko</a:t>
            </a:r>
            <a:r>
              <a:rPr lang="cs-CZ" sz="1000" b="1" cap="none" spc="0" baseline="0">
                <a:ln w="0"/>
                <a:solidFill>
                  <a:schemeClr val="tx1"/>
                </a:solidFill>
                <a:effectLst/>
              </a:rPr>
              <a:t> v letech 2006-2023 (data k 1. 1. daného roku)</a:t>
            </a:r>
            <a:endParaRPr lang="cs-CZ" sz="1000" b="1" cap="none" spc="0">
              <a:ln w="0"/>
              <a:solidFill>
                <a:schemeClr val="tx1"/>
              </a:solidFill>
              <a:effectLst/>
            </a:endParaRPr>
          </a:p>
        </c:rich>
      </c:tx>
      <c:layout>
        <c:manualLayout>
          <c:xMode val="edge"/>
          <c:yMode val="edge"/>
          <c:x val="0.15315117482824606"/>
          <c:y val="5.2890114176533983E-4"/>
        </c:manualLayout>
      </c:layout>
      <c:overlay val="0"/>
      <c:spPr>
        <a:noFill/>
        <a:ln>
          <a:noFill/>
        </a:ln>
        <a:effectLst/>
      </c:spPr>
    </c:title>
    <c:autoTitleDeleted val="0"/>
    <c:view3D>
      <c:rotX val="15"/>
      <c:rotY val="20"/>
      <c:depthPercent val="100"/>
      <c:rAngAx val="1"/>
    </c:view3D>
    <c:floor>
      <c:thickness val="0"/>
      <c:spPr>
        <a:solidFill>
          <a:schemeClr val="bg1">
            <a:lumMod val="95000"/>
            <a:alpha val="52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428023420149403E-2"/>
          <c:y val="7.4123157848623542E-2"/>
          <c:w val="0.90254980146712427"/>
          <c:h val="0.85358484320924954"/>
        </c:manualLayout>
      </c:layout>
      <c:bar3DChart>
        <c:barDir val="bar"/>
        <c:grouping val="clustered"/>
        <c:varyColors val="0"/>
        <c:ser>
          <c:idx val="0"/>
          <c:order val="0"/>
          <c:tx>
            <c:strRef>
              <c:f>List1!$B$1</c:f>
              <c:strCache>
                <c:ptCount val="1"/>
                <c:pt idx="0">
                  <c:v>Sloupec1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5"/>
            <c:invertIfNegative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FAF-44C4-BAC1-1A3BE9DF5396}"/>
              </c:ext>
            </c:extLst>
          </c:dPt>
          <c:dPt>
            <c:idx val="16"/>
            <c:invertIfNegative val="0"/>
            <c:bubble3D val="0"/>
            <c:spPr>
              <a:solidFill>
                <a:schemeClr val="accent5">
                  <a:lumMod val="50000"/>
                </a:schemeClr>
              </a:solidFill>
              <a:ln>
                <a:solidFill>
                  <a:schemeClr val="accent1">
                    <a:lumMod val="75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FAF-44C4-BAC1-1A3BE9DF5396}"/>
              </c:ext>
            </c:extLst>
          </c:dPt>
          <c:dPt>
            <c:idx val="17"/>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FAF-44C4-BAC1-1A3BE9DF5396}"/>
              </c:ext>
            </c:extLst>
          </c:dPt>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c:formatCode>
                <c:ptCount val="18"/>
                <c:pt idx="0" formatCode="0.00%">
                  <c:v>1.7000000000000001E-2</c:v>
                </c:pt>
                <c:pt idx="1">
                  <c:v>0.02</c:v>
                </c:pt>
                <c:pt idx="2" formatCode="0.00%">
                  <c:v>2.4E-2</c:v>
                </c:pt>
                <c:pt idx="3" formatCode="0.00%">
                  <c:v>2.7E-2</c:v>
                </c:pt>
                <c:pt idx="4" formatCode="0.00%">
                  <c:v>2.5999999999999999E-2</c:v>
                </c:pt>
                <c:pt idx="5" formatCode="0.00%">
                  <c:v>2.5999999999999999E-2</c:v>
                </c:pt>
                <c:pt idx="6" formatCode="0.00%">
                  <c:v>2.8000000000000001E-2</c:v>
                </c:pt>
                <c:pt idx="7" formatCode="0.00%">
                  <c:v>2.5999999999999999E-2</c:v>
                </c:pt>
                <c:pt idx="8" formatCode="0.00%">
                  <c:v>2.5999999999999999E-2</c:v>
                </c:pt>
                <c:pt idx="9" formatCode="0.00%">
                  <c:v>2.5999999999999999E-2</c:v>
                </c:pt>
                <c:pt idx="10" formatCode="0.00%">
                  <c:v>2.5999999999999999E-2</c:v>
                </c:pt>
                <c:pt idx="11" formatCode="0.00%">
                  <c:v>2.5000000000000001E-2</c:v>
                </c:pt>
                <c:pt idx="12" formatCode="0.00%">
                  <c:v>2.5000000000000001E-2</c:v>
                </c:pt>
                <c:pt idx="13" formatCode="0.00%">
                  <c:v>2.5000000000000001E-2</c:v>
                </c:pt>
                <c:pt idx="14" formatCode="0.00%">
                  <c:v>2.7E-2</c:v>
                </c:pt>
                <c:pt idx="15" formatCode="0.00%">
                  <c:v>2.7E-2</c:v>
                </c:pt>
                <c:pt idx="16" formatCode="0.00%">
                  <c:v>2.8000000000000001E-2</c:v>
                </c:pt>
                <c:pt idx="17" formatCode="0.00%">
                  <c:v>5.4100000000000002E-2</c:v>
                </c:pt>
              </c:numCache>
            </c:numRef>
          </c:val>
          <c:shape val="cylinder"/>
          <c:extLst>
            <c:ext xmlns:c16="http://schemas.microsoft.com/office/drawing/2014/chart" uri="{C3380CC4-5D6E-409C-BE32-E72D297353CC}">
              <c16:uniqueId val="{00000006-AFAF-44C4-BAC1-1A3BE9DF5396}"/>
            </c:ext>
          </c:extLst>
        </c:ser>
        <c:dLbls>
          <c:showLegendKey val="0"/>
          <c:showVal val="0"/>
          <c:showCatName val="0"/>
          <c:showSerName val="0"/>
          <c:showPercent val="0"/>
          <c:showBubbleSize val="0"/>
        </c:dLbls>
        <c:gapWidth val="95"/>
        <c:shape val="box"/>
        <c:axId val="438138464"/>
        <c:axId val="438144344"/>
        <c:axId val="0"/>
      </c:bar3DChart>
      <c:catAx>
        <c:axId val="438138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44344"/>
        <c:crosses val="autoZero"/>
        <c:auto val="1"/>
        <c:lblAlgn val="ctr"/>
        <c:lblOffset val="100"/>
        <c:noMultiLvlLbl val="0"/>
      </c:catAx>
      <c:valAx>
        <c:axId val="438144344"/>
        <c:scaling>
          <c:orientation val="minMax"/>
          <c:min val="1.4000000000000002E-2"/>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38464"/>
        <c:crosses val="autoZero"/>
        <c:crossBetween val="between"/>
        <c:majorUnit val="4.000000000000001E-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baseline="0">
                <a:ln w="0"/>
                <a:solidFill>
                  <a:schemeClr val="tx1"/>
                </a:solidFill>
                <a:effectLst/>
                <a:latin typeface="Arial Narrow" panose="020B0606020202030204" pitchFamily="34" charset="0"/>
                <a:ea typeface="+mn-ea"/>
                <a:cs typeface="+mn-cs"/>
              </a:defRPr>
            </a:pPr>
            <a:r>
              <a:rPr lang="cs-CZ" sz="1000" b="1" cap="none" spc="0">
                <a:ln w="0"/>
                <a:solidFill>
                  <a:schemeClr val="tx1"/>
                </a:solidFill>
                <a:effectLst/>
              </a:rPr>
              <a:t>Osoby</a:t>
            </a:r>
            <a:r>
              <a:rPr lang="cs-CZ" sz="1000" b="1" cap="none" spc="0" baseline="0">
                <a:ln w="0"/>
                <a:solidFill>
                  <a:schemeClr val="tx1"/>
                </a:solidFill>
                <a:effectLst/>
              </a:rPr>
              <a:t> s jinou než českou státní příslušností</a:t>
            </a:r>
            <a:r>
              <a:rPr lang="cs-CZ" sz="1000" b="1" cap="none" spc="0">
                <a:ln w="0"/>
                <a:solidFill>
                  <a:schemeClr val="tx1"/>
                </a:solidFill>
                <a:effectLst/>
              </a:rPr>
              <a:t> v ORP </a:t>
            </a:r>
            <a:r>
              <a:rPr lang="cs-CZ" sz="1000" b="1" i="0" u="none" strike="noStrike" kern="1200" cap="none" spc="0" baseline="0">
                <a:ln w="0"/>
                <a:solidFill>
                  <a:schemeClr val="tx1"/>
                </a:solidFill>
                <a:effectLst/>
                <a:latin typeface="Arial Narrow" panose="020B0606020202030204" pitchFamily="34" charset="0"/>
                <a:ea typeface="+mn-ea"/>
                <a:cs typeface="+mn-cs"/>
              </a:rPr>
              <a:t>Blansko</a:t>
            </a:r>
            <a:r>
              <a:rPr lang="cs-CZ" sz="1000" b="1" cap="none" spc="0">
                <a:ln w="0"/>
                <a:solidFill>
                  <a:schemeClr val="tx1"/>
                </a:solidFill>
                <a:effectLst/>
              </a:rPr>
              <a:t> podle pohlaví</a:t>
            </a:r>
          </a:p>
        </c:rich>
      </c:tx>
      <c:layout>
        <c:manualLayout>
          <c:xMode val="edge"/>
          <c:yMode val="edge"/>
          <c:x val="0.16748236331569666"/>
          <c:y val="1.9869999471542566E-3"/>
        </c:manualLayout>
      </c:layout>
      <c:overlay val="0"/>
      <c:spPr>
        <a:noFill/>
        <a:ln>
          <a:noFill/>
        </a:ln>
        <a:effectLst/>
      </c:spPr>
    </c:title>
    <c:autoTitleDeleted val="0"/>
    <c:view3D>
      <c:rotX val="15"/>
      <c:rotY val="20"/>
      <c:depthPercent val="100"/>
      <c:rAngAx val="1"/>
    </c:view3D>
    <c:floor>
      <c:thickness val="0"/>
      <c:spPr>
        <a:solidFill>
          <a:schemeClr val="bg1">
            <a:lumMod val="95000"/>
            <a:alpha val="54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88698634892866E-2"/>
          <c:y val="2.8350566917390359E-2"/>
          <c:w val="0.90067873460261927"/>
          <c:h val="0.85218957529637651"/>
        </c:manualLayout>
      </c:layout>
      <c:bar3DChart>
        <c:barDir val="bar"/>
        <c:grouping val="stacked"/>
        <c:varyColors val="0"/>
        <c:ser>
          <c:idx val="0"/>
          <c:order val="0"/>
          <c:tx>
            <c:strRef>
              <c:f>List1!$B$1</c:f>
              <c:strCache>
                <c:ptCount val="1"/>
                <c:pt idx="0">
                  <c:v>muži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List1!$B$2:$B$19</c:f>
              <c:numCache>
                <c:formatCode>0.0</c:formatCode>
                <c:ptCount val="18"/>
                <c:pt idx="0">
                  <c:v>54.035874439461885</c:v>
                </c:pt>
                <c:pt idx="1">
                  <c:v>54.962546816479396</c:v>
                </c:pt>
                <c:pt idx="2">
                  <c:v>57.012195121951216</c:v>
                </c:pt>
                <c:pt idx="3">
                  <c:v>54.103967168262656</c:v>
                </c:pt>
                <c:pt idx="4">
                  <c:v>53.138373751783163</c:v>
                </c:pt>
                <c:pt idx="5">
                  <c:v>53.380782918149464</c:v>
                </c:pt>
                <c:pt idx="6">
                  <c:v>53.957783641160951</c:v>
                </c:pt>
                <c:pt idx="7">
                  <c:v>52.838121934127535</c:v>
                </c:pt>
                <c:pt idx="8">
                  <c:v>52.110726643598618</c:v>
                </c:pt>
                <c:pt idx="9">
                  <c:v>53.014553014553009</c:v>
                </c:pt>
                <c:pt idx="10">
                  <c:v>52.96610169491526</c:v>
                </c:pt>
                <c:pt idx="11">
                  <c:v>52.82</c:v>
                </c:pt>
                <c:pt idx="12">
                  <c:v>53.43727852586818</c:v>
                </c:pt>
                <c:pt idx="13">
                  <c:v>49.83</c:v>
                </c:pt>
                <c:pt idx="14">
                  <c:v>52.673796791443849</c:v>
                </c:pt>
                <c:pt idx="15">
                  <c:v>53.197099538562952</c:v>
                </c:pt>
                <c:pt idx="16">
                  <c:v>53.63164721141375</c:v>
                </c:pt>
                <c:pt idx="17">
                  <c:v>49</c:v>
                </c:pt>
              </c:numCache>
            </c:numRef>
          </c:val>
          <c:extLst>
            <c:ext xmlns:c16="http://schemas.microsoft.com/office/drawing/2014/chart" uri="{C3380CC4-5D6E-409C-BE32-E72D297353CC}">
              <c16:uniqueId val="{00000000-17F9-4C2D-B521-BE2724E75E5B}"/>
            </c:ext>
          </c:extLst>
        </c:ser>
        <c:ser>
          <c:idx val="1"/>
          <c:order val="1"/>
          <c:tx>
            <c:strRef>
              <c:f>List1!$C$1</c:f>
              <c:strCache>
                <c:ptCount val="1"/>
                <c:pt idx="0">
                  <c:v>ženy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95000"/>
                          <a:alpha val="54000"/>
                        </a:schemeClr>
                      </a:solidFill>
                    </a:ln>
                    <a:effectLst/>
                  </c:spPr>
                </c15:leaderLines>
              </c:ext>
            </c:extLst>
          </c:dLbls>
          <c:cat>
            <c:numRef>
              <c:f>List1!$A$2:$A$19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List1!$C$2:$C$19</c:f>
              <c:numCache>
                <c:formatCode>0.0</c:formatCode>
                <c:ptCount val="18"/>
                <c:pt idx="0">
                  <c:v>45.964125560538115</c:v>
                </c:pt>
                <c:pt idx="1">
                  <c:v>45.037453183520604</c:v>
                </c:pt>
                <c:pt idx="2">
                  <c:v>42.987804878048784</c:v>
                </c:pt>
                <c:pt idx="3">
                  <c:v>45.896032831737344</c:v>
                </c:pt>
                <c:pt idx="4">
                  <c:v>46.861626248216837</c:v>
                </c:pt>
                <c:pt idx="5">
                  <c:v>46.619217081850536</c:v>
                </c:pt>
                <c:pt idx="6">
                  <c:v>46.042216358839049</c:v>
                </c:pt>
                <c:pt idx="7">
                  <c:v>47.161878065872465</c:v>
                </c:pt>
                <c:pt idx="8">
                  <c:v>47.889273356401382</c:v>
                </c:pt>
                <c:pt idx="9">
                  <c:v>46.985446985446991</c:v>
                </c:pt>
                <c:pt idx="10">
                  <c:v>47.03389830508474</c:v>
                </c:pt>
                <c:pt idx="11">
                  <c:v>47.18</c:v>
                </c:pt>
                <c:pt idx="12">
                  <c:v>46.56272147413182</c:v>
                </c:pt>
                <c:pt idx="13">
                  <c:v>50.17</c:v>
                </c:pt>
                <c:pt idx="14">
                  <c:v>47.326203208556151</c:v>
                </c:pt>
                <c:pt idx="15">
                  <c:v>46.802900461437048</c:v>
                </c:pt>
                <c:pt idx="16">
                  <c:v>46.36835278858625</c:v>
                </c:pt>
                <c:pt idx="17">
                  <c:v>51</c:v>
                </c:pt>
              </c:numCache>
            </c:numRef>
          </c:val>
          <c:extLst>
            <c:ext xmlns:c16="http://schemas.microsoft.com/office/drawing/2014/chart" uri="{C3380CC4-5D6E-409C-BE32-E72D297353CC}">
              <c16:uniqueId val="{00000001-17F9-4C2D-B521-BE2724E75E5B}"/>
            </c:ext>
          </c:extLst>
        </c:ser>
        <c:dLbls>
          <c:showLegendKey val="0"/>
          <c:showVal val="0"/>
          <c:showCatName val="0"/>
          <c:showSerName val="0"/>
          <c:showPercent val="0"/>
          <c:showBubbleSize val="0"/>
        </c:dLbls>
        <c:gapWidth val="72"/>
        <c:shape val="cylinder"/>
        <c:axId val="438146304"/>
        <c:axId val="438143560"/>
        <c:axId val="0"/>
      </c:bar3DChart>
      <c:catAx>
        <c:axId val="438146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43560"/>
        <c:crosses val="autoZero"/>
        <c:auto val="1"/>
        <c:lblAlgn val="ctr"/>
        <c:lblOffset val="100"/>
        <c:noMultiLvlLbl val="0"/>
      </c:catAx>
      <c:valAx>
        <c:axId val="43814356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cs-CZ"/>
          </a:p>
        </c:txPr>
        <c:crossAx val="438146304"/>
        <c:crosses val="autoZero"/>
        <c:crossBetween val="between"/>
      </c:valAx>
      <c:spPr>
        <a:noFill/>
        <a:ln>
          <a:noFill/>
        </a:ln>
        <a:effectLst/>
      </c:spPr>
    </c:plotArea>
    <c:legend>
      <c:legendPos val="b"/>
      <c:layout>
        <c:manualLayout>
          <c:xMode val="edge"/>
          <c:yMode val="edge"/>
          <c:x val="0.41931841853101698"/>
          <c:y val="0.94390500890652762"/>
          <c:w val="0.18340897491980168"/>
          <c:h val="5.449081476091452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a:solidFill>
            <a:sysClr val="windowText" lastClr="000000"/>
          </a:solidFill>
          <a:latin typeface="Arial Narrow" panose="020B0606020202030204" pitchFamily="34" charset="0"/>
        </a:defRPr>
      </a:pPr>
      <a:endParaRPr lang="cs-CZ"/>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effectLst/>
                <a:latin typeface="Arial Narrow" panose="020B0606020202030204" pitchFamily="34" charset="0"/>
                <a:ea typeface="+mn-ea"/>
                <a:cs typeface="+mn-cs"/>
              </a:defRPr>
            </a:pPr>
            <a:r>
              <a:rPr lang="en-US" sz="1000">
                <a:effectLst/>
              </a:rPr>
              <a:t>Podíl </a:t>
            </a:r>
            <a:r>
              <a:rPr lang="cs-CZ" sz="1000" b="1" i="0" u="none" strike="noStrike" cap="none" baseline="0">
                <a:effectLst/>
              </a:rPr>
              <a:t>osob s jinou než českou státní příslušností </a:t>
            </a:r>
            <a:r>
              <a:rPr lang="en-US" sz="1000">
                <a:effectLst/>
              </a:rPr>
              <a:t> na celkovém počtu obyvatel</a:t>
            </a:r>
            <a:r>
              <a:rPr lang="cs-CZ" sz="1000">
                <a:effectLst/>
              </a:rPr>
              <a:t> k 1. 1. 2021</a:t>
            </a:r>
            <a:endParaRPr lang="en-US" sz="1000">
              <a:effectLst/>
            </a:endParaRPr>
          </a:p>
        </c:rich>
      </c:tx>
      <c:layout>
        <c:manualLayout>
          <c:xMode val="edge"/>
          <c:yMode val="edge"/>
          <c:x val="0.11946753183629825"/>
          <c:y val="0"/>
        </c:manualLayout>
      </c:layout>
      <c:overlay val="0"/>
      <c:spPr>
        <a:noFill/>
        <a:ln>
          <a:noFill/>
        </a:ln>
        <a:effectLst/>
      </c:spPr>
    </c:title>
    <c:autoTitleDeleted val="0"/>
    <c:plotArea>
      <c:layout>
        <c:manualLayout>
          <c:layoutTarget val="inner"/>
          <c:xMode val="edge"/>
          <c:yMode val="edge"/>
          <c:x val="0.20548716132705633"/>
          <c:y val="4.9577473336064208E-2"/>
          <c:w val="0.76274476107153277"/>
          <c:h val="0.8840642035130224"/>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1-C0A4-472E-9847-533DF6DEADD2}"/>
              </c:ext>
            </c:extLst>
          </c:dPt>
          <c:dPt>
            <c:idx val="1"/>
            <c:invertIfNegative val="0"/>
            <c:bubble3D val="0"/>
            <c:extLst>
              <c:ext xmlns:c16="http://schemas.microsoft.com/office/drawing/2014/chart" uri="{C3380CC4-5D6E-409C-BE32-E72D297353CC}">
                <c16:uniqueId val="{00000003-C0A4-472E-9847-533DF6DEADD2}"/>
              </c:ext>
            </c:extLst>
          </c:dPt>
          <c:dPt>
            <c:idx val="2"/>
            <c:invertIfNegative val="0"/>
            <c:bubble3D val="0"/>
            <c:extLst>
              <c:ext xmlns:c16="http://schemas.microsoft.com/office/drawing/2014/chart" uri="{C3380CC4-5D6E-409C-BE32-E72D297353CC}">
                <c16:uniqueId val="{00000005-C0A4-472E-9847-533DF6DEADD2}"/>
              </c:ext>
            </c:extLst>
          </c:dPt>
          <c:dPt>
            <c:idx val="3"/>
            <c:invertIfNegative val="0"/>
            <c:bubble3D val="0"/>
            <c:extLst>
              <c:ext xmlns:c16="http://schemas.microsoft.com/office/drawing/2014/chart" uri="{C3380CC4-5D6E-409C-BE32-E72D297353CC}">
                <c16:uniqueId val="{00000007-C0A4-472E-9847-533DF6DEADD2}"/>
              </c:ext>
            </c:extLst>
          </c:dPt>
          <c:dPt>
            <c:idx val="6"/>
            <c:invertIfNegative val="0"/>
            <c:bubble3D val="0"/>
            <c:extLst>
              <c:ext xmlns:c16="http://schemas.microsoft.com/office/drawing/2014/chart" uri="{C3380CC4-5D6E-409C-BE32-E72D297353CC}">
                <c16:uniqueId val="{00000009-C0A4-472E-9847-533DF6DEADD2}"/>
              </c:ext>
            </c:extLst>
          </c:dPt>
          <c:dPt>
            <c:idx val="9"/>
            <c:invertIfNegative val="0"/>
            <c:bubble3D val="0"/>
            <c:extLst>
              <c:ext xmlns:c16="http://schemas.microsoft.com/office/drawing/2014/chart" uri="{C3380CC4-5D6E-409C-BE32-E72D297353CC}">
                <c16:uniqueId val="{0000000B-C0A4-472E-9847-533DF6DEADD2}"/>
              </c:ext>
            </c:extLst>
          </c:dPt>
          <c:dPt>
            <c:idx val="11"/>
            <c:invertIfNegative val="0"/>
            <c:bubble3D val="0"/>
            <c:extLst>
              <c:ext xmlns:c16="http://schemas.microsoft.com/office/drawing/2014/chart" uri="{C3380CC4-5D6E-409C-BE32-E72D297353CC}">
                <c16:uniqueId val="{0000000D-C0A4-472E-9847-533DF6DEADD2}"/>
              </c:ext>
            </c:extLst>
          </c:dPt>
          <c:dPt>
            <c:idx val="12"/>
            <c:invertIfNegative val="0"/>
            <c:bubble3D val="0"/>
            <c:extLst>
              <c:ext xmlns:c16="http://schemas.microsoft.com/office/drawing/2014/chart" uri="{C3380CC4-5D6E-409C-BE32-E72D297353CC}">
                <c16:uniqueId val="{0000000F-C0A4-472E-9847-533DF6DEADD2}"/>
              </c:ext>
            </c:extLst>
          </c:dPt>
          <c:dPt>
            <c:idx val="13"/>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1-C0A4-472E-9847-533DF6DEADD2}"/>
              </c:ext>
            </c:extLst>
          </c:dPt>
          <c:dPt>
            <c:idx val="14"/>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3-C0A4-472E-9847-533DF6DEADD2}"/>
              </c:ext>
            </c:extLst>
          </c:dPt>
          <c:dPt>
            <c:idx val="1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5-C0A4-472E-9847-533DF6DEADD2}"/>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List1!$A$2:$A$17</c:f>
              <c:strCache>
                <c:ptCount val="16"/>
                <c:pt idx="0">
                  <c:v>Lipovec</c:v>
                </c:pt>
                <c:pt idx="1">
                  <c:v>Jedovnice</c:v>
                </c:pt>
                <c:pt idx="2">
                  <c:v>Kotvrdovice</c:v>
                </c:pt>
                <c:pt idx="3">
                  <c:v>Křtiny</c:v>
                </c:pt>
                <c:pt idx="4">
                  <c:v>Lipůvka</c:v>
                </c:pt>
                <c:pt idx="5">
                  <c:v>Šebrov-Kateřina</c:v>
                </c:pt>
                <c:pt idx="6">
                  <c:v>Bořitov</c:v>
                </c:pt>
                <c:pt idx="7">
                  <c:v>Spešov</c:v>
                </c:pt>
                <c:pt idx="8">
                  <c:v>Olomučany</c:v>
                </c:pt>
                <c:pt idx="9">
                  <c:v>Doubravice nad Svitavou</c:v>
                </c:pt>
                <c:pt idx="10">
                  <c:v>Rájec-Jestřebí</c:v>
                </c:pt>
                <c:pt idx="11">
                  <c:v>Černá Hora</c:v>
                </c:pt>
                <c:pt idx="12">
                  <c:v>Adamov</c:v>
                </c:pt>
                <c:pt idx="13">
                  <c:v>Ráječko</c:v>
                </c:pt>
                <c:pt idx="14">
                  <c:v>Blansko</c:v>
                </c:pt>
                <c:pt idx="15">
                  <c:v>Kuničky</c:v>
                </c:pt>
              </c:strCache>
            </c:strRef>
          </c:cat>
          <c:val>
            <c:numRef>
              <c:f>List1!$B$2:$B$17</c:f>
              <c:numCache>
                <c:formatCode>0.0%</c:formatCode>
                <c:ptCount val="16"/>
                <c:pt idx="0">
                  <c:v>8.3999999999999995E-3</c:v>
                </c:pt>
                <c:pt idx="1">
                  <c:v>1.29E-2</c:v>
                </c:pt>
                <c:pt idx="2">
                  <c:v>1.3100000000000001E-2</c:v>
                </c:pt>
                <c:pt idx="3">
                  <c:v>1.32E-2</c:v>
                </c:pt>
                <c:pt idx="4">
                  <c:v>1.37E-2</c:v>
                </c:pt>
                <c:pt idx="5">
                  <c:v>1.47E-2</c:v>
                </c:pt>
                <c:pt idx="6">
                  <c:v>1.6400000000000001E-2</c:v>
                </c:pt>
                <c:pt idx="7">
                  <c:v>1.7299999999999999E-2</c:v>
                </c:pt>
                <c:pt idx="8">
                  <c:v>1.8700000000000001E-2</c:v>
                </c:pt>
                <c:pt idx="9">
                  <c:v>2.12E-2</c:v>
                </c:pt>
                <c:pt idx="10">
                  <c:v>2.23E-2</c:v>
                </c:pt>
                <c:pt idx="11">
                  <c:v>2.9000000000000001E-2</c:v>
                </c:pt>
                <c:pt idx="12">
                  <c:v>3.8199999999999998E-2</c:v>
                </c:pt>
                <c:pt idx="13">
                  <c:v>4.1700000000000001E-2</c:v>
                </c:pt>
                <c:pt idx="14">
                  <c:v>4.2599999999999999E-2</c:v>
                </c:pt>
                <c:pt idx="15">
                  <c:v>5.28E-2</c:v>
                </c:pt>
              </c:numCache>
            </c:numRef>
          </c:val>
          <c:extLst>
            <c:ext xmlns:c16="http://schemas.microsoft.com/office/drawing/2014/chart" uri="{C3380CC4-5D6E-409C-BE32-E72D297353CC}">
              <c16:uniqueId val="{00000016-C0A4-472E-9847-533DF6DEADD2}"/>
            </c:ext>
          </c:extLst>
        </c:ser>
        <c:dLbls>
          <c:dLblPos val="inEnd"/>
          <c:showLegendKey val="0"/>
          <c:showVal val="1"/>
          <c:showCatName val="0"/>
          <c:showSerName val="0"/>
          <c:showPercent val="0"/>
          <c:showBubbleSize val="0"/>
        </c:dLbls>
        <c:gapWidth val="112"/>
        <c:overlap val="-50"/>
        <c:axId val="438140032"/>
        <c:axId val="438149048"/>
      </c:barChart>
      <c:catAx>
        <c:axId val="438140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9048"/>
        <c:crosses val="autoZero"/>
        <c:auto val="1"/>
        <c:lblAlgn val="ctr"/>
        <c:lblOffset val="100"/>
        <c:noMultiLvlLbl val="0"/>
      </c:catAx>
      <c:valAx>
        <c:axId val="438149048"/>
        <c:scaling>
          <c:orientation val="minMax"/>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en-US" sz="1000" b="1" i="0" u="none" strike="noStrike" cap="none" baseline="0">
                <a:effectLst/>
              </a:rPr>
              <a:t>Podíl </a:t>
            </a:r>
            <a:r>
              <a:rPr lang="cs-CZ" sz="1000" b="1" i="0" u="none" strike="noStrike" cap="none" baseline="0">
                <a:effectLst/>
              </a:rPr>
              <a:t>osob s jinou než českou státní příslušností</a:t>
            </a:r>
            <a:r>
              <a:rPr lang="en-US" sz="1000" b="1" i="0" u="none" strike="noStrike" cap="none" baseline="0">
                <a:effectLst/>
              </a:rPr>
              <a:t> na celkovém počtu obyvatel</a:t>
            </a:r>
            <a:r>
              <a:rPr lang="cs-CZ" sz="1000" b="1" i="0" u="none" strike="noStrike" cap="none" baseline="0">
                <a:effectLst/>
              </a:rPr>
              <a:t> k 1. 1. 2022</a:t>
            </a:r>
            <a:endParaRPr lang="en-US" sz="1000"/>
          </a:p>
        </c:rich>
      </c:tx>
      <c:layout>
        <c:manualLayout>
          <c:xMode val="edge"/>
          <c:yMode val="edge"/>
          <c:x val="0.13489963060173035"/>
          <c:y val="0"/>
        </c:manualLayout>
      </c:layout>
      <c:overlay val="0"/>
      <c:spPr>
        <a:noFill/>
        <a:ln>
          <a:noFill/>
        </a:ln>
        <a:effectLst/>
      </c:spPr>
    </c:title>
    <c:autoTitleDeleted val="0"/>
    <c:plotArea>
      <c:layout>
        <c:manualLayout>
          <c:layoutTarget val="inner"/>
          <c:xMode val="edge"/>
          <c:yMode val="edge"/>
          <c:x val="0.20151126942465525"/>
          <c:y val="7.1030436748105719E-2"/>
          <c:w val="0.76672065297393377"/>
          <c:h val="0.85519064294341096"/>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2"/>
            <c:invertIfNegative val="0"/>
            <c:bubble3D val="0"/>
            <c:extLst>
              <c:ext xmlns:c16="http://schemas.microsoft.com/office/drawing/2014/chart" uri="{C3380CC4-5D6E-409C-BE32-E72D297353CC}">
                <c16:uniqueId val="{00000001-2674-4696-A20F-9F95482C404A}"/>
              </c:ext>
            </c:extLst>
          </c:dPt>
          <c:dPt>
            <c:idx val="3"/>
            <c:invertIfNegative val="0"/>
            <c:bubble3D val="0"/>
            <c:extLst>
              <c:ext xmlns:c16="http://schemas.microsoft.com/office/drawing/2014/chart" uri="{C3380CC4-5D6E-409C-BE32-E72D297353CC}">
                <c16:uniqueId val="{00000003-2674-4696-A20F-9F95482C404A}"/>
              </c:ext>
            </c:extLst>
          </c:dPt>
          <c:dPt>
            <c:idx val="4"/>
            <c:invertIfNegative val="0"/>
            <c:bubble3D val="0"/>
            <c:extLst>
              <c:ext xmlns:c16="http://schemas.microsoft.com/office/drawing/2014/chart" uri="{C3380CC4-5D6E-409C-BE32-E72D297353CC}">
                <c16:uniqueId val="{00000005-2674-4696-A20F-9F95482C404A}"/>
              </c:ext>
            </c:extLst>
          </c:dPt>
          <c:dPt>
            <c:idx val="6"/>
            <c:invertIfNegative val="0"/>
            <c:bubble3D val="0"/>
            <c:extLst>
              <c:ext xmlns:c16="http://schemas.microsoft.com/office/drawing/2014/chart" uri="{C3380CC4-5D6E-409C-BE32-E72D297353CC}">
                <c16:uniqueId val="{00000007-2674-4696-A20F-9F95482C404A}"/>
              </c:ext>
            </c:extLst>
          </c:dPt>
          <c:dPt>
            <c:idx val="7"/>
            <c:invertIfNegative val="0"/>
            <c:bubble3D val="0"/>
            <c:extLst>
              <c:ext xmlns:c16="http://schemas.microsoft.com/office/drawing/2014/chart" uri="{C3380CC4-5D6E-409C-BE32-E72D297353CC}">
                <c16:uniqueId val="{00000009-2674-4696-A20F-9F95482C404A}"/>
              </c:ext>
            </c:extLst>
          </c:dPt>
          <c:dPt>
            <c:idx val="8"/>
            <c:invertIfNegative val="0"/>
            <c:bubble3D val="0"/>
            <c:extLst>
              <c:ext xmlns:c16="http://schemas.microsoft.com/office/drawing/2014/chart" uri="{C3380CC4-5D6E-409C-BE32-E72D297353CC}">
                <c16:uniqueId val="{0000000B-2674-4696-A20F-9F95482C404A}"/>
              </c:ext>
            </c:extLst>
          </c:dPt>
          <c:dPt>
            <c:idx val="11"/>
            <c:invertIfNegative val="0"/>
            <c:bubble3D val="0"/>
            <c:extLst>
              <c:ext xmlns:c16="http://schemas.microsoft.com/office/drawing/2014/chart" uri="{C3380CC4-5D6E-409C-BE32-E72D297353CC}">
                <c16:uniqueId val="{0000000D-2674-4696-A20F-9F95482C404A}"/>
              </c:ext>
            </c:extLst>
          </c:dPt>
          <c:dPt>
            <c:idx val="13"/>
            <c:invertIfNegative val="0"/>
            <c:bubble3D val="0"/>
            <c:extLst>
              <c:ext xmlns:c16="http://schemas.microsoft.com/office/drawing/2014/chart" uri="{C3380CC4-5D6E-409C-BE32-E72D297353CC}">
                <c16:uniqueId val="{0000000F-2674-4696-A20F-9F95482C404A}"/>
              </c:ext>
            </c:extLst>
          </c:dPt>
          <c:dPt>
            <c:idx val="15"/>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1-2674-4696-A20F-9F95482C404A}"/>
              </c:ext>
            </c:extLst>
          </c:dPt>
          <c:dPt>
            <c:idx val="1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3-2674-4696-A20F-9F95482C404A}"/>
              </c:ext>
            </c:extLst>
          </c:dPt>
          <c:dPt>
            <c:idx val="1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15-2674-4696-A20F-9F95482C404A}"/>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List1!$A$2:$A$19</c:f>
              <c:strCache>
                <c:ptCount val="18"/>
                <c:pt idx="0">
                  <c:v>Lipovec</c:v>
                </c:pt>
                <c:pt idx="1">
                  <c:v>Ostrov u Macochy</c:v>
                </c:pt>
                <c:pt idx="2">
                  <c:v>Jedovnice</c:v>
                </c:pt>
                <c:pt idx="3">
                  <c:v>Kotvrdovice</c:v>
                </c:pt>
                <c:pt idx="4">
                  <c:v>Křtiny</c:v>
                </c:pt>
                <c:pt idx="5">
                  <c:v>Lipůvka</c:v>
                </c:pt>
                <c:pt idx="6">
                  <c:v>Bořitov</c:v>
                </c:pt>
                <c:pt idx="7">
                  <c:v>Bukovinka</c:v>
                </c:pt>
                <c:pt idx="8">
                  <c:v>Doubravice nad Svitavou</c:v>
                </c:pt>
                <c:pt idx="9">
                  <c:v>Rájec-Jestřebí</c:v>
                </c:pt>
                <c:pt idx="10">
                  <c:v>Šebrov-Kateřina</c:v>
                </c:pt>
                <c:pt idx="11">
                  <c:v>Krasová</c:v>
                </c:pt>
                <c:pt idx="12">
                  <c:v>Olomučany</c:v>
                </c:pt>
                <c:pt idx="13">
                  <c:v>Černá Hora</c:v>
                </c:pt>
                <c:pt idx="14">
                  <c:v>Kuničky</c:v>
                </c:pt>
                <c:pt idx="15">
                  <c:v>Adamov</c:v>
                </c:pt>
                <c:pt idx="16">
                  <c:v>Ráječko</c:v>
                </c:pt>
                <c:pt idx="17">
                  <c:v>Blansko</c:v>
                </c:pt>
              </c:strCache>
            </c:strRef>
          </c:cat>
          <c:val>
            <c:numRef>
              <c:f>List1!$B$2:$B$19</c:f>
              <c:numCache>
                <c:formatCode>0.0%</c:formatCode>
                <c:ptCount val="18"/>
                <c:pt idx="0">
                  <c:v>8.0000000000000002E-3</c:v>
                </c:pt>
                <c:pt idx="1">
                  <c:v>8.9999999999999993E-3</c:v>
                </c:pt>
                <c:pt idx="2">
                  <c:v>1.2E-2</c:v>
                </c:pt>
                <c:pt idx="3">
                  <c:v>1.2999999999999999E-2</c:v>
                </c:pt>
                <c:pt idx="4">
                  <c:v>1.2999999999999999E-2</c:v>
                </c:pt>
                <c:pt idx="5">
                  <c:v>1.6E-2</c:v>
                </c:pt>
                <c:pt idx="6">
                  <c:v>1.7999999999999999E-2</c:v>
                </c:pt>
                <c:pt idx="7">
                  <c:v>1.7999999999999999E-2</c:v>
                </c:pt>
                <c:pt idx="8">
                  <c:v>1.7999999999999999E-2</c:v>
                </c:pt>
                <c:pt idx="9">
                  <c:v>1.9E-2</c:v>
                </c:pt>
                <c:pt idx="10">
                  <c:v>0.02</c:v>
                </c:pt>
                <c:pt idx="11">
                  <c:v>2.1000000000000001E-2</c:v>
                </c:pt>
                <c:pt idx="12">
                  <c:v>2.5999999999999999E-2</c:v>
                </c:pt>
                <c:pt idx="13">
                  <c:v>3.3000000000000002E-2</c:v>
                </c:pt>
                <c:pt idx="14">
                  <c:v>3.5999999999999997E-2</c:v>
                </c:pt>
                <c:pt idx="15">
                  <c:v>0.04</c:v>
                </c:pt>
                <c:pt idx="16">
                  <c:v>4.2000000000000003E-2</c:v>
                </c:pt>
                <c:pt idx="17">
                  <c:v>4.2999999999999997E-2</c:v>
                </c:pt>
              </c:numCache>
            </c:numRef>
          </c:val>
          <c:extLst>
            <c:ext xmlns:c16="http://schemas.microsoft.com/office/drawing/2014/chart" uri="{C3380CC4-5D6E-409C-BE32-E72D297353CC}">
              <c16:uniqueId val="{00000016-2674-4696-A20F-9F95482C404A}"/>
            </c:ext>
          </c:extLst>
        </c:ser>
        <c:dLbls>
          <c:dLblPos val="inEnd"/>
          <c:showLegendKey val="0"/>
          <c:showVal val="1"/>
          <c:showCatName val="0"/>
          <c:showSerName val="0"/>
          <c:showPercent val="0"/>
          <c:showBubbleSize val="0"/>
        </c:dLbls>
        <c:gapWidth val="145"/>
        <c:overlap val="-50"/>
        <c:axId val="438144736"/>
        <c:axId val="438146696"/>
      </c:barChart>
      <c:catAx>
        <c:axId val="438144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6696"/>
        <c:crosses val="autoZero"/>
        <c:auto val="1"/>
        <c:lblAlgn val="ctr"/>
        <c:lblOffset val="100"/>
        <c:noMultiLvlLbl val="0"/>
      </c:catAx>
      <c:valAx>
        <c:axId val="438146696"/>
        <c:scaling>
          <c:orientation val="minMax"/>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effectLst/>
                <a:latin typeface="Arial Narrow" panose="020B0606020202030204" pitchFamily="34" charset="0"/>
                <a:ea typeface="+mn-ea"/>
                <a:cs typeface="+mn-cs"/>
              </a:defRPr>
            </a:pPr>
            <a:r>
              <a:rPr lang="en-US" sz="1000">
                <a:effectLst/>
              </a:rPr>
              <a:t>Podíl </a:t>
            </a:r>
            <a:r>
              <a:rPr lang="cs-CZ" sz="1000" b="1" i="0" u="none" strike="noStrike" cap="none" baseline="0">
                <a:effectLst/>
              </a:rPr>
              <a:t>osob s jinou než českou státní příslušností </a:t>
            </a:r>
            <a:r>
              <a:rPr lang="en-US" sz="1000">
                <a:effectLst/>
              </a:rPr>
              <a:t> na celkovém počtu obyvatel</a:t>
            </a:r>
            <a:r>
              <a:rPr lang="cs-CZ" sz="1000">
                <a:effectLst/>
              </a:rPr>
              <a:t> k 1. 1. 2023</a:t>
            </a:r>
            <a:endParaRPr lang="en-US" sz="1000">
              <a:effectLst/>
            </a:endParaRPr>
          </a:p>
        </c:rich>
      </c:tx>
      <c:layout>
        <c:manualLayout>
          <c:xMode val="edge"/>
          <c:yMode val="edge"/>
          <c:x val="0.11946753183629825"/>
          <c:y val="0"/>
        </c:manualLayout>
      </c:layout>
      <c:overlay val="0"/>
      <c:spPr>
        <a:noFill/>
        <a:ln>
          <a:noFill/>
        </a:ln>
        <a:effectLst/>
      </c:spPr>
    </c:title>
    <c:autoTitleDeleted val="0"/>
    <c:plotArea>
      <c:layout>
        <c:manualLayout>
          <c:layoutTarget val="inner"/>
          <c:xMode val="edge"/>
          <c:yMode val="edge"/>
          <c:x val="0.20548716132705633"/>
          <c:y val="4.9577473336064208E-2"/>
          <c:w val="0.76274476107153277"/>
          <c:h val="0.8840642035130224"/>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lumMod val="75000"/>
              </a:schemeClr>
            </a:solidFill>
            <a:ln w="9525" cap="flat" cmpd="sng" algn="ctr">
              <a:solidFill>
                <a:schemeClr val="tx2">
                  <a:lumMod val="60000"/>
                  <a:lumOff val="40000"/>
                </a:schemeClr>
              </a:solidFill>
              <a:miter lim="800000"/>
            </a:ln>
            <a:effectLst/>
          </c:spPr>
          <c:invertIfNegative val="0"/>
          <c:dPt>
            <c:idx val="0"/>
            <c:invertIfNegative val="0"/>
            <c:bubble3D val="0"/>
            <c:extLst>
              <c:ext xmlns:c16="http://schemas.microsoft.com/office/drawing/2014/chart" uri="{C3380CC4-5D6E-409C-BE32-E72D297353CC}">
                <c16:uniqueId val="{00000000-5CDC-48E2-8F8F-01A3D1F9BA55}"/>
              </c:ext>
            </c:extLst>
          </c:dPt>
          <c:dPt>
            <c:idx val="1"/>
            <c:invertIfNegative val="0"/>
            <c:bubble3D val="0"/>
            <c:extLst>
              <c:ext xmlns:c16="http://schemas.microsoft.com/office/drawing/2014/chart" uri="{C3380CC4-5D6E-409C-BE32-E72D297353CC}">
                <c16:uniqueId val="{00000001-5CDC-48E2-8F8F-01A3D1F9BA55}"/>
              </c:ext>
            </c:extLst>
          </c:dPt>
          <c:dPt>
            <c:idx val="2"/>
            <c:invertIfNegative val="0"/>
            <c:bubble3D val="0"/>
            <c:extLst>
              <c:ext xmlns:c16="http://schemas.microsoft.com/office/drawing/2014/chart" uri="{C3380CC4-5D6E-409C-BE32-E72D297353CC}">
                <c16:uniqueId val="{00000002-5CDC-48E2-8F8F-01A3D1F9BA55}"/>
              </c:ext>
            </c:extLst>
          </c:dPt>
          <c:dPt>
            <c:idx val="3"/>
            <c:invertIfNegative val="0"/>
            <c:bubble3D val="0"/>
            <c:extLst>
              <c:ext xmlns:c16="http://schemas.microsoft.com/office/drawing/2014/chart" uri="{C3380CC4-5D6E-409C-BE32-E72D297353CC}">
                <c16:uniqueId val="{00000003-5CDC-48E2-8F8F-01A3D1F9BA55}"/>
              </c:ext>
            </c:extLst>
          </c:dPt>
          <c:dPt>
            <c:idx val="6"/>
            <c:invertIfNegative val="0"/>
            <c:bubble3D val="0"/>
            <c:extLst>
              <c:ext xmlns:c16="http://schemas.microsoft.com/office/drawing/2014/chart" uri="{C3380CC4-5D6E-409C-BE32-E72D297353CC}">
                <c16:uniqueId val="{00000004-5CDC-48E2-8F8F-01A3D1F9BA55}"/>
              </c:ext>
            </c:extLst>
          </c:dPt>
          <c:dPt>
            <c:idx val="9"/>
            <c:invertIfNegative val="0"/>
            <c:bubble3D val="0"/>
            <c:extLst>
              <c:ext xmlns:c16="http://schemas.microsoft.com/office/drawing/2014/chart" uri="{C3380CC4-5D6E-409C-BE32-E72D297353CC}">
                <c16:uniqueId val="{00000005-5CDC-48E2-8F8F-01A3D1F9BA55}"/>
              </c:ext>
            </c:extLst>
          </c:dPt>
          <c:dPt>
            <c:idx val="11"/>
            <c:invertIfNegative val="0"/>
            <c:bubble3D val="0"/>
            <c:extLst>
              <c:ext xmlns:c16="http://schemas.microsoft.com/office/drawing/2014/chart" uri="{C3380CC4-5D6E-409C-BE32-E72D297353CC}">
                <c16:uniqueId val="{00000006-5CDC-48E2-8F8F-01A3D1F9BA55}"/>
              </c:ext>
            </c:extLst>
          </c:dPt>
          <c:dPt>
            <c:idx val="12"/>
            <c:invertIfNegative val="0"/>
            <c:bubble3D val="0"/>
            <c:extLst>
              <c:ext xmlns:c16="http://schemas.microsoft.com/office/drawing/2014/chart" uri="{C3380CC4-5D6E-409C-BE32-E72D297353CC}">
                <c16:uniqueId val="{00000007-5CDC-48E2-8F8F-01A3D1F9BA55}"/>
              </c:ext>
            </c:extLst>
          </c:dPt>
          <c:dPt>
            <c:idx val="13"/>
            <c:invertIfNegative val="0"/>
            <c:bubble3D val="0"/>
            <c:extLst>
              <c:ext xmlns:c16="http://schemas.microsoft.com/office/drawing/2014/chart" uri="{C3380CC4-5D6E-409C-BE32-E72D297353CC}">
                <c16:uniqueId val="{00000008-5CDC-48E2-8F8F-01A3D1F9BA55}"/>
              </c:ext>
            </c:extLst>
          </c:dPt>
          <c:dPt>
            <c:idx val="14"/>
            <c:invertIfNegative val="0"/>
            <c:bubble3D val="0"/>
            <c:extLst>
              <c:ext xmlns:c16="http://schemas.microsoft.com/office/drawing/2014/chart" uri="{C3380CC4-5D6E-409C-BE32-E72D297353CC}">
                <c16:uniqueId val="{00000009-5CDC-48E2-8F8F-01A3D1F9BA55}"/>
              </c:ext>
            </c:extLst>
          </c:dPt>
          <c:dPt>
            <c:idx val="15"/>
            <c:invertIfNegative val="0"/>
            <c:bubble3D val="0"/>
            <c:extLst>
              <c:ext xmlns:c16="http://schemas.microsoft.com/office/drawing/2014/chart" uri="{C3380CC4-5D6E-409C-BE32-E72D297353CC}">
                <c16:uniqueId val="{0000000A-5CDC-48E2-8F8F-01A3D1F9BA55}"/>
              </c:ext>
            </c:extLst>
          </c:dPt>
          <c:dPt>
            <c:idx val="17"/>
            <c:invertIfNegative val="0"/>
            <c:bubble3D val="0"/>
            <c:spPr>
              <a:solidFill>
                <a:srgbClr val="C00000"/>
              </a:solidFill>
              <a:ln w="9525" cap="flat" cmpd="sng" algn="ctr">
                <a:solidFill>
                  <a:schemeClr val="tx2">
                    <a:lumMod val="60000"/>
                    <a:lumOff val="40000"/>
                  </a:schemeClr>
                </a:solidFill>
                <a:miter lim="800000"/>
              </a:ln>
              <a:effectLst/>
            </c:spPr>
            <c:extLst>
              <c:ext xmlns:c16="http://schemas.microsoft.com/office/drawing/2014/chart" uri="{C3380CC4-5D6E-409C-BE32-E72D297353CC}">
                <c16:uniqueId val="{0000000C-5CDC-48E2-8F8F-01A3D1F9BA55}"/>
              </c:ext>
            </c:extLst>
          </c:dPt>
          <c:dPt>
            <c:idx val="18"/>
            <c:invertIfNegative val="0"/>
            <c:bubble3D val="0"/>
            <c:spPr>
              <a:solidFill>
                <a:srgbClr val="C00000"/>
              </a:solidFill>
              <a:ln w="9525" cap="flat" cmpd="sng" algn="ctr">
                <a:solidFill>
                  <a:schemeClr val="tx2">
                    <a:lumMod val="60000"/>
                    <a:lumOff val="40000"/>
                  </a:schemeClr>
                </a:solidFill>
                <a:miter lim="800000"/>
              </a:ln>
              <a:effectLst/>
            </c:spPr>
            <c:extLst>
              <c:ext xmlns:c16="http://schemas.microsoft.com/office/drawing/2014/chart" uri="{C3380CC4-5D6E-409C-BE32-E72D297353CC}">
                <c16:uniqueId val="{0000000E-5CDC-48E2-8F8F-01A3D1F9BA55}"/>
              </c:ext>
            </c:extLst>
          </c:dPt>
          <c:dPt>
            <c:idx val="19"/>
            <c:invertIfNegative val="0"/>
            <c:bubble3D val="0"/>
            <c:spPr>
              <a:solidFill>
                <a:srgbClr val="C00000"/>
              </a:solidFill>
              <a:ln w="9525" cap="flat" cmpd="sng" algn="ctr">
                <a:solidFill>
                  <a:schemeClr val="tx2">
                    <a:lumMod val="60000"/>
                    <a:lumOff val="40000"/>
                  </a:schemeClr>
                </a:solidFill>
                <a:miter lim="800000"/>
              </a:ln>
              <a:effectLst/>
            </c:spPr>
            <c:extLst>
              <c:ext xmlns:c16="http://schemas.microsoft.com/office/drawing/2014/chart" uri="{C3380CC4-5D6E-409C-BE32-E72D297353CC}">
                <c16:uniqueId val="{00000010-5CDC-48E2-8F8F-01A3D1F9BA55}"/>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strRef>
              <c:f>List1!$A$2:$A$21</c:f>
              <c:strCache>
                <c:ptCount val="20"/>
                <c:pt idx="0">
                  <c:v>Ostrov u Macochy</c:v>
                </c:pt>
                <c:pt idx="1">
                  <c:v>Bořitov</c:v>
                </c:pt>
                <c:pt idx="2">
                  <c:v>Rudice</c:v>
                </c:pt>
                <c:pt idx="3">
                  <c:v>Lipovec</c:v>
                </c:pt>
                <c:pt idx="4">
                  <c:v>Rájec-Jestřebí</c:v>
                </c:pt>
                <c:pt idx="5">
                  <c:v>Petrovice</c:v>
                </c:pt>
                <c:pt idx="6">
                  <c:v>Doubravice nad Svitavou</c:v>
                </c:pt>
                <c:pt idx="7">
                  <c:v>Křtiny</c:v>
                </c:pt>
                <c:pt idx="8">
                  <c:v>Lipůvka</c:v>
                </c:pt>
                <c:pt idx="9">
                  <c:v>Bukovinka</c:v>
                </c:pt>
                <c:pt idx="10">
                  <c:v>Olomučany</c:v>
                </c:pt>
                <c:pt idx="11">
                  <c:v>Černá Hora</c:v>
                </c:pt>
                <c:pt idx="12">
                  <c:v>Sloup</c:v>
                </c:pt>
                <c:pt idx="13">
                  <c:v>Ráječko</c:v>
                </c:pt>
                <c:pt idx="14">
                  <c:v>Lažany</c:v>
                </c:pt>
                <c:pt idx="15">
                  <c:v>Adamov</c:v>
                </c:pt>
                <c:pt idx="16">
                  <c:v>Jedovnice</c:v>
                </c:pt>
                <c:pt idx="17">
                  <c:v>Blansko</c:v>
                </c:pt>
                <c:pt idx="18">
                  <c:v>Žernovník</c:v>
                </c:pt>
                <c:pt idx="19">
                  <c:v>Šebrov-Kateřina</c:v>
                </c:pt>
              </c:strCache>
            </c:strRef>
          </c:cat>
          <c:val>
            <c:numRef>
              <c:f>List1!$B$2:$B$21</c:f>
              <c:numCache>
                <c:formatCode>0.00%</c:formatCode>
                <c:ptCount val="20"/>
                <c:pt idx="0">
                  <c:v>1.9021739130434784E-2</c:v>
                </c:pt>
                <c:pt idx="1">
                  <c:v>1.95160031225605E-2</c:v>
                </c:pt>
                <c:pt idx="2">
                  <c:v>2.1450459652706845E-2</c:v>
                </c:pt>
                <c:pt idx="3">
                  <c:v>2.8571428571428571E-2</c:v>
                </c:pt>
                <c:pt idx="4">
                  <c:v>3.1045751633986929E-2</c:v>
                </c:pt>
                <c:pt idx="5">
                  <c:v>3.1055900621118012E-2</c:v>
                </c:pt>
                <c:pt idx="6">
                  <c:v>3.4256559766763846E-2</c:v>
                </c:pt>
                <c:pt idx="7">
                  <c:v>3.5452322738386305E-2</c:v>
                </c:pt>
                <c:pt idx="8">
                  <c:v>4.0889526542324243E-2</c:v>
                </c:pt>
                <c:pt idx="9">
                  <c:v>4.3973941368078175E-2</c:v>
                </c:pt>
                <c:pt idx="10">
                  <c:v>4.5155221072436504E-2</c:v>
                </c:pt>
                <c:pt idx="11">
                  <c:v>4.8620850864890139E-2</c:v>
                </c:pt>
                <c:pt idx="12">
                  <c:v>5.4968287526427059E-2</c:v>
                </c:pt>
                <c:pt idx="13">
                  <c:v>5.7538237436270942E-2</c:v>
                </c:pt>
                <c:pt idx="14">
                  <c:v>6.7146282973621102E-2</c:v>
                </c:pt>
                <c:pt idx="15">
                  <c:v>7.5863626100699938E-2</c:v>
                </c:pt>
                <c:pt idx="16">
                  <c:v>7.7361853832442068E-2</c:v>
                </c:pt>
                <c:pt idx="17">
                  <c:v>8.3641897032716211E-2</c:v>
                </c:pt>
                <c:pt idx="18">
                  <c:v>8.7452471482889732E-2</c:v>
                </c:pt>
                <c:pt idx="19">
                  <c:v>8.8164251207729472E-2</c:v>
                </c:pt>
              </c:numCache>
            </c:numRef>
          </c:val>
          <c:extLst>
            <c:ext xmlns:c16="http://schemas.microsoft.com/office/drawing/2014/chart" uri="{C3380CC4-5D6E-409C-BE32-E72D297353CC}">
              <c16:uniqueId val="{00000011-5CDC-48E2-8F8F-01A3D1F9BA55}"/>
            </c:ext>
          </c:extLst>
        </c:ser>
        <c:dLbls>
          <c:dLblPos val="inEnd"/>
          <c:showLegendKey val="0"/>
          <c:showVal val="1"/>
          <c:showCatName val="0"/>
          <c:showSerName val="0"/>
          <c:showPercent val="0"/>
          <c:showBubbleSize val="0"/>
        </c:dLbls>
        <c:gapWidth val="112"/>
        <c:overlap val="-50"/>
        <c:axId val="438148656"/>
        <c:axId val="438142384"/>
      </c:barChart>
      <c:catAx>
        <c:axId val="438148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2384"/>
        <c:crosses val="autoZero"/>
        <c:auto val="1"/>
        <c:lblAlgn val="ctr"/>
        <c:lblOffset val="100"/>
        <c:noMultiLvlLbl val="0"/>
      </c:catAx>
      <c:valAx>
        <c:axId val="438142384"/>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solidFill>
            <a:schemeClr val="tx1"/>
          </a:solidFill>
          <a:latin typeface="Arial Narrow" panose="020B0606020202030204" pitchFamily="34" charset="0"/>
        </a:defRPr>
      </a:pPr>
      <a:endParaRPr lang="cs-CZ"/>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tx1"/>
                </a:solidFill>
                <a:latin typeface="Arial Narrow" panose="020B0606020202030204" pitchFamily="34" charset="0"/>
                <a:ea typeface="+mn-ea"/>
                <a:cs typeface="+mn-cs"/>
              </a:defRPr>
            </a:pPr>
            <a:r>
              <a:rPr lang="cs-CZ" sz="1000"/>
              <a:t>Vývoj</a:t>
            </a:r>
            <a:r>
              <a:rPr lang="cs-CZ" sz="1000" baseline="0"/>
              <a:t> p</a:t>
            </a:r>
            <a:r>
              <a:rPr lang="en-US" sz="1000"/>
              <a:t>odíl</a:t>
            </a:r>
            <a:r>
              <a:rPr lang="cs-CZ" sz="1000"/>
              <a:t>u</a:t>
            </a:r>
            <a:r>
              <a:rPr lang="cs-CZ" sz="1000" baseline="0"/>
              <a:t> </a:t>
            </a:r>
            <a:r>
              <a:rPr lang="cs-CZ" sz="1000" b="1" i="0" u="none" strike="noStrike" cap="none" baseline="0">
                <a:effectLst/>
              </a:rPr>
              <a:t>osob s jinou než českou státní příslušností</a:t>
            </a:r>
            <a:r>
              <a:rPr lang="en-US" sz="1000"/>
              <a:t> na celkovém počtu obyvatel</a:t>
            </a:r>
            <a:r>
              <a:rPr lang="cs-CZ" sz="1000"/>
              <a:t> obce Šebrov-Kateřina</a:t>
            </a:r>
            <a:r>
              <a:rPr lang="cs-CZ" sz="1000" baseline="0"/>
              <a:t> </a:t>
            </a:r>
            <a:r>
              <a:rPr lang="cs-CZ" sz="1000"/>
              <a:t>v letech 2006-2023</a:t>
            </a:r>
            <a:endParaRPr lang="en-US" sz="1000"/>
          </a:p>
        </c:rich>
      </c:tx>
      <c:layout>
        <c:manualLayout>
          <c:xMode val="edge"/>
          <c:yMode val="edge"/>
          <c:x val="0.13049045952589261"/>
          <c:y val="0"/>
        </c:manualLayout>
      </c:layout>
      <c:overlay val="0"/>
      <c:spPr>
        <a:noFill/>
        <a:ln>
          <a:noFill/>
        </a:ln>
        <a:effectLst/>
      </c:spPr>
    </c:title>
    <c:autoTitleDeleted val="0"/>
    <c:plotArea>
      <c:layout>
        <c:manualLayout>
          <c:layoutTarget val="inner"/>
          <c:xMode val="edge"/>
          <c:yMode val="edge"/>
          <c:x val="7.0649328556152718E-2"/>
          <c:y val="0.16027222260934199"/>
          <c:w val="0.89049493813273339"/>
          <c:h val="0.69981882795623995"/>
        </c:manualLayout>
      </c:layout>
      <c:barChart>
        <c:barDir val="bar"/>
        <c:grouping val="clustered"/>
        <c:varyColors val="0"/>
        <c:ser>
          <c:idx val="0"/>
          <c:order val="0"/>
          <c:tx>
            <c:strRef>
              <c:f>List1!$B$1</c:f>
              <c:strCache>
                <c:ptCount val="1"/>
                <c:pt idx="0">
                  <c:v>Podíl cizinců na celkovém počtu obyvatel v %</c:v>
                </c:pt>
              </c:strCache>
            </c:strRef>
          </c:tx>
          <c:spPr>
            <a:solidFill>
              <a:schemeClr val="tx2"/>
            </a:solidFill>
            <a:ln w="9525" cap="flat" cmpd="sng" algn="ctr">
              <a:noFill/>
              <a:miter lim="800000"/>
            </a:ln>
            <a:effectLst/>
          </c:spPr>
          <c:invertIfNegative val="0"/>
          <c:dPt>
            <c:idx val="0"/>
            <c:invertIfNegative val="0"/>
            <c:bubble3D val="0"/>
            <c:extLst>
              <c:ext xmlns:c16="http://schemas.microsoft.com/office/drawing/2014/chart" uri="{C3380CC4-5D6E-409C-BE32-E72D297353CC}">
                <c16:uniqueId val="{00000000-6B22-4D36-AAAA-5FDC9F019B0C}"/>
              </c:ext>
            </c:extLst>
          </c:dPt>
          <c:dPt>
            <c:idx val="2"/>
            <c:invertIfNegative val="0"/>
            <c:bubble3D val="0"/>
            <c:extLst>
              <c:ext xmlns:c16="http://schemas.microsoft.com/office/drawing/2014/chart" uri="{C3380CC4-5D6E-409C-BE32-E72D297353CC}">
                <c16:uniqueId val="{00000001-6B22-4D36-AAAA-5FDC9F019B0C}"/>
              </c:ext>
            </c:extLst>
          </c:dPt>
          <c:dPt>
            <c:idx val="3"/>
            <c:invertIfNegative val="0"/>
            <c:bubble3D val="0"/>
            <c:extLst>
              <c:ext xmlns:c16="http://schemas.microsoft.com/office/drawing/2014/chart" uri="{C3380CC4-5D6E-409C-BE32-E72D297353CC}">
                <c16:uniqueId val="{00000002-6B22-4D36-AAAA-5FDC9F019B0C}"/>
              </c:ext>
            </c:extLst>
          </c:dPt>
          <c:dPt>
            <c:idx val="4"/>
            <c:invertIfNegative val="0"/>
            <c:bubble3D val="0"/>
            <c:extLst>
              <c:ext xmlns:c16="http://schemas.microsoft.com/office/drawing/2014/chart" uri="{C3380CC4-5D6E-409C-BE32-E72D297353CC}">
                <c16:uniqueId val="{00000003-6B22-4D36-AAAA-5FDC9F019B0C}"/>
              </c:ext>
            </c:extLst>
          </c:dPt>
          <c:dPt>
            <c:idx val="5"/>
            <c:invertIfNegative val="0"/>
            <c:bubble3D val="0"/>
            <c:spPr>
              <a:solidFill>
                <a:schemeClr val="accent1">
                  <a:lumMod val="75000"/>
                </a:schemeClr>
              </a:solidFill>
              <a:ln w="9525" cap="flat" cmpd="sng" algn="ctr">
                <a:noFill/>
                <a:miter lim="800000"/>
              </a:ln>
              <a:effectLst/>
            </c:spPr>
            <c:extLst>
              <c:ext xmlns:c16="http://schemas.microsoft.com/office/drawing/2014/chart" uri="{C3380CC4-5D6E-409C-BE32-E72D297353CC}">
                <c16:uniqueId val="{00000005-6B22-4D36-AAAA-5FDC9F019B0C}"/>
              </c:ext>
            </c:extLst>
          </c:dPt>
          <c:dPt>
            <c:idx val="6"/>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7-6B22-4D36-AAAA-5FDC9F019B0C}"/>
              </c:ext>
            </c:extLst>
          </c:dPt>
          <c:dPt>
            <c:idx val="7"/>
            <c:invertIfNegative val="0"/>
            <c:bubble3D val="0"/>
            <c:spPr>
              <a:solidFill>
                <a:srgbClr val="C00000"/>
              </a:solidFill>
              <a:ln w="9525" cap="flat" cmpd="sng" algn="ctr">
                <a:noFill/>
                <a:miter lim="800000"/>
              </a:ln>
              <a:effectLst/>
            </c:spPr>
            <c:extLst>
              <c:ext xmlns:c16="http://schemas.microsoft.com/office/drawing/2014/chart" uri="{C3380CC4-5D6E-409C-BE32-E72D297353CC}">
                <c16:uniqueId val="{00000009-6B22-4D36-AAAA-5FDC9F019B0C}"/>
              </c:ext>
            </c:extLst>
          </c:dPt>
          <c:dLbls>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lt1">
                          <a:lumMod val="50000"/>
                        </a:schemeClr>
                      </a:solidFill>
                      <a:round/>
                    </a:ln>
                    <a:effectLst/>
                  </c:spPr>
                </c15:leaderLines>
              </c:ext>
            </c:extLst>
          </c:dLbls>
          <c:cat>
            <c:numRef>
              <c:f>List1!$A$2:$A$8</c:f>
              <c:numCache>
                <c:formatCode>General</c:formatCode>
                <c:ptCount val="7"/>
                <c:pt idx="0">
                  <c:v>2006</c:v>
                </c:pt>
                <c:pt idx="1">
                  <c:v>2010</c:v>
                </c:pt>
                <c:pt idx="2">
                  <c:v>2015</c:v>
                </c:pt>
                <c:pt idx="3">
                  <c:v>2020</c:v>
                </c:pt>
                <c:pt idx="4">
                  <c:v>2021</c:v>
                </c:pt>
                <c:pt idx="5">
                  <c:v>2022</c:v>
                </c:pt>
                <c:pt idx="6">
                  <c:v>2023</c:v>
                </c:pt>
              </c:numCache>
            </c:numRef>
          </c:cat>
          <c:val>
            <c:numRef>
              <c:f>List1!$B$2:$B$8</c:f>
              <c:numCache>
                <c:formatCode>0.00%</c:formatCode>
                <c:ptCount val="7"/>
                <c:pt idx="0">
                  <c:v>2.0999999999999999E-3</c:v>
                </c:pt>
                <c:pt idx="1">
                  <c:v>1.4999999999999999E-2</c:v>
                </c:pt>
                <c:pt idx="2">
                  <c:v>1.54E-2</c:v>
                </c:pt>
                <c:pt idx="3">
                  <c:v>1.7600000000000001E-2</c:v>
                </c:pt>
                <c:pt idx="4">
                  <c:v>1.47E-2</c:v>
                </c:pt>
                <c:pt idx="5">
                  <c:v>1.9512195121951219E-2</c:v>
                </c:pt>
                <c:pt idx="6">
                  <c:v>8.8200000000000001E-2</c:v>
                </c:pt>
              </c:numCache>
            </c:numRef>
          </c:val>
          <c:extLst>
            <c:ext xmlns:c16="http://schemas.microsoft.com/office/drawing/2014/chart" uri="{C3380CC4-5D6E-409C-BE32-E72D297353CC}">
              <c16:uniqueId val="{0000000A-6B22-4D36-AAAA-5FDC9F019B0C}"/>
            </c:ext>
          </c:extLst>
        </c:ser>
        <c:dLbls>
          <c:dLblPos val="inEnd"/>
          <c:showLegendKey val="0"/>
          <c:showVal val="1"/>
          <c:showCatName val="0"/>
          <c:showSerName val="0"/>
          <c:showPercent val="0"/>
          <c:showBubbleSize val="0"/>
        </c:dLbls>
        <c:gapWidth val="182"/>
        <c:overlap val="-50"/>
        <c:axId val="438141600"/>
        <c:axId val="438143168"/>
      </c:barChart>
      <c:catAx>
        <c:axId val="438141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3168"/>
        <c:crosses val="autoZero"/>
        <c:auto val="1"/>
        <c:lblAlgn val="ctr"/>
        <c:lblOffset val="100"/>
        <c:noMultiLvlLbl val="0"/>
      </c:catAx>
      <c:valAx>
        <c:axId val="438143168"/>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cs-CZ"/>
          </a:p>
        </c:txPr>
        <c:crossAx val="438141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sz="1000">
          <a:solidFill>
            <a:schemeClr val="tx1"/>
          </a:solidFill>
          <a:latin typeface="Arial Narrow" panose="020B0606020202030204" pitchFamily="34" charset="0"/>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FF22A-5C2F-4064-BC4A-022BC9D88418}"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cs-CZ"/>
        </a:p>
      </dgm:t>
    </dgm:pt>
    <dgm:pt modelId="{84101053-823D-4D50-97AD-E38A018C08BC}">
      <dgm:prSet phldrT="[Text]" custT="1"/>
      <dgm:spPr>
        <a:xfrm>
          <a:off x="182316" y="489036"/>
          <a:ext cx="1834128"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gm:spPr>
      <dgm:t>
        <a:bodyPr/>
        <a:lstStyle/>
        <a:p>
          <a:pPr>
            <a:buNone/>
          </a:pPr>
          <a:r>
            <a:rPr lang="cs-CZ" sz="900">
              <a:solidFill>
                <a:sysClr val="windowText" lastClr="000000"/>
              </a:solidFill>
              <a:latin typeface="Calibri" panose="020F0502020204030204"/>
              <a:ea typeface="+mn-ea"/>
              <a:cs typeface="+mn-cs"/>
            </a:rPr>
            <a:t>Praha			   </a:t>
          </a:r>
          <a:r>
            <a:rPr lang="cs-CZ" sz="1000" b="1">
              <a:solidFill>
                <a:sysClr val="windowText" lastClr="000000"/>
              </a:solidFill>
              <a:latin typeface="Calibri" panose="020F0502020204030204"/>
              <a:ea typeface="+mn-ea"/>
              <a:cs typeface="+mn-cs"/>
            </a:rPr>
            <a:t>31,0 %</a:t>
          </a:r>
          <a:endParaRPr lang="cs-CZ" sz="900" b="1">
            <a:solidFill>
              <a:sysClr val="windowText" lastClr="000000"/>
            </a:solidFill>
            <a:latin typeface="Calibri" panose="020F0502020204030204"/>
            <a:ea typeface="+mn-ea"/>
            <a:cs typeface="+mn-cs"/>
          </a:endParaRPr>
        </a:p>
      </dgm:t>
    </dgm:pt>
    <dgm:pt modelId="{498A444F-2AD1-4250-9254-9737A2472CC6}" type="parTrans" cxnId="{5BAA2257-3B92-44E8-97BF-1C389B58AA20}">
      <dgm:prSet/>
      <dgm:spPr/>
      <dgm:t>
        <a:bodyPr/>
        <a:lstStyle/>
        <a:p>
          <a:endParaRPr lang="cs-CZ"/>
        </a:p>
      </dgm:t>
    </dgm:pt>
    <dgm:pt modelId="{846C348E-842B-4477-BC27-A30CD3AEC718}" type="sibTrans" cxnId="{5BAA2257-3B92-44E8-97BF-1C389B58AA20}">
      <dgm:prSet/>
      <dgm:spPr>
        <a:xfrm>
          <a:off x="-2892560" y="-73027"/>
          <a:ext cx="3451230" cy="3451230"/>
        </a:xfrm>
        <a:prstGeom prst="blockArc">
          <a:avLst>
            <a:gd name="adj1" fmla="val 18900000"/>
            <a:gd name="adj2" fmla="val 2700000"/>
            <a:gd name="adj3" fmla="val 626"/>
          </a:avLst>
        </a:prstGeom>
        <a:noFill/>
        <a:ln w="12700" cap="flat" cmpd="sng" algn="ctr">
          <a:solidFill>
            <a:srgbClr val="4472C4">
              <a:shade val="60000"/>
              <a:hueOff val="0"/>
              <a:satOff val="0"/>
              <a:lumOff val="0"/>
              <a:alphaOff val="0"/>
            </a:srgbClr>
          </a:solidFill>
          <a:prstDash val="solid"/>
          <a:miter lim="800000"/>
        </a:ln>
        <a:effectLst/>
      </dgm:spPr>
      <dgm:t>
        <a:bodyPr/>
        <a:lstStyle/>
        <a:p>
          <a:endParaRPr lang="cs-CZ"/>
        </a:p>
      </dgm:t>
    </dgm:pt>
    <dgm:pt modelId="{69C0459C-DCD2-4ABC-BBAC-DCC8CBC31268}">
      <dgm:prSet phldrT="[Text]" custT="1"/>
      <dgm:spPr>
        <a:xfrm>
          <a:off x="508441" y="1187105"/>
          <a:ext cx="1508003"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gm:spPr>
      <dgm:t>
        <a:bodyPr/>
        <a:lstStyle/>
        <a:p>
          <a:pPr>
            <a:buNone/>
          </a:pPr>
          <a:r>
            <a:rPr lang="cs-CZ" sz="900">
              <a:solidFill>
                <a:sysClr val="windowText" lastClr="000000"/>
              </a:solidFill>
              <a:latin typeface="Calibri" panose="020F0502020204030204"/>
              <a:ea typeface="+mn-ea"/>
              <a:cs typeface="+mn-cs"/>
            </a:rPr>
            <a:t>Jihomoravský	       </a:t>
          </a:r>
          <a:r>
            <a:rPr lang="cs-CZ" sz="1000" b="1">
              <a:solidFill>
                <a:sysClr val="windowText" lastClr="000000"/>
              </a:solidFill>
              <a:latin typeface="Calibri" panose="020F0502020204030204"/>
              <a:ea typeface="+mn-ea"/>
              <a:cs typeface="+mn-cs"/>
            </a:rPr>
            <a:t>9,4 %</a:t>
          </a:r>
        </a:p>
      </dgm:t>
    </dgm:pt>
    <dgm:pt modelId="{7FFE59C1-A4F0-4DEA-9380-AB033DF0F0B1}" type="parTrans" cxnId="{DF154D46-C964-4BF6-A40F-67106A8CE685}">
      <dgm:prSet/>
      <dgm:spPr/>
      <dgm:t>
        <a:bodyPr/>
        <a:lstStyle/>
        <a:p>
          <a:endParaRPr lang="cs-CZ"/>
        </a:p>
      </dgm:t>
    </dgm:pt>
    <dgm:pt modelId="{7BCAF53B-C94B-485A-8CA0-D403C21E0915}" type="sibTrans" cxnId="{DF154D46-C964-4BF6-A40F-67106A8CE685}">
      <dgm:prSet/>
      <dgm:spPr/>
      <dgm:t>
        <a:bodyPr/>
        <a:lstStyle/>
        <a:p>
          <a:endParaRPr lang="cs-CZ"/>
        </a:p>
      </dgm:t>
    </dgm:pt>
    <dgm:pt modelId="{BCD828AE-F997-4240-A2C0-4910568C76C3}">
      <dgm:prSet phldrT="[Text]"/>
      <dgm:spPr>
        <a:xfrm>
          <a:off x="182316" y="2583500"/>
          <a:ext cx="1834128"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gm:spPr>
      <dgm:t>
        <a:bodyPr/>
        <a:lstStyle/>
        <a:p>
          <a:pPr>
            <a:buNone/>
          </a:pPr>
          <a:r>
            <a:rPr lang="cs-CZ">
              <a:solidFill>
                <a:sysClr val="windowText" lastClr="000000"/>
              </a:solidFill>
              <a:latin typeface="Calibri" panose="020F0502020204030204"/>
              <a:ea typeface="+mn-ea"/>
              <a:cs typeface="+mn-cs"/>
            </a:rPr>
            <a:t>Jihočeský 		</a:t>
          </a:r>
          <a:r>
            <a:rPr lang="cs-CZ" b="1">
              <a:solidFill>
                <a:sysClr val="windowText" lastClr="000000"/>
              </a:solidFill>
              <a:latin typeface="Calibri" panose="020F0502020204030204"/>
              <a:ea typeface="+mn-ea"/>
              <a:cs typeface="+mn-cs"/>
            </a:rPr>
            <a:t>4,2 %</a:t>
          </a:r>
        </a:p>
      </dgm:t>
    </dgm:pt>
    <dgm:pt modelId="{44530200-3B31-43D0-B996-A2DE99075288}" type="parTrans" cxnId="{A08E36DF-2F52-48B5-B88A-9DC27BCBB46B}">
      <dgm:prSet/>
      <dgm:spPr/>
      <dgm:t>
        <a:bodyPr/>
        <a:lstStyle/>
        <a:p>
          <a:endParaRPr lang="cs-CZ"/>
        </a:p>
      </dgm:t>
    </dgm:pt>
    <dgm:pt modelId="{87987FBA-0C28-4298-BF7C-203DEBE22059}" type="sibTrans" cxnId="{A08E36DF-2F52-48B5-B88A-9DC27BCBB46B}">
      <dgm:prSet/>
      <dgm:spPr/>
      <dgm:t>
        <a:bodyPr/>
        <a:lstStyle/>
        <a:p>
          <a:endParaRPr lang="cs-CZ"/>
        </a:p>
      </dgm:t>
    </dgm:pt>
    <dgm:pt modelId="{90133EB1-3B91-4629-BE6F-44E207ED75C0}">
      <dgm:prSet custT="1"/>
      <dgm:spPr>
        <a:xfrm>
          <a:off x="392992" y="838198"/>
          <a:ext cx="1623452"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gm:spPr>
      <dgm:t>
        <a:bodyPr/>
        <a:lstStyle/>
        <a:p>
          <a:pPr>
            <a:buNone/>
          </a:pPr>
          <a:r>
            <a:rPr lang="cs-CZ" sz="900">
              <a:solidFill>
                <a:sysClr val="windowText" lastClr="000000"/>
              </a:solidFill>
              <a:latin typeface="Calibri" panose="020F0502020204030204"/>
              <a:ea typeface="+mn-ea"/>
              <a:cs typeface="+mn-cs"/>
            </a:rPr>
            <a:t>Středočeský	          </a:t>
          </a:r>
          <a:r>
            <a:rPr lang="cs-CZ" sz="1000" b="1">
              <a:solidFill>
                <a:sysClr val="windowText" lastClr="000000"/>
              </a:solidFill>
              <a:latin typeface="Calibri" panose="020F0502020204030204"/>
              <a:ea typeface="+mn-ea"/>
              <a:cs typeface="+mn-cs"/>
            </a:rPr>
            <a:t>14,3 %</a:t>
          </a:r>
          <a:endParaRPr lang="cs-CZ" sz="900" b="1">
            <a:solidFill>
              <a:sysClr val="windowText" lastClr="000000"/>
            </a:solidFill>
            <a:latin typeface="Calibri" panose="020F0502020204030204"/>
            <a:ea typeface="+mn-ea"/>
            <a:cs typeface="+mn-cs"/>
          </a:endParaRPr>
        </a:p>
      </dgm:t>
    </dgm:pt>
    <dgm:pt modelId="{59FDA50E-9234-4CAB-B945-281281419267}" type="parTrans" cxnId="{17D7415E-9C6A-4E07-A7CD-134BB7F34B70}">
      <dgm:prSet/>
      <dgm:spPr/>
      <dgm:t>
        <a:bodyPr/>
        <a:lstStyle/>
        <a:p>
          <a:endParaRPr lang="cs-CZ"/>
        </a:p>
      </dgm:t>
    </dgm:pt>
    <dgm:pt modelId="{CAD1D20A-F8B3-406D-9B52-C1B9E2D1C407}" type="sibTrans" cxnId="{17D7415E-9C6A-4E07-A7CD-134BB7F34B70}">
      <dgm:prSet/>
      <dgm:spPr/>
      <dgm:t>
        <a:bodyPr/>
        <a:lstStyle/>
        <a:p>
          <a:endParaRPr lang="cs-CZ"/>
        </a:p>
      </dgm:t>
    </dgm:pt>
    <dgm:pt modelId="{02F8C7FB-7B82-49D1-A081-1067066F5C5E}">
      <dgm:prSet custT="1"/>
      <dgm:spPr>
        <a:xfrm>
          <a:off x="545302" y="1536268"/>
          <a:ext cx="1471142"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gm:spPr>
      <dgm:t>
        <a:bodyPr/>
        <a:lstStyle/>
        <a:p>
          <a:pPr>
            <a:buNone/>
          </a:pPr>
          <a:r>
            <a:rPr lang="cs-CZ" sz="900">
              <a:solidFill>
                <a:sysClr val="windowText" lastClr="000000"/>
              </a:solidFill>
              <a:latin typeface="Calibri" panose="020F0502020204030204"/>
              <a:ea typeface="+mn-ea"/>
              <a:cs typeface="+mn-cs"/>
            </a:rPr>
            <a:t>Plzeňský		      </a:t>
          </a:r>
          <a:r>
            <a:rPr lang="cs-CZ" sz="900" b="1">
              <a:solidFill>
                <a:sysClr val="windowText" lastClr="000000"/>
              </a:solidFill>
              <a:latin typeface="Calibri" panose="020F0502020204030204"/>
              <a:ea typeface="+mn-ea"/>
              <a:cs typeface="+mn-cs"/>
            </a:rPr>
            <a:t>7</a:t>
          </a:r>
          <a:r>
            <a:rPr lang="cs-CZ" sz="1000" b="1" i="0">
              <a:solidFill>
                <a:sysClr val="windowText" lastClr="000000"/>
              </a:solidFill>
              <a:latin typeface="Calibri" panose="020F0502020204030204"/>
              <a:ea typeface="+mn-ea"/>
              <a:cs typeface="+mn-cs"/>
            </a:rPr>
            <a:t>,2 %</a:t>
          </a:r>
          <a:endParaRPr lang="cs-CZ" sz="900" b="1" i="0">
            <a:solidFill>
              <a:sysClr val="windowText" lastClr="000000"/>
            </a:solidFill>
            <a:latin typeface="Calibri" panose="020F0502020204030204"/>
            <a:ea typeface="+mn-ea"/>
            <a:cs typeface="+mn-cs"/>
          </a:endParaRPr>
        </a:p>
      </dgm:t>
    </dgm:pt>
    <dgm:pt modelId="{D88469F2-410E-4162-BD61-F13B9910156D}" type="parTrans" cxnId="{3CC6BA5D-B05D-4CCF-9095-F5308A871BD2}">
      <dgm:prSet/>
      <dgm:spPr/>
      <dgm:t>
        <a:bodyPr/>
        <a:lstStyle/>
        <a:p>
          <a:endParaRPr lang="cs-CZ"/>
        </a:p>
      </dgm:t>
    </dgm:pt>
    <dgm:pt modelId="{0A29BA0B-A25A-4151-BDEC-B13959B2A504}" type="sibTrans" cxnId="{3CC6BA5D-B05D-4CCF-9095-F5308A871BD2}">
      <dgm:prSet/>
      <dgm:spPr/>
      <dgm:t>
        <a:bodyPr/>
        <a:lstStyle/>
        <a:p>
          <a:endParaRPr lang="cs-CZ"/>
        </a:p>
      </dgm:t>
    </dgm:pt>
    <dgm:pt modelId="{11DF78A1-6202-4FC3-89FE-E1F377F78F46}">
      <dgm:prSet custT="1"/>
      <dgm:spPr>
        <a:xfrm>
          <a:off x="508441" y="1885430"/>
          <a:ext cx="1508003"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gm:spPr>
      <dgm:t>
        <a:bodyPr/>
        <a:lstStyle/>
        <a:p>
          <a:pPr>
            <a:buNone/>
          </a:pPr>
          <a:r>
            <a:rPr lang="cs-CZ" sz="900">
              <a:solidFill>
                <a:sysClr val="windowText" lastClr="000000"/>
              </a:solidFill>
              <a:latin typeface="Calibri" panose="020F0502020204030204"/>
              <a:ea typeface="+mn-ea"/>
              <a:cs typeface="+mn-cs"/>
            </a:rPr>
            <a:t>Ústecký		        </a:t>
          </a:r>
          <a:r>
            <a:rPr lang="cs-CZ" sz="900" b="1">
              <a:solidFill>
                <a:sysClr val="windowText" lastClr="000000"/>
              </a:solidFill>
              <a:latin typeface="Calibri" panose="020F0502020204030204"/>
              <a:ea typeface="+mn-ea"/>
              <a:cs typeface="+mn-cs"/>
            </a:rPr>
            <a:t>5</a:t>
          </a:r>
          <a:r>
            <a:rPr lang="cs-CZ" sz="1000" b="1">
              <a:solidFill>
                <a:sysClr val="windowText" lastClr="000000"/>
              </a:solidFill>
              <a:latin typeface="Calibri" panose="020F0502020204030204"/>
              <a:ea typeface="+mn-ea"/>
              <a:cs typeface="+mn-cs"/>
            </a:rPr>
            <a:t>,1 %</a:t>
          </a:r>
          <a:endParaRPr lang="cs-CZ" sz="900" b="1">
            <a:solidFill>
              <a:sysClr val="windowText" lastClr="000000"/>
            </a:solidFill>
            <a:latin typeface="Calibri" panose="020F0502020204030204"/>
            <a:ea typeface="+mn-ea"/>
            <a:cs typeface="+mn-cs"/>
          </a:endParaRPr>
        </a:p>
      </dgm:t>
    </dgm:pt>
    <dgm:pt modelId="{9F416806-F656-46BD-859A-D2E332837C33}" type="parTrans" cxnId="{E0FE0C28-73D3-45B7-9814-4EDC1F6C0818}">
      <dgm:prSet/>
      <dgm:spPr/>
      <dgm:t>
        <a:bodyPr/>
        <a:lstStyle/>
        <a:p>
          <a:endParaRPr lang="cs-CZ"/>
        </a:p>
      </dgm:t>
    </dgm:pt>
    <dgm:pt modelId="{934122D8-373C-4FA5-9D2F-0F0992E955B2}" type="sibTrans" cxnId="{E0FE0C28-73D3-45B7-9814-4EDC1F6C0818}">
      <dgm:prSet/>
      <dgm:spPr/>
      <dgm:t>
        <a:bodyPr/>
        <a:lstStyle/>
        <a:p>
          <a:endParaRPr lang="cs-CZ"/>
        </a:p>
      </dgm:t>
    </dgm:pt>
    <dgm:pt modelId="{1FB5F91A-2296-4F2C-A5C4-DE44D15AED71}">
      <dgm:prSet custT="1"/>
      <dgm:spPr>
        <a:xfrm>
          <a:off x="392992" y="2234337"/>
          <a:ext cx="1623452"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gm:spPr>
      <dgm:t>
        <a:bodyPr/>
        <a:lstStyle/>
        <a:p>
          <a:pPr>
            <a:buNone/>
          </a:pPr>
          <a:r>
            <a:rPr lang="cs-CZ" sz="900">
              <a:solidFill>
                <a:sysClr val="windowText" lastClr="000000"/>
              </a:solidFill>
              <a:latin typeface="Calibri" panose="020F0502020204030204"/>
              <a:ea typeface="+mn-ea"/>
              <a:cs typeface="+mn-cs"/>
            </a:rPr>
            <a:t>Moravskoslezský	            </a:t>
          </a:r>
          <a:r>
            <a:rPr lang="cs-CZ" sz="900" b="1">
              <a:solidFill>
                <a:sysClr val="windowText" lastClr="000000"/>
              </a:solidFill>
              <a:latin typeface="Calibri" panose="020F0502020204030204"/>
              <a:ea typeface="+mn-ea"/>
              <a:cs typeface="+mn-cs"/>
            </a:rPr>
            <a:t>5</a:t>
          </a:r>
          <a:r>
            <a:rPr lang="cs-CZ" sz="1000" b="1">
              <a:solidFill>
                <a:sysClr val="windowText" lastClr="000000"/>
              </a:solidFill>
              <a:latin typeface="Calibri" panose="020F0502020204030204"/>
              <a:ea typeface="+mn-ea"/>
              <a:cs typeface="+mn-cs"/>
            </a:rPr>
            <a:t>,0 %</a:t>
          </a:r>
          <a:endParaRPr lang="cs-CZ" sz="900" b="1">
            <a:solidFill>
              <a:sysClr val="windowText" lastClr="000000"/>
            </a:solidFill>
            <a:latin typeface="Calibri" panose="020F0502020204030204"/>
            <a:ea typeface="+mn-ea"/>
            <a:cs typeface="+mn-cs"/>
          </a:endParaRPr>
        </a:p>
      </dgm:t>
    </dgm:pt>
    <dgm:pt modelId="{8E6CEC8C-F578-4536-9B7B-8BC55C536A38}" type="parTrans" cxnId="{76E6521D-B0CB-4E45-9BAA-147A86AEFFA9}">
      <dgm:prSet/>
      <dgm:spPr/>
      <dgm:t>
        <a:bodyPr/>
        <a:lstStyle/>
        <a:p>
          <a:endParaRPr lang="cs-CZ"/>
        </a:p>
      </dgm:t>
    </dgm:pt>
    <dgm:pt modelId="{BB9473DA-7C06-42B9-A02C-10C452E296D5}" type="sibTrans" cxnId="{76E6521D-B0CB-4E45-9BAA-147A86AEFFA9}">
      <dgm:prSet/>
      <dgm:spPr/>
      <dgm:t>
        <a:bodyPr/>
        <a:lstStyle/>
        <a:p>
          <a:endParaRPr lang="cs-CZ"/>
        </a:p>
      </dgm:t>
    </dgm:pt>
    <dgm:pt modelId="{B0F559A7-A0ED-4F44-B0C4-02B7AC535C67}" type="pres">
      <dgm:prSet presAssocID="{7E3FF22A-5C2F-4064-BC4A-022BC9D88418}" presName="Name0" presStyleCnt="0">
        <dgm:presLayoutVars>
          <dgm:chMax val="7"/>
          <dgm:chPref val="7"/>
          <dgm:dir/>
        </dgm:presLayoutVars>
      </dgm:prSet>
      <dgm:spPr/>
    </dgm:pt>
    <dgm:pt modelId="{39A6B8A5-1E37-4A0D-AABC-F12D485C6E0E}" type="pres">
      <dgm:prSet presAssocID="{7E3FF22A-5C2F-4064-BC4A-022BC9D88418}" presName="Name1" presStyleCnt="0"/>
      <dgm:spPr/>
    </dgm:pt>
    <dgm:pt modelId="{A12B1F4D-4DCB-4FE9-BEEE-8769FC5C38AF}" type="pres">
      <dgm:prSet presAssocID="{7E3FF22A-5C2F-4064-BC4A-022BC9D88418}" presName="cycle" presStyleCnt="0"/>
      <dgm:spPr/>
    </dgm:pt>
    <dgm:pt modelId="{A3551529-84F0-4309-9C14-C36765A9F7B5}" type="pres">
      <dgm:prSet presAssocID="{7E3FF22A-5C2F-4064-BC4A-022BC9D88418}" presName="srcNode" presStyleLbl="node1" presStyleIdx="0" presStyleCnt="7"/>
      <dgm:spPr/>
    </dgm:pt>
    <dgm:pt modelId="{89198812-C350-4615-B856-C6193DEFBEF6}" type="pres">
      <dgm:prSet presAssocID="{7E3FF22A-5C2F-4064-BC4A-022BC9D88418}" presName="conn" presStyleLbl="parChTrans1D2" presStyleIdx="0" presStyleCnt="1"/>
      <dgm:spPr/>
    </dgm:pt>
    <dgm:pt modelId="{61D390A2-D8FF-4ADA-8B79-63C751A90D4F}" type="pres">
      <dgm:prSet presAssocID="{7E3FF22A-5C2F-4064-BC4A-022BC9D88418}" presName="extraNode" presStyleLbl="node1" presStyleIdx="0" presStyleCnt="7"/>
      <dgm:spPr/>
    </dgm:pt>
    <dgm:pt modelId="{155AF936-2E78-4438-94B6-D7D27F194729}" type="pres">
      <dgm:prSet presAssocID="{7E3FF22A-5C2F-4064-BC4A-022BC9D88418}" presName="dstNode" presStyleLbl="node1" presStyleIdx="0" presStyleCnt="7"/>
      <dgm:spPr/>
    </dgm:pt>
    <dgm:pt modelId="{4F51DB93-9FD9-4DF6-9465-F824F4C495FC}" type="pres">
      <dgm:prSet presAssocID="{84101053-823D-4D50-97AD-E38A018C08BC}" presName="text_1" presStyleLbl="node1" presStyleIdx="0" presStyleCnt="7">
        <dgm:presLayoutVars>
          <dgm:bulletEnabled val="1"/>
        </dgm:presLayoutVars>
      </dgm:prSet>
      <dgm:spPr/>
    </dgm:pt>
    <dgm:pt modelId="{3174396A-0411-4846-8288-A862FEB6EC47}" type="pres">
      <dgm:prSet presAssocID="{84101053-823D-4D50-97AD-E38A018C08BC}" presName="accent_1" presStyleCnt="0"/>
      <dgm:spPr/>
    </dgm:pt>
    <dgm:pt modelId="{B98E26CD-7E36-43FC-94D0-5A4671AEDF79}" type="pres">
      <dgm:prSet presAssocID="{84101053-823D-4D50-97AD-E38A018C08BC}" presName="accentRepeatNode" presStyleLbl="solidFgAcc1" presStyleIdx="0" presStyleCnt="7"/>
      <dgm:spPr>
        <a:xfrm>
          <a:off x="36917" y="459956"/>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8E822862-7DAD-44D7-B2EF-BD3A08930E32}" type="pres">
      <dgm:prSet presAssocID="{90133EB1-3B91-4629-BE6F-44E207ED75C0}" presName="text_2" presStyleLbl="node1" presStyleIdx="1" presStyleCnt="7">
        <dgm:presLayoutVars>
          <dgm:bulletEnabled val="1"/>
        </dgm:presLayoutVars>
      </dgm:prSet>
      <dgm:spPr/>
    </dgm:pt>
    <dgm:pt modelId="{072CA31C-D33B-482E-9385-A64C2ABDF337}" type="pres">
      <dgm:prSet presAssocID="{90133EB1-3B91-4629-BE6F-44E207ED75C0}" presName="accent_2" presStyleCnt="0"/>
      <dgm:spPr/>
    </dgm:pt>
    <dgm:pt modelId="{E6F49A2B-1878-4A22-84E7-7ACC17794D1B}" type="pres">
      <dgm:prSet presAssocID="{90133EB1-3B91-4629-BE6F-44E207ED75C0}" presName="accentRepeatNode" presStyleLbl="solidFgAcc1" presStyleIdx="1" presStyleCnt="7"/>
      <dgm:spPr>
        <a:xfrm>
          <a:off x="247592" y="809118"/>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AA5D24BF-74BC-4595-8551-89D111DC73B3}" type="pres">
      <dgm:prSet presAssocID="{69C0459C-DCD2-4ABC-BBAC-DCC8CBC31268}" presName="text_3" presStyleLbl="node1" presStyleIdx="2" presStyleCnt="7">
        <dgm:presLayoutVars>
          <dgm:bulletEnabled val="1"/>
        </dgm:presLayoutVars>
      </dgm:prSet>
      <dgm:spPr/>
    </dgm:pt>
    <dgm:pt modelId="{C547CCE4-23B9-4DED-822A-9D9DCF896A16}" type="pres">
      <dgm:prSet presAssocID="{69C0459C-DCD2-4ABC-BBAC-DCC8CBC31268}" presName="accent_3" presStyleCnt="0"/>
      <dgm:spPr/>
    </dgm:pt>
    <dgm:pt modelId="{3A31DE96-9CDA-4AB4-8D08-5149BEE4D308}" type="pres">
      <dgm:prSet presAssocID="{69C0459C-DCD2-4ABC-BBAC-DCC8CBC31268}" presName="accentRepeatNode" presStyleLbl="solidFgAcc1" presStyleIdx="2" presStyleCnt="7"/>
      <dgm:spPr>
        <a:xfrm>
          <a:off x="363041" y="1158025"/>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F84A9029-0152-47A1-B5B7-4B23F5FB9DF2}" type="pres">
      <dgm:prSet presAssocID="{02F8C7FB-7B82-49D1-A081-1067066F5C5E}" presName="text_4" presStyleLbl="node1" presStyleIdx="3" presStyleCnt="7">
        <dgm:presLayoutVars>
          <dgm:bulletEnabled val="1"/>
        </dgm:presLayoutVars>
      </dgm:prSet>
      <dgm:spPr/>
    </dgm:pt>
    <dgm:pt modelId="{1CDA9D00-BF39-431E-95C1-2375D8868ECF}" type="pres">
      <dgm:prSet presAssocID="{02F8C7FB-7B82-49D1-A081-1067066F5C5E}" presName="accent_4" presStyleCnt="0"/>
      <dgm:spPr/>
    </dgm:pt>
    <dgm:pt modelId="{95373FFF-3D92-4DE9-A23A-8A78469B9876}" type="pres">
      <dgm:prSet presAssocID="{02F8C7FB-7B82-49D1-A081-1067066F5C5E}" presName="accentRepeatNode" presStyleLbl="solidFgAcc1" presStyleIdx="3" presStyleCnt="7"/>
      <dgm:spPr>
        <a:xfrm>
          <a:off x="399903" y="1507188"/>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BA483C82-BB48-4A0F-9428-177AB9166452}" type="pres">
      <dgm:prSet presAssocID="{11DF78A1-6202-4FC3-89FE-E1F377F78F46}" presName="text_5" presStyleLbl="node1" presStyleIdx="4" presStyleCnt="7">
        <dgm:presLayoutVars>
          <dgm:bulletEnabled val="1"/>
        </dgm:presLayoutVars>
      </dgm:prSet>
      <dgm:spPr/>
    </dgm:pt>
    <dgm:pt modelId="{F30A4337-DBE3-4E41-933F-609DBFAD31EC}" type="pres">
      <dgm:prSet presAssocID="{11DF78A1-6202-4FC3-89FE-E1F377F78F46}" presName="accent_5" presStyleCnt="0"/>
      <dgm:spPr/>
    </dgm:pt>
    <dgm:pt modelId="{8DC40537-7151-46AD-BA80-A84C688199C7}" type="pres">
      <dgm:prSet presAssocID="{11DF78A1-6202-4FC3-89FE-E1F377F78F46}" presName="accentRepeatNode" presStyleLbl="solidFgAcc1" presStyleIdx="4" presStyleCnt="7"/>
      <dgm:spPr>
        <a:xfrm>
          <a:off x="363041" y="1856351"/>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47C81FF4-0821-4D98-8327-84E7FE6C364F}" type="pres">
      <dgm:prSet presAssocID="{1FB5F91A-2296-4F2C-A5C4-DE44D15AED71}" presName="text_6" presStyleLbl="node1" presStyleIdx="5" presStyleCnt="7">
        <dgm:presLayoutVars>
          <dgm:bulletEnabled val="1"/>
        </dgm:presLayoutVars>
      </dgm:prSet>
      <dgm:spPr/>
    </dgm:pt>
    <dgm:pt modelId="{91B538E7-A07C-42F3-A00E-A12850325A9B}" type="pres">
      <dgm:prSet presAssocID="{1FB5F91A-2296-4F2C-A5C4-DE44D15AED71}" presName="accent_6" presStyleCnt="0"/>
      <dgm:spPr/>
    </dgm:pt>
    <dgm:pt modelId="{3AF17995-BDDA-4DFD-9304-A37635E8A850}" type="pres">
      <dgm:prSet presAssocID="{1FB5F91A-2296-4F2C-A5C4-DE44D15AED71}" presName="accentRepeatNode" presStyleLbl="solidFgAcc1" presStyleIdx="5" presStyleCnt="7"/>
      <dgm:spPr>
        <a:xfrm>
          <a:off x="247592" y="2205257"/>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5458CBFE-44FB-4C7C-8C9C-5BE019CDDB76}" type="pres">
      <dgm:prSet presAssocID="{BCD828AE-F997-4240-A2C0-4910568C76C3}" presName="text_7" presStyleLbl="node1" presStyleIdx="6" presStyleCnt="7">
        <dgm:presLayoutVars>
          <dgm:bulletEnabled val="1"/>
        </dgm:presLayoutVars>
      </dgm:prSet>
      <dgm:spPr/>
    </dgm:pt>
    <dgm:pt modelId="{F66739A0-B8CE-49B7-A332-B5B4EADECCE8}" type="pres">
      <dgm:prSet presAssocID="{BCD828AE-F997-4240-A2C0-4910568C76C3}" presName="accent_7" presStyleCnt="0"/>
      <dgm:spPr/>
    </dgm:pt>
    <dgm:pt modelId="{35F27D4E-8BF7-4B55-85A0-7A40D2B5F7CE}" type="pres">
      <dgm:prSet presAssocID="{BCD828AE-F997-4240-A2C0-4910568C76C3}" presName="accentRepeatNode" presStyleLbl="solidFgAcc1" presStyleIdx="6" presStyleCnt="7"/>
      <dgm:spPr>
        <a:xfrm>
          <a:off x="36917" y="2554420"/>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Lst>
  <dgm:cxnLst>
    <dgm:cxn modelId="{FDC92803-8D34-401F-A046-38FDE33E0612}" type="presOf" srcId="{02F8C7FB-7B82-49D1-A081-1067066F5C5E}" destId="{F84A9029-0152-47A1-B5B7-4B23F5FB9DF2}" srcOrd="0" destOrd="0" presId="urn:microsoft.com/office/officeart/2008/layout/VerticalCurvedList"/>
    <dgm:cxn modelId="{62A9200B-4EDB-4421-AF0C-0872291497D9}" type="presOf" srcId="{7E3FF22A-5C2F-4064-BC4A-022BC9D88418}" destId="{B0F559A7-A0ED-4F44-B0C4-02B7AC535C67}" srcOrd="0" destOrd="0" presId="urn:microsoft.com/office/officeart/2008/layout/VerticalCurvedList"/>
    <dgm:cxn modelId="{76E6521D-B0CB-4E45-9BAA-147A86AEFFA9}" srcId="{7E3FF22A-5C2F-4064-BC4A-022BC9D88418}" destId="{1FB5F91A-2296-4F2C-A5C4-DE44D15AED71}" srcOrd="5" destOrd="0" parTransId="{8E6CEC8C-F578-4536-9B7B-8BC55C536A38}" sibTransId="{BB9473DA-7C06-42B9-A02C-10C452E296D5}"/>
    <dgm:cxn modelId="{EBDBDB20-4E38-483D-9F48-4175A92D72FE}" type="presOf" srcId="{84101053-823D-4D50-97AD-E38A018C08BC}" destId="{4F51DB93-9FD9-4DF6-9465-F824F4C495FC}" srcOrd="0" destOrd="0" presId="urn:microsoft.com/office/officeart/2008/layout/VerticalCurvedList"/>
    <dgm:cxn modelId="{4B367124-5C39-4FCF-9FB3-E15C3EEA9DEB}" type="presOf" srcId="{BCD828AE-F997-4240-A2C0-4910568C76C3}" destId="{5458CBFE-44FB-4C7C-8C9C-5BE019CDDB76}" srcOrd="0" destOrd="0" presId="urn:microsoft.com/office/officeart/2008/layout/VerticalCurvedList"/>
    <dgm:cxn modelId="{E0FE0C28-73D3-45B7-9814-4EDC1F6C0818}" srcId="{7E3FF22A-5C2F-4064-BC4A-022BC9D88418}" destId="{11DF78A1-6202-4FC3-89FE-E1F377F78F46}" srcOrd="4" destOrd="0" parTransId="{9F416806-F656-46BD-859A-D2E332837C33}" sibTransId="{934122D8-373C-4FA5-9D2F-0F0992E955B2}"/>
    <dgm:cxn modelId="{3CC6BA5D-B05D-4CCF-9095-F5308A871BD2}" srcId="{7E3FF22A-5C2F-4064-BC4A-022BC9D88418}" destId="{02F8C7FB-7B82-49D1-A081-1067066F5C5E}" srcOrd="3" destOrd="0" parTransId="{D88469F2-410E-4162-BD61-F13B9910156D}" sibTransId="{0A29BA0B-A25A-4151-BDEC-B13959B2A504}"/>
    <dgm:cxn modelId="{17D7415E-9C6A-4E07-A7CD-134BB7F34B70}" srcId="{7E3FF22A-5C2F-4064-BC4A-022BC9D88418}" destId="{90133EB1-3B91-4629-BE6F-44E207ED75C0}" srcOrd="1" destOrd="0" parTransId="{59FDA50E-9234-4CAB-B945-281281419267}" sibTransId="{CAD1D20A-F8B3-406D-9B52-C1B9E2D1C407}"/>
    <dgm:cxn modelId="{DF154D46-C964-4BF6-A40F-67106A8CE685}" srcId="{7E3FF22A-5C2F-4064-BC4A-022BC9D88418}" destId="{69C0459C-DCD2-4ABC-BBAC-DCC8CBC31268}" srcOrd="2" destOrd="0" parTransId="{7FFE59C1-A4F0-4DEA-9380-AB033DF0F0B1}" sibTransId="{7BCAF53B-C94B-485A-8CA0-D403C21E0915}"/>
    <dgm:cxn modelId="{5BAA2257-3B92-44E8-97BF-1C389B58AA20}" srcId="{7E3FF22A-5C2F-4064-BC4A-022BC9D88418}" destId="{84101053-823D-4D50-97AD-E38A018C08BC}" srcOrd="0" destOrd="0" parTransId="{498A444F-2AD1-4250-9254-9737A2472CC6}" sibTransId="{846C348E-842B-4477-BC27-A30CD3AEC718}"/>
    <dgm:cxn modelId="{5F6E3B95-4EF5-45DC-A22E-993735746229}" type="presOf" srcId="{90133EB1-3B91-4629-BE6F-44E207ED75C0}" destId="{8E822862-7DAD-44D7-B2EF-BD3A08930E32}" srcOrd="0" destOrd="0" presId="urn:microsoft.com/office/officeart/2008/layout/VerticalCurvedList"/>
    <dgm:cxn modelId="{572585B1-58A5-4052-9309-63EB67A3E822}" type="presOf" srcId="{69C0459C-DCD2-4ABC-BBAC-DCC8CBC31268}" destId="{AA5D24BF-74BC-4595-8551-89D111DC73B3}" srcOrd="0" destOrd="0" presId="urn:microsoft.com/office/officeart/2008/layout/VerticalCurvedList"/>
    <dgm:cxn modelId="{218ACFB3-A31C-43D1-8178-ECBDE8E4E6E1}" type="presOf" srcId="{11DF78A1-6202-4FC3-89FE-E1F377F78F46}" destId="{BA483C82-BB48-4A0F-9428-177AB9166452}" srcOrd="0" destOrd="0" presId="urn:microsoft.com/office/officeart/2008/layout/VerticalCurvedList"/>
    <dgm:cxn modelId="{0406CBC2-565A-456E-9B4A-ED02C0CD70B0}" type="presOf" srcId="{1FB5F91A-2296-4F2C-A5C4-DE44D15AED71}" destId="{47C81FF4-0821-4D98-8327-84E7FE6C364F}" srcOrd="0" destOrd="0" presId="urn:microsoft.com/office/officeart/2008/layout/VerticalCurvedList"/>
    <dgm:cxn modelId="{A08E36DF-2F52-48B5-B88A-9DC27BCBB46B}" srcId="{7E3FF22A-5C2F-4064-BC4A-022BC9D88418}" destId="{BCD828AE-F997-4240-A2C0-4910568C76C3}" srcOrd="6" destOrd="0" parTransId="{44530200-3B31-43D0-B996-A2DE99075288}" sibTransId="{87987FBA-0C28-4298-BF7C-203DEBE22059}"/>
    <dgm:cxn modelId="{58A41AE3-2399-4A84-A9A6-7D2926BDFF20}" type="presOf" srcId="{846C348E-842B-4477-BC27-A30CD3AEC718}" destId="{89198812-C350-4615-B856-C6193DEFBEF6}" srcOrd="0" destOrd="0" presId="urn:microsoft.com/office/officeart/2008/layout/VerticalCurvedList"/>
    <dgm:cxn modelId="{8764736D-4C78-4B14-BCA3-E5EAA56FF68F}" type="presParOf" srcId="{B0F559A7-A0ED-4F44-B0C4-02B7AC535C67}" destId="{39A6B8A5-1E37-4A0D-AABC-F12D485C6E0E}" srcOrd="0" destOrd="0" presId="urn:microsoft.com/office/officeart/2008/layout/VerticalCurvedList"/>
    <dgm:cxn modelId="{C99F703C-8E88-4C5B-AECB-569330296C99}" type="presParOf" srcId="{39A6B8A5-1E37-4A0D-AABC-F12D485C6E0E}" destId="{A12B1F4D-4DCB-4FE9-BEEE-8769FC5C38AF}" srcOrd="0" destOrd="0" presId="urn:microsoft.com/office/officeart/2008/layout/VerticalCurvedList"/>
    <dgm:cxn modelId="{8169448A-AD09-4DBB-86BF-043DFDC1E880}" type="presParOf" srcId="{A12B1F4D-4DCB-4FE9-BEEE-8769FC5C38AF}" destId="{A3551529-84F0-4309-9C14-C36765A9F7B5}" srcOrd="0" destOrd="0" presId="urn:microsoft.com/office/officeart/2008/layout/VerticalCurvedList"/>
    <dgm:cxn modelId="{49B45094-817E-4BE9-8C75-115BC8B29732}" type="presParOf" srcId="{A12B1F4D-4DCB-4FE9-BEEE-8769FC5C38AF}" destId="{89198812-C350-4615-B856-C6193DEFBEF6}" srcOrd="1" destOrd="0" presId="urn:microsoft.com/office/officeart/2008/layout/VerticalCurvedList"/>
    <dgm:cxn modelId="{9048FDF9-FBFC-4BEF-9737-233868F3A39C}" type="presParOf" srcId="{A12B1F4D-4DCB-4FE9-BEEE-8769FC5C38AF}" destId="{61D390A2-D8FF-4ADA-8B79-63C751A90D4F}" srcOrd="2" destOrd="0" presId="urn:microsoft.com/office/officeart/2008/layout/VerticalCurvedList"/>
    <dgm:cxn modelId="{1AE8C691-45DC-4980-AA7C-B3278759AB7E}" type="presParOf" srcId="{A12B1F4D-4DCB-4FE9-BEEE-8769FC5C38AF}" destId="{155AF936-2E78-4438-94B6-D7D27F194729}" srcOrd="3" destOrd="0" presId="urn:microsoft.com/office/officeart/2008/layout/VerticalCurvedList"/>
    <dgm:cxn modelId="{1397C48C-2E5E-4076-BF27-712FA9E0F6A3}" type="presParOf" srcId="{39A6B8A5-1E37-4A0D-AABC-F12D485C6E0E}" destId="{4F51DB93-9FD9-4DF6-9465-F824F4C495FC}" srcOrd="1" destOrd="0" presId="urn:microsoft.com/office/officeart/2008/layout/VerticalCurvedList"/>
    <dgm:cxn modelId="{984A293A-4F44-4096-87E1-E3888815EA2D}" type="presParOf" srcId="{39A6B8A5-1E37-4A0D-AABC-F12D485C6E0E}" destId="{3174396A-0411-4846-8288-A862FEB6EC47}" srcOrd="2" destOrd="0" presId="urn:microsoft.com/office/officeart/2008/layout/VerticalCurvedList"/>
    <dgm:cxn modelId="{FEE51A59-0CDE-48A0-8EB5-47EB1CBAAD60}" type="presParOf" srcId="{3174396A-0411-4846-8288-A862FEB6EC47}" destId="{B98E26CD-7E36-43FC-94D0-5A4671AEDF79}" srcOrd="0" destOrd="0" presId="urn:microsoft.com/office/officeart/2008/layout/VerticalCurvedList"/>
    <dgm:cxn modelId="{41218384-EBDD-4389-9A2F-C2B90A2AA4DC}" type="presParOf" srcId="{39A6B8A5-1E37-4A0D-AABC-F12D485C6E0E}" destId="{8E822862-7DAD-44D7-B2EF-BD3A08930E32}" srcOrd="3" destOrd="0" presId="urn:microsoft.com/office/officeart/2008/layout/VerticalCurvedList"/>
    <dgm:cxn modelId="{CA412C1E-666F-43FF-BD4D-21874F0A5138}" type="presParOf" srcId="{39A6B8A5-1E37-4A0D-AABC-F12D485C6E0E}" destId="{072CA31C-D33B-482E-9385-A64C2ABDF337}" srcOrd="4" destOrd="0" presId="urn:microsoft.com/office/officeart/2008/layout/VerticalCurvedList"/>
    <dgm:cxn modelId="{D2E04E6D-8312-44CE-B0DE-51E82FE6AA40}" type="presParOf" srcId="{072CA31C-D33B-482E-9385-A64C2ABDF337}" destId="{E6F49A2B-1878-4A22-84E7-7ACC17794D1B}" srcOrd="0" destOrd="0" presId="urn:microsoft.com/office/officeart/2008/layout/VerticalCurvedList"/>
    <dgm:cxn modelId="{4D637837-F88D-4FF0-B40D-BC5640577D8E}" type="presParOf" srcId="{39A6B8A5-1E37-4A0D-AABC-F12D485C6E0E}" destId="{AA5D24BF-74BC-4595-8551-89D111DC73B3}" srcOrd="5" destOrd="0" presId="urn:microsoft.com/office/officeart/2008/layout/VerticalCurvedList"/>
    <dgm:cxn modelId="{85929498-FA1F-4203-A66B-7FB614EB8518}" type="presParOf" srcId="{39A6B8A5-1E37-4A0D-AABC-F12D485C6E0E}" destId="{C547CCE4-23B9-4DED-822A-9D9DCF896A16}" srcOrd="6" destOrd="0" presId="urn:microsoft.com/office/officeart/2008/layout/VerticalCurvedList"/>
    <dgm:cxn modelId="{AC70E64F-2E9A-40B9-8F10-1EA37CB794F9}" type="presParOf" srcId="{C547CCE4-23B9-4DED-822A-9D9DCF896A16}" destId="{3A31DE96-9CDA-4AB4-8D08-5149BEE4D308}" srcOrd="0" destOrd="0" presId="urn:microsoft.com/office/officeart/2008/layout/VerticalCurvedList"/>
    <dgm:cxn modelId="{7FB296AF-5046-4E95-8601-FD7A0B36A44E}" type="presParOf" srcId="{39A6B8A5-1E37-4A0D-AABC-F12D485C6E0E}" destId="{F84A9029-0152-47A1-B5B7-4B23F5FB9DF2}" srcOrd="7" destOrd="0" presId="urn:microsoft.com/office/officeart/2008/layout/VerticalCurvedList"/>
    <dgm:cxn modelId="{D4665A6E-3DD5-41F1-9775-E5BE371A47B2}" type="presParOf" srcId="{39A6B8A5-1E37-4A0D-AABC-F12D485C6E0E}" destId="{1CDA9D00-BF39-431E-95C1-2375D8868ECF}" srcOrd="8" destOrd="0" presId="urn:microsoft.com/office/officeart/2008/layout/VerticalCurvedList"/>
    <dgm:cxn modelId="{19D87BE2-40EA-4835-B70C-FE241C206077}" type="presParOf" srcId="{1CDA9D00-BF39-431E-95C1-2375D8868ECF}" destId="{95373FFF-3D92-4DE9-A23A-8A78469B9876}" srcOrd="0" destOrd="0" presId="urn:microsoft.com/office/officeart/2008/layout/VerticalCurvedList"/>
    <dgm:cxn modelId="{72D5B14F-7705-4543-A400-A00964CB1241}" type="presParOf" srcId="{39A6B8A5-1E37-4A0D-AABC-F12D485C6E0E}" destId="{BA483C82-BB48-4A0F-9428-177AB9166452}" srcOrd="9" destOrd="0" presId="urn:microsoft.com/office/officeart/2008/layout/VerticalCurvedList"/>
    <dgm:cxn modelId="{3429ECA1-5E4E-464B-B188-EC3BB7448C3C}" type="presParOf" srcId="{39A6B8A5-1E37-4A0D-AABC-F12D485C6E0E}" destId="{F30A4337-DBE3-4E41-933F-609DBFAD31EC}" srcOrd="10" destOrd="0" presId="urn:microsoft.com/office/officeart/2008/layout/VerticalCurvedList"/>
    <dgm:cxn modelId="{B22EA0BF-D811-47D7-A1DC-70B25539BDCE}" type="presParOf" srcId="{F30A4337-DBE3-4E41-933F-609DBFAD31EC}" destId="{8DC40537-7151-46AD-BA80-A84C688199C7}" srcOrd="0" destOrd="0" presId="urn:microsoft.com/office/officeart/2008/layout/VerticalCurvedList"/>
    <dgm:cxn modelId="{34BAC30B-81B6-4046-A564-623BF75C8DCE}" type="presParOf" srcId="{39A6B8A5-1E37-4A0D-AABC-F12D485C6E0E}" destId="{47C81FF4-0821-4D98-8327-84E7FE6C364F}" srcOrd="11" destOrd="0" presId="urn:microsoft.com/office/officeart/2008/layout/VerticalCurvedList"/>
    <dgm:cxn modelId="{ECAF7A29-9F55-46A9-9AF0-E3BBF6E7FD52}" type="presParOf" srcId="{39A6B8A5-1E37-4A0D-AABC-F12D485C6E0E}" destId="{91B538E7-A07C-42F3-A00E-A12850325A9B}" srcOrd="12" destOrd="0" presId="urn:microsoft.com/office/officeart/2008/layout/VerticalCurvedList"/>
    <dgm:cxn modelId="{7D0E1C87-4AF1-4307-8B4B-D73205ADF323}" type="presParOf" srcId="{91B538E7-A07C-42F3-A00E-A12850325A9B}" destId="{3AF17995-BDDA-4DFD-9304-A37635E8A850}" srcOrd="0" destOrd="0" presId="urn:microsoft.com/office/officeart/2008/layout/VerticalCurvedList"/>
    <dgm:cxn modelId="{172150A7-B69E-43B4-AFAA-DEE874774DFD}" type="presParOf" srcId="{39A6B8A5-1E37-4A0D-AABC-F12D485C6E0E}" destId="{5458CBFE-44FB-4C7C-8C9C-5BE019CDDB76}" srcOrd="13" destOrd="0" presId="urn:microsoft.com/office/officeart/2008/layout/VerticalCurvedList"/>
    <dgm:cxn modelId="{8B2A821F-DC25-4CEC-BCF1-3A28DC734280}" type="presParOf" srcId="{39A6B8A5-1E37-4A0D-AABC-F12D485C6E0E}" destId="{F66739A0-B8CE-49B7-A332-B5B4EADECCE8}" srcOrd="14" destOrd="0" presId="urn:microsoft.com/office/officeart/2008/layout/VerticalCurvedList"/>
    <dgm:cxn modelId="{5DF14334-B082-4316-9F59-7DE0DA1BC8B8}" type="presParOf" srcId="{F66739A0-B8CE-49B7-A332-B5B4EADECCE8}" destId="{35F27D4E-8BF7-4B55-85A0-7A40D2B5F7CE}" srcOrd="0" destOrd="0" presId="urn:microsoft.com/office/officeart/2008/layout/VerticalCurvedList"/>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FAB420-EEB5-4E75-8C34-59A031EF1922}" type="doc">
      <dgm:prSet loTypeId="urn:microsoft.com/office/officeart/2005/8/layout/orgChart1" loCatId="hierarchy" qsTypeId="urn:microsoft.com/office/officeart/2005/8/quickstyle/simple2" qsCatId="simple" csTypeId="urn:microsoft.com/office/officeart/2005/8/colors/accent0_3" csCatId="mainScheme" phldr="1"/>
      <dgm:spPr/>
      <dgm:t>
        <a:bodyPr/>
        <a:lstStyle/>
        <a:p>
          <a:endParaRPr lang="cs-CZ"/>
        </a:p>
      </dgm:t>
    </dgm:pt>
    <dgm:pt modelId="{EE0C6337-64D5-45C9-9BDE-BFC912FD011F}">
      <dgm:prSet phldrT="[Text]" custT="1"/>
      <dgm:spPr/>
      <dgm:t>
        <a:bodyPr/>
        <a:lstStyle/>
        <a:p>
          <a:pPr algn="ctr"/>
          <a:r>
            <a:rPr lang="cs-CZ" sz="1000" b="1">
              <a:latin typeface="Arial Narrow" panose="020B0606020202030204" pitchFamily="34" charset="0"/>
            </a:rPr>
            <a:t>Celkem osob</a:t>
          </a:r>
        </a:p>
        <a:p>
          <a:pPr algn="ctr"/>
          <a:r>
            <a:rPr lang="cs-CZ" sz="1000" b="0">
              <a:latin typeface="Arial Narrow" panose="020B0606020202030204" pitchFamily="34" charset="0"/>
            </a:rPr>
            <a:t>1 116 154</a:t>
          </a:r>
        </a:p>
      </dgm:t>
    </dgm:pt>
    <dgm:pt modelId="{CE6FFC76-EE40-4907-A05E-82B70D9CF13B}" type="parTrans" cxnId="{AE05DCE5-661E-4380-8D3E-4DA96C9792F7}">
      <dgm:prSet/>
      <dgm:spPr/>
      <dgm:t>
        <a:bodyPr/>
        <a:lstStyle/>
        <a:p>
          <a:pPr algn="ctr"/>
          <a:endParaRPr lang="cs-CZ" sz="1000">
            <a:latin typeface="Arial Narrow" panose="020B0606020202030204" pitchFamily="34" charset="0"/>
          </a:endParaRPr>
        </a:p>
      </dgm:t>
    </dgm:pt>
    <dgm:pt modelId="{4154E7C9-BB92-46C4-B11A-E01CAF846964}" type="sibTrans" cxnId="{AE05DCE5-661E-4380-8D3E-4DA96C9792F7}">
      <dgm:prSet/>
      <dgm:spPr/>
      <dgm:t>
        <a:bodyPr/>
        <a:lstStyle/>
        <a:p>
          <a:pPr algn="ctr"/>
          <a:endParaRPr lang="cs-CZ" sz="1000">
            <a:latin typeface="Arial Narrow" panose="020B0606020202030204" pitchFamily="34" charset="0"/>
          </a:endParaRPr>
        </a:p>
      </dgm:t>
    </dgm:pt>
    <dgm:pt modelId="{445D0D8C-E392-4478-A229-2482FA3828B0}" type="asst">
      <dgm:prSet phldrT="[Text]" custT="1"/>
      <dgm:spPr/>
      <dgm:t>
        <a:bodyPr/>
        <a:lstStyle/>
        <a:p>
          <a:pPr algn="ctr"/>
          <a:r>
            <a:rPr lang="cs-CZ" sz="1000" b="1">
              <a:latin typeface="Arial Narrow" panose="020B0606020202030204" pitchFamily="34" charset="0"/>
            </a:rPr>
            <a:t>Osoby z EU</a:t>
          </a:r>
        </a:p>
        <a:p>
          <a:pPr algn="ctr"/>
          <a:r>
            <a:rPr lang="cs-CZ" sz="1000">
              <a:latin typeface="Arial Narrow" panose="020B0606020202030204" pitchFamily="34" charset="0"/>
            </a:rPr>
            <a:t>226 426</a:t>
          </a:r>
        </a:p>
      </dgm:t>
    </dgm:pt>
    <dgm:pt modelId="{B336F546-5C3D-4697-B71A-8381ACEBEB81}" type="parTrans" cxnId="{BA6A4412-54B8-41F8-A3FB-4B8F7E8349C1}">
      <dgm:prSet/>
      <dgm:spPr/>
      <dgm:t>
        <a:bodyPr/>
        <a:lstStyle/>
        <a:p>
          <a:pPr algn="ctr"/>
          <a:endParaRPr lang="cs-CZ" sz="1000">
            <a:latin typeface="Arial Narrow" panose="020B0606020202030204" pitchFamily="34" charset="0"/>
          </a:endParaRPr>
        </a:p>
      </dgm:t>
    </dgm:pt>
    <dgm:pt modelId="{8C41C3DA-CE15-4F15-ACE9-74E04C9AB8AD}" type="sibTrans" cxnId="{BA6A4412-54B8-41F8-A3FB-4B8F7E8349C1}">
      <dgm:prSet/>
      <dgm:spPr/>
      <dgm:t>
        <a:bodyPr/>
        <a:lstStyle/>
        <a:p>
          <a:pPr algn="ctr"/>
          <a:endParaRPr lang="cs-CZ" sz="1000">
            <a:latin typeface="Arial Narrow" panose="020B0606020202030204" pitchFamily="34" charset="0"/>
          </a:endParaRPr>
        </a:p>
      </dgm:t>
    </dgm:pt>
    <dgm:pt modelId="{5F06F08F-2005-457E-82F4-BAA83DC3FF31}" type="asst">
      <dgm:prSet custT="1"/>
      <dgm:spPr/>
      <dgm:t>
        <a:bodyPr/>
        <a:lstStyle/>
        <a:p>
          <a:pPr algn="ctr"/>
          <a:r>
            <a:rPr lang="cs-CZ" sz="1000" b="1">
              <a:latin typeface="Arial Narrow" panose="020B0606020202030204" pitchFamily="34" charset="0"/>
            </a:rPr>
            <a:t>Osoby ze třetích zemí</a:t>
          </a:r>
        </a:p>
        <a:p>
          <a:pPr algn="ctr"/>
          <a:r>
            <a:rPr lang="cs-CZ" sz="1000">
              <a:latin typeface="Arial Narrow" panose="020B0606020202030204" pitchFamily="34" charset="0"/>
            </a:rPr>
            <a:t>889 728</a:t>
          </a:r>
        </a:p>
      </dgm:t>
    </dgm:pt>
    <dgm:pt modelId="{8F40762B-DA61-4838-9BC2-3C60374B9EB1}" type="parTrans" cxnId="{EC79C294-CC15-4C2B-824D-B4A3CF865B64}">
      <dgm:prSet/>
      <dgm:spPr/>
      <dgm:t>
        <a:bodyPr/>
        <a:lstStyle/>
        <a:p>
          <a:pPr algn="ctr"/>
          <a:endParaRPr lang="cs-CZ" sz="1000">
            <a:latin typeface="Arial Narrow" panose="020B0606020202030204" pitchFamily="34" charset="0"/>
          </a:endParaRPr>
        </a:p>
      </dgm:t>
    </dgm:pt>
    <dgm:pt modelId="{BE5132DB-1821-4F88-9339-2BB75DFEFF5B}" type="sibTrans" cxnId="{EC79C294-CC15-4C2B-824D-B4A3CF865B64}">
      <dgm:prSet/>
      <dgm:spPr/>
      <dgm:t>
        <a:bodyPr/>
        <a:lstStyle/>
        <a:p>
          <a:pPr algn="ctr"/>
          <a:endParaRPr lang="cs-CZ" sz="1000">
            <a:latin typeface="Arial Narrow" panose="020B0606020202030204" pitchFamily="34" charset="0"/>
          </a:endParaRPr>
        </a:p>
      </dgm:t>
    </dgm:pt>
    <dgm:pt modelId="{003F06FF-4FD5-4620-BE9E-11075A158BD2}">
      <dgm:prSet custT="1"/>
      <dgm:spPr/>
      <dgm:t>
        <a:bodyPr/>
        <a:lstStyle/>
        <a:p>
          <a:pPr algn="ctr"/>
          <a:r>
            <a:rPr lang="cs-CZ" sz="1000" b="1">
              <a:latin typeface="Arial Narrow" panose="020B0606020202030204" pitchFamily="34" charset="0"/>
            </a:rPr>
            <a:t>Trvalý pobyt</a:t>
          </a:r>
        </a:p>
        <a:p>
          <a:pPr algn="ctr"/>
          <a:r>
            <a:rPr lang="cs-CZ" sz="1000">
              <a:latin typeface="Arial Narrow" panose="020B0606020202030204" pitchFamily="34" charset="0"/>
            </a:rPr>
            <a:t>106 102</a:t>
          </a:r>
        </a:p>
      </dgm:t>
    </dgm:pt>
    <dgm:pt modelId="{36C618DA-AA2B-4812-9A35-F26CDD5E4559}" type="parTrans" cxnId="{EDF61096-5739-4E7D-8CC9-8E3390CFA36C}">
      <dgm:prSet/>
      <dgm:spPr/>
      <dgm:t>
        <a:bodyPr/>
        <a:lstStyle/>
        <a:p>
          <a:pPr algn="ctr"/>
          <a:endParaRPr lang="cs-CZ" sz="1000">
            <a:latin typeface="Arial Narrow" panose="020B0606020202030204" pitchFamily="34" charset="0"/>
          </a:endParaRPr>
        </a:p>
      </dgm:t>
    </dgm:pt>
    <dgm:pt modelId="{89976892-EB48-4DF7-99C1-0BA53EA7E55A}" type="sibTrans" cxnId="{EDF61096-5739-4E7D-8CC9-8E3390CFA36C}">
      <dgm:prSet/>
      <dgm:spPr/>
      <dgm:t>
        <a:bodyPr/>
        <a:lstStyle/>
        <a:p>
          <a:pPr algn="ctr"/>
          <a:endParaRPr lang="cs-CZ" sz="1000">
            <a:latin typeface="Arial Narrow" panose="020B0606020202030204" pitchFamily="34" charset="0"/>
          </a:endParaRPr>
        </a:p>
      </dgm:t>
    </dgm:pt>
    <dgm:pt modelId="{C2AB6CBC-9E4A-46A8-9683-A991CE2D62A6}">
      <dgm:prSet custT="1"/>
      <dgm:spPr/>
      <dgm:t>
        <a:bodyPr/>
        <a:lstStyle/>
        <a:p>
          <a:pPr algn="ctr"/>
          <a:r>
            <a:rPr lang="cs-CZ" sz="1000" b="1">
              <a:latin typeface="Arial Narrow" panose="020B0606020202030204" pitchFamily="34" charset="0"/>
            </a:rPr>
            <a:t>Trvalý pobyt </a:t>
          </a:r>
        </a:p>
        <a:p>
          <a:pPr algn="ctr"/>
          <a:r>
            <a:rPr lang="cs-CZ" sz="1000">
              <a:latin typeface="Arial Narrow" panose="020B0606020202030204" pitchFamily="34" charset="0"/>
            </a:rPr>
            <a:t>228 052</a:t>
          </a:r>
        </a:p>
      </dgm:t>
    </dgm:pt>
    <dgm:pt modelId="{F9C2EC42-517C-45EA-8F30-6C6890BC7E1A}" type="parTrans" cxnId="{5160EB8F-0C70-44B3-9E67-D10D9BB20F45}">
      <dgm:prSet/>
      <dgm:spPr/>
      <dgm:t>
        <a:bodyPr/>
        <a:lstStyle/>
        <a:p>
          <a:pPr algn="ctr"/>
          <a:endParaRPr lang="cs-CZ" sz="1000">
            <a:latin typeface="Arial Narrow" panose="020B0606020202030204" pitchFamily="34" charset="0"/>
          </a:endParaRPr>
        </a:p>
      </dgm:t>
    </dgm:pt>
    <dgm:pt modelId="{1F56D3CD-56A6-4646-B2B9-F61AAB954CBF}" type="sibTrans" cxnId="{5160EB8F-0C70-44B3-9E67-D10D9BB20F45}">
      <dgm:prSet/>
      <dgm:spPr/>
      <dgm:t>
        <a:bodyPr/>
        <a:lstStyle/>
        <a:p>
          <a:pPr algn="ctr"/>
          <a:endParaRPr lang="cs-CZ" sz="1000">
            <a:latin typeface="Arial Narrow" panose="020B0606020202030204" pitchFamily="34" charset="0"/>
          </a:endParaRPr>
        </a:p>
      </dgm:t>
    </dgm:pt>
    <dgm:pt modelId="{DC839CC0-8C25-4545-BE5F-4DEE929AEE7B}">
      <dgm:prSet custT="1"/>
      <dgm:spPr/>
      <dgm:t>
        <a:bodyPr/>
        <a:lstStyle/>
        <a:p>
          <a:pPr algn="ctr"/>
          <a:r>
            <a:rPr lang="cs-CZ" sz="1000" b="1">
              <a:latin typeface="Arial Narrow" panose="020B0606020202030204" pitchFamily="34" charset="0"/>
            </a:rPr>
            <a:t>Přechodný pobyt </a:t>
          </a:r>
        </a:p>
        <a:p>
          <a:pPr algn="ctr"/>
          <a:r>
            <a:rPr lang="cs-CZ" sz="1000" b="0">
              <a:latin typeface="Arial Narrow" panose="020B0606020202030204" pitchFamily="34" charset="0"/>
            </a:rPr>
            <a:t>661 676</a:t>
          </a:r>
        </a:p>
      </dgm:t>
    </dgm:pt>
    <dgm:pt modelId="{E9F69906-7DA7-43D9-B93D-36A83D816B93}" type="parTrans" cxnId="{9476CC0F-AE95-4E42-89EF-DC1F3AAB9009}">
      <dgm:prSet/>
      <dgm:spPr/>
      <dgm:t>
        <a:bodyPr/>
        <a:lstStyle/>
        <a:p>
          <a:pPr algn="ctr"/>
          <a:endParaRPr lang="cs-CZ" sz="1000">
            <a:latin typeface="Arial Narrow" panose="020B0606020202030204" pitchFamily="34" charset="0"/>
          </a:endParaRPr>
        </a:p>
      </dgm:t>
    </dgm:pt>
    <dgm:pt modelId="{B654F3CB-5C11-434C-8BCF-84423EF34EB1}" type="sibTrans" cxnId="{9476CC0F-AE95-4E42-89EF-DC1F3AAB9009}">
      <dgm:prSet/>
      <dgm:spPr/>
      <dgm:t>
        <a:bodyPr/>
        <a:lstStyle/>
        <a:p>
          <a:pPr algn="ctr"/>
          <a:endParaRPr lang="cs-CZ" sz="1000">
            <a:latin typeface="Arial Narrow" panose="020B0606020202030204" pitchFamily="34" charset="0"/>
          </a:endParaRPr>
        </a:p>
      </dgm:t>
    </dgm:pt>
    <dgm:pt modelId="{DE3ED80D-B52D-4650-B9A1-702BB2282763}">
      <dgm:prSet custT="1"/>
      <dgm:spPr/>
      <dgm:t>
        <a:bodyPr/>
        <a:lstStyle/>
        <a:p>
          <a:pPr algn="ctr"/>
          <a:r>
            <a:rPr lang="cs-CZ" sz="1000" b="1">
              <a:latin typeface="Arial Narrow" panose="020B0606020202030204" pitchFamily="34" charset="0"/>
            </a:rPr>
            <a:t>Přechodný pobyt</a:t>
          </a:r>
        </a:p>
        <a:p>
          <a:pPr algn="ctr"/>
          <a:r>
            <a:rPr lang="cs-CZ" sz="1000" b="0">
              <a:latin typeface="Arial Narrow" panose="020B0606020202030204" pitchFamily="34" charset="0"/>
            </a:rPr>
            <a:t>120 324</a:t>
          </a:r>
        </a:p>
      </dgm:t>
    </dgm:pt>
    <dgm:pt modelId="{AE6CB726-E8C8-4EC6-A197-1F76FCC7FA62}" type="sibTrans" cxnId="{FE52F693-3548-4910-8808-69D7C54D59B0}">
      <dgm:prSet/>
      <dgm:spPr/>
      <dgm:t>
        <a:bodyPr/>
        <a:lstStyle/>
        <a:p>
          <a:pPr algn="ctr"/>
          <a:endParaRPr lang="cs-CZ" sz="1000">
            <a:latin typeface="Arial Narrow" panose="020B0606020202030204" pitchFamily="34" charset="0"/>
          </a:endParaRPr>
        </a:p>
      </dgm:t>
    </dgm:pt>
    <dgm:pt modelId="{2664F1F0-BFDC-4CD7-B901-99AF68A2B446}" type="parTrans" cxnId="{FE52F693-3548-4910-8808-69D7C54D59B0}">
      <dgm:prSet/>
      <dgm:spPr/>
      <dgm:t>
        <a:bodyPr/>
        <a:lstStyle/>
        <a:p>
          <a:pPr algn="ctr"/>
          <a:endParaRPr lang="cs-CZ" sz="1000">
            <a:latin typeface="Arial Narrow" panose="020B0606020202030204" pitchFamily="34" charset="0"/>
          </a:endParaRPr>
        </a:p>
      </dgm:t>
    </dgm:pt>
    <dgm:pt modelId="{0816FAB7-DDCD-4892-A410-61DBCFE1BA2D}" type="pres">
      <dgm:prSet presAssocID="{EAFAB420-EEB5-4E75-8C34-59A031EF1922}" presName="hierChild1" presStyleCnt="0">
        <dgm:presLayoutVars>
          <dgm:orgChart val="1"/>
          <dgm:chPref val="1"/>
          <dgm:dir/>
          <dgm:animOne val="branch"/>
          <dgm:animLvl val="lvl"/>
          <dgm:resizeHandles/>
        </dgm:presLayoutVars>
      </dgm:prSet>
      <dgm:spPr/>
    </dgm:pt>
    <dgm:pt modelId="{A241821D-4BB0-4EB1-9C69-965984F868E9}" type="pres">
      <dgm:prSet presAssocID="{EE0C6337-64D5-45C9-9BDE-BFC912FD011F}" presName="hierRoot1" presStyleCnt="0">
        <dgm:presLayoutVars>
          <dgm:hierBranch val="init"/>
        </dgm:presLayoutVars>
      </dgm:prSet>
      <dgm:spPr/>
    </dgm:pt>
    <dgm:pt modelId="{B1453F62-B47B-45F3-B1AE-7ADC86283E34}" type="pres">
      <dgm:prSet presAssocID="{EE0C6337-64D5-45C9-9BDE-BFC912FD011F}" presName="rootComposite1" presStyleCnt="0"/>
      <dgm:spPr/>
    </dgm:pt>
    <dgm:pt modelId="{3BDBEEFA-759B-4106-B094-B7D056D56D4F}" type="pres">
      <dgm:prSet presAssocID="{EE0C6337-64D5-45C9-9BDE-BFC912FD011F}" presName="rootText1" presStyleLbl="node0" presStyleIdx="0" presStyleCnt="1" custScaleX="151837" custScaleY="62397" custLinFactNeighborX="-8471" custLinFactNeighborY="-43007">
        <dgm:presLayoutVars>
          <dgm:chPref val="3"/>
        </dgm:presLayoutVars>
      </dgm:prSet>
      <dgm:spPr/>
    </dgm:pt>
    <dgm:pt modelId="{9D3E807E-F669-4251-871B-FEB4E638FB75}" type="pres">
      <dgm:prSet presAssocID="{EE0C6337-64D5-45C9-9BDE-BFC912FD011F}" presName="rootConnector1" presStyleLbl="node1" presStyleIdx="0" presStyleCnt="0"/>
      <dgm:spPr/>
    </dgm:pt>
    <dgm:pt modelId="{4F17D64C-1CB7-4587-81AB-D6F249E91F4F}" type="pres">
      <dgm:prSet presAssocID="{EE0C6337-64D5-45C9-9BDE-BFC912FD011F}" presName="hierChild2" presStyleCnt="0"/>
      <dgm:spPr/>
    </dgm:pt>
    <dgm:pt modelId="{092061BD-F570-4C90-A960-E86826584969}" type="pres">
      <dgm:prSet presAssocID="{EE0C6337-64D5-45C9-9BDE-BFC912FD011F}" presName="hierChild3" presStyleCnt="0"/>
      <dgm:spPr/>
    </dgm:pt>
    <dgm:pt modelId="{8AFB2727-28B4-4F31-AD5B-64A271CF6D21}" type="pres">
      <dgm:prSet presAssocID="{B336F546-5C3D-4697-B71A-8381ACEBEB81}" presName="Name111" presStyleLbl="parChTrans1D2" presStyleIdx="0" presStyleCnt="2"/>
      <dgm:spPr/>
    </dgm:pt>
    <dgm:pt modelId="{E23A9618-0656-4010-B5D3-CFD9C0529AAF}" type="pres">
      <dgm:prSet presAssocID="{445D0D8C-E392-4478-A229-2482FA3828B0}" presName="hierRoot3" presStyleCnt="0">
        <dgm:presLayoutVars>
          <dgm:hierBranch val="init"/>
        </dgm:presLayoutVars>
      </dgm:prSet>
      <dgm:spPr/>
    </dgm:pt>
    <dgm:pt modelId="{F5A5481E-4402-4996-BB38-9883BB13AC27}" type="pres">
      <dgm:prSet presAssocID="{445D0D8C-E392-4478-A229-2482FA3828B0}" presName="rootComposite3" presStyleCnt="0"/>
      <dgm:spPr/>
    </dgm:pt>
    <dgm:pt modelId="{A3E7FEB7-D66D-4692-A128-652BBEC86DD4}" type="pres">
      <dgm:prSet presAssocID="{445D0D8C-E392-4478-A229-2482FA3828B0}" presName="rootText3" presStyleLbl="asst1" presStyleIdx="0" presStyleCnt="2" custScaleX="149354" custScaleY="65231" custLinFactNeighborX="4001" custLinFactNeighborY="-43506">
        <dgm:presLayoutVars>
          <dgm:chPref val="3"/>
        </dgm:presLayoutVars>
      </dgm:prSet>
      <dgm:spPr/>
    </dgm:pt>
    <dgm:pt modelId="{FA50B63C-B30F-4BF4-8D5D-EA7977366EE3}" type="pres">
      <dgm:prSet presAssocID="{445D0D8C-E392-4478-A229-2482FA3828B0}" presName="rootConnector3" presStyleLbl="asst1" presStyleIdx="0" presStyleCnt="2"/>
      <dgm:spPr/>
    </dgm:pt>
    <dgm:pt modelId="{4C664472-9179-4B64-B0A9-33F2686E7E70}" type="pres">
      <dgm:prSet presAssocID="{445D0D8C-E392-4478-A229-2482FA3828B0}" presName="hierChild6" presStyleCnt="0"/>
      <dgm:spPr/>
    </dgm:pt>
    <dgm:pt modelId="{BB2C9FE0-880D-4A3E-804C-756ACE0FDCFF}" type="pres">
      <dgm:prSet presAssocID="{36C618DA-AA2B-4812-9A35-F26CDD5E4559}" presName="Name37" presStyleLbl="parChTrans1D3" presStyleIdx="0" presStyleCnt="4"/>
      <dgm:spPr/>
    </dgm:pt>
    <dgm:pt modelId="{67601296-B547-44AC-B316-E89042E89EFC}" type="pres">
      <dgm:prSet presAssocID="{003F06FF-4FD5-4620-BE9E-11075A158BD2}" presName="hierRoot2" presStyleCnt="0">
        <dgm:presLayoutVars>
          <dgm:hierBranch val="init"/>
        </dgm:presLayoutVars>
      </dgm:prSet>
      <dgm:spPr/>
    </dgm:pt>
    <dgm:pt modelId="{13F8B1B8-A81B-4DE7-B9EA-290350E0C7B8}" type="pres">
      <dgm:prSet presAssocID="{003F06FF-4FD5-4620-BE9E-11075A158BD2}" presName="rootComposite" presStyleCnt="0"/>
      <dgm:spPr/>
    </dgm:pt>
    <dgm:pt modelId="{AB8B7419-5384-4957-8F64-4E7571848EF5}" type="pres">
      <dgm:prSet presAssocID="{003F06FF-4FD5-4620-BE9E-11075A158BD2}" presName="rootText" presStyleLbl="node3" presStyleIdx="0" presStyleCnt="4" custScaleX="72982" custScaleY="77233" custLinFactNeighborX="546" custLinFactNeighborY="-75247">
        <dgm:presLayoutVars>
          <dgm:chPref val="3"/>
        </dgm:presLayoutVars>
      </dgm:prSet>
      <dgm:spPr/>
    </dgm:pt>
    <dgm:pt modelId="{80461E62-9112-4F66-BA61-6AA617847AA1}" type="pres">
      <dgm:prSet presAssocID="{003F06FF-4FD5-4620-BE9E-11075A158BD2}" presName="rootConnector" presStyleLbl="node3" presStyleIdx="0" presStyleCnt="4"/>
      <dgm:spPr/>
    </dgm:pt>
    <dgm:pt modelId="{A3988EAC-330F-4B70-A340-ABC878951FC5}" type="pres">
      <dgm:prSet presAssocID="{003F06FF-4FD5-4620-BE9E-11075A158BD2}" presName="hierChild4" presStyleCnt="0"/>
      <dgm:spPr/>
    </dgm:pt>
    <dgm:pt modelId="{9A279FF0-D822-4624-B5EA-3F4306973A4B}" type="pres">
      <dgm:prSet presAssocID="{003F06FF-4FD5-4620-BE9E-11075A158BD2}" presName="hierChild5" presStyleCnt="0"/>
      <dgm:spPr/>
    </dgm:pt>
    <dgm:pt modelId="{6049AEAF-CBEB-4BBC-9157-7EBE2B9A7F70}" type="pres">
      <dgm:prSet presAssocID="{2664F1F0-BFDC-4CD7-B901-99AF68A2B446}" presName="Name37" presStyleLbl="parChTrans1D3" presStyleIdx="1" presStyleCnt="4"/>
      <dgm:spPr/>
    </dgm:pt>
    <dgm:pt modelId="{4F39EC85-2ED6-47BC-87EA-77C895A5678F}" type="pres">
      <dgm:prSet presAssocID="{DE3ED80D-B52D-4650-B9A1-702BB2282763}" presName="hierRoot2" presStyleCnt="0">
        <dgm:presLayoutVars>
          <dgm:hierBranch val="init"/>
        </dgm:presLayoutVars>
      </dgm:prSet>
      <dgm:spPr/>
    </dgm:pt>
    <dgm:pt modelId="{D6C0B439-5E3E-424A-A48C-70A9F1286A39}" type="pres">
      <dgm:prSet presAssocID="{DE3ED80D-B52D-4650-B9A1-702BB2282763}" presName="rootComposite" presStyleCnt="0"/>
      <dgm:spPr/>
    </dgm:pt>
    <dgm:pt modelId="{E91C8C16-0F06-41C5-8CBB-23B3D361CAF4}" type="pres">
      <dgm:prSet presAssocID="{DE3ED80D-B52D-4650-B9A1-702BB2282763}" presName="rootText" presStyleLbl="node3" presStyleIdx="1" presStyleCnt="4" custScaleX="80915" custScaleY="80124" custLinFactX="-12027" custLinFactY="-96454" custLinFactNeighborX="-100000" custLinFactNeighborY="-100000">
        <dgm:presLayoutVars>
          <dgm:chPref val="3"/>
        </dgm:presLayoutVars>
      </dgm:prSet>
      <dgm:spPr/>
    </dgm:pt>
    <dgm:pt modelId="{8CF31834-CB61-49F2-BCC7-D8B7E633E087}" type="pres">
      <dgm:prSet presAssocID="{DE3ED80D-B52D-4650-B9A1-702BB2282763}" presName="rootConnector" presStyleLbl="node3" presStyleIdx="1" presStyleCnt="4"/>
      <dgm:spPr/>
    </dgm:pt>
    <dgm:pt modelId="{D2328BA4-ECD3-4D30-810A-CD168B7E949C}" type="pres">
      <dgm:prSet presAssocID="{DE3ED80D-B52D-4650-B9A1-702BB2282763}" presName="hierChild4" presStyleCnt="0"/>
      <dgm:spPr/>
    </dgm:pt>
    <dgm:pt modelId="{DC9AA57D-8E11-4DB9-9A69-450696F3D82F}" type="pres">
      <dgm:prSet presAssocID="{DE3ED80D-B52D-4650-B9A1-702BB2282763}" presName="hierChild5" presStyleCnt="0"/>
      <dgm:spPr/>
    </dgm:pt>
    <dgm:pt modelId="{9C781E04-BE35-4560-B55F-82B583B5383F}" type="pres">
      <dgm:prSet presAssocID="{445D0D8C-E392-4478-A229-2482FA3828B0}" presName="hierChild7" presStyleCnt="0"/>
      <dgm:spPr/>
    </dgm:pt>
    <dgm:pt modelId="{296DE37C-7632-4B5D-8411-4607F51EA738}" type="pres">
      <dgm:prSet presAssocID="{8F40762B-DA61-4838-9BC2-3C60374B9EB1}" presName="Name111" presStyleLbl="parChTrans1D2" presStyleIdx="1" presStyleCnt="2"/>
      <dgm:spPr/>
    </dgm:pt>
    <dgm:pt modelId="{EFF824AA-2170-4AA0-B92F-71DDD82BE2C3}" type="pres">
      <dgm:prSet presAssocID="{5F06F08F-2005-457E-82F4-BAA83DC3FF31}" presName="hierRoot3" presStyleCnt="0">
        <dgm:presLayoutVars>
          <dgm:hierBranch val="init"/>
        </dgm:presLayoutVars>
      </dgm:prSet>
      <dgm:spPr/>
    </dgm:pt>
    <dgm:pt modelId="{F046213F-CA3C-4797-A88F-97B5AA37D7F0}" type="pres">
      <dgm:prSet presAssocID="{5F06F08F-2005-457E-82F4-BAA83DC3FF31}" presName="rootComposite3" presStyleCnt="0"/>
      <dgm:spPr/>
    </dgm:pt>
    <dgm:pt modelId="{9BCA2033-9B7A-47AA-8606-D0025F2EBF3D}" type="pres">
      <dgm:prSet presAssocID="{5F06F08F-2005-457E-82F4-BAA83DC3FF31}" presName="rootText3" presStyleLbl="asst1" presStyleIdx="1" presStyleCnt="2" custScaleX="147755" custScaleY="70738" custLinFactNeighborX="14027" custLinFactNeighborY="-43506">
        <dgm:presLayoutVars>
          <dgm:chPref val="3"/>
        </dgm:presLayoutVars>
      </dgm:prSet>
      <dgm:spPr/>
    </dgm:pt>
    <dgm:pt modelId="{CAE85DDB-5857-4D9C-89DD-46E67BACA3CA}" type="pres">
      <dgm:prSet presAssocID="{5F06F08F-2005-457E-82F4-BAA83DC3FF31}" presName="rootConnector3" presStyleLbl="asst1" presStyleIdx="1" presStyleCnt="2"/>
      <dgm:spPr/>
    </dgm:pt>
    <dgm:pt modelId="{58159091-9814-41CD-A369-EA028304A0DC}" type="pres">
      <dgm:prSet presAssocID="{5F06F08F-2005-457E-82F4-BAA83DC3FF31}" presName="hierChild6" presStyleCnt="0"/>
      <dgm:spPr/>
    </dgm:pt>
    <dgm:pt modelId="{709B608C-5ABA-4A86-8E17-0A56DBA6AA76}" type="pres">
      <dgm:prSet presAssocID="{F9C2EC42-517C-45EA-8F30-6C6890BC7E1A}" presName="Name37" presStyleLbl="parChTrans1D3" presStyleIdx="2" presStyleCnt="4"/>
      <dgm:spPr/>
    </dgm:pt>
    <dgm:pt modelId="{77BCC95E-DCAA-4DA1-8DBC-2562BF191308}" type="pres">
      <dgm:prSet presAssocID="{C2AB6CBC-9E4A-46A8-9683-A991CE2D62A6}" presName="hierRoot2" presStyleCnt="0">
        <dgm:presLayoutVars>
          <dgm:hierBranch val="init"/>
        </dgm:presLayoutVars>
      </dgm:prSet>
      <dgm:spPr/>
    </dgm:pt>
    <dgm:pt modelId="{9B94D8F5-2F4C-46F3-B9DB-0B28131F8FDB}" type="pres">
      <dgm:prSet presAssocID="{C2AB6CBC-9E4A-46A8-9683-A991CE2D62A6}" presName="rootComposite" presStyleCnt="0"/>
      <dgm:spPr/>
    </dgm:pt>
    <dgm:pt modelId="{0F919C53-09AC-4440-B998-CAF7EAB2B773}" type="pres">
      <dgm:prSet presAssocID="{C2AB6CBC-9E4A-46A8-9683-A991CE2D62A6}" presName="rootText" presStyleLbl="node3" presStyleIdx="2" presStyleCnt="4" custScaleX="81033" custScaleY="75275" custLinFactNeighborX="7545" custLinFactNeighborY="-74663">
        <dgm:presLayoutVars>
          <dgm:chPref val="3"/>
        </dgm:presLayoutVars>
      </dgm:prSet>
      <dgm:spPr/>
    </dgm:pt>
    <dgm:pt modelId="{377FFE3C-45BC-4908-8825-B43975013CD2}" type="pres">
      <dgm:prSet presAssocID="{C2AB6CBC-9E4A-46A8-9683-A991CE2D62A6}" presName="rootConnector" presStyleLbl="node3" presStyleIdx="2" presStyleCnt="4"/>
      <dgm:spPr/>
    </dgm:pt>
    <dgm:pt modelId="{CE9A8BCE-F951-4DDE-8A28-459F9BA06F2E}" type="pres">
      <dgm:prSet presAssocID="{C2AB6CBC-9E4A-46A8-9683-A991CE2D62A6}" presName="hierChild4" presStyleCnt="0"/>
      <dgm:spPr/>
    </dgm:pt>
    <dgm:pt modelId="{7FF269B5-5F28-41A8-BE79-C06F411EBFCC}" type="pres">
      <dgm:prSet presAssocID="{C2AB6CBC-9E4A-46A8-9683-A991CE2D62A6}" presName="hierChild5" presStyleCnt="0"/>
      <dgm:spPr/>
    </dgm:pt>
    <dgm:pt modelId="{C4570BBE-0E5B-4DD0-BFDD-BC6E17FE0B9A}" type="pres">
      <dgm:prSet presAssocID="{E9F69906-7DA7-43D9-B93D-36A83D816B93}" presName="Name37" presStyleLbl="parChTrans1D3" presStyleIdx="3" presStyleCnt="4"/>
      <dgm:spPr/>
    </dgm:pt>
    <dgm:pt modelId="{73EBEF30-0653-48B7-BBCA-8F8E2DC03848}" type="pres">
      <dgm:prSet presAssocID="{DC839CC0-8C25-4545-BE5F-4DEE929AEE7B}" presName="hierRoot2" presStyleCnt="0">
        <dgm:presLayoutVars>
          <dgm:hierBranch val="init"/>
        </dgm:presLayoutVars>
      </dgm:prSet>
      <dgm:spPr/>
    </dgm:pt>
    <dgm:pt modelId="{059207ED-E72E-429E-9331-5A7FD3A10F70}" type="pres">
      <dgm:prSet presAssocID="{DC839CC0-8C25-4545-BE5F-4DEE929AEE7B}" presName="rootComposite" presStyleCnt="0"/>
      <dgm:spPr/>
    </dgm:pt>
    <dgm:pt modelId="{23C09C7D-B214-4C6D-95C5-E9D8500A7BF5}" type="pres">
      <dgm:prSet presAssocID="{DC839CC0-8C25-4545-BE5F-4DEE929AEE7B}" presName="rootText" presStyleLbl="node3" presStyleIdx="3" presStyleCnt="4" custScaleX="80763" custScaleY="77669" custLinFactX="-3643" custLinFactY="-93816" custLinFactNeighborX="-100000" custLinFactNeighborY="-100000">
        <dgm:presLayoutVars>
          <dgm:chPref val="3"/>
        </dgm:presLayoutVars>
      </dgm:prSet>
      <dgm:spPr/>
    </dgm:pt>
    <dgm:pt modelId="{334E53CD-E15B-4609-88F1-45039FFA175C}" type="pres">
      <dgm:prSet presAssocID="{DC839CC0-8C25-4545-BE5F-4DEE929AEE7B}" presName="rootConnector" presStyleLbl="node3" presStyleIdx="3" presStyleCnt="4"/>
      <dgm:spPr/>
    </dgm:pt>
    <dgm:pt modelId="{43F6DF00-1916-4002-8DF6-4477D2815AFE}" type="pres">
      <dgm:prSet presAssocID="{DC839CC0-8C25-4545-BE5F-4DEE929AEE7B}" presName="hierChild4" presStyleCnt="0"/>
      <dgm:spPr/>
    </dgm:pt>
    <dgm:pt modelId="{28B902E8-38DB-4B60-B634-2C7FB226C312}" type="pres">
      <dgm:prSet presAssocID="{DC839CC0-8C25-4545-BE5F-4DEE929AEE7B}" presName="hierChild5" presStyleCnt="0"/>
      <dgm:spPr/>
    </dgm:pt>
    <dgm:pt modelId="{BF9F04E3-84C1-4623-B90E-38D4058BE92F}" type="pres">
      <dgm:prSet presAssocID="{5F06F08F-2005-457E-82F4-BAA83DC3FF31}" presName="hierChild7" presStyleCnt="0"/>
      <dgm:spPr/>
    </dgm:pt>
  </dgm:ptLst>
  <dgm:cxnLst>
    <dgm:cxn modelId="{9476CC0F-AE95-4E42-89EF-DC1F3AAB9009}" srcId="{5F06F08F-2005-457E-82F4-BAA83DC3FF31}" destId="{DC839CC0-8C25-4545-BE5F-4DEE929AEE7B}" srcOrd="1" destOrd="0" parTransId="{E9F69906-7DA7-43D9-B93D-36A83D816B93}" sibTransId="{B654F3CB-5C11-434C-8BCF-84423EF34EB1}"/>
    <dgm:cxn modelId="{BA6A4412-54B8-41F8-A3FB-4B8F7E8349C1}" srcId="{EE0C6337-64D5-45C9-9BDE-BFC912FD011F}" destId="{445D0D8C-E392-4478-A229-2482FA3828B0}" srcOrd="0" destOrd="0" parTransId="{B336F546-5C3D-4697-B71A-8381ACEBEB81}" sibTransId="{8C41C3DA-CE15-4F15-ACE9-74E04C9AB8AD}"/>
    <dgm:cxn modelId="{599D4A20-4A28-41BB-8D20-5BAA0AD1C3CD}" type="presOf" srcId="{003F06FF-4FD5-4620-BE9E-11075A158BD2}" destId="{80461E62-9112-4F66-BA61-6AA617847AA1}" srcOrd="1" destOrd="0" presId="urn:microsoft.com/office/officeart/2005/8/layout/orgChart1"/>
    <dgm:cxn modelId="{E5F54F26-CE3E-4CDC-87E1-A2A431209B17}" type="presOf" srcId="{445D0D8C-E392-4478-A229-2482FA3828B0}" destId="{A3E7FEB7-D66D-4692-A128-652BBEC86DD4}" srcOrd="0" destOrd="0" presId="urn:microsoft.com/office/officeart/2005/8/layout/orgChart1"/>
    <dgm:cxn modelId="{F4BD6A38-7629-483D-A4A5-3184FAE4B682}" type="presOf" srcId="{B336F546-5C3D-4697-B71A-8381ACEBEB81}" destId="{8AFB2727-28B4-4F31-AD5B-64A271CF6D21}" srcOrd="0" destOrd="0" presId="urn:microsoft.com/office/officeart/2005/8/layout/orgChart1"/>
    <dgm:cxn modelId="{00C60639-4319-4D97-A5DD-71CF2A7AFA1C}" type="presOf" srcId="{5F06F08F-2005-457E-82F4-BAA83DC3FF31}" destId="{9BCA2033-9B7A-47AA-8606-D0025F2EBF3D}" srcOrd="0" destOrd="0" presId="urn:microsoft.com/office/officeart/2005/8/layout/orgChart1"/>
    <dgm:cxn modelId="{CE4C2239-1004-4CF1-83E5-AB5E9A4367A1}" type="presOf" srcId="{EAFAB420-EEB5-4E75-8C34-59A031EF1922}" destId="{0816FAB7-DDCD-4892-A410-61DBCFE1BA2D}" srcOrd="0" destOrd="0" presId="urn:microsoft.com/office/officeart/2005/8/layout/orgChart1"/>
    <dgm:cxn modelId="{B80CFC3E-564F-4033-9979-045D0F37A88E}" type="presOf" srcId="{EE0C6337-64D5-45C9-9BDE-BFC912FD011F}" destId="{9D3E807E-F669-4251-871B-FEB4E638FB75}" srcOrd="1" destOrd="0" presId="urn:microsoft.com/office/officeart/2005/8/layout/orgChart1"/>
    <dgm:cxn modelId="{F98FF440-2C65-41A7-BAF3-9F1616A28319}" type="presOf" srcId="{5F06F08F-2005-457E-82F4-BAA83DC3FF31}" destId="{CAE85DDB-5857-4D9C-89DD-46E67BACA3CA}" srcOrd="1" destOrd="0" presId="urn:microsoft.com/office/officeart/2005/8/layout/orgChart1"/>
    <dgm:cxn modelId="{457A035D-5710-43C3-83FD-4D27595F3B30}" type="presOf" srcId="{2664F1F0-BFDC-4CD7-B901-99AF68A2B446}" destId="{6049AEAF-CBEB-4BBC-9157-7EBE2B9A7F70}" srcOrd="0" destOrd="0" presId="urn:microsoft.com/office/officeart/2005/8/layout/orgChart1"/>
    <dgm:cxn modelId="{3F1ADC46-B5BC-46F2-A628-DBE2A7282363}" type="presOf" srcId="{445D0D8C-E392-4478-A229-2482FA3828B0}" destId="{FA50B63C-B30F-4BF4-8D5D-EA7977366EE3}" srcOrd="1" destOrd="0" presId="urn:microsoft.com/office/officeart/2005/8/layout/orgChart1"/>
    <dgm:cxn modelId="{54782B52-35FF-46FA-9DF9-68F025FA9DAD}" type="presOf" srcId="{36C618DA-AA2B-4812-9A35-F26CDD5E4559}" destId="{BB2C9FE0-880D-4A3E-804C-756ACE0FDCFF}" srcOrd="0" destOrd="0" presId="urn:microsoft.com/office/officeart/2005/8/layout/orgChart1"/>
    <dgm:cxn modelId="{C59A0B77-C879-4412-B5B1-AB1ADE892AE7}" type="presOf" srcId="{C2AB6CBC-9E4A-46A8-9683-A991CE2D62A6}" destId="{0F919C53-09AC-4440-B998-CAF7EAB2B773}" srcOrd="0" destOrd="0" presId="urn:microsoft.com/office/officeart/2005/8/layout/orgChart1"/>
    <dgm:cxn modelId="{AFCAA277-43AB-4DC1-85E5-7DAC66D62B8F}" type="presOf" srcId="{F9C2EC42-517C-45EA-8F30-6C6890BC7E1A}" destId="{709B608C-5ABA-4A86-8E17-0A56DBA6AA76}" srcOrd="0" destOrd="0" presId="urn:microsoft.com/office/officeart/2005/8/layout/orgChart1"/>
    <dgm:cxn modelId="{09E22C7D-236D-4E84-885A-A3F78D2301B4}" type="presOf" srcId="{DC839CC0-8C25-4545-BE5F-4DEE929AEE7B}" destId="{334E53CD-E15B-4609-88F1-45039FFA175C}" srcOrd="1" destOrd="0" presId="urn:microsoft.com/office/officeart/2005/8/layout/orgChart1"/>
    <dgm:cxn modelId="{5160EB8F-0C70-44B3-9E67-D10D9BB20F45}" srcId="{5F06F08F-2005-457E-82F4-BAA83DC3FF31}" destId="{C2AB6CBC-9E4A-46A8-9683-A991CE2D62A6}" srcOrd="0" destOrd="0" parTransId="{F9C2EC42-517C-45EA-8F30-6C6890BC7E1A}" sibTransId="{1F56D3CD-56A6-4646-B2B9-F61AAB954CBF}"/>
    <dgm:cxn modelId="{07D6D193-5163-4D4E-8F99-A227D2A56FC0}" type="presOf" srcId="{DC839CC0-8C25-4545-BE5F-4DEE929AEE7B}" destId="{23C09C7D-B214-4C6D-95C5-E9D8500A7BF5}" srcOrd="0" destOrd="0" presId="urn:microsoft.com/office/officeart/2005/8/layout/orgChart1"/>
    <dgm:cxn modelId="{FE52F693-3548-4910-8808-69D7C54D59B0}" srcId="{445D0D8C-E392-4478-A229-2482FA3828B0}" destId="{DE3ED80D-B52D-4650-B9A1-702BB2282763}" srcOrd="1" destOrd="0" parTransId="{2664F1F0-BFDC-4CD7-B901-99AF68A2B446}" sibTransId="{AE6CB726-E8C8-4EC6-A197-1F76FCC7FA62}"/>
    <dgm:cxn modelId="{EC79C294-CC15-4C2B-824D-B4A3CF865B64}" srcId="{EE0C6337-64D5-45C9-9BDE-BFC912FD011F}" destId="{5F06F08F-2005-457E-82F4-BAA83DC3FF31}" srcOrd="1" destOrd="0" parTransId="{8F40762B-DA61-4838-9BC2-3C60374B9EB1}" sibTransId="{BE5132DB-1821-4F88-9339-2BB75DFEFF5B}"/>
    <dgm:cxn modelId="{EDF61096-5739-4E7D-8CC9-8E3390CFA36C}" srcId="{445D0D8C-E392-4478-A229-2482FA3828B0}" destId="{003F06FF-4FD5-4620-BE9E-11075A158BD2}" srcOrd="0" destOrd="0" parTransId="{36C618DA-AA2B-4812-9A35-F26CDD5E4559}" sibTransId="{89976892-EB48-4DF7-99C1-0BA53EA7E55A}"/>
    <dgm:cxn modelId="{FEC688B3-81CF-4D1E-8059-4756098DC591}" type="presOf" srcId="{DE3ED80D-B52D-4650-B9A1-702BB2282763}" destId="{E91C8C16-0F06-41C5-8CBB-23B3D361CAF4}" srcOrd="0" destOrd="0" presId="urn:microsoft.com/office/officeart/2005/8/layout/orgChart1"/>
    <dgm:cxn modelId="{51D835B6-FE95-442C-8995-087124EEE32D}" type="presOf" srcId="{003F06FF-4FD5-4620-BE9E-11075A158BD2}" destId="{AB8B7419-5384-4957-8F64-4E7571848EF5}" srcOrd="0" destOrd="0" presId="urn:microsoft.com/office/officeart/2005/8/layout/orgChart1"/>
    <dgm:cxn modelId="{30CF0AC9-1CBB-49BF-B8F3-01A55F4607A9}" type="presOf" srcId="{DE3ED80D-B52D-4650-B9A1-702BB2282763}" destId="{8CF31834-CB61-49F2-BCC7-D8B7E633E087}" srcOrd="1" destOrd="0" presId="urn:microsoft.com/office/officeart/2005/8/layout/orgChart1"/>
    <dgm:cxn modelId="{E1A6C5CC-FB1C-48B4-A3B4-68E805089372}" type="presOf" srcId="{8F40762B-DA61-4838-9BC2-3C60374B9EB1}" destId="{296DE37C-7632-4B5D-8411-4607F51EA738}" srcOrd="0" destOrd="0" presId="urn:microsoft.com/office/officeart/2005/8/layout/orgChart1"/>
    <dgm:cxn modelId="{E52D1FDA-E12B-407D-B20B-C13F6803250C}" type="presOf" srcId="{C2AB6CBC-9E4A-46A8-9683-A991CE2D62A6}" destId="{377FFE3C-45BC-4908-8825-B43975013CD2}" srcOrd="1" destOrd="0" presId="urn:microsoft.com/office/officeart/2005/8/layout/orgChart1"/>
    <dgm:cxn modelId="{4B6930DA-3FBD-4194-8980-C51E11AFC0A9}" type="presOf" srcId="{EE0C6337-64D5-45C9-9BDE-BFC912FD011F}" destId="{3BDBEEFA-759B-4106-B094-B7D056D56D4F}" srcOrd="0" destOrd="0" presId="urn:microsoft.com/office/officeart/2005/8/layout/orgChart1"/>
    <dgm:cxn modelId="{AE05DCE5-661E-4380-8D3E-4DA96C9792F7}" srcId="{EAFAB420-EEB5-4E75-8C34-59A031EF1922}" destId="{EE0C6337-64D5-45C9-9BDE-BFC912FD011F}" srcOrd="0" destOrd="0" parTransId="{CE6FFC76-EE40-4907-A05E-82B70D9CF13B}" sibTransId="{4154E7C9-BB92-46C4-B11A-E01CAF846964}"/>
    <dgm:cxn modelId="{E40259ED-97AA-4746-A5D2-E5E5B2A92907}" type="presOf" srcId="{E9F69906-7DA7-43D9-B93D-36A83D816B93}" destId="{C4570BBE-0E5B-4DD0-BFDD-BC6E17FE0B9A}" srcOrd="0" destOrd="0" presId="urn:microsoft.com/office/officeart/2005/8/layout/orgChart1"/>
    <dgm:cxn modelId="{4AFC2EAA-67DF-4C4B-8E0B-A889A960FB98}" type="presParOf" srcId="{0816FAB7-DDCD-4892-A410-61DBCFE1BA2D}" destId="{A241821D-4BB0-4EB1-9C69-965984F868E9}" srcOrd="0" destOrd="0" presId="urn:microsoft.com/office/officeart/2005/8/layout/orgChart1"/>
    <dgm:cxn modelId="{5F641204-88E9-4624-BF2C-0143BE767448}" type="presParOf" srcId="{A241821D-4BB0-4EB1-9C69-965984F868E9}" destId="{B1453F62-B47B-45F3-B1AE-7ADC86283E34}" srcOrd="0" destOrd="0" presId="urn:microsoft.com/office/officeart/2005/8/layout/orgChart1"/>
    <dgm:cxn modelId="{F341857E-E2FB-4CCC-B1D1-AB707F8B4D95}" type="presParOf" srcId="{B1453F62-B47B-45F3-B1AE-7ADC86283E34}" destId="{3BDBEEFA-759B-4106-B094-B7D056D56D4F}" srcOrd="0" destOrd="0" presId="urn:microsoft.com/office/officeart/2005/8/layout/orgChart1"/>
    <dgm:cxn modelId="{1CA016E9-ABFB-4998-B8F4-6EC790FCFAF9}" type="presParOf" srcId="{B1453F62-B47B-45F3-B1AE-7ADC86283E34}" destId="{9D3E807E-F669-4251-871B-FEB4E638FB75}" srcOrd="1" destOrd="0" presId="urn:microsoft.com/office/officeart/2005/8/layout/orgChart1"/>
    <dgm:cxn modelId="{D3F80322-5F13-43A0-97E7-302797593B59}" type="presParOf" srcId="{A241821D-4BB0-4EB1-9C69-965984F868E9}" destId="{4F17D64C-1CB7-4587-81AB-D6F249E91F4F}" srcOrd="1" destOrd="0" presId="urn:microsoft.com/office/officeart/2005/8/layout/orgChart1"/>
    <dgm:cxn modelId="{4B244EBF-E386-40A4-B102-C230B1AA727F}" type="presParOf" srcId="{A241821D-4BB0-4EB1-9C69-965984F868E9}" destId="{092061BD-F570-4C90-A960-E86826584969}" srcOrd="2" destOrd="0" presId="urn:microsoft.com/office/officeart/2005/8/layout/orgChart1"/>
    <dgm:cxn modelId="{42E11BBC-2E04-434B-BD39-010499C974CB}" type="presParOf" srcId="{092061BD-F570-4C90-A960-E86826584969}" destId="{8AFB2727-28B4-4F31-AD5B-64A271CF6D21}" srcOrd="0" destOrd="0" presId="urn:microsoft.com/office/officeart/2005/8/layout/orgChart1"/>
    <dgm:cxn modelId="{C75B1085-550C-4114-B25D-C3E9015B872C}" type="presParOf" srcId="{092061BD-F570-4C90-A960-E86826584969}" destId="{E23A9618-0656-4010-B5D3-CFD9C0529AAF}" srcOrd="1" destOrd="0" presId="urn:microsoft.com/office/officeart/2005/8/layout/orgChart1"/>
    <dgm:cxn modelId="{B4244EAD-B181-48CF-990C-FF8CC8B830D7}" type="presParOf" srcId="{E23A9618-0656-4010-B5D3-CFD9C0529AAF}" destId="{F5A5481E-4402-4996-BB38-9883BB13AC27}" srcOrd="0" destOrd="0" presId="urn:microsoft.com/office/officeart/2005/8/layout/orgChart1"/>
    <dgm:cxn modelId="{AEFAF9C7-5687-42FA-A71A-8124A3199279}" type="presParOf" srcId="{F5A5481E-4402-4996-BB38-9883BB13AC27}" destId="{A3E7FEB7-D66D-4692-A128-652BBEC86DD4}" srcOrd="0" destOrd="0" presId="urn:microsoft.com/office/officeart/2005/8/layout/orgChart1"/>
    <dgm:cxn modelId="{8AE9BD0A-74EB-4091-A3E4-96267036C5DA}" type="presParOf" srcId="{F5A5481E-4402-4996-BB38-9883BB13AC27}" destId="{FA50B63C-B30F-4BF4-8D5D-EA7977366EE3}" srcOrd="1" destOrd="0" presId="urn:microsoft.com/office/officeart/2005/8/layout/orgChart1"/>
    <dgm:cxn modelId="{6CFC96FD-685F-4A7B-BDDB-C6B4D4782272}" type="presParOf" srcId="{E23A9618-0656-4010-B5D3-CFD9C0529AAF}" destId="{4C664472-9179-4B64-B0A9-33F2686E7E70}" srcOrd="1" destOrd="0" presId="urn:microsoft.com/office/officeart/2005/8/layout/orgChart1"/>
    <dgm:cxn modelId="{28B4BA2E-CC16-470B-9A32-12521C6E69E5}" type="presParOf" srcId="{4C664472-9179-4B64-B0A9-33F2686E7E70}" destId="{BB2C9FE0-880D-4A3E-804C-756ACE0FDCFF}" srcOrd="0" destOrd="0" presId="urn:microsoft.com/office/officeart/2005/8/layout/orgChart1"/>
    <dgm:cxn modelId="{E6F42822-DF2F-413C-B88B-AF53B21C9536}" type="presParOf" srcId="{4C664472-9179-4B64-B0A9-33F2686E7E70}" destId="{67601296-B547-44AC-B316-E89042E89EFC}" srcOrd="1" destOrd="0" presId="urn:microsoft.com/office/officeart/2005/8/layout/orgChart1"/>
    <dgm:cxn modelId="{19611060-FFCA-4AE4-97DE-0C5159386996}" type="presParOf" srcId="{67601296-B547-44AC-B316-E89042E89EFC}" destId="{13F8B1B8-A81B-4DE7-B9EA-290350E0C7B8}" srcOrd="0" destOrd="0" presId="urn:microsoft.com/office/officeart/2005/8/layout/orgChart1"/>
    <dgm:cxn modelId="{DF659856-B9BB-448C-813B-094A204E4FC0}" type="presParOf" srcId="{13F8B1B8-A81B-4DE7-B9EA-290350E0C7B8}" destId="{AB8B7419-5384-4957-8F64-4E7571848EF5}" srcOrd="0" destOrd="0" presId="urn:microsoft.com/office/officeart/2005/8/layout/orgChart1"/>
    <dgm:cxn modelId="{210316A9-450F-4CB7-B781-2C77C3A25241}" type="presParOf" srcId="{13F8B1B8-A81B-4DE7-B9EA-290350E0C7B8}" destId="{80461E62-9112-4F66-BA61-6AA617847AA1}" srcOrd="1" destOrd="0" presId="urn:microsoft.com/office/officeart/2005/8/layout/orgChart1"/>
    <dgm:cxn modelId="{1F2932B4-0ED7-4D6B-BB1B-FB7872FE1C77}" type="presParOf" srcId="{67601296-B547-44AC-B316-E89042E89EFC}" destId="{A3988EAC-330F-4B70-A340-ABC878951FC5}" srcOrd="1" destOrd="0" presId="urn:microsoft.com/office/officeart/2005/8/layout/orgChart1"/>
    <dgm:cxn modelId="{1A119221-85FE-4835-8330-033A3628B3D8}" type="presParOf" srcId="{67601296-B547-44AC-B316-E89042E89EFC}" destId="{9A279FF0-D822-4624-B5EA-3F4306973A4B}" srcOrd="2" destOrd="0" presId="urn:microsoft.com/office/officeart/2005/8/layout/orgChart1"/>
    <dgm:cxn modelId="{7771B6D0-68EA-4296-82FA-F68C7BA40B89}" type="presParOf" srcId="{4C664472-9179-4B64-B0A9-33F2686E7E70}" destId="{6049AEAF-CBEB-4BBC-9157-7EBE2B9A7F70}" srcOrd="2" destOrd="0" presId="urn:microsoft.com/office/officeart/2005/8/layout/orgChart1"/>
    <dgm:cxn modelId="{E39D4FCE-3604-4924-931E-7AED8C1F611F}" type="presParOf" srcId="{4C664472-9179-4B64-B0A9-33F2686E7E70}" destId="{4F39EC85-2ED6-47BC-87EA-77C895A5678F}" srcOrd="3" destOrd="0" presId="urn:microsoft.com/office/officeart/2005/8/layout/orgChart1"/>
    <dgm:cxn modelId="{3F939FCD-A805-40EE-BDAC-381FF6BC2AB9}" type="presParOf" srcId="{4F39EC85-2ED6-47BC-87EA-77C895A5678F}" destId="{D6C0B439-5E3E-424A-A48C-70A9F1286A39}" srcOrd="0" destOrd="0" presId="urn:microsoft.com/office/officeart/2005/8/layout/orgChart1"/>
    <dgm:cxn modelId="{4703E03A-19F0-4C2A-B340-E29ADCD8FCA6}" type="presParOf" srcId="{D6C0B439-5E3E-424A-A48C-70A9F1286A39}" destId="{E91C8C16-0F06-41C5-8CBB-23B3D361CAF4}" srcOrd="0" destOrd="0" presId="urn:microsoft.com/office/officeart/2005/8/layout/orgChart1"/>
    <dgm:cxn modelId="{1E492789-636A-4DDE-A30E-E1A5E8F0E80A}" type="presParOf" srcId="{D6C0B439-5E3E-424A-A48C-70A9F1286A39}" destId="{8CF31834-CB61-49F2-BCC7-D8B7E633E087}" srcOrd="1" destOrd="0" presId="urn:microsoft.com/office/officeart/2005/8/layout/orgChart1"/>
    <dgm:cxn modelId="{9B3B1419-2A7E-4E0E-A3F7-47428A447356}" type="presParOf" srcId="{4F39EC85-2ED6-47BC-87EA-77C895A5678F}" destId="{D2328BA4-ECD3-4D30-810A-CD168B7E949C}" srcOrd="1" destOrd="0" presId="urn:microsoft.com/office/officeart/2005/8/layout/orgChart1"/>
    <dgm:cxn modelId="{412148D5-C20F-4C54-800F-80812775A22C}" type="presParOf" srcId="{4F39EC85-2ED6-47BC-87EA-77C895A5678F}" destId="{DC9AA57D-8E11-4DB9-9A69-450696F3D82F}" srcOrd="2" destOrd="0" presId="urn:microsoft.com/office/officeart/2005/8/layout/orgChart1"/>
    <dgm:cxn modelId="{7B876C12-EB96-4423-81F9-2280709F688D}" type="presParOf" srcId="{E23A9618-0656-4010-B5D3-CFD9C0529AAF}" destId="{9C781E04-BE35-4560-B55F-82B583B5383F}" srcOrd="2" destOrd="0" presId="urn:microsoft.com/office/officeart/2005/8/layout/orgChart1"/>
    <dgm:cxn modelId="{CA986246-FFD1-4DCA-8469-EEFC1302D5C1}" type="presParOf" srcId="{092061BD-F570-4C90-A960-E86826584969}" destId="{296DE37C-7632-4B5D-8411-4607F51EA738}" srcOrd="2" destOrd="0" presId="urn:microsoft.com/office/officeart/2005/8/layout/orgChart1"/>
    <dgm:cxn modelId="{DBF83E98-9B2B-4489-A07D-715E2F02F082}" type="presParOf" srcId="{092061BD-F570-4C90-A960-E86826584969}" destId="{EFF824AA-2170-4AA0-B92F-71DDD82BE2C3}" srcOrd="3" destOrd="0" presId="urn:microsoft.com/office/officeart/2005/8/layout/orgChart1"/>
    <dgm:cxn modelId="{0EB305F4-EDD7-4D7C-A641-807B5B5FC7F4}" type="presParOf" srcId="{EFF824AA-2170-4AA0-B92F-71DDD82BE2C3}" destId="{F046213F-CA3C-4797-A88F-97B5AA37D7F0}" srcOrd="0" destOrd="0" presId="urn:microsoft.com/office/officeart/2005/8/layout/orgChart1"/>
    <dgm:cxn modelId="{36E27005-F303-49C3-BCD3-C4E1409DB5A5}" type="presParOf" srcId="{F046213F-CA3C-4797-A88F-97B5AA37D7F0}" destId="{9BCA2033-9B7A-47AA-8606-D0025F2EBF3D}" srcOrd="0" destOrd="0" presId="urn:microsoft.com/office/officeart/2005/8/layout/orgChart1"/>
    <dgm:cxn modelId="{EAC003E0-1F8B-499B-8A9A-6D8B8596220C}" type="presParOf" srcId="{F046213F-CA3C-4797-A88F-97B5AA37D7F0}" destId="{CAE85DDB-5857-4D9C-89DD-46E67BACA3CA}" srcOrd="1" destOrd="0" presId="urn:microsoft.com/office/officeart/2005/8/layout/orgChart1"/>
    <dgm:cxn modelId="{5B170DAC-BE05-4B3F-BEB4-80E1037D8151}" type="presParOf" srcId="{EFF824AA-2170-4AA0-B92F-71DDD82BE2C3}" destId="{58159091-9814-41CD-A369-EA028304A0DC}" srcOrd="1" destOrd="0" presId="urn:microsoft.com/office/officeart/2005/8/layout/orgChart1"/>
    <dgm:cxn modelId="{3F05D5C6-BD13-44C4-B240-4B0F99C79602}" type="presParOf" srcId="{58159091-9814-41CD-A369-EA028304A0DC}" destId="{709B608C-5ABA-4A86-8E17-0A56DBA6AA76}" srcOrd="0" destOrd="0" presId="urn:microsoft.com/office/officeart/2005/8/layout/orgChart1"/>
    <dgm:cxn modelId="{7DDC78B0-E1E5-4D9B-A59B-7030645F78E2}" type="presParOf" srcId="{58159091-9814-41CD-A369-EA028304A0DC}" destId="{77BCC95E-DCAA-4DA1-8DBC-2562BF191308}" srcOrd="1" destOrd="0" presId="urn:microsoft.com/office/officeart/2005/8/layout/orgChart1"/>
    <dgm:cxn modelId="{DC13B98C-3C74-4D94-9BC5-B48EA0FB07B2}" type="presParOf" srcId="{77BCC95E-DCAA-4DA1-8DBC-2562BF191308}" destId="{9B94D8F5-2F4C-46F3-B9DB-0B28131F8FDB}" srcOrd="0" destOrd="0" presId="urn:microsoft.com/office/officeart/2005/8/layout/orgChart1"/>
    <dgm:cxn modelId="{7A3419B9-1F8C-44B6-BD0D-E58F3CF808BC}" type="presParOf" srcId="{9B94D8F5-2F4C-46F3-B9DB-0B28131F8FDB}" destId="{0F919C53-09AC-4440-B998-CAF7EAB2B773}" srcOrd="0" destOrd="0" presId="urn:microsoft.com/office/officeart/2005/8/layout/orgChart1"/>
    <dgm:cxn modelId="{ADB4EE75-2309-4E20-9473-EC878349DDB0}" type="presParOf" srcId="{9B94D8F5-2F4C-46F3-B9DB-0B28131F8FDB}" destId="{377FFE3C-45BC-4908-8825-B43975013CD2}" srcOrd="1" destOrd="0" presId="urn:microsoft.com/office/officeart/2005/8/layout/orgChart1"/>
    <dgm:cxn modelId="{BC9B9A2D-BB13-47A1-87B5-E8ECEA86D2C6}" type="presParOf" srcId="{77BCC95E-DCAA-4DA1-8DBC-2562BF191308}" destId="{CE9A8BCE-F951-4DDE-8A28-459F9BA06F2E}" srcOrd="1" destOrd="0" presId="urn:microsoft.com/office/officeart/2005/8/layout/orgChart1"/>
    <dgm:cxn modelId="{407793DE-178D-4006-A261-494C0F7FD802}" type="presParOf" srcId="{77BCC95E-DCAA-4DA1-8DBC-2562BF191308}" destId="{7FF269B5-5F28-41A8-BE79-C06F411EBFCC}" srcOrd="2" destOrd="0" presId="urn:microsoft.com/office/officeart/2005/8/layout/orgChart1"/>
    <dgm:cxn modelId="{85F58701-D106-4CB8-BDCA-D6FBA4295129}" type="presParOf" srcId="{58159091-9814-41CD-A369-EA028304A0DC}" destId="{C4570BBE-0E5B-4DD0-BFDD-BC6E17FE0B9A}" srcOrd="2" destOrd="0" presId="urn:microsoft.com/office/officeart/2005/8/layout/orgChart1"/>
    <dgm:cxn modelId="{087B42C9-26C2-4F3D-9B60-6CBB081BA576}" type="presParOf" srcId="{58159091-9814-41CD-A369-EA028304A0DC}" destId="{73EBEF30-0653-48B7-BBCA-8F8E2DC03848}" srcOrd="3" destOrd="0" presId="urn:microsoft.com/office/officeart/2005/8/layout/orgChart1"/>
    <dgm:cxn modelId="{1756734F-43A2-48F7-B84C-D1F33A0628D8}" type="presParOf" srcId="{73EBEF30-0653-48B7-BBCA-8F8E2DC03848}" destId="{059207ED-E72E-429E-9331-5A7FD3A10F70}" srcOrd="0" destOrd="0" presId="urn:microsoft.com/office/officeart/2005/8/layout/orgChart1"/>
    <dgm:cxn modelId="{FEF0F95A-3940-4204-BEDA-32E95FE158EE}" type="presParOf" srcId="{059207ED-E72E-429E-9331-5A7FD3A10F70}" destId="{23C09C7D-B214-4C6D-95C5-E9D8500A7BF5}" srcOrd="0" destOrd="0" presId="urn:microsoft.com/office/officeart/2005/8/layout/orgChart1"/>
    <dgm:cxn modelId="{83014CD8-BCB4-4E35-9625-5696D1FF89D1}" type="presParOf" srcId="{059207ED-E72E-429E-9331-5A7FD3A10F70}" destId="{334E53CD-E15B-4609-88F1-45039FFA175C}" srcOrd="1" destOrd="0" presId="urn:microsoft.com/office/officeart/2005/8/layout/orgChart1"/>
    <dgm:cxn modelId="{3747B33A-E044-47D9-8B57-3FA5EDF05C8B}" type="presParOf" srcId="{73EBEF30-0653-48B7-BBCA-8F8E2DC03848}" destId="{43F6DF00-1916-4002-8DF6-4477D2815AFE}" srcOrd="1" destOrd="0" presId="urn:microsoft.com/office/officeart/2005/8/layout/orgChart1"/>
    <dgm:cxn modelId="{0C43399B-4C22-4D32-950D-EAB9EACD1566}" type="presParOf" srcId="{73EBEF30-0653-48B7-BBCA-8F8E2DC03848}" destId="{28B902E8-38DB-4B60-B634-2C7FB226C312}" srcOrd="2" destOrd="0" presId="urn:microsoft.com/office/officeart/2005/8/layout/orgChart1"/>
    <dgm:cxn modelId="{751E952E-D870-4C5E-A450-EA550E35273A}" type="presParOf" srcId="{EFF824AA-2170-4AA0-B92F-71DDD82BE2C3}" destId="{BF9F04E3-84C1-4623-B90E-38D4058BE92F}" srcOrd="2" destOrd="0" presId="urn:microsoft.com/office/officeart/2005/8/layout/orgChart1"/>
  </dgm:cxnLst>
  <dgm:bg>
    <a:noFill/>
    <a:effectLst>
      <a:outerShdw blurRad="50800" dist="38100" dir="5400000" algn="t" rotWithShape="0">
        <a:prstClr val="black">
          <a:alpha val="40000"/>
        </a:prstClr>
      </a:outerShdw>
      <a:softEdge rad="0"/>
    </a:effect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372A77-D2C0-4141-AB4F-5DEABBACA44B}" type="doc">
      <dgm:prSet loTypeId="urn:microsoft.com/office/officeart/2005/8/layout/default" loCatId="list" qsTypeId="urn:microsoft.com/office/officeart/2005/8/quickstyle/simple3" qsCatId="simple" csTypeId="urn:microsoft.com/office/officeart/2005/8/colors/accent1_2" csCatId="accent1" phldr="1"/>
      <dgm:spPr/>
    </dgm:pt>
    <dgm:pt modelId="{EBBD0728-1696-4F78-AE93-4F9957E68C4C}">
      <dgm:prSet phldrT="[Text]" custT="1"/>
      <dgm:spPr>
        <a:solidFill>
          <a:srgbClr val="C00000"/>
        </a:solidFill>
        <a:effectLst>
          <a:outerShdw blurRad="50800" dist="38100" dir="2700000" algn="tl" rotWithShape="0">
            <a:prstClr val="black">
              <a:alpha val="40000"/>
            </a:prstClr>
          </a:outerShdw>
        </a:effectLst>
      </dgm:spPr>
      <dgm:t>
        <a:bodyPr/>
        <a:lstStyle/>
        <a:p>
          <a:pPr algn="ctr"/>
          <a:r>
            <a:rPr lang="cs-CZ" sz="1000" b="1">
              <a:solidFill>
                <a:schemeClr val="bg1"/>
              </a:solidFill>
              <a:latin typeface="Arial Narrow" panose="020B0606020202030204" pitchFamily="34" charset="0"/>
            </a:rPr>
            <a:t>Země EU</a:t>
          </a:r>
        </a:p>
      </dgm:t>
    </dgm:pt>
    <dgm:pt modelId="{52D378D1-B082-4039-B477-FE3BCD1B1AE3}" type="parTrans" cxnId="{81F7C86E-40FD-4B58-BD87-8A6C9A49C929}">
      <dgm:prSet/>
      <dgm:spPr/>
      <dgm:t>
        <a:bodyPr/>
        <a:lstStyle/>
        <a:p>
          <a:pPr algn="ctr"/>
          <a:endParaRPr lang="cs-CZ" sz="1000"/>
        </a:p>
      </dgm:t>
    </dgm:pt>
    <dgm:pt modelId="{87A7DD2A-36B9-4324-9290-A2428D5C1946}" type="sibTrans" cxnId="{81F7C86E-40FD-4B58-BD87-8A6C9A49C929}">
      <dgm:prSet/>
      <dgm:spPr/>
      <dgm:t>
        <a:bodyPr/>
        <a:lstStyle/>
        <a:p>
          <a:pPr algn="ctr"/>
          <a:endParaRPr lang="cs-CZ" sz="1000"/>
        </a:p>
      </dgm:t>
    </dgm:pt>
    <dgm:pt modelId="{65BF987C-E20D-423C-92F2-A81E3EE17579}">
      <dgm:prSet phldrT="[Text]" custT="1"/>
      <dgm:spPr>
        <a:solidFill>
          <a:schemeClr val="accent1"/>
        </a:solidFill>
        <a:effectLst>
          <a:outerShdw blurRad="50800" dist="38100" dir="2700000" algn="tl" rotWithShape="0">
            <a:prstClr val="black">
              <a:alpha val="40000"/>
            </a:prstClr>
          </a:outerShdw>
        </a:effectLst>
      </dgm:spPr>
      <dgm:t>
        <a:bodyPr/>
        <a:lstStyle/>
        <a:p>
          <a:pPr algn="ctr"/>
          <a:r>
            <a:rPr lang="cs-CZ" sz="1000" b="1">
              <a:solidFill>
                <a:schemeClr val="bg1"/>
              </a:solidFill>
              <a:latin typeface="Arial Narrow" panose="020B0606020202030204" pitchFamily="34" charset="0"/>
            </a:rPr>
            <a:t>Třetí země</a:t>
          </a:r>
        </a:p>
      </dgm:t>
    </dgm:pt>
    <dgm:pt modelId="{6DBDBABB-5533-4338-AAB9-F4AD542D546A}" type="parTrans" cxnId="{12ACCC91-8665-49E3-A6EC-1BC507FBD0FE}">
      <dgm:prSet/>
      <dgm:spPr/>
      <dgm:t>
        <a:bodyPr/>
        <a:lstStyle/>
        <a:p>
          <a:pPr algn="ctr"/>
          <a:endParaRPr lang="cs-CZ" sz="1000"/>
        </a:p>
      </dgm:t>
    </dgm:pt>
    <dgm:pt modelId="{71A1B4AB-FC3F-4824-BC78-D22C77A59578}" type="sibTrans" cxnId="{12ACCC91-8665-49E3-A6EC-1BC507FBD0FE}">
      <dgm:prSet/>
      <dgm:spPr/>
      <dgm:t>
        <a:bodyPr/>
        <a:lstStyle/>
        <a:p>
          <a:pPr algn="ctr"/>
          <a:endParaRPr lang="cs-CZ" sz="1000"/>
        </a:p>
      </dgm:t>
    </dgm:pt>
    <dgm:pt modelId="{F82FA201-8E6E-4E32-A3F4-BBB1C8B41366}" type="pres">
      <dgm:prSet presAssocID="{73372A77-D2C0-4141-AB4F-5DEABBACA44B}" presName="diagram" presStyleCnt="0">
        <dgm:presLayoutVars>
          <dgm:dir/>
          <dgm:resizeHandles val="exact"/>
        </dgm:presLayoutVars>
      </dgm:prSet>
      <dgm:spPr/>
    </dgm:pt>
    <dgm:pt modelId="{855CA066-8EBA-4745-A00D-2D83E3F2B8EF}" type="pres">
      <dgm:prSet presAssocID="{EBBD0728-1696-4F78-AE93-4F9957E68C4C}" presName="node" presStyleLbl="node1" presStyleIdx="0" presStyleCnt="2" custScaleX="82645" custScaleY="35066">
        <dgm:presLayoutVars>
          <dgm:bulletEnabled val="1"/>
        </dgm:presLayoutVars>
      </dgm:prSet>
      <dgm:spPr/>
    </dgm:pt>
    <dgm:pt modelId="{C156C16A-59E0-4BDE-88EE-FC14F0C874D4}" type="pres">
      <dgm:prSet presAssocID="{87A7DD2A-36B9-4324-9290-A2428D5C1946}" presName="sibTrans" presStyleCnt="0"/>
      <dgm:spPr/>
    </dgm:pt>
    <dgm:pt modelId="{0E334FB2-04BA-4970-BBEF-6B3D7CE3EEF7}" type="pres">
      <dgm:prSet presAssocID="{65BF987C-E20D-423C-92F2-A81E3EE17579}" presName="node" presStyleLbl="node1" presStyleIdx="1" presStyleCnt="2" custScaleX="82645" custScaleY="35066">
        <dgm:presLayoutVars>
          <dgm:bulletEnabled val="1"/>
        </dgm:presLayoutVars>
      </dgm:prSet>
      <dgm:spPr/>
    </dgm:pt>
  </dgm:ptLst>
  <dgm:cxnLst>
    <dgm:cxn modelId="{0689EC69-A6D3-4020-AED5-0DF6B376B9B7}" type="presOf" srcId="{65BF987C-E20D-423C-92F2-A81E3EE17579}" destId="{0E334FB2-04BA-4970-BBEF-6B3D7CE3EEF7}" srcOrd="0" destOrd="0" presId="urn:microsoft.com/office/officeart/2005/8/layout/default"/>
    <dgm:cxn modelId="{81F7C86E-40FD-4B58-BD87-8A6C9A49C929}" srcId="{73372A77-D2C0-4141-AB4F-5DEABBACA44B}" destId="{EBBD0728-1696-4F78-AE93-4F9957E68C4C}" srcOrd="0" destOrd="0" parTransId="{52D378D1-B082-4039-B477-FE3BCD1B1AE3}" sibTransId="{87A7DD2A-36B9-4324-9290-A2428D5C1946}"/>
    <dgm:cxn modelId="{E74D2B90-7A3C-4DC5-B8F0-481331B9DF6F}" type="presOf" srcId="{73372A77-D2C0-4141-AB4F-5DEABBACA44B}" destId="{F82FA201-8E6E-4E32-A3F4-BBB1C8B41366}" srcOrd="0" destOrd="0" presId="urn:microsoft.com/office/officeart/2005/8/layout/default"/>
    <dgm:cxn modelId="{12ACCC91-8665-49E3-A6EC-1BC507FBD0FE}" srcId="{73372A77-D2C0-4141-AB4F-5DEABBACA44B}" destId="{65BF987C-E20D-423C-92F2-A81E3EE17579}" srcOrd="1" destOrd="0" parTransId="{6DBDBABB-5533-4338-AAB9-F4AD542D546A}" sibTransId="{71A1B4AB-FC3F-4824-BC78-D22C77A59578}"/>
    <dgm:cxn modelId="{AA10C1B4-F01B-4CD8-8B15-970FE8E6D0FC}" type="presOf" srcId="{EBBD0728-1696-4F78-AE93-4F9957E68C4C}" destId="{855CA066-8EBA-4745-A00D-2D83E3F2B8EF}" srcOrd="0" destOrd="0" presId="urn:microsoft.com/office/officeart/2005/8/layout/default"/>
    <dgm:cxn modelId="{35713A1D-4C90-4B10-918A-449712C3B692}" type="presParOf" srcId="{F82FA201-8E6E-4E32-A3F4-BBB1C8B41366}" destId="{855CA066-8EBA-4745-A00D-2D83E3F2B8EF}" srcOrd="0" destOrd="0" presId="urn:microsoft.com/office/officeart/2005/8/layout/default"/>
    <dgm:cxn modelId="{A8B01B64-E96D-4716-AD66-E222095D3CAE}" type="presParOf" srcId="{F82FA201-8E6E-4E32-A3F4-BBB1C8B41366}" destId="{C156C16A-59E0-4BDE-88EE-FC14F0C874D4}" srcOrd="1" destOrd="0" presId="urn:microsoft.com/office/officeart/2005/8/layout/default"/>
    <dgm:cxn modelId="{95C20D9A-BB4F-40E5-8802-04DD532F46B7}" type="presParOf" srcId="{F82FA201-8E6E-4E32-A3F4-BBB1C8B41366}" destId="{0E334FB2-04BA-4970-BBEF-6B3D7CE3EEF7}" srcOrd="2" destOrd="0" presId="urn:microsoft.com/office/officeart/2005/8/layout/default"/>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372A77-D2C0-4141-AB4F-5DEABBACA44B}" type="doc">
      <dgm:prSet loTypeId="urn:microsoft.com/office/officeart/2005/8/layout/pyramid1" loCatId="pyramid" qsTypeId="urn:microsoft.com/office/officeart/2005/8/quickstyle/simple3" qsCatId="simple" csTypeId="urn:microsoft.com/office/officeart/2005/8/colors/accent1_2" csCatId="accent1" phldr="1"/>
      <dgm:spPr/>
    </dgm:pt>
    <dgm:pt modelId="{EBBD0728-1696-4F78-AE93-4F9957E68C4C}">
      <dgm:prSet phldrT="[Text]" custT="1"/>
      <dgm:spPr>
        <a:solidFill>
          <a:srgbClr val="C00000"/>
        </a:solidFill>
        <a:effectLst>
          <a:outerShdw blurRad="50800" dist="38100" dir="2700000" algn="tl" rotWithShape="0">
            <a:prstClr val="black">
              <a:alpha val="40000"/>
            </a:prstClr>
          </a:outerShdw>
        </a:effectLst>
      </dgm:spPr>
      <dgm:t>
        <a:bodyPr/>
        <a:lstStyle/>
        <a:p>
          <a:endParaRPr lang="cs-CZ" sz="1800">
            <a:solidFill>
              <a:schemeClr val="bg1"/>
            </a:solidFill>
            <a:latin typeface="Arial Narrow" panose="020B0606020202030204" pitchFamily="34" charset="0"/>
          </a:endParaRPr>
        </a:p>
        <a:p>
          <a:endParaRPr lang="cs-CZ" sz="1800">
            <a:solidFill>
              <a:schemeClr val="bg1"/>
            </a:solidFill>
            <a:latin typeface="Arial Narrow" panose="020B0606020202030204" pitchFamily="34" charset="0"/>
          </a:endParaRPr>
        </a:p>
        <a:p>
          <a:r>
            <a:rPr lang="cs-CZ" sz="1400" b="1">
              <a:solidFill>
                <a:schemeClr val="bg1"/>
              </a:solidFill>
              <a:latin typeface="Arial Narrow" panose="020B0606020202030204" pitchFamily="34" charset="0"/>
            </a:rPr>
            <a:t>Občané EU</a:t>
          </a:r>
        </a:p>
        <a:p>
          <a:r>
            <a:rPr lang="cs-CZ" sz="1800">
              <a:solidFill>
                <a:schemeClr val="bg1"/>
              </a:solidFill>
              <a:latin typeface="Arial Narrow" panose="020B0606020202030204" pitchFamily="34" charset="0"/>
            </a:rPr>
            <a:t>24 100</a:t>
          </a:r>
        </a:p>
      </dgm:t>
    </dgm:pt>
    <dgm:pt modelId="{52D378D1-B082-4039-B477-FE3BCD1B1AE3}" type="parTrans" cxnId="{81F7C86E-40FD-4B58-BD87-8A6C9A49C929}">
      <dgm:prSet/>
      <dgm:spPr/>
      <dgm:t>
        <a:bodyPr/>
        <a:lstStyle/>
        <a:p>
          <a:endParaRPr lang="cs-CZ"/>
        </a:p>
      </dgm:t>
    </dgm:pt>
    <dgm:pt modelId="{87A7DD2A-36B9-4324-9290-A2428D5C1946}" type="sibTrans" cxnId="{81F7C86E-40FD-4B58-BD87-8A6C9A49C929}">
      <dgm:prSet/>
      <dgm:spPr/>
      <dgm:t>
        <a:bodyPr/>
        <a:lstStyle/>
        <a:p>
          <a:endParaRPr lang="cs-CZ"/>
        </a:p>
      </dgm:t>
    </dgm:pt>
    <dgm:pt modelId="{65BF987C-E20D-423C-92F2-A81E3EE17579}">
      <dgm:prSet phldrT="[Text]" custT="1"/>
      <dgm:spPr>
        <a:solidFill>
          <a:schemeClr val="accent1"/>
        </a:solidFill>
        <a:effectLst>
          <a:outerShdw blurRad="50800" dist="38100" dir="2700000" algn="tl" rotWithShape="0">
            <a:prstClr val="black">
              <a:alpha val="40000"/>
            </a:prstClr>
          </a:outerShdw>
        </a:effectLst>
      </dgm:spPr>
      <dgm:t>
        <a:bodyPr/>
        <a:lstStyle/>
        <a:p>
          <a:r>
            <a:rPr lang="cs-CZ" sz="1400" b="1">
              <a:solidFill>
                <a:schemeClr val="bg1"/>
              </a:solidFill>
              <a:latin typeface="Arial Narrow" panose="020B0606020202030204" pitchFamily="34" charset="0"/>
            </a:rPr>
            <a:t>Občané třetích zemí</a:t>
          </a:r>
        </a:p>
        <a:p>
          <a:r>
            <a:rPr lang="cs-CZ" sz="1800">
              <a:solidFill>
                <a:schemeClr val="bg1"/>
              </a:solidFill>
              <a:latin typeface="Arial Narrow" panose="020B0606020202030204" pitchFamily="34" charset="0"/>
            </a:rPr>
            <a:t>87 030</a:t>
          </a:r>
        </a:p>
      </dgm:t>
    </dgm:pt>
    <dgm:pt modelId="{6DBDBABB-5533-4338-AAB9-F4AD542D546A}" type="parTrans" cxnId="{12ACCC91-8665-49E3-A6EC-1BC507FBD0FE}">
      <dgm:prSet/>
      <dgm:spPr/>
      <dgm:t>
        <a:bodyPr/>
        <a:lstStyle/>
        <a:p>
          <a:endParaRPr lang="cs-CZ"/>
        </a:p>
      </dgm:t>
    </dgm:pt>
    <dgm:pt modelId="{71A1B4AB-FC3F-4824-BC78-D22C77A59578}" type="sibTrans" cxnId="{12ACCC91-8665-49E3-A6EC-1BC507FBD0FE}">
      <dgm:prSet/>
      <dgm:spPr/>
      <dgm:t>
        <a:bodyPr/>
        <a:lstStyle/>
        <a:p>
          <a:endParaRPr lang="cs-CZ"/>
        </a:p>
      </dgm:t>
    </dgm:pt>
    <dgm:pt modelId="{BEB6ADB3-8ACE-482B-9A9D-998DE5CFD47A}" type="pres">
      <dgm:prSet presAssocID="{73372A77-D2C0-4141-AB4F-5DEABBACA44B}" presName="Name0" presStyleCnt="0">
        <dgm:presLayoutVars>
          <dgm:dir/>
          <dgm:animLvl val="lvl"/>
          <dgm:resizeHandles val="exact"/>
        </dgm:presLayoutVars>
      </dgm:prSet>
      <dgm:spPr/>
    </dgm:pt>
    <dgm:pt modelId="{064D6020-41EC-48CB-92EF-388EB32D122B}" type="pres">
      <dgm:prSet presAssocID="{EBBD0728-1696-4F78-AE93-4F9957E68C4C}" presName="Name8" presStyleCnt="0"/>
      <dgm:spPr/>
    </dgm:pt>
    <dgm:pt modelId="{37F5450D-4CE3-42EE-89D4-BACCC15B79EE}" type="pres">
      <dgm:prSet presAssocID="{EBBD0728-1696-4F78-AE93-4F9957E68C4C}" presName="level" presStyleLbl="node1" presStyleIdx="0" presStyleCnt="2">
        <dgm:presLayoutVars>
          <dgm:chMax val="1"/>
          <dgm:bulletEnabled val="1"/>
        </dgm:presLayoutVars>
      </dgm:prSet>
      <dgm:spPr/>
    </dgm:pt>
    <dgm:pt modelId="{131EBBAE-2312-4A47-887E-4F3375D90F58}" type="pres">
      <dgm:prSet presAssocID="{EBBD0728-1696-4F78-AE93-4F9957E68C4C}" presName="levelTx" presStyleLbl="revTx" presStyleIdx="0" presStyleCnt="0">
        <dgm:presLayoutVars>
          <dgm:chMax val="1"/>
          <dgm:bulletEnabled val="1"/>
        </dgm:presLayoutVars>
      </dgm:prSet>
      <dgm:spPr/>
    </dgm:pt>
    <dgm:pt modelId="{E59C88B0-F98C-4FD2-9790-319513CA9C94}" type="pres">
      <dgm:prSet presAssocID="{65BF987C-E20D-423C-92F2-A81E3EE17579}" presName="Name8" presStyleCnt="0"/>
      <dgm:spPr/>
    </dgm:pt>
    <dgm:pt modelId="{5DF4D010-D372-4618-A731-3CDA48E06154}" type="pres">
      <dgm:prSet presAssocID="{65BF987C-E20D-423C-92F2-A81E3EE17579}" presName="level" presStyleLbl="node1" presStyleIdx="1" presStyleCnt="2" custScaleY="87848">
        <dgm:presLayoutVars>
          <dgm:chMax val="1"/>
          <dgm:bulletEnabled val="1"/>
        </dgm:presLayoutVars>
      </dgm:prSet>
      <dgm:spPr/>
    </dgm:pt>
    <dgm:pt modelId="{F19B05AC-A2D8-4110-8C7A-0C56428AC6AB}" type="pres">
      <dgm:prSet presAssocID="{65BF987C-E20D-423C-92F2-A81E3EE17579}" presName="levelTx" presStyleLbl="revTx" presStyleIdx="0" presStyleCnt="0">
        <dgm:presLayoutVars>
          <dgm:chMax val="1"/>
          <dgm:bulletEnabled val="1"/>
        </dgm:presLayoutVars>
      </dgm:prSet>
      <dgm:spPr/>
    </dgm:pt>
  </dgm:ptLst>
  <dgm:cxnLst>
    <dgm:cxn modelId="{ABDEDB2A-F71C-4F8C-B942-1B059B0298AF}" type="presOf" srcId="{65BF987C-E20D-423C-92F2-A81E3EE17579}" destId="{F19B05AC-A2D8-4110-8C7A-0C56428AC6AB}" srcOrd="1" destOrd="0" presId="urn:microsoft.com/office/officeart/2005/8/layout/pyramid1"/>
    <dgm:cxn modelId="{8C40B432-86F7-4A20-91EE-5765545F15FA}" type="presOf" srcId="{73372A77-D2C0-4141-AB4F-5DEABBACA44B}" destId="{BEB6ADB3-8ACE-482B-9A9D-998DE5CFD47A}" srcOrd="0" destOrd="0" presId="urn:microsoft.com/office/officeart/2005/8/layout/pyramid1"/>
    <dgm:cxn modelId="{922A7665-486A-4F73-ADDD-B304CFD291D6}" type="presOf" srcId="{EBBD0728-1696-4F78-AE93-4F9957E68C4C}" destId="{37F5450D-4CE3-42EE-89D4-BACCC15B79EE}" srcOrd="0" destOrd="0" presId="urn:microsoft.com/office/officeart/2005/8/layout/pyramid1"/>
    <dgm:cxn modelId="{EF14F046-36D4-469C-8DAC-CB5ACF65A8A7}" type="presOf" srcId="{65BF987C-E20D-423C-92F2-A81E3EE17579}" destId="{5DF4D010-D372-4618-A731-3CDA48E06154}" srcOrd="0" destOrd="0" presId="urn:microsoft.com/office/officeart/2005/8/layout/pyramid1"/>
    <dgm:cxn modelId="{81F7C86E-40FD-4B58-BD87-8A6C9A49C929}" srcId="{73372A77-D2C0-4141-AB4F-5DEABBACA44B}" destId="{EBBD0728-1696-4F78-AE93-4F9957E68C4C}" srcOrd="0" destOrd="0" parTransId="{52D378D1-B082-4039-B477-FE3BCD1B1AE3}" sibTransId="{87A7DD2A-36B9-4324-9290-A2428D5C1946}"/>
    <dgm:cxn modelId="{12ACCC91-8665-49E3-A6EC-1BC507FBD0FE}" srcId="{73372A77-D2C0-4141-AB4F-5DEABBACA44B}" destId="{65BF987C-E20D-423C-92F2-A81E3EE17579}" srcOrd="1" destOrd="0" parTransId="{6DBDBABB-5533-4338-AAB9-F4AD542D546A}" sibTransId="{71A1B4AB-FC3F-4824-BC78-D22C77A59578}"/>
    <dgm:cxn modelId="{2CDD5AE6-E3E7-4F87-90CC-C5BE98E7941E}" type="presOf" srcId="{EBBD0728-1696-4F78-AE93-4F9957E68C4C}" destId="{131EBBAE-2312-4A47-887E-4F3375D90F58}" srcOrd="1" destOrd="0" presId="urn:microsoft.com/office/officeart/2005/8/layout/pyramid1"/>
    <dgm:cxn modelId="{F011FF5A-78FB-407B-AD81-F491FD28D1B6}" type="presParOf" srcId="{BEB6ADB3-8ACE-482B-9A9D-998DE5CFD47A}" destId="{064D6020-41EC-48CB-92EF-388EB32D122B}" srcOrd="0" destOrd="0" presId="urn:microsoft.com/office/officeart/2005/8/layout/pyramid1"/>
    <dgm:cxn modelId="{A2967E1C-973C-4F82-B559-151A2191AB29}" type="presParOf" srcId="{064D6020-41EC-48CB-92EF-388EB32D122B}" destId="{37F5450D-4CE3-42EE-89D4-BACCC15B79EE}" srcOrd="0" destOrd="0" presId="urn:microsoft.com/office/officeart/2005/8/layout/pyramid1"/>
    <dgm:cxn modelId="{F85FA7BC-8DB8-4689-97A8-1233254DEFF0}" type="presParOf" srcId="{064D6020-41EC-48CB-92EF-388EB32D122B}" destId="{131EBBAE-2312-4A47-887E-4F3375D90F58}" srcOrd="1" destOrd="0" presId="urn:microsoft.com/office/officeart/2005/8/layout/pyramid1"/>
    <dgm:cxn modelId="{D5096AA6-A395-4097-A0B0-887E7B724A91}" type="presParOf" srcId="{BEB6ADB3-8ACE-482B-9A9D-998DE5CFD47A}" destId="{E59C88B0-F98C-4FD2-9790-319513CA9C94}" srcOrd="1" destOrd="0" presId="urn:microsoft.com/office/officeart/2005/8/layout/pyramid1"/>
    <dgm:cxn modelId="{1DFA8FD9-13E1-49E8-9DCF-0B8B5B9B1866}" type="presParOf" srcId="{E59C88B0-F98C-4FD2-9790-319513CA9C94}" destId="{5DF4D010-D372-4618-A731-3CDA48E06154}" srcOrd="0" destOrd="0" presId="urn:microsoft.com/office/officeart/2005/8/layout/pyramid1"/>
    <dgm:cxn modelId="{88F0A509-F46B-447E-8B18-CADB3E67B55A}" type="presParOf" srcId="{E59C88B0-F98C-4FD2-9790-319513CA9C94}" destId="{F19B05AC-A2D8-4110-8C7A-0C56428AC6AB}" srcOrd="1" destOrd="0" presId="urn:microsoft.com/office/officeart/2005/8/layout/pyramid1"/>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1DB5C25-85BD-4414-87FE-CC1509E9EC09}" type="doc">
      <dgm:prSet loTypeId="urn:microsoft.com/office/officeart/2008/layout/AlternatingHexagons" loCatId="list" qsTypeId="urn:microsoft.com/office/officeart/2005/8/quickstyle/simple3" qsCatId="simple" csTypeId="urn:microsoft.com/office/officeart/2005/8/colors/accent1_2" csCatId="accent1" phldr="1"/>
      <dgm:spPr/>
      <dgm:t>
        <a:bodyPr/>
        <a:lstStyle/>
        <a:p>
          <a:endParaRPr lang="cs-CZ"/>
        </a:p>
      </dgm:t>
    </dgm:pt>
    <dgm:pt modelId="{FD101A24-32D3-4691-84D8-9662CFBB7426}">
      <dgm:prSet phldrT="[Text]" custT="1"/>
      <dgm:spPr>
        <a:solidFill>
          <a:schemeClr val="bg1">
            <a:lumMod val="85000"/>
          </a:schemeClr>
        </a:solidFill>
      </dgm:spPr>
      <dgm:t>
        <a:bodyPr/>
        <a:lstStyle/>
        <a:p>
          <a:r>
            <a:rPr lang="cs-CZ" sz="900" b="1"/>
            <a:t>Vietnam</a:t>
          </a:r>
        </a:p>
        <a:p>
          <a:r>
            <a:rPr lang="cs-CZ" sz="1200"/>
            <a:t>13,3 %</a:t>
          </a:r>
        </a:p>
      </dgm:t>
    </dgm:pt>
    <dgm:pt modelId="{F2530392-7934-4B7A-9702-19CF8A8577FF}" type="parTrans" cxnId="{35A97E13-37E9-4ACC-B61C-2455CEA75CCC}">
      <dgm:prSet/>
      <dgm:spPr/>
      <dgm:t>
        <a:bodyPr/>
        <a:lstStyle/>
        <a:p>
          <a:endParaRPr lang="cs-CZ"/>
        </a:p>
      </dgm:t>
    </dgm:pt>
    <dgm:pt modelId="{E0303F8F-B788-467A-9F61-1C9B177170CA}" type="sibTrans" cxnId="{35A97E13-37E9-4ACC-B61C-2455CEA75CCC}">
      <dgm:prSet custT="1"/>
      <dgm:spPr>
        <a:solidFill>
          <a:schemeClr val="bg1">
            <a:lumMod val="85000"/>
            <a:alpha val="77000"/>
          </a:schemeClr>
        </a:solidFill>
      </dgm:spPr>
      <dgm:t>
        <a:bodyPr/>
        <a:lstStyle/>
        <a:p>
          <a:r>
            <a:rPr lang="cs-CZ" sz="900" b="1"/>
            <a:t>Ukrajina</a:t>
          </a:r>
        </a:p>
        <a:p>
          <a:r>
            <a:rPr lang="cs-CZ" sz="1400"/>
            <a:t>54,8 %</a:t>
          </a:r>
        </a:p>
      </dgm:t>
    </dgm:pt>
    <dgm:pt modelId="{AFA53919-ACAF-4C6A-8410-5943957C22F0}">
      <dgm:prSet phldrT="[Text]" custT="1"/>
      <dgm:spPr>
        <a:solidFill>
          <a:schemeClr val="bg1">
            <a:lumMod val="85000"/>
          </a:schemeClr>
        </a:solidFill>
      </dgm:spPr>
      <dgm:t>
        <a:bodyPr/>
        <a:lstStyle/>
        <a:p>
          <a:r>
            <a:rPr lang="cs-CZ" sz="800" b="1"/>
            <a:t>Slovensko</a:t>
          </a:r>
        </a:p>
        <a:p>
          <a:r>
            <a:rPr lang="cs-CZ" sz="1200"/>
            <a:t>11,1 %</a:t>
          </a:r>
        </a:p>
      </dgm:t>
    </dgm:pt>
    <dgm:pt modelId="{8F0A8A3A-6061-46C9-A929-56BF092C7C30}" type="parTrans" cxnId="{320E4A54-5EB0-47FF-AC70-129107802AC3}">
      <dgm:prSet/>
      <dgm:spPr/>
      <dgm:t>
        <a:bodyPr/>
        <a:lstStyle/>
        <a:p>
          <a:endParaRPr lang="cs-CZ"/>
        </a:p>
      </dgm:t>
    </dgm:pt>
    <dgm:pt modelId="{18078ABC-A357-4790-BF35-499486D09516}" type="sibTrans" cxnId="{320E4A54-5EB0-47FF-AC70-129107802AC3}">
      <dgm:prSet custT="1"/>
      <dgm:spPr>
        <a:solidFill>
          <a:schemeClr val="bg1">
            <a:lumMod val="85000"/>
          </a:schemeClr>
        </a:solidFill>
      </dgm:spPr>
      <dgm:t>
        <a:bodyPr/>
        <a:lstStyle/>
        <a:p>
          <a:r>
            <a:rPr lang="cs-CZ" sz="900" b="1"/>
            <a:t>Rusko</a:t>
          </a:r>
        </a:p>
        <a:p>
          <a:r>
            <a:rPr lang="cs-CZ" sz="1400"/>
            <a:t>3,6 %</a:t>
          </a:r>
        </a:p>
      </dgm:t>
    </dgm:pt>
    <dgm:pt modelId="{FA6439B4-D2F4-4071-B82A-ECDC410241EC}">
      <dgm:prSet phldrT="[Text]" custT="1"/>
      <dgm:spPr>
        <a:solidFill>
          <a:schemeClr val="bg1">
            <a:lumMod val="85000"/>
          </a:schemeClr>
        </a:solidFill>
      </dgm:spPr>
      <dgm:t>
        <a:bodyPr/>
        <a:lstStyle/>
        <a:p>
          <a:r>
            <a:rPr lang="cs-CZ" sz="750" b="1"/>
            <a:t>Rumunsko</a:t>
          </a:r>
        </a:p>
        <a:p>
          <a:r>
            <a:rPr lang="cs-CZ" sz="1400"/>
            <a:t>2,0 %</a:t>
          </a:r>
        </a:p>
      </dgm:t>
    </dgm:pt>
    <dgm:pt modelId="{310512A5-3BA8-4E40-B403-86962E56C699}" type="parTrans" cxnId="{74873446-05A2-44D2-ABBC-8E0672BFBA8F}">
      <dgm:prSet/>
      <dgm:spPr/>
      <dgm:t>
        <a:bodyPr/>
        <a:lstStyle/>
        <a:p>
          <a:endParaRPr lang="cs-CZ"/>
        </a:p>
      </dgm:t>
    </dgm:pt>
    <dgm:pt modelId="{D18B3B4D-DD84-4763-A02A-163B1C04CEF0}" type="sibTrans" cxnId="{74873446-05A2-44D2-ABBC-8E0672BFBA8F}">
      <dgm:prSet custT="1"/>
      <dgm:spPr>
        <a:solidFill>
          <a:schemeClr val="bg1">
            <a:lumMod val="85000"/>
          </a:schemeClr>
        </a:solidFill>
      </dgm:spPr>
      <dgm:t>
        <a:bodyPr/>
        <a:lstStyle/>
        <a:p>
          <a:r>
            <a:rPr lang="cs-CZ" sz="800" b="1"/>
            <a:t>Mongolsko</a:t>
          </a:r>
          <a:r>
            <a:rPr lang="cs-CZ" sz="900" b="1"/>
            <a:t> </a:t>
          </a:r>
        </a:p>
        <a:p>
          <a:r>
            <a:rPr lang="cs-CZ" sz="1400"/>
            <a:t>2,2 %</a:t>
          </a:r>
        </a:p>
      </dgm:t>
    </dgm:pt>
    <dgm:pt modelId="{DF3AA52B-8439-49D4-88C7-FB72AEDCDD04}">
      <dgm:prSet/>
      <dgm:spPr/>
      <dgm:t>
        <a:bodyPr/>
        <a:lstStyle/>
        <a:p>
          <a:endParaRPr lang="cs-CZ"/>
        </a:p>
      </dgm:t>
    </dgm:pt>
    <dgm:pt modelId="{5811AF57-9133-4843-95A5-8243369B641D}" type="parTrans" cxnId="{F688798A-42EA-442B-8615-63ED716DEF1F}">
      <dgm:prSet/>
      <dgm:spPr/>
      <dgm:t>
        <a:bodyPr/>
        <a:lstStyle/>
        <a:p>
          <a:endParaRPr lang="cs-CZ"/>
        </a:p>
      </dgm:t>
    </dgm:pt>
    <dgm:pt modelId="{6F47D8EA-3C13-4B23-85CE-DC39736108A2}" type="sibTrans" cxnId="{F688798A-42EA-442B-8615-63ED716DEF1F}">
      <dgm:prSet/>
      <dgm:spPr/>
      <dgm:t>
        <a:bodyPr/>
        <a:lstStyle/>
        <a:p>
          <a:endParaRPr lang="cs-CZ"/>
        </a:p>
      </dgm:t>
    </dgm:pt>
    <dgm:pt modelId="{5F3DCEE1-6514-447C-A504-150FF22F1E1C}">
      <dgm:prSet custT="1"/>
      <dgm:spPr>
        <a:solidFill>
          <a:schemeClr val="bg1">
            <a:lumMod val="85000"/>
          </a:schemeClr>
        </a:solidFill>
      </dgm:spPr>
      <dgm:t>
        <a:bodyPr/>
        <a:lstStyle/>
        <a:p>
          <a:r>
            <a:rPr lang="cs-CZ" sz="800" b="1"/>
            <a:t>Bulharsko</a:t>
          </a:r>
        </a:p>
        <a:p>
          <a:r>
            <a:rPr lang="cs-CZ" sz="1400"/>
            <a:t>1,4 %</a:t>
          </a:r>
        </a:p>
      </dgm:t>
    </dgm:pt>
    <dgm:pt modelId="{9C061872-521E-4537-A7F8-A84919602278}" type="parTrans" cxnId="{EDF05455-7A7D-4773-BE7E-EFD8291F643A}">
      <dgm:prSet/>
      <dgm:spPr/>
      <dgm:t>
        <a:bodyPr/>
        <a:lstStyle/>
        <a:p>
          <a:endParaRPr lang="cs-CZ"/>
        </a:p>
      </dgm:t>
    </dgm:pt>
    <dgm:pt modelId="{44DD8DA5-36E3-459B-A1DD-7C8363627DF7}" type="sibTrans" cxnId="{EDF05455-7A7D-4773-BE7E-EFD8291F643A}">
      <dgm:prSet custT="1"/>
      <dgm:spPr>
        <a:solidFill>
          <a:schemeClr val="bg1">
            <a:lumMod val="85000"/>
          </a:schemeClr>
        </a:solidFill>
      </dgm:spPr>
      <dgm:t>
        <a:bodyPr/>
        <a:lstStyle/>
        <a:p>
          <a:r>
            <a:rPr lang="cs-CZ" sz="800" b="1"/>
            <a:t>Mongolsko</a:t>
          </a:r>
        </a:p>
        <a:p>
          <a:r>
            <a:rPr lang="cs-CZ" sz="1400"/>
            <a:t>1,1 %</a:t>
          </a:r>
        </a:p>
      </dgm:t>
    </dgm:pt>
    <dgm:pt modelId="{F34B0F33-4CAC-46F9-8419-F074FBA5DCED}" type="pres">
      <dgm:prSet presAssocID="{51DB5C25-85BD-4414-87FE-CC1509E9EC09}" presName="Name0" presStyleCnt="0">
        <dgm:presLayoutVars>
          <dgm:chMax/>
          <dgm:chPref/>
          <dgm:dir/>
          <dgm:animLvl val="lvl"/>
        </dgm:presLayoutVars>
      </dgm:prSet>
      <dgm:spPr/>
    </dgm:pt>
    <dgm:pt modelId="{2EDBC32F-A7EB-4ECA-839F-54C539F69FE0}" type="pres">
      <dgm:prSet presAssocID="{FD101A24-32D3-4691-84D8-9662CFBB7426}" presName="composite" presStyleCnt="0"/>
      <dgm:spPr/>
    </dgm:pt>
    <dgm:pt modelId="{6DDF2DA6-1E8F-4FA2-B8C9-2F953576B7FA}" type="pres">
      <dgm:prSet presAssocID="{FD101A24-32D3-4691-84D8-9662CFBB7426}" presName="Parent1" presStyleLbl="node1" presStyleIdx="0" presStyleCnt="8">
        <dgm:presLayoutVars>
          <dgm:chMax val="1"/>
          <dgm:chPref val="1"/>
          <dgm:bulletEnabled val="1"/>
        </dgm:presLayoutVars>
      </dgm:prSet>
      <dgm:spPr/>
    </dgm:pt>
    <dgm:pt modelId="{75CD3BB1-01EA-4173-9F6D-5E940C048C85}" type="pres">
      <dgm:prSet presAssocID="{FD101A24-32D3-4691-84D8-9662CFBB7426}" presName="Childtext1" presStyleLbl="revTx" presStyleIdx="0" presStyleCnt="4">
        <dgm:presLayoutVars>
          <dgm:chMax val="0"/>
          <dgm:chPref val="0"/>
          <dgm:bulletEnabled val="1"/>
        </dgm:presLayoutVars>
      </dgm:prSet>
      <dgm:spPr/>
    </dgm:pt>
    <dgm:pt modelId="{8F62D504-F056-4A63-85A1-E99319E03478}" type="pres">
      <dgm:prSet presAssocID="{FD101A24-32D3-4691-84D8-9662CFBB7426}" presName="BalanceSpacing" presStyleCnt="0"/>
      <dgm:spPr/>
    </dgm:pt>
    <dgm:pt modelId="{8E008FDB-EB34-49CB-AE69-CB75A73A0107}" type="pres">
      <dgm:prSet presAssocID="{FD101A24-32D3-4691-84D8-9662CFBB7426}" presName="BalanceSpacing1" presStyleCnt="0"/>
      <dgm:spPr/>
    </dgm:pt>
    <dgm:pt modelId="{1F836ADC-2A2F-4B73-9563-3ED0A424FD67}" type="pres">
      <dgm:prSet presAssocID="{E0303F8F-B788-467A-9F61-1C9B177170CA}" presName="Accent1Text" presStyleLbl="node1" presStyleIdx="1" presStyleCnt="8"/>
      <dgm:spPr/>
    </dgm:pt>
    <dgm:pt modelId="{99B4B93E-8117-43AA-AFDA-FE485EAC2AA2}" type="pres">
      <dgm:prSet presAssocID="{E0303F8F-B788-467A-9F61-1C9B177170CA}" presName="spaceBetweenRectangles" presStyleCnt="0"/>
      <dgm:spPr/>
    </dgm:pt>
    <dgm:pt modelId="{C7163CC6-E992-4946-99E9-C61E6F924473}" type="pres">
      <dgm:prSet presAssocID="{AFA53919-ACAF-4C6A-8410-5943957C22F0}" presName="composite" presStyleCnt="0"/>
      <dgm:spPr/>
    </dgm:pt>
    <dgm:pt modelId="{B48FAB5A-E20D-4BDC-8E8D-20E6610B549C}" type="pres">
      <dgm:prSet presAssocID="{AFA53919-ACAF-4C6A-8410-5943957C22F0}" presName="Parent1" presStyleLbl="node1" presStyleIdx="2" presStyleCnt="8">
        <dgm:presLayoutVars>
          <dgm:chMax val="1"/>
          <dgm:chPref val="1"/>
          <dgm:bulletEnabled val="1"/>
        </dgm:presLayoutVars>
      </dgm:prSet>
      <dgm:spPr/>
    </dgm:pt>
    <dgm:pt modelId="{260EDEBD-30B8-4258-895B-0EF9FD42EE2F}" type="pres">
      <dgm:prSet presAssocID="{AFA53919-ACAF-4C6A-8410-5943957C22F0}" presName="Childtext1" presStyleLbl="revTx" presStyleIdx="1" presStyleCnt="4">
        <dgm:presLayoutVars>
          <dgm:chMax val="0"/>
          <dgm:chPref val="0"/>
          <dgm:bulletEnabled val="1"/>
        </dgm:presLayoutVars>
      </dgm:prSet>
      <dgm:spPr/>
    </dgm:pt>
    <dgm:pt modelId="{C24690EB-F3E0-4486-83BB-63F108DFD7A5}" type="pres">
      <dgm:prSet presAssocID="{AFA53919-ACAF-4C6A-8410-5943957C22F0}" presName="BalanceSpacing" presStyleCnt="0"/>
      <dgm:spPr/>
    </dgm:pt>
    <dgm:pt modelId="{60D63BB4-D998-4709-8769-BB7C8BDBAF59}" type="pres">
      <dgm:prSet presAssocID="{AFA53919-ACAF-4C6A-8410-5943957C22F0}" presName="BalanceSpacing1" presStyleCnt="0"/>
      <dgm:spPr/>
    </dgm:pt>
    <dgm:pt modelId="{0BCFB5B3-54E1-43E0-BAA4-DAA5FBE93675}" type="pres">
      <dgm:prSet presAssocID="{18078ABC-A357-4790-BF35-499486D09516}" presName="Accent1Text" presStyleLbl="node1" presStyleIdx="3" presStyleCnt="8"/>
      <dgm:spPr/>
    </dgm:pt>
    <dgm:pt modelId="{3A47D13F-88F8-4B39-8508-2227257C0A75}" type="pres">
      <dgm:prSet presAssocID="{18078ABC-A357-4790-BF35-499486D09516}" presName="spaceBetweenRectangles" presStyleCnt="0"/>
      <dgm:spPr/>
    </dgm:pt>
    <dgm:pt modelId="{EBF7FCDE-C286-4CA3-9CCC-671DAA3C7775}" type="pres">
      <dgm:prSet presAssocID="{FA6439B4-D2F4-4071-B82A-ECDC410241EC}" presName="composite" presStyleCnt="0"/>
      <dgm:spPr/>
    </dgm:pt>
    <dgm:pt modelId="{92E95D9F-B6F1-4923-AA95-E9CC0654B9C1}" type="pres">
      <dgm:prSet presAssocID="{FA6439B4-D2F4-4071-B82A-ECDC410241EC}" presName="Parent1" presStyleLbl="node1" presStyleIdx="4" presStyleCnt="8">
        <dgm:presLayoutVars>
          <dgm:chMax val="1"/>
          <dgm:chPref val="1"/>
          <dgm:bulletEnabled val="1"/>
        </dgm:presLayoutVars>
      </dgm:prSet>
      <dgm:spPr/>
    </dgm:pt>
    <dgm:pt modelId="{F1E15E6B-FB9B-450E-8C4D-FF63ACEE0679}" type="pres">
      <dgm:prSet presAssocID="{FA6439B4-D2F4-4071-B82A-ECDC410241EC}" presName="Childtext1" presStyleLbl="revTx" presStyleIdx="2" presStyleCnt="4">
        <dgm:presLayoutVars>
          <dgm:chMax val="0"/>
          <dgm:chPref val="0"/>
          <dgm:bulletEnabled val="1"/>
        </dgm:presLayoutVars>
      </dgm:prSet>
      <dgm:spPr/>
    </dgm:pt>
    <dgm:pt modelId="{A00DEB2E-C044-4B9C-87B1-D329E80DD630}" type="pres">
      <dgm:prSet presAssocID="{FA6439B4-D2F4-4071-B82A-ECDC410241EC}" presName="BalanceSpacing" presStyleCnt="0"/>
      <dgm:spPr/>
    </dgm:pt>
    <dgm:pt modelId="{98E48E4A-76D7-444A-86D3-D7B0FA2B052F}" type="pres">
      <dgm:prSet presAssocID="{FA6439B4-D2F4-4071-B82A-ECDC410241EC}" presName="BalanceSpacing1" presStyleCnt="0"/>
      <dgm:spPr/>
    </dgm:pt>
    <dgm:pt modelId="{2BD06EFA-7C96-4BE1-9E9B-449101BBE8A8}" type="pres">
      <dgm:prSet presAssocID="{D18B3B4D-DD84-4763-A02A-163B1C04CEF0}" presName="Accent1Text" presStyleLbl="node1" presStyleIdx="5" presStyleCnt="8"/>
      <dgm:spPr/>
    </dgm:pt>
    <dgm:pt modelId="{CBEF3ECB-3167-4A71-BE1C-620ADB0C497C}" type="pres">
      <dgm:prSet presAssocID="{D18B3B4D-DD84-4763-A02A-163B1C04CEF0}" presName="spaceBetweenRectangles" presStyleCnt="0"/>
      <dgm:spPr/>
    </dgm:pt>
    <dgm:pt modelId="{AF0FF6DB-46EE-4522-A9C3-333BFAFEBACE}" type="pres">
      <dgm:prSet presAssocID="{5F3DCEE1-6514-447C-A504-150FF22F1E1C}" presName="composite" presStyleCnt="0"/>
      <dgm:spPr/>
    </dgm:pt>
    <dgm:pt modelId="{E6DF5575-2127-43B4-A9C7-63121F9B63A8}" type="pres">
      <dgm:prSet presAssocID="{5F3DCEE1-6514-447C-A504-150FF22F1E1C}" presName="Parent1" presStyleLbl="node1" presStyleIdx="6" presStyleCnt="8">
        <dgm:presLayoutVars>
          <dgm:chMax val="1"/>
          <dgm:chPref val="1"/>
          <dgm:bulletEnabled val="1"/>
        </dgm:presLayoutVars>
      </dgm:prSet>
      <dgm:spPr/>
    </dgm:pt>
    <dgm:pt modelId="{B84236DF-1216-44E1-B0C0-B55FC7440DDB}" type="pres">
      <dgm:prSet presAssocID="{5F3DCEE1-6514-447C-A504-150FF22F1E1C}" presName="Childtext1" presStyleLbl="revTx" presStyleIdx="3" presStyleCnt="4">
        <dgm:presLayoutVars>
          <dgm:chMax val="0"/>
          <dgm:chPref val="0"/>
          <dgm:bulletEnabled val="1"/>
        </dgm:presLayoutVars>
      </dgm:prSet>
      <dgm:spPr/>
    </dgm:pt>
    <dgm:pt modelId="{55B41B36-5FBB-427B-9CAF-556FCE193ABE}" type="pres">
      <dgm:prSet presAssocID="{5F3DCEE1-6514-447C-A504-150FF22F1E1C}" presName="BalanceSpacing" presStyleCnt="0"/>
      <dgm:spPr/>
    </dgm:pt>
    <dgm:pt modelId="{F8F8363F-3B1B-4A98-A63D-1B29163F76BD}" type="pres">
      <dgm:prSet presAssocID="{5F3DCEE1-6514-447C-A504-150FF22F1E1C}" presName="BalanceSpacing1" presStyleCnt="0"/>
      <dgm:spPr/>
    </dgm:pt>
    <dgm:pt modelId="{9BB8A5F4-F037-43EC-8EC7-DF858D39657C}" type="pres">
      <dgm:prSet presAssocID="{44DD8DA5-36E3-459B-A1DD-7C8363627DF7}" presName="Accent1Text" presStyleLbl="node1" presStyleIdx="7" presStyleCnt="8" custLinFactNeighborX="-2331" custLinFactNeighborY="100"/>
      <dgm:spPr/>
    </dgm:pt>
  </dgm:ptLst>
  <dgm:cxnLst>
    <dgm:cxn modelId="{35A97E13-37E9-4ACC-B61C-2455CEA75CCC}" srcId="{51DB5C25-85BD-4414-87FE-CC1509E9EC09}" destId="{FD101A24-32D3-4691-84D8-9662CFBB7426}" srcOrd="0" destOrd="0" parTransId="{F2530392-7934-4B7A-9702-19CF8A8577FF}" sibTransId="{E0303F8F-B788-467A-9F61-1C9B177170CA}"/>
    <dgm:cxn modelId="{7F531A22-33F1-4650-A455-158BF4D64E91}" type="presOf" srcId="{DF3AA52B-8439-49D4-88C7-FB72AEDCDD04}" destId="{F1E15E6B-FB9B-450E-8C4D-FF63ACEE0679}" srcOrd="0" destOrd="0" presId="urn:microsoft.com/office/officeart/2008/layout/AlternatingHexagons"/>
    <dgm:cxn modelId="{1C1BEA25-F20B-4A6D-81EF-D7EC2770D788}" type="presOf" srcId="{FA6439B4-D2F4-4071-B82A-ECDC410241EC}" destId="{92E95D9F-B6F1-4923-AA95-E9CC0654B9C1}" srcOrd="0" destOrd="0" presId="urn:microsoft.com/office/officeart/2008/layout/AlternatingHexagons"/>
    <dgm:cxn modelId="{C1420F3B-2002-48AD-BCD5-392B7D8329D8}" type="presOf" srcId="{51DB5C25-85BD-4414-87FE-CC1509E9EC09}" destId="{F34B0F33-4CAC-46F9-8419-F074FBA5DCED}" srcOrd="0" destOrd="0" presId="urn:microsoft.com/office/officeart/2008/layout/AlternatingHexagons"/>
    <dgm:cxn modelId="{70B7B33B-3104-4A1D-AB4B-B9FDD3549EDF}" type="presOf" srcId="{FD101A24-32D3-4691-84D8-9662CFBB7426}" destId="{6DDF2DA6-1E8F-4FA2-B8C9-2F953576B7FA}" srcOrd="0" destOrd="0" presId="urn:microsoft.com/office/officeart/2008/layout/AlternatingHexagons"/>
    <dgm:cxn modelId="{E27B8F42-369E-4EFE-A298-E4CF58D4E79E}" type="presOf" srcId="{E0303F8F-B788-467A-9F61-1C9B177170CA}" destId="{1F836ADC-2A2F-4B73-9563-3ED0A424FD67}" srcOrd="0" destOrd="0" presId="urn:microsoft.com/office/officeart/2008/layout/AlternatingHexagons"/>
    <dgm:cxn modelId="{B9B65D65-E821-4C23-A5AD-EA024D8D35AA}" type="presOf" srcId="{5F3DCEE1-6514-447C-A504-150FF22F1E1C}" destId="{E6DF5575-2127-43B4-A9C7-63121F9B63A8}" srcOrd="0" destOrd="0" presId="urn:microsoft.com/office/officeart/2008/layout/AlternatingHexagons"/>
    <dgm:cxn modelId="{74873446-05A2-44D2-ABBC-8E0672BFBA8F}" srcId="{51DB5C25-85BD-4414-87FE-CC1509E9EC09}" destId="{FA6439B4-D2F4-4071-B82A-ECDC410241EC}" srcOrd="2" destOrd="0" parTransId="{310512A5-3BA8-4E40-B403-86962E56C699}" sibTransId="{D18B3B4D-DD84-4763-A02A-163B1C04CEF0}"/>
    <dgm:cxn modelId="{320E4A54-5EB0-47FF-AC70-129107802AC3}" srcId="{51DB5C25-85BD-4414-87FE-CC1509E9EC09}" destId="{AFA53919-ACAF-4C6A-8410-5943957C22F0}" srcOrd="1" destOrd="0" parTransId="{8F0A8A3A-6061-46C9-A929-56BF092C7C30}" sibTransId="{18078ABC-A357-4790-BF35-499486D09516}"/>
    <dgm:cxn modelId="{EDF05455-7A7D-4773-BE7E-EFD8291F643A}" srcId="{51DB5C25-85BD-4414-87FE-CC1509E9EC09}" destId="{5F3DCEE1-6514-447C-A504-150FF22F1E1C}" srcOrd="3" destOrd="0" parTransId="{9C061872-521E-4537-A7F8-A84919602278}" sibTransId="{44DD8DA5-36E3-459B-A1DD-7C8363627DF7}"/>
    <dgm:cxn modelId="{0E65DC7D-140F-4062-B467-EF2EC3E5B861}" type="presOf" srcId="{D18B3B4D-DD84-4763-A02A-163B1C04CEF0}" destId="{2BD06EFA-7C96-4BE1-9E9B-449101BBE8A8}" srcOrd="0" destOrd="0" presId="urn:microsoft.com/office/officeart/2008/layout/AlternatingHexagons"/>
    <dgm:cxn modelId="{F688798A-42EA-442B-8615-63ED716DEF1F}" srcId="{FA6439B4-D2F4-4071-B82A-ECDC410241EC}" destId="{DF3AA52B-8439-49D4-88C7-FB72AEDCDD04}" srcOrd="0" destOrd="0" parTransId="{5811AF57-9133-4843-95A5-8243369B641D}" sibTransId="{6F47D8EA-3C13-4B23-85CE-DC39736108A2}"/>
    <dgm:cxn modelId="{3AE9CF9D-9840-471D-ADB2-E1455421728C}" type="presOf" srcId="{AFA53919-ACAF-4C6A-8410-5943957C22F0}" destId="{B48FAB5A-E20D-4BDC-8E8D-20E6610B549C}" srcOrd="0" destOrd="0" presId="urn:microsoft.com/office/officeart/2008/layout/AlternatingHexagons"/>
    <dgm:cxn modelId="{D57C14E9-62CF-4E6A-936C-CA9BC75AF4F1}" type="presOf" srcId="{18078ABC-A357-4790-BF35-499486D09516}" destId="{0BCFB5B3-54E1-43E0-BAA4-DAA5FBE93675}" srcOrd="0" destOrd="0" presId="urn:microsoft.com/office/officeart/2008/layout/AlternatingHexagons"/>
    <dgm:cxn modelId="{F5CC1DFA-D8BD-4201-BB2C-A61ACF5166F3}" type="presOf" srcId="{44DD8DA5-36E3-459B-A1DD-7C8363627DF7}" destId="{9BB8A5F4-F037-43EC-8EC7-DF858D39657C}" srcOrd="0" destOrd="0" presId="urn:microsoft.com/office/officeart/2008/layout/AlternatingHexagons"/>
    <dgm:cxn modelId="{2D5631B3-816C-46F7-8B8E-B0E6D1DE0707}" type="presParOf" srcId="{F34B0F33-4CAC-46F9-8419-F074FBA5DCED}" destId="{2EDBC32F-A7EB-4ECA-839F-54C539F69FE0}" srcOrd="0" destOrd="0" presId="urn:microsoft.com/office/officeart/2008/layout/AlternatingHexagons"/>
    <dgm:cxn modelId="{77907A01-3383-4A16-811F-EEED3AE78E0F}" type="presParOf" srcId="{2EDBC32F-A7EB-4ECA-839F-54C539F69FE0}" destId="{6DDF2DA6-1E8F-4FA2-B8C9-2F953576B7FA}" srcOrd="0" destOrd="0" presId="urn:microsoft.com/office/officeart/2008/layout/AlternatingHexagons"/>
    <dgm:cxn modelId="{517D319B-EC1F-45A2-BB48-F76D3E1ADB7C}" type="presParOf" srcId="{2EDBC32F-A7EB-4ECA-839F-54C539F69FE0}" destId="{75CD3BB1-01EA-4173-9F6D-5E940C048C85}" srcOrd="1" destOrd="0" presId="urn:microsoft.com/office/officeart/2008/layout/AlternatingHexagons"/>
    <dgm:cxn modelId="{D6CFDE92-B718-43AF-A19D-FA4A902B54A7}" type="presParOf" srcId="{2EDBC32F-A7EB-4ECA-839F-54C539F69FE0}" destId="{8F62D504-F056-4A63-85A1-E99319E03478}" srcOrd="2" destOrd="0" presId="urn:microsoft.com/office/officeart/2008/layout/AlternatingHexagons"/>
    <dgm:cxn modelId="{719FC4ED-F306-4825-865C-B7513907FA67}" type="presParOf" srcId="{2EDBC32F-A7EB-4ECA-839F-54C539F69FE0}" destId="{8E008FDB-EB34-49CB-AE69-CB75A73A0107}" srcOrd="3" destOrd="0" presId="urn:microsoft.com/office/officeart/2008/layout/AlternatingHexagons"/>
    <dgm:cxn modelId="{FC27043F-5CC7-4B39-85D9-F4C4263ED441}" type="presParOf" srcId="{2EDBC32F-A7EB-4ECA-839F-54C539F69FE0}" destId="{1F836ADC-2A2F-4B73-9563-3ED0A424FD67}" srcOrd="4" destOrd="0" presId="urn:microsoft.com/office/officeart/2008/layout/AlternatingHexagons"/>
    <dgm:cxn modelId="{191978F1-E816-438C-88D0-63194E2AD70E}" type="presParOf" srcId="{F34B0F33-4CAC-46F9-8419-F074FBA5DCED}" destId="{99B4B93E-8117-43AA-AFDA-FE485EAC2AA2}" srcOrd="1" destOrd="0" presId="urn:microsoft.com/office/officeart/2008/layout/AlternatingHexagons"/>
    <dgm:cxn modelId="{04DB367E-BBC9-4A84-9B47-2AC56426C6F6}" type="presParOf" srcId="{F34B0F33-4CAC-46F9-8419-F074FBA5DCED}" destId="{C7163CC6-E992-4946-99E9-C61E6F924473}" srcOrd="2" destOrd="0" presId="urn:microsoft.com/office/officeart/2008/layout/AlternatingHexagons"/>
    <dgm:cxn modelId="{B93D031C-C825-446C-9A0A-E526B3DEA2D2}" type="presParOf" srcId="{C7163CC6-E992-4946-99E9-C61E6F924473}" destId="{B48FAB5A-E20D-4BDC-8E8D-20E6610B549C}" srcOrd="0" destOrd="0" presId="urn:microsoft.com/office/officeart/2008/layout/AlternatingHexagons"/>
    <dgm:cxn modelId="{31198138-9C0A-4EBA-B2BB-0BBF264DCE6E}" type="presParOf" srcId="{C7163CC6-E992-4946-99E9-C61E6F924473}" destId="{260EDEBD-30B8-4258-895B-0EF9FD42EE2F}" srcOrd="1" destOrd="0" presId="urn:microsoft.com/office/officeart/2008/layout/AlternatingHexagons"/>
    <dgm:cxn modelId="{82BD8C19-36D8-4751-8758-FB07F31199FA}" type="presParOf" srcId="{C7163CC6-E992-4946-99E9-C61E6F924473}" destId="{C24690EB-F3E0-4486-83BB-63F108DFD7A5}" srcOrd="2" destOrd="0" presId="urn:microsoft.com/office/officeart/2008/layout/AlternatingHexagons"/>
    <dgm:cxn modelId="{A80B0098-93BB-413C-8BFC-3DA8D38E976D}" type="presParOf" srcId="{C7163CC6-E992-4946-99E9-C61E6F924473}" destId="{60D63BB4-D998-4709-8769-BB7C8BDBAF59}" srcOrd="3" destOrd="0" presId="urn:microsoft.com/office/officeart/2008/layout/AlternatingHexagons"/>
    <dgm:cxn modelId="{162E20AE-7012-4324-A80B-B87F6EAA94DC}" type="presParOf" srcId="{C7163CC6-E992-4946-99E9-C61E6F924473}" destId="{0BCFB5B3-54E1-43E0-BAA4-DAA5FBE93675}" srcOrd="4" destOrd="0" presId="urn:microsoft.com/office/officeart/2008/layout/AlternatingHexagons"/>
    <dgm:cxn modelId="{A3666A2C-B40D-4A67-97A9-70B7E12DFD16}" type="presParOf" srcId="{F34B0F33-4CAC-46F9-8419-F074FBA5DCED}" destId="{3A47D13F-88F8-4B39-8508-2227257C0A75}" srcOrd="3" destOrd="0" presId="urn:microsoft.com/office/officeart/2008/layout/AlternatingHexagons"/>
    <dgm:cxn modelId="{7AA14122-45C9-4F6E-AA24-93FA4CABF1F0}" type="presParOf" srcId="{F34B0F33-4CAC-46F9-8419-F074FBA5DCED}" destId="{EBF7FCDE-C286-4CA3-9CCC-671DAA3C7775}" srcOrd="4" destOrd="0" presId="urn:microsoft.com/office/officeart/2008/layout/AlternatingHexagons"/>
    <dgm:cxn modelId="{2C1DD528-946C-462F-91D7-EA0611306B53}" type="presParOf" srcId="{EBF7FCDE-C286-4CA3-9CCC-671DAA3C7775}" destId="{92E95D9F-B6F1-4923-AA95-E9CC0654B9C1}" srcOrd="0" destOrd="0" presId="urn:microsoft.com/office/officeart/2008/layout/AlternatingHexagons"/>
    <dgm:cxn modelId="{9672C04D-7D9B-452A-B393-F866206FB187}" type="presParOf" srcId="{EBF7FCDE-C286-4CA3-9CCC-671DAA3C7775}" destId="{F1E15E6B-FB9B-450E-8C4D-FF63ACEE0679}" srcOrd="1" destOrd="0" presId="urn:microsoft.com/office/officeart/2008/layout/AlternatingHexagons"/>
    <dgm:cxn modelId="{D97F3040-72AE-44F1-B184-8DF8FC63F867}" type="presParOf" srcId="{EBF7FCDE-C286-4CA3-9CCC-671DAA3C7775}" destId="{A00DEB2E-C044-4B9C-87B1-D329E80DD630}" srcOrd="2" destOrd="0" presId="urn:microsoft.com/office/officeart/2008/layout/AlternatingHexagons"/>
    <dgm:cxn modelId="{BA630827-BDD6-4C84-9E79-774183EDEE75}" type="presParOf" srcId="{EBF7FCDE-C286-4CA3-9CCC-671DAA3C7775}" destId="{98E48E4A-76D7-444A-86D3-D7B0FA2B052F}" srcOrd="3" destOrd="0" presId="urn:microsoft.com/office/officeart/2008/layout/AlternatingHexagons"/>
    <dgm:cxn modelId="{97103544-01F5-42DD-9C43-A8E0FB5663DF}" type="presParOf" srcId="{EBF7FCDE-C286-4CA3-9CCC-671DAA3C7775}" destId="{2BD06EFA-7C96-4BE1-9E9B-449101BBE8A8}" srcOrd="4" destOrd="0" presId="urn:microsoft.com/office/officeart/2008/layout/AlternatingHexagons"/>
    <dgm:cxn modelId="{A1EEB0F0-948A-436E-920B-C63414C5B865}" type="presParOf" srcId="{F34B0F33-4CAC-46F9-8419-F074FBA5DCED}" destId="{CBEF3ECB-3167-4A71-BE1C-620ADB0C497C}" srcOrd="5" destOrd="0" presId="urn:microsoft.com/office/officeart/2008/layout/AlternatingHexagons"/>
    <dgm:cxn modelId="{130D272E-B980-44C0-BC1C-64092BD72DF4}" type="presParOf" srcId="{F34B0F33-4CAC-46F9-8419-F074FBA5DCED}" destId="{AF0FF6DB-46EE-4522-A9C3-333BFAFEBACE}" srcOrd="6" destOrd="0" presId="urn:microsoft.com/office/officeart/2008/layout/AlternatingHexagons"/>
    <dgm:cxn modelId="{3D39FC5C-3DE3-4B47-8FB4-0D82FE701E35}" type="presParOf" srcId="{AF0FF6DB-46EE-4522-A9C3-333BFAFEBACE}" destId="{E6DF5575-2127-43B4-A9C7-63121F9B63A8}" srcOrd="0" destOrd="0" presId="urn:microsoft.com/office/officeart/2008/layout/AlternatingHexagons"/>
    <dgm:cxn modelId="{EEAC0F3C-A786-4D95-B011-3B89DF570ED8}" type="presParOf" srcId="{AF0FF6DB-46EE-4522-A9C3-333BFAFEBACE}" destId="{B84236DF-1216-44E1-B0C0-B55FC7440DDB}" srcOrd="1" destOrd="0" presId="urn:microsoft.com/office/officeart/2008/layout/AlternatingHexagons"/>
    <dgm:cxn modelId="{77B98A76-F09B-4486-950C-0DDC752EB739}" type="presParOf" srcId="{AF0FF6DB-46EE-4522-A9C3-333BFAFEBACE}" destId="{55B41B36-5FBB-427B-9CAF-556FCE193ABE}" srcOrd="2" destOrd="0" presId="urn:microsoft.com/office/officeart/2008/layout/AlternatingHexagons"/>
    <dgm:cxn modelId="{3A382002-0C40-45D3-860D-4F898897CB2D}" type="presParOf" srcId="{AF0FF6DB-46EE-4522-A9C3-333BFAFEBACE}" destId="{F8F8363F-3B1B-4A98-A63D-1B29163F76BD}" srcOrd="3" destOrd="0" presId="urn:microsoft.com/office/officeart/2008/layout/AlternatingHexagons"/>
    <dgm:cxn modelId="{8C54450C-0F00-4B4F-8978-BAD82857E59E}" type="presParOf" srcId="{AF0FF6DB-46EE-4522-A9C3-333BFAFEBACE}" destId="{9BB8A5F4-F037-43EC-8EC7-DF858D39657C}" srcOrd="4" destOrd="0" presId="urn:microsoft.com/office/officeart/2008/layout/AlternatingHexagons"/>
  </dgm:cxnLst>
  <dgm:bg>
    <a:noFill/>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1DB5C25-85BD-4414-87FE-CC1509E9EC09}" type="doc">
      <dgm:prSet loTypeId="urn:microsoft.com/office/officeart/2008/layout/AlternatingHexagons" loCatId="list" qsTypeId="urn:microsoft.com/office/officeart/2005/8/quickstyle/simple3" qsCatId="simple" csTypeId="urn:microsoft.com/office/officeart/2005/8/colors/accent1_2" csCatId="accent1" phldr="1"/>
      <dgm:spPr/>
      <dgm:t>
        <a:bodyPr/>
        <a:lstStyle/>
        <a:p>
          <a:endParaRPr lang="cs-CZ"/>
        </a:p>
      </dgm:t>
    </dgm:pt>
    <dgm:pt modelId="{FD101A24-32D3-4691-84D8-9662CFBB7426}">
      <dgm:prSet phldrT="[Text]" custT="1"/>
      <dgm:spPr>
        <a:solidFill>
          <a:schemeClr val="bg1">
            <a:lumMod val="85000"/>
          </a:schemeClr>
        </a:solidFill>
      </dgm:spPr>
      <dgm:t>
        <a:bodyPr/>
        <a:lstStyle/>
        <a:p>
          <a:r>
            <a:rPr lang="cs-CZ" sz="800" b="1"/>
            <a:t>Vietnam</a:t>
          </a:r>
        </a:p>
        <a:p>
          <a:r>
            <a:rPr lang="cs-CZ" sz="1200"/>
            <a:t>8,3 %</a:t>
          </a:r>
        </a:p>
      </dgm:t>
    </dgm:pt>
    <dgm:pt modelId="{F2530392-7934-4B7A-9702-19CF8A8577FF}" type="parTrans" cxnId="{35A97E13-37E9-4ACC-B61C-2455CEA75CCC}">
      <dgm:prSet/>
      <dgm:spPr/>
      <dgm:t>
        <a:bodyPr/>
        <a:lstStyle/>
        <a:p>
          <a:endParaRPr lang="cs-CZ"/>
        </a:p>
      </dgm:t>
    </dgm:pt>
    <dgm:pt modelId="{E0303F8F-B788-467A-9F61-1C9B177170CA}" type="sibTrans" cxnId="{35A97E13-37E9-4ACC-B61C-2455CEA75CCC}">
      <dgm:prSet custT="1"/>
      <dgm:spPr>
        <a:solidFill>
          <a:schemeClr val="bg1">
            <a:lumMod val="85000"/>
            <a:alpha val="77000"/>
          </a:schemeClr>
        </a:solidFill>
      </dgm:spPr>
      <dgm:t>
        <a:bodyPr/>
        <a:lstStyle/>
        <a:p>
          <a:r>
            <a:rPr lang="cs-CZ" sz="900" b="1"/>
            <a:t>Ukrajina</a:t>
          </a:r>
        </a:p>
        <a:p>
          <a:r>
            <a:rPr lang="cs-CZ" sz="1400"/>
            <a:t>69,9 %</a:t>
          </a:r>
        </a:p>
      </dgm:t>
    </dgm:pt>
    <dgm:pt modelId="{AFA53919-ACAF-4C6A-8410-5943957C22F0}">
      <dgm:prSet phldrT="[Text]" custT="1"/>
      <dgm:spPr>
        <a:solidFill>
          <a:schemeClr val="bg1">
            <a:lumMod val="85000"/>
          </a:schemeClr>
        </a:solidFill>
      </dgm:spPr>
      <dgm:t>
        <a:bodyPr/>
        <a:lstStyle/>
        <a:p>
          <a:r>
            <a:rPr lang="cs-CZ" sz="800" b="1"/>
            <a:t>Slovensko</a:t>
          </a:r>
        </a:p>
        <a:p>
          <a:r>
            <a:rPr lang="cs-CZ" sz="1200"/>
            <a:t>8,0 %</a:t>
          </a:r>
        </a:p>
      </dgm:t>
    </dgm:pt>
    <dgm:pt modelId="{8F0A8A3A-6061-46C9-A929-56BF092C7C30}" type="parTrans" cxnId="{320E4A54-5EB0-47FF-AC70-129107802AC3}">
      <dgm:prSet/>
      <dgm:spPr/>
      <dgm:t>
        <a:bodyPr/>
        <a:lstStyle/>
        <a:p>
          <a:endParaRPr lang="cs-CZ"/>
        </a:p>
      </dgm:t>
    </dgm:pt>
    <dgm:pt modelId="{18078ABC-A357-4790-BF35-499486D09516}" type="sibTrans" cxnId="{320E4A54-5EB0-47FF-AC70-129107802AC3}">
      <dgm:prSet custT="1"/>
      <dgm:spPr>
        <a:solidFill>
          <a:schemeClr val="bg1">
            <a:lumMod val="85000"/>
          </a:schemeClr>
        </a:solidFill>
      </dgm:spPr>
      <dgm:t>
        <a:bodyPr/>
        <a:lstStyle/>
        <a:p>
          <a:r>
            <a:rPr lang="cs-CZ" sz="900" b="1"/>
            <a:t>Rusko</a:t>
          </a:r>
        </a:p>
        <a:p>
          <a:r>
            <a:rPr lang="cs-CZ" sz="1200"/>
            <a:t>2,5 %</a:t>
          </a:r>
        </a:p>
      </dgm:t>
    </dgm:pt>
    <dgm:pt modelId="{FA6439B4-D2F4-4071-B82A-ECDC410241EC}">
      <dgm:prSet phldrT="[Text]" custT="1"/>
      <dgm:spPr>
        <a:solidFill>
          <a:schemeClr val="bg1">
            <a:lumMod val="85000"/>
          </a:schemeClr>
        </a:solidFill>
      </dgm:spPr>
      <dgm:t>
        <a:bodyPr/>
        <a:lstStyle/>
        <a:p>
          <a:r>
            <a:rPr lang="cs-CZ" sz="750" b="1"/>
            <a:t>Rumunsko</a:t>
          </a:r>
        </a:p>
        <a:p>
          <a:r>
            <a:rPr lang="cs-CZ" sz="1400"/>
            <a:t>1,1 %</a:t>
          </a:r>
        </a:p>
      </dgm:t>
    </dgm:pt>
    <dgm:pt modelId="{310512A5-3BA8-4E40-B403-86962E56C699}" type="parTrans" cxnId="{74873446-05A2-44D2-ABBC-8E0672BFBA8F}">
      <dgm:prSet/>
      <dgm:spPr/>
      <dgm:t>
        <a:bodyPr/>
        <a:lstStyle/>
        <a:p>
          <a:endParaRPr lang="cs-CZ"/>
        </a:p>
      </dgm:t>
    </dgm:pt>
    <dgm:pt modelId="{D18B3B4D-DD84-4763-A02A-163B1C04CEF0}" type="sibTrans" cxnId="{74873446-05A2-44D2-ABBC-8E0672BFBA8F}">
      <dgm:prSet custT="1"/>
      <dgm:spPr>
        <a:solidFill>
          <a:schemeClr val="bg1">
            <a:lumMod val="85000"/>
          </a:schemeClr>
        </a:solidFill>
      </dgm:spPr>
      <dgm:t>
        <a:bodyPr/>
        <a:lstStyle/>
        <a:p>
          <a:r>
            <a:rPr lang="cs-CZ" sz="800" b="1"/>
            <a:t>Mongolsko</a:t>
          </a:r>
          <a:r>
            <a:rPr lang="cs-CZ" sz="900" b="1"/>
            <a:t> </a:t>
          </a:r>
        </a:p>
        <a:p>
          <a:r>
            <a:rPr lang="cs-CZ" sz="1400"/>
            <a:t>1,7 %</a:t>
          </a:r>
        </a:p>
      </dgm:t>
    </dgm:pt>
    <dgm:pt modelId="{DF3AA52B-8439-49D4-88C7-FB72AEDCDD04}">
      <dgm:prSet/>
      <dgm:spPr/>
      <dgm:t>
        <a:bodyPr/>
        <a:lstStyle/>
        <a:p>
          <a:endParaRPr lang="cs-CZ"/>
        </a:p>
      </dgm:t>
    </dgm:pt>
    <dgm:pt modelId="{5811AF57-9133-4843-95A5-8243369B641D}" type="parTrans" cxnId="{F688798A-42EA-442B-8615-63ED716DEF1F}">
      <dgm:prSet/>
      <dgm:spPr/>
      <dgm:t>
        <a:bodyPr/>
        <a:lstStyle/>
        <a:p>
          <a:endParaRPr lang="cs-CZ"/>
        </a:p>
      </dgm:t>
    </dgm:pt>
    <dgm:pt modelId="{6F47D8EA-3C13-4B23-85CE-DC39736108A2}" type="sibTrans" cxnId="{F688798A-42EA-442B-8615-63ED716DEF1F}">
      <dgm:prSet/>
      <dgm:spPr/>
      <dgm:t>
        <a:bodyPr/>
        <a:lstStyle/>
        <a:p>
          <a:endParaRPr lang="cs-CZ"/>
        </a:p>
      </dgm:t>
    </dgm:pt>
    <dgm:pt modelId="{5F3DCEE1-6514-447C-A504-150FF22F1E1C}">
      <dgm:prSet custT="1"/>
      <dgm:spPr>
        <a:solidFill>
          <a:schemeClr val="bg1">
            <a:lumMod val="85000"/>
          </a:schemeClr>
        </a:solidFill>
      </dgm:spPr>
      <dgm:t>
        <a:bodyPr/>
        <a:lstStyle/>
        <a:p>
          <a:r>
            <a:rPr lang="cs-CZ" sz="750" b="1"/>
            <a:t>Bulharsko</a:t>
          </a:r>
        </a:p>
        <a:p>
          <a:r>
            <a:rPr lang="cs-CZ" sz="1400"/>
            <a:t>0,9 %</a:t>
          </a:r>
        </a:p>
      </dgm:t>
    </dgm:pt>
    <dgm:pt modelId="{9C061872-521E-4537-A7F8-A84919602278}" type="parTrans" cxnId="{EDF05455-7A7D-4773-BE7E-EFD8291F643A}">
      <dgm:prSet/>
      <dgm:spPr/>
      <dgm:t>
        <a:bodyPr/>
        <a:lstStyle/>
        <a:p>
          <a:endParaRPr lang="cs-CZ"/>
        </a:p>
      </dgm:t>
    </dgm:pt>
    <dgm:pt modelId="{44DD8DA5-36E3-459B-A1DD-7C8363627DF7}" type="sibTrans" cxnId="{EDF05455-7A7D-4773-BE7E-EFD8291F643A}">
      <dgm:prSet custT="1"/>
      <dgm:spPr>
        <a:solidFill>
          <a:schemeClr val="bg1">
            <a:lumMod val="85000"/>
          </a:schemeClr>
        </a:solidFill>
      </dgm:spPr>
      <dgm:t>
        <a:bodyPr/>
        <a:lstStyle/>
        <a:p>
          <a:r>
            <a:rPr lang="cs-CZ" sz="800" b="1"/>
            <a:t>Moldavsko</a:t>
          </a:r>
        </a:p>
        <a:p>
          <a:r>
            <a:rPr lang="cs-CZ" sz="1400"/>
            <a:t>0,8 %</a:t>
          </a:r>
        </a:p>
      </dgm:t>
    </dgm:pt>
    <dgm:pt modelId="{F34B0F33-4CAC-46F9-8419-F074FBA5DCED}" type="pres">
      <dgm:prSet presAssocID="{51DB5C25-85BD-4414-87FE-CC1509E9EC09}" presName="Name0" presStyleCnt="0">
        <dgm:presLayoutVars>
          <dgm:chMax/>
          <dgm:chPref/>
          <dgm:dir/>
          <dgm:animLvl val="lvl"/>
        </dgm:presLayoutVars>
      </dgm:prSet>
      <dgm:spPr/>
    </dgm:pt>
    <dgm:pt modelId="{2EDBC32F-A7EB-4ECA-839F-54C539F69FE0}" type="pres">
      <dgm:prSet presAssocID="{FD101A24-32D3-4691-84D8-9662CFBB7426}" presName="composite" presStyleCnt="0"/>
      <dgm:spPr/>
    </dgm:pt>
    <dgm:pt modelId="{6DDF2DA6-1E8F-4FA2-B8C9-2F953576B7FA}" type="pres">
      <dgm:prSet presAssocID="{FD101A24-32D3-4691-84D8-9662CFBB7426}" presName="Parent1" presStyleLbl="node1" presStyleIdx="0" presStyleCnt="8">
        <dgm:presLayoutVars>
          <dgm:chMax val="1"/>
          <dgm:chPref val="1"/>
          <dgm:bulletEnabled val="1"/>
        </dgm:presLayoutVars>
      </dgm:prSet>
      <dgm:spPr/>
    </dgm:pt>
    <dgm:pt modelId="{75CD3BB1-01EA-4173-9F6D-5E940C048C85}" type="pres">
      <dgm:prSet presAssocID="{FD101A24-32D3-4691-84D8-9662CFBB7426}" presName="Childtext1" presStyleLbl="revTx" presStyleIdx="0" presStyleCnt="4">
        <dgm:presLayoutVars>
          <dgm:chMax val="0"/>
          <dgm:chPref val="0"/>
          <dgm:bulletEnabled val="1"/>
        </dgm:presLayoutVars>
      </dgm:prSet>
      <dgm:spPr/>
    </dgm:pt>
    <dgm:pt modelId="{8F62D504-F056-4A63-85A1-E99319E03478}" type="pres">
      <dgm:prSet presAssocID="{FD101A24-32D3-4691-84D8-9662CFBB7426}" presName="BalanceSpacing" presStyleCnt="0"/>
      <dgm:spPr/>
    </dgm:pt>
    <dgm:pt modelId="{8E008FDB-EB34-49CB-AE69-CB75A73A0107}" type="pres">
      <dgm:prSet presAssocID="{FD101A24-32D3-4691-84D8-9662CFBB7426}" presName="BalanceSpacing1" presStyleCnt="0"/>
      <dgm:spPr/>
    </dgm:pt>
    <dgm:pt modelId="{1F836ADC-2A2F-4B73-9563-3ED0A424FD67}" type="pres">
      <dgm:prSet presAssocID="{E0303F8F-B788-467A-9F61-1C9B177170CA}" presName="Accent1Text" presStyleLbl="node1" presStyleIdx="1" presStyleCnt="8"/>
      <dgm:spPr/>
    </dgm:pt>
    <dgm:pt modelId="{99B4B93E-8117-43AA-AFDA-FE485EAC2AA2}" type="pres">
      <dgm:prSet presAssocID="{E0303F8F-B788-467A-9F61-1C9B177170CA}" presName="spaceBetweenRectangles" presStyleCnt="0"/>
      <dgm:spPr/>
    </dgm:pt>
    <dgm:pt modelId="{C7163CC6-E992-4946-99E9-C61E6F924473}" type="pres">
      <dgm:prSet presAssocID="{AFA53919-ACAF-4C6A-8410-5943957C22F0}" presName="composite" presStyleCnt="0"/>
      <dgm:spPr/>
    </dgm:pt>
    <dgm:pt modelId="{B48FAB5A-E20D-4BDC-8E8D-20E6610B549C}" type="pres">
      <dgm:prSet presAssocID="{AFA53919-ACAF-4C6A-8410-5943957C22F0}" presName="Parent1" presStyleLbl="node1" presStyleIdx="2" presStyleCnt="8">
        <dgm:presLayoutVars>
          <dgm:chMax val="1"/>
          <dgm:chPref val="1"/>
          <dgm:bulletEnabled val="1"/>
        </dgm:presLayoutVars>
      </dgm:prSet>
      <dgm:spPr/>
    </dgm:pt>
    <dgm:pt modelId="{260EDEBD-30B8-4258-895B-0EF9FD42EE2F}" type="pres">
      <dgm:prSet presAssocID="{AFA53919-ACAF-4C6A-8410-5943957C22F0}" presName="Childtext1" presStyleLbl="revTx" presStyleIdx="1" presStyleCnt="4">
        <dgm:presLayoutVars>
          <dgm:chMax val="0"/>
          <dgm:chPref val="0"/>
          <dgm:bulletEnabled val="1"/>
        </dgm:presLayoutVars>
      </dgm:prSet>
      <dgm:spPr/>
    </dgm:pt>
    <dgm:pt modelId="{C24690EB-F3E0-4486-83BB-63F108DFD7A5}" type="pres">
      <dgm:prSet presAssocID="{AFA53919-ACAF-4C6A-8410-5943957C22F0}" presName="BalanceSpacing" presStyleCnt="0"/>
      <dgm:spPr/>
    </dgm:pt>
    <dgm:pt modelId="{60D63BB4-D998-4709-8769-BB7C8BDBAF59}" type="pres">
      <dgm:prSet presAssocID="{AFA53919-ACAF-4C6A-8410-5943957C22F0}" presName="BalanceSpacing1" presStyleCnt="0"/>
      <dgm:spPr/>
    </dgm:pt>
    <dgm:pt modelId="{0BCFB5B3-54E1-43E0-BAA4-DAA5FBE93675}" type="pres">
      <dgm:prSet presAssocID="{18078ABC-A357-4790-BF35-499486D09516}" presName="Accent1Text" presStyleLbl="node1" presStyleIdx="3" presStyleCnt="8"/>
      <dgm:spPr/>
    </dgm:pt>
    <dgm:pt modelId="{3A47D13F-88F8-4B39-8508-2227257C0A75}" type="pres">
      <dgm:prSet presAssocID="{18078ABC-A357-4790-BF35-499486D09516}" presName="spaceBetweenRectangles" presStyleCnt="0"/>
      <dgm:spPr/>
    </dgm:pt>
    <dgm:pt modelId="{EBF7FCDE-C286-4CA3-9CCC-671DAA3C7775}" type="pres">
      <dgm:prSet presAssocID="{FA6439B4-D2F4-4071-B82A-ECDC410241EC}" presName="composite" presStyleCnt="0"/>
      <dgm:spPr/>
    </dgm:pt>
    <dgm:pt modelId="{92E95D9F-B6F1-4923-AA95-E9CC0654B9C1}" type="pres">
      <dgm:prSet presAssocID="{FA6439B4-D2F4-4071-B82A-ECDC410241EC}" presName="Parent1" presStyleLbl="node1" presStyleIdx="4" presStyleCnt="8">
        <dgm:presLayoutVars>
          <dgm:chMax val="1"/>
          <dgm:chPref val="1"/>
          <dgm:bulletEnabled val="1"/>
        </dgm:presLayoutVars>
      </dgm:prSet>
      <dgm:spPr/>
    </dgm:pt>
    <dgm:pt modelId="{F1E15E6B-FB9B-450E-8C4D-FF63ACEE0679}" type="pres">
      <dgm:prSet presAssocID="{FA6439B4-D2F4-4071-B82A-ECDC410241EC}" presName="Childtext1" presStyleLbl="revTx" presStyleIdx="2" presStyleCnt="4">
        <dgm:presLayoutVars>
          <dgm:chMax val="0"/>
          <dgm:chPref val="0"/>
          <dgm:bulletEnabled val="1"/>
        </dgm:presLayoutVars>
      </dgm:prSet>
      <dgm:spPr/>
    </dgm:pt>
    <dgm:pt modelId="{A00DEB2E-C044-4B9C-87B1-D329E80DD630}" type="pres">
      <dgm:prSet presAssocID="{FA6439B4-D2F4-4071-B82A-ECDC410241EC}" presName="BalanceSpacing" presStyleCnt="0"/>
      <dgm:spPr/>
    </dgm:pt>
    <dgm:pt modelId="{98E48E4A-76D7-444A-86D3-D7B0FA2B052F}" type="pres">
      <dgm:prSet presAssocID="{FA6439B4-D2F4-4071-B82A-ECDC410241EC}" presName="BalanceSpacing1" presStyleCnt="0"/>
      <dgm:spPr/>
    </dgm:pt>
    <dgm:pt modelId="{2BD06EFA-7C96-4BE1-9E9B-449101BBE8A8}" type="pres">
      <dgm:prSet presAssocID="{D18B3B4D-DD84-4763-A02A-163B1C04CEF0}" presName="Accent1Text" presStyleLbl="node1" presStyleIdx="5" presStyleCnt="8"/>
      <dgm:spPr/>
    </dgm:pt>
    <dgm:pt modelId="{CBEF3ECB-3167-4A71-BE1C-620ADB0C497C}" type="pres">
      <dgm:prSet presAssocID="{D18B3B4D-DD84-4763-A02A-163B1C04CEF0}" presName="spaceBetweenRectangles" presStyleCnt="0"/>
      <dgm:spPr/>
    </dgm:pt>
    <dgm:pt modelId="{AF0FF6DB-46EE-4522-A9C3-333BFAFEBACE}" type="pres">
      <dgm:prSet presAssocID="{5F3DCEE1-6514-447C-A504-150FF22F1E1C}" presName="composite" presStyleCnt="0"/>
      <dgm:spPr/>
    </dgm:pt>
    <dgm:pt modelId="{E6DF5575-2127-43B4-A9C7-63121F9B63A8}" type="pres">
      <dgm:prSet presAssocID="{5F3DCEE1-6514-447C-A504-150FF22F1E1C}" presName="Parent1" presStyleLbl="node1" presStyleIdx="6" presStyleCnt="8">
        <dgm:presLayoutVars>
          <dgm:chMax val="1"/>
          <dgm:chPref val="1"/>
          <dgm:bulletEnabled val="1"/>
        </dgm:presLayoutVars>
      </dgm:prSet>
      <dgm:spPr/>
    </dgm:pt>
    <dgm:pt modelId="{B84236DF-1216-44E1-B0C0-B55FC7440DDB}" type="pres">
      <dgm:prSet presAssocID="{5F3DCEE1-6514-447C-A504-150FF22F1E1C}" presName="Childtext1" presStyleLbl="revTx" presStyleIdx="3" presStyleCnt="4">
        <dgm:presLayoutVars>
          <dgm:chMax val="0"/>
          <dgm:chPref val="0"/>
          <dgm:bulletEnabled val="1"/>
        </dgm:presLayoutVars>
      </dgm:prSet>
      <dgm:spPr/>
    </dgm:pt>
    <dgm:pt modelId="{55B41B36-5FBB-427B-9CAF-556FCE193ABE}" type="pres">
      <dgm:prSet presAssocID="{5F3DCEE1-6514-447C-A504-150FF22F1E1C}" presName="BalanceSpacing" presStyleCnt="0"/>
      <dgm:spPr/>
    </dgm:pt>
    <dgm:pt modelId="{F8F8363F-3B1B-4A98-A63D-1B29163F76BD}" type="pres">
      <dgm:prSet presAssocID="{5F3DCEE1-6514-447C-A504-150FF22F1E1C}" presName="BalanceSpacing1" presStyleCnt="0"/>
      <dgm:spPr/>
    </dgm:pt>
    <dgm:pt modelId="{9BB8A5F4-F037-43EC-8EC7-DF858D39657C}" type="pres">
      <dgm:prSet presAssocID="{44DD8DA5-36E3-459B-A1DD-7C8363627DF7}" presName="Accent1Text" presStyleLbl="node1" presStyleIdx="7" presStyleCnt="8" custLinFactNeighborX="-2331" custLinFactNeighborY="100"/>
      <dgm:spPr/>
    </dgm:pt>
  </dgm:ptLst>
  <dgm:cxnLst>
    <dgm:cxn modelId="{35A97E13-37E9-4ACC-B61C-2455CEA75CCC}" srcId="{51DB5C25-85BD-4414-87FE-CC1509E9EC09}" destId="{FD101A24-32D3-4691-84D8-9662CFBB7426}" srcOrd="0" destOrd="0" parTransId="{F2530392-7934-4B7A-9702-19CF8A8577FF}" sibTransId="{E0303F8F-B788-467A-9F61-1C9B177170CA}"/>
    <dgm:cxn modelId="{7F531A22-33F1-4650-A455-158BF4D64E91}" type="presOf" srcId="{DF3AA52B-8439-49D4-88C7-FB72AEDCDD04}" destId="{F1E15E6B-FB9B-450E-8C4D-FF63ACEE0679}" srcOrd="0" destOrd="0" presId="urn:microsoft.com/office/officeart/2008/layout/AlternatingHexagons"/>
    <dgm:cxn modelId="{1C1BEA25-F20B-4A6D-81EF-D7EC2770D788}" type="presOf" srcId="{FA6439B4-D2F4-4071-B82A-ECDC410241EC}" destId="{92E95D9F-B6F1-4923-AA95-E9CC0654B9C1}" srcOrd="0" destOrd="0" presId="urn:microsoft.com/office/officeart/2008/layout/AlternatingHexagons"/>
    <dgm:cxn modelId="{C1420F3B-2002-48AD-BCD5-392B7D8329D8}" type="presOf" srcId="{51DB5C25-85BD-4414-87FE-CC1509E9EC09}" destId="{F34B0F33-4CAC-46F9-8419-F074FBA5DCED}" srcOrd="0" destOrd="0" presId="urn:microsoft.com/office/officeart/2008/layout/AlternatingHexagons"/>
    <dgm:cxn modelId="{70B7B33B-3104-4A1D-AB4B-B9FDD3549EDF}" type="presOf" srcId="{FD101A24-32D3-4691-84D8-9662CFBB7426}" destId="{6DDF2DA6-1E8F-4FA2-B8C9-2F953576B7FA}" srcOrd="0" destOrd="0" presId="urn:microsoft.com/office/officeart/2008/layout/AlternatingHexagons"/>
    <dgm:cxn modelId="{E27B8F42-369E-4EFE-A298-E4CF58D4E79E}" type="presOf" srcId="{E0303F8F-B788-467A-9F61-1C9B177170CA}" destId="{1F836ADC-2A2F-4B73-9563-3ED0A424FD67}" srcOrd="0" destOrd="0" presId="urn:microsoft.com/office/officeart/2008/layout/AlternatingHexagons"/>
    <dgm:cxn modelId="{B9B65D65-E821-4C23-A5AD-EA024D8D35AA}" type="presOf" srcId="{5F3DCEE1-6514-447C-A504-150FF22F1E1C}" destId="{E6DF5575-2127-43B4-A9C7-63121F9B63A8}" srcOrd="0" destOrd="0" presId="urn:microsoft.com/office/officeart/2008/layout/AlternatingHexagons"/>
    <dgm:cxn modelId="{74873446-05A2-44D2-ABBC-8E0672BFBA8F}" srcId="{51DB5C25-85BD-4414-87FE-CC1509E9EC09}" destId="{FA6439B4-D2F4-4071-B82A-ECDC410241EC}" srcOrd="2" destOrd="0" parTransId="{310512A5-3BA8-4E40-B403-86962E56C699}" sibTransId="{D18B3B4D-DD84-4763-A02A-163B1C04CEF0}"/>
    <dgm:cxn modelId="{320E4A54-5EB0-47FF-AC70-129107802AC3}" srcId="{51DB5C25-85BD-4414-87FE-CC1509E9EC09}" destId="{AFA53919-ACAF-4C6A-8410-5943957C22F0}" srcOrd="1" destOrd="0" parTransId="{8F0A8A3A-6061-46C9-A929-56BF092C7C30}" sibTransId="{18078ABC-A357-4790-BF35-499486D09516}"/>
    <dgm:cxn modelId="{EDF05455-7A7D-4773-BE7E-EFD8291F643A}" srcId="{51DB5C25-85BD-4414-87FE-CC1509E9EC09}" destId="{5F3DCEE1-6514-447C-A504-150FF22F1E1C}" srcOrd="3" destOrd="0" parTransId="{9C061872-521E-4537-A7F8-A84919602278}" sibTransId="{44DD8DA5-36E3-459B-A1DD-7C8363627DF7}"/>
    <dgm:cxn modelId="{0E65DC7D-140F-4062-B467-EF2EC3E5B861}" type="presOf" srcId="{D18B3B4D-DD84-4763-A02A-163B1C04CEF0}" destId="{2BD06EFA-7C96-4BE1-9E9B-449101BBE8A8}" srcOrd="0" destOrd="0" presId="urn:microsoft.com/office/officeart/2008/layout/AlternatingHexagons"/>
    <dgm:cxn modelId="{F688798A-42EA-442B-8615-63ED716DEF1F}" srcId="{FA6439B4-D2F4-4071-B82A-ECDC410241EC}" destId="{DF3AA52B-8439-49D4-88C7-FB72AEDCDD04}" srcOrd="0" destOrd="0" parTransId="{5811AF57-9133-4843-95A5-8243369B641D}" sibTransId="{6F47D8EA-3C13-4B23-85CE-DC39736108A2}"/>
    <dgm:cxn modelId="{3AE9CF9D-9840-471D-ADB2-E1455421728C}" type="presOf" srcId="{AFA53919-ACAF-4C6A-8410-5943957C22F0}" destId="{B48FAB5A-E20D-4BDC-8E8D-20E6610B549C}" srcOrd="0" destOrd="0" presId="urn:microsoft.com/office/officeart/2008/layout/AlternatingHexagons"/>
    <dgm:cxn modelId="{D57C14E9-62CF-4E6A-936C-CA9BC75AF4F1}" type="presOf" srcId="{18078ABC-A357-4790-BF35-499486D09516}" destId="{0BCFB5B3-54E1-43E0-BAA4-DAA5FBE93675}" srcOrd="0" destOrd="0" presId="urn:microsoft.com/office/officeart/2008/layout/AlternatingHexagons"/>
    <dgm:cxn modelId="{F5CC1DFA-D8BD-4201-BB2C-A61ACF5166F3}" type="presOf" srcId="{44DD8DA5-36E3-459B-A1DD-7C8363627DF7}" destId="{9BB8A5F4-F037-43EC-8EC7-DF858D39657C}" srcOrd="0" destOrd="0" presId="urn:microsoft.com/office/officeart/2008/layout/AlternatingHexagons"/>
    <dgm:cxn modelId="{2D5631B3-816C-46F7-8B8E-B0E6D1DE0707}" type="presParOf" srcId="{F34B0F33-4CAC-46F9-8419-F074FBA5DCED}" destId="{2EDBC32F-A7EB-4ECA-839F-54C539F69FE0}" srcOrd="0" destOrd="0" presId="urn:microsoft.com/office/officeart/2008/layout/AlternatingHexagons"/>
    <dgm:cxn modelId="{77907A01-3383-4A16-811F-EEED3AE78E0F}" type="presParOf" srcId="{2EDBC32F-A7EB-4ECA-839F-54C539F69FE0}" destId="{6DDF2DA6-1E8F-4FA2-B8C9-2F953576B7FA}" srcOrd="0" destOrd="0" presId="urn:microsoft.com/office/officeart/2008/layout/AlternatingHexagons"/>
    <dgm:cxn modelId="{517D319B-EC1F-45A2-BB48-F76D3E1ADB7C}" type="presParOf" srcId="{2EDBC32F-A7EB-4ECA-839F-54C539F69FE0}" destId="{75CD3BB1-01EA-4173-9F6D-5E940C048C85}" srcOrd="1" destOrd="0" presId="urn:microsoft.com/office/officeart/2008/layout/AlternatingHexagons"/>
    <dgm:cxn modelId="{D6CFDE92-B718-43AF-A19D-FA4A902B54A7}" type="presParOf" srcId="{2EDBC32F-A7EB-4ECA-839F-54C539F69FE0}" destId="{8F62D504-F056-4A63-85A1-E99319E03478}" srcOrd="2" destOrd="0" presId="urn:microsoft.com/office/officeart/2008/layout/AlternatingHexagons"/>
    <dgm:cxn modelId="{719FC4ED-F306-4825-865C-B7513907FA67}" type="presParOf" srcId="{2EDBC32F-A7EB-4ECA-839F-54C539F69FE0}" destId="{8E008FDB-EB34-49CB-AE69-CB75A73A0107}" srcOrd="3" destOrd="0" presId="urn:microsoft.com/office/officeart/2008/layout/AlternatingHexagons"/>
    <dgm:cxn modelId="{FC27043F-5CC7-4B39-85D9-F4C4263ED441}" type="presParOf" srcId="{2EDBC32F-A7EB-4ECA-839F-54C539F69FE0}" destId="{1F836ADC-2A2F-4B73-9563-3ED0A424FD67}" srcOrd="4" destOrd="0" presId="urn:microsoft.com/office/officeart/2008/layout/AlternatingHexagons"/>
    <dgm:cxn modelId="{191978F1-E816-438C-88D0-63194E2AD70E}" type="presParOf" srcId="{F34B0F33-4CAC-46F9-8419-F074FBA5DCED}" destId="{99B4B93E-8117-43AA-AFDA-FE485EAC2AA2}" srcOrd="1" destOrd="0" presId="urn:microsoft.com/office/officeart/2008/layout/AlternatingHexagons"/>
    <dgm:cxn modelId="{04DB367E-BBC9-4A84-9B47-2AC56426C6F6}" type="presParOf" srcId="{F34B0F33-4CAC-46F9-8419-F074FBA5DCED}" destId="{C7163CC6-E992-4946-99E9-C61E6F924473}" srcOrd="2" destOrd="0" presId="urn:microsoft.com/office/officeart/2008/layout/AlternatingHexagons"/>
    <dgm:cxn modelId="{B93D031C-C825-446C-9A0A-E526B3DEA2D2}" type="presParOf" srcId="{C7163CC6-E992-4946-99E9-C61E6F924473}" destId="{B48FAB5A-E20D-4BDC-8E8D-20E6610B549C}" srcOrd="0" destOrd="0" presId="urn:microsoft.com/office/officeart/2008/layout/AlternatingHexagons"/>
    <dgm:cxn modelId="{31198138-9C0A-4EBA-B2BB-0BBF264DCE6E}" type="presParOf" srcId="{C7163CC6-E992-4946-99E9-C61E6F924473}" destId="{260EDEBD-30B8-4258-895B-0EF9FD42EE2F}" srcOrd="1" destOrd="0" presId="urn:microsoft.com/office/officeart/2008/layout/AlternatingHexagons"/>
    <dgm:cxn modelId="{82BD8C19-36D8-4751-8758-FB07F31199FA}" type="presParOf" srcId="{C7163CC6-E992-4946-99E9-C61E6F924473}" destId="{C24690EB-F3E0-4486-83BB-63F108DFD7A5}" srcOrd="2" destOrd="0" presId="urn:microsoft.com/office/officeart/2008/layout/AlternatingHexagons"/>
    <dgm:cxn modelId="{A80B0098-93BB-413C-8BFC-3DA8D38E976D}" type="presParOf" srcId="{C7163CC6-E992-4946-99E9-C61E6F924473}" destId="{60D63BB4-D998-4709-8769-BB7C8BDBAF59}" srcOrd="3" destOrd="0" presId="urn:microsoft.com/office/officeart/2008/layout/AlternatingHexagons"/>
    <dgm:cxn modelId="{162E20AE-7012-4324-A80B-B87F6EAA94DC}" type="presParOf" srcId="{C7163CC6-E992-4946-99E9-C61E6F924473}" destId="{0BCFB5B3-54E1-43E0-BAA4-DAA5FBE93675}" srcOrd="4" destOrd="0" presId="urn:microsoft.com/office/officeart/2008/layout/AlternatingHexagons"/>
    <dgm:cxn modelId="{A3666A2C-B40D-4A67-97A9-70B7E12DFD16}" type="presParOf" srcId="{F34B0F33-4CAC-46F9-8419-F074FBA5DCED}" destId="{3A47D13F-88F8-4B39-8508-2227257C0A75}" srcOrd="3" destOrd="0" presId="urn:microsoft.com/office/officeart/2008/layout/AlternatingHexagons"/>
    <dgm:cxn modelId="{7AA14122-45C9-4F6E-AA24-93FA4CABF1F0}" type="presParOf" srcId="{F34B0F33-4CAC-46F9-8419-F074FBA5DCED}" destId="{EBF7FCDE-C286-4CA3-9CCC-671DAA3C7775}" srcOrd="4" destOrd="0" presId="urn:microsoft.com/office/officeart/2008/layout/AlternatingHexagons"/>
    <dgm:cxn modelId="{2C1DD528-946C-462F-91D7-EA0611306B53}" type="presParOf" srcId="{EBF7FCDE-C286-4CA3-9CCC-671DAA3C7775}" destId="{92E95D9F-B6F1-4923-AA95-E9CC0654B9C1}" srcOrd="0" destOrd="0" presId="urn:microsoft.com/office/officeart/2008/layout/AlternatingHexagons"/>
    <dgm:cxn modelId="{9672C04D-7D9B-452A-B393-F866206FB187}" type="presParOf" srcId="{EBF7FCDE-C286-4CA3-9CCC-671DAA3C7775}" destId="{F1E15E6B-FB9B-450E-8C4D-FF63ACEE0679}" srcOrd="1" destOrd="0" presId="urn:microsoft.com/office/officeart/2008/layout/AlternatingHexagons"/>
    <dgm:cxn modelId="{D97F3040-72AE-44F1-B184-8DF8FC63F867}" type="presParOf" srcId="{EBF7FCDE-C286-4CA3-9CCC-671DAA3C7775}" destId="{A00DEB2E-C044-4B9C-87B1-D329E80DD630}" srcOrd="2" destOrd="0" presId="urn:microsoft.com/office/officeart/2008/layout/AlternatingHexagons"/>
    <dgm:cxn modelId="{BA630827-BDD6-4C84-9E79-774183EDEE75}" type="presParOf" srcId="{EBF7FCDE-C286-4CA3-9CCC-671DAA3C7775}" destId="{98E48E4A-76D7-444A-86D3-D7B0FA2B052F}" srcOrd="3" destOrd="0" presId="urn:microsoft.com/office/officeart/2008/layout/AlternatingHexagons"/>
    <dgm:cxn modelId="{97103544-01F5-42DD-9C43-A8E0FB5663DF}" type="presParOf" srcId="{EBF7FCDE-C286-4CA3-9CCC-671DAA3C7775}" destId="{2BD06EFA-7C96-4BE1-9E9B-449101BBE8A8}" srcOrd="4" destOrd="0" presId="urn:microsoft.com/office/officeart/2008/layout/AlternatingHexagons"/>
    <dgm:cxn modelId="{A1EEB0F0-948A-436E-920B-C63414C5B865}" type="presParOf" srcId="{F34B0F33-4CAC-46F9-8419-F074FBA5DCED}" destId="{CBEF3ECB-3167-4A71-BE1C-620ADB0C497C}" srcOrd="5" destOrd="0" presId="urn:microsoft.com/office/officeart/2008/layout/AlternatingHexagons"/>
    <dgm:cxn modelId="{130D272E-B980-44C0-BC1C-64092BD72DF4}" type="presParOf" srcId="{F34B0F33-4CAC-46F9-8419-F074FBA5DCED}" destId="{AF0FF6DB-46EE-4522-A9C3-333BFAFEBACE}" srcOrd="6" destOrd="0" presId="urn:microsoft.com/office/officeart/2008/layout/AlternatingHexagons"/>
    <dgm:cxn modelId="{3D39FC5C-3DE3-4B47-8FB4-0D82FE701E35}" type="presParOf" srcId="{AF0FF6DB-46EE-4522-A9C3-333BFAFEBACE}" destId="{E6DF5575-2127-43B4-A9C7-63121F9B63A8}" srcOrd="0" destOrd="0" presId="urn:microsoft.com/office/officeart/2008/layout/AlternatingHexagons"/>
    <dgm:cxn modelId="{EEAC0F3C-A786-4D95-B011-3B89DF570ED8}" type="presParOf" srcId="{AF0FF6DB-46EE-4522-A9C3-333BFAFEBACE}" destId="{B84236DF-1216-44E1-B0C0-B55FC7440DDB}" srcOrd="1" destOrd="0" presId="urn:microsoft.com/office/officeart/2008/layout/AlternatingHexagons"/>
    <dgm:cxn modelId="{77B98A76-F09B-4486-950C-0DDC752EB739}" type="presParOf" srcId="{AF0FF6DB-46EE-4522-A9C3-333BFAFEBACE}" destId="{55B41B36-5FBB-427B-9CAF-556FCE193ABE}" srcOrd="2" destOrd="0" presId="urn:microsoft.com/office/officeart/2008/layout/AlternatingHexagons"/>
    <dgm:cxn modelId="{3A382002-0C40-45D3-860D-4F898897CB2D}" type="presParOf" srcId="{AF0FF6DB-46EE-4522-A9C3-333BFAFEBACE}" destId="{F8F8363F-3B1B-4A98-A63D-1B29163F76BD}" srcOrd="3" destOrd="0" presId="urn:microsoft.com/office/officeart/2008/layout/AlternatingHexagons"/>
    <dgm:cxn modelId="{8C54450C-0F00-4B4F-8978-BAD82857E59E}" type="presParOf" srcId="{AF0FF6DB-46EE-4522-A9C3-333BFAFEBACE}" destId="{9BB8A5F4-F037-43EC-8EC7-DF858D39657C}" srcOrd="4" destOrd="0" presId="urn:microsoft.com/office/officeart/2008/layout/AlternatingHexagons"/>
  </dgm:cxnLst>
  <dgm:bg>
    <a:noFill/>
  </dgm:bg>
  <dgm:whole/>
  <dgm:extLst>
    <a:ext uri="http://schemas.microsoft.com/office/drawing/2008/diagram">
      <dsp:dataModelExt xmlns:dsp="http://schemas.microsoft.com/office/drawing/2008/diagram" relId="rId8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1DB5C25-85BD-4414-87FE-CC1509E9EC09}" type="doc">
      <dgm:prSet loTypeId="urn:microsoft.com/office/officeart/2008/layout/AlternatingHexagons" loCatId="list" qsTypeId="urn:microsoft.com/office/officeart/2005/8/quickstyle/simple3" qsCatId="simple" csTypeId="urn:microsoft.com/office/officeart/2005/8/colors/accent1_2" csCatId="accent1" phldr="1"/>
      <dgm:spPr/>
      <dgm:t>
        <a:bodyPr/>
        <a:lstStyle/>
        <a:p>
          <a:endParaRPr lang="cs-CZ"/>
        </a:p>
      </dgm:t>
    </dgm:pt>
    <dgm:pt modelId="{FD101A24-32D3-4691-84D8-9662CFBB7426}">
      <dgm:prSet phldrT="[Text]" custT="1"/>
      <dgm:spPr>
        <a:solidFill>
          <a:schemeClr val="bg1">
            <a:lumMod val="85000"/>
          </a:schemeClr>
        </a:solidFill>
      </dgm:spPr>
      <dgm:t>
        <a:bodyPr/>
        <a:lstStyle/>
        <a:p>
          <a:r>
            <a:rPr lang="cs-CZ" sz="800" b="1"/>
            <a:t>Slovensko</a:t>
          </a:r>
        </a:p>
        <a:p>
          <a:r>
            <a:rPr lang="cs-CZ" sz="1200" b="1"/>
            <a:t>14,6 %</a:t>
          </a:r>
        </a:p>
      </dgm:t>
    </dgm:pt>
    <dgm:pt modelId="{F2530392-7934-4B7A-9702-19CF8A8577FF}" type="parTrans" cxnId="{35A97E13-37E9-4ACC-B61C-2455CEA75CCC}">
      <dgm:prSet/>
      <dgm:spPr/>
      <dgm:t>
        <a:bodyPr/>
        <a:lstStyle/>
        <a:p>
          <a:endParaRPr lang="cs-CZ"/>
        </a:p>
      </dgm:t>
    </dgm:pt>
    <dgm:pt modelId="{E0303F8F-B788-467A-9F61-1C9B177170CA}" type="sibTrans" cxnId="{35A97E13-37E9-4ACC-B61C-2455CEA75CCC}">
      <dgm:prSet custT="1"/>
      <dgm:spPr>
        <a:solidFill>
          <a:schemeClr val="bg1">
            <a:lumMod val="85000"/>
            <a:alpha val="77000"/>
          </a:schemeClr>
        </a:solidFill>
      </dgm:spPr>
      <dgm:t>
        <a:bodyPr/>
        <a:lstStyle/>
        <a:p>
          <a:r>
            <a:rPr lang="cs-CZ" sz="900" b="1"/>
            <a:t>Ukrajina</a:t>
          </a:r>
        </a:p>
        <a:p>
          <a:r>
            <a:rPr lang="cs-CZ" sz="1200" b="1"/>
            <a:t>50,0 %</a:t>
          </a:r>
        </a:p>
      </dgm:t>
    </dgm:pt>
    <dgm:pt modelId="{AFA53919-ACAF-4C6A-8410-5943957C22F0}">
      <dgm:prSet phldrT="[Text]" custT="1"/>
      <dgm:spPr>
        <a:solidFill>
          <a:schemeClr val="bg1">
            <a:lumMod val="85000"/>
          </a:schemeClr>
        </a:solidFill>
      </dgm:spPr>
      <dgm:t>
        <a:bodyPr/>
        <a:lstStyle/>
        <a:p>
          <a:r>
            <a:rPr lang="cs-CZ" sz="900" b="1"/>
            <a:t>Vietnam</a:t>
          </a:r>
        </a:p>
        <a:p>
          <a:r>
            <a:rPr lang="cs-CZ" sz="1200" b="1"/>
            <a:t>13,4 %</a:t>
          </a:r>
        </a:p>
      </dgm:t>
    </dgm:pt>
    <dgm:pt modelId="{8F0A8A3A-6061-46C9-A929-56BF092C7C30}" type="parTrans" cxnId="{320E4A54-5EB0-47FF-AC70-129107802AC3}">
      <dgm:prSet/>
      <dgm:spPr/>
      <dgm:t>
        <a:bodyPr/>
        <a:lstStyle/>
        <a:p>
          <a:endParaRPr lang="cs-CZ"/>
        </a:p>
      </dgm:t>
    </dgm:pt>
    <dgm:pt modelId="{18078ABC-A357-4790-BF35-499486D09516}" type="sibTrans" cxnId="{320E4A54-5EB0-47FF-AC70-129107802AC3}">
      <dgm:prSet custT="1"/>
      <dgm:spPr>
        <a:solidFill>
          <a:schemeClr val="bg1">
            <a:lumMod val="85000"/>
          </a:schemeClr>
        </a:solidFill>
      </dgm:spPr>
      <dgm:t>
        <a:bodyPr/>
        <a:lstStyle/>
        <a:p>
          <a:r>
            <a:rPr lang="cs-CZ" sz="900" b="1"/>
            <a:t>Rusko</a:t>
          </a:r>
        </a:p>
        <a:p>
          <a:r>
            <a:rPr lang="cs-CZ" sz="1200" b="1"/>
            <a:t>5,9 %</a:t>
          </a:r>
        </a:p>
      </dgm:t>
    </dgm:pt>
    <dgm:pt modelId="{FA6439B4-D2F4-4071-B82A-ECDC410241EC}">
      <dgm:prSet phldrT="[Text]" custT="1"/>
      <dgm:spPr>
        <a:solidFill>
          <a:schemeClr val="bg1">
            <a:lumMod val="85000"/>
          </a:schemeClr>
        </a:solidFill>
      </dgm:spPr>
      <dgm:t>
        <a:bodyPr/>
        <a:lstStyle/>
        <a:p>
          <a:r>
            <a:rPr lang="cs-CZ" sz="800" b="1"/>
            <a:t>Mongolsko</a:t>
          </a:r>
        </a:p>
        <a:p>
          <a:r>
            <a:rPr lang="cs-CZ" sz="1200" b="1"/>
            <a:t>1,4 %</a:t>
          </a:r>
        </a:p>
      </dgm:t>
    </dgm:pt>
    <dgm:pt modelId="{310512A5-3BA8-4E40-B403-86962E56C699}" type="parTrans" cxnId="{74873446-05A2-44D2-ABBC-8E0672BFBA8F}">
      <dgm:prSet/>
      <dgm:spPr/>
      <dgm:t>
        <a:bodyPr/>
        <a:lstStyle/>
        <a:p>
          <a:endParaRPr lang="cs-CZ"/>
        </a:p>
      </dgm:t>
    </dgm:pt>
    <dgm:pt modelId="{D18B3B4D-DD84-4763-A02A-163B1C04CEF0}" type="sibTrans" cxnId="{74873446-05A2-44D2-ABBC-8E0672BFBA8F}">
      <dgm:prSet custT="1"/>
      <dgm:spPr>
        <a:solidFill>
          <a:schemeClr val="bg1">
            <a:lumMod val="85000"/>
          </a:schemeClr>
        </a:solidFill>
      </dgm:spPr>
      <dgm:t>
        <a:bodyPr/>
        <a:lstStyle/>
        <a:p>
          <a:r>
            <a:rPr lang="cs-CZ" sz="900" b="1"/>
            <a:t>Bulharsko </a:t>
          </a:r>
        </a:p>
        <a:p>
          <a:r>
            <a:rPr lang="cs-CZ" sz="1200" b="1"/>
            <a:t>1,5 %</a:t>
          </a:r>
        </a:p>
      </dgm:t>
    </dgm:pt>
    <dgm:pt modelId="{DF3AA52B-8439-49D4-88C7-FB72AEDCDD04}">
      <dgm:prSet/>
      <dgm:spPr/>
      <dgm:t>
        <a:bodyPr/>
        <a:lstStyle/>
        <a:p>
          <a:endParaRPr lang="cs-CZ"/>
        </a:p>
      </dgm:t>
    </dgm:pt>
    <dgm:pt modelId="{5811AF57-9133-4843-95A5-8243369B641D}" type="parTrans" cxnId="{F688798A-42EA-442B-8615-63ED716DEF1F}">
      <dgm:prSet/>
      <dgm:spPr/>
      <dgm:t>
        <a:bodyPr/>
        <a:lstStyle/>
        <a:p>
          <a:endParaRPr lang="cs-CZ"/>
        </a:p>
      </dgm:t>
    </dgm:pt>
    <dgm:pt modelId="{6F47D8EA-3C13-4B23-85CE-DC39736108A2}" type="sibTrans" cxnId="{F688798A-42EA-442B-8615-63ED716DEF1F}">
      <dgm:prSet/>
      <dgm:spPr/>
      <dgm:t>
        <a:bodyPr/>
        <a:lstStyle/>
        <a:p>
          <a:endParaRPr lang="cs-CZ"/>
        </a:p>
      </dgm:t>
    </dgm:pt>
    <dgm:pt modelId="{5F3DCEE1-6514-447C-A504-150FF22F1E1C}">
      <dgm:prSet custT="1"/>
      <dgm:spPr>
        <a:solidFill>
          <a:schemeClr val="bg1">
            <a:lumMod val="85000"/>
          </a:schemeClr>
        </a:solidFill>
      </dgm:spPr>
      <dgm:t>
        <a:bodyPr/>
        <a:lstStyle/>
        <a:p>
          <a:r>
            <a:rPr lang="cs-CZ" sz="800" b="1"/>
            <a:t>Moldavsko</a:t>
          </a:r>
        </a:p>
        <a:p>
          <a:r>
            <a:rPr lang="cs-CZ" sz="1200" b="1"/>
            <a:t>1,4 %</a:t>
          </a:r>
        </a:p>
      </dgm:t>
    </dgm:pt>
    <dgm:pt modelId="{9C061872-521E-4537-A7F8-A84919602278}" type="parTrans" cxnId="{EDF05455-7A7D-4773-BE7E-EFD8291F643A}">
      <dgm:prSet/>
      <dgm:spPr/>
      <dgm:t>
        <a:bodyPr/>
        <a:lstStyle/>
        <a:p>
          <a:endParaRPr lang="cs-CZ"/>
        </a:p>
      </dgm:t>
    </dgm:pt>
    <dgm:pt modelId="{44DD8DA5-36E3-459B-A1DD-7C8363627DF7}" type="sibTrans" cxnId="{EDF05455-7A7D-4773-BE7E-EFD8291F643A}">
      <dgm:prSet custT="1"/>
      <dgm:spPr>
        <a:solidFill>
          <a:schemeClr val="bg1">
            <a:lumMod val="85000"/>
          </a:schemeClr>
        </a:solidFill>
      </dgm:spPr>
      <dgm:t>
        <a:bodyPr/>
        <a:lstStyle/>
        <a:p>
          <a:r>
            <a:rPr lang="cs-CZ" sz="900" b="1"/>
            <a:t>Rumunsko</a:t>
          </a:r>
        </a:p>
        <a:p>
          <a:r>
            <a:rPr lang="cs-CZ" sz="1200" b="1"/>
            <a:t>1,2 %</a:t>
          </a:r>
        </a:p>
      </dgm:t>
    </dgm:pt>
    <dgm:pt modelId="{F34B0F33-4CAC-46F9-8419-F074FBA5DCED}" type="pres">
      <dgm:prSet presAssocID="{51DB5C25-85BD-4414-87FE-CC1509E9EC09}" presName="Name0" presStyleCnt="0">
        <dgm:presLayoutVars>
          <dgm:chMax/>
          <dgm:chPref/>
          <dgm:dir/>
          <dgm:animLvl val="lvl"/>
        </dgm:presLayoutVars>
      </dgm:prSet>
      <dgm:spPr/>
    </dgm:pt>
    <dgm:pt modelId="{2EDBC32F-A7EB-4ECA-839F-54C539F69FE0}" type="pres">
      <dgm:prSet presAssocID="{FD101A24-32D3-4691-84D8-9662CFBB7426}" presName="composite" presStyleCnt="0"/>
      <dgm:spPr/>
    </dgm:pt>
    <dgm:pt modelId="{6DDF2DA6-1E8F-4FA2-B8C9-2F953576B7FA}" type="pres">
      <dgm:prSet presAssocID="{FD101A24-32D3-4691-84D8-9662CFBB7426}" presName="Parent1" presStyleLbl="node1" presStyleIdx="0" presStyleCnt="8" custLinFactNeighborY="-23">
        <dgm:presLayoutVars>
          <dgm:chMax val="1"/>
          <dgm:chPref val="1"/>
          <dgm:bulletEnabled val="1"/>
        </dgm:presLayoutVars>
      </dgm:prSet>
      <dgm:spPr/>
    </dgm:pt>
    <dgm:pt modelId="{75CD3BB1-01EA-4173-9F6D-5E940C048C85}" type="pres">
      <dgm:prSet presAssocID="{FD101A24-32D3-4691-84D8-9662CFBB7426}" presName="Childtext1" presStyleLbl="revTx" presStyleIdx="0" presStyleCnt="4">
        <dgm:presLayoutVars>
          <dgm:chMax val="0"/>
          <dgm:chPref val="0"/>
          <dgm:bulletEnabled val="1"/>
        </dgm:presLayoutVars>
      </dgm:prSet>
      <dgm:spPr/>
    </dgm:pt>
    <dgm:pt modelId="{8F62D504-F056-4A63-85A1-E99319E03478}" type="pres">
      <dgm:prSet presAssocID="{FD101A24-32D3-4691-84D8-9662CFBB7426}" presName="BalanceSpacing" presStyleCnt="0"/>
      <dgm:spPr/>
    </dgm:pt>
    <dgm:pt modelId="{8E008FDB-EB34-49CB-AE69-CB75A73A0107}" type="pres">
      <dgm:prSet presAssocID="{FD101A24-32D3-4691-84D8-9662CFBB7426}" presName="BalanceSpacing1" presStyleCnt="0"/>
      <dgm:spPr/>
    </dgm:pt>
    <dgm:pt modelId="{1F836ADC-2A2F-4B73-9563-3ED0A424FD67}" type="pres">
      <dgm:prSet presAssocID="{E0303F8F-B788-467A-9F61-1C9B177170CA}" presName="Accent1Text" presStyleLbl="node1" presStyleIdx="1" presStyleCnt="8"/>
      <dgm:spPr/>
    </dgm:pt>
    <dgm:pt modelId="{99B4B93E-8117-43AA-AFDA-FE485EAC2AA2}" type="pres">
      <dgm:prSet presAssocID="{E0303F8F-B788-467A-9F61-1C9B177170CA}" presName="spaceBetweenRectangles" presStyleCnt="0"/>
      <dgm:spPr/>
    </dgm:pt>
    <dgm:pt modelId="{C7163CC6-E992-4946-99E9-C61E6F924473}" type="pres">
      <dgm:prSet presAssocID="{AFA53919-ACAF-4C6A-8410-5943957C22F0}" presName="composite" presStyleCnt="0"/>
      <dgm:spPr/>
    </dgm:pt>
    <dgm:pt modelId="{B48FAB5A-E20D-4BDC-8E8D-20E6610B549C}" type="pres">
      <dgm:prSet presAssocID="{AFA53919-ACAF-4C6A-8410-5943957C22F0}" presName="Parent1" presStyleLbl="node1" presStyleIdx="2" presStyleCnt="8">
        <dgm:presLayoutVars>
          <dgm:chMax val="1"/>
          <dgm:chPref val="1"/>
          <dgm:bulletEnabled val="1"/>
        </dgm:presLayoutVars>
      </dgm:prSet>
      <dgm:spPr/>
    </dgm:pt>
    <dgm:pt modelId="{260EDEBD-30B8-4258-895B-0EF9FD42EE2F}" type="pres">
      <dgm:prSet presAssocID="{AFA53919-ACAF-4C6A-8410-5943957C22F0}" presName="Childtext1" presStyleLbl="revTx" presStyleIdx="1" presStyleCnt="4">
        <dgm:presLayoutVars>
          <dgm:chMax val="0"/>
          <dgm:chPref val="0"/>
          <dgm:bulletEnabled val="1"/>
        </dgm:presLayoutVars>
      </dgm:prSet>
      <dgm:spPr/>
    </dgm:pt>
    <dgm:pt modelId="{C24690EB-F3E0-4486-83BB-63F108DFD7A5}" type="pres">
      <dgm:prSet presAssocID="{AFA53919-ACAF-4C6A-8410-5943957C22F0}" presName="BalanceSpacing" presStyleCnt="0"/>
      <dgm:spPr/>
    </dgm:pt>
    <dgm:pt modelId="{60D63BB4-D998-4709-8769-BB7C8BDBAF59}" type="pres">
      <dgm:prSet presAssocID="{AFA53919-ACAF-4C6A-8410-5943957C22F0}" presName="BalanceSpacing1" presStyleCnt="0"/>
      <dgm:spPr/>
    </dgm:pt>
    <dgm:pt modelId="{0BCFB5B3-54E1-43E0-BAA4-DAA5FBE93675}" type="pres">
      <dgm:prSet presAssocID="{18078ABC-A357-4790-BF35-499486D09516}" presName="Accent1Text" presStyleLbl="node1" presStyleIdx="3" presStyleCnt="8"/>
      <dgm:spPr/>
    </dgm:pt>
    <dgm:pt modelId="{3A47D13F-88F8-4B39-8508-2227257C0A75}" type="pres">
      <dgm:prSet presAssocID="{18078ABC-A357-4790-BF35-499486D09516}" presName="spaceBetweenRectangles" presStyleCnt="0"/>
      <dgm:spPr/>
    </dgm:pt>
    <dgm:pt modelId="{EBF7FCDE-C286-4CA3-9CCC-671DAA3C7775}" type="pres">
      <dgm:prSet presAssocID="{FA6439B4-D2F4-4071-B82A-ECDC410241EC}" presName="composite" presStyleCnt="0"/>
      <dgm:spPr/>
    </dgm:pt>
    <dgm:pt modelId="{92E95D9F-B6F1-4923-AA95-E9CC0654B9C1}" type="pres">
      <dgm:prSet presAssocID="{FA6439B4-D2F4-4071-B82A-ECDC410241EC}" presName="Parent1" presStyleLbl="node1" presStyleIdx="4" presStyleCnt="8">
        <dgm:presLayoutVars>
          <dgm:chMax val="1"/>
          <dgm:chPref val="1"/>
          <dgm:bulletEnabled val="1"/>
        </dgm:presLayoutVars>
      </dgm:prSet>
      <dgm:spPr/>
    </dgm:pt>
    <dgm:pt modelId="{F1E15E6B-FB9B-450E-8C4D-FF63ACEE0679}" type="pres">
      <dgm:prSet presAssocID="{FA6439B4-D2F4-4071-B82A-ECDC410241EC}" presName="Childtext1" presStyleLbl="revTx" presStyleIdx="2" presStyleCnt="4">
        <dgm:presLayoutVars>
          <dgm:chMax val="0"/>
          <dgm:chPref val="0"/>
          <dgm:bulletEnabled val="1"/>
        </dgm:presLayoutVars>
      </dgm:prSet>
      <dgm:spPr/>
    </dgm:pt>
    <dgm:pt modelId="{A00DEB2E-C044-4B9C-87B1-D329E80DD630}" type="pres">
      <dgm:prSet presAssocID="{FA6439B4-D2F4-4071-B82A-ECDC410241EC}" presName="BalanceSpacing" presStyleCnt="0"/>
      <dgm:spPr/>
    </dgm:pt>
    <dgm:pt modelId="{98E48E4A-76D7-444A-86D3-D7B0FA2B052F}" type="pres">
      <dgm:prSet presAssocID="{FA6439B4-D2F4-4071-B82A-ECDC410241EC}" presName="BalanceSpacing1" presStyleCnt="0"/>
      <dgm:spPr/>
    </dgm:pt>
    <dgm:pt modelId="{2BD06EFA-7C96-4BE1-9E9B-449101BBE8A8}" type="pres">
      <dgm:prSet presAssocID="{D18B3B4D-DD84-4763-A02A-163B1C04CEF0}" presName="Accent1Text" presStyleLbl="node1" presStyleIdx="5" presStyleCnt="8"/>
      <dgm:spPr/>
    </dgm:pt>
    <dgm:pt modelId="{CBEF3ECB-3167-4A71-BE1C-620ADB0C497C}" type="pres">
      <dgm:prSet presAssocID="{D18B3B4D-DD84-4763-A02A-163B1C04CEF0}" presName="spaceBetweenRectangles" presStyleCnt="0"/>
      <dgm:spPr/>
    </dgm:pt>
    <dgm:pt modelId="{AF0FF6DB-46EE-4522-A9C3-333BFAFEBACE}" type="pres">
      <dgm:prSet presAssocID="{5F3DCEE1-6514-447C-A504-150FF22F1E1C}" presName="composite" presStyleCnt="0"/>
      <dgm:spPr/>
    </dgm:pt>
    <dgm:pt modelId="{E6DF5575-2127-43B4-A9C7-63121F9B63A8}" type="pres">
      <dgm:prSet presAssocID="{5F3DCEE1-6514-447C-A504-150FF22F1E1C}" presName="Parent1" presStyleLbl="node1" presStyleIdx="6" presStyleCnt="8">
        <dgm:presLayoutVars>
          <dgm:chMax val="1"/>
          <dgm:chPref val="1"/>
          <dgm:bulletEnabled val="1"/>
        </dgm:presLayoutVars>
      </dgm:prSet>
      <dgm:spPr/>
    </dgm:pt>
    <dgm:pt modelId="{B84236DF-1216-44E1-B0C0-B55FC7440DDB}" type="pres">
      <dgm:prSet presAssocID="{5F3DCEE1-6514-447C-A504-150FF22F1E1C}" presName="Childtext1" presStyleLbl="revTx" presStyleIdx="3" presStyleCnt="4">
        <dgm:presLayoutVars>
          <dgm:chMax val="0"/>
          <dgm:chPref val="0"/>
          <dgm:bulletEnabled val="1"/>
        </dgm:presLayoutVars>
      </dgm:prSet>
      <dgm:spPr/>
    </dgm:pt>
    <dgm:pt modelId="{55B41B36-5FBB-427B-9CAF-556FCE193ABE}" type="pres">
      <dgm:prSet presAssocID="{5F3DCEE1-6514-447C-A504-150FF22F1E1C}" presName="BalanceSpacing" presStyleCnt="0"/>
      <dgm:spPr/>
    </dgm:pt>
    <dgm:pt modelId="{F8F8363F-3B1B-4A98-A63D-1B29163F76BD}" type="pres">
      <dgm:prSet presAssocID="{5F3DCEE1-6514-447C-A504-150FF22F1E1C}" presName="BalanceSpacing1" presStyleCnt="0"/>
      <dgm:spPr/>
    </dgm:pt>
    <dgm:pt modelId="{9BB8A5F4-F037-43EC-8EC7-DF858D39657C}" type="pres">
      <dgm:prSet presAssocID="{44DD8DA5-36E3-459B-A1DD-7C8363627DF7}" presName="Accent1Text" presStyleLbl="node1" presStyleIdx="7" presStyleCnt="8" custLinFactNeighborX="-2331" custLinFactNeighborY="100"/>
      <dgm:spPr/>
    </dgm:pt>
  </dgm:ptLst>
  <dgm:cxnLst>
    <dgm:cxn modelId="{35A97E13-37E9-4ACC-B61C-2455CEA75CCC}" srcId="{51DB5C25-85BD-4414-87FE-CC1509E9EC09}" destId="{FD101A24-32D3-4691-84D8-9662CFBB7426}" srcOrd="0" destOrd="0" parTransId="{F2530392-7934-4B7A-9702-19CF8A8577FF}" sibTransId="{E0303F8F-B788-467A-9F61-1C9B177170CA}"/>
    <dgm:cxn modelId="{7F531A22-33F1-4650-A455-158BF4D64E91}" type="presOf" srcId="{DF3AA52B-8439-49D4-88C7-FB72AEDCDD04}" destId="{F1E15E6B-FB9B-450E-8C4D-FF63ACEE0679}" srcOrd="0" destOrd="0" presId="urn:microsoft.com/office/officeart/2008/layout/AlternatingHexagons"/>
    <dgm:cxn modelId="{1C1BEA25-F20B-4A6D-81EF-D7EC2770D788}" type="presOf" srcId="{FA6439B4-D2F4-4071-B82A-ECDC410241EC}" destId="{92E95D9F-B6F1-4923-AA95-E9CC0654B9C1}" srcOrd="0" destOrd="0" presId="urn:microsoft.com/office/officeart/2008/layout/AlternatingHexagons"/>
    <dgm:cxn modelId="{C1420F3B-2002-48AD-BCD5-392B7D8329D8}" type="presOf" srcId="{51DB5C25-85BD-4414-87FE-CC1509E9EC09}" destId="{F34B0F33-4CAC-46F9-8419-F074FBA5DCED}" srcOrd="0" destOrd="0" presId="urn:microsoft.com/office/officeart/2008/layout/AlternatingHexagons"/>
    <dgm:cxn modelId="{70B7B33B-3104-4A1D-AB4B-B9FDD3549EDF}" type="presOf" srcId="{FD101A24-32D3-4691-84D8-9662CFBB7426}" destId="{6DDF2DA6-1E8F-4FA2-B8C9-2F953576B7FA}" srcOrd="0" destOrd="0" presId="urn:microsoft.com/office/officeart/2008/layout/AlternatingHexagons"/>
    <dgm:cxn modelId="{E27B8F42-369E-4EFE-A298-E4CF58D4E79E}" type="presOf" srcId="{E0303F8F-B788-467A-9F61-1C9B177170CA}" destId="{1F836ADC-2A2F-4B73-9563-3ED0A424FD67}" srcOrd="0" destOrd="0" presId="urn:microsoft.com/office/officeart/2008/layout/AlternatingHexagons"/>
    <dgm:cxn modelId="{B9B65D65-E821-4C23-A5AD-EA024D8D35AA}" type="presOf" srcId="{5F3DCEE1-6514-447C-A504-150FF22F1E1C}" destId="{E6DF5575-2127-43B4-A9C7-63121F9B63A8}" srcOrd="0" destOrd="0" presId="urn:microsoft.com/office/officeart/2008/layout/AlternatingHexagons"/>
    <dgm:cxn modelId="{74873446-05A2-44D2-ABBC-8E0672BFBA8F}" srcId="{51DB5C25-85BD-4414-87FE-CC1509E9EC09}" destId="{FA6439B4-D2F4-4071-B82A-ECDC410241EC}" srcOrd="2" destOrd="0" parTransId="{310512A5-3BA8-4E40-B403-86962E56C699}" sibTransId="{D18B3B4D-DD84-4763-A02A-163B1C04CEF0}"/>
    <dgm:cxn modelId="{320E4A54-5EB0-47FF-AC70-129107802AC3}" srcId="{51DB5C25-85BD-4414-87FE-CC1509E9EC09}" destId="{AFA53919-ACAF-4C6A-8410-5943957C22F0}" srcOrd="1" destOrd="0" parTransId="{8F0A8A3A-6061-46C9-A929-56BF092C7C30}" sibTransId="{18078ABC-A357-4790-BF35-499486D09516}"/>
    <dgm:cxn modelId="{EDF05455-7A7D-4773-BE7E-EFD8291F643A}" srcId="{51DB5C25-85BD-4414-87FE-CC1509E9EC09}" destId="{5F3DCEE1-6514-447C-A504-150FF22F1E1C}" srcOrd="3" destOrd="0" parTransId="{9C061872-521E-4537-A7F8-A84919602278}" sibTransId="{44DD8DA5-36E3-459B-A1DD-7C8363627DF7}"/>
    <dgm:cxn modelId="{0E65DC7D-140F-4062-B467-EF2EC3E5B861}" type="presOf" srcId="{D18B3B4D-DD84-4763-A02A-163B1C04CEF0}" destId="{2BD06EFA-7C96-4BE1-9E9B-449101BBE8A8}" srcOrd="0" destOrd="0" presId="urn:microsoft.com/office/officeart/2008/layout/AlternatingHexagons"/>
    <dgm:cxn modelId="{F688798A-42EA-442B-8615-63ED716DEF1F}" srcId="{FA6439B4-D2F4-4071-B82A-ECDC410241EC}" destId="{DF3AA52B-8439-49D4-88C7-FB72AEDCDD04}" srcOrd="0" destOrd="0" parTransId="{5811AF57-9133-4843-95A5-8243369B641D}" sibTransId="{6F47D8EA-3C13-4B23-85CE-DC39736108A2}"/>
    <dgm:cxn modelId="{3AE9CF9D-9840-471D-ADB2-E1455421728C}" type="presOf" srcId="{AFA53919-ACAF-4C6A-8410-5943957C22F0}" destId="{B48FAB5A-E20D-4BDC-8E8D-20E6610B549C}" srcOrd="0" destOrd="0" presId="urn:microsoft.com/office/officeart/2008/layout/AlternatingHexagons"/>
    <dgm:cxn modelId="{D57C14E9-62CF-4E6A-936C-CA9BC75AF4F1}" type="presOf" srcId="{18078ABC-A357-4790-BF35-499486D09516}" destId="{0BCFB5B3-54E1-43E0-BAA4-DAA5FBE93675}" srcOrd="0" destOrd="0" presId="urn:microsoft.com/office/officeart/2008/layout/AlternatingHexagons"/>
    <dgm:cxn modelId="{F5CC1DFA-D8BD-4201-BB2C-A61ACF5166F3}" type="presOf" srcId="{44DD8DA5-36E3-459B-A1DD-7C8363627DF7}" destId="{9BB8A5F4-F037-43EC-8EC7-DF858D39657C}" srcOrd="0" destOrd="0" presId="urn:microsoft.com/office/officeart/2008/layout/AlternatingHexagons"/>
    <dgm:cxn modelId="{2D5631B3-816C-46F7-8B8E-B0E6D1DE0707}" type="presParOf" srcId="{F34B0F33-4CAC-46F9-8419-F074FBA5DCED}" destId="{2EDBC32F-A7EB-4ECA-839F-54C539F69FE0}" srcOrd="0" destOrd="0" presId="urn:microsoft.com/office/officeart/2008/layout/AlternatingHexagons"/>
    <dgm:cxn modelId="{77907A01-3383-4A16-811F-EEED3AE78E0F}" type="presParOf" srcId="{2EDBC32F-A7EB-4ECA-839F-54C539F69FE0}" destId="{6DDF2DA6-1E8F-4FA2-B8C9-2F953576B7FA}" srcOrd="0" destOrd="0" presId="urn:microsoft.com/office/officeart/2008/layout/AlternatingHexagons"/>
    <dgm:cxn modelId="{517D319B-EC1F-45A2-BB48-F76D3E1ADB7C}" type="presParOf" srcId="{2EDBC32F-A7EB-4ECA-839F-54C539F69FE0}" destId="{75CD3BB1-01EA-4173-9F6D-5E940C048C85}" srcOrd="1" destOrd="0" presId="urn:microsoft.com/office/officeart/2008/layout/AlternatingHexagons"/>
    <dgm:cxn modelId="{D6CFDE92-B718-43AF-A19D-FA4A902B54A7}" type="presParOf" srcId="{2EDBC32F-A7EB-4ECA-839F-54C539F69FE0}" destId="{8F62D504-F056-4A63-85A1-E99319E03478}" srcOrd="2" destOrd="0" presId="urn:microsoft.com/office/officeart/2008/layout/AlternatingHexagons"/>
    <dgm:cxn modelId="{719FC4ED-F306-4825-865C-B7513907FA67}" type="presParOf" srcId="{2EDBC32F-A7EB-4ECA-839F-54C539F69FE0}" destId="{8E008FDB-EB34-49CB-AE69-CB75A73A0107}" srcOrd="3" destOrd="0" presId="urn:microsoft.com/office/officeart/2008/layout/AlternatingHexagons"/>
    <dgm:cxn modelId="{FC27043F-5CC7-4B39-85D9-F4C4263ED441}" type="presParOf" srcId="{2EDBC32F-A7EB-4ECA-839F-54C539F69FE0}" destId="{1F836ADC-2A2F-4B73-9563-3ED0A424FD67}" srcOrd="4" destOrd="0" presId="urn:microsoft.com/office/officeart/2008/layout/AlternatingHexagons"/>
    <dgm:cxn modelId="{191978F1-E816-438C-88D0-63194E2AD70E}" type="presParOf" srcId="{F34B0F33-4CAC-46F9-8419-F074FBA5DCED}" destId="{99B4B93E-8117-43AA-AFDA-FE485EAC2AA2}" srcOrd="1" destOrd="0" presId="urn:microsoft.com/office/officeart/2008/layout/AlternatingHexagons"/>
    <dgm:cxn modelId="{04DB367E-BBC9-4A84-9B47-2AC56426C6F6}" type="presParOf" srcId="{F34B0F33-4CAC-46F9-8419-F074FBA5DCED}" destId="{C7163CC6-E992-4946-99E9-C61E6F924473}" srcOrd="2" destOrd="0" presId="urn:microsoft.com/office/officeart/2008/layout/AlternatingHexagons"/>
    <dgm:cxn modelId="{B93D031C-C825-446C-9A0A-E526B3DEA2D2}" type="presParOf" srcId="{C7163CC6-E992-4946-99E9-C61E6F924473}" destId="{B48FAB5A-E20D-4BDC-8E8D-20E6610B549C}" srcOrd="0" destOrd="0" presId="urn:microsoft.com/office/officeart/2008/layout/AlternatingHexagons"/>
    <dgm:cxn modelId="{31198138-9C0A-4EBA-B2BB-0BBF264DCE6E}" type="presParOf" srcId="{C7163CC6-E992-4946-99E9-C61E6F924473}" destId="{260EDEBD-30B8-4258-895B-0EF9FD42EE2F}" srcOrd="1" destOrd="0" presId="urn:microsoft.com/office/officeart/2008/layout/AlternatingHexagons"/>
    <dgm:cxn modelId="{82BD8C19-36D8-4751-8758-FB07F31199FA}" type="presParOf" srcId="{C7163CC6-E992-4946-99E9-C61E6F924473}" destId="{C24690EB-F3E0-4486-83BB-63F108DFD7A5}" srcOrd="2" destOrd="0" presId="urn:microsoft.com/office/officeart/2008/layout/AlternatingHexagons"/>
    <dgm:cxn modelId="{A80B0098-93BB-413C-8BFC-3DA8D38E976D}" type="presParOf" srcId="{C7163CC6-E992-4946-99E9-C61E6F924473}" destId="{60D63BB4-D998-4709-8769-BB7C8BDBAF59}" srcOrd="3" destOrd="0" presId="urn:microsoft.com/office/officeart/2008/layout/AlternatingHexagons"/>
    <dgm:cxn modelId="{162E20AE-7012-4324-A80B-B87F6EAA94DC}" type="presParOf" srcId="{C7163CC6-E992-4946-99E9-C61E6F924473}" destId="{0BCFB5B3-54E1-43E0-BAA4-DAA5FBE93675}" srcOrd="4" destOrd="0" presId="urn:microsoft.com/office/officeart/2008/layout/AlternatingHexagons"/>
    <dgm:cxn modelId="{A3666A2C-B40D-4A67-97A9-70B7E12DFD16}" type="presParOf" srcId="{F34B0F33-4CAC-46F9-8419-F074FBA5DCED}" destId="{3A47D13F-88F8-4B39-8508-2227257C0A75}" srcOrd="3" destOrd="0" presId="urn:microsoft.com/office/officeart/2008/layout/AlternatingHexagons"/>
    <dgm:cxn modelId="{7AA14122-45C9-4F6E-AA24-93FA4CABF1F0}" type="presParOf" srcId="{F34B0F33-4CAC-46F9-8419-F074FBA5DCED}" destId="{EBF7FCDE-C286-4CA3-9CCC-671DAA3C7775}" srcOrd="4" destOrd="0" presId="urn:microsoft.com/office/officeart/2008/layout/AlternatingHexagons"/>
    <dgm:cxn modelId="{2C1DD528-946C-462F-91D7-EA0611306B53}" type="presParOf" srcId="{EBF7FCDE-C286-4CA3-9CCC-671DAA3C7775}" destId="{92E95D9F-B6F1-4923-AA95-E9CC0654B9C1}" srcOrd="0" destOrd="0" presId="urn:microsoft.com/office/officeart/2008/layout/AlternatingHexagons"/>
    <dgm:cxn modelId="{9672C04D-7D9B-452A-B393-F866206FB187}" type="presParOf" srcId="{EBF7FCDE-C286-4CA3-9CCC-671DAA3C7775}" destId="{F1E15E6B-FB9B-450E-8C4D-FF63ACEE0679}" srcOrd="1" destOrd="0" presId="urn:microsoft.com/office/officeart/2008/layout/AlternatingHexagons"/>
    <dgm:cxn modelId="{D97F3040-72AE-44F1-B184-8DF8FC63F867}" type="presParOf" srcId="{EBF7FCDE-C286-4CA3-9CCC-671DAA3C7775}" destId="{A00DEB2E-C044-4B9C-87B1-D329E80DD630}" srcOrd="2" destOrd="0" presId="urn:microsoft.com/office/officeart/2008/layout/AlternatingHexagons"/>
    <dgm:cxn modelId="{BA630827-BDD6-4C84-9E79-774183EDEE75}" type="presParOf" srcId="{EBF7FCDE-C286-4CA3-9CCC-671DAA3C7775}" destId="{98E48E4A-76D7-444A-86D3-D7B0FA2B052F}" srcOrd="3" destOrd="0" presId="urn:microsoft.com/office/officeart/2008/layout/AlternatingHexagons"/>
    <dgm:cxn modelId="{97103544-01F5-42DD-9C43-A8E0FB5663DF}" type="presParOf" srcId="{EBF7FCDE-C286-4CA3-9CCC-671DAA3C7775}" destId="{2BD06EFA-7C96-4BE1-9E9B-449101BBE8A8}" srcOrd="4" destOrd="0" presId="urn:microsoft.com/office/officeart/2008/layout/AlternatingHexagons"/>
    <dgm:cxn modelId="{A1EEB0F0-948A-436E-920B-C63414C5B865}" type="presParOf" srcId="{F34B0F33-4CAC-46F9-8419-F074FBA5DCED}" destId="{CBEF3ECB-3167-4A71-BE1C-620ADB0C497C}" srcOrd="5" destOrd="0" presId="urn:microsoft.com/office/officeart/2008/layout/AlternatingHexagons"/>
    <dgm:cxn modelId="{130D272E-B980-44C0-BC1C-64092BD72DF4}" type="presParOf" srcId="{F34B0F33-4CAC-46F9-8419-F074FBA5DCED}" destId="{AF0FF6DB-46EE-4522-A9C3-333BFAFEBACE}" srcOrd="6" destOrd="0" presId="urn:microsoft.com/office/officeart/2008/layout/AlternatingHexagons"/>
    <dgm:cxn modelId="{3D39FC5C-3DE3-4B47-8FB4-0D82FE701E35}" type="presParOf" srcId="{AF0FF6DB-46EE-4522-A9C3-333BFAFEBACE}" destId="{E6DF5575-2127-43B4-A9C7-63121F9B63A8}" srcOrd="0" destOrd="0" presId="urn:microsoft.com/office/officeart/2008/layout/AlternatingHexagons"/>
    <dgm:cxn modelId="{EEAC0F3C-A786-4D95-B011-3B89DF570ED8}" type="presParOf" srcId="{AF0FF6DB-46EE-4522-A9C3-333BFAFEBACE}" destId="{B84236DF-1216-44E1-B0C0-B55FC7440DDB}" srcOrd="1" destOrd="0" presId="urn:microsoft.com/office/officeart/2008/layout/AlternatingHexagons"/>
    <dgm:cxn modelId="{77B98A76-F09B-4486-950C-0DDC752EB739}" type="presParOf" srcId="{AF0FF6DB-46EE-4522-A9C3-333BFAFEBACE}" destId="{55B41B36-5FBB-427B-9CAF-556FCE193ABE}" srcOrd="2" destOrd="0" presId="urn:microsoft.com/office/officeart/2008/layout/AlternatingHexagons"/>
    <dgm:cxn modelId="{3A382002-0C40-45D3-860D-4F898897CB2D}" type="presParOf" srcId="{AF0FF6DB-46EE-4522-A9C3-333BFAFEBACE}" destId="{F8F8363F-3B1B-4A98-A63D-1B29163F76BD}" srcOrd="3" destOrd="0" presId="urn:microsoft.com/office/officeart/2008/layout/AlternatingHexagons"/>
    <dgm:cxn modelId="{8C54450C-0F00-4B4F-8978-BAD82857E59E}" type="presParOf" srcId="{AF0FF6DB-46EE-4522-A9C3-333BFAFEBACE}" destId="{9BB8A5F4-F037-43EC-8EC7-DF858D39657C}" srcOrd="4" destOrd="0" presId="urn:microsoft.com/office/officeart/2008/layout/AlternatingHexagons"/>
  </dgm:cxnLst>
  <dgm:bg>
    <a:noFill/>
  </dgm:bg>
  <dgm:whole/>
  <dgm:extLst>
    <a:ext uri="http://schemas.microsoft.com/office/drawing/2008/diagram">
      <dsp:dataModelExt xmlns:dsp="http://schemas.microsoft.com/office/drawing/2008/diagram" relId="rId9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1DB5C25-85BD-4414-87FE-CC1509E9EC09}" type="doc">
      <dgm:prSet loTypeId="urn:microsoft.com/office/officeart/2008/layout/AlternatingHexagons" loCatId="list" qsTypeId="urn:microsoft.com/office/officeart/2005/8/quickstyle/simple3" qsCatId="simple" csTypeId="urn:microsoft.com/office/officeart/2005/8/colors/accent1_2" csCatId="accent1" phldr="1"/>
      <dgm:spPr/>
      <dgm:t>
        <a:bodyPr/>
        <a:lstStyle/>
        <a:p>
          <a:endParaRPr lang="cs-CZ"/>
        </a:p>
      </dgm:t>
    </dgm:pt>
    <dgm:pt modelId="{FD101A24-32D3-4691-84D8-9662CFBB7426}">
      <dgm:prSet phldrT="[Text]" custT="1"/>
      <dgm:spPr>
        <a:solidFill>
          <a:schemeClr val="bg1">
            <a:lumMod val="85000"/>
          </a:schemeClr>
        </a:solidFill>
      </dgm:spPr>
      <dgm:t>
        <a:bodyPr/>
        <a:lstStyle/>
        <a:p>
          <a:r>
            <a:rPr lang="cs-CZ" sz="800" b="1">
              <a:solidFill>
                <a:srgbClr val="C00000"/>
              </a:solidFill>
            </a:rPr>
            <a:t>Administrativa</a:t>
          </a:r>
        </a:p>
        <a:p>
          <a:r>
            <a:rPr lang="cs-CZ" sz="1400" b="1"/>
            <a:t>13,8 %</a:t>
          </a:r>
        </a:p>
      </dgm:t>
    </dgm:pt>
    <dgm:pt modelId="{F2530392-7934-4B7A-9702-19CF8A8577FF}" type="parTrans" cxnId="{35A97E13-37E9-4ACC-B61C-2455CEA75CCC}">
      <dgm:prSet/>
      <dgm:spPr/>
      <dgm:t>
        <a:bodyPr/>
        <a:lstStyle/>
        <a:p>
          <a:endParaRPr lang="cs-CZ" sz="800"/>
        </a:p>
      </dgm:t>
    </dgm:pt>
    <dgm:pt modelId="{E0303F8F-B788-467A-9F61-1C9B177170CA}" type="sibTrans" cxnId="{35A97E13-37E9-4ACC-B61C-2455CEA75CCC}">
      <dgm:prSet custT="1"/>
      <dgm:spPr>
        <a:solidFill>
          <a:schemeClr val="bg1">
            <a:lumMod val="85000"/>
            <a:alpha val="77000"/>
          </a:schemeClr>
        </a:solidFill>
      </dgm:spPr>
      <dgm:t>
        <a:bodyPr/>
        <a:lstStyle/>
        <a:p>
          <a:r>
            <a:rPr lang="cs-CZ" sz="900" b="1">
              <a:solidFill>
                <a:srgbClr val="C00000"/>
              </a:solidFill>
            </a:rPr>
            <a:t>Zpracovatelský průmysl</a:t>
          </a:r>
        </a:p>
        <a:p>
          <a:r>
            <a:rPr lang="cs-CZ" sz="1600" b="1"/>
            <a:t>24,2 %</a:t>
          </a:r>
        </a:p>
      </dgm:t>
    </dgm:pt>
    <dgm:pt modelId="{AFA53919-ACAF-4C6A-8410-5943957C22F0}">
      <dgm:prSet phldrT="[Text]" custT="1"/>
      <dgm:spPr>
        <a:solidFill>
          <a:schemeClr val="bg1">
            <a:lumMod val="85000"/>
          </a:schemeClr>
        </a:solidFill>
      </dgm:spPr>
      <dgm:t>
        <a:bodyPr/>
        <a:lstStyle/>
        <a:p>
          <a:r>
            <a:rPr lang="cs-CZ" sz="850" b="1">
              <a:solidFill>
                <a:srgbClr val="C00000"/>
              </a:solidFill>
            </a:rPr>
            <a:t>Informace a komunikace</a:t>
          </a:r>
        </a:p>
        <a:p>
          <a:r>
            <a:rPr lang="cs-CZ" sz="1050" b="1"/>
            <a:t>10,2 %</a:t>
          </a:r>
        </a:p>
      </dgm:t>
    </dgm:pt>
    <dgm:pt modelId="{8F0A8A3A-6061-46C9-A929-56BF092C7C30}" type="parTrans" cxnId="{320E4A54-5EB0-47FF-AC70-129107802AC3}">
      <dgm:prSet/>
      <dgm:spPr/>
      <dgm:t>
        <a:bodyPr/>
        <a:lstStyle/>
        <a:p>
          <a:endParaRPr lang="cs-CZ" sz="800"/>
        </a:p>
      </dgm:t>
    </dgm:pt>
    <dgm:pt modelId="{18078ABC-A357-4790-BF35-499486D09516}" type="sibTrans" cxnId="{320E4A54-5EB0-47FF-AC70-129107802AC3}">
      <dgm:prSet custT="1"/>
      <dgm:spPr>
        <a:solidFill>
          <a:schemeClr val="bg1">
            <a:lumMod val="85000"/>
          </a:schemeClr>
        </a:solidFill>
      </dgm:spPr>
      <dgm:t>
        <a:bodyPr/>
        <a:lstStyle/>
        <a:p>
          <a:r>
            <a:rPr lang="cs-CZ" sz="900" b="1">
              <a:solidFill>
                <a:srgbClr val="C00000"/>
              </a:solidFill>
            </a:rPr>
            <a:t>Obchod, opravy spotřebičů a mot. vozidel</a:t>
          </a:r>
        </a:p>
        <a:p>
          <a:r>
            <a:rPr lang="cs-CZ" sz="1050" b="1"/>
            <a:t>10,5 %</a:t>
          </a:r>
        </a:p>
      </dgm:t>
    </dgm:pt>
    <dgm:pt modelId="{FA6439B4-D2F4-4071-B82A-ECDC410241EC}">
      <dgm:prSet phldrT="[Text]" custT="1"/>
      <dgm:spPr>
        <a:solidFill>
          <a:schemeClr val="bg1">
            <a:lumMod val="85000"/>
          </a:schemeClr>
        </a:solidFill>
      </dgm:spPr>
      <dgm:t>
        <a:bodyPr/>
        <a:lstStyle/>
        <a:p>
          <a:r>
            <a:rPr lang="cs-CZ" sz="800" b="1">
              <a:solidFill>
                <a:srgbClr val="C00000"/>
              </a:solidFill>
            </a:rPr>
            <a:t>Věda, výzkum, technika</a:t>
          </a:r>
        </a:p>
        <a:p>
          <a:r>
            <a:rPr lang="cs-CZ" sz="1000" b="1"/>
            <a:t>6,87%</a:t>
          </a:r>
        </a:p>
      </dgm:t>
    </dgm:pt>
    <dgm:pt modelId="{310512A5-3BA8-4E40-B403-86962E56C699}" type="parTrans" cxnId="{74873446-05A2-44D2-ABBC-8E0672BFBA8F}">
      <dgm:prSet/>
      <dgm:spPr/>
      <dgm:t>
        <a:bodyPr/>
        <a:lstStyle/>
        <a:p>
          <a:endParaRPr lang="cs-CZ" sz="800"/>
        </a:p>
      </dgm:t>
    </dgm:pt>
    <dgm:pt modelId="{D18B3B4D-DD84-4763-A02A-163B1C04CEF0}" type="sibTrans" cxnId="{74873446-05A2-44D2-ABBC-8E0672BFBA8F}">
      <dgm:prSet custT="1"/>
      <dgm:spPr>
        <a:solidFill>
          <a:schemeClr val="bg1">
            <a:lumMod val="85000"/>
          </a:schemeClr>
        </a:solidFill>
      </dgm:spPr>
      <dgm:t>
        <a:bodyPr/>
        <a:lstStyle/>
        <a:p>
          <a:r>
            <a:rPr lang="cs-CZ" sz="800" b="1">
              <a:solidFill>
                <a:srgbClr val="C00000"/>
              </a:solidFill>
            </a:rPr>
            <a:t>Stavebnictví</a:t>
          </a:r>
          <a:r>
            <a:rPr lang="cs-CZ" sz="800" b="1"/>
            <a:t> </a:t>
          </a:r>
        </a:p>
        <a:p>
          <a:r>
            <a:rPr lang="cs-CZ" sz="1000" b="1"/>
            <a:t>9,1 %</a:t>
          </a:r>
        </a:p>
      </dgm:t>
    </dgm:pt>
    <dgm:pt modelId="{DF3AA52B-8439-49D4-88C7-FB72AEDCDD04}">
      <dgm:prSet custT="1"/>
      <dgm:spPr/>
      <dgm:t>
        <a:bodyPr/>
        <a:lstStyle/>
        <a:p>
          <a:endParaRPr lang="cs-CZ" sz="800"/>
        </a:p>
      </dgm:t>
    </dgm:pt>
    <dgm:pt modelId="{5811AF57-9133-4843-95A5-8243369B641D}" type="parTrans" cxnId="{F688798A-42EA-442B-8615-63ED716DEF1F}">
      <dgm:prSet/>
      <dgm:spPr/>
      <dgm:t>
        <a:bodyPr/>
        <a:lstStyle/>
        <a:p>
          <a:endParaRPr lang="cs-CZ" sz="800"/>
        </a:p>
      </dgm:t>
    </dgm:pt>
    <dgm:pt modelId="{6F47D8EA-3C13-4B23-85CE-DC39736108A2}" type="sibTrans" cxnId="{F688798A-42EA-442B-8615-63ED716DEF1F}">
      <dgm:prSet/>
      <dgm:spPr/>
      <dgm:t>
        <a:bodyPr/>
        <a:lstStyle/>
        <a:p>
          <a:endParaRPr lang="cs-CZ" sz="800"/>
        </a:p>
      </dgm:t>
    </dgm:pt>
    <dgm:pt modelId="{F34B0F33-4CAC-46F9-8419-F074FBA5DCED}" type="pres">
      <dgm:prSet presAssocID="{51DB5C25-85BD-4414-87FE-CC1509E9EC09}" presName="Name0" presStyleCnt="0">
        <dgm:presLayoutVars>
          <dgm:chMax/>
          <dgm:chPref/>
          <dgm:dir/>
          <dgm:animLvl val="lvl"/>
        </dgm:presLayoutVars>
      </dgm:prSet>
      <dgm:spPr/>
    </dgm:pt>
    <dgm:pt modelId="{2EDBC32F-A7EB-4ECA-839F-54C539F69FE0}" type="pres">
      <dgm:prSet presAssocID="{FD101A24-32D3-4691-84D8-9662CFBB7426}" presName="composite" presStyleCnt="0"/>
      <dgm:spPr/>
    </dgm:pt>
    <dgm:pt modelId="{6DDF2DA6-1E8F-4FA2-B8C9-2F953576B7FA}" type="pres">
      <dgm:prSet presAssocID="{FD101A24-32D3-4691-84D8-9662CFBB7426}" presName="Parent1" presStyleLbl="node1" presStyleIdx="0" presStyleCnt="6" custScaleX="110193" custScaleY="110841" custLinFactNeighborX="18322" custLinFactNeighborY="15916">
        <dgm:presLayoutVars>
          <dgm:chMax val="1"/>
          <dgm:chPref val="1"/>
          <dgm:bulletEnabled val="1"/>
        </dgm:presLayoutVars>
      </dgm:prSet>
      <dgm:spPr/>
    </dgm:pt>
    <dgm:pt modelId="{75CD3BB1-01EA-4173-9F6D-5E940C048C85}" type="pres">
      <dgm:prSet presAssocID="{FD101A24-32D3-4691-84D8-9662CFBB7426}" presName="Childtext1" presStyleLbl="revTx" presStyleIdx="0" presStyleCnt="3">
        <dgm:presLayoutVars>
          <dgm:chMax val="0"/>
          <dgm:chPref val="0"/>
          <dgm:bulletEnabled val="1"/>
        </dgm:presLayoutVars>
      </dgm:prSet>
      <dgm:spPr/>
    </dgm:pt>
    <dgm:pt modelId="{8F62D504-F056-4A63-85A1-E99319E03478}" type="pres">
      <dgm:prSet presAssocID="{FD101A24-32D3-4691-84D8-9662CFBB7426}" presName="BalanceSpacing" presStyleCnt="0"/>
      <dgm:spPr/>
    </dgm:pt>
    <dgm:pt modelId="{8E008FDB-EB34-49CB-AE69-CB75A73A0107}" type="pres">
      <dgm:prSet presAssocID="{FD101A24-32D3-4691-84D8-9662CFBB7426}" presName="BalanceSpacing1" presStyleCnt="0"/>
      <dgm:spPr/>
    </dgm:pt>
    <dgm:pt modelId="{1F836ADC-2A2F-4B73-9563-3ED0A424FD67}" type="pres">
      <dgm:prSet presAssocID="{E0303F8F-B788-467A-9F61-1C9B177170CA}" presName="Accent1Text" presStyleLbl="node1" presStyleIdx="1" presStyleCnt="6" custScaleX="111716" custScaleY="122211" custLinFactNeighborX="8637" custLinFactNeighborY="6827"/>
      <dgm:spPr/>
    </dgm:pt>
    <dgm:pt modelId="{99B4B93E-8117-43AA-AFDA-FE485EAC2AA2}" type="pres">
      <dgm:prSet presAssocID="{E0303F8F-B788-467A-9F61-1C9B177170CA}" presName="spaceBetweenRectangles" presStyleCnt="0"/>
      <dgm:spPr/>
    </dgm:pt>
    <dgm:pt modelId="{C7163CC6-E992-4946-99E9-C61E6F924473}" type="pres">
      <dgm:prSet presAssocID="{AFA53919-ACAF-4C6A-8410-5943957C22F0}" presName="composite" presStyleCnt="0"/>
      <dgm:spPr/>
    </dgm:pt>
    <dgm:pt modelId="{B48FAB5A-E20D-4BDC-8E8D-20E6610B549C}" type="pres">
      <dgm:prSet presAssocID="{AFA53919-ACAF-4C6A-8410-5943957C22F0}" presName="Parent1" presStyleLbl="node1" presStyleIdx="2" presStyleCnt="6" custLinFactNeighborX="7214" custLinFactNeighborY="7002">
        <dgm:presLayoutVars>
          <dgm:chMax val="1"/>
          <dgm:chPref val="1"/>
          <dgm:bulletEnabled val="1"/>
        </dgm:presLayoutVars>
      </dgm:prSet>
      <dgm:spPr/>
    </dgm:pt>
    <dgm:pt modelId="{260EDEBD-30B8-4258-895B-0EF9FD42EE2F}" type="pres">
      <dgm:prSet presAssocID="{AFA53919-ACAF-4C6A-8410-5943957C22F0}" presName="Childtext1" presStyleLbl="revTx" presStyleIdx="1" presStyleCnt="3">
        <dgm:presLayoutVars>
          <dgm:chMax val="0"/>
          <dgm:chPref val="0"/>
          <dgm:bulletEnabled val="1"/>
        </dgm:presLayoutVars>
      </dgm:prSet>
      <dgm:spPr/>
    </dgm:pt>
    <dgm:pt modelId="{C24690EB-F3E0-4486-83BB-63F108DFD7A5}" type="pres">
      <dgm:prSet presAssocID="{AFA53919-ACAF-4C6A-8410-5943957C22F0}" presName="BalanceSpacing" presStyleCnt="0"/>
      <dgm:spPr/>
    </dgm:pt>
    <dgm:pt modelId="{60D63BB4-D998-4709-8769-BB7C8BDBAF59}" type="pres">
      <dgm:prSet presAssocID="{AFA53919-ACAF-4C6A-8410-5943957C22F0}" presName="BalanceSpacing1" presStyleCnt="0"/>
      <dgm:spPr/>
    </dgm:pt>
    <dgm:pt modelId="{0BCFB5B3-54E1-43E0-BAA4-DAA5FBE93675}" type="pres">
      <dgm:prSet presAssocID="{18078ABC-A357-4790-BF35-499486D09516}" presName="Accent1Text" presStyleLbl="node1" presStyleIdx="3" presStyleCnt="6" custScaleX="98623" custScaleY="96289" custLinFactNeighborX="4053" custLinFactNeighborY="14132"/>
      <dgm:spPr/>
    </dgm:pt>
    <dgm:pt modelId="{3A47D13F-88F8-4B39-8508-2227257C0A75}" type="pres">
      <dgm:prSet presAssocID="{18078ABC-A357-4790-BF35-499486D09516}" presName="spaceBetweenRectangles" presStyleCnt="0"/>
      <dgm:spPr/>
    </dgm:pt>
    <dgm:pt modelId="{EBF7FCDE-C286-4CA3-9CCC-671DAA3C7775}" type="pres">
      <dgm:prSet presAssocID="{FA6439B4-D2F4-4071-B82A-ECDC410241EC}" presName="composite" presStyleCnt="0"/>
      <dgm:spPr/>
    </dgm:pt>
    <dgm:pt modelId="{92E95D9F-B6F1-4923-AA95-E9CC0654B9C1}" type="pres">
      <dgm:prSet presAssocID="{FA6439B4-D2F4-4071-B82A-ECDC410241EC}" presName="Parent1" presStyleLbl="node1" presStyleIdx="4" presStyleCnt="6" custScaleX="79457" custScaleY="76785" custLinFactNeighborX="6826" custLinFactNeighborY="-564">
        <dgm:presLayoutVars>
          <dgm:chMax val="1"/>
          <dgm:chPref val="1"/>
          <dgm:bulletEnabled val="1"/>
        </dgm:presLayoutVars>
      </dgm:prSet>
      <dgm:spPr/>
    </dgm:pt>
    <dgm:pt modelId="{F1E15E6B-FB9B-450E-8C4D-FF63ACEE0679}" type="pres">
      <dgm:prSet presAssocID="{FA6439B4-D2F4-4071-B82A-ECDC410241EC}" presName="Childtext1" presStyleLbl="revTx" presStyleIdx="2" presStyleCnt="3">
        <dgm:presLayoutVars>
          <dgm:chMax val="0"/>
          <dgm:chPref val="0"/>
          <dgm:bulletEnabled val="1"/>
        </dgm:presLayoutVars>
      </dgm:prSet>
      <dgm:spPr/>
    </dgm:pt>
    <dgm:pt modelId="{A00DEB2E-C044-4B9C-87B1-D329E80DD630}" type="pres">
      <dgm:prSet presAssocID="{FA6439B4-D2F4-4071-B82A-ECDC410241EC}" presName="BalanceSpacing" presStyleCnt="0"/>
      <dgm:spPr/>
    </dgm:pt>
    <dgm:pt modelId="{98E48E4A-76D7-444A-86D3-D7B0FA2B052F}" type="pres">
      <dgm:prSet presAssocID="{FA6439B4-D2F4-4071-B82A-ECDC410241EC}" presName="BalanceSpacing1" presStyleCnt="0"/>
      <dgm:spPr/>
    </dgm:pt>
    <dgm:pt modelId="{2BD06EFA-7C96-4BE1-9E9B-449101BBE8A8}" type="pres">
      <dgm:prSet presAssocID="{D18B3B4D-DD84-4763-A02A-163B1C04CEF0}" presName="Accent1Text" presStyleLbl="node1" presStyleIdx="5" presStyleCnt="6" custScaleX="81291" custScaleY="80007" custLinFactNeighborX="27039" custLinFactNeighborY="3163"/>
      <dgm:spPr/>
    </dgm:pt>
  </dgm:ptLst>
  <dgm:cxnLst>
    <dgm:cxn modelId="{35A97E13-37E9-4ACC-B61C-2455CEA75CCC}" srcId="{51DB5C25-85BD-4414-87FE-CC1509E9EC09}" destId="{FD101A24-32D3-4691-84D8-9662CFBB7426}" srcOrd="0" destOrd="0" parTransId="{F2530392-7934-4B7A-9702-19CF8A8577FF}" sibTransId="{E0303F8F-B788-467A-9F61-1C9B177170CA}"/>
    <dgm:cxn modelId="{C681E821-4446-4DB3-A01E-31286D1F0954}" type="presOf" srcId="{FD101A24-32D3-4691-84D8-9662CFBB7426}" destId="{6DDF2DA6-1E8F-4FA2-B8C9-2F953576B7FA}" srcOrd="0" destOrd="0" presId="urn:microsoft.com/office/officeart/2008/layout/AlternatingHexagons"/>
    <dgm:cxn modelId="{19C24434-1FE3-4B5D-8673-794390CCCC97}" type="presOf" srcId="{51DB5C25-85BD-4414-87FE-CC1509E9EC09}" destId="{F34B0F33-4CAC-46F9-8419-F074FBA5DCED}" srcOrd="0" destOrd="0" presId="urn:microsoft.com/office/officeart/2008/layout/AlternatingHexagons"/>
    <dgm:cxn modelId="{4ACF305F-A565-4F2B-99A3-D8AE4A1C3672}" type="presOf" srcId="{D18B3B4D-DD84-4763-A02A-163B1C04CEF0}" destId="{2BD06EFA-7C96-4BE1-9E9B-449101BBE8A8}" srcOrd="0" destOrd="0" presId="urn:microsoft.com/office/officeart/2008/layout/AlternatingHexagons"/>
    <dgm:cxn modelId="{74873446-05A2-44D2-ABBC-8E0672BFBA8F}" srcId="{51DB5C25-85BD-4414-87FE-CC1509E9EC09}" destId="{FA6439B4-D2F4-4071-B82A-ECDC410241EC}" srcOrd="2" destOrd="0" parTransId="{310512A5-3BA8-4E40-B403-86962E56C699}" sibTransId="{D18B3B4D-DD84-4763-A02A-163B1C04CEF0}"/>
    <dgm:cxn modelId="{ED850369-FF04-4FFF-8AA9-50C95EA009F4}" type="presOf" srcId="{FA6439B4-D2F4-4071-B82A-ECDC410241EC}" destId="{92E95D9F-B6F1-4923-AA95-E9CC0654B9C1}" srcOrd="0" destOrd="0" presId="urn:microsoft.com/office/officeart/2008/layout/AlternatingHexagons"/>
    <dgm:cxn modelId="{320E4A54-5EB0-47FF-AC70-129107802AC3}" srcId="{51DB5C25-85BD-4414-87FE-CC1509E9EC09}" destId="{AFA53919-ACAF-4C6A-8410-5943957C22F0}" srcOrd="1" destOrd="0" parTransId="{8F0A8A3A-6061-46C9-A929-56BF092C7C30}" sibTransId="{18078ABC-A357-4790-BF35-499486D09516}"/>
    <dgm:cxn modelId="{F688798A-42EA-442B-8615-63ED716DEF1F}" srcId="{FA6439B4-D2F4-4071-B82A-ECDC410241EC}" destId="{DF3AA52B-8439-49D4-88C7-FB72AEDCDD04}" srcOrd="0" destOrd="0" parTransId="{5811AF57-9133-4843-95A5-8243369B641D}" sibTransId="{6F47D8EA-3C13-4B23-85CE-DC39736108A2}"/>
    <dgm:cxn modelId="{AC773590-1C26-4A40-AB01-D15538DFBE35}" type="presOf" srcId="{DF3AA52B-8439-49D4-88C7-FB72AEDCDD04}" destId="{F1E15E6B-FB9B-450E-8C4D-FF63ACEE0679}" srcOrd="0" destOrd="0" presId="urn:microsoft.com/office/officeart/2008/layout/AlternatingHexagons"/>
    <dgm:cxn modelId="{A1AFA69D-9694-4074-8A40-7C56C00B5AD9}" type="presOf" srcId="{E0303F8F-B788-467A-9F61-1C9B177170CA}" destId="{1F836ADC-2A2F-4B73-9563-3ED0A424FD67}" srcOrd="0" destOrd="0" presId="urn:microsoft.com/office/officeart/2008/layout/AlternatingHexagons"/>
    <dgm:cxn modelId="{53FEB79D-9FCF-49AE-BB39-DAAFB83088FB}" type="presOf" srcId="{18078ABC-A357-4790-BF35-499486D09516}" destId="{0BCFB5B3-54E1-43E0-BAA4-DAA5FBE93675}" srcOrd="0" destOrd="0" presId="urn:microsoft.com/office/officeart/2008/layout/AlternatingHexagons"/>
    <dgm:cxn modelId="{32D034A6-578D-4657-B94D-428C8766D0A7}" type="presOf" srcId="{AFA53919-ACAF-4C6A-8410-5943957C22F0}" destId="{B48FAB5A-E20D-4BDC-8E8D-20E6610B549C}" srcOrd="0" destOrd="0" presId="urn:microsoft.com/office/officeart/2008/layout/AlternatingHexagons"/>
    <dgm:cxn modelId="{2C9F57BC-ACD6-4628-B024-6ABBE9143A77}" type="presParOf" srcId="{F34B0F33-4CAC-46F9-8419-F074FBA5DCED}" destId="{2EDBC32F-A7EB-4ECA-839F-54C539F69FE0}" srcOrd="0" destOrd="0" presId="urn:microsoft.com/office/officeart/2008/layout/AlternatingHexagons"/>
    <dgm:cxn modelId="{03776483-EB13-4A58-9C35-34579FA24DB0}" type="presParOf" srcId="{2EDBC32F-A7EB-4ECA-839F-54C539F69FE0}" destId="{6DDF2DA6-1E8F-4FA2-B8C9-2F953576B7FA}" srcOrd="0" destOrd="0" presId="urn:microsoft.com/office/officeart/2008/layout/AlternatingHexagons"/>
    <dgm:cxn modelId="{089C8A57-3864-48EE-8D02-A60E7F67B48F}" type="presParOf" srcId="{2EDBC32F-A7EB-4ECA-839F-54C539F69FE0}" destId="{75CD3BB1-01EA-4173-9F6D-5E940C048C85}" srcOrd="1" destOrd="0" presId="urn:microsoft.com/office/officeart/2008/layout/AlternatingHexagons"/>
    <dgm:cxn modelId="{2F5634C4-4822-468D-AC0F-BD97EC5955EB}" type="presParOf" srcId="{2EDBC32F-A7EB-4ECA-839F-54C539F69FE0}" destId="{8F62D504-F056-4A63-85A1-E99319E03478}" srcOrd="2" destOrd="0" presId="urn:microsoft.com/office/officeart/2008/layout/AlternatingHexagons"/>
    <dgm:cxn modelId="{9D91BEA3-7330-438E-AE67-F80210C9CF55}" type="presParOf" srcId="{2EDBC32F-A7EB-4ECA-839F-54C539F69FE0}" destId="{8E008FDB-EB34-49CB-AE69-CB75A73A0107}" srcOrd="3" destOrd="0" presId="urn:microsoft.com/office/officeart/2008/layout/AlternatingHexagons"/>
    <dgm:cxn modelId="{6E2B4EA5-15BE-4733-81DB-FB194B13DEB1}" type="presParOf" srcId="{2EDBC32F-A7EB-4ECA-839F-54C539F69FE0}" destId="{1F836ADC-2A2F-4B73-9563-3ED0A424FD67}" srcOrd="4" destOrd="0" presId="urn:microsoft.com/office/officeart/2008/layout/AlternatingHexagons"/>
    <dgm:cxn modelId="{11310709-AA35-4EE7-A955-072D7DD5A99A}" type="presParOf" srcId="{F34B0F33-4CAC-46F9-8419-F074FBA5DCED}" destId="{99B4B93E-8117-43AA-AFDA-FE485EAC2AA2}" srcOrd="1" destOrd="0" presId="urn:microsoft.com/office/officeart/2008/layout/AlternatingHexagons"/>
    <dgm:cxn modelId="{98E1F2B9-863B-4C99-A55D-D7B4564A33ED}" type="presParOf" srcId="{F34B0F33-4CAC-46F9-8419-F074FBA5DCED}" destId="{C7163CC6-E992-4946-99E9-C61E6F924473}" srcOrd="2" destOrd="0" presId="urn:microsoft.com/office/officeart/2008/layout/AlternatingHexagons"/>
    <dgm:cxn modelId="{46216076-0DD4-4B67-B810-6421DBC5F93A}" type="presParOf" srcId="{C7163CC6-E992-4946-99E9-C61E6F924473}" destId="{B48FAB5A-E20D-4BDC-8E8D-20E6610B549C}" srcOrd="0" destOrd="0" presId="urn:microsoft.com/office/officeart/2008/layout/AlternatingHexagons"/>
    <dgm:cxn modelId="{2874AA47-542D-483D-A21D-2F558517435F}" type="presParOf" srcId="{C7163CC6-E992-4946-99E9-C61E6F924473}" destId="{260EDEBD-30B8-4258-895B-0EF9FD42EE2F}" srcOrd="1" destOrd="0" presId="urn:microsoft.com/office/officeart/2008/layout/AlternatingHexagons"/>
    <dgm:cxn modelId="{2A4C07F7-7337-4D70-9FE8-0B224F7A6D82}" type="presParOf" srcId="{C7163CC6-E992-4946-99E9-C61E6F924473}" destId="{C24690EB-F3E0-4486-83BB-63F108DFD7A5}" srcOrd="2" destOrd="0" presId="urn:microsoft.com/office/officeart/2008/layout/AlternatingHexagons"/>
    <dgm:cxn modelId="{7E1C0980-3D5B-4051-A039-B32C9A889503}" type="presParOf" srcId="{C7163CC6-E992-4946-99E9-C61E6F924473}" destId="{60D63BB4-D998-4709-8769-BB7C8BDBAF59}" srcOrd="3" destOrd="0" presId="urn:microsoft.com/office/officeart/2008/layout/AlternatingHexagons"/>
    <dgm:cxn modelId="{E3A3C788-E130-4C9E-AE54-CE882ABCB672}" type="presParOf" srcId="{C7163CC6-E992-4946-99E9-C61E6F924473}" destId="{0BCFB5B3-54E1-43E0-BAA4-DAA5FBE93675}" srcOrd="4" destOrd="0" presId="urn:microsoft.com/office/officeart/2008/layout/AlternatingHexagons"/>
    <dgm:cxn modelId="{FEB19E5F-2189-48AC-94E3-E12EB6AF1CEC}" type="presParOf" srcId="{F34B0F33-4CAC-46F9-8419-F074FBA5DCED}" destId="{3A47D13F-88F8-4B39-8508-2227257C0A75}" srcOrd="3" destOrd="0" presId="urn:microsoft.com/office/officeart/2008/layout/AlternatingHexagons"/>
    <dgm:cxn modelId="{F36B1B70-D31A-4AED-A2E6-6D3CE48413C9}" type="presParOf" srcId="{F34B0F33-4CAC-46F9-8419-F074FBA5DCED}" destId="{EBF7FCDE-C286-4CA3-9CCC-671DAA3C7775}" srcOrd="4" destOrd="0" presId="urn:microsoft.com/office/officeart/2008/layout/AlternatingHexagons"/>
    <dgm:cxn modelId="{3F0C91E5-B1D9-48D6-B043-8FA1D0FEFC43}" type="presParOf" srcId="{EBF7FCDE-C286-4CA3-9CCC-671DAA3C7775}" destId="{92E95D9F-B6F1-4923-AA95-E9CC0654B9C1}" srcOrd="0" destOrd="0" presId="urn:microsoft.com/office/officeart/2008/layout/AlternatingHexagons"/>
    <dgm:cxn modelId="{70ED6275-69F4-47A0-A45D-B5B9E7A56E7F}" type="presParOf" srcId="{EBF7FCDE-C286-4CA3-9CCC-671DAA3C7775}" destId="{F1E15E6B-FB9B-450E-8C4D-FF63ACEE0679}" srcOrd="1" destOrd="0" presId="urn:microsoft.com/office/officeart/2008/layout/AlternatingHexagons"/>
    <dgm:cxn modelId="{DBB4F8AF-77A1-4260-A51A-0AE78531912D}" type="presParOf" srcId="{EBF7FCDE-C286-4CA3-9CCC-671DAA3C7775}" destId="{A00DEB2E-C044-4B9C-87B1-D329E80DD630}" srcOrd="2" destOrd="0" presId="urn:microsoft.com/office/officeart/2008/layout/AlternatingHexagons"/>
    <dgm:cxn modelId="{4B007716-BC73-4AD1-A630-60420A692586}" type="presParOf" srcId="{EBF7FCDE-C286-4CA3-9CCC-671DAA3C7775}" destId="{98E48E4A-76D7-444A-86D3-D7B0FA2B052F}" srcOrd="3" destOrd="0" presId="urn:microsoft.com/office/officeart/2008/layout/AlternatingHexagons"/>
    <dgm:cxn modelId="{58EE6A8C-1FDE-43D6-B367-D1987292F3F2}" type="presParOf" srcId="{EBF7FCDE-C286-4CA3-9CCC-671DAA3C7775}" destId="{2BD06EFA-7C96-4BE1-9E9B-449101BBE8A8}" srcOrd="4" destOrd="0" presId="urn:microsoft.com/office/officeart/2008/layout/AlternatingHexagons"/>
  </dgm:cxnLst>
  <dgm:bg>
    <a:noFill/>
  </dgm:bg>
  <dgm:whole/>
  <dgm:extLst>
    <a:ext uri="http://schemas.microsoft.com/office/drawing/2008/diagram">
      <dsp:dataModelExt xmlns:dsp="http://schemas.microsoft.com/office/drawing/2008/diagram" relId="rId1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98812-C350-4615-B856-C6193DEFBEF6}">
      <dsp:nvSpPr>
        <dsp:cNvPr id="0" name=""/>
        <dsp:cNvSpPr/>
      </dsp:nvSpPr>
      <dsp:spPr>
        <a:xfrm>
          <a:off x="-2892560" y="-149227"/>
          <a:ext cx="3451230" cy="3451230"/>
        </a:xfrm>
        <a:prstGeom prst="blockArc">
          <a:avLst>
            <a:gd name="adj1" fmla="val 18900000"/>
            <a:gd name="adj2" fmla="val 2700000"/>
            <a:gd name="adj3" fmla="val 626"/>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51DB93-9FD9-4DF6-9465-F824F4C495FC}">
      <dsp:nvSpPr>
        <dsp:cNvPr id="0" name=""/>
        <dsp:cNvSpPr/>
      </dsp:nvSpPr>
      <dsp:spPr>
        <a:xfrm>
          <a:off x="182316" y="412836"/>
          <a:ext cx="1834128"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657" tIns="22860" rIns="22860" bIns="22860" numCol="1" spcCol="1270" anchor="ctr" anchorCtr="0">
          <a:noAutofit/>
        </a:bodyPr>
        <a:lstStyle/>
        <a:p>
          <a:pPr marL="0" lvl="0" indent="0" algn="l" defTabSz="400050">
            <a:lnSpc>
              <a:spcPct val="90000"/>
            </a:lnSpc>
            <a:spcBef>
              <a:spcPct val="0"/>
            </a:spcBef>
            <a:spcAft>
              <a:spcPct val="35000"/>
            </a:spcAft>
            <a:buNone/>
          </a:pPr>
          <a:r>
            <a:rPr lang="cs-CZ" sz="900" kern="1200">
              <a:solidFill>
                <a:sysClr val="windowText" lastClr="000000"/>
              </a:solidFill>
              <a:latin typeface="Calibri" panose="020F0502020204030204"/>
              <a:ea typeface="+mn-ea"/>
              <a:cs typeface="+mn-cs"/>
            </a:rPr>
            <a:t>Praha			   </a:t>
          </a:r>
          <a:r>
            <a:rPr lang="cs-CZ" sz="1000" b="1" kern="1200">
              <a:solidFill>
                <a:sysClr val="windowText" lastClr="000000"/>
              </a:solidFill>
              <a:latin typeface="Calibri" panose="020F0502020204030204"/>
              <a:ea typeface="+mn-ea"/>
              <a:cs typeface="+mn-cs"/>
            </a:rPr>
            <a:t>31,0 %</a:t>
          </a:r>
          <a:endParaRPr lang="cs-CZ" sz="900" b="1" kern="1200">
            <a:solidFill>
              <a:sysClr val="windowText" lastClr="000000"/>
            </a:solidFill>
            <a:latin typeface="Calibri" panose="020F0502020204030204"/>
            <a:ea typeface="+mn-ea"/>
            <a:cs typeface="+mn-cs"/>
          </a:endParaRPr>
        </a:p>
      </dsp:txBody>
      <dsp:txXfrm>
        <a:off x="182316" y="412836"/>
        <a:ext cx="1834128" cy="232638"/>
      </dsp:txXfrm>
    </dsp:sp>
    <dsp:sp modelId="{B98E26CD-7E36-43FC-94D0-5A4671AEDF79}">
      <dsp:nvSpPr>
        <dsp:cNvPr id="0" name=""/>
        <dsp:cNvSpPr/>
      </dsp:nvSpPr>
      <dsp:spPr>
        <a:xfrm>
          <a:off x="36917" y="383756"/>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8E822862-7DAD-44D7-B2EF-BD3A08930E32}">
      <dsp:nvSpPr>
        <dsp:cNvPr id="0" name=""/>
        <dsp:cNvSpPr/>
      </dsp:nvSpPr>
      <dsp:spPr>
        <a:xfrm>
          <a:off x="392992" y="761998"/>
          <a:ext cx="1623452"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657" tIns="22860" rIns="22860" bIns="22860" numCol="1" spcCol="1270" anchor="ctr" anchorCtr="0">
          <a:noAutofit/>
        </a:bodyPr>
        <a:lstStyle/>
        <a:p>
          <a:pPr marL="0" lvl="0" indent="0" algn="l" defTabSz="400050">
            <a:lnSpc>
              <a:spcPct val="90000"/>
            </a:lnSpc>
            <a:spcBef>
              <a:spcPct val="0"/>
            </a:spcBef>
            <a:spcAft>
              <a:spcPct val="35000"/>
            </a:spcAft>
            <a:buNone/>
          </a:pPr>
          <a:r>
            <a:rPr lang="cs-CZ" sz="900" kern="1200">
              <a:solidFill>
                <a:sysClr val="windowText" lastClr="000000"/>
              </a:solidFill>
              <a:latin typeface="Calibri" panose="020F0502020204030204"/>
              <a:ea typeface="+mn-ea"/>
              <a:cs typeface="+mn-cs"/>
            </a:rPr>
            <a:t>Středočeský	          </a:t>
          </a:r>
          <a:r>
            <a:rPr lang="cs-CZ" sz="1000" b="1" kern="1200">
              <a:solidFill>
                <a:sysClr val="windowText" lastClr="000000"/>
              </a:solidFill>
              <a:latin typeface="Calibri" panose="020F0502020204030204"/>
              <a:ea typeface="+mn-ea"/>
              <a:cs typeface="+mn-cs"/>
            </a:rPr>
            <a:t>14,3 %</a:t>
          </a:r>
          <a:endParaRPr lang="cs-CZ" sz="900" b="1" kern="1200">
            <a:solidFill>
              <a:sysClr val="windowText" lastClr="000000"/>
            </a:solidFill>
            <a:latin typeface="Calibri" panose="020F0502020204030204"/>
            <a:ea typeface="+mn-ea"/>
            <a:cs typeface="+mn-cs"/>
          </a:endParaRPr>
        </a:p>
      </dsp:txBody>
      <dsp:txXfrm>
        <a:off x="392992" y="761998"/>
        <a:ext cx="1623452" cy="232638"/>
      </dsp:txXfrm>
    </dsp:sp>
    <dsp:sp modelId="{E6F49A2B-1878-4A22-84E7-7ACC17794D1B}">
      <dsp:nvSpPr>
        <dsp:cNvPr id="0" name=""/>
        <dsp:cNvSpPr/>
      </dsp:nvSpPr>
      <dsp:spPr>
        <a:xfrm>
          <a:off x="247592" y="732918"/>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AA5D24BF-74BC-4595-8551-89D111DC73B3}">
      <dsp:nvSpPr>
        <dsp:cNvPr id="0" name=""/>
        <dsp:cNvSpPr/>
      </dsp:nvSpPr>
      <dsp:spPr>
        <a:xfrm>
          <a:off x="508441" y="1110905"/>
          <a:ext cx="1508003"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657" tIns="22860" rIns="22860" bIns="22860" numCol="1" spcCol="1270" anchor="ctr" anchorCtr="0">
          <a:noAutofit/>
        </a:bodyPr>
        <a:lstStyle/>
        <a:p>
          <a:pPr marL="0" lvl="0" indent="0" algn="l" defTabSz="400050">
            <a:lnSpc>
              <a:spcPct val="90000"/>
            </a:lnSpc>
            <a:spcBef>
              <a:spcPct val="0"/>
            </a:spcBef>
            <a:spcAft>
              <a:spcPct val="35000"/>
            </a:spcAft>
            <a:buNone/>
          </a:pPr>
          <a:r>
            <a:rPr lang="cs-CZ" sz="900" kern="1200">
              <a:solidFill>
                <a:sysClr val="windowText" lastClr="000000"/>
              </a:solidFill>
              <a:latin typeface="Calibri" panose="020F0502020204030204"/>
              <a:ea typeface="+mn-ea"/>
              <a:cs typeface="+mn-cs"/>
            </a:rPr>
            <a:t>Jihomoravský	       </a:t>
          </a:r>
          <a:r>
            <a:rPr lang="cs-CZ" sz="1000" b="1" kern="1200">
              <a:solidFill>
                <a:sysClr val="windowText" lastClr="000000"/>
              </a:solidFill>
              <a:latin typeface="Calibri" panose="020F0502020204030204"/>
              <a:ea typeface="+mn-ea"/>
              <a:cs typeface="+mn-cs"/>
            </a:rPr>
            <a:t>9,4 %</a:t>
          </a:r>
        </a:p>
      </dsp:txBody>
      <dsp:txXfrm>
        <a:off x="508441" y="1110905"/>
        <a:ext cx="1508003" cy="232638"/>
      </dsp:txXfrm>
    </dsp:sp>
    <dsp:sp modelId="{3A31DE96-9CDA-4AB4-8D08-5149BEE4D308}">
      <dsp:nvSpPr>
        <dsp:cNvPr id="0" name=""/>
        <dsp:cNvSpPr/>
      </dsp:nvSpPr>
      <dsp:spPr>
        <a:xfrm>
          <a:off x="363041" y="1081825"/>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F84A9029-0152-47A1-B5B7-4B23F5FB9DF2}">
      <dsp:nvSpPr>
        <dsp:cNvPr id="0" name=""/>
        <dsp:cNvSpPr/>
      </dsp:nvSpPr>
      <dsp:spPr>
        <a:xfrm>
          <a:off x="545302" y="1460068"/>
          <a:ext cx="1471142"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657" tIns="22860" rIns="22860" bIns="22860" numCol="1" spcCol="1270" anchor="ctr" anchorCtr="0">
          <a:noAutofit/>
        </a:bodyPr>
        <a:lstStyle/>
        <a:p>
          <a:pPr marL="0" lvl="0" indent="0" algn="l" defTabSz="400050">
            <a:lnSpc>
              <a:spcPct val="90000"/>
            </a:lnSpc>
            <a:spcBef>
              <a:spcPct val="0"/>
            </a:spcBef>
            <a:spcAft>
              <a:spcPct val="35000"/>
            </a:spcAft>
            <a:buNone/>
          </a:pPr>
          <a:r>
            <a:rPr lang="cs-CZ" sz="900" kern="1200">
              <a:solidFill>
                <a:sysClr val="windowText" lastClr="000000"/>
              </a:solidFill>
              <a:latin typeface="Calibri" panose="020F0502020204030204"/>
              <a:ea typeface="+mn-ea"/>
              <a:cs typeface="+mn-cs"/>
            </a:rPr>
            <a:t>Plzeňský		      </a:t>
          </a:r>
          <a:r>
            <a:rPr lang="cs-CZ" sz="900" b="1" kern="1200">
              <a:solidFill>
                <a:sysClr val="windowText" lastClr="000000"/>
              </a:solidFill>
              <a:latin typeface="Calibri" panose="020F0502020204030204"/>
              <a:ea typeface="+mn-ea"/>
              <a:cs typeface="+mn-cs"/>
            </a:rPr>
            <a:t>7</a:t>
          </a:r>
          <a:r>
            <a:rPr lang="cs-CZ" sz="1000" b="1" i="0" kern="1200">
              <a:solidFill>
                <a:sysClr val="windowText" lastClr="000000"/>
              </a:solidFill>
              <a:latin typeface="Calibri" panose="020F0502020204030204"/>
              <a:ea typeface="+mn-ea"/>
              <a:cs typeface="+mn-cs"/>
            </a:rPr>
            <a:t>,2 %</a:t>
          </a:r>
          <a:endParaRPr lang="cs-CZ" sz="900" b="1" i="0" kern="1200">
            <a:solidFill>
              <a:sysClr val="windowText" lastClr="000000"/>
            </a:solidFill>
            <a:latin typeface="Calibri" panose="020F0502020204030204"/>
            <a:ea typeface="+mn-ea"/>
            <a:cs typeface="+mn-cs"/>
          </a:endParaRPr>
        </a:p>
      </dsp:txBody>
      <dsp:txXfrm>
        <a:off x="545302" y="1460068"/>
        <a:ext cx="1471142" cy="232638"/>
      </dsp:txXfrm>
    </dsp:sp>
    <dsp:sp modelId="{95373FFF-3D92-4DE9-A23A-8A78469B9876}">
      <dsp:nvSpPr>
        <dsp:cNvPr id="0" name=""/>
        <dsp:cNvSpPr/>
      </dsp:nvSpPr>
      <dsp:spPr>
        <a:xfrm>
          <a:off x="399903" y="1430988"/>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BA483C82-BB48-4A0F-9428-177AB9166452}">
      <dsp:nvSpPr>
        <dsp:cNvPr id="0" name=""/>
        <dsp:cNvSpPr/>
      </dsp:nvSpPr>
      <dsp:spPr>
        <a:xfrm>
          <a:off x="508441" y="1809230"/>
          <a:ext cx="1508003"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657" tIns="22860" rIns="22860" bIns="22860" numCol="1" spcCol="1270" anchor="ctr" anchorCtr="0">
          <a:noAutofit/>
        </a:bodyPr>
        <a:lstStyle/>
        <a:p>
          <a:pPr marL="0" lvl="0" indent="0" algn="l" defTabSz="400050">
            <a:lnSpc>
              <a:spcPct val="90000"/>
            </a:lnSpc>
            <a:spcBef>
              <a:spcPct val="0"/>
            </a:spcBef>
            <a:spcAft>
              <a:spcPct val="35000"/>
            </a:spcAft>
            <a:buNone/>
          </a:pPr>
          <a:r>
            <a:rPr lang="cs-CZ" sz="900" kern="1200">
              <a:solidFill>
                <a:sysClr val="windowText" lastClr="000000"/>
              </a:solidFill>
              <a:latin typeface="Calibri" panose="020F0502020204030204"/>
              <a:ea typeface="+mn-ea"/>
              <a:cs typeface="+mn-cs"/>
            </a:rPr>
            <a:t>Ústecký		        </a:t>
          </a:r>
          <a:r>
            <a:rPr lang="cs-CZ" sz="900" b="1" kern="1200">
              <a:solidFill>
                <a:sysClr val="windowText" lastClr="000000"/>
              </a:solidFill>
              <a:latin typeface="Calibri" panose="020F0502020204030204"/>
              <a:ea typeface="+mn-ea"/>
              <a:cs typeface="+mn-cs"/>
            </a:rPr>
            <a:t>5</a:t>
          </a:r>
          <a:r>
            <a:rPr lang="cs-CZ" sz="1000" b="1" kern="1200">
              <a:solidFill>
                <a:sysClr val="windowText" lastClr="000000"/>
              </a:solidFill>
              <a:latin typeface="Calibri" panose="020F0502020204030204"/>
              <a:ea typeface="+mn-ea"/>
              <a:cs typeface="+mn-cs"/>
            </a:rPr>
            <a:t>,1 %</a:t>
          </a:r>
          <a:endParaRPr lang="cs-CZ" sz="900" b="1" kern="1200">
            <a:solidFill>
              <a:sysClr val="windowText" lastClr="000000"/>
            </a:solidFill>
            <a:latin typeface="Calibri" panose="020F0502020204030204"/>
            <a:ea typeface="+mn-ea"/>
            <a:cs typeface="+mn-cs"/>
          </a:endParaRPr>
        </a:p>
      </dsp:txBody>
      <dsp:txXfrm>
        <a:off x="508441" y="1809230"/>
        <a:ext cx="1508003" cy="232638"/>
      </dsp:txXfrm>
    </dsp:sp>
    <dsp:sp modelId="{8DC40537-7151-46AD-BA80-A84C688199C7}">
      <dsp:nvSpPr>
        <dsp:cNvPr id="0" name=""/>
        <dsp:cNvSpPr/>
      </dsp:nvSpPr>
      <dsp:spPr>
        <a:xfrm>
          <a:off x="363041" y="1780151"/>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47C81FF4-0821-4D98-8327-84E7FE6C364F}">
      <dsp:nvSpPr>
        <dsp:cNvPr id="0" name=""/>
        <dsp:cNvSpPr/>
      </dsp:nvSpPr>
      <dsp:spPr>
        <a:xfrm>
          <a:off x="392992" y="2158137"/>
          <a:ext cx="1623452"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657" tIns="22860" rIns="22860" bIns="22860" numCol="1" spcCol="1270" anchor="ctr" anchorCtr="0">
          <a:noAutofit/>
        </a:bodyPr>
        <a:lstStyle/>
        <a:p>
          <a:pPr marL="0" lvl="0" indent="0" algn="l" defTabSz="400050">
            <a:lnSpc>
              <a:spcPct val="90000"/>
            </a:lnSpc>
            <a:spcBef>
              <a:spcPct val="0"/>
            </a:spcBef>
            <a:spcAft>
              <a:spcPct val="35000"/>
            </a:spcAft>
            <a:buNone/>
          </a:pPr>
          <a:r>
            <a:rPr lang="cs-CZ" sz="900" kern="1200">
              <a:solidFill>
                <a:sysClr val="windowText" lastClr="000000"/>
              </a:solidFill>
              <a:latin typeface="Calibri" panose="020F0502020204030204"/>
              <a:ea typeface="+mn-ea"/>
              <a:cs typeface="+mn-cs"/>
            </a:rPr>
            <a:t>Moravskoslezský	            </a:t>
          </a:r>
          <a:r>
            <a:rPr lang="cs-CZ" sz="900" b="1" kern="1200">
              <a:solidFill>
                <a:sysClr val="windowText" lastClr="000000"/>
              </a:solidFill>
              <a:latin typeface="Calibri" panose="020F0502020204030204"/>
              <a:ea typeface="+mn-ea"/>
              <a:cs typeface="+mn-cs"/>
            </a:rPr>
            <a:t>5</a:t>
          </a:r>
          <a:r>
            <a:rPr lang="cs-CZ" sz="1000" b="1" kern="1200">
              <a:solidFill>
                <a:sysClr val="windowText" lastClr="000000"/>
              </a:solidFill>
              <a:latin typeface="Calibri" panose="020F0502020204030204"/>
              <a:ea typeface="+mn-ea"/>
              <a:cs typeface="+mn-cs"/>
            </a:rPr>
            <a:t>,0 %</a:t>
          </a:r>
          <a:endParaRPr lang="cs-CZ" sz="900" b="1" kern="1200">
            <a:solidFill>
              <a:sysClr val="windowText" lastClr="000000"/>
            </a:solidFill>
            <a:latin typeface="Calibri" panose="020F0502020204030204"/>
            <a:ea typeface="+mn-ea"/>
            <a:cs typeface="+mn-cs"/>
          </a:endParaRPr>
        </a:p>
      </dsp:txBody>
      <dsp:txXfrm>
        <a:off x="392992" y="2158137"/>
        <a:ext cx="1623452" cy="232638"/>
      </dsp:txXfrm>
    </dsp:sp>
    <dsp:sp modelId="{3AF17995-BDDA-4DFD-9304-A37635E8A850}">
      <dsp:nvSpPr>
        <dsp:cNvPr id="0" name=""/>
        <dsp:cNvSpPr/>
      </dsp:nvSpPr>
      <dsp:spPr>
        <a:xfrm>
          <a:off x="247592" y="2129057"/>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5458CBFE-44FB-4C7C-8C9C-5BE019CDDB76}">
      <dsp:nvSpPr>
        <dsp:cNvPr id="0" name=""/>
        <dsp:cNvSpPr/>
      </dsp:nvSpPr>
      <dsp:spPr>
        <a:xfrm>
          <a:off x="182316" y="2507300"/>
          <a:ext cx="1834128" cy="232638"/>
        </a:xfrm>
        <a:prstGeom prst="rect">
          <a:avLst/>
        </a:prstGeom>
        <a:solidFill>
          <a:sysClr val="window" lastClr="FFFFFF">
            <a:lumMod val="85000"/>
          </a:sys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4657" tIns="25400" rIns="25400" bIns="25400" numCol="1" spcCol="1270" anchor="ctr" anchorCtr="0">
          <a:noAutofit/>
        </a:bodyPr>
        <a:lstStyle/>
        <a:p>
          <a:pPr marL="0" lvl="0" indent="0" algn="l" defTabSz="444500">
            <a:lnSpc>
              <a:spcPct val="90000"/>
            </a:lnSpc>
            <a:spcBef>
              <a:spcPct val="0"/>
            </a:spcBef>
            <a:spcAft>
              <a:spcPct val="35000"/>
            </a:spcAft>
            <a:buNone/>
          </a:pPr>
          <a:r>
            <a:rPr lang="cs-CZ" sz="1000" kern="1200">
              <a:solidFill>
                <a:sysClr val="windowText" lastClr="000000"/>
              </a:solidFill>
              <a:latin typeface="Calibri" panose="020F0502020204030204"/>
              <a:ea typeface="+mn-ea"/>
              <a:cs typeface="+mn-cs"/>
            </a:rPr>
            <a:t>Jihočeský 		</a:t>
          </a:r>
          <a:r>
            <a:rPr lang="cs-CZ" sz="1000" b="1" kern="1200">
              <a:solidFill>
                <a:sysClr val="windowText" lastClr="000000"/>
              </a:solidFill>
              <a:latin typeface="Calibri" panose="020F0502020204030204"/>
              <a:ea typeface="+mn-ea"/>
              <a:cs typeface="+mn-cs"/>
            </a:rPr>
            <a:t>4,2 %</a:t>
          </a:r>
        </a:p>
      </dsp:txBody>
      <dsp:txXfrm>
        <a:off x="182316" y="2507300"/>
        <a:ext cx="1834128" cy="232638"/>
      </dsp:txXfrm>
    </dsp:sp>
    <dsp:sp modelId="{35F27D4E-8BF7-4B55-85A0-7A40D2B5F7CE}">
      <dsp:nvSpPr>
        <dsp:cNvPr id="0" name=""/>
        <dsp:cNvSpPr/>
      </dsp:nvSpPr>
      <dsp:spPr>
        <a:xfrm>
          <a:off x="36917" y="2478220"/>
          <a:ext cx="290798" cy="290798"/>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570BBE-0E5B-4DD0-BFDD-BC6E17FE0B9A}">
      <dsp:nvSpPr>
        <dsp:cNvPr id="0" name=""/>
        <dsp:cNvSpPr/>
      </dsp:nvSpPr>
      <dsp:spPr>
        <a:xfrm>
          <a:off x="4097498" y="887225"/>
          <a:ext cx="178662" cy="378262"/>
        </a:xfrm>
        <a:custGeom>
          <a:avLst/>
          <a:gdLst/>
          <a:ahLst/>
          <a:cxnLst/>
          <a:rect l="0" t="0" r="0" b="0"/>
          <a:pathLst>
            <a:path>
              <a:moveTo>
                <a:pt x="178662" y="0"/>
              </a:moveTo>
              <a:lnTo>
                <a:pt x="178662" y="378262"/>
              </a:lnTo>
              <a:lnTo>
                <a:pt x="0" y="37826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9B608C-5ABA-4A86-8E17-0A56DBA6AA76}">
      <dsp:nvSpPr>
        <dsp:cNvPr id="0" name=""/>
        <dsp:cNvSpPr/>
      </dsp:nvSpPr>
      <dsp:spPr>
        <a:xfrm>
          <a:off x="4276161" y="887225"/>
          <a:ext cx="190023" cy="382388"/>
        </a:xfrm>
        <a:custGeom>
          <a:avLst/>
          <a:gdLst/>
          <a:ahLst/>
          <a:cxnLst/>
          <a:rect l="0" t="0" r="0" b="0"/>
          <a:pathLst>
            <a:path>
              <a:moveTo>
                <a:pt x="0" y="0"/>
              </a:moveTo>
              <a:lnTo>
                <a:pt x="0" y="382388"/>
              </a:lnTo>
              <a:lnTo>
                <a:pt x="190023" y="38238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DE37C-7632-4B5D-8411-4607F51EA738}">
      <dsp:nvSpPr>
        <dsp:cNvPr id="0" name=""/>
        <dsp:cNvSpPr/>
      </dsp:nvSpPr>
      <dsp:spPr>
        <a:xfrm>
          <a:off x="2981057" y="378059"/>
          <a:ext cx="399865" cy="294867"/>
        </a:xfrm>
        <a:custGeom>
          <a:avLst/>
          <a:gdLst/>
          <a:ahLst/>
          <a:cxnLst/>
          <a:rect l="0" t="0" r="0" b="0"/>
          <a:pathLst>
            <a:path>
              <a:moveTo>
                <a:pt x="0" y="0"/>
              </a:moveTo>
              <a:lnTo>
                <a:pt x="0" y="294867"/>
              </a:lnTo>
              <a:lnTo>
                <a:pt x="399865" y="29486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49AEAF-CBEB-4BBC-9157-7EBE2B9A7F70}">
      <dsp:nvSpPr>
        <dsp:cNvPr id="0" name=""/>
        <dsp:cNvSpPr/>
      </dsp:nvSpPr>
      <dsp:spPr>
        <a:xfrm>
          <a:off x="1598942" y="870541"/>
          <a:ext cx="154016" cy="398262"/>
        </a:xfrm>
        <a:custGeom>
          <a:avLst/>
          <a:gdLst/>
          <a:ahLst/>
          <a:cxnLst/>
          <a:rect l="0" t="0" r="0" b="0"/>
          <a:pathLst>
            <a:path>
              <a:moveTo>
                <a:pt x="154016" y="0"/>
              </a:moveTo>
              <a:lnTo>
                <a:pt x="154016" y="398262"/>
              </a:lnTo>
              <a:lnTo>
                <a:pt x="0" y="39826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2C9FE0-880D-4A3E-804C-756ACE0FDCFF}">
      <dsp:nvSpPr>
        <dsp:cNvPr id="0" name=""/>
        <dsp:cNvSpPr/>
      </dsp:nvSpPr>
      <dsp:spPr>
        <a:xfrm>
          <a:off x="1752959" y="870541"/>
          <a:ext cx="229610" cy="401464"/>
        </a:xfrm>
        <a:custGeom>
          <a:avLst/>
          <a:gdLst/>
          <a:ahLst/>
          <a:cxnLst/>
          <a:rect l="0" t="0" r="0" b="0"/>
          <a:pathLst>
            <a:path>
              <a:moveTo>
                <a:pt x="0" y="0"/>
              </a:moveTo>
              <a:lnTo>
                <a:pt x="0" y="401464"/>
              </a:lnTo>
              <a:lnTo>
                <a:pt x="229610" y="40146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FB2727-28B4-4F31-AD5B-64A271CF6D21}">
      <dsp:nvSpPr>
        <dsp:cNvPr id="0" name=""/>
        <dsp:cNvSpPr/>
      </dsp:nvSpPr>
      <dsp:spPr>
        <a:xfrm>
          <a:off x="2657885" y="378059"/>
          <a:ext cx="323172" cy="294867"/>
        </a:xfrm>
        <a:custGeom>
          <a:avLst/>
          <a:gdLst/>
          <a:ahLst/>
          <a:cxnLst/>
          <a:rect l="0" t="0" r="0" b="0"/>
          <a:pathLst>
            <a:path>
              <a:moveTo>
                <a:pt x="323172" y="0"/>
              </a:moveTo>
              <a:lnTo>
                <a:pt x="323172" y="294867"/>
              </a:lnTo>
              <a:lnTo>
                <a:pt x="0" y="29486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BEEFA-759B-4106-B094-B7D056D56D4F}">
      <dsp:nvSpPr>
        <dsp:cNvPr id="0" name=""/>
        <dsp:cNvSpPr/>
      </dsp:nvSpPr>
      <dsp:spPr>
        <a:xfrm>
          <a:off x="2061087" y="0"/>
          <a:ext cx="1839940" cy="378059"/>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latin typeface="Arial Narrow" panose="020B0606020202030204" pitchFamily="34" charset="0"/>
            </a:rPr>
            <a:t>Celkem osob</a:t>
          </a:r>
        </a:p>
        <a:p>
          <a:pPr marL="0" lvl="0" indent="0" algn="ctr" defTabSz="444500">
            <a:lnSpc>
              <a:spcPct val="90000"/>
            </a:lnSpc>
            <a:spcBef>
              <a:spcPct val="0"/>
            </a:spcBef>
            <a:spcAft>
              <a:spcPct val="35000"/>
            </a:spcAft>
            <a:buNone/>
          </a:pPr>
          <a:r>
            <a:rPr lang="cs-CZ" sz="1000" b="0" kern="1200">
              <a:latin typeface="Arial Narrow" panose="020B0606020202030204" pitchFamily="34" charset="0"/>
            </a:rPr>
            <a:t>1 116 154</a:t>
          </a:r>
        </a:p>
      </dsp:txBody>
      <dsp:txXfrm>
        <a:off x="2061087" y="0"/>
        <a:ext cx="1839940" cy="378059"/>
      </dsp:txXfrm>
    </dsp:sp>
    <dsp:sp modelId="{A3E7FEB7-D66D-4692-A128-652BBEC86DD4}">
      <dsp:nvSpPr>
        <dsp:cNvPr id="0" name=""/>
        <dsp:cNvSpPr/>
      </dsp:nvSpPr>
      <dsp:spPr>
        <a:xfrm>
          <a:off x="848033" y="475311"/>
          <a:ext cx="1809851" cy="395230"/>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latin typeface="Arial Narrow" panose="020B0606020202030204" pitchFamily="34" charset="0"/>
            </a:rPr>
            <a:t>Osoby z EU</a:t>
          </a:r>
        </a:p>
        <a:p>
          <a:pPr marL="0" lvl="0" indent="0" algn="ctr" defTabSz="444500">
            <a:lnSpc>
              <a:spcPct val="90000"/>
            </a:lnSpc>
            <a:spcBef>
              <a:spcPct val="0"/>
            </a:spcBef>
            <a:spcAft>
              <a:spcPct val="35000"/>
            </a:spcAft>
            <a:buNone/>
          </a:pPr>
          <a:r>
            <a:rPr lang="cs-CZ" sz="1000" kern="1200">
              <a:latin typeface="Arial Narrow" panose="020B0606020202030204" pitchFamily="34" charset="0"/>
            </a:rPr>
            <a:t>226 426</a:t>
          </a:r>
        </a:p>
      </dsp:txBody>
      <dsp:txXfrm>
        <a:off x="848033" y="475311"/>
        <a:ext cx="1809851" cy="395230"/>
      </dsp:txXfrm>
    </dsp:sp>
    <dsp:sp modelId="{AB8B7419-5384-4957-8F64-4E7571848EF5}">
      <dsp:nvSpPr>
        <dsp:cNvPr id="0" name=""/>
        <dsp:cNvSpPr/>
      </dsp:nvSpPr>
      <dsp:spPr>
        <a:xfrm>
          <a:off x="1982569" y="1038032"/>
          <a:ext cx="884386" cy="467949"/>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latin typeface="Arial Narrow" panose="020B0606020202030204" pitchFamily="34" charset="0"/>
            </a:rPr>
            <a:t>Trvalý pobyt</a:t>
          </a:r>
        </a:p>
        <a:p>
          <a:pPr marL="0" lvl="0" indent="0" algn="ctr" defTabSz="444500">
            <a:lnSpc>
              <a:spcPct val="90000"/>
            </a:lnSpc>
            <a:spcBef>
              <a:spcPct val="0"/>
            </a:spcBef>
            <a:spcAft>
              <a:spcPct val="35000"/>
            </a:spcAft>
            <a:buNone/>
          </a:pPr>
          <a:r>
            <a:rPr lang="cs-CZ" sz="1000" kern="1200">
              <a:latin typeface="Arial Narrow" panose="020B0606020202030204" pitchFamily="34" charset="0"/>
            </a:rPr>
            <a:t>106 102</a:t>
          </a:r>
        </a:p>
      </dsp:txBody>
      <dsp:txXfrm>
        <a:off x="1982569" y="1038032"/>
        <a:ext cx="884386" cy="467949"/>
      </dsp:txXfrm>
    </dsp:sp>
    <dsp:sp modelId="{E91C8C16-0F06-41C5-8CBB-23B3D361CAF4}">
      <dsp:nvSpPr>
        <dsp:cNvPr id="0" name=""/>
        <dsp:cNvSpPr/>
      </dsp:nvSpPr>
      <dsp:spPr>
        <a:xfrm>
          <a:off x="618425" y="1026071"/>
          <a:ext cx="980517" cy="485465"/>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latin typeface="Arial Narrow" panose="020B0606020202030204" pitchFamily="34" charset="0"/>
            </a:rPr>
            <a:t>Přechodný pobyt</a:t>
          </a:r>
        </a:p>
        <a:p>
          <a:pPr marL="0" lvl="0" indent="0" algn="ctr" defTabSz="444500">
            <a:lnSpc>
              <a:spcPct val="90000"/>
            </a:lnSpc>
            <a:spcBef>
              <a:spcPct val="0"/>
            </a:spcBef>
            <a:spcAft>
              <a:spcPct val="35000"/>
            </a:spcAft>
            <a:buNone/>
          </a:pPr>
          <a:r>
            <a:rPr lang="cs-CZ" sz="1000" b="0" kern="1200">
              <a:latin typeface="Arial Narrow" panose="020B0606020202030204" pitchFamily="34" charset="0"/>
            </a:rPr>
            <a:t>120 324</a:t>
          </a:r>
        </a:p>
      </dsp:txBody>
      <dsp:txXfrm>
        <a:off x="618425" y="1026071"/>
        <a:ext cx="980517" cy="485465"/>
      </dsp:txXfrm>
    </dsp:sp>
    <dsp:sp modelId="{9BCA2033-9B7A-47AA-8606-D0025F2EBF3D}">
      <dsp:nvSpPr>
        <dsp:cNvPr id="0" name=""/>
        <dsp:cNvSpPr/>
      </dsp:nvSpPr>
      <dsp:spPr>
        <a:xfrm>
          <a:off x="3380923" y="458628"/>
          <a:ext cx="1790475" cy="428596"/>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latin typeface="Arial Narrow" panose="020B0606020202030204" pitchFamily="34" charset="0"/>
            </a:rPr>
            <a:t>Osoby ze třetích zemí</a:t>
          </a:r>
        </a:p>
        <a:p>
          <a:pPr marL="0" lvl="0" indent="0" algn="ctr" defTabSz="444500">
            <a:lnSpc>
              <a:spcPct val="90000"/>
            </a:lnSpc>
            <a:spcBef>
              <a:spcPct val="0"/>
            </a:spcBef>
            <a:spcAft>
              <a:spcPct val="35000"/>
            </a:spcAft>
            <a:buNone/>
          </a:pPr>
          <a:r>
            <a:rPr lang="cs-CZ" sz="1000" kern="1200">
              <a:latin typeface="Arial Narrow" panose="020B0606020202030204" pitchFamily="34" charset="0"/>
            </a:rPr>
            <a:t>889 728</a:t>
          </a:r>
        </a:p>
      </dsp:txBody>
      <dsp:txXfrm>
        <a:off x="3380923" y="458628"/>
        <a:ext cx="1790475" cy="428596"/>
      </dsp:txXfrm>
    </dsp:sp>
    <dsp:sp modelId="{0F919C53-09AC-4440-B998-CAF7EAB2B773}">
      <dsp:nvSpPr>
        <dsp:cNvPr id="0" name=""/>
        <dsp:cNvSpPr/>
      </dsp:nvSpPr>
      <dsp:spPr>
        <a:xfrm>
          <a:off x="4466184" y="1041570"/>
          <a:ext cx="981947" cy="456086"/>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latin typeface="Arial Narrow" panose="020B0606020202030204" pitchFamily="34" charset="0"/>
            </a:rPr>
            <a:t>Trvalý pobyt </a:t>
          </a:r>
        </a:p>
        <a:p>
          <a:pPr marL="0" lvl="0" indent="0" algn="ctr" defTabSz="444500">
            <a:lnSpc>
              <a:spcPct val="90000"/>
            </a:lnSpc>
            <a:spcBef>
              <a:spcPct val="0"/>
            </a:spcBef>
            <a:spcAft>
              <a:spcPct val="35000"/>
            </a:spcAft>
            <a:buNone/>
          </a:pPr>
          <a:r>
            <a:rPr lang="cs-CZ" sz="1000" kern="1200">
              <a:latin typeface="Arial Narrow" panose="020B0606020202030204" pitchFamily="34" charset="0"/>
            </a:rPr>
            <a:t>228 052</a:t>
          </a:r>
        </a:p>
      </dsp:txBody>
      <dsp:txXfrm>
        <a:off x="4466184" y="1041570"/>
        <a:ext cx="981947" cy="456086"/>
      </dsp:txXfrm>
    </dsp:sp>
    <dsp:sp modelId="{23C09C7D-B214-4C6D-95C5-E9D8500A7BF5}">
      <dsp:nvSpPr>
        <dsp:cNvPr id="0" name=""/>
        <dsp:cNvSpPr/>
      </dsp:nvSpPr>
      <dsp:spPr>
        <a:xfrm>
          <a:off x="3118822" y="1030191"/>
          <a:ext cx="978675" cy="470591"/>
        </a:xfrm>
        <a:prstGeom prst="rect">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latin typeface="Arial Narrow" panose="020B0606020202030204" pitchFamily="34" charset="0"/>
            </a:rPr>
            <a:t>Přechodný pobyt </a:t>
          </a:r>
        </a:p>
        <a:p>
          <a:pPr marL="0" lvl="0" indent="0" algn="ctr" defTabSz="444500">
            <a:lnSpc>
              <a:spcPct val="90000"/>
            </a:lnSpc>
            <a:spcBef>
              <a:spcPct val="0"/>
            </a:spcBef>
            <a:spcAft>
              <a:spcPct val="35000"/>
            </a:spcAft>
            <a:buNone/>
          </a:pPr>
          <a:r>
            <a:rPr lang="cs-CZ" sz="1000" b="0" kern="1200">
              <a:latin typeface="Arial Narrow" panose="020B0606020202030204" pitchFamily="34" charset="0"/>
            </a:rPr>
            <a:t>661 676</a:t>
          </a:r>
        </a:p>
      </dsp:txBody>
      <dsp:txXfrm>
        <a:off x="3118822" y="1030191"/>
        <a:ext cx="978675" cy="4705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CA066-8EBA-4745-A00D-2D83E3F2B8EF}">
      <dsp:nvSpPr>
        <dsp:cNvPr id="0" name=""/>
        <dsp:cNvSpPr/>
      </dsp:nvSpPr>
      <dsp:spPr>
        <a:xfrm>
          <a:off x="273679" y="9"/>
          <a:ext cx="1078876" cy="274658"/>
        </a:xfrm>
        <a:prstGeom prst="rect">
          <a:avLst/>
        </a:prstGeom>
        <a:solidFill>
          <a:srgbClr val="C0000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b="1" kern="1200">
              <a:solidFill>
                <a:schemeClr val="bg1"/>
              </a:solidFill>
              <a:latin typeface="Arial Narrow" panose="020B0606020202030204" pitchFamily="34" charset="0"/>
            </a:rPr>
            <a:t>Země EU</a:t>
          </a:r>
        </a:p>
      </dsp:txBody>
      <dsp:txXfrm>
        <a:off x="273679" y="9"/>
        <a:ext cx="1078876" cy="274658"/>
      </dsp:txXfrm>
    </dsp:sp>
    <dsp:sp modelId="{0E334FB2-04BA-4970-BBEF-6B3D7CE3EEF7}">
      <dsp:nvSpPr>
        <dsp:cNvPr id="0" name=""/>
        <dsp:cNvSpPr/>
      </dsp:nvSpPr>
      <dsp:spPr>
        <a:xfrm>
          <a:off x="273679" y="405210"/>
          <a:ext cx="1078876" cy="274658"/>
        </a:xfrm>
        <a:prstGeom prst="rect">
          <a:avLst/>
        </a:prstGeom>
        <a:solidFill>
          <a:schemeClr val="accent1"/>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b="1" kern="1200">
              <a:solidFill>
                <a:schemeClr val="bg1"/>
              </a:solidFill>
              <a:latin typeface="Arial Narrow" panose="020B0606020202030204" pitchFamily="34" charset="0"/>
            </a:rPr>
            <a:t>Třetí země</a:t>
          </a:r>
        </a:p>
      </dsp:txBody>
      <dsp:txXfrm>
        <a:off x="273679" y="405210"/>
        <a:ext cx="1078876" cy="2746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5450D-4CE3-42EE-89D4-BACCC15B79EE}">
      <dsp:nvSpPr>
        <dsp:cNvPr id="0" name=""/>
        <dsp:cNvSpPr/>
      </dsp:nvSpPr>
      <dsp:spPr>
        <a:xfrm>
          <a:off x="684130" y="0"/>
          <a:ext cx="1557532" cy="1160112"/>
        </a:xfrm>
        <a:prstGeom prst="trapezoid">
          <a:avLst>
            <a:gd name="adj" fmla="val 67129"/>
          </a:avLst>
        </a:prstGeom>
        <a:solidFill>
          <a:srgbClr val="C00000"/>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cs-CZ" sz="1800" kern="1200">
            <a:solidFill>
              <a:schemeClr val="bg1"/>
            </a:solidFill>
            <a:latin typeface="Arial Narrow" panose="020B0606020202030204" pitchFamily="34" charset="0"/>
          </a:endParaRPr>
        </a:p>
        <a:p>
          <a:pPr marL="0" lvl="0" indent="0" algn="ctr" defTabSz="800100">
            <a:lnSpc>
              <a:spcPct val="90000"/>
            </a:lnSpc>
            <a:spcBef>
              <a:spcPct val="0"/>
            </a:spcBef>
            <a:spcAft>
              <a:spcPct val="35000"/>
            </a:spcAft>
            <a:buNone/>
          </a:pPr>
          <a:endParaRPr lang="cs-CZ" sz="1800" kern="1200">
            <a:solidFill>
              <a:schemeClr val="bg1"/>
            </a:solidFill>
            <a:latin typeface="Arial Narrow" panose="020B0606020202030204" pitchFamily="34" charset="0"/>
          </a:endParaRPr>
        </a:p>
        <a:p>
          <a:pPr marL="0" lvl="0" indent="0" algn="ctr" defTabSz="800100">
            <a:lnSpc>
              <a:spcPct val="90000"/>
            </a:lnSpc>
            <a:spcBef>
              <a:spcPct val="0"/>
            </a:spcBef>
            <a:spcAft>
              <a:spcPct val="35000"/>
            </a:spcAft>
            <a:buNone/>
          </a:pPr>
          <a:r>
            <a:rPr lang="cs-CZ" sz="1400" b="1" kern="1200">
              <a:solidFill>
                <a:schemeClr val="bg1"/>
              </a:solidFill>
              <a:latin typeface="Arial Narrow" panose="020B0606020202030204" pitchFamily="34" charset="0"/>
            </a:rPr>
            <a:t>Občané EU</a:t>
          </a:r>
        </a:p>
        <a:p>
          <a:pPr marL="0" lvl="0" indent="0" algn="ctr" defTabSz="800100">
            <a:lnSpc>
              <a:spcPct val="90000"/>
            </a:lnSpc>
            <a:spcBef>
              <a:spcPct val="0"/>
            </a:spcBef>
            <a:spcAft>
              <a:spcPct val="35000"/>
            </a:spcAft>
            <a:buNone/>
          </a:pPr>
          <a:r>
            <a:rPr lang="cs-CZ" sz="1800" kern="1200">
              <a:solidFill>
                <a:schemeClr val="bg1"/>
              </a:solidFill>
              <a:latin typeface="Arial Narrow" panose="020B0606020202030204" pitchFamily="34" charset="0"/>
            </a:rPr>
            <a:t>24 100</a:t>
          </a:r>
        </a:p>
      </dsp:txBody>
      <dsp:txXfrm>
        <a:off x="684130" y="0"/>
        <a:ext cx="1557532" cy="1160112"/>
      </dsp:txXfrm>
    </dsp:sp>
    <dsp:sp modelId="{5DF4D010-D372-4618-A731-3CDA48E06154}">
      <dsp:nvSpPr>
        <dsp:cNvPr id="0" name=""/>
        <dsp:cNvSpPr/>
      </dsp:nvSpPr>
      <dsp:spPr>
        <a:xfrm>
          <a:off x="0" y="1160112"/>
          <a:ext cx="2925793" cy="1019135"/>
        </a:xfrm>
        <a:prstGeom prst="trapezoid">
          <a:avLst>
            <a:gd name="adj" fmla="val 67129"/>
          </a:avLst>
        </a:prstGeom>
        <a:solidFill>
          <a:schemeClr val="accent1"/>
        </a:soli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cs-CZ" sz="1400" b="1" kern="1200">
              <a:solidFill>
                <a:schemeClr val="bg1"/>
              </a:solidFill>
              <a:latin typeface="Arial Narrow" panose="020B0606020202030204" pitchFamily="34" charset="0"/>
            </a:rPr>
            <a:t>Občané třetích zemí</a:t>
          </a:r>
        </a:p>
        <a:p>
          <a:pPr marL="0" lvl="0" indent="0" algn="ctr" defTabSz="622300">
            <a:lnSpc>
              <a:spcPct val="90000"/>
            </a:lnSpc>
            <a:spcBef>
              <a:spcPct val="0"/>
            </a:spcBef>
            <a:spcAft>
              <a:spcPct val="35000"/>
            </a:spcAft>
            <a:buNone/>
          </a:pPr>
          <a:r>
            <a:rPr lang="cs-CZ" sz="1800" kern="1200">
              <a:solidFill>
                <a:schemeClr val="bg1"/>
              </a:solidFill>
              <a:latin typeface="Arial Narrow" panose="020B0606020202030204" pitchFamily="34" charset="0"/>
            </a:rPr>
            <a:t>87 030</a:t>
          </a:r>
        </a:p>
      </dsp:txBody>
      <dsp:txXfrm>
        <a:off x="512013" y="1160112"/>
        <a:ext cx="1901765" cy="10191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F2DA6-1E8F-4FA2-B8C9-2F953576B7FA}">
      <dsp:nvSpPr>
        <dsp:cNvPr id="0" name=""/>
        <dsp:cNvSpPr/>
      </dsp:nvSpPr>
      <dsp:spPr>
        <a:xfrm rot="5400000">
          <a:off x="2129945" y="55614"/>
          <a:ext cx="826889" cy="719394"/>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t>Vietnam</a:t>
          </a:r>
        </a:p>
        <a:p>
          <a:pPr marL="0" lvl="0" indent="0" algn="ctr" defTabSz="400050">
            <a:lnSpc>
              <a:spcPct val="90000"/>
            </a:lnSpc>
            <a:spcBef>
              <a:spcPct val="0"/>
            </a:spcBef>
            <a:spcAft>
              <a:spcPct val="35000"/>
            </a:spcAft>
            <a:buNone/>
          </a:pPr>
          <a:r>
            <a:rPr lang="cs-CZ" sz="1200" kern="1200"/>
            <a:t>13,3 %</a:t>
          </a:r>
        </a:p>
      </dsp:txBody>
      <dsp:txXfrm rot="-5400000">
        <a:off x="2295798" y="130724"/>
        <a:ext cx="495182" cy="569175"/>
      </dsp:txXfrm>
    </dsp:sp>
    <dsp:sp modelId="{75CD3BB1-01EA-4173-9F6D-5E940C048C85}">
      <dsp:nvSpPr>
        <dsp:cNvPr id="0" name=""/>
        <dsp:cNvSpPr/>
      </dsp:nvSpPr>
      <dsp:spPr>
        <a:xfrm>
          <a:off x="2924917" y="167244"/>
          <a:ext cx="922809" cy="496133"/>
        </a:xfrm>
        <a:prstGeom prst="rect">
          <a:avLst/>
        </a:prstGeom>
        <a:noFill/>
        <a:ln>
          <a:noFill/>
        </a:ln>
        <a:effectLst/>
      </dsp:spPr>
      <dsp:style>
        <a:lnRef idx="0">
          <a:scrgbClr r="0" g="0" b="0"/>
        </a:lnRef>
        <a:fillRef idx="0">
          <a:scrgbClr r="0" g="0" b="0"/>
        </a:fillRef>
        <a:effectRef idx="0">
          <a:scrgbClr r="0" g="0" b="0"/>
        </a:effectRef>
        <a:fontRef idx="minor"/>
      </dsp:style>
    </dsp:sp>
    <dsp:sp modelId="{1F836ADC-2A2F-4B73-9563-3ED0A424FD67}">
      <dsp:nvSpPr>
        <dsp:cNvPr id="0" name=""/>
        <dsp:cNvSpPr/>
      </dsp:nvSpPr>
      <dsp:spPr>
        <a:xfrm rot="5400000">
          <a:off x="1352999" y="55614"/>
          <a:ext cx="826889" cy="719394"/>
        </a:xfrm>
        <a:prstGeom prst="hexagon">
          <a:avLst>
            <a:gd name="adj" fmla="val 25000"/>
            <a:gd name="vf" fmla="val 115470"/>
          </a:avLst>
        </a:prstGeom>
        <a:solidFill>
          <a:schemeClr val="bg1">
            <a:lumMod val="85000"/>
            <a:alpha val="77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t>Ukrajina</a:t>
          </a:r>
        </a:p>
        <a:p>
          <a:pPr marL="0" lvl="0" indent="0" algn="ctr" defTabSz="400050">
            <a:lnSpc>
              <a:spcPct val="90000"/>
            </a:lnSpc>
            <a:spcBef>
              <a:spcPct val="0"/>
            </a:spcBef>
            <a:spcAft>
              <a:spcPct val="35000"/>
            </a:spcAft>
            <a:buNone/>
          </a:pPr>
          <a:r>
            <a:rPr lang="cs-CZ" sz="1400" kern="1200"/>
            <a:t>54,8 %</a:t>
          </a:r>
        </a:p>
      </dsp:txBody>
      <dsp:txXfrm rot="-5400000">
        <a:off x="1518852" y="130724"/>
        <a:ext cx="495182" cy="569175"/>
      </dsp:txXfrm>
    </dsp:sp>
    <dsp:sp modelId="{B48FAB5A-E20D-4BDC-8E8D-20E6610B549C}">
      <dsp:nvSpPr>
        <dsp:cNvPr id="0" name=""/>
        <dsp:cNvSpPr/>
      </dsp:nvSpPr>
      <dsp:spPr>
        <a:xfrm rot="5400000">
          <a:off x="1739983" y="757478"/>
          <a:ext cx="826889" cy="719394"/>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t>Slovensko</a:t>
          </a:r>
        </a:p>
        <a:p>
          <a:pPr marL="0" lvl="0" indent="0" algn="ctr" defTabSz="355600">
            <a:lnSpc>
              <a:spcPct val="90000"/>
            </a:lnSpc>
            <a:spcBef>
              <a:spcPct val="0"/>
            </a:spcBef>
            <a:spcAft>
              <a:spcPct val="35000"/>
            </a:spcAft>
            <a:buNone/>
          </a:pPr>
          <a:r>
            <a:rPr lang="cs-CZ" sz="1200" kern="1200"/>
            <a:t>11,1 %</a:t>
          </a:r>
        </a:p>
      </dsp:txBody>
      <dsp:txXfrm rot="-5400000">
        <a:off x="1905836" y="832588"/>
        <a:ext cx="495182" cy="569175"/>
      </dsp:txXfrm>
    </dsp:sp>
    <dsp:sp modelId="{260EDEBD-30B8-4258-895B-0EF9FD42EE2F}">
      <dsp:nvSpPr>
        <dsp:cNvPr id="0" name=""/>
        <dsp:cNvSpPr/>
      </dsp:nvSpPr>
      <dsp:spPr>
        <a:xfrm>
          <a:off x="870922" y="869108"/>
          <a:ext cx="893041" cy="496133"/>
        </a:xfrm>
        <a:prstGeom prst="rect">
          <a:avLst/>
        </a:prstGeom>
        <a:noFill/>
        <a:ln>
          <a:noFill/>
        </a:ln>
        <a:effectLst/>
      </dsp:spPr>
      <dsp:style>
        <a:lnRef idx="0">
          <a:scrgbClr r="0" g="0" b="0"/>
        </a:lnRef>
        <a:fillRef idx="0">
          <a:scrgbClr r="0" g="0" b="0"/>
        </a:fillRef>
        <a:effectRef idx="0">
          <a:scrgbClr r="0" g="0" b="0"/>
        </a:effectRef>
        <a:fontRef idx="minor"/>
      </dsp:style>
    </dsp:sp>
    <dsp:sp modelId="{0BCFB5B3-54E1-43E0-BAA4-DAA5FBE93675}">
      <dsp:nvSpPr>
        <dsp:cNvPr id="0" name=""/>
        <dsp:cNvSpPr/>
      </dsp:nvSpPr>
      <dsp:spPr>
        <a:xfrm rot="5400000">
          <a:off x="2516929" y="757478"/>
          <a:ext cx="826889" cy="719394"/>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t>Rusko</a:t>
          </a:r>
        </a:p>
        <a:p>
          <a:pPr marL="0" lvl="0" indent="0" algn="ctr" defTabSz="400050">
            <a:lnSpc>
              <a:spcPct val="90000"/>
            </a:lnSpc>
            <a:spcBef>
              <a:spcPct val="0"/>
            </a:spcBef>
            <a:spcAft>
              <a:spcPct val="35000"/>
            </a:spcAft>
            <a:buNone/>
          </a:pPr>
          <a:r>
            <a:rPr lang="cs-CZ" sz="1400" kern="1200"/>
            <a:t>3,6 %</a:t>
          </a:r>
        </a:p>
      </dsp:txBody>
      <dsp:txXfrm rot="-5400000">
        <a:off x="2682782" y="832588"/>
        <a:ext cx="495182" cy="569175"/>
      </dsp:txXfrm>
    </dsp:sp>
    <dsp:sp modelId="{92E95D9F-B6F1-4923-AA95-E9CC0654B9C1}">
      <dsp:nvSpPr>
        <dsp:cNvPr id="0" name=""/>
        <dsp:cNvSpPr/>
      </dsp:nvSpPr>
      <dsp:spPr>
        <a:xfrm rot="5400000">
          <a:off x="2129945" y="1459342"/>
          <a:ext cx="826889" cy="719394"/>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33375">
            <a:lnSpc>
              <a:spcPct val="90000"/>
            </a:lnSpc>
            <a:spcBef>
              <a:spcPct val="0"/>
            </a:spcBef>
            <a:spcAft>
              <a:spcPct val="35000"/>
            </a:spcAft>
            <a:buNone/>
          </a:pPr>
          <a:r>
            <a:rPr lang="cs-CZ" sz="750" b="1" kern="1200"/>
            <a:t>Rumunsko</a:t>
          </a:r>
        </a:p>
        <a:p>
          <a:pPr marL="0" lvl="0" indent="0" algn="ctr" defTabSz="333375">
            <a:lnSpc>
              <a:spcPct val="90000"/>
            </a:lnSpc>
            <a:spcBef>
              <a:spcPct val="0"/>
            </a:spcBef>
            <a:spcAft>
              <a:spcPct val="35000"/>
            </a:spcAft>
            <a:buNone/>
          </a:pPr>
          <a:r>
            <a:rPr lang="cs-CZ" sz="1400" kern="1200"/>
            <a:t>2,0 %</a:t>
          </a:r>
        </a:p>
      </dsp:txBody>
      <dsp:txXfrm rot="-5400000">
        <a:off x="2295798" y="1534452"/>
        <a:ext cx="495182" cy="569175"/>
      </dsp:txXfrm>
    </dsp:sp>
    <dsp:sp modelId="{F1E15E6B-FB9B-450E-8C4D-FF63ACEE0679}">
      <dsp:nvSpPr>
        <dsp:cNvPr id="0" name=""/>
        <dsp:cNvSpPr/>
      </dsp:nvSpPr>
      <dsp:spPr>
        <a:xfrm>
          <a:off x="2924917" y="1570973"/>
          <a:ext cx="922809" cy="4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endParaRPr lang="cs-CZ" sz="2200" kern="1200"/>
        </a:p>
      </dsp:txBody>
      <dsp:txXfrm>
        <a:off x="2924917" y="1570973"/>
        <a:ext cx="922809" cy="496133"/>
      </dsp:txXfrm>
    </dsp:sp>
    <dsp:sp modelId="{2BD06EFA-7C96-4BE1-9E9B-449101BBE8A8}">
      <dsp:nvSpPr>
        <dsp:cNvPr id="0" name=""/>
        <dsp:cNvSpPr/>
      </dsp:nvSpPr>
      <dsp:spPr>
        <a:xfrm rot="5400000">
          <a:off x="1352999" y="1459342"/>
          <a:ext cx="826889" cy="719394"/>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cs-CZ" sz="800" b="1" kern="1200"/>
            <a:t>Mongolsko</a:t>
          </a:r>
          <a:r>
            <a:rPr lang="cs-CZ" sz="900" b="1" kern="1200"/>
            <a:t> </a:t>
          </a:r>
        </a:p>
        <a:p>
          <a:pPr marL="0" lvl="0" indent="0" algn="ctr" defTabSz="355600">
            <a:lnSpc>
              <a:spcPct val="90000"/>
            </a:lnSpc>
            <a:spcBef>
              <a:spcPct val="0"/>
            </a:spcBef>
            <a:spcAft>
              <a:spcPct val="35000"/>
            </a:spcAft>
            <a:buNone/>
          </a:pPr>
          <a:r>
            <a:rPr lang="cs-CZ" sz="1400" kern="1200"/>
            <a:t>2,2 %</a:t>
          </a:r>
        </a:p>
      </dsp:txBody>
      <dsp:txXfrm rot="-5400000">
        <a:off x="1518852" y="1534452"/>
        <a:ext cx="495182" cy="569175"/>
      </dsp:txXfrm>
    </dsp:sp>
    <dsp:sp modelId="{E6DF5575-2127-43B4-A9C7-63121F9B63A8}">
      <dsp:nvSpPr>
        <dsp:cNvPr id="0" name=""/>
        <dsp:cNvSpPr/>
      </dsp:nvSpPr>
      <dsp:spPr>
        <a:xfrm rot="5400000">
          <a:off x="1739983" y="2161207"/>
          <a:ext cx="826889" cy="719394"/>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t>Bulharsko</a:t>
          </a:r>
        </a:p>
        <a:p>
          <a:pPr marL="0" lvl="0" indent="0" algn="ctr" defTabSz="355600">
            <a:lnSpc>
              <a:spcPct val="90000"/>
            </a:lnSpc>
            <a:spcBef>
              <a:spcPct val="0"/>
            </a:spcBef>
            <a:spcAft>
              <a:spcPct val="35000"/>
            </a:spcAft>
            <a:buNone/>
          </a:pPr>
          <a:r>
            <a:rPr lang="cs-CZ" sz="1400" kern="1200"/>
            <a:t>1,4 %</a:t>
          </a:r>
        </a:p>
      </dsp:txBody>
      <dsp:txXfrm rot="-5400000">
        <a:off x="1905836" y="2236317"/>
        <a:ext cx="495182" cy="569175"/>
      </dsp:txXfrm>
    </dsp:sp>
    <dsp:sp modelId="{B84236DF-1216-44E1-B0C0-B55FC7440DDB}">
      <dsp:nvSpPr>
        <dsp:cNvPr id="0" name=""/>
        <dsp:cNvSpPr/>
      </dsp:nvSpPr>
      <dsp:spPr>
        <a:xfrm>
          <a:off x="870922" y="2272837"/>
          <a:ext cx="893041" cy="496133"/>
        </a:xfrm>
        <a:prstGeom prst="rect">
          <a:avLst/>
        </a:prstGeom>
        <a:noFill/>
        <a:ln>
          <a:noFill/>
        </a:ln>
        <a:effectLst/>
      </dsp:spPr>
      <dsp:style>
        <a:lnRef idx="0">
          <a:scrgbClr r="0" g="0" b="0"/>
        </a:lnRef>
        <a:fillRef idx="0">
          <a:scrgbClr r="0" g="0" b="0"/>
        </a:fillRef>
        <a:effectRef idx="0">
          <a:scrgbClr r="0" g="0" b="0"/>
        </a:effectRef>
        <a:fontRef idx="minor"/>
      </dsp:style>
    </dsp:sp>
    <dsp:sp modelId="{9BB8A5F4-F037-43EC-8EC7-DF858D39657C}">
      <dsp:nvSpPr>
        <dsp:cNvPr id="0" name=""/>
        <dsp:cNvSpPr/>
      </dsp:nvSpPr>
      <dsp:spPr>
        <a:xfrm rot="5400000">
          <a:off x="2500160" y="2162034"/>
          <a:ext cx="826889" cy="719394"/>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cs-CZ" sz="800" b="1" kern="1200"/>
            <a:t>Mongolsko</a:t>
          </a:r>
        </a:p>
        <a:p>
          <a:pPr marL="0" lvl="0" indent="0" algn="ctr" defTabSz="355600">
            <a:lnSpc>
              <a:spcPct val="90000"/>
            </a:lnSpc>
            <a:spcBef>
              <a:spcPct val="0"/>
            </a:spcBef>
            <a:spcAft>
              <a:spcPct val="35000"/>
            </a:spcAft>
            <a:buNone/>
          </a:pPr>
          <a:r>
            <a:rPr lang="cs-CZ" sz="1400" kern="1200"/>
            <a:t>1,1 %</a:t>
          </a:r>
        </a:p>
      </dsp:txBody>
      <dsp:txXfrm rot="-5400000">
        <a:off x="2666013" y="2237144"/>
        <a:ext cx="495182" cy="5691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F2DA6-1E8F-4FA2-B8C9-2F953576B7FA}">
      <dsp:nvSpPr>
        <dsp:cNvPr id="0" name=""/>
        <dsp:cNvSpPr/>
      </dsp:nvSpPr>
      <dsp:spPr>
        <a:xfrm rot="5400000">
          <a:off x="1689166" y="53689"/>
          <a:ext cx="812242" cy="706651"/>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t>Vietnam</a:t>
          </a:r>
        </a:p>
        <a:p>
          <a:pPr marL="0" lvl="0" indent="0" algn="ctr" defTabSz="355600">
            <a:lnSpc>
              <a:spcPct val="90000"/>
            </a:lnSpc>
            <a:spcBef>
              <a:spcPct val="0"/>
            </a:spcBef>
            <a:spcAft>
              <a:spcPct val="35000"/>
            </a:spcAft>
            <a:buNone/>
          </a:pPr>
          <a:r>
            <a:rPr lang="cs-CZ" sz="1200" kern="1200"/>
            <a:t>8,3 %</a:t>
          </a:r>
        </a:p>
      </dsp:txBody>
      <dsp:txXfrm rot="-5400000">
        <a:off x="1852081" y="127468"/>
        <a:ext cx="486411" cy="559094"/>
      </dsp:txXfrm>
    </dsp:sp>
    <dsp:sp modelId="{75CD3BB1-01EA-4173-9F6D-5E940C048C85}">
      <dsp:nvSpPr>
        <dsp:cNvPr id="0" name=""/>
        <dsp:cNvSpPr/>
      </dsp:nvSpPr>
      <dsp:spPr>
        <a:xfrm>
          <a:off x="2470056" y="163342"/>
          <a:ext cx="906462" cy="487345"/>
        </a:xfrm>
        <a:prstGeom prst="rect">
          <a:avLst/>
        </a:prstGeom>
        <a:noFill/>
        <a:ln>
          <a:noFill/>
        </a:ln>
        <a:effectLst/>
      </dsp:spPr>
      <dsp:style>
        <a:lnRef idx="0">
          <a:scrgbClr r="0" g="0" b="0"/>
        </a:lnRef>
        <a:fillRef idx="0">
          <a:scrgbClr r="0" g="0" b="0"/>
        </a:fillRef>
        <a:effectRef idx="0">
          <a:scrgbClr r="0" g="0" b="0"/>
        </a:effectRef>
        <a:fontRef idx="minor"/>
      </dsp:style>
    </dsp:sp>
    <dsp:sp modelId="{1F836ADC-2A2F-4B73-9563-3ED0A424FD67}">
      <dsp:nvSpPr>
        <dsp:cNvPr id="0" name=""/>
        <dsp:cNvSpPr/>
      </dsp:nvSpPr>
      <dsp:spPr>
        <a:xfrm rot="5400000">
          <a:off x="925983" y="53689"/>
          <a:ext cx="812242" cy="706651"/>
        </a:xfrm>
        <a:prstGeom prst="hexagon">
          <a:avLst>
            <a:gd name="adj" fmla="val 25000"/>
            <a:gd name="vf" fmla="val 115470"/>
          </a:avLst>
        </a:prstGeom>
        <a:solidFill>
          <a:schemeClr val="bg1">
            <a:lumMod val="85000"/>
            <a:alpha val="77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t>Ukrajina</a:t>
          </a:r>
        </a:p>
        <a:p>
          <a:pPr marL="0" lvl="0" indent="0" algn="ctr" defTabSz="400050">
            <a:lnSpc>
              <a:spcPct val="90000"/>
            </a:lnSpc>
            <a:spcBef>
              <a:spcPct val="0"/>
            </a:spcBef>
            <a:spcAft>
              <a:spcPct val="35000"/>
            </a:spcAft>
            <a:buNone/>
          </a:pPr>
          <a:r>
            <a:rPr lang="cs-CZ" sz="1400" kern="1200"/>
            <a:t>69,9 %</a:t>
          </a:r>
        </a:p>
      </dsp:txBody>
      <dsp:txXfrm rot="-5400000">
        <a:off x="1088898" y="127468"/>
        <a:ext cx="486411" cy="559094"/>
      </dsp:txXfrm>
    </dsp:sp>
    <dsp:sp modelId="{B48FAB5A-E20D-4BDC-8E8D-20E6610B549C}">
      <dsp:nvSpPr>
        <dsp:cNvPr id="0" name=""/>
        <dsp:cNvSpPr/>
      </dsp:nvSpPr>
      <dsp:spPr>
        <a:xfrm rot="5400000">
          <a:off x="1306113" y="743121"/>
          <a:ext cx="812242" cy="706651"/>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t>Slovensko</a:t>
          </a:r>
        </a:p>
        <a:p>
          <a:pPr marL="0" lvl="0" indent="0" algn="ctr" defTabSz="355600">
            <a:lnSpc>
              <a:spcPct val="90000"/>
            </a:lnSpc>
            <a:spcBef>
              <a:spcPct val="0"/>
            </a:spcBef>
            <a:spcAft>
              <a:spcPct val="35000"/>
            </a:spcAft>
            <a:buNone/>
          </a:pPr>
          <a:r>
            <a:rPr lang="cs-CZ" sz="1200" kern="1200"/>
            <a:t>8,0 %</a:t>
          </a:r>
        </a:p>
      </dsp:txBody>
      <dsp:txXfrm rot="-5400000">
        <a:off x="1469028" y="816900"/>
        <a:ext cx="486411" cy="559094"/>
      </dsp:txXfrm>
    </dsp:sp>
    <dsp:sp modelId="{260EDEBD-30B8-4258-895B-0EF9FD42EE2F}">
      <dsp:nvSpPr>
        <dsp:cNvPr id="0" name=""/>
        <dsp:cNvSpPr/>
      </dsp:nvSpPr>
      <dsp:spPr>
        <a:xfrm>
          <a:off x="452446" y="852773"/>
          <a:ext cx="877222" cy="487345"/>
        </a:xfrm>
        <a:prstGeom prst="rect">
          <a:avLst/>
        </a:prstGeom>
        <a:noFill/>
        <a:ln>
          <a:noFill/>
        </a:ln>
        <a:effectLst/>
      </dsp:spPr>
      <dsp:style>
        <a:lnRef idx="0">
          <a:scrgbClr r="0" g="0" b="0"/>
        </a:lnRef>
        <a:fillRef idx="0">
          <a:scrgbClr r="0" g="0" b="0"/>
        </a:fillRef>
        <a:effectRef idx="0">
          <a:scrgbClr r="0" g="0" b="0"/>
        </a:effectRef>
        <a:fontRef idx="minor"/>
      </dsp:style>
    </dsp:sp>
    <dsp:sp modelId="{0BCFB5B3-54E1-43E0-BAA4-DAA5FBE93675}">
      <dsp:nvSpPr>
        <dsp:cNvPr id="0" name=""/>
        <dsp:cNvSpPr/>
      </dsp:nvSpPr>
      <dsp:spPr>
        <a:xfrm rot="5400000">
          <a:off x="2069296" y="743121"/>
          <a:ext cx="812242" cy="706651"/>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t>Rusko</a:t>
          </a:r>
        </a:p>
        <a:p>
          <a:pPr marL="0" lvl="0" indent="0" algn="ctr" defTabSz="400050">
            <a:lnSpc>
              <a:spcPct val="90000"/>
            </a:lnSpc>
            <a:spcBef>
              <a:spcPct val="0"/>
            </a:spcBef>
            <a:spcAft>
              <a:spcPct val="35000"/>
            </a:spcAft>
            <a:buNone/>
          </a:pPr>
          <a:r>
            <a:rPr lang="cs-CZ" sz="1200" kern="1200"/>
            <a:t>2,5 %</a:t>
          </a:r>
        </a:p>
      </dsp:txBody>
      <dsp:txXfrm rot="-5400000">
        <a:off x="2232211" y="816900"/>
        <a:ext cx="486411" cy="559094"/>
      </dsp:txXfrm>
    </dsp:sp>
    <dsp:sp modelId="{92E95D9F-B6F1-4923-AA95-E9CC0654B9C1}">
      <dsp:nvSpPr>
        <dsp:cNvPr id="0" name=""/>
        <dsp:cNvSpPr/>
      </dsp:nvSpPr>
      <dsp:spPr>
        <a:xfrm rot="5400000">
          <a:off x="1689166" y="1432552"/>
          <a:ext cx="812242" cy="706651"/>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33375">
            <a:lnSpc>
              <a:spcPct val="90000"/>
            </a:lnSpc>
            <a:spcBef>
              <a:spcPct val="0"/>
            </a:spcBef>
            <a:spcAft>
              <a:spcPct val="35000"/>
            </a:spcAft>
            <a:buNone/>
          </a:pPr>
          <a:r>
            <a:rPr lang="cs-CZ" sz="750" b="1" kern="1200"/>
            <a:t>Rumunsko</a:t>
          </a:r>
        </a:p>
        <a:p>
          <a:pPr marL="0" lvl="0" indent="0" algn="ctr" defTabSz="333375">
            <a:lnSpc>
              <a:spcPct val="90000"/>
            </a:lnSpc>
            <a:spcBef>
              <a:spcPct val="0"/>
            </a:spcBef>
            <a:spcAft>
              <a:spcPct val="35000"/>
            </a:spcAft>
            <a:buNone/>
          </a:pPr>
          <a:r>
            <a:rPr lang="cs-CZ" sz="1400" kern="1200"/>
            <a:t>1,1 %</a:t>
          </a:r>
        </a:p>
      </dsp:txBody>
      <dsp:txXfrm rot="-5400000">
        <a:off x="1852081" y="1506331"/>
        <a:ext cx="486411" cy="559094"/>
      </dsp:txXfrm>
    </dsp:sp>
    <dsp:sp modelId="{F1E15E6B-FB9B-450E-8C4D-FF63ACEE0679}">
      <dsp:nvSpPr>
        <dsp:cNvPr id="0" name=""/>
        <dsp:cNvSpPr/>
      </dsp:nvSpPr>
      <dsp:spPr>
        <a:xfrm>
          <a:off x="2470056" y="1542205"/>
          <a:ext cx="906462" cy="487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endParaRPr lang="cs-CZ" sz="2200" kern="1200"/>
        </a:p>
      </dsp:txBody>
      <dsp:txXfrm>
        <a:off x="2470056" y="1542205"/>
        <a:ext cx="906462" cy="487345"/>
      </dsp:txXfrm>
    </dsp:sp>
    <dsp:sp modelId="{2BD06EFA-7C96-4BE1-9E9B-449101BBE8A8}">
      <dsp:nvSpPr>
        <dsp:cNvPr id="0" name=""/>
        <dsp:cNvSpPr/>
      </dsp:nvSpPr>
      <dsp:spPr>
        <a:xfrm rot="5400000">
          <a:off x="925983" y="1432552"/>
          <a:ext cx="812242" cy="706651"/>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cs-CZ" sz="800" b="1" kern="1200"/>
            <a:t>Mongolsko</a:t>
          </a:r>
          <a:r>
            <a:rPr lang="cs-CZ" sz="900" b="1" kern="1200"/>
            <a:t> </a:t>
          </a:r>
        </a:p>
        <a:p>
          <a:pPr marL="0" lvl="0" indent="0" algn="ctr" defTabSz="355600">
            <a:lnSpc>
              <a:spcPct val="90000"/>
            </a:lnSpc>
            <a:spcBef>
              <a:spcPct val="0"/>
            </a:spcBef>
            <a:spcAft>
              <a:spcPct val="35000"/>
            </a:spcAft>
            <a:buNone/>
          </a:pPr>
          <a:r>
            <a:rPr lang="cs-CZ" sz="1400" kern="1200"/>
            <a:t>1,7 %</a:t>
          </a:r>
        </a:p>
      </dsp:txBody>
      <dsp:txXfrm rot="-5400000">
        <a:off x="1088898" y="1506331"/>
        <a:ext cx="486411" cy="559094"/>
      </dsp:txXfrm>
    </dsp:sp>
    <dsp:sp modelId="{E6DF5575-2127-43B4-A9C7-63121F9B63A8}">
      <dsp:nvSpPr>
        <dsp:cNvPr id="0" name=""/>
        <dsp:cNvSpPr/>
      </dsp:nvSpPr>
      <dsp:spPr>
        <a:xfrm rot="5400000">
          <a:off x="1306113" y="2121984"/>
          <a:ext cx="812242" cy="706651"/>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33375">
            <a:lnSpc>
              <a:spcPct val="90000"/>
            </a:lnSpc>
            <a:spcBef>
              <a:spcPct val="0"/>
            </a:spcBef>
            <a:spcAft>
              <a:spcPct val="35000"/>
            </a:spcAft>
            <a:buNone/>
          </a:pPr>
          <a:r>
            <a:rPr lang="cs-CZ" sz="750" b="1" kern="1200"/>
            <a:t>Bulharsko</a:t>
          </a:r>
        </a:p>
        <a:p>
          <a:pPr marL="0" lvl="0" indent="0" algn="ctr" defTabSz="333375">
            <a:lnSpc>
              <a:spcPct val="90000"/>
            </a:lnSpc>
            <a:spcBef>
              <a:spcPct val="0"/>
            </a:spcBef>
            <a:spcAft>
              <a:spcPct val="35000"/>
            </a:spcAft>
            <a:buNone/>
          </a:pPr>
          <a:r>
            <a:rPr lang="cs-CZ" sz="1400" kern="1200"/>
            <a:t>0,9 %</a:t>
          </a:r>
        </a:p>
      </dsp:txBody>
      <dsp:txXfrm rot="-5400000">
        <a:off x="1469028" y="2195763"/>
        <a:ext cx="486411" cy="559094"/>
      </dsp:txXfrm>
    </dsp:sp>
    <dsp:sp modelId="{B84236DF-1216-44E1-B0C0-B55FC7440DDB}">
      <dsp:nvSpPr>
        <dsp:cNvPr id="0" name=""/>
        <dsp:cNvSpPr/>
      </dsp:nvSpPr>
      <dsp:spPr>
        <a:xfrm>
          <a:off x="452446" y="2231637"/>
          <a:ext cx="877222" cy="487345"/>
        </a:xfrm>
        <a:prstGeom prst="rect">
          <a:avLst/>
        </a:prstGeom>
        <a:noFill/>
        <a:ln>
          <a:noFill/>
        </a:ln>
        <a:effectLst/>
      </dsp:spPr>
      <dsp:style>
        <a:lnRef idx="0">
          <a:scrgbClr r="0" g="0" b="0"/>
        </a:lnRef>
        <a:fillRef idx="0">
          <a:scrgbClr r="0" g="0" b="0"/>
        </a:fillRef>
        <a:effectRef idx="0">
          <a:scrgbClr r="0" g="0" b="0"/>
        </a:effectRef>
        <a:fontRef idx="minor"/>
      </dsp:style>
    </dsp:sp>
    <dsp:sp modelId="{9BB8A5F4-F037-43EC-8EC7-DF858D39657C}">
      <dsp:nvSpPr>
        <dsp:cNvPr id="0" name=""/>
        <dsp:cNvSpPr/>
      </dsp:nvSpPr>
      <dsp:spPr>
        <a:xfrm rot="5400000">
          <a:off x="2052824" y="2122796"/>
          <a:ext cx="812242" cy="706651"/>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cs-CZ" sz="800" b="1" kern="1200"/>
            <a:t>Moldavsko</a:t>
          </a:r>
        </a:p>
        <a:p>
          <a:pPr marL="0" lvl="0" indent="0" algn="ctr" defTabSz="355600">
            <a:lnSpc>
              <a:spcPct val="90000"/>
            </a:lnSpc>
            <a:spcBef>
              <a:spcPct val="0"/>
            </a:spcBef>
            <a:spcAft>
              <a:spcPct val="35000"/>
            </a:spcAft>
            <a:buNone/>
          </a:pPr>
          <a:r>
            <a:rPr lang="cs-CZ" sz="1400" kern="1200"/>
            <a:t>0,8 %</a:t>
          </a:r>
        </a:p>
      </dsp:txBody>
      <dsp:txXfrm rot="-5400000">
        <a:off x="2215739" y="2196575"/>
        <a:ext cx="486411" cy="5590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F2DA6-1E8F-4FA2-B8C9-2F953576B7FA}">
      <dsp:nvSpPr>
        <dsp:cNvPr id="0" name=""/>
        <dsp:cNvSpPr/>
      </dsp:nvSpPr>
      <dsp:spPr>
        <a:xfrm rot="5400000">
          <a:off x="1873772" y="58654"/>
          <a:ext cx="902317" cy="785015"/>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t>Slovensko</a:t>
          </a:r>
        </a:p>
        <a:p>
          <a:pPr marL="0" lvl="0" indent="0" algn="ctr" defTabSz="355600">
            <a:lnSpc>
              <a:spcPct val="90000"/>
            </a:lnSpc>
            <a:spcBef>
              <a:spcPct val="0"/>
            </a:spcBef>
            <a:spcAft>
              <a:spcPct val="35000"/>
            </a:spcAft>
            <a:buNone/>
          </a:pPr>
          <a:r>
            <a:rPr lang="cs-CZ" sz="1200" b="1" kern="1200"/>
            <a:t>14,6 %</a:t>
          </a:r>
        </a:p>
      </dsp:txBody>
      <dsp:txXfrm rot="-5400000">
        <a:off x="2054754" y="140614"/>
        <a:ext cx="540353" cy="621095"/>
      </dsp:txXfrm>
    </dsp:sp>
    <dsp:sp modelId="{75CD3BB1-01EA-4173-9F6D-5E940C048C85}">
      <dsp:nvSpPr>
        <dsp:cNvPr id="0" name=""/>
        <dsp:cNvSpPr/>
      </dsp:nvSpPr>
      <dsp:spPr>
        <a:xfrm>
          <a:off x="2741259" y="180674"/>
          <a:ext cx="1006985" cy="541390"/>
        </a:xfrm>
        <a:prstGeom prst="rect">
          <a:avLst/>
        </a:prstGeom>
        <a:noFill/>
        <a:ln>
          <a:noFill/>
        </a:ln>
        <a:effectLst/>
      </dsp:spPr>
      <dsp:style>
        <a:lnRef idx="0">
          <a:scrgbClr r="0" g="0" b="0"/>
        </a:lnRef>
        <a:fillRef idx="0">
          <a:scrgbClr r="0" g="0" b="0"/>
        </a:fillRef>
        <a:effectRef idx="0">
          <a:scrgbClr r="0" g="0" b="0"/>
        </a:effectRef>
        <a:fontRef idx="minor"/>
      </dsp:style>
    </dsp:sp>
    <dsp:sp modelId="{1F836ADC-2A2F-4B73-9563-3ED0A424FD67}">
      <dsp:nvSpPr>
        <dsp:cNvPr id="0" name=""/>
        <dsp:cNvSpPr/>
      </dsp:nvSpPr>
      <dsp:spPr>
        <a:xfrm rot="5400000">
          <a:off x="1025955" y="58862"/>
          <a:ext cx="902317" cy="785015"/>
        </a:xfrm>
        <a:prstGeom prst="hexagon">
          <a:avLst>
            <a:gd name="adj" fmla="val 25000"/>
            <a:gd name="vf" fmla="val 115470"/>
          </a:avLst>
        </a:prstGeom>
        <a:solidFill>
          <a:schemeClr val="bg1">
            <a:lumMod val="85000"/>
            <a:alpha val="77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t>Ukrajina</a:t>
          </a:r>
        </a:p>
        <a:p>
          <a:pPr marL="0" lvl="0" indent="0" algn="ctr" defTabSz="400050">
            <a:lnSpc>
              <a:spcPct val="90000"/>
            </a:lnSpc>
            <a:spcBef>
              <a:spcPct val="0"/>
            </a:spcBef>
            <a:spcAft>
              <a:spcPct val="35000"/>
            </a:spcAft>
            <a:buNone/>
          </a:pPr>
          <a:r>
            <a:rPr lang="cs-CZ" sz="1200" b="1" kern="1200"/>
            <a:t>50,0 %</a:t>
          </a:r>
        </a:p>
      </dsp:txBody>
      <dsp:txXfrm rot="-5400000">
        <a:off x="1206937" y="140822"/>
        <a:ext cx="540353" cy="621095"/>
      </dsp:txXfrm>
    </dsp:sp>
    <dsp:sp modelId="{B48FAB5A-E20D-4BDC-8E8D-20E6610B549C}">
      <dsp:nvSpPr>
        <dsp:cNvPr id="0" name=""/>
        <dsp:cNvSpPr/>
      </dsp:nvSpPr>
      <dsp:spPr>
        <a:xfrm rot="5400000">
          <a:off x="1448239" y="824748"/>
          <a:ext cx="902317" cy="785015"/>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t>Vietnam</a:t>
          </a:r>
        </a:p>
        <a:p>
          <a:pPr marL="0" lvl="0" indent="0" algn="ctr" defTabSz="400050">
            <a:lnSpc>
              <a:spcPct val="90000"/>
            </a:lnSpc>
            <a:spcBef>
              <a:spcPct val="0"/>
            </a:spcBef>
            <a:spcAft>
              <a:spcPct val="35000"/>
            </a:spcAft>
            <a:buNone/>
          </a:pPr>
          <a:r>
            <a:rPr lang="cs-CZ" sz="1200" b="1" kern="1200"/>
            <a:t>13,4 %</a:t>
          </a:r>
        </a:p>
      </dsp:txBody>
      <dsp:txXfrm rot="-5400000">
        <a:off x="1629221" y="906708"/>
        <a:ext cx="540353" cy="621095"/>
      </dsp:txXfrm>
    </dsp:sp>
    <dsp:sp modelId="{260EDEBD-30B8-4258-895B-0EF9FD42EE2F}">
      <dsp:nvSpPr>
        <dsp:cNvPr id="0" name=""/>
        <dsp:cNvSpPr/>
      </dsp:nvSpPr>
      <dsp:spPr>
        <a:xfrm>
          <a:off x="499904" y="946561"/>
          <a:ext cx="974502" cy="541390"/>
        </a:xfrm>
        <a:prstGeom prst="rect">
          <a:avLst/>
        </a:prstGeom>
        <a:noFill/>
        <a:ln>
          <a:noFill/>
        </a:ln>
        <a:effectLst/>
      </dsp:spPr>
      <dsp:style>
        <a:lnRef idx="0">
          <a:scrgbClr r="0" g="0" b="0"/>
        </a:lnRef>
        <a:fillRef idx="0">
          <a:scrgbClr r="0" g="0" b="0"/>
        </a:fillRef>
        <a:effectRef idx="0">
          <a:scrgbClr r="0" g="0" b="0"/>
        </a:effectRef>
        <a:fontRef idx="minor"/>
      </dsp:style>
    </dsp:sp>
    <dsp:sp modelId="{0BCFB5B3-54E1-43E0-BAA4-DAA5FBE93675}">
      <dsp:nvSpPr>
        <dsp:cNvPr id="0" name=""/>
        <dsp:cNvSpPr/>
      </dsp:nvSpPr>
      <dsp:spPr>
        <a:xfrm rot="5400000">
          <a:off x="2296056" y="824748"/>
          <a:ext cx="902317" cy="785015"/>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t>Rusko</a:t>
          </a:r>
        </a:p>
        <a:p>
          <a:pPr marL="0" lvl="0" indent="0" algn="ctr" defTabSz="400050">
            <a:lnSpc>
              <a:spcPct val="90000"/>
            </a:lnSpc>
            <a:spcBef>
              <a:spcPct val="0"/>
            </a:spcBef>
            <a:spcAft>
              <a:spcPct val="35000"/>
            </a:spcAft>
            <a:buNone/>
          </a:pPr>
          <a:r>
            <a:rPr lang="cs-CZ" sz="1200" b="1" kern="1200"/>
            <a:t>5,9 %</a:t>
          </a:r>
        </a:p>
      </dsp:txBody>
      <dsp:txXfrm rot="-5400000">
        <a:off x="2477038" y="906708"/>
        <a:ext cx="540353" cy="621095"/>
      </dsp:txXfrm>
    </dsp:sp>
    <dsp:sp modelId="{92E95D9F-B6F1-4923-AA95-E9CC0654B9C1}">
      <dsp:nvSpPr>
        <dsp:cNvPr id="0" name=""/>
        <dsp:cNvSpPr/>
      </dsp:nvSpPr>
      <dsp:spPr>
        <a:xfrm rot="5400000">
          <a:off x="1873772" y="1590635"/>
          <a:ext cx="902317" cy="785015"/>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t>Mongolsko</a:t>
          </a:r>
        </a:p>
        <a:p>
          <a:pPr marL="0" lvl="0" indent="0" algn="ctr" defTabSz="355600">
            <a:lnSpc>
              <a:spcPct val="90000"/>
            </a:lnSpc>
            <a:spcBef>
              <a:spcPct val="0"/>
            </a:spcBef>
            <a:spcAft>
              <a:spcPct val="35000"/>
            </a:spcAft>
            <a:buNone/>
          </a:pPr>
          <a:r>
            <a:rPr lang="cs-CZ" sz="1200" b="1" kern="1200"/>
            <a:t>1,4 %</a:t>
          </a:r>
        </a:p>
      </dsp:txBody>
      <dsp:txXfrm rot="-5400000">
        <a:off x="2054754" y="1672595"/>
        <a:ext cx="540353" cy="621095"/>
      </dsp:txXfrm>
    </dsp:sp>
    <dsp:sp modelId="{F1E15E6B-FB9B-450E-8C4D-FF63ACEE0679}">
      <dsp:nvSpPr>
        <dsp:cNvPr id="0" name=""/>
        <dsp:cNvSpPr/>
      </dsp:nvSpPr>
      <dsp:spPr>
        <a:xfrm>
          <a:off x="2741259" y="1712448"/>
          <a:ext cx="1006985" cy="5413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l" defTabSz="1111250">
            <a:lnSpc>
              <a:spcPct val="90000"/>
            </a:lnSpc>
            <a:spcBef>
              <a:spcPct val="0"/>
            </a:spcBef>
            <a:spcAft>
              <a:spcPct val="35000"/>
            </a:spcAft>
            <a:buNone/>
          </a:pPr>
          <a:endParaRPr lang="cs-CZ" sz="2500" kern="1200"/>
        </a:p>
      </dsp:txBody>
      <dsp:txXfrm>
        <a:off x="2741259" y="1712448"/>
        <a:ext cx="1006985" cy="541390"/>
      </dsp:txXfrm>
    </dsp:sp>
    <dsp:sp modelId="{2BD06EFA-7C96-4BE1-9E9B-449101BBE8A8}">
      <dsp:nvSpPr>
        <dsp:cNvPr id="0" name=""/>
        <dsp:cNvSpPr/>
      </dsp:nvSpPr>
      <dsp:spPr>
        <a:xfrm rot="5400000">
          <a:off x="1025955" y="1590635"/>
          <a:ext cx="902317" cy="785015"/>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t>Bulharsko </a:t>
          </a:r>
        </a:p>
        <a:p>
          <a:pPr marL="0" lvl="0" indent="0" algn="ctr" defTabSz="400050">
            <a:lnSpc>
              <a:spcPct val="90000"/>
            </a:lnSpc>
            <a:spcBef>
              <a:spcPct val="0"/>
            </a:spcBef>
            <a:spcAft>
              <a:spcPct val="35000"/>
            </a:spcAft>
            <a:buNone/>
          </a:pPr>
          <a:r>
            <a:rPr lang="cs-CZ" sz="1200" b="1" kern="1200"/>
            <a:t>1,5 %</a:t>
          </a:r>
        </a:p>
      </dsp:txBody>
      <dsp:txXfrm rot="-5400000">
        <a:off x="1206937" y="1672595"/>
        <a:ext cx="540353" cy="621095"/>
      </dsp:txXfrm>
    </dsp:sp>
    <dsp:sp modelId="{E6DF5575-2127-43B4-A9C7-63121F9B63A8}">
      <dsp:nvSpPr>
        <dsp:cNvPr id="0" name=""/>
        <dsp:cNvSpPr/>
      </dsp:nvSpPr>
      <dsp:spPr>
        <a:xfrm rot="5400000">
          <a:off x="1448239" y="2356522"/>
          <a:ext cx="902317" cy="785015"/>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t>Moldavsko</a:t>
          </a:r>
        </a:p>
        <a:p>
          <a:pPr marL="0" lvl="0" indent="0" algn="ctr" defTabSz="355600">
            <a:lnSpc>
              <a:spcPct val="90000"/>
            </a:lnSpc>
            <a:spcBef>
              <a:spcPct val="0"/>
            </a:spcBef>
            <a:spcAft>
              <a:spcPct val="35000"/>
            </a:spcAft>
            <a:buNone/>
          </a:pPr>
          <a:r>
            <a:rPr lang="cs-CZ" sz="1200" b="1" kern="1200"/>
            <a:t>1,4 %</a:t>
          </a:r>
        </a:p>
      </dsp:txBody>
      <dsp:txXfrm rot="-5400000">
        <a:off x="1629221" y="2438482"/>
        <a:ext cx="540353" cy="621095"/>
      </dsp:txXfrm>
    </dsp:sp>
    <dsp:sp modelId="{B84236DF-1216-44E1-B0C0-B55FC7440DDB}">
      <dsp:nvSpPr>
        <dsp:cNvPr id="0" name=""/>
        <dsp:cNvSpPr/>
      </dsp:nvSpPr>
      <dsp:spPr>
        <a:xfrm>
          <a:off x="499904" y="2478334"/>
          <a:ext cx="974502" cy="541390"/>
        </a:xfrm>
        <a:prstGeom prst="rect">
          <a:avLst/>
        </a:prstGeom>
        <a:noFill/>
        <a:ln>
          <a:noFill/>
        </a:ln>
        <a:effectLst/>
      </dsp:spPr>
      <dsp:style>
        <a:lnRef idx="0">
          <a:scrgbClr r="0" g="0" b="0"/>
        </a:lnRef>
        <a:fillRef idx="0">
          <a:scrgbClr r="0" g="0" b="0"/>
        </a:fillRef>
        <a:effectRef idx="0">
          <a:scrgbClr r="0" g="0" b="0"/>
        </a:effectRef>
        <a:fontRef idx="minor"/>
      </dsp:style>
    </dsp:sp>
    <dsp:sp modelId="{9BB8A5F4-F037-43EC-8EC7-DF858D39657C}">
      <dsp:nvSpPr>
        <dsp:cNvPr id="0" name=""/>
        <dsp:cNvSpPr/>
      </dsp:nvSpPr>
      <dsp:spPr>
        <a:xfrm rot="5400000">
          <a:off x="2277757" y="2356733"/>
          <a:ext cx="902317" cy="785015"/>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t>Rumunsko</a:t>
          </a:r>
        </a:p>
        <a:p>
          <a:pPr marL="0" lvl="0" indent="0" algn="ctr" defTabSz="400050">
            <a:lnSpc>
              <a:spcPct val="90000"/>
            </a:lnSpc>
            <a:spcBef>
              <a:spcPct val="0"/>
            </a:spcBef>
            <a:spcAft>
              <a:spcPct val="35000"/>
            </a:spcAft>
            <a:buNone/>
          </a:pPr>
          <a:r>
            <a:rPr lang="cs-CZ" sz="1200" b="1" kern="1200"/>
            <a:t>1,2 %</a:t>
          </a:r>
        </a:p>
      </dsp:txBody>
      <dsp:txXfrm rot="-5400000">
        <a:off x="2458739" y="2438693"/>
        <a:ext cx="540353" cy="6210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F2DA6-1E8F-4FA2-B8C9-2F953576B7FA}">
      <dsp:nvSpPr>
        <dsp:cNvPr id="0" name=""/>
        <dsp:cNvSpPr/>
      </dsp:nvSpPr>
      <dsp:spPr>
        <a:xfrm rot="5400000">
          <a:off x="1744857" y="343144"/>
          <a:ext cx="1186837" cy="1026511"/>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solidFill>
                <a:srgbClr val="C00000"/>
              </a:solidFill>
            </a:rPr>
            <a:t>Administrativa</a:t>
          </a:r>
        </a:p>
        <a:p>
          <a:pPr marL="0" lvl="0" indent="0" algn="ctr" defTabSz="355600">
            <a:lnSpc>
              <a:spcPct val="90000"/>
            </a:lnSpc>
            <a:spcBef>
              <a:spcPct val="0"/>
            </a:spcBef>
            <a:spcAft>
              <a:spcPct val="35000"/>
            </a:spcAft>
            <a:buNone/>
          </a:pPr>
          <a:r>
            <a:rPr lang="cs-CZ" sz="1400" b="1" kern="1200"/>
            <a:t>13,8 %</a:t>
          </a:r>
        </a:p>
      </dsp:txBody>
      <dsp:txXfrm rot="-5400000">
        <a:off x="1984549" y="447427"/>
        <a:ext cx="707453" cy="817945"/>
      </dsp:txXfrm>
    </dsp:sp>
    <dsp:sp modelId="{75CD3BB1-01EA-4173-9F6D-5E940C048C85}">
      <dsp:nvSpPr>
        <dsp:cNvPr id="0" name=""/>
        <dsp:cNvSpPr/>
      </dsp:nvSpPr>
      <dsp:spPr>
        <a:xfrm>
          <a:off x="2661642" y="364752"/>
          <a:ext cx="1194964" cy="642453"/>
        </a:xfrm>
        <a:prstGeom prst="rect">
          <a:avLst/>
        </a:prstGeom>
        <a:noFill/>
        <a:ln>
          <a:noFill/>
        </a:ln>
        <a:effectLst/>
      </dsp:spPr>
      <dsp:style>
        <a:lnRef idx="0">
          <a:scrgbClr r="0" g="0" b="0"/>
        </a:lnRef>
        <a:fillRef idx="0">
          <a:scrgbClr r="0" g="0" b="0"/>
        </a:fillRef>
        <a:effectRef idx="0">
          <a:scrgbClr r="0" g="0" b="0"/>
        </a:effectRef>
        <a:fontRef idx="minor"/>
      </dsp:style>
    </dsp:sp>
    <dsp:sp modelId="{1F836ADC-2A2F-4B73-9563-3ED0A424FD67}">
      <dsp:nvSpPr>
        <dsp:cNvPr id="0" name=""/>
        <dsp:cNvSpPr/>
      </dsp:nvSpPr>
      <dsp:spPr>
        <a:xfrm rot="5400000">
          <a:off x="587680" y="238729"/>
          <a:ext cx="1308582" cy="1040699"/>
        </a:xfrm>
        <a:prstGeom prst="hexagon">
          <a:avLst>
            <a:gd name="adj" fmla="val 25000"/>
            <a:gd name="vf" fmla="val 115470"/>
          </a:avLst>
        </a:prstGeom>
        <a:solidFill>
          <a:schemeClr val="bg1">
            <a:lumMod val="85000"/>
            <a:alpha val="77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solidFill>
                <a:srgbClr val="C00000"/>
              </a:solidFill>
            </a:rPr>
            <a:t>Zpracovatelský průmysl</a:t>
          </a:r>
        </a:p>
        <a:p>
          <a:pPr marL="0" lvl="0" indent="0" algn="ctr" defTabSz="400050">
            <a:lnSpc>
              <a:spcPct val="90000"/>
            </a:lnSpc>
            <a:spcBef>
              <a:spcPct val="0"/>
            </a:spcBef>
            <a:spcAft>
              <a:spcPct val="35000"/>
            </a:spcAft>
            <a:buNone/>
          </a:pPr>
          <a:r>
            <a:rPr lang="cs-CZ" sz="1600" b="1" kern="1200"/>
            <a:t>24,2 %</a:t>
          </a:r>
        </a:p>
      </dsp:txBody>
      <dsp:txXfrm rot="-5400000">
        <a:off x="877317" y="300561"/>
        <a:ext cx="729307" cy="917036"/>
      </dsp:txXfrm>
    </dsp:sp>
    <dsp:sp modelId="{B48FAB5A-E20D-4BDC-8E8D-20E6610B549C}">
      <dsp:nvSpPr>
        <dsp:cNvPr id="0" name=""/>
        <dsp:cNvSpPr/>
      </dsp:nvSpPr>
      <dsp:spPr>
        <a:xfrm rot="5400000">
          <a:off x="1194451" y="1322945"/>
          <a:ext cx="1070756" cy="931558"/>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cs-CZ" sz="850" b="1" kern="1200">
              <a:solidFill>
                <a:srgbClr val="C00000"/>
              </a:solidFill>
            </a:rPr>
            <a:t>Informace a komunikace</a:t>
          </a:r>
        </a:p>
        <a:p>
          <a:pPr marL="0" lvl="0" indent="0" algn="ctr" defTabSz="377825">
            <a:lnSpc>
              <a:spcPct val="90000"/>
            </a:lnSpc>
            <a:spcBef>
              <a:spcPct val="0"/>
            </a:spcBef>
            <a:spcAft>
              <a:spcPct val="35000"/>
            </a:spcAft>
            <a:buNone/>
          </a:pPr>
          <a:r>
            <a:rPr lang="cs-CZ" sz="1050" b="1" kern="1200"/>
            <a:t>10,2 %</a:t>
          </a:r>
        </a:p>
      </dsp:txBody>
      <dsp:txXfrm rot="-5400000">
        <a:off x="1409218" y="1420207"/>
        <a:ext cx="641222" cy="737037"/>
      </dsp:txXfrm>
    </dsp:sp>
    <dsp:sp modelId="{260EDEBD-30B8-4258-895B-0EF9FD42EE2F}">
      <dsp:nvSpPr>
        <dsp:cNvPr id="0" name=""/>
        <dsp:cNvSpPr/>
      </dsp:nvSpPr>
      <dsp:spPr>
        <a:xfrm>
          <a:off x="1884" y="1392523"/>
          <a:ext cx="1156416" cy="642453"/>
        </a:xfrm>
        <a:prstGeom prst="rect">
          <a:avLst/>
        </a:prstGeom>
        <a:noFill/>
        <a:ln>
          <a:noFill/>
        </a:ln>
        <a:effectLst/>
      </dsp:spPr>
      <dsp:style>
        <a:lnRef idx="0">
          <a:scrgbClr r="0" g="0" b="0"/>
        </a:lnRef>
        <a:fillRef idx="0">
          <a:scrgbClr r="0" g="0" b="0"/>
        </a:fillRef>
        <a:effectRef idx="0">
          <a:scrgbClr r="0" g="0" b="0"/>
        </a:effectRef>
        <a:fontRef idx="minor"/>
      </dsp:style>
    </dsp:sp>
    <dsp:sp modelId="{0BCFB5B3-54E1-43E0-BAA4-DAA5FBE93675}">
      <dsp:nvSpPr>
        <dsp:cNvPr id="0" name=""/>
        <dsp:cNvSpPr/>
      </dsp:nvSpPr>
      <dsp:spPr>
        <a:xfrm rot="5400000">
          <a:off x="2190955" y="1405703"/>
          <a:ext cx="1031020" cy="918730"/>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cs-CZ" sz="900" b="1" kern="1200">
              <a:solidFill>
                <a:srgbClr val="C00000"/>
              </a:solidFill>
            </a:rPr>
            <a:t>Obchod, opravy spotřebičů a mot. vozidel</a:t>
          </a:r>
        </a:p>
        <a:p>
          <a:pPr marL="0" lvl="0" indent="0" algn="ctr" defTabSz="400050">
            <a:lnSpc>
              <a:spcPct val="90000"/>
            </a:lnSpc>
            <a:spcBef>
              <a:spcPct val="0"/>
            </a:spcBef>
            <a:spcAft>
              <a:spcPct val="35000"/>
            </a:spcAft>
            <a:buNone/>
          </a:pPr>
          <a:r>
            <a:rPr lang="cs-CZ" sz="1050" b="1" kern="1200"/>
            <a:t>10,5 %</a:t>
          </a:r>
        </a:p>
      </dsp:txBody>
      <dsp:txXfrm rot="-5400000">
        <a:off x="2391883" y="1512037"/>
        <a:ext cx="629164" cy="706062"/>
      </dsp:txXfrm>
    </dsp:sp>
    <dsp:sp modelId="{92E95D9F-B6F1-4923-AA95-E9CC0654B9C1}">
      <dsp:nvSpPr>
        <dsp:cNvPr id="0" name=""/>
        <dsp:cNvSpPr/>
      </dsp:nvSpPr>
      <dsp:spPr>
        <a:xfrm rot="5400000">
          <a:off x="1820093" y="2246474"/>
          <a:ext cx="822180" cy="740188"/>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cs-CZ" sz="800" b="1" kern="1200">
              <a:solidFill>
                <a:srgbClr val="C00000"/>
              </a:solidFill>
            </a:rPr>
            <a:t>Věda, výzkum, technika</a:t>
          </a:r>
        </a:p>
        <a:p>
          <a:pPr marL="0" lvl="0" indent="0" algn="ctr" defTabSz="355600">
            <a:lnSpc>
              <a:spcPct val="90000"/>
            </a:lnSpc>
            <a:spcBef>
              <a:spcPct val="0"/>
            </a:spcBef>
            <a:spcAft>
              <a:spcPct val="35000"/>
            </a:spcAft>
            <a:buNone/>
          </a:pPr>
          <a:r>
            <a:rPr lang="cs-CZ" sz="1000" b="1" kern="1200"/>
            <a:t>6,87%</a:t>
          </a:r>
        </a:p>
      </dsp:txBody>
      <dsp:txXfrm rot="-5400000">
        <a:off x="1978302" y="2335675"/>
        <a:ext cx="505762" cy="561786"/>
      </dsp:txXfrm>
    </dsp:sp>
    <dsp:sp modelId="{F1E15E6B-FB9B-450E-8C4D-FF63ACEE0679}">
      <dsp:nvSpPr>
        <dsp:cNvPr id="0" name=""/>
        <dsp:cNvSpPr/>
      </dsp:nvSpPr>
      <dsp:spPr>
        <a:xfrm>
          <a:off x="2661642" y="2301381"/>
          <a:ext cx="1194964" cy="6424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endParaRPr lang="cs-CZ" sz="800" kern="1200"/>
        </a:p>
      </dsp:txBody>
      <dsp:txXfrm>
        <a:off x="2661642" y="2301381"/>
        <a:ext cx="1194964" cy="642453"/>
      </dsp:txXfrm>
    </dsp:sp>
    <dsp:sp modelId="{2BD06EFA-7C96-4BE1-9E9B-449101BBE8A8}">
      <dsp:nvSpPr>
        <dsp:cNvPr id="0" name=""/>
        <dsp:cNvSpPr/>
      </dsp:nvSpPr>
      <dsp:spPr>
        <a:xfrm rot="5400000">
          <a:off x="985057" y="2275659"/>
          <a:ext cx="856680" cy="757272"/>
        </a:xfrm>
        <a:prstGeom prst="hexagon">
          <a:avLst>
            <a:gd name="adj" fmla="val 25000"/>
            <a:gd name="vf" fmla="val 115470"/>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cs-CZ" sz="800" b="1" kern="1200">
              <a:solidFill>
                <a:srgbClr val="C00000"/>
              </a:solidFill>
            </a:rPr>
            <a:t>Stavebnictví</a:t>
          </a:r>
          <a:r>
            <a:rPr lang="cs-CZ" sz="800" b="1" kern="1200"/>
            <a:t> </a:t>
          </a:r>
        </a:p>
        <a:p>
          <a:pPr marL="0" lvl="0" indent="0" algn="ctr" defTabSz="355600">
            <a:lnSpc>
              <a:spcPct val="90000"/>
            </a:lnSpc>
            <a:spcBef>
              <a:spcPct val="0"/>
            </a:spcBef>
            <a:spcAft>
              <a:spcPct val="35000"/>
            </a:spcAft>
            <a:buNone/>
          </a:pPr>
          <a:r>
            <a:rPr lang="cs-CZ" sz="1000" b="1" kern="1200"/>
            <a:t>9,1 %</a:t>
          </a:r>
        </a:p>
      </dsp:txBody>
      <dsp:txXfrm rot="-5400000">
        <a:off x="1153650" y="2360451"/>
        <a:ext cx="519494" cy="587688"/>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0.70909</cdr:x>
      <cdr:y>0.72384</cdr:y>
    </cdr:from>
    <cdr:to>
      <cdr:x>0.9621</cdr:x>
      <cdr:y>0.97427</cdr:y>
    </cdr:to>
    <cdr:pic>
      <cdr:nvPicPr>
        <cdr:cNvPr id="5" name="Grafický objekt 4" descr="Třída"/>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086225" y="4019550"/>
          <a:ext cx="1457997" cy="1390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0.25463</cdr:x>
      <cdr:y>0.39936</cdr:y>
    </cdr:from>
    <cdr:to>
      <cdr:x>0.29431</cdr:x>
      <cdr:y>0.44318</cdr:y>
    </cdr:to>
    <cdr:sp macro="" textlink="">
      <cdr:nvSpPr>
        <cdr:cNvPr id="2" name="Textové pole 2"/>
        <cdr:cNvSpPr txBox="1">
          <a:spLocks xmlns:a="http://schemas.openxmlformats.org/drawingml/2006/main" noChangeArrowheads="1"/>
        </cdr:cNvSpPr>
      </cdr:nvSpPr>
      <cdr:spPr bwMode="auto">
        <a:xfrm xmlns:a="http://schemas.openxmlformats.org/drawingml/2006/main">
          <a:off x="1466850" y="1183005"/>
          <a:ext cx="228600" cy="129824"/>
        </a:xfrm>
        <a:prstGeom xmlns:a="http://schemas.openxmlformats.org/drawingml/2006/main" prst="rect">
          <a:avLst/>
        </a:prstGeom>
        <a:ln xmlns:a="http://schemas.openxmlformats.org/drawingml/2006/main" w="9525">
          <a:headEnd/>
          <a:tailEn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vert="horz" wrap="square" lIns="0" tIns="0" rIns="0" bIns="0" anchor="ctr" anchorCtr="0">
          <a:spAutoFit/>
        </a:bodyPr>
        <a:lstStyle xmlns:a="http://schemas.openxmlformats.org/drawingml/2006/main"/>
        <a:p xmlns:a="http://schemas.openxmlformats.org/drawingml/2006/main">
          <a:r>
            <a:rPr lang="cs-CZ" sz="800" b="1">
              <a:effectLst/>
              <a:latin typeface="Arial Narrow" panose="020B0606020202030204" pitchFamily="34" charset="0"/>
              <a:ea typeface="Calibri" panose="020F0502020204030204" pitchFamily="34" charset="0"/>
            </a:rPr>
            <a:t> 90 %</a:t>
          </a:r>
          <a:endParaRPr lang="cs-CZ" sz="1100">
            <a:effectLst/>
            <a:ea typeface="Calibri" panose="020F0502020204030204" pitchFamily="34" charset="0"/>
          </a:endParaRPr>
        </a:p>
      </cdr:txBody>
    </cdr:sp>
  </cdr:relSizeAnchor>
  <cdr:relSizeAnchor xmlns:cdr="http://schemas.openxmlformats.org/drawingml/2006/chartDrawing">
    <cdr:from>
      <cdr:x>0.3071</cdr:x>
      <cdr:y>0.44969</cdr:y>
    </cdr:from>
    <cdr:to>
      <cdr:x>0.34888</cdr:x>
      <cdr:y>0.49196</cdr:y>
    </cdr:to>
    <cdr:sp macro="" textlink="">
      <cdr:nvSpPr>
        <cdr:cNvPr id="3" name="Textové pole 2"/>
        <cdr:cNvSpPr txBox="1">
          <a:spLocks xmlns:a="http://schemas.openxmlformats.org/drawingml/2006/main" noChangeArrowheads="1"/>
        </cdr:cNvSpPr>
      </cdr:nvSpPr>
      <cdr:spPr bwMode="auto">
        <a:xfrm xmlns:a="http://schemas.openxmlformats.org/drawingml/2006/main">
          <a:off x="1769110" y="1332098"/>
          <a:ext cx="240665" cy="125227"/>
        </a:xfrm>
        <a:prstGeom xmlns:a="http://schemas.openxmlformats.org/drawingml/2006/main" prst="rect">
          <a:avLst/>
        </a:prstGeom>
        <a:ln xmlns:a="http://schemas.openxmlformats.org/drawingml/2006/main" w="9525">
          <a:headEnd/>
          <a:tailEn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vert="horz" wrap="square" lIns="0" tIns="0" rIns="0" bIns="0" anchor="ctr" anchorCtr="0">
          <a:spAutoFit/>
        </a:bodyPr>
        <a:lstStyle xmlns:a="http://schemas.openxmlformats.org/drawingml/2006/main"/>
        <a:p xmlns:a="http://schemas.openxmlformats.org/drawingml/2006/main">
          <a:r>
            <a:rPr lang="cs-CZ" sz="800" b="1">
              <a:effectLst/>
              <a:latin typeface="Arial Narrow" panose="020B0606020202030204" pitchFamily="34" charset="0"/>
              <a:ea typeface="Calibri" panose="020F0502020204030204" pitchFamily="34" charset="0"/>
            </a:rPr>
            <a:t> 92 %</a:t>
          </a:r>
          <a:endParaRPr lang="cs-CZ" sz="1100">
            <a:effectLst/>
            <a:ea typeface="Calibri" panose="020F0502020204030204" pitchFamily="34" charset="0"/>
          </a:endParaRPr>
        </a:p>
      </cdr:txBody>
    </cdr:sp>
  </cdr:relSizeAnchor>
  <cdr:relSizeAnchor xmlns:cdr="http://schemas.openxmlformats.org/drawingml/2006/chartDrawing">
    <cdr:from>
      <cdr:x>0.48637</cdr:x>
      <cdr:y>0.47472</cdr:y>
    </cdr:from>
    <cdr:to>
      <cdr:x>0.53559</cdr:x>
      <cdr:y>0.51699</cdr:y>
    </cdr:to>
    <cdr:sp macro="" textlink="">
      <cdr:nvSpPr>
        <cdr:cNvPr id="4" name="Textové pole 2"/>
        <cdr:cNvSpPr txBox="1">
          <a:spLocks xmlns:a="http://schemas.openxmlformats.org/drawingml/2006/main" noChangeArrowheads="1"/>
        </cdr:cNvSpPr>
      </cdr:nvSpPr>
      <cdr:spPr bwMode="auto">
        <a:xfrm xmlns:a="http://schemas.openxmlformats.org/drawingml/2006/main">
          <a:off x="2801831" y="1406253"/>
          <a:ext cx="283568" cy="125227"/>
        </a:xfrm>
        <a:prstGeom xmlns:a="http://schemas.openxmlformats.org/drawingml/2006/main" prst="rect">
          <a:avLst/>
        </a:prstGeom>
        <a:ln xmlns:a="http://schemas.openxmlformats.org/drawingml/2006/main" w="9525">
          <a:headEnd/>
          <a:tailEn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vert="horz" wrap="square" lIns="0" tIns="0" rIns="0" bIns="0" anchor="ctr" anchorCtr="0">
          <a:spAutoFit/>
        </a:bodyPr>
        <a:lstStyle xmlns:a="http://schemas.openxmlformats.org/drawingml/2006/main"/>
        <a:p xmlns:a="http://schemas.openxmlformats.org/drawingml/2006/main">
          <a:r>
            <a:rPr lang="cs-CZ" sz="800" b="1">
              <a:effectLst/>
              <a:latin typeface="Arial Narrow" panose="020B0606020202030204" pitchFamily="34" charset="0"/>
              <a:ea typeface="Calibri" panose="020F0502020204030204" pitchFamily="34" charset="0"/>
            </a:rPr>
            <a:t> 102 %</a:t>
          </a:r>
          <a:endParaRPr lang="cs-CZ" sz="1100">
            <a:effectLst/>
            <a:ea typeface="Calibri" panose="020F0502020204030204" pitchFamily="34" charset="0"/>
          </a:endParaRPr>
        </a:p>
      </cdr:txBody>
    </cdr:sp>
  </cdr:relSizeAnchor>
  <cdr:relSizeAnchor xmlns:cdr="http://schemas.openxmlformats.org/drawingml/2006/chartDrawing">
    <cdr:from>
      <cdr:x>0.55203</cdr:x>
      <cdr:y>0.48742</cdr:y>
    </cdr:from>
    <cdr:to>
      <cdr:x>0.59305</cdr:x>
      <cdr:y>0.52969</cdr:y>
    </cdr:to>
    <cdr:sp macro="" textlink="">
      <cdr:nvSpPr>
        <cdr:cNvPr id="5" name="Textové pole 2"/>
        <cdr:cNvSpPr txBox="1">
          <a:spLocks xmlns:a="http://schemas.openxmlformats.org/drawingml/2006/main" noChangeArrowheads="1"/>
        </cdr:cNvSpPr>
      </cdr:nvSpPr>
      <cdr:spPr bwMode="auto">
        <a:xfrm xmlns:a="http://schemas.openxmlformats.org/drawingml/2006/main">
          <a:off x="3180084" y="1443869"/>
          <a:ext cx="236294" cy="125227"/>
        </a:xfrm>
        <a:prstGeom xmlns:a="http://schemas.openxmlformats.org/drawingml/2006/main" prst="rect">
          <a:avLst/>
        </a:prstGeom>
        <a:ln xmlns:a="http://schemas.openxmlformats.org/drawingml/2006/main" w="9525">
          <a:headEnd/>
          <a:tailEn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vert="horz" wrap="square" lIns="0" tIns="0" rIns="0" bIns="0" anchor="ctr" anchorCtr="0">
          <a:spAutoFit/>
        </a:bodyPr>
        <a:lstStyle xmlns:a="http://schemas.openxmlformats.org/drawingml/2006/main"/>
        <a:p xmlns:a="http://schemas.openxmlformats.org/drawingml/2006/main">
          <a:r>
            <a:rPr lang="cs-CZ" sz="800" b="1">
              <a:effectLst/>
              <a:latin typeface="Arial Narrow" panose="020B0606020202030204" pitchFamily="34" charset="0"/>
              <a:ea typeface="Calibri" panose="020F0502020204030204" pitchFamily="34" charset="0"/>
            </a:rPr>
            <a:t> 88 %</a:t>
          </a:r>
          <a:endParaRPr lang="cs-CZ" sz="1100">
            <a:effectLst/>
            <a:ea typeface="Calibri" panose="020F0502020204030204" pitchFamily="34" charset="0"/>
          </a:endParaRPr>
        </a:p>
      </cdr:txBody>
    </cdr:sp>
  </cdr:relSizeAnchor>
  <cdr:relSizeAnchor xmlns:cdr="http://schemas.openxmlformats.org/drawingml/2006/chartDrawing">
    <cdr:from>
      <cdr:x>0.60639</cdr:x>
      <cdr:y>0.49215</cdr:y>
    </cdr:from>
    <cdr:to>
      <cdr:x>0.65245</cdr:x>
      <cdr:y>0.53443</cdr:y>
    </cdr:to>
    <cdr:sp macro="" textlink="">
      <cdr:nvSpPr>
        <cdr:cNvPr id="6" name="Textové pole 2"/>
        <cdr:cNvSpPr txBox="1">
          <a:spLocks xmlns:a="http://schemas.openxmlformats.org/drawingml/2006/main" noChangeArrowheads="1"/>
        </cdr:cNvSpPr>
      </cdr:nvSpPr>
      <cdr:spPr bwMode="auto">
        <a:xfrm xmlns:a="http://schemas.openxmlformats.org/drawingml/2006/main">
          <a:off x="3493240" y="1457893"/>
          <a:ext cx="265336" cy="125227"/>
        </a:xfrm>
        <a:prstGeom xmlns:a="http://schemas.openxmlformats.org/drawingml/2006/main" prst="rect">
          <a:avLst/>
        </a:prstGeom>
        <a:ln xmlns:a="http://schemas.openxmlformats.org/drawingml/2006/main" w="9525">
          <a:headEnd/>
          <a:tailEn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vert="horz" wrap="square" lIns="0" tIns="0" rIns="0" bIns="0" anchor="ctr" anchorCtr="0">
          <a:spAutoFit/>
        </a:bodyPr>
        <a:lstStyle xmlns:a="http://schemas.openxmlformats.org/drawingml/2006/main"/>
        <a:p xmlns:a="http://schemas.openxmlformats.org/drawingml/2006/main">
          <a:r>
            <a:rPr lang="cs-CZ" sz="800" b="1">
              <a:effectLst/>
              <a:latin typeface="Arial Narrow" panose="020B0606020202030204" pitchFamily="34" charset="0"/>
              <a:ea typeface="Calibri" panose="020F0502020204030204" pitchFamily="34" charset="0"/>
            </a:rPr>
            <a:t> 107 %</a:t>
          </a:r>
          <a:endParaRPr lang="cs-CZ" sz="1100">
            <a:effectLst/>
            <a:ea typeface="Calibri" panose="020F0502020204030204" pitchFamily="34" charset="0"/>
          </a:endParaRPr>
        </a:p>
      </cdr:txBody>
    </cdr:sp>
  </cdr:relSizeAnchor>
  <cdr:relSizeAnchor xmlns:cdr="http://schemas.openxmlformats.org/drawingml/2006/chartDrawing">
    <cdr:from>
      <cdr:x>0.78632</cdr:x>
      <cdr:y>0.50225</cdr:y>
    </cdr:from>
    <cdr:to>
      <cdr:x>0.83358</cdr:x>
      <cdr:y>0.54429</cdr:y>
    </cdr:to>
    <cdr:sp macro="" textlink="">
      <cdr:nvSpPr>
        <cdr:cNvPr id="7" name="Textové pole 2"/>
        <cdr:cNvSpPr txBox="1">
          <a:spLocks xmlns:a="http://schemas.openxmlformats.org/drawingml/2006/main" noChangeArrowheads="1"/>
        </cdr:cNvSpPr>
      </cdr:nvSpPr>
      <cdr:spPr bwMode="auto">
        <a:xfrm xmlns:a="http://schemas.openxmlformats.org/drawingml/2006/main">
          <a:off x="4529771" y="1487813"/>
          <a:ext cx="272231" cy="124519"/>
        </a:xfrm>
        <a:prstGeom xmlns:a="http://schemas.openxmlformats.org/drawingml/2006/main" prst="rect">
          <a:avLst/>
        </a:prstGeom>
        <a:ln xmlns:a="http://schemas.openxmlformats.org/drawingml/2006/main" w="9525">
          <a:headEnd/>
          <a:tailEn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vert="horz" wrap="square" lIns="0" tIns="0" rIns="0" bIns="0" anchor="ctr" anchorCtr="0">
          <a:spAutoFit/>
        </a:bodyPr>
        <a:lstStyle xmlns:a="http://schemas.openxmlformats.org/drawingml/2006/main"/>
        <a:p xmlns:a="http://schemas.openxmlformats.org/drawingml/2006/main">
          <a:r>
            <a:rPr lang="cs-CZ" sz="800" b="1" baseline="0">
              <a:solidFill>
                <a:srgbClr val="C00000"/>
              </a:solidFill>
              <a:effectLst/>
              <a:latin typeface="Arial Narrow" panose="020B0606020202030204" pitchFamily="34" charset="0"/>
              <a:ea typeface="Calibri" panose="020F0502020204030204" pitchFamily="34" charset="0"/>
            </a:rPr>
            <a:t> 139</a:t>
          </a:r>
          <a:r>
            <a:rPr lang="cs-CZ" sz="800" b="1">
              <a:solidFill>
                <a:srgbClr val="C00000"/>
              </a:solidFill>
              <a:effectLst/>
              <a:latin typeface="Arial Narrow" panose="020B0606020202030204" pitchFamily="34" charset="0"/>
              <a:ea typeface="Calibri" panose="020F0502020204030204" pitchFamily="34" charset="0"/>
            </a:rPr>
            <a:t> %</a:t>
          </a:r>
          <a:endParaRPr lang="cs-CZ" sz="1100">
            <a:solidFill>
              <a:srgbClr val="C00000"/>
            </a:solidFill>
            <a:effectLst/>
            <a:ea typeface="Calibri" panose="020F05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0.27116</cdr:x>
      <cdr:y>0.15312</cdr:y>
    </cdr:from>
    <cdr:to>
      <cdr:x>0.89733</cdr:x>
      <cdr:y>0.58551</cdr:y>
    </cdr:to>
    <cdr:cxnSp macro="">
      <cdr:nvCxnSpPr>
        <cdr:cNvPr id="3" name="Přímá spojnice se šipkou 2"/>
        <cdr:cNvCxnSpPr/>
      </cdr:nvCxnSpPr>
      <cdr:spPr>
        <a:xfrm xmlns:a="http://schemas.openxmlformats.org/drawingml/2006/main" flipV="1">
          <a:off x="1562100" y="503171"/>
          <a:ext cx="3607167" cy="1420879"/>
        </a:xfrm>
        <a:prstGeom xmlns:a="http://schemas.openxmlformats.org/drawingml/2006/main" prst="straightConnector1">
          <a:avLst/>
        </a:prstGeom>
        <a:ln xmlns:a="http://schemas.openxmlformats.org/drawingml/2006/main" w="1905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0.02174</cdr:x>
      <cdr:y>0.68506</cdr:y>
    </cdr:from>
    <cdr:to>
      <cdr:x>0.97541</cdr:x>
      <cdr:y>0.89655</cdr:y>
    </cdr:to>
    <cdr:grpSp>
      <cdr:nvGrpSpPr>
        <cdr:cNvPr id="14" name="Skupina 13"/>
        <cdr:cNvGrpSpPr/>
      </cdr:nvGrpSpPr>
      <cdr:grpSpPr>
        <a:xfrm xmlns:a="http://schemas.openxmlformats.org/drawingml/2006/main">
          <a:off x="124589" y="2897187"/>
          <a:ext cx="5465364" cy="894413"/>
          <a:chOff x="124569" y="2803988"/>
          <a:chExt cx="5465391" cy="1017053"/>
        </a:xfrm>
      </cdr:grpSpPr>
      <cdr:sp macro="" textlink="">
        <cdr:nvSpPr>
          <cdr:cNvPr id="2" name="Textové pole 1"/>
          <cdr:cNvSpPr txBox="1"/>
        </cdr:nvSpPr>
        <cdr:spPr>
          <a:xfrm xmlns:a="http://schemas.openxmlformats.org/drawingml/2006/main">
            <a:off x="435935" y="3476847"/>
            <a:ext cx="435936" cy="2977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100">
                <a:latin typeface="Arial Narrow" panose="020B0606020202030204" pitchFamily="34" charset="0"/>
              </a:rPr>
              <a:t>ČR</a:t>
            </a:r>
          </a:p>
        </cdr:txBody>
      </cdr:sp>
      <cdr:sp macro="" textlink="">
        <cdr:nvSpPr>
          <cdr:cNvPr id="3" name="Textové pole 1"/>
          <cdr:cNvSpPr txBox="1"/>
        </cdr:nvSpPr>
        <cdr:spPr>
          <a:xfrm xmlns:a="http://schemas.openxmlformats.org/drawingml/2006/main">
            <a:off x="1316073" y="3474485"/>
            <a:ext cx="863602" cy="297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1100">
                <a:latin typeface="Arial Narrow" panose="020B0606020202030204" pitchFamily="34" charset="0"/>
              </a:rPr>
              <a:t>NĚMECKO</a:t>
            </a:r>
          </a:p>
        </cdr:txBody>
      </cdr:sp>
      <cdr:sp macro="" textlink="">
        <cdr:nvSpPr>
          <cdr:cNvPr id="4" name="Textové pole 1"/>
          <cdr:cNvSpPr txBox="1"/>
        </cdr:nvSpPr>
        <cdr:spPr>
          <a:xfrm xmlns:a="http://schemas.openxmlformats.org/drawingml/2006/main">
            <a:off x="2430129" y="3472122"/>
            <a:ext cx="863602" cy="297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1100">
                <a:latin typeface="Arial Narrow" panose="020B0606020202030204" pitchFamily="34" charset="0"/>
              </a:rPr>
              <a:t>RAKOUSKO</a:t>
            </a:r>
          </a:p>
        </cdr:txBody>
      </cdr:sp>
      <cdr:sp macro="" textlink="">
        <cdr:nvSpPr>
          <cdr:cNvPr id="5" name="Textové pole 1"/>
          <cdr:cNvSpPr txBox="1"/>
        </cdr:nvSpPr>
        <cdr:spPr>
          <a:xfrm xmlns:a="http://schemas.openxmlformats.org/drawingml/2006/main">
            <a:off x="3546548" y="3472121"/>
            <a:ext cx="863602" cy="297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1100">
                <a:latin typeface="Arial Narrow" panose="020B0606020202030204" pitchFamily="34" charset="0"/>
              </a:rPr>
              <a:t>POLSKO</a:t>
            </a:r>
          </a:p>
        </cdr:txBody>
      </cdr:sp>
      <cdr:sp macro="" textlink="">
        <cdr:nvSpPr>
          <cdr:cNvPr id="6" name="Textové pole 1"/>
          <cdr:cNvSpPr txBox="1"/>
        </cdr:nvSpPr>
        <cdr:spPr>
          <a:xfrm xmlns:a="http://schemas.openxmlformats.org/drawingml/2006/main">
            <a:off x="4550735" y="3482754"/>
            <a:ext cx="986464" cy="297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1100">
                <a:latin typeface="Arial Narrow" panose="020B0606020202030204" pitchFamily="34" charset="0"/>
              </a:rPr>
              <a:t>SLOVENSKO</a:t>
            </a:r>
          </a:p>
        </cdr:txBody>
      </cdr:sp>
      <cdr:cxnSp macro="">
        <cdr:nvCxnSpPr>
          <cdr:cNvPr id="7" name="Přímá spojnice 6"/>
          <cdr:cNvCxnSpPr/>
        </cdr:nvCxnSpPr>
        <cdr:spPr>
          <a:xfrm xmlns:a="http://schemas.openxmlformats.org/drawingml/2006/main">
            <a:off x="5589960" y="2806627"/>
            <a:ext cx="0" cy="998220"/>
          </a:xfrm>
          <a:prstGeom xmlns:a="http://schemas.openxmlformats.org/drawingml/2006/main" prst="lin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Přímá spojnice 7"/>
          <cdr:cNvCxnSpPr/>
        </cdr:nvCxnSpPr>
        <cdr:spPr>
          <a:xfrm xmlns:a="http://schemas.openxmlformats.org/drawingml/2006/main">
            <a:off x="2318205" y="2806627"/>
            <a:ext cx="0" cy="998220"/>
          </a:xfrm>
          <a:prstGeom xmlns:a="http://schemas.openxmlformats.org/drawingml/2006/main" prst="lin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Přímá spojnice 8"/>
          <cdr:cNvCxnSpPr/>
        </cdr:nvCxnSpPr>
        <cdr:spPr>
          <a:xfrm xmlns:a="http://schemas.openxmlformats.org/drawingml/2006/main">
            <a:off x="3433456" y="2822821"/>
            <a:ext cx="0" cy="998220"/>
          </a:xfrm>
          <a:prstGeom xmlns:a="http://schemas.openxmlformats.org/drawingml/2006/main" prst="lin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0" name="Přímá spojnice 9"/>
          <cdr:cNvCxnSpPr/>
        </cdr:nvCxnSpPr>
        <cdr:spPr>
          <a:xfrm xmlns:a="http://schemas.openxmlformats.org/drawingml/2006/main">
            <a:off x="4490566" y="2806627"/>
            <a:ext cx="0" cy="998220"/>
          </a:xfrm>
          <a:prstGeom xmlns:a="http://schemas.openxmlformats.org/drawingml/2006/main" prst="lin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2" name="Přímá spojnice 11"/>
          <cdr:cNvCxnSpPr/>
        </cdr:nvCxnSpPr>
        <cdr:spPr>
          <a:xfrm xmlns:a="http://schemas.openxmlformats.org/drawingml/2006/main">
            <a:off x="1193347" y="2803988"/>
            <a:ext cx="0" cy="998220"/>
          </a:xfrm>
          <a:prstGeom xmlns:a="http://schemas.openxmlformats.org/drawingml/2006/main" prst="lin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Přímá spojnice 12"/>
          <cdr:cNvCxnSpPr/>
        </cdr:nvCxnSpPr>
        <cdr:spPr>
          <a:xfrm xmlns:a="http://schemas.openxmlformats.org/drawingml/2006/main">
            <a:off x="124569" y="2807575"/>
            <a:ext cx="0" cy="998220"/>
          </a:xfrm>
          <a:prstGeom xmlns:a="http://schemas.openxmlformats.org/drawingml/2006/main" prst="lin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f0af52-569d-4bed-b575-9854fd6caa2a">
      <Terms xmlns="http://schemas.microsoft.com/office/infopath/2007/PartnerControls"/>
    </lcf76f155ced4ddcb4097134ff3c332f>
    <TaxCatchAll xmlns="e14c0685-6fb4-43da-b367-5d379d1676c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582EE2BF7F21748A6F030B04219D6A0" ma:contentTypeVersion="13" ma:contentTypeDescription="Vytvoří nový dokument" ma:contentTypeScope="" ma:versionID="afd954a264f8fa48b604a27b15c1913e">
  <xsd:schema xmlns:xsd="http://www.w3.org/2001/XMLSchema" xmlns:xs="http://www.w3.org/2001/XMLSchema" xmlns:p="http://schemas.microsoft.com/office/2006/metadata/properties" xmlns:ns2="5ff0af52-569d-4bed-b575-9854fd6caa2a" xmlns:ns3="e14c0685-6fb4-43da-b367-5d379d1676ca" targetNamespace="http://schemas.microsoft.com/office/2006/metadata/properties" ma:root="true" ma:fieldsID="c1871e0b071b2f3515b7a320fb4690bd" ns2:_="" ns3:_="">
    <xsd:import namespace="5ff0af52-569d-4bed-b575-9854fd6caa2a"/>
    <xsd:import namespace="e14c0685-6fb4-43da-b367-5d379d1676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f0af52-569d-4bed-b575-9854fd6ca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d3218468-fb3a-499b-a53b-ef9008395e4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4c0685-6fb4-43da-b367-5d379d1676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3d00c64-dfd3-482a-92d9-dec9870630f9}" ma:internalName="TaxCatchAll" ma:showField="CatchAllData" ma:web="e14c0685-6fb4-43da-b367-5d379d1676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D9B27-8431-4D0C-9403-8AF8CE3FCBBD}">
  <ds:schemaRefs>
    <ds:schemaRef ds:uri="http://schemas.microsoft.com/sharepoint/v3/contenttype/forms"/>
  </ds:schemaRefs>
</ds:datastoreItem>
</file>

<file path=customXml/itemProps2.xml><?xml version="1.0" encoding="utf-8"?>
<ds:datastoreItem xmlns:ds="http://schemas.openxmlformats.org/officeDocument/2006/customXml" ds:itemID="{09ACDF17-24A7-40F4-848C-45F0CA23EA14}">
  <ds:schemaRefs>
    <ds:schemaRef ds:uri="http://schemas.openxmlformats.org/officeDocument/2006/bibliography"/>
  </ds:schemaRefs>
</ds:datastoreItem>
</file>

<file path=customXml/itemProps3.xml><?xml version="1.0" encoding="utf-8"?>
<ds:datastoreItem xmlns:ds="http://schemas.openxmlformats.org/officeDocument/2006/customXml" ds:itemID="{B4233D68-C681-406C-B924-84F7762BD04F}">
  <ds:schemaRefs>
    <ds:schemaRef ds:uri="http://schemas.microsoft.com/office/2006/metadata/properties"/>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5ff0af52-569d-4bed-b575-9854fd6caa2a"/>
    <ds:schemaRef ds:uri="e14c0685-6fb4-43da-b367-5d379d1676ca"/>
    <ds:schemaRef ds:uri="http://www.w3.org/XML/1998/namespace"/>
    <ds:schemaRef ds:uri="http://purl.org/dc/dcmitype/"/>
  </ds:schemaRefs>
</ds:datastoreItem>
</file>

<file path=customXml/itemProps4.xml><?xml version="1.0" encoding="utf-8"?>
<ds:datastoreItem xmlns:ds="http://schemas.openxmlformats.org/officeDocument/2006/customXml" ds:itemID="{1CB2BB94-5D2A-4B9B-A810-F77BAF771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f0af52-569d-4bed-b575-9854fd6caa2a"/>
    <ds:schemaRef ds:uri="e14c0685-6fb4-43da-b367-5d379d167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3265</TotalTime>
  <Pages>219</Pages>
  <Words>71635</Words>
  <Characters>422653</Characters>
  <Application>Microsoft Office Word</Application>
  <DocSecurity>0</DocSecurity>
  <Lines>3522</Lines>
  <Paragraphs>986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Fialová</dc:creator>
  <cp:keywords/>
  <dc:description/>
  <cp:lastModifiedBy>Barbora Ficbauerová</cp:lastModifiedBy>
  <cp:revision>374</cp:revision>
  <cp:lastPrinted>2022-08-08T08:05:00Z</cp:lastPrinted>
  <dcterms:created xsi:type="dcterms:W3CDTF">2022-04-08T09:07:00Z</dcterms:created>
  <dcterms:modified xsi:type="dcterms:W3CDTF">2023-06-13T11:37:00Z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0x0101008582EE2BF7F21748A6F030B04219D6A0</vt:lpwstr>
  </property>
  <property fmtid="{D5CDD505-2E9C-101B-9397-08002B2CF9AE}" pid="3" name="MediaServiceImageTags">
    <vt:lpwstr/>
  </property>
</Properties>
</file>